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b/>
          <w:color w:val="auto"/>
          <w:sz w:val="52"/>
          <w:szCs w:val="52"/>
          <w:highlight w:val="none"/>
        </w:rPr>
      </w:pPr>
      <w:r>
        <w:rPr>
          <w:rFonts w:ascii="宋体" w:hAnsi="宋体"/>
          <w:b/>
          <w:color w:val="auto"/>
          <w:sz w:val="52"/>
          <w:szCs w:val="52"/>
          <w:highlight w:val="none"/>
        </w:rPr>
      </w:r>
      <w:r>
        <w:rPr>
          <w:color w:val="auto"/>
          <w:highlight w:val="none"/>
        </w:rPr>
      </w:r>
      <w:r/>
    </w:p>
    <w:p>
      <w:pPr>
        <w:jc w:val="center"/>
        <w:rPr>
          <w:rFonts w:ascii="宋体" w:hAnsi="宋体"/>
          <w:b/>
          <w:color w:val="auto"/>
          <w:sz w:val="28"/>
          <w:szCs w:val="28"/>
          <w:highlight w:val="none"/>
        </w:rPr>
      </w:pPr>
      <w:r>
        <w:rPr>
          <w:rFonts w:ascii="宋体" w:hAnsi="宋体"/>
          <w:b/>
          <w:color w:val="auto"/>
          <w:sz w:val="28"/>
          <w:szCs w:val="28"/>
          <w:highlight w:val="none"/>
        </w:rPr>
      </w:r>
      <w:r>
        <w:rPr>
          <w:color w:val="auto"/>
          <w:highlight w:val="none"/>
        </w:rPr>
      </w:r>
      <w:r/>
    </w:p>
    <w:p>
      <w:pPr>
        <w:jc w:val="center"/>
        <w:rPr>
          <w:rFonts w:ascii="宋体" w:hAnsi="宋体"/>
          <w:b/>
          <w:color w:val="auto"/>
          <w:sz w:val="72"/>
          <w:szCs w:val="20"/>
          <w:highlight w:val="none"/>
        </w:rPr>
      </w:pPr>
      <w:r>
        <w:rPr>
          <w:rFonts w:hint="eastAsia" w:ascii="宋体" w:hAnsi="宋体"/>
          <w:b/>
          <w:color w:val="auto"/>
          <w:sz w:val="72"/>
          <w:szCs w:val="20"/>
          <w:highlight w:val="none"/>
        </w:rPr>
        <w:t xml:space="preserve">苏州市相城区政府采购</w:t>
      </w:r>
      <w:r>
        <w:rPr>
          <w:color w:val="auto"/>
          <w:highlight w:val="none"/>
        </w:rPr>
      </w:r>
      <w:r/>
    </w:p>
    <w:p>
      <w:pPr>
        <w:jc w:val="center"/>
        <w:rPr>
          <w:rFonts w:ascii="宋体" w:hAnsi="宋体"/>
          <w:b/>
          <w:color w:val="auto"/>
          <w:sz w:val="72"/>
          <w:szCs w:val="20"/>
          <w:highlight w:val="none"/>
        </w:rPr>
      </w:pPr>
      <w:r>
        <w:rPr>
          <w:rFonts w:hint="eastAsia" w:ascii="宋体" w:hAnsi="宋体"/>
          <w:b/>
          <w:color w:val="auto"/>
          <w:sz w:val="72"/>
          <w:szCs w:val="20"/>
          <w:highlight w:val="none"/>
        </w:rPr>
        <w:t xml:space="preserve">招标文件</w:t>
      </w:r>
      <w:r>
        <w:rPr>
          <w:color w:val="auto"/>
          <w:highlight w:val="none"/>
        </w:rPr>
      </w:r>
      <w:r/>
    </w:p>
    <w:p>
      <w:pPr>
        <w:jc w:val="center"/>
        <w:spacing w:line="360" w:lineRule="auto"/>
        <w:rPr>
          <w:b/>
          <w:color w:val="auto"/>
          <w:szCs w:val="21"/>
          <w:highlight w:val="none"/>
        </w:rPr>
      </w:pPr>
      <w:r>
        <w:rPr>
          <w:b/>
          <w:color w:val="auto"/>
          <w:szCs w:val="21"/>
          <w:highlight w:val="none"/>
        </w:rPr>
      </w:r>
      <w:r>
        <w:rPr>
          <w:color w:val="auto"/>
          <w:highlight w:val="none"/>
        </w:rPr>
      </w:r>
      <w:r/>
    </w:p>
    <w:p>
      <w:pPr>
        <w:jc w:val="center"/>
        <w:spacing w:line="360" w:lineRule="auto"/>
        <w:rPr>
          <w:b/>
          <w:color w:val="auto"/>
          <w:szCs w:val="21"/>
          <w:highlight w:val="none"/>
        </w:rPr>
      </w:pPr>
      <w:r>
        <w:rPr>
          <w:b/>
          <w:color w:val="auto"/>
          <w:szCs w:val="21"/>
          <w:highlight w:val="none"/>
        </w:rPr>
      </w:r>
      <w:r>
        <w:rPr>
          <w:color w:val="auto"/>
          <w:highlight w:val="none"/>
        </w:rPr>
      </w:r>
      <w:r/>
    </w:p>
    <w:p>
      <w:pPr>
        <w:pStyle w:val="785"/>
        <w:rPr>
          <w:color w:val="auto"/>
          <w:highlight w:val="none"/>
        </w:rPr>
      </w:pPr>
      <w:r>
        <w:rPr>
          <w:color w:val="auto"/>
          <w:highlight w:val="none"/>
        </w:rPr>
      </w:r>
      <w:r>
        <w:rPr>
          <w:color w:val="auto"/>
          <w:highlight w:val="none"/>
        </w:rPr>
      </w:r>
      <w:r/>
    </w:p>
    <w:p>
      <w:pPr>
        <w:pStyle w:val="785"/>
        <w:rPr>
          <w:color w:val="auto"/>
          <w:highlight w:val="none"/>
        </w:rPr>
      </w:pPr>
      <w:r>
        <w:rPr>
          <w:color w:val="auto"/>
          <w:highlight w:val="none"/>
        </w:rPr>
      </w:r>
      <w:r>
        <w:rPr>
          <w:color w:val="auto"/>
          <w:highlight w:val="none"/>
        </w:rPr>
      </w:r>
      <w:r/>
    </w:p>
    <w:p>
      <w:pPr>
        <w:pStyle w:val="785"/>
        <w:rPr>
          <w:color w:val="auto"/>
          <w:highlight w:val="none"/>
        </w:rPr>
      </w:pPr>
      <w:r>
        <w:rPr>
          <w:color w:val="auto"/>
          <w:highlight w:val="none"/>
        </w:rPr>
      </w:r>
      <w:r>
        <w:rPr>
          <w:color w:val="auto"/>
          <w:highlight w:val="none"/>
        </w:rPr>
      </w:r>
      <w:r/>
    </w:p>
    <w:p>
      <w:pPr>
        <w:pStyle w:val="785"/>
        <w:rPr>
          <w:color w:val="auto"/>
          <w:highlight w:val="none"/>
        </w:rPr>
      </w:pPr>
      <w:r>
        <w:rPr>
          <w:color w:val="auto"/>
          <w:highlight w:val="none"/>
        </w:rPr>
      </w:r>
      <w:r>
        <w:rPr>
          <w:color w:val="auto"/>
          <w:highlight w:val="none"/>
        </w:rPr>
      </w:r>
      <w:r/>
    </w:p>
    <w:p>
      <w:pPr>
        <w:ind w:firstLine="1446"/>
        <w:spacing w:line="360" w:lineRule="auto"/>
        <w:rPr>
          <w:b/>
          <w:bCs/>
          <w:color w:val="auto"/>
          <w:sz w:val="32"/>
          <w:highlight w:val="none"/>
        </w:rPr>
      </w:pPr>
      <w:r>
        <w:rPr>
          <w:rFonts w:hint="eastAsia"/>
          <w:b/>
          <w:bCs/>
          <w:color w:val="auto"/>
          <w:sz w:val="32"/>
          <w:highlight w:val="none"/>
        </w:rPr>
        <w:t xml:space="preserve">招标编号：</w:t>
      </w:r>
      <w:r>
        <w:rPr>
          <w:rFonts w:hint="eastAsia"/>
          <w:b/>
          <w:bCs/>
          <w:color w:val="auto"/>
          <w:sz w:val="32"/>
          <w:highlight w:val="none"/>
        </w:rPr>
        <w:t xml:space="preserve">JSZC-320507-SZJN-G2026-0003</w:t>
      </w:r>
      <w:r>
        <w:rPr>
          <w:color w:val="auto"/>
          <w:highlight w:val="none"/>
        </w:rPr>
      </w:r>
      <w:r/>
    </w:p>
    <w:p>
      <w:pPr>
        <w:ind w:firstLine="1446"/>
        <w:spacing w:line="360" w:lineRule="auto"/>
        <w:rPr>
          <w:b/>
          <w:bCs/>
          <w:color w:val="auto"/>
          <w:sz w:val="32"/>
          <w:highlight w:val="none"/>
        </w:rPr>
      </w:pPr>
      <w:r>
        <w:rPr>
          <w:rFonts w:hint="eastAsia"/>
          <w:b/>
          <w:bCs/>
          <w:color w:val="auto"/>
          <w:sz w:val="32"/>
          <w:highlight w:val="none"/>
        </w:rPr>
        <w:t xml:space="preserve">招标项目：</w:t>
      </w:r>
      <w:r>
        <w:rPr>
          <w:rFonts w:hint="eastAsia"/>
          <w:b/>
          <w:bCs/>
          <w:color w:val="auto"/>
          <w:sz w:val="32"/>
          <w:highlight w:val="none"/>
        </w:rPr>
        <w:t xml:space="preserve">2026</w:t>
      </w:r>
      <w:r>
        <w:rPr>
          <w:rFonts w:hint="eastAsia"/>
          <w:b/>
          <w:bCs/>
          <w:color w:val="auto"/>
          <w:sz w:val="32"/>
          <w:highlight w:val="none"/>
        </w:rPr>
        <w:t xml:space="preserve">年实验室仪器购置</w:t>
      </w:r>
      <w:r>
        <w:rPr>
          <w:color w:val="auto"/>
          <w:highlight w:val="none"/>
        </w:rPr>
      </w:r>
      <w:r/>
    </w:p>
    <w:p>
      <w:pPr>
        <w:ind w:firstLine="1446"/>
        <w:spacing w:line="360" w:lineRule="auto"/>
        <w:rPr>
          <w:b/>
          <w:bCs/>
          <w:color w:val="auto"/>
          <w:sz w:val="32"/>
          <w:highlight w:val="none"/>
        </w:rPr>
      </w:pPr>
      <w:r>
        <w:rPr>
          <w:rFonts w:hint="eastAsia"/>
          <w:b/>
          <w:bCs/>
          <w:color w:val="auto"/>
          <w:sz w:val="32"/>
          <w:highlight w:val="none"/>
        </w:rPr>
        <w:t xml:space="preserve">项目类别：货物类</w:t>
      </w:r>
      <w:r>
        <w:rPr>
          <w:color w:val="auto"/>
          <w:highlight w:val="none"/>
        </w:rPr>
      </w:r>
      <w:r/>
    </w:p>
    <w:p>
      <w:pPr>
        <w:ind w:firstLine="1446"/>
        <w:spacing w:line="360" w:lineRule="auto"/>
        <w:rPr>
          <w:b/>
          <w:bCs/>
          <w:color w:val="auto"/>
          <w:sz w:val="32"/>
          <w:highlight w:val="none"/>
        </w:rPr>
      </w:pPr>
      <w:r>
        <w:rPr>
          <w:rFonts w:hint="eastAsia"/>
          <w:b/>
          <w:bCs/>
          <w:color w:val="auto"/>
          <w:sz w:val="32"/>
          <w:highlight w:val="none"/>
        </w:rPr>
        <w:t xml:space="preserve">招标单位：苏州市相城生态环境局</w:t>
      </w:r>
      <w:r>
        <w:rPr>
          <w:color w:val="auto"/>
          <w:highlight w:val="none"/>
        </w:rPr>
      </w:r>
      <w:r/>
    </w:p>
    <w:p>
      <w:pPr>
        <w:ind w:firstLine="787"/>
        <w:spacing w:line="360" w:lineRule="auto"/>
        <w:rPr>
          <w:b/>
          <w:bCs/>
          <w:color w:val="auto"/>
          <w:sz w:val="32"/>
          <w:highlight w:val="none"/>
        </w:rPr>
      </w:pPr>
      <w:r>
        <w:rPr>
          <w:b/>
          <w:bCs/>
          <w:color w:val="auto"/>
          <w:sz w:val="32"/>
          <w:highlight w:val="none"/>
        </w:rPr>
      </w:r>
      <w:r>
        <w:rPr>
          <w:color w:val="auto"/>
          <w:highlight w:val="none"/>
        </w:rPr>
      </w:r>
      <w:r/>
    </w:p>
    <w:p>
      <w:pPr>
        <w:ind w:firstLine="661"/>
        <w:spacing w:line="360" w:lineRule="auto"/>
        <w:rPr>
          <w:color w:val="auto"/>
          <w:szCs w:val="21"/>
          <w:highlight w:val="none"/>
        </w:rPr>
      </w:pPr>
      <w:r>
        <w:rPr>
          <w:color w:val="auto"/>
          <w:szCs w:val="21"/>
          <w:highlight w:val="none"/>
        </w:rPr>
      </w:r>
      <w:r>
        <w:rPr>
          <w:color w:val="auto"/>
          <w:highlight w:val="none"/>
        </w:rPr>
      </w:r>
      <w:r/>
    </w:p>
    <w:p>
      <w:pPr>
        <w:jc w:val="left"/>
        <w:spacing w:line="360" w:lineRule="auto"/>
        <w:rPr>
          <w:b/>
          <w:color w:val="auto"/>
          <w:sz w:val="32"/>
          <w:highlight w:val="none"/>
        </w:rPr>
      </w:pPr>
      <w:r>
        <w:rPr>
          <w:rFonts w:hint="eastAsia"/>
          <w:color w:val="auto"/>
          <w:szCs w:val="21"/>
          <w:highlight w:val="none"/>
        </w:rPr>
        <w:t xml:space="preserve">                       </w:t>
      </w:r>
      <w:r>
        <w:rPr>
          <w:b/>
          <w:color w:val="auto"/>
          <w:sz w:val="3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66040</wp:posOffset>
                </wp:positionV>
                <wp:extent cx="1028065" cy="949960"/>
                <wp:effectExtent l="0" t="0" r="635" b="2540"/>
                <wp:wrapNone/>
                <wp:docPr id="1" name="图片 1" descr="说明: A71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说明: A71107(2)"/>
                        <pic:cNvPicPr>
                          <a:picLocks noChangeAspect="1"/>
                        </pic:cNvPicPr>
                        <pic:nvPr/>
                      </pic:nvPicPr>
                      <pic:blipFill>
                        <a:blip r:embed="rId13"/>
                        <a:stretch/>
                      </pic:blipFill>
                      <pic:spPr bwMode="auto">
                        <a:xfrm>
                          <a:off x="0" y="0"/>
                          <a:ext cx="1028065" cy="949960"/>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margin;mso-position-horizontal:center;mso-position-vertical-relative:text;margin-top:5.2pt;mso-position-vertical:absolute;width:81.0pt;height:74.8pt;mso-wrap-distance-left:9.0pt;mso-wrap-distance-top:0.0pt;mso-wrap-distance-right:9.0pt;mso-wrap-distance-bottom:0.0pt;" stroked="f">
                <v:path textboxrect="0,0,0,0"/>
                <v:imagedata r:id="rId13" o:title=""/>
              </v:shape>
            </w:pict>
          </mc:Fallback>
        </mc:AlternateContent>
      </w:r>
      <w:r>
        <w:rPr>
          <w:color w:val="auto"/>
          <w:highlight w:val="none"/>
        </w:rPr>
      </w:r>
      <w:r/>
    </w:p>
    <w:p>
      <w:pPr>
        <w:jc w:val="center"/>
        <w:spacing w:line="360" w:lineRule="auto"/>
        <w:rPr>
          <w:b/>
          <w:color w:val="auto"/>
          <w:sz w:val="32"/>
          <w:highlight w:val="none"/>
        </w:rPr>
      </w:pPr>
      <w:r>
        <w:rPr>
          <w:b/>
          <w:color w:val="auto"/>
          <w:sz w:val="32"/>
          <w:highlight w:val="none"/>
        </w:rPr>
      </w:r>
      <w:r>
        <w:rPr>
          <w:color w:val="auto"/>
          <w:highlight w:val="none"/>
        </w:rPr>
      </w:r>
      <w:r/>
    </w:p>
    <w:p>
      <w:pPr>
        <w:rPr>
          <w:color w:val="auto"/>
          <w:highlight w:val="none"/>
        </w:rPr>
      </w:pPr>
      <w:r>
        <w:rPr>
          <w:color w:val="auto"/>
          <w:highlight w:val="none"/>
        </w:rPr>
      </w:r>
      <w:r>
        <w:rPr>
          <w:color w:val="auto"/>
          <w:highlight w:val="none"/>
        </w:rPr>
      </w:r>
      <w:r/>
    </w:p>
    <w:p>
      <w:pPr>
        <w:jc w:val="center"/>
        <w:spacing w:line="360" w:lineRule="auto"/>
        <w:rPr>
          <w:b/>
          <w:color w:val="auto"/>
          <w:sz w:val="32"/>
          <w:highlight w:val="none"/>
        </w:rPr>
      </w:pPr>
      <w:r>
        <w:rPr>
          <w:rFonts w:hint="eastAsia"/>
          <w:b/>
          <w:color w:val="auto"/>
          <w:sz w:val="32"/>
          <w:highlight w:val="none"/>
        </w:rPr>
        <w:t xml:space="preserve">苏州</w:t>
      </w:r>
      <w:r>
        <w:rPr>
          <w:rFonts w:hint="eastAsia"/>
          <w:b/>
          <w:color w:val="auto"/>
          <w:sz w:val="32"/>
          <w:highlight w:val="none"/>
        </w:rPr>
        <w:t xml:space="preserve">久诺招</w:t>
      </w:r>
      <w:r>
        <w:rPr>
          <w:rFonts w:hint="eastAsia"/>
          <w:b/>
          <w:color w:val="auto"/>
          <w:sz w:val="32"/>
          <w:highlight w:val="none"/>
        </w:rPr>
        <w:t xml:space="preserve">投标咨询服务有限公司</w:t>
      </w:r>
      <w:r>
        <w:rPr>
          <w:color w:val="auto"/>
          <w:highlight w:val="none"/>
        </w:rPr>
      </w:r>
      <w:r/>
    </w:p>
    <w:p>
      <w:pPr>
        <w:jc w:val="center"/>
        <w:rPr>
          <w:color w:val="auto"/>
          <w:highlight w:val="none"/>
        </w:rPr>
      </w:pPr>
      <w:r>
        <w:rPr>
          <w:rFonts w:hint="eastAsia"/>
          <w:b/>
          <w:color w:val="auto"/>
          <w:sz w:val="32"/>
          <w:highlight w:val="none"/>
        </w:rPr>
        <w:t xml:space="preserve">二〇二六年五月</w:t>
      </w:r>
      <w:r>
        <w:rPr>
          <w:color w:val="auto"/>
          <w:highlight w:val="none"/>
        </w:rPr>
      </w:r>
      <w:r/>
    </w:p>
    <w:p>
      <w:pPr>
        <w:rPr>
          <w:b/>
          <w:bCs/>
          <w:color w:val="auto"/>
          <w:sz w:val="36"/>
          <w:szCs w:val="36"/>
          <w:highlight w:val="none"/>
        </w:rPr>
      </w:pPr>
      <w:r>
        <w:rPr>
          <w:rFonts w:hint="eastAsia"/>
          <w:b/>
          <w:bCs/>
          <w:color w:val="auto"/>
          <w:sz w:val="36"/>
          <w:szCs w:val="36"/>
          <w:highlight w:val="none"/>
        </w:rPr>
        <w:br w:type="page" w:clear="all"/>
      </w:r>
      <w:r>
        <w:rPr>
          <w:color w:val="auto"/>
          <w:highlight w:val="none"/>
        </w:rPr>
      </w:r>
      <w:r/>
    </w:p>
    <w:p>
      <w:pPr>
        <w:jc w:val="center"/>
        <w:rPr>
          <w:b/>
          <w:bCs/>
          <w:color w:val="auto"/>
          <w:sz w:val="36"/>
          <w:szCs w:val="36"/>
          <w:highlight w:val="none"/>
        </w:rPr>
      </w:pPr>
      <w:r>
        <w:rPr>
          <w:rFonts w:hint="eastAsia"/>
          <w:b/>
          <w:bCs/>
          <w:color w:val="auto"/>
          <w:sz w:val="36"/>
          <w:szCs w:val="36"/>
          <w:highlight w:val="none"/>
        </w:rPr>
        <w:t xml:space="preserve">前附表</w:t>
      </w:r>
      <w:r>
        <w:rPr>
          <w:color w:val="auto"/>
          <w:highlight w:val="none"/>
        </w:rPr>
      </w:r>
      <w:r/>
    </w:p>
    <w:tbl>
      <w:tblPr>
        <w:tblW w:w="9864" w:type="dxa"/>
        <w:jc w:val="center"/>
        <w:tblLayout w:type="fixed"/>
        <w:tblLook w:val="04A0" w:firstRow="1" w:lastRow="0" w:firstColumn="1" w:lastColumn="0" w:noHBand="0" w:noVBand="1"/>
      </w:tblPr>
      <w:tblGrid>
        <w:gridCol w:w="851"/>
        <w:gridCol w:w="1871"/>
        <w:gridCol w:w="7142"/>
      </w:tblGrid>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1"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序号</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1"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名称</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42"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内容</w:t>
            </w:r>
            <w:r>
              <w:rPr>
                <w:color w:val="auto"/>
                <w:highlight w:val="none"/>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1"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1"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项目编号</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42" w:type="dxa"/>
            <w:vAlign w:val="center"/>
            <w:textDirection w:val="lrTb"/>
            <w:noWrap w:val="false"/>
          </w:tcPr>
          <w:p>
            <w:pPr>
              <w:jc w:val="left"/>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JSZC-320507-SZJN-G2026-0003</w:t>
            </w:r>
            <w:r>
              <w:rPr>
                <w:color w:val="auto"/>
                <w:highlight w:val="none"/>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1"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2</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1"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项目名称</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42" w:type="dxa"/>
            <w:vAlign w:val="center"/>
            <w:textDirection w:val="lrTb"/>
            <w:noWrap w:val="false"/>
          </w:tcPr>
          <w:p>
            <w:pPr>
              <w:jc w:val="left"/>
              <w:spacing w:line="400" w:lineRule="exact"/>
              <w:rPr>
                <w:rFonts w:ascii="宋体" w:hAnsi="宋体"/>
                <w:color w:val="auto"/>
                <w:sz w:val="24"/>
                <w:szCs w:val="24"/>
                <w:highlight w:val="none"/>
              </w:rPr>
            </w:pPr>
            <w:r>
              <w:rPr>
                <w:rFonts w:hint="eastAsia" w:ascii="宋体" w:hAnsi="宋体"/>
                <w:color w:val="auto"/>
                <w:sz w:val="24"/>
                <w:szCs w:val="24"/>
                <w:highlight w:val="none"/>
                <w:lang w:val="zh-CN"/>
              </w:rPr>
              <w:t xml:space="preserve">2026年实验室仪器购置</w:t>
            </w:r>
            <w:r>
              <w:rPr>
                <w:color w:val="auto"/>
                <w:highlight w:val="none"/>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1" w:type="dxa"/>
            <w:vAlign w:val="center"/>
            <w:textDirection w:val="lrTb"/>
            <w:noWrap w:val="false"/>
          </w:tcPr>
          <w:p>
            <w:pPr>
              <w:jc w:val="center"/>
              <w:spacing w:line="400" w:lineRule="exact"/>
              <w:tabs>
                <w:tab w:val="left" w:pos="252" w:leader="none"/>
              </w:tabs>
              <w:rPr>
                <w:rFonts w:ascii="宋体" w:hAnsi="宋体"/>
                <w:color w:val="auto"/>
                <w:sz w:val="24"/>
                <w:szCs w:val="24"/>
                <w:highlight w:val="none"/>
              </w:rPr>
            </w:pPr>
            <w:r>
              <w:rPr>
                <w:rFonts w:hint="eastAsia" w:ascii="宋体" w:hAnsi="宋体"/>
                <w:color w:val="auto"/>
                <w:sz w:val="24"/>
                <w:szCs w:val="24"/>
                <w:highlight w:val="none"/>
              </w:rPr>
              <w:t xml:space="preserve">3</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1"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采购代理机构</w:t>
            </w:r>
            <w:r>
              <w:rPr>
                <w:color w:val="auto"/>
                <w:highlight w:val="none"/>
              </w:rPr>
            </w:r>
            <w:r/>
          </w:p>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名称及地址</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42" w:type="dxa"/>
            <w:vAlign w:val="center"/>
            <w:textDirection w:val="lrTb"/>
            <w:noWrap w:val="false"/>
          </w:tcPr>
          <w:p>
            <w:pPr>
              <w:jc w:val="left"/>
              <w:spacing w:line="400" w:lineRule="exact"/>
              <w:rPr>
                <w:rFonts w:ascii="宋体" w:hAnsi="宋体"/>
                <w:color w:val="auto"/>
                <w:sz w:val="24"/>
                <w:szCs w:val="24"/>
                <w:highlight w:val="none"/>
              </w:rPr>
            </w:pPr>
            <w:r>
              <w:rPr>
                <w:rFonts w:hint="eastAsia" w:ascii="宋体" w:hAnsi="宋体"/>
                <w:color w:val="auto"/>
                <w:sz w:val="24"/>
                <w:szCs w:val="24"/>
                <w:highlight w:val="none"/>
                <w:lang w:val="zh-CN"/>
              </w:rPr>
              <w:t xml:space="preserve">名称：苏州</w:t>
            </w:r>
            <w:r>
              <w:rPr>
                <w:rFonts w:hint="eastAsia" w:ascii="宋体" w:hAnsi="宋体"/>
                <w:color w:val="auto"/>
                <w:sz w:val="24"/>
                <w:szCs w:val="24"/>
                <w:highlight w:val="none"/>
                <w:lang w:val="zh-CN"/>
              </w:rPr>
              <w:t xml:space="preserve">久诺招</w:t>
            </w:r>
            <w:r>
              <w:rPr>
                <w:rFonts w:hint="eastAsia" w:ascii="宋体" w:hAnsi="宋体"/>
                <w:color w:val="auto"/>
                <w:sz w:val="24"/>
                <w:szCs w:val="24"/>
                <w:highlight w:val="none"/>
                <w:lang w:val="zh-CN"/>
              </w:rPr>
              <w:t xml:space="preserve">投标咨询服务有限公司</w:t>
            </w:r>
            <w:r>
              <w:rPr>
                <w:color w:val="auto"/>
                <w:highlight w:val="none"/>
              </w:rPr>
            </w:r>
            <w:r/>
          </w:p>
          <w:p>
            <w:pPr>
              <w:jc w:val="left"/>
              <w:spacing w:line="400" w:lineRule="exact"/>
              <w:rPr>
                <w:rFonts w:ascii="宋体" w:hAnsi="宋体"/>
                <w:color w:val="auto"/>
                <w:sz w:val="24"/>
                <w:szCs w:val="24"/>
                <w:highlight w:val="none"/>
              </w:rPr>
            </w:pPr>
            <w:r>
              <w:rPr>
                <w:rFonts w:hint="eastAsia" w:ascii="宋体" w:hAnsi="宋体"/>
                <w:color w:val="auto"/>
                <w:sz w:val="24"/>
                <w:szCs w:val="24"/>
                <w:highlight w:val="none"/>
                <w:lang w:val="zh-CN"/>
              </w:rPr>
              <w:t xml:space="preserve">地址：苏州市高新区</w:t>
            </w:r>
            <w:r>
              <w:rPr>
                <w:rFonts w:hint="eastAsia" w:ascii="宋体" w:hAnsi="宋体"/>
                <w:color w:val="auto"/>
                <w:sz w:val="24"/>
                <w:szCs w:val="24"/>
                <w:highlight w:val="none"/>
                <w:lang w:val="zh-CN"/>
              </w:rPr>
              <w:t xml:space="preserve">狮</w:t>
            </w:r>
            <w:r>
              <w:rPr>
                <w:rFonts w:hint="eastAsia" w:ascii="宋体" w:hAnsi="宋体"/>
                <w:color w:val="auto"/>
                <w:sz w:val="24"/>
                <w:szCs w:val="24"/>
                <w:highlight w:val="none"/>
                <w:lang w:val="zh-CN"/>
              </w:rPr>
              <w:t xml:space="preserve">山路金狮大厦一楼103室</w:t>
            </w:r>
            <w:r>
              <w:rPr>
                <w:color w:val="auto"/>
                <w:highlight w:val="none"/>
              </w:rPr>
            </w:r>
            <w:r/>
          </w:p>
          <w:p>
            <w:pPr>
              <w:jc w:val="left"/>
              <w:spacing w:line="400" w:lineRule="exact"/>
              <w:rPr>
                <w:rFonts w:ascii="宋体" w:hAnsi="宋体"/>
                <w:color w:val="auto"/>
                <w:sz w:val="24"/>
                <w:szCs w:val="24"/>
                <w:highlight w:val="none"/>
              </w:rPr>
            </w:pPr>
            <w:r>
              <w:rPr>
                <w:rFonts w:hint="eastAsia" w:ascii="宋体" w:hAnsi="宋体"/>
                <w:color w:val="auto"/>
                <w:sz w:val="24"/>
                <w:szCs w:val="24"/>
                <w:highlight w:val="none"/>
                <w:lang w:val="zh-CN"/>
              </w:rPr>
              <w:t xml:space="preserve">联系人：张伟</w:t>
            </w:r>
            <w:r>
              <w:rPr>
                <w:color w:val="auto"/>
                <w:highlight w:val="none"/>
              </w:rPr>
            </w:r>
            <w:r/>
          </w:p>
          <w:p>
            <w:pPr>
              <w:jc w:val="left"/>
              <w:spacing w:line="400" w:lineRule="exact"/>
              <w:rPr>
                <w:rFonts w:ascii="宋体" w:hAnsi="宋体"/>
                <w:color w:val="auto"/>
                <w:sz w:val="24"/>
                <w:szCs w:val="24"/>
                <w:highlight w:val="none"/>
              </w:rPr>
            </w:pPr>
            <w:r>
              <w:rPr>
                <w:rFonts w:hint="eastAsia" w:ascii="宋体" w:hAnsi="宋体"/>
                <w:color w:val="auto"/>
                <w:sz w:val="24"/>
                <w:szCs w:val="24"/>
                <w:highlight w:val="none"/>
                <w:lang w:val="zh-CN"/>
              </w:rPr>
              <w:t xml:space="preserve">联系电话：</w:t>
            </w:r>
            <w:r>
              <w:rPr>
                <w:rFonts w:ascii="宋体" w:hAnsi="宋体" w:cs="宋体"/>
                <w:color w:val="auto"/>
                <w:sz w:val="24"/>
                <w:szCs w:val="24"/>
                <w:highlight w:val="none"/>
                <w:shd w:val="clear" w:color="auto" w:fill="ffffff"/>
              </w:rPr>
              <w:t xml:space="preserve">0512</w:t>
            </w:r>
            <w:r>
              <w:rPr>
                <w:rFonts w:hint="eastAsia" w:ascii="宋体" w:hAnsi="宋体" w:cs="宋体"/>
                <w:color w:val="auto"/>
                <w:sz w:val="24"/>
                <w:szCs w:val="24"/>
                <w:highlight w:val="none"/>
                <w:shd w:val="clear" w:color="auto" w:fill="ffffff"/>
              </w:rPr>
              <w:t xml:space="preserve">-</w:t>
            </w:r>
            <w:r>
              <w:rPr>
                <w:rFonts w:ascii="宋体" w:hAnsi="宋体" w:cs="宋体"/>
                <w:color w:val="auto"/>
                <w:sz w:val="24"/>
                <w:szCs w:val="24"/>
                <w:highlight w:val="none"/>
                <w:shd w:val="clear" w:color="auto" w:fill="ffffff"/>
              </w:rPr>
              <w:t xml:space="preserve">63274291</w:t>
            </w:r>
            <w:r>
              <w:rPr>
                <w:color w:val="auto"/>
                <w:highlight w:val="none"/>
              </w:rPr>
            </w:r>
            <w:r/>
          </w:p>
        </w:tc>
      </w:tr>
      <w:tr>
        <w:trPr>
          <w:jc w:val="center"/>
          <w:trHeight w:val="680"/>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1"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4</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1"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olor w:val="auto"/>
                <w:sz w:val="24"/>
                <w:szCs w:val="24"/>
                <w:highlight w:val="none"/>
              </w:rPr>
              <w:t xml:space="preserve">采购人</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42" w:type="dxa"/>
            <w:vAlign w:val="center"/>
            <w:textDirection w:val="lrTb"/>
            <w:noWrap w:val="false"/>
          </w:tcPr>
          <w:p>
            <w:pPr>
              <w:jc w:val="left"/>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名称：苏州市相城生态环境局</w:t>
            </w:r>
            <w:r>
              <w:rPr>
                <w:color w:val="auto"/>
                <w:highlight w:val="none"/>
              </w:rPr>
            </w:r>
            <w:r/>
          </w:p>
          <w:p>
            <w:pPr>
              <w:jc w:val="left"/>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联系人：殷小伟</w:t>
            </w:r>
            <w:r>
              <w:rPr>
                <w:color w:val="auto"/>
                <w:highlight w:val="none"/>
              </w:rPr>
            </w:r>
            <w:r/>
          </w:p>
          <w:p>
            <w:pPr>
              <w:jc w:val="left"/>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联系电话：0512-66156159</w:t>
            </w:r>
            <w:r>
              <w:rPr>
                <w:color w:val="auto"/>
                <w:highlight w:val="none"/>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1"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5</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1"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olor w:val="auto"/>
                <w:sz w:val="24"/>
                <w:szCs w:val="24"/>
                <w:highlight w:val="none"/>
              </w:rPr>
              <w:t xml:space="preserve">标书组成</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42" w:type="dxa"/>
            <w:vAlign w:val="center"/>
            <w:textDirection w:val="lrTb"/>
            <w:noWrap w:val="false"/>
          </w:tcPr>
          <w:p>
            <w:pPr>
              <w:jc w:val="left"/>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详见招标文件第二章</w:t>
            </w:r>
            <w:r>
              <w:rPr>
                <w:color w:val="auto"/>
                <w:highlight w:val="none"/>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1"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6</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1"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olor w:val="auto"/>
                <w:sz w:val="24"/>
                <w:szCs w:val="24"/>
                <w:highlight w:val="none"/>
              </w:rPr>
              <w:t xml:space="preserve">投标保证金</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42" w:type="dxa"/>
            <w:vAlign w:val="center"/>
            <w:textDirection w:val="lrTb"/>
            <w:noWrap w:val="false"/>
          </w:tcPr>
          <w:p>
            <w:pPr>
              <w:jc w:val="left"/>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本项目不收取投标保证金</w:t>
            </w:r>
            <w:r>
              <w:rPr>
                <w:color w:val="auto"/>
                <w:highlight w:val="none"/>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1"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7</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1"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投标有效期</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42" w:type="dxa"/>
            <w:vAlign w:val="center"/>
            <w:textDirection w:val="lrTb"/>
            <w:noWrap w:val="false"/>
          </w:tcPr>
          <w:p>
            <w:pPr>
              <w:jc w:val="left"/>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九十天（日历日）</w:t>
            </w:r>
            <w:r>
              <w:rPr>
                <w:color w:val="auto"/>
                <w:highlight w:val="none"/>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1"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8</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1"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获取招标文件</w:t>
            </w:r>
            <w:r>
              <w:rPr>
                <w:color w:val="auto"/>
                <w:highlight w:val="none"/>
              </w:rPr>
            </w:r>
            <w:r/>
          </w:p>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时间</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42" w:type="dxa"/>
            <w:vAlign w:val="center"/>
            <w:textDirection w:val="lrTb"/>
            <w:noWrap w:val="false"/>
          </w:tcPr>
          <w:p>
            <w:pPr>
              <w:jc w:val="left"/>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公告上网之日起五个工作日</w:t>
            </w:r>
            <w:r>
              <w:rPr>
                <w:color w:val="auto"/>
                <w:highlight w:val="none"/>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1"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9</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1"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投标文件网上</w:t>
            </w:r>
            <w:r>
              <w:rPr>
                <w:color w:val="auto"/>
                <w:highlight w:val="none"/>
              </w:rPr>
            </w:r>
            <w:r/>
          </w:p>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提交截止时间</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42" w:type="dxa"/>
            <w:vAlign w:val="center"/>
            <w:textDirection w:val="lrTb"/>
            <w:noWrap w:val="false"/>
          </w:tcPr>
          <w:p>
            <w:pPr>
              <w:jc w:val="left"/>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2026年06月16</w:t>
            </w:r>
            <w:r>
              <w:rPr>
                <w:rFonts w:hint="eastAsia" w:ascii="宋体" w:hAnsi="宋体"/>
                <w:color w:val="auto"/>
                <w:sz w:val="24"/>
                <w:szCs w:val="24"/>
                <w:highlight w:val="none"/>
              </w:rPr>
              <w:t xml:space="preserve">日</w:t>
            </w:r>
            <w:r>
              <w:rPr>
                <w:rFonts w:hint="eastAsia" w:ascii="宋体" w:hAnsi="宋体"/>
                <w:color w:val="auto"/>
                <w:sz w:val="24"/>
                <w:szCs w:val="24"/>
                <w:highlight w:val="none"/>
                <w:u w:val="single"/>
              </w:rPr>
              <w:t xml:space="preserve">13点30分</w:t>
            </w:r>
            <w:r>
              <w:rPr>
                <w:rFonts w:hint="eastAsia" w:ascii="宋体" w:hAnsi="宋体"/>
                <w:color w:val="auto"/>
                <w:sz w:val="24"/>
                <w:szCs w:val="24"/>
                <w:highlight w:val="none"/>
              </w:rPr>
              <w:t xml:space="preserve">（北京时间） </w:t>
            </w:r>
            <w:r>
              <w:rPr>
                <w:color w:val="auto"/>
                <w:highlight w:val="none"/>
              </w:rPr>
            </w:r>
            <w:r/>
          </w:p>
          <w:p>
            <w:pPr>
              <w:jc w:val="left"/>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投标文件必须在截止时间前完成提交（上传），逾期提交（上传）的投标文件恕不接受。</w:t>
            </w:r>
            <w:r>
              <w:rPr>
                <w:color w:val="auto"/>
                <w:highlight w:val="none"/>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1"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10</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1"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开标时间</w:t>
            </w:r>
            <w:r>
              <w:rPr>
                <w:color w:val="auto"/>
                <w:highlight w:val="none"/>
              </w:rPr>
            </w:r>
            <w:r/>
          </w:p>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开标地点</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42" w:type="dxa"/>
            <w:vAlign w:val="center"/>
            <w:textDirection w:val="lrTb"/>
            <w:noWrap w:val="false"/>
          </w:tcPr>
          <w:p>
            <w:pPr>
              <w:jc w:val="left"/>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2026年06月16</w:t>
            </w:r>
            <w:r>
              <w:rPr>
                <w:rFonts w:hint="eastAsia" w:ascii="宋体" w:hAnsi="宋体" w:cs="宋体"/>
                <w:color w:val="auto"/>
                <w:sz w:val="24"/>
                <w:szCs w:val="24"/>
                <w:highlight w:val="none"/>
              </w:rPr>
              <w:t xml:space="preserve">日</w:t>
            </w:r>
            <w:r>
              <w:rPr>
                <w:rFonts w:hint="eastAsia" w:ascii="宋体" w:hAnsi="宋体"/>
                <w:color w:val="auto"/>
                <w:sz w:val="24"/>
                <w:szCs w:val="24"/>
                <w:highlight w:val="none"/>
                <w:u w:val="single"/>
              </w:rPr>
              <w:t xml:space="preserve">13点30分</w:t>
            </w:r>
            <w:r>
              <w:rPr>
                <w:rFonts w:hint="eastAsia" w:ascii="宋体" w:hAnsi="宋体" w:cs="宋体"/>
                <w:color w:val="auto"/>
                <w:sz w:val="24"/>
                <w:szCs w:val="24"/>
                <w:highlight w:val="none"/>
              </w:rPr>
              <w:t xml:space="preserve">（北京时间）</w:t>
            </w:r>
            <w:r>
              <w:rPr>
                <w:color w:val="auto"/>
                <w:highlight w:val="none"/>
              </w:rPr>
            </w:r>
            <w:r/>
          </w:p>
          <w:p>
            <w:pPr>
              <w:jc w:val="left"/>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“苏</w:t>
            </w:r>
            <w:r>
              <w:rPr>
                <w:rFonts w:hint="eastAsia" w:ascii="宋体" w:hAnsi="宋体" w:cs="宋体"/>
                <w:color w:val="auto"/>
                <w:sz w:val="24"/>
                <w:szCs w:val="24"/>
                <w:highlight w:val="none"/>
              </w:rPr>
              <w:t xml:space="preserve">采云</w:t>
            </w:r>
            <w:r>
              <w:rPr>
                <w:rFonts w:hint="eastAsia" w:ascii="宋体" w:hAnsi="宋体" w:cs="宋体"/>
                <w:color w:val="auto"/>
                <w:sz w:val="24"/>
                <w:szCs w:val="24"/>
                <w:highlight w:val="none"/>
              </w:rPr>
              <w:t xml:space="preserve">”系统（网址：http://jszfcg.jsczt.cn/）</w:t>
            </w:r>
            <w:r>
              <w:rPr>
                <w:color w:val="auto"/>
                <w:highlight w:val="none"/>
              </w:rPr>
            </w:r>
            <w:r/>
          </w:p>
          <w:p>
            <w:pPr>
              <w:jc w:val="left"/>
              <w:spacing w:line="400" w:lineRule="exact"/>
              <w:rPr>
                <w:rFonts w:ascii="宋体" w:hAnsi="宋体"/>
                <w:color w:val="auto"/>
                <w:sz w:val="24"/>
                <w:szCs w:val="24"/>
                <w:highlight w:val="none"/>
              </w:rPr>
            </w:pPr>
            <w:r>
              <w:rPr>
                <w:rFonts w:hint="eastAsia" w:ascii="宋体" w:hAnsi="宋体" w:cs="宋体"/>
                <w:b/>
                <w:color w:val="auto"/>
                <w:sz w:val="24"/>
                <w:szCs w:val="24"/>
                <w:highlight w:val="none"/>
              </w:rPr>
              <w:t xml:space="preserve">本项目为不见面开标项目，开标阶段供应商在【供应商解密】环节必须使用 CA证书解密电子投标文件，如在系统规定的解密时间（投标文件提交截止时间后30分钟）内未能完成解密的视为放弃投标。</w:t>
            </w:r>
            <w:r>
              <w:rPr>
                <w:color w:val="auto"/>
                <w:highlight w:val="none"/>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1"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11</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1"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评标时间</w:t>
            </w:r>
            <w:r>
              <w:rPr>
                <w:color w:val="auto"/>
                <w:highlight w:val="none"/>
              </w:rPr>
            </w:r>
            <w:r/>
          </w:p>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评标地点</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42" w:type="dxa"/>
            <w:vAlign w:val="center"/>
            <w:textDirection w:val="lrTb"/>
            <w:noWrap w:val="false"/>
          </w:tcPr>
          <w:p>
            <w:pPr>
              <w:jc w:val="left"/>
              <w:spacing w:line="400" w:lineRule="exact"/>
              <w:rPr>
                <w:rFonts w:ascii="宋体" w:hAnsi="宋体" w:cs="Arial"/>
                <w:color w:val="auto"/>
                <w:sz w:val="24"/>
                <w:szCs w:val="24"/>
                <w:highlight w:val="none"/>
              </w:rPr>
            </w:pPr>
            <w:r>
              <w:rPr>
                <w:rFonts w:hint="eastAsia" w:ascii="宋体" w:hAnsi="宋体"/>
                <w:color w:val="auto"/>
                <w:sz w:val="24"/>
                <w:szCs w:val="24"/>
                <w:highlight w:val="none"/>
              </w:rPr>
              <w:t xml:space="preserve">2026年06月</w:t>
            </w:r>
            <w:r>
              <w:rPr>
                <w:rFonts w:hint="eastAsia" w:ascii="宋体" w:hAnsi="宋体"/>
                <w:color w:val="auto"/>
                <w:sz w:val="24"/>
                <w:szCs w:val="24"/>
                <w:highlight w:val="none"/>
              </w:rPr>
              <w:t xml:space="preserve">16</w:t>
            </w:r>
            <w:r>
              <w:rPr>
                <w:rFonts w:hint="eastAsia" w:ascii="宋体" w:hAnsi="宋体"/>
                <w:color w:val="auto"/>
                <w:sz w:val="24"/>
                <w:szCs w:val="24"/>
                <w:highlight w:val="none"/>
              </w:rPr>
              <w:t xml:space="preserve">日</w:t>
            </w:r>
            <w:r>
              <w:rPr>
                <w:rFonts w:hint="eastAsia" w:ascii="宋体" w:hAnsi="宋体"/>
                <w:color w:val="auto"/>
                <w:sz w:val="24"/>
                <w:szCs w:val="24"/>
                <w:highlight w:val="none"/>
                <w:u w:val="single"/>
              </w:rPr>
              <w:t xml:space="preserve">13点30分</w:t>
            </w:r>
            <w:r>
              <w:rPr>
                <w:rFonts w:hint="eastAsia" w:ascii="宋体" w:hAnsi="宋体"/>
                <w:color w:val="auto"/>
                <w:sz w:val="24"/>
                <w:szCs w:val="24"/>
                <w:highlight w:val="none"/>
              </w:rPr>
              <w:t xml:space="preserve">（北</w:t>
            </w:r>
            <w:r>
              <w:rPr>
                <w:rFonts w:hint="eastAsia" w:ascii="宋体" w:hAnsi="宋体" w:cs="Arial"/>
                <w:color w:val="auto"/>
                <w:sz w:val="24"/>
                <w:szCs w:val="24"/>
                <w:highlight w:val="none"/>
              </w:rPr>
              <w:t xml:space="preserve">京时间）</w:t>
            </w:r>
            <w:r>
              <w:rPr>
                <w:color w:val="auto"/>
                <w:highlight w:val="none"/>
              </w:rPr>
            </w:r>
            <w:r/>
          </w:p>
          <w:p>
            <w:pPr>
              <w:jc w:val="left"/>
              <w:spacing w:line="400" w:lineRule="exact"/>
              <w:rPr>
                <w:rFonts w:ascii="宋体" w:hAnsi="宋体"/>
                <w:color w:val="auto"/>
                <w:sz w:val="24"/>
                <w:szCs w:val="24"/>
                <w:highlight w:val="none"/>
              </w:rPr>
            </w:pPr>
            <w:r>
              <w:rPr>
                <w:rFonts w:hint="eastAsia" w:ascii="宋体" w:hAnsi="宋体" w:cs="Arial"/>
                <w:color w:val="auto"/>
                <w:sz w:val="24"/>
                <w:szCs w:val="24"/>
                <w:highlight w:val="none"/>
              </w:rPr>
              <w:t xml:space="preserve">苏州市市辖区【狮山科技馆】不见面开标室（虚拟开标室） </w:t>
            </w:r>
            <w:r>
              <w:rPr>
                <w:color w:val="auto"/>
                <w:highlight w:val="none"/>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1"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12</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1"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投标文件份数</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42" w:type="dxa"/>
            <w:vAlign w:val="center"/>
            <w:textDirection w:val="lrTb"/>
            <w:noWrap w:val="false"/>
          </w:tcPr>
          <w:p>
            <w:pPr>
              <w:jc w:val="left"/>
              <w:spacing w:line="400" w:lineRule="exact"/>
              <w:rPr>
                <w:rFonts w:ascii="宋体" w:hAnsi="宋体"/>
                <w:color w:val="auto"/>
                <w:sz w:val="24"/>
                <w:szCs w:val="24"/>
                <w:highlight w:val="none"/>
              </w:rPr>
            </w:pPr>
            <w:r>
              <w:rPr>
                <w:rFonts w:hint="eastAsia" w:ascii="宋体" w:hAnsi="宋体" w:cs="Arial"/>
                <w:color w:val="auto"/>
                <w:sz w:val="24"/>
                <w:szCs w:val="24"/>
                <w:highlight w:val="none"/>
              </w:rPr>
              <w:t xml:space="preserve">本项目采用电子投标文件，投标人按照招标文件要求制作上传电子投标文件，投标人无需提供纸质投标文件。</w:t>
            </w:r>
            <w:r>
              <w:rPr>
                <w:color w:val="auto"/>
                <w:highlight w:val="none"/>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1"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13</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1"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投标报价本位币</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42" w:type="dxa"/>
            <w:vAlign w:val="center"/>
            <w:textDirection w:val="lrTb"/>
            <w:noWrap w:val="false"/>
          </w:tcPr>
          <w:p>
            <w:pPr>
              <w:jc w:val="left"/>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人民币</w:t>
            </w:r>
            <w:r>
              <w:rPr>
                <w:color w:val="auto"/>
                <w:highlight w:val="none"/>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1"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14</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1"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中标通知书</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42" w:type="dxa"/>
            <w:vAlign w:val="center"/>
            <w:textDirection w:val="lrTb"/>
            <w:noWrap w:val="false"/>
          </w:tcPr>
          <w:p>
            <w:pPr>
              <w:pStyle w:val="847"/>
              <w:ind w:firstLine="0"/>
              <w:spacing w:line="400" w:lineRule="exact"/>
              <w:rPr>
                <w:color w:val="auto"/>
                <w:sz w:val="24"/>
                <w:szCs w:val="24"/>
                <w:highlight w:val="none"/>
              </w:rPr>
            </w:pPr>
            <w:r>
              <w:rPr>
                <w:rFonts w:hint="eastAsia"/>
                <w:color w:val="auto"/>
                <w:sz w:val="24"/>
                <w:szCs w:val="24"/>
                <w:highlight w:val="none"/>
                <w:lang w:eastAsia="zh-CN"/>
              </w:rPr>
              <w:t xml:space="preserve">确定出中标人后，采购代理机构在法定时间内向中标人发出中标通知书。中标通知书将成为合同的组成部分。</w:t>
            </w:r>
            <w:r>
              <w:rPr>
                <w:color w:val="auto"/>
                <w:highlight w:val="none"/>
              </w:rPr>
            </w:r>
            <w:r/>
          </w:p>
          <w:p>
            <w:pPr>
              <w:pStyle w:val="847"/>
              <w:ind w:firstLine="0"/>
              <w:spacing w:line="400" w:lineRule="exact"/>
              <w:rPr>
                <w:color w:val="auto"/>
                <w:sz w:val="24"/>
                <w:szCs w:val="24"/>
                <w:highlight w:val="none"/>
              </w:rPr>
            </w:pPr>
            <w:r>
              <w:rPr>
                <w:rFonts w:hint="eastAsia"/>
                <w:b/>
                <w:color w:val="auto"/>
                <w:sz w:val="24"/>
                <w:szCs w:val="24"/>
                <w:highlight w:val="none"/>
                <w:lang w:eastAsia="zh-CN"/>
              </w:rPr>
              <w:t xml:space="preserve">请中标人在中标结果公告届满之日起30日内,使用CA证书登录“苏</w:t>
            </w:r>
            <w:r>
              <w:rPr>
                <w:rFonts w:hint="eastAsia"/>
                <w:b/>
                <w:color w:val="auto"/>
                <w:sz w:val="24"/>
                <w:szCs w:val="24"/>
                <w:highlight w:val="none"/>
                <w:lang w:eastAsia="zh-CN"/>
              </w:rPr>
              <w:t xml:space="preserve">采云</w:t>
            </w:r>
            <w:r>
              <w:rPr>
                <w:rFonts w:hint="eastAsia"/>
                <w:b/>
                <w:color w:val="auto"/>
                <w:sz w:val="24"/>
                <w:szCs w:val="24"/>
                <w:highlight w:val="none"/>
                <w:lang w:eastAsia="zh-CN"/>
              </w:rPr>
              <w:t xml:space="preserve">”系统及时下载中标通知书。</w:t>
            </w:r>
            <w:r>
              <w:rPr>
                <w:color w:val="auto"/>
                <w:highlight w:val="none"/>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1"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15</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1"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导致</w:t>
            </w:r>
            <w:r>
              <w:rPr>
                <w:rFonts w:hint="eastAsia" w:ascii="宋体" w:hAnsi="宋体"/>
                <w:color w:val="auto"/>
                <w:sz w:val="24"/>
                <w:szCs w:val="24"/>
                <w:highlight w:val="none"/>
              </w:rPr>
              <w:t xml:space="preserve">废标因素</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42" w:type="dxa"/>
            <w:vAlign w:val="center"/>
            <w:textDirection w:val="lrTb"/>
            <w:noWrap w:val="false"/>
          </w:tcPr>
          <w:p>
            <w:pPr>
              <w:jc w:val="left"/>
              <w:spacing w:line="400" w:lineRule="exact"/>
              <w:tabs>
                <w:tab w:val="left" w:pos="420" w:leader="none"/>
              </w:tabs>
              <w:rPr>
                <w:rFonts w:ascii="宋体" w:hAnsi="宋体"/>
                <w:color w:val="auto"/>
                <w:sz w:val="24"/>
                <w:szCs w:val="24"/>
                <w:highlight w:val="none"/>
              </w:rPr>
            </w:pPr>
            <w:r>
              <w:rPr>
                <w:rFonts w:hint="eastAsia" w:ascii="宋体" w:hAnsi="宋体"/>
                <w:color w:val="auto"/>
                <w:sz w:val="24"/>
                <w:szCs w:val="24"/>
                <w:highlight w:val="none"/>
              </w:rPr>
              <w:t xml:space="preserve">出现下列情形之一的，为废标： </w:t>
            </w:r>
            <w:r>
              <w:rPr>
                <w:color w:val="auto"/>
                <w:highlight w:val="none"/>
              </w:rPr>
            </w:r>
            <w:r/>
          </w:p>
          <w:p>
            <w:pPr>
              <w:jc w:val="left"/>
              <w:spacing w:line="400" w:lineRule="exact"/>
              <w:tabs>
                <w:tab w:val="left" w:pos="420" w:leader="none"/>
              </w:tabs>
              <w:rPr>
                <w:rFonts w:ascii="宋体" w:hAnsi="宋体"/>
                <w:color w:val="auto"/>
                <w:sz w:val="24"/>
                <w:szCs w:val="24"/>
                <w:highlight w:val="none"/>
              </w:rPr>
            </w:pPr>
            <w:r>
              <w:rPr>
                <w:rFonts w:hint="eastAsia" w:ascii="宋体" w:hAnsi="宋体"/>
                <w:color w:val="auto"/>
                <w:sz w:val="24"/>
                <w:szCs w:val="24"/>
                <w:highlight w:val="none"/>
              </w:rPr>
              <w:t xml:space="preserve">（一）符合专业条件的投标人或者对招标文件作实质响应的投标人不足三家的；</w:t>
            </w:r>
            <w:r>
              <w:rPr>
                <w:color w:val="auto"/>
                <w:highlight w:val="none"/>
              </w:rPr>
            </w:r>
            <w:r/>
          </w:p>
          <w:p>
            <w:pPr>
              <w:jc w:val="left"/>
              <w:spacing w:line="400" w:lineRule="exact"/>
              <w:tabs>
                <w:tab w:val="left" w:pos="420" w:leader="none"/>
              </w:tabs>
              <w:rPr>
                <w:rFonts w:ascii="宋体" w:hAnsi="宋体"/>
                <w:color w:val="auto"/>
                <w:sz w:val="24"/>
                <w:szCs w:val="24"/>
                <w:highlight w:val="none"/>
              </w:rPr>
            </w:pPr>
            <w:r>
              <w:rPr>
                <w:rFonts w:hint="eastAsia" w:ascii="宋体" w:hAnsi="宋体"/>
                <w:color w:val="auto"/>
                <w:sz w:val="24"/>
                <w:szCs w:val="24"/>
                <w:highlight w:val="none"/>
              </w:rPr>
              <w:t xml:space="preserve">（二）出现影响采购公正的违法、违规行为的； </w:t>
            </w:r>
            <w:r>
              <w:rPr>
                <w:color w:val="auto"/>
                <w:highlight w:val="none"/>
              </w:rPr>
            </w:r>
            <w:r/>
          </w:p>
          <w:p>
            <w:pPr>
              <w:jc w:val="left"/>
              <w:spacing w:line="400" w:lineRule="exact"/>
              <w:tabs>
                <w:tab w:val="left" w:pos="420" w:leader="none"/>
              </w:tabs>
              <w:rPr>
                <w:rFonts w:ascii="宋体" w:hAnsi="宋体"/>
                <w:color w:val="auto"/>
                <w:sz w:val="24"/>
                <w:szCs w:val="24"/>
                <w:highlight w:val="none"/>
              </w:rPr>
            </w:pPr>
            <w:r>
              <w:rPr>
                <w:rFonts w:hint="eastAsia" w:ascii="宋体" w:hAnsi="宋体"/>
                <w:color w:val="auto"/>
                <w:sz w:val="24"/>
                <w:szCs w:val="24"/>
                <w:highlight w:val="none"/>
              </w:rPr>
              <w:t xml:space="preserve">（三）投标人的报价均超过了采购预算，采购人不能支付的； </w:t>
            </w:r>
            <w:r>
              <w:rPr>
                <w:color w:val="auto"/>
                <w:highlight w:val="none"/>
              </w:rPr>
            </w:r>
            <w:r/>
          </w:p>
          <w:p>
            <w:pPr>
              <w:jc w:val="left"/>
              <w:spacing w:line="400" w:lineRule="exact"/>
              <w:tabs>
                <w:tab w:val="left" w:pos="420" w:leader="none"/>
              </w:tabs>
              <w:rPr>
                <w:rFonts w:ascii="宋体" w:hAnsi="宋体"/>
                <w:color w:val="auto"/>
                <w:sz w:val="24"/>
                <w:szCs w:val="24"/>
                <w:highlight w:val="none"/>
              </w:rPr>
            </w:pPr>
            <w:r>
              <w:rPr>
                <w:rFonts w:hint="eastAsia" w:ascii="宋体" w:hAnsi="宋体"/>
                <w:color w:val="auto"/>
                <w:sz w:val="24"/>
                <w:szCs w:val="24"/>
                <w:highlight w:val="none"/>
              </w:rPr>
              <w:t xml:space="preserve">（四）因重大变故，采购任务取消的。</w:t>
            </w:r>
            <w:r>
              <w:rPr>
                <w:color w:val="auto"/>
                <w:highlight w:val="none"/>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1"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16</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1"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导致无效标因素</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42" w:type="dxa"/>
            <w:vAlign w:val="center"/>
            <w:textDirection w:val="lrTb"/>
            <w:noWrap w:val="false"/>
          </w:tcPr>
          <w:p>
            <w:pPr>
              <w:jc w:val="left"/>
              <w:spacing w:line="400" w:lineRule="exact"/>
              <w:tabs>
                <w:tab w:val="left" w:pos="420" w:leader="none"/>
              </w:tabs>
              <w:rPr>
                <w:rFonts w:ascii="宋体" w:hAnsi="宋体"/>
                <w:color w:val="auto"/>
                <w:sz w:val="24"/>
                <w:szCs w:val="24"/>
                <w:highlight w:val="none"/>
              </w:rPr>
            </w:pPr>
            <w:r>
              <w:rPr>
                <w:rFonts w:hint="eastAsia" w:ascii="宋体" w:hAnsi="宋体"/>
                <w:color w:val="auto"/>
                <w:sz w:val="24"/>
                <w:szCs w:val="24"/>
                <w:highlight w:val="none"/>
              </w:rPr>
              <w:t xml:space="preserve">投标文件属下列情况之一的，在资格性、符合性检查时按照无效投标处理：</w:t>
            </w:r>
            <w:r>
              <w:rPr>
                <w:color w:val="auto"/>
                <w:highlight w:val="none"/>
              </w:rPr>
            </w:r>
            <w:r/>
          </w:p>
          <w:p>
            <w:pPr>
              <w:jc w:val="left"/>
              <w:spacing w:line="400" w:lineRule="exact"/>
              <w:tabs>
                <w:tab w:val="left" w:pos="420" w:leader="none"/>
              </w:tabs>
              <w:rPr>
                <w:rFonts w:ascii="宋体" w:hAnsi="宋体"/>
                <w:color w:val="auto"/>
                <w:sz w:val="24"/>
                <w:szCs w:val="24"/>
                <w:highlight w:val="none"/>
              </w:rPr>
            </w:pPr>
            <w:r>
              <w:rPr>
                <w:rFonts w:hint="eastAsia" w:ascii="宋体" w:hAnsi="宋体"/>
                <w:color w:val="auto"/>
                <w:sz w:val="24"/>
                <w:szCs w:val="24"/>
                <w:highlight w:val="none"/>
              </w:rPr>
              <w:t xml:space="preserve">（一）未按照招标文件规定要求签署、盖章的；</w:t>
            </w:r>
            <w:r>
              <w:rPr>
                <w:color w:val="auto"/>
                <w:highlight w:val="none"/>
              </w:rPr>
            </w:r>
            <w:r/>
          </w:p>
          <w:p>
            <w:pPr>
              <w:jc w:val="left"/>
              <w:spacing w:line="400" w:lineRule="exact"/>
              <w:tabs>
                <w:tab w:val="left" w:pos="420" w:leader="none"/>
              </w:tabs>
              <w:rPr>
                <w:rFonts w:ascii="宋体" w:hAnsi="宋体"/>
                <w:color w:val="auto"/>
                <w:sz w:val="24"/>
                <w:szCs w:val="24"/>
                <w:highlight w:val="none"/>
              </w:rPr>
            </w:pPr>
            <w:r>
              <w:rPr>
                <w:rFonts w:hint="eastAsia" w:ascii="宋体" w:hAnsi="宋体"/>
                <w:color w:val="auto"/>
                <w:sz w:val="24"/>
                <w:szCs w:val="24"/>
                <w:highlight w:val="none"/>
              </w:rPr>
              <w:t xml:space="preserve">（二）不具备招标文件中规定资格要求的；</w:t>
            </w:r>
            <w:r>
              <w:rPr>
                <w:color w:val="auto"/>
                <w:highlight w:val="none"/>
              </w:rPr>
            </w:r>
            <w:r/>
          </w:p>
          <w:p>
            <w:pPr>
              <w:jc w:val="left"/>
              <w:spacing w:line="400" w:lineRule="exact"/>
              <w:tabs>
                <w:tab w:val="left" w:pos="420" w:leader="none"/>
              </w:tabs>
              <w:rPr>
                <w:rFonts w:ascii="宋体" w:hAnsi="宋体"/>
                <w:color w:val="auto"/>
                <w:sz w:val="24"/>
                <w:szCs w:val="24"/>
                <w:highlight w:val="none"/>
              </w:rPr>
            </w:pPr>
            <w:r>
              <w:rPr>
                <w:rFonts w:hint="eastAsia" w:ascii="宋体" w:hAnsi="宋体"/>
                <w:color w:val="auto"/>
                <w:sz w:val="24"/>
                <w:szCs w:val="24"/>
                <w:highlight w:val="none"/>
              </w:rPr>
              <w:t xml:space="preserve">（三）报价超过招标文件中规定的预算金额或者最高限价的；</w:t>
            </w:r>
            <w:r>
              <w:rPr>
                <w:color w:val="auto"/>
                <w:highlight w:val="none"/>
              </w:rPr>
            </w:r>
            <w:r/>
          </w:p>
          <w:p>
            <w:pPr>
              <w:jc w:val="left"/>
              <w:spacing w:line="400" w:lineRule="exact"/>
              <w:tabs>
                <w:tab w:val="left" w:pos="420" w:leader="none"/>
              </w:tabs>
              <w:rPr>
                <w:rFonts w:ascii="宋体" w:hAnsi="宋体"/>
                <w:color w:val="auto"/>
                <w:sz w:val="24"/>
                <w:szCs w:val="24"/>
                <w:highlight w:val="none"/>
              </w:rPr>
            </w:pPr>
            <w:r>
              <w:rPr>
                <w:rFonts w:hint="eastAsia" w:ascii="宋体" w:hAnsi="宋体"/>
                <w:color w:val="auto"/>
                <w:sz w:val="24"/>
                <w:szCs w:val="24"/>
                <w:highlight w:val="none"/>
              </w:rPr>
              <w:t xml:space="preserve">（四）投标文件含有采购人不能接受的附加条件的；</w:t>
            </w:r>
            <w:r>
              <w:rPr>
                <w:color w:val="auto"/>
                <w:highlight w:val="none"/>
              </w:rPr>
            </w:r>
            <w:r/>
          </w:p>
          <w:p>
            <w:pPr>
              <w:jc w:val="left"/>
              <w:spacing w:line="400" w:lineRule="exact"/>
              <w:tabs>
                <w:tab w:val="left" w:pos="420" w:leader="none"/>
              </w:tabs>
              <w:rPr>
                <w:rFonts w:ascii="宋体" w:hAnsi="宋体"/>
                <w:color w:val="auto"/>
                <w:sz w:val="24"/>
                <w:szCs w:val="24"/>
                <w:highlight w:val="none"/>
              </w:rPr>
            </w:pPr>
            <w:r>
              <w:rPr>
                <w:rFonts w:hint="eastAsia" w:ascii="宋体" w:hAnsi="宋体"/>
                <w:color w:val="auto"/>
                <w:sz w:val="24"/>
                <w:szCs w:val="24"/>
                <w:highlight w:val="none"/>
              </w:rPr>
              <w:t xml:space="preserve">（五）法律、法规和招标文件规定的其他无效情形。</w:t>
            </w:r>
            <w:r>
              <w:rPr>
                <w:color w:val="auto"/>
                <w:highlight w:val="none"/>
              </w:rPr>
            </w:r>
            <w:r/>
          </w:p>
        </w:tc>
      </w:tr>
    </w:tbl>
    <w:p>
      <w:pPr>
        <w:rPr>
          <w:color w:val="auto"/>
          <w:highlight w:val="none"/>
        </w:rPr>
      </w:pPr>
      <w:r>
        <w:rPr>
          <w:color w:val="auto"/>
          <w:highlight w:val="none"/>
        </w:rPr>
      </w:r>
      <w:r>
        <w:rPr>
          <w:color w:val="auto"/>
          <w:highlight w:val="none"/>
        </w:rPr>
      </w:r>
      <w:r/>
    </w:p>
    <w:p>
      <w:pPr>
        <w:rPr>
          <w:b/>
          <w:bCs/>
          <w:color w:val="auto"/>
          <w:sz w:val="44"/>
          <w:szCs w:val="44"/>
          <w:highlight w:val="none"/>
        </w:rPr>
      </w:pPr>
      <w:r>
        <w:rPr>
          <w:rFonts w:hint="eastAsia"/>
          <w:b/>
          <w:bCs/>
          <w:color w:val="auto"/>
          <w:sz w:val="44"/>
          <w:szCs w:val="44"/>
          <w:highlight w:val="none"/>
        </w:rPr>
        <w:br w:type="page" w:clear="all"/>
      </w:r>
      <w:r>
        <w:rPr>
          <w:color w:val="auto"/>
          <w:highlight w:val="none"/>
        </w:rPr>
      </w:r>
      <w:r/>
    </w:p>
    <w:p>
      <w:pPr>
        <w:jc w:val="center"/>
        <w:rPr>
          <w:b/>
          <w:bCs/>
          <w:color w:val="auto"/>
          <w:sz w:val="44"/>
          <w:szCs w:val="44"/>
          <w:highlight w:val="none"/>
        </w:rPr>
      </w:pPr>
      <w:r>
        <w:rPr>
          <w:rFonts w:hint="eastAsia"/>
          <w:b/>
          <w:bCs/>
          <w:color w:val="auto"/>
          <w:sz w:val="44"/>
          <w:szCs w:val="44"/>
          <w:highlight w:val="none"/>
        </w:rPr>
        <w:t xml:space="preserve">目</w:t>
      </w:r>
      <w:r>
        <w:rPr>
          <w:rFonts w:hint="eastAsia"/>
          <w:b/>
          <w:bCs/>
          <w:color w:val="auto"/>
          <w:sz w:val="44"/>
          <w:szCs w:val="44"/>
          <w:highlight w:val="none"/>
        </w:rPr>
        <w:t xml:space="preserve"> </w:t>
      </w:r>
      <w:r>
        <w:rPr>
          <w:rFonts w:hint="eastAsia"/>
          <w:b/>
          <w:bCs/>
          <w:color w:val="auto"/>
          <w:sz w:val="44"/>
          <w:szCs w:val="44"/>
          <w:highlight w:val="none"/>
        </w:rPr>
        <w:t xml:space="preserve">录</w:t>
      </w:r>
      <w:r>
        <w:rPr>
          <w:color w:val="auto"/>
          <w:highlight w:val="none"/>
        </w:rPr>
      </w:r>
      <w:r/>
    </w:p>
    <w:p>
      <w:pPr>
        <w:ind w:firstLine="600"/>
        <w:spacing w:line="480" w:lineRule="auto"/>
        <w:rPr>
          <w:color w:val="auto"/>
          <w:sz w:val="30"/>
          <w:szCs w:val="30"/>
          <w:highlight w:val="none"/>
        </w:rPr>
      </w:pPr>
      <w:r>
        <w:rPr>
          <w:color w:val="auto"/>
          <w:sz w:val="30"/>
          <w:szCs w:val="30"/>
          <w:highlight w:val="none"/>
        </w:rPr>
      </w:r>
      <w:r>
        <w:rPr>
          <w:color w:val="auto"/>
          <w:highlight w:val="none"/>
        </w:rPr>
      </w:r>
      <w:r/>
    </w:p>
    <w:p>
      <w:pPr>
        <w:ind w:firstLine="600"/>
        <w:spacing w:line="480" w:lineRule="auto"/>
        <w:rPr>
          <w:color w:val="auto"/>
          <w:sz w:val="30"/>
          <w:szCs w:val="30"/>
          <w:highlight w:val="none"/>
        </w:rPr>
      </w:pPr>
      <w:r>
        <w:rPr>
          <w:rFonts w:hint="eastAsia"/>
          <w:color w:val="auto"/>
          <w:sz w:val="30"/>
          <w:szCs w:val="30"/>
          <w:highlight w:val="none"/>
        </w:rPr>
        <w:t xml:space="preserve">第一章</w:t>
      </w:r>
      <w:r>
        <w:rPr>
          <w:rFonts w:hint="eastAsia"/>
          <w:color w:val="auto"/>
          <w:sz w:val="30"/>
          <w:szCs w:val="30"/>
          <w:highlight w:val="none"/>
        </w:rPr>
        <w:t xml:space="preserve"> </w:t>
      </w:r>
      <w:bookmarkStart w:id="0" w:name="_Hlk156918814"/>
      <w:r>
        <w:rPr>
          <w:rFonts w:hint="eastAsia"/>
          <w:color w:val="auto"/>
          <w:sz w:val="30"/>
          <w:szCs w:val="30"/>
          <w:highlight w:val="none"/>
        </w:rPr>
        <w:t xml:space="preserve">投标邀请函</w:t>
      </w:r>
      <w:bookmarkEnd w:id="0"/>
      <w:r>
        <w:rPr>
          <w:color w:val="auto"/>
          <w:highlight w:val="none"/>
        </w:rPr>
      </w:r>
      <w:r/>
    </w:p>
    <w:p>
      <w:pPr>
        <w:ind w:firstLine="600"/>
        <w:spacing w:line="480" w:lineRule="auto"/>
        <w:rPr>
          <w:color w:val="auto"/>
          <w:sz w:val="30"/>
          <w:szCs w:val="30"/>
          <w:highlight w:val="none"/>
        </w:rPr>
      </w:pPr>
      <w:r>
        <w:rPr>
          <w:rFonts w:hint="eastAsia"/>
          <w:color w:val="auto"/>
          <w:sz w:val="30"/>
          <w:szCs w:val="30"/>
          <w:highlight w:val="none"/>
        </w:rPr>
        <w:t xml:space="preserve">第二章</w:t>
      </w:r>
      <w:r>
        <w:rPr>
          <w:rFonts w:hint="eastAsia"/>
          <w:color w:val="auto"/>
          <w:sz w:val="30"/>
          <w:szCs w:val="30"/>
          <w:highlight w:val="none"/>
        </w:rPr>
        <w:t xml:space="preserve"> </w:t>
      </w:r>
      <w:r>
        <w:rPr>
          <w:rFonts w:hint="eastAsia"/>
          <w:color w:val="auto"/>
          <w:sz w:val="30"/>
          <w:szCs w:val="30"/>
          <w:highlight w:val="none"/>
        </w:rPr>
        <w:t xml:space="preserve">投标人须知</w:t>
      </w:r>
      <w:r>
        <w:rPr>
          <w:color w:val="auto"/>
          <w:highlight w:val="none"/>
        </w:rPr>
      </w:r>
      <w:r/>
    </w:p>
    <w:p>
      <w:pPr>
        <w:ind w:firstLine="600"/>
        <w:spacing w:line="480" w:lineRule="auto"/>
        <w:rPr>
          <w:color w:val="auto"/>
          <w:sz w:val="30"/>
          <w:szCs w:val="30"/>
          <w:highlight w:val="none"/>
        </w:rPr>
      </w:pPr>
      <w:r>
        <w:rPr>
          <w:rFonts w:hint="eastAsia"/>
          <w:color w:val="auto"/>
          <w:sz w:val="30"/>
          <w:szCs w:val="30"/>
          <w:highlight w:val="none"/>
        </w:rPr>
        <w:t xml:space="preserve">第三章</w:t>
      </w:r>
      <w:r>
        <w:rPr>
          <w:rFonts w:hint="eastAsia"/>
          <w:color w:val="auto"/>
          <w:sz w:val="30"/>
          <w:szCs w:val="30"/>
          <w:highlight w:val="none"/>
        </w:rPr>
        <w:t xml:space="preserve"> </w:t>
      </w:r>
      <w:r>
        <w:rPr>
          <w:rFonts w:hint="eastAsia"/>
          <w:color w:val="auto"/>
          <w:sz w:val="30"/>
          <w:szCs w:val="30"/>
          <w:highlight w:val="none"/>
        </w:rPr>
        <w:t xml:space="preserve">投标文件格式</w:t>
      </w:r>
      <w:r>
        <w:rPr>
          <w:color w:val="auto"/>
          <w:highlight w:val="none"/>
        </w:rPr>
      </w:r>
      <w:r/>
    </w:p>
    <w:p>
      <w:pPr>
        <w:ind w:firstLine="600"/>
        <w:spacing w:line="480" w:lineRule="auto"/>
        <w:rPr>
          <w:color w:val="auto"/>
          <w:sz w:val="30"/>
          <w:szCs w:val="30"/>
          <w:highlight w:val="none"/>
        </w:rPr>
      </w:pPr>
      <w:r>
        <w:rPr>
          <w:rFonts w:hint="eastAsia"/>
          <w:color w:val="auto"/>
          <w:sz w:val="30"/>
          <w:szCs w:val="30"/>
          <w:highlight w:val="none"/>
        </w:rPr>
        <w:t xml:space="preserve">第四章</w:t>
      </w:r>
      <w:r>
        <w:rPr>
          <w:rFonts w:hint="eastAsia"/>
          <w:color w:val="auto"/>
          <w:sz w:val="30"/>
          <w:szCs w:val="30"/>
          <w:highlight w:val="none"/>
        </w:rPr>
        <w:t xml:space="preserve"> </w:t>
      </w:r>
      <w:r>
        <w:rPr>
          <w:rFonts w:hint="eastAsia"/>
          <w:color w:val="auto"/>
          <w:sz w:val="30"/>
          <w:szCs w:val="30"/>
          <w:highlight w:val="none"/>
        </w:rPr>
        <w:t xml:space="preserve">招标书</w:t>
      </w:r>
      <w:r>
        <w:rPr>
          <w:color w:val="auto"/>
          <w:highlight w:val="none"/>
        </w:rPr>
      </w:r>
      <w:r/>
    </w:p>
    <w:p>
      <w:pPr>
        <w:ind w:firstLine="600"/>
        <w:spacing w:line="480" w:lineRule="auto"/>
        <w:rPr>
          <w:color w:val="auto"/>
          <w:sz w:val="30"/>
          <w:szCs w:val="30"/>
          <w:highlight w:val="none"/>
        </w:rPr>
      </w:pPr>
      <w:r>
        <w:rPr>
          <w:rFonts w:hint="eastAsia"/>
          <w:color w:val="auto"/>
          <w:sz w:val="30"/>
          <w:szCs w:val="30"/>
          <w:highlight w:val="none"/>
        </w:rPr>
        <w:t xml:space="preserve">第五章</w:t>
      </w:r>
      <w:r>
        <w:rPr>
          <w:rFonts w:hint="eastAsia"/>
          <w:color w:val="auto"/>
          <w:sz w:val="30"/>
          <w:szCs w:val="30"/>
          <w:highlight w:val="none"/>
        </w:rPr>
        <w:t xml:space="preserve"> </w:t>
      </w:r>
      <w:r>
        <w:rPr>
          <w:rFonts w:hint="eastAsia"/>
          <w:color w:val="auto"/>
          <w:sz w:val="30"/>
          <w:szCs w:val="30"/>
          <w:highlight w:val="none"/>
        </w:rPr>
        <w:t xml:space="preserve">合同文本</w:t>
      </w:r>
      <w:r>
        <w:rPr>
          <w:color w:val="auto"/>
          <w:highlight w:val="none"/>
        </w:rPr>
      </w:r>
      <w:r/>
    </w:p>
    <w:p>
      <w:pPr>
        <w:ind w:firstLine="600"/>
        <w:spacing w:line="480" w:lineRule="auto"/>
        <w:rPr>
          <w:color w:val="auto"/>
          <w:sz w:val="30"/>
          <w:szCs w:val="30"/>
          <w:highlight w:val="none"/>
        </w:rPr>
      </w:pPr>
      <w:r>
        <w:rPr>
          <w:rFonts w:hint="eastAsia"/>
          <w:color w:val="auto"/>
          <w:sz w:val="30"/>
          <w:szCs w:val="30"/>
          <w:highlight w:val="none"/>
        </w:rPr>
        <w:t xml:space="preserve">第六章</w:t>
      </w:r>
      <w:r>
        <w:rPr>
          <w:rFonts w:hint="eastAsia"/>
          <w:color w:val="auto"/>
          <w:sz w:val="30"/>
          <w:szCs w:val="30"/>
          <w:highlight w:val="none"/>
        </w:rPr>
        <w:t xml:space="preserve"> </w:t>
      </w:r>
      <w:r>
        <w:rPr>
          <w:rFonts w:hint="eastAsia"/>
          <w:color w:val="auto"/>
          <w:sz w:val="30"/>
          <w:szCs w:val="30"/>
          <w:highlight w:val="none"/>
        </w:rPr>
        <w:t xml:space="preserve">评标办法及评分标准</w:t>
      </w:r>
      <w:r>
        <w:rPr>
          <w:color w:val="auto"/>
          <w:highlight w:val="none"/>
        </w:rPr>
      </w:r>
      <w:r/>
    </w:p>
    <w:p>
      <w:pPr>
        <w:rPr>
          <w:color w:val="auto"/>
          <w:highlight w:val="none"/>
        </w:rPr>
      </w:pPr>
      <w:r>
        <w:rPr>
          <w:color w:val="auto"/>
          <w:highlight w:val="none"/>
        </w:rPr>
      </w:r>
      <w:r>
        <w:rPr>
          <w:color w:val="auto"/>
          <w:highlight w:val="none"/>
        </w:rPr>
      </w:r>
      <w:r/>
    </w:p>
    <w:p>
      <w:pPr>
        <w:rPr>
          <w:color w:val="auto"/>
          <w:highlight w:val="none"/>
        </w:rPr>
      </w:pPr>
      <w:r>
        <w:rPr>
          <w:color w:val="auto"/>
          <w:highlight w:val="none"/>
        </w:rPr>
      </w:r>
      <w:r>
        <w:rPr>
          <w:color w:val="auto"/>
          <w:highlight w:val="none"/>
        </w:rPr>
      </w:r>
      <w:r/>
    </w:p>
    <w:p>
      <w:pPr>
        <w:rPr>
          <w:color w:val="auto"/>
          <w:highlight w:val="none"/>
        </w:rPr>
      </w:pPr>
      <w:r>
        <w:rPr>
          <w:color w:val="auto"/>
          <w:highlight w:val="none"/>
        </w:rPr>
      </w:r>
      <w:r>
        <w:rPr>
          <w:color w:val="auto"/>
          <w:highlight w:val="none"/>
        </w:rPr>
      </w:r>
      <w:r/>
    </w:p>
    <w:p>
      <w:pPr>
        <w:rPr>
          <w:color w:val="auto"/>
          <w:highlight w:val="none"/>
        </w:rPr>
      </w:pPr>
      <w:r>
        <w:rPr>
          <w:color w:val="auto"/>
          <w:highlight w:val="none"/>
        </w:rPr>
      </w:r>
      <w:r>
        <w:rPr>
          <w:color w:val="auto"/>
          <w:highlight w:val="none"/>
        </w:rPr>
      </w:r>
      <w:r/>
    </w:p>
    <w:p>
      <w:pPr>
        <w:rPr>
          <w:color w:val="auto"/>
          <w:highlight w:val="none"/>
        </w:rPr>
      </w:pPr>
      <w:r>
        <w:rPr>
          <w:color w:val="auto"/>
          <w:highlight w:val="none"/>
        </w:rPr>
      </w:r>
      <w:r>
        <w:rPr>
          <w:color w:val="auto"/>
          <w:highlight w:val="none"/>
        </w:rPr>
      </w:r>
      <w:r/>
    </w:p>
    <w:p>
      <w:pPr>
        <w:rPr>
          <w:color w:val="auto"/>
          <w:highlight w:val="none"/>
        </w:rPr>
      </w:pPr>
      <w:r>
        <w:rPr>
          <w:color w:val="auto"/>
          <w:highlight w:val="none"/>
        </w:rPr>
      </w:r>
      <w:r>
        <w:rPr>
          <w:color w:val="auto"/>
          <w:highlight w:val="none"/>
        </w:rPr>
      </w:r>
      <w:r/>
    </w:p>
    <w:p>
      <w:pPr>
        <w:rPr>
          <w:color w:val="auto"/>
          <w:highlight w:val="none"/>
        </w:rPr>
      </w:pPr>
      <w:r>
        <w:rPr>
          <w:color w:val="auto"/>
          <w:highlight w:val="none"/>
        </w:rPr>
      </w:r>
      <w:r>
        <w:rPr>
          <w:color w:val="auto"/>
          <w:highlight w:val="none"/>
        </w:rPr>
      </w:r>
      <w:r/>
    </w:p>
    <w:p>
      <w:pPr>
        <w:rPr>
          <w:color w:val="auto"/>
          <w:highlight w:val="none"/>
        </w:rPr>
      </w:pPr>
      <w:r>
        <w:rPr>
          <w:color w:val="auto"/>
          <w:highlight w:val="none"/>
        </w:rPr>
      </w:r>
      <w:r>
        <w:rPr>
          <w:color w:val="auto"/>
          <w:highlight w:val="none"/>
        </w:rPr>
      </w:r>
      <w:r/>
    </w:p>
    <w:p>
      <w:pPr>
        <w:rPr>
          <w:color w:val="auto"/>
          <w:highlight w:val="none"/>
        </w:rPr>
      </w:pPr>
      <w:r>
        <w:rPr>
          <w:color w:val="auto"/>
          <w:highlight w:val="none"/>
        </w:rPr>
      </w:r>
      <w:r>
        <w:rPr>
          <w:color w:val="auto"/>
          <w:highlight w:val="none"/>
        </w:rPr>
      </w:r>
      <w:r/>
    </w:p>
    <w:p>
      <w:pPr>
        <w:rPr>
          <w:color w:val="auto"/>
          <w:highlight w:val="none"/>
        </w:rPr>
      </w:pPr>
      <w:r>
        <w:rPr>
          <w:color w:val="auto"/>
          <w:highlight w:val="none"/>
        </w:rPr>
      </w:r>
      <w:r>
        <w:rPr>
          <w:color w:val="auto"/>
          <w:highlight w:val="none"/>
        </w:rPr>
      </w:r>
      <w:r/>
    </w:p>
    <w:p>
      <w:pPr>
        <w:rPr>
          <w:color w:val="auto"/>
          <w:highlight w:val="none"/>
        </w:rPr>
      </w:pPr>
      <w:r>
        <w:rPr>
          <w:color w:val="auto"/>
          <w:highlight w:val="none"/>
        </w:rPr>
      </w:r>
      <w:r>
        <w:rPr>
          <w:color w:val="auto"/>
          <w:highlight w:val="none"/>
        </w:rPr>
      </w:r>
      <w:r/>
    </w:p>
    <w:p>
      <w:pPr>
        <w:rPr>
          <w:color w:val="auto"/>
          <w:highlight w:val="none"/>
        </w:rPr>
      </w:pPr>
      <w:r>
        <w:rPr>
          <w:color w:val="auto"/>
          <w:highlight w:val="none"/>
        </w:rPr>
      </w:r>
      <w:r>
        <w:rPr>
          <w:color w:val="auto"/>
          <w:highlight w:val="none"/>
        </w:rPr>
      </w:r>
      <w:r/>
    </w:p>
    <w:p>
      <w:pPr>
        <w:rPr>
          <w:color w:val="auto"/>
          <w:highlight w:val="none"/>
        </w:rPr>
      </w:pPr>
      <w:r>
        <w:rPr>
          <w:color w:val="auto"/>
          <w:highlight w:val="none"/>
        </w:rPr>
      </w:r>
      <w:r>
        <w:rPr>
          <w:color w:val="auto"/>
          <w:highlight w:val="none"/>
        </w:rPr>
      </w:r>
      <w:r/>
    </w:p>
    <w:p>
      <w:pPr>
        <w:rPr>
          <w:color w:val="auto"/>
          <w:highlight w:val="none"/>
        </w:rPr>
      </w:pPr>
      <w:r>
        <w:rPr>
          <w:color w:val="auto"/>
          <w:highlight w:val="none"/>
        </w:rPr>
      </w:r>
      <w:r>
        <w:rPr>
          <w:color w:val="auto"/>
          <w:highlight w:val="none"/>
        </w:rPr>
      </w:r>
      <w:r/>
    </w:p>
    <w:p>
      <w:pPr>
        <w:rPr>
          <w:color w:val="auto"/>
          <w:highlight w:val="none"/>
        </w:rPr>
      </w:pPr>
      <w:r>
        <w:rPr>
          <w:color w:val="auto"/>
          <w:highlight w:val="none"/>
        </w:rPr>
      </w:r>
      <w:r>
        <w:rPr>
          <w:color w:val="auto"/>
          <w:highlight w:val="none"/>
        </w:rPr>
      </w:r>
      <w:r/>
    </w:p>
    <w:p>
      <w:pPr>
        <w:rPr>
          <w:b/>
          <w:bCs/>
          <w:caps/>
          <w:color w:val="auto"/>
          <w:sz w:val="36"/>
          <w:szCs w:val="36"/>
          <w:highlight w:val="none"/>
        </w:rPr>
      </w:pPr>
      <w:r>
        <w:rPr>
          <w:rFonts w:hint="eastAsia"/>
          <w:b/>
          <w:bCs/>
          <w:caps/>
          <w:color w:val="auto"/>
          <w:sz w:val="36"/>
          <w:szCs w:val="36"/>
          <w:highlight w:val="none"/>
        </w:rPr>
        <w:br w:type="page" w:clear="all"/>
      </w:r>
      <w:r>
        <w:rPr>
          <w:color w:val="auto"/>
          <w:highlight w:val="none"/>
        </w:rPr>
      </w:r>
      <w:r/>
    </w:p>
    <w:p>
      <w:pPr>
        <w:jc w:val="center"/>
        <w:spacing w:after="156" w:line="360" w:lineRule="auto"/>
        <w:rPr>
          <w:color w:val="auto"/>
          <w:sz w:val="36"/>
          <w:szCs w:val="36"/>
          <w:highlight w:val="none"/>
        </w:rPr>
      </w:pPr>
      <w:r>
        <w:rPr>
          <w:rFonts w:hint="eastAsia"/>
          <w:b/>
          <w:bCs/>
          <w:caps/>
          <w:color w:val="auto"/>
          <w:sz w:val="36"/>
          <w:szCs w:val="36"/>
          <w:highlight w:val="none"/>
        </w:rPr>
        <w:t xml:space="preserve">第一章</w:t>
      </w:r>
      <w:r>
        <w:rPr>
          <w:rFonts w:hint="eastAsia"/>
          <w:b/>
          <w:bCs/>
          <w:color w:val="auto"/>
          <w:sz w:val="36"/>
          <w:szCs w:val="36"/>
          <w:highlight w:val="none"/>
        </w:rPr>
        <w:t xml:space="preserve"> </w:t>
      </w:r>
      <w:r>
        <w:rPr>
          <w:rFonts w:hint="eastAsia"/>
          <w:b/>
          <w:bCs/>
          <w:color w:val="auto"/>
          <w:sz w:val="36"/>
          <w:szCs w:val="36"/>
          <w:highlight w:val="none"/>
        </w:rPr>
        <w:t xml:space="preserve">投标邀请函</w:t>
      </w:r>
      <w:r>
        <w:rPr>
          <w:color w:val="auto"/>
          <w:highlight w:val="none"/>
        </w:rPr>
      </w:r>
      <w:r/>
    </w:p>
    <w:p>
      <w:pPr>
        <w:ind w:firstLine="480"/>
        <w:jc w:val="left"/>
        <w:spacing w:line="440" w:lineRule="exact"/>
        <w:rPr>
          <w:rFonts w:ascii="宋体" w:hAnsi="宋体"/>
          <w:bCs/>
          <w:color w:val="auto"/>
          <w:sz w:val="24"/>
          <w:szCs w:val="24"/>
          <w:highlight w:val="none"/>
        </w:rPr>
      </w:pPr>
      <w:r>
        <w:rPr>
          <w:color w:val="auto"/>
          <w:highlight w:val="none"/>
        </w:rPr>
      </w:r>
      <w:bookmarkStart w:id="1" w:name="_Hlk161918304"/>
      <w:r>
        <w:rPr>
          <w:rFonts w:hint="eastAsia" w:ascii="宋体" w:hAnsi="宋体"/>
          <w:bCs/>
          <w:color w:val="auto"/>
          <w:sz w:val="24"/>
          <w:szCs w:val="24"/>
          <w:highlight w:val="none"/>
        </w:rPr>
        <w:t xml:space="preserve">项目概况：</w:t>
      </w:r>
      <w:r>
        <w:rPr>
          <w:rFonts w:hint="eastAsia" w:ascii="宋体" w:hAnsi="宋体"/>
          <w:bCs/>
          <w:color w:val="auto"/>
          <w:sz w:val="24"/>
          <w:szCs w:val="24"/>
          <w:highlight w:val="none"/>
          <w:u w:val="single"/>
        </w:rPr>
        <w:t xml:space="preserve">2026年实验室仪器购置</w:t>
      </w:r>
      <w:r>
        <w:rPr>
          <w:rFonts w:hint="eastAsia" w:ascii="宋体" w:hAnsi="宋体"/>
          <w:bCs/>
          <w:color w:val="auto"/>
          <w:sz w:val="24"/>
          <w:szCs w:val="24"/>
          <w:highlight w:val="none"/>
        </w:rPr>
        <w:t xml:space="preserve">招标项目的潜在投标人应在</w:t>
      </w:r>
      <w:r>
        <w:rPr>
          <w:rFonts w:hint="eastAsia" w:ascii="宋体" w:hAnsi="宋体"/>
          <w:bCs/>
          <w:color w:val="auto"/>
          <w:sz w:val="24"/>
          <w:szCs w:val="24"/>
          <w:highlight w:val="none"/>
          <w:u w:val="single"/>
        </w:rPr>
        <w:t xml:space="preserve">苏</w:t>
      </w:r>
      <w:r>
        <w:rPr>
          <w:rFonts w:hint="eastAsia" w:ascii="宋体" w:hAnsi="宋体"/>
          <w:bCs/>
          <w:color w:val="auto"/>
          <w:sz w:val="24"/>
          <w:szCs w:val="24"/>
          <w:highlight w:val="none"/>
          <w:u w:val="single"/>
        </w:rPr>
        <w:t xml:space="preserve">采云</w:t>
      </w:r>
      <w:r>
        <w:rPr>
          <w:rFonts w:hint="eastAsia" w:ascii="宋体" w:hAnsi="宋体"/>
          <w:bCs/>
          <w:color w:val="auto"/>
          <w:sz w:val="24"/>
          <w:szCs w:val="24"/>
          <w:highlight w:val="none"/>
          <w:u w:val="single"/>
        </w:rPr>
        <w:t xml:space="preserve">系统</w:t>
      </w:r>
      <w:r>
        <w:rPr>
          <w:rFonts w:hint="eastAsia" w:ascii="宋体" w:hAnsi="宋体"/>
          <w:bCs/>
          <w:color w:val="auto"/>
          <w:sz w:val="24"/>
          <w:szCs w:val="24"/>
          <w:highlight w:val="none"/>
        </w:rPr>
        <w:t xml:space="preserve">获取招标文件，并于</w:t>
      </w:r>
      <w:r>
        <w:rPr>
          <w:rFonts w:hint="eastAsia" w:ascii="宋体" w:hAnsi="宋体"/>
          <w:bCs/>
          <w:color w:val="auto"/>
          <w:sz w:val="24"/>
          <w:szCs w:val="24"/>
          <w:highlight w:val="none"/>
          <w:u w:val="single"/>
        </w:rPr>
        <w:t xml:space="preserve">2026年0</w:t>
      </w:r>
      <w:r>
        <w:rPr>
          <w:rFonts w:hint="eastAsia" w:ascii="宋体" w:hAnsi="宋体"/>
          <w:bCs/>
          <w:color w:val="auto"/>
          <w:sz w:val="24"/>
          <w:szCs w:val="24"/>
          <w:highlight w:val="none"/>
          <w:u w:val="single"/>
        </w:rPr>
        <w:t xml:space="preserve">6</w:t>
      </w:r>
      <w:r>
        <w:rPr>
          <w:rFonts w:hint="eastAsia" w:ascii="宋体" w:hAnsi="宋体"/>
          <w:bCs/>
          <w:color w:val="auto"/>
          <w:sz w:val="24"/>
          <w:szCs w:val="24"/>
          <w:highlight w:val="none"/>
          <w:u w:val="single"/>
        </w:rPr>
        <w:t xml:space="preserve">月</w:t>
      </w:r>
      <w:r>
        <w:rPr>
          <w:rFonts w:hint="eastAsia" w:ascii="宋体" w:hAnsi="宋体"/>
          <w:bCs/>
          <w:color w:val="auto"/>
          <w:sz w:val="24"/>
          <w:szCs w:val="24"/>
          <w:highlight w:val="none"/>
          <w:u w:val="single"/>
        </w:rPr>
        <w:t xml:space="preserve">16</w:t>
      </w:r>
      <w:r>
        <w:rPr>
          <w:rFonts w:hint="eastAsia" w:ascii="宋体" w:hAnsi="宋体"/>
          <w:bCs/>
          <w:color w:val="auto"/>
          <w:sz w:val="24"/>
          <w:szCs w:val="24"/>
          <w:highlight w:val="none"/>
          <w:u w:val="single"/>
        </w:rPr>
        <w:t xml:space="preserve">日13点</w:t>
      </w:r>
      <w:r>
        <w:rPr>
          <w:rFonts w:hint="eastAsia" w:ascii="宋体" w:hAnsi="宋体"/>
          <w:color w:val="auto"/>
          <w:sz w:val="24"/>
          <w:szCs w:val="24"/>
          <w:highlight w:val="none"/>
          <w:u w:val="single"/>
        </w:rPr>
        <w:t xml:space="preserve">30分</w:t>
      </w:r>
      <w:r>
        <w:rPr>
          <w:rFonts w:hint="eastAsia" w:ascii="宋体" w:hAnsi="宋体"/>
          <w:bCs/>
          <w:color w:val="auto"/>
          <w:sz w:val="24"/>
          <w:szCs w:val="24"/>
          <w:highlight w:val="none"/>
          <w:u w:val="single"/>
        </w:rPr>
        <w:t xml:space="preserve">（北京时间）</w:t>
      </w:r>
      <w:r>
        <w:rPr>
          <w:rFonts w:hint="eastAsia" w:ascii="宋体" w:hAnsi="宋体"/>
          <w:bCs/>
          <w:color w:val="auto"/>
          <w:sz w:val="24"/>
          <w:szCs w:val="24"/>
          <w:highlight w:val="none"/>
        </w:rPr>
        <w:t xml:space="preserve">前递交投标文件。</w:t>
      </w:r>
      <w:r>
        <w:rPr>
          <w:color w:val="auto"/>
          <w:highlight w:val="none"/>
        </w:rPr>
      </w:r>
      <w:r/>
    </w:p>
    <w:p>
      <w:pPr>
        <w:ind w:firstLine="482"/>
        <w:jc w:val="left"/>
        <w:spacing w:line="44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一、项目基本情况:</w:t>
      </w:r>
      <w:r>
        <w:rPr>
          <w:color w:val="auto"/>
          <w:highlight w:val="none"/>
        </w:rPr>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项目编号：</w:t>
      </w:r>
      <w:r>
        <w:rPr>
          <w:rFonts w:hint="eastAsia" w:ascii="宋体" w:hAnsi="宋体"/>
          <w:color w:val="auto"/>
          <w:sz w:val="24"/>
          <w:szCs w:val="24"/>
          <w:highlight w:val="none"/>
        </w:rPr>
        <w:t xml:space="preserve">JSZC-320507-SZJN-G2026-0003</w:t>
      </w:r>
      <w:r>
        <w:rPr>
          <w:color w:val="auto"/>
          <w:highlight w:val="none"/>
        </w:rPr>
      </w:r>
      <w:r/>
    </w:p>
    <w:p>
      <w:pPr>
        <w:ind w:firstLine="480"/>
        <w:jc w:val="left"/>
        <w:spacing w:line="440" w:lineRule="exact"/>
        <w:rPr>
          <w:rFonts w:ascii="宋体" w:hAnsi="宋体" w:cs="宋体"/>
          <w:color w:val="auto"/>
          <w:sz w:val="24"/>
          <w:szCs w:val="24"/>
          <w:highlight w:val="none"/>
        </w:rPr>
        <w:outlineLvl w:val="0"/>
      </w:pPr>
      <w:r>
        <w:rPr>
          <w:rFonts w:hint="eastAsia" w:ascii="宋体" w:hAnsi="宋体" w:cs="宋体"/>
          <w:color w:val="auto"/>
          <w:sz w:val="24"/>
          <w:szCs w:val="24"/>
          <w:highlight w:val="none"/>
        </w:rPr>
        <w:t xml:space="preserve">项目名称：2026年实验室仪器购置</w:t>
      </w:r>
      <w:r>
        <w:rPr>
          <w:color w:val="auto"/>
          <w:highlight w:val="none"/>
        </w:rPr>
      </w:r>
      <w:r/>
    </w:p>
    <w:p>
      <w:pPr>
        <w:ind w:firstLine="480"/>
        <w:jc w:val="left"/>
        <w:spacing w:line="440" w:lineRule="exact"/>
        <w:rPr>
          <w:rFonts w:ascii="宋体" w:hAnsi="宋体" w:cs="宋体"/>
          <w:color w:val="auto"/>
          <w:sz w:val="24"/>
          <w:szCs w:val="24"/>
          <w:highlight w:val="none"/>
        </w:rPr>
        <w:outlineLvl w:val="0"/>
      </w:pPr>
      <w:r>
        <w:rPr>
          <w:rFonts w:hint="eastAsia" w:ascii="宋体" w:hAnsi="宋体" w:cs="宋体"/>
          <w:color w:val="auto"/>
          <w:sz w:val="24"/>
          <w:szCs w:val="24"/>
          <w:highlight w:val="none"/>
        </w:rPr>
        <w:t xml:space="preserve">预算金额：</w:t>
      </w:r>
      <w:r>
        <w:rPr>
          <w:rFonts w:hint="eastAsia" w:ascii="宋体" w:hAnsi="宋体" w:cs="宋体"/>
          <w:color w:val="auto"/>
          <w:sz w:val="24"/>
          <w:szCs w:val="24"/>
          <w:highlight w:val="none"/>
        </w:rPr>
        <w:t xml:space="preserve">人民币壹佰伍拾万元整（￥1500000.00）</w:t>
      </w:r>
      <w:r>
        <w:rPr>
          <w:color w:val="auto"/>
          <w:highlight w:val="none"/>
        </w:rPr>
      </w:r>
      <w:r/>
    </w:p>
    <w:p>
      <w:pPr>
        <w:ind w:firstLine="480"/>
        <w:jc w:val="left"/>
        <w:spacing w:line="440" w:lineRule="exact"/>
        <w:rPr>
          <w:rFonts w:ascii="宋体" w:hAnsi="宋体" w:cs="宋体"/>
          <w:color w:val="auto"/>
          <w:sz w:val="24"/>
          <w:szCs w:val="24"/>
          <w:highlight w:val="none"/>
        </w:rPr>
        <w:outlineLvl w:val="0"/>
      </w:pPr>
      <w:r>
        <w:rPr>
          <w:rFonts w:hint="eastAsia" w:ascii="宋体" w:hAnsi="宋体" w:cs="宋体"/>
          <w:color w:val="auto"/>
          <w:sz w:val="24"/>
          <w:szCs w:val="24"/>
          <w:highlight w:val="none"/>
        </w:rPr>
        <w:t xml:space="preserve">最高限价：</w:t>
      </w:r>
      <w:r>
        <w:rPr>
          <w:rFonts w:hint="eastAsia" w:ascii="宋体" w:hAnsi="宋体" w:cs="宋体"/>
          <w:color w:val="auto"/>
          <w:sz w:val="24"/>
          <w:szCs w:val="24"/>
          <w:highlight w:val="none"/>
        </w:rPr>
        <w:t xml:space="preserve">人民币壹佰伍拾万元整（￥1500000.00）</w:t>
      </w:r>
      <w:r>
        <w:rPr>
          <w:color w:val="auto"/>
          <w:highlight w:val="none"/>
        </w:rPr>
      </w:r>
      <w:r/>
    </w:p>
    <w:p>
      <w:pPr>
        <w:ind w:firstLine="482"/>
        <w:jc w:val="left"/>
        <w:spacing w:line="44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二、采购需求：</w:t>
      </w:r>
      <w:r>
        <w:rPr>
          <w:color w:val="auto"/>
          <w:highlight w:val="none"/>
        </w:rPr>
      </w:r>
      <w:r/>
    </w:p>
    <w:p>
      <w:pPr>
        <w:ind w:firstLine="480"/>
        <w:jc w:val="left"/>
        <w:spacing w:line="440" w:lineRule="exact"/>
        <w:widowControl/>
        <w:rPr>
          <w:rFonts w:ascii="宋体" w:hAnsi="宋体"/>
          <w:bCs/>
          <w:color w:val="auto"/>
          <w:sz w:val="24"/>
          <w:highlight w:val="none"/>
        </w:rPr>
      </w:pPr>
      <w:r>
        <w:rPr>
          <w:rFonts w:hint="eastAsia" w:ascii="宋体" w:hAnsi="宋体"/>
          <w:bCs/>
          <w:color w:val="auto"/>
          <w:sz w:val="24"/>
          <w:highlight w:val="none"/>
        </w:rPr>
        <w:t xml:space="preserve">1、招标内容：根据《生态环境监测规划纲要（2020-2035年）》、《生态环境应急监测能力建设指南》及实验室日常需求，拟采购环境监测专业仪器一批。</w:t>
      </w:r>
      <w:r>
        <w:rPr>
          <w:color w:val="auto"/>
          <w:highlight w:val="none"/>
        </w:rPr>
      </w:r>
      <w:r/>
    </w:p>
    <w:p>
      <w:pPr>
        <w:ind w:firstLine="480"/>
        <w:jc w:val="left"/>
        <w:spacing w:line="440" w:lineRule="exact"/>
        <w:widowControl/>
        <w:tabs>
          <w:tab w:val="left" w:pos="420" w:leader="none"/>
        </w:tabs>
        <w:rPr>
          <w:rFonts w:ascii="宋体" w:hAnsi="宋体" w:cs="宋体"/>
          <w:color w:val="auto"/>
          <w:sz w:val="24"/>
          <w:szCs w:val="24"/>
          <w:highlight w:val="none"/>
        </w:rPr>
      </w:pPr>
      <w:r>
        <w:rPr>
          <w:rFonts w:hint="eastAsia" w:ascii="宋体" w:hAnsi="宋体"/>
          <w:bCs/>
          <w:color w:val="auto"/>
          <w:sz w:val="24"/>
          <w:highlight w:val="none"/>
        </w:rPr>
        <w:t xml:space="preserve">2、</w:t>
      </w:r>
      <w:r>
        <w:rPr>
          <w:rFonts w:hint="eastAsia" w:ascii="宋体" w:hAnsi="宋体" w:cs="宋体"/>
          <w:color w:val="auto"/>
          <w:sz w:val="24"/>
          <w:szCs w:val="24"/>
          <w:highlight w:val="none"/>
        </w:rPr>
        <w:t xml:space="preserve">合同履约期限：合同签订后30天内交付并安装调试完毕。</w:t>
      </w:r>
      <w:r>
        <w:rPr>
          <w:color w:val="auto"/>
          <w:highlight w:val="none"/>
        </w:rPr>
      </w:r>
      <w:r/>
    </w:p>
    <w:p>
      <w:pPr>
        <w:ind w:firstLine="480"/>
        <w:jc w:val="left"/>
        <w:spacing w:line="440" w:lineRule="exact"/>
        <w:widowControl/>
        <w:rPr>
          <w:rFonts w:ascii="宋体" w:hAnsi="宋体" w:cs="宋体"/>
          <w:b/>
          <w:color w:val="auto"/>
          <w:sz w:val="24"/>
          <w:szCs w:val="24"/>
          <w:highlight w:val="none"/>
        </w:rPr>
      </w:pPr>
      <w:r>
        <w:rPr>
          <w:rFonts w:hint="eastAsia" w:ascii="宋体" w:hAnsi="宋体" w:cs="宋体"/>
          <w:b/>
          <w:color w:val="auto"/>
          <w:sz w:val="24"/>
          <w:szCs w:val="24"/>
          <w:highlight w:val="none"/>
        </w:rPr>
        <w:t xml:space="preserve">三、申请人的资格要求：</w:t>
      </w:r>
      <w:r>
        <w:rPr>
          <w:color w:val="auto"/>
          <w:highlight w:val="none"/>
        </w:rPr>
      </w:r>
      <w:r/>
    </w:p>
    <w:p>
      <w:pPr>
        <w:ind w:firstLine="480"/>
        <w:jc w:val="left"/>
        <w:spacing w:line="440" w:lineRule="exact"/>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1.满足《中华人民共和国政府采购法》第二十二条规定:</w:t>
      </w:r>
      <w:r>
        <w:rPr>
          <w:color w:val="auto"/>
          <w:highlight w:val="none"/>
        </w:rPr>
      </w:r>
      <w:r/>
    </w:p>
    <w:p>
      <w:pPr>
        <w:ind w:firstLine="480"/>
        <w:jc w:val="left"/>
        <w:spacing w:line="440" w:lineRule="exact"/>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（1）具有独立承担民事责任的能力；</w:t>
      </w:r>
      <w:r>
        <w:rPr>
          <w:color w:val="auto"/>
          <w:highlight w:val="none"/>
        </w:rPr>
      </w:r>
      <w:r/>
    </w:p>
    <w:p>
      <w:pPr>
        <w:ind w:firstLine="480"/>
        <w:jc w:val="left"/>
        <w:spacing w:line="440" w:lineRule="exact"/>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（2）具有良好的商业信誉和健全的财务会计制度；</w:t>
      </w:r>
      <w:r>
        <w:rPr>
          <w:color w:val="auto"/>
          <w:highlight w:val="none"/>
        </w:rPr>
      </w:r>
      <w:r/>
    </w:p>
    <w:p>
      <w:pPr>
        <w:ind w:firstLine="480"/>
        <w:jc w:val="left"/>
        <w:spacing w:line="440" w:lineRule="exact"/>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（3）具有履行合同所必需的设备和专业技术能力；</w:t>
      </w:r>
      <w:r>
        <w:rPr>
          <w:color w:val="auto"/>
          <w:highlight w:val="none"/>
        </w:rPr>
      </w:r>
      <w:r/>
    </w:p>
    <w:p>
      <w:pPr>
        <w:ind w:firstLine="480"/>
        <w:jc w:val="left"/>
        <w:spacing w:line="440" w:lineRule="exact"/>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（4）有依法缴纳税收和社会保障资金的良好记录；</w:t>
      </w:r>
      <w:r>
        <w:rPr>
          <w:color w:val="auto"/>
          <w:highlight w:val="none"/>
        </w:rPr>
      </w:r>
      <w:r/>
    </w:p>
    <w:p>
      <w:pPr>
        <w:ind w:firstLine="480"/>
        <w:jc w:val="left"/>
        <w:spacing w:line="440" w:lineRule="exact"/>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（5）参加政府采购活动前三年内,在经营活动中没有重大违法记录；</w:t>
      </w:r>
      <w:r>
        <w:rPr>
          <w:color w:val="auto"/>
          <w:highlight w:val="none"/>
        </w:rPr>
      </w:r>
      <w:r/>
    </w:p>
    <w:p>
      <w:pPr>
        <w:ind w:firstLine="480"/>
        <w:jc w:val="left"/>
        <w:spacing w:line="440" w:lineRule="exact"/>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（6）符合法律、行政法规规定的其他条件；</w:t>
      </w:r>
      <w:r>
        <w:rPr>
          <w:color w:val="auto"/>
          <w:highlight w:val="none"/>
        </w:rPr>
      </w:r>
      <w:r/>
    </w:p>
    <w:p>
      <w:pPr>
        <w:ind w:firstLine="480"/>
        <w:jc w:val="left"/>
        <w:spacing w:line="440" w:lineRule="exact"/>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注：单位负责人为同一人或者存在直接控股、管理关系的不同供应商，不得参加同一合同项下的政府采购活动。</w:t>
      </w:r>
      <w:r>
        <w:rPr>
          <w:color w:val="auto"/>
          <w:highlight w:val="none"/>
        </w:rPr>
      </w:r>
      <w:r/>
    </w:p>
    <w:p>
      <w:pPr>
        <w:ind w:firstLine="480"/>
        <w:jc w:val="left"/>
        <w:spacing w:line="440" w:lineRule="exact"/>
        <w:rPr>
          <w:rFonts w:ascii="宋体" w:hAnsi="宋体"/>
          <w:color w:val="auto"/>
          <w:sz w:val="24"/>
          <w:szCs w:val="24"/>
          <w:highlight w:val="none"/>
        </w:rPr>
      </w:pPr>
      <w:r>
        <w:rPr>
          <w:rFonts w:hint="eastAsia" w:ascii="宋体" w:hAnsi="宋体" w:cs="宋体"/>
          <w:bCs/>
          <w:color w:val="auto"/>
          <w:sz w:val="24"/>
          <w:szCs w:val="24"/>
          <w:highlight w:val="none"/>
        </w:rPr>
        <w:t xml:space="preserve">2.落实政府采购政策需满足的资格要求：</w:t>
      </w:r>
      <w:r>
        <w:rPr>
          <w:rFonts w:hint="eastAsia" w:ascii="宋体" w:hAnsi="宋体" w:cs="宋体"/>
          <w:b/>
          <w:color w:val="auto"/>
          <w:sz w:val="24"/>
          <w:szCs w:val="24"/>
          <w:highlight w:val="none"/>
        </w:rPr>
        <w:t xml:space="preserve">根据《政府采购促进中小企业发展管理办法》的相关规定，本项目专门面向中小企业采购。所属行业为工业。供应商应为中小微企业、监狱企业、残疾人福利性单位。</w:t>
      </w:r>
      <w:r>
        <w:rPr>
          <w:color w:val="auto"/>
          <w:highlight w:val="none"/>
        </w:rPr>
      </w:r>
      <w:r/>
    </w:p>
    <w:p>
      <w:pPr>
        <w:ind w:firstLine="480"/>
        <w:jc w:val="left"/>
        <w:spacing w:after="0"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3.本项目的特定资格要求：</w:t>
      </w:r>
      <w:r>
        <w:rPr>
          <w:color w:val="auto"/>
          <w:highlight w:val="none"/>
        </w:rPr>
      </w:r>
      <w:r/>
    </w:p>
    <w:p>
      <w:pPr>
        <w:ind w:firstLine="480"/>
        <w:jc w:val="left"/>
        <w:spacing w:after="0"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（1）未被“信用中国”网站（WWW.creditchina.gov.cn）或“中国政府采购网”网站（www.ccgp.gov.cn）列入失信被执行人、重大税收违法案件当事人名单、政府采购严重失信行。</w:t>
      </w:r>
      <w:r>
        <w:rPr>
          <w:color w:val="auto"/>
          <w:highlight w:val="none"/>
        </w:rPr>
      </w:r>
      <w:r/>
    </w:p>
    <w:p>
      <w:pPr>
        <w:ind w:firstLine="480"/>
        <w:jc w:val="left"/>
        <w:spacing w:after="0" w:line="440" w:lineRule="exact"/>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（2）本项目不接受联合体投标。</w:t>
      </w:r>
      <w:r>
        <w:rPr>
          <w:color w:val="auto"/>
          <w:highlight w:val="none"/>
        </w:rPr>
      </w:r>
      <w:r/>
    </w:p>
    <w:p>
      <w:pPr>
        <w:ind w:firstLine="480"/>
        <w:jc w:val="left"/>
        <w:spacing w:line="440" w:lineRule="exact"/>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（3）单位负责人为同一人或者存在直接控股、管理关系的不同供应商（包含法定代表人为同一个人的两个及两个以上法人，母公司、全资子公司及其控股公司），不得参加同一合同项下的政府采购活动。</w:t>
      </w:r>
      <w:r>
        <w:rPr>
          <w:color w:val="auto"/>
          <w:highlight w:val="none"/>
        </w:rPr>
      </w:r>
      <w:r/>
    </w:p>
    <w:p>
      <w:pPr>
        <w:ind w:firstLine="482"/>
        <w:jc w:val="left"/>
        <w:spacing w:line="440" w:lineRule="exact"/>
        <w:widowControl/>
        <w:rPr>
          <w:rFonts w:ascii="宋体" w:hAnsi="宋体" w:cs="宋体"/>
          <w:b/>
          <w:color w:val="auto"/>
          <w:sz w:val="24"/>
          <w:szCs w:val="24"/>
          <w:highlight w:val="none"/>
        </w:rPr>
      </w:pPr>
      <w:r>
        <w:rPr>
          <w:rFonts w:hint="eastAsia" w:ascii="宋体" w:hAnsi="宋体" w:cs="宋体"/>
          <w:b/>
          <w:color w:val="auto"/>
          <w:sz w:val="24"/>
          <w:szCs w:val="24"/>
          <w:highlight w:val="none"/>
        </w:rPr>
        <w:t xml:space="preserve">四、报名及采购文件获取信息：</w:t>
      </w:r>
      <w:r>
        <w:rPr>
          <w:color w:val="auto"/>
          <w:highlight w:val="none"/>
        </w:rPr>
      </w:r>
      <w:r/>
    </w:p>
    <w:p>
      <w:pPr>
        <w:ind w:firstLine="480"/>
        <w:jc w:val="left"/>
        <w:spacing w:line="440" w:lineRule="exact"/>
        <w:shd w:val="clear" w:color="auto" w:fill="ffffff"/>
        <w:widowControl/>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 xml:space="preserve">1.时间：招标公告上网之日起五个工作日</w:t>
      </w:r>
      <w:r>
        <w:rPr>
          <w:color w:val="auto"/>
          <w:highlight w:val="none"/>
        </w:rPr>
      </w:r>
      <w:r/>
    </w:p>
    <w:p>
      <w:pPr>
        <w:ind w:firstLine="480"/>
        <w:jc w:val="left"/>
        <w:spacing w:line="440" w:lineRule="exact"/>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shd w:val="clear" w:color="auto" w:fill="ffffff"/>
        </w:rPr>
        <w:t xml:space="preserve">2.地点：苏</w:t>
      </w:r>
      <w:r>
        <w:rPr>
          <w:rFonts w:hint="eastAsia" w:ascii="宋体" w:hAnsi="宋体" w:cs="宋体"/>
          <w:color w:val="auto"/>
          <w:sz w:val="24"/>
          <w:szCs w:val="24"/>
          <w:highlight w:val="none"/>
          <w:shd w:val="clear" w:color="auto" w:fill="ffffff"/>
        </w:rPr>
        <w:t xml:space="preserve">采云</w:t>
      </w:r>
      <w:r>
        <w:rPr>
          <w:rFonts w:hint="eastAsia" w:ascii="宋体" w:hAnsi="宋体" w:cs="宋体"/>
          <w:color w:val="auto"/>
          <w:sz w:val="24"/>
          <w:szCs w:val="24"/>
          <w:highlight w:val="none"/>
          <w:shd w:val="clear" w:color="auto" w:fill="ffffff"/>
        </w:rPr>
        <w:t xml:space="preserve">系统自行下载</w:t>
      </w:r>
      <w:r>
        <w:rPr>
          <w:color w:val="auto"/>
          <w:highlight w:val="none"/>
        </w:rPr>
      </w:r>
      <w:r/>
    </w:p>
    <w:p>
      <w:pPr>
        <w:ind w:firstLine="480"/>
        <w:jc w:val="left"/>
        <w:spacing w:line="440" w:lineRule="exact"/>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shd w:val="clear" w:color="auto" w:fill="ffffff"/>
        </w:rPr>
        <w:t xml:space="preserve">3.方式：</w:t>
      </w:r>
      <w:r>
        <w:rPr>
          <w:color w:val="auto"/>
          <w:highlight w:val="none"/>
        </w:rPr>
      </w:r>
      <w:r/>
    </w:p>
    <w:p>
      <w:pPr>
        <w:ind w:firstLine="480"/>
        <w:jc w:val="left"/>
        <w:spacing w:line="440" w:lineRule="exact"/>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shd w:val="clear" w:color="auto" w:fill="ffffff"/>
        </w:rPr>
        <w:t xml:space="preserve">（1）CA证书办理</w:t>
      </w:r>
      <w:r>
        <w:rPr>
          <w:color w:val="auto"/>
          <w:highlight w:val="none"/>
        </w:rPr>
      </w:r>
      <w:r/>
    </w:p>
    <w:p>
      <w:pPr>
        <w:ind w:firstLine="480"/>
        <w:jc w:val="left"/>
        <w:spacing w:line="440" w:lineRule="exact"/>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shd w:val="clear" w:color="auto" w:fill="ffffff"/>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w:t>
      </w:r>
      <w:r>
        <w:rPr>
          <w:rFonts w:hint="eastAsia" w:ascii="宋体" w:hAnsi="宋体" w:cs="宋体"/>
          <w:color w:val="auto"/>
          <w:sz w:val="24"/>
          <w:szCs w:val="24"/>
          <w:highlight w:val="none"/>
          <w:shd w:val="clear" w:color="auto" w:fill="ffffff"/>
        </w:rPr>
        <w:t xml:space="preserve">采云</w:t>
      </w:r>
      <w:r>
        <w:rPr>
          <w:rFonts w:hint="eastAsia" w:ascii="宋体" w:hAnsi="宋体" w:cs="宋体"/>
          <w:color w:val="auto"/>
          <w:sz w:val="24"/>
          <w:szCs w:val="24"/>
          <w:highlight w:val="none"/>
          <w:shd w:val="clear" w:color="auto" w:fill="ffffff"/>
        </w:rPr>
        <w:t xml:space="preserve">”系统登录界面中的“新CA办理指南”。</w:t>
      </w:r>
      <w:r>
        <w:rPr>
          <w:rFonts w:hint="eastAsia" w:ascii="宋体" w:hAnsi="宋体" w:cs="宋体"/>
          <w:b/>
          <w:bCs/>
          <w:color w:val="auto"/>
          <w:sz w:val="24"/>
          <w:szCs w:val="24"/>
          <w:highlight w:val="none"/>
          <w:shd w:val="clear" w:color="auto" w:fill="ffffff"/>
        </w:rPr>
        <w:t xml:space="preserve">“苏</w:t>
      </w:r>
      <w:r>
        <w:rPr>
          <w:rFonts w:hint="eastAsia" w:ascii="宋体" w:hAnsi="宋体" w:cs="宋体"/>
          <w:b/>
          <w:bCs/>
          <w:color w:val="auto"/>
          <w:sz w:val="24"/>
          <w:szCs w:val="24"/>
          <w:highlight w:val="none"/>
          <w:shd w:val="clear" w:color="auto" w:fill="ffffff"/>
        </w:rPr>
        <w:t xml:space="preserve">采云</w:t>
      </w:r>
      <w:r>
        <w:rPr>
          <w:rFonts w:hint="eastAsia" w:ascii="宋体" w:hAnsi="宋体" w:cs="宋体"/>
          <w:b/>
          <w:bCs/>
          <w:color w:val="auto"/>
          <w:sz w:val="24"/>
          <w:szCs w:val="24"/>
          <w:highlight w:val="none"/>
          <w:shd w:val="clear" w:color="auto" w:fill="ffffff"/>
        </w:rPr>
        <w:t xml:space="preserve">”系统目前仅支持“苏</w:t>
      </w:r>
      <w:r>
        <w:rPr>
          <w:rFonts w:hint="eastAsia" w:ascii="宋体" w:hAnsi="宋体" w:cs="宋体"/>
          <w:b/>
          <w:bCs/>
          <w:color w:val="auto"/>
          <w:sz w:val="24"/>
          <w:szCs w:val="24"/>
          <w:highlight w:val="none"/>
          <w:shd w:val="clear" w:color="auto" w:fill="ffffff"/>
        </w:rPr>
        <w:t xml:space="preserve">采云</w:t>
      </w:r>
      <w:r>
        <w:rPr>
          <w:rFonts w:hint="eastAsia" w:ascii="宋体" w:hAnsi="宋体" w:cs="宋体"/>
          <w:b/>
          <w:bCs/>
          <w:color w:val="auto"/>
          <w:sz w:val="24"/>
          <w:szCs w:val="24"/>
          <w:highlight w:val="none"/>
          <w:shd w:val="clear" w:color="auto" w:fill="ffffff"/>
        </w:rPr>
        <w:t xml:space="preserve">”系统下的政务CA证书，江苏省内各地区办理的“苏</w:t>
      </w:r>
      <w:r>
        <w:rPr>
          <w:rFonts w:hint="eastAsia" w:ascii="宋体" w:hAnsi="宋体" w:cs="宋体"/>
          <w:b/>
          <w:bCs/>
          <w:color w:val="auto"/>
          <w:sz w:val="24"/>
          <w:szCs w:val="24"/>
          <w:highlight w:val="none"/>
          <w:shd w:val="clear" w:color="auto" w:fill="ffffff"/>
        </w:rPr>
        <w:t xml:space="preserve">采云</w:t>
      </w:r>
      <w:r>
        <w:rPr>
          <w:rFonts w:hint="eastAsia" w:ascii="宋体" w:hAnsi="宋体" w:cs="宋体"/>
          <w:b/>
          <w:bCs/>
          <w:color w:val="auto"/>
          <w:sz w:val="24"/>
          <w:szCs w:val="24"/>
          <w:highlight w:val="none"/>
          <w:shd w:val="clear" w:color="auto" w:fill="ffffff"/>
        </w:rPr>
        <w:t xml:space="preserve">”系统下的政务CA证书全省通用。</w:t>
      </w:r>
      <w:r>
        <w:rPr>
          <w:rFonts w:hint="eastAsia" w:ascii="宋体" w:hAnsi="宋体" w:cs="宋体"/>
          <w:color w:val="auto"/>
          <w:sz w:val="24"/>
          <w:szCs w:val="24"/>
          <w:highlight w:val="none"/>
          <w:shd w:val="clear" w:color="auto" w:fill="ffffff"/>
        </w:rPr>
        <w:t xml:space="preserve">苏州现场办理地址：苏州市高新区邓尉路105号狮山科技馆1楼服务大厅，咨询电话：0512-69820834。</w:t>
      </w:r>
      <w:r>
        <w:rPr>
          <w:color w:val="auto"/>
          <w:highlight w:val="none"/>
        </w:rPr>
      </w:r>
      <w:r/>
    </w:p>
    <w:p>
      <w:pPr>
        <w:ind w:firstLine="480"/>
        <w:jc w:val="left"/>
        <w:spacing w:line="440" w:lineRule="exact"/>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shd w:val="clear" w:color="auto" w:fill="ffffff"/>
        </w:rPr>
        <w:t xml:space="preserve">（2）参与采购活动</w:t>
      </w:r>
      <w:r>
        <w:rPr>
          <w:color w:val="auto"/>
          <w:highlight w:val="none"/>
        </w:rPr>
      </w:r>
      <w:r/>
    </w:p>
    <w:p>
      <w:pPr>
        <w:ind w:firstLine="480"/>
        <w:jc w:val="left"/>
        <w:spacing w:line="440" w:lineRule="exact"/>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shd w:val="clear" w:color="auto" w:fill="ffffff"/>
        </w:rPr>
        <w:t xml:space="preserve">供应商插入CA证书登陆“苏</w:t>
      </w:r>
      <w:r>
        <w:rPr>
          <w:rFonts w:hint="eastAsia" w:ascii="宋体" w:hAnsi="宋体" w:cs="宋体"/>
          <w:color w:val="auto"/>
          <w:sz w:val="24"/>
          <w:szCs w:val="24"/>
          <w:highlight w:val="none"/>
          <w:shd w:val="clear" w:color="auto" w:fill="ffffff"/>
        </w:rPr>
        <w:t xml:space="preserve">采云</w:t>
      </w:r>
      <w:r>
        <w:rPr>
          <w:rFonts w:hint="eastAsia" w:ascii="宋体" w:hAnsi="宋体" w:cs="宋体"/>
          <w:color w:val="auto"/>
          <w:sz w:val="24"/>
          <w:szCs w:val="24"/>
          <w:highlight w:val="none"/>
          <w:shd w:val="clear" w:color="auto" w:fill="ffffff"/>
        </w:rPr>
        <w:t xml:space="preserve">”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color w:val="auto"/>
          <w:highlight w:val="none"/>
        </w:rPr>
      </w:r>
      <w:r/>
    </w:p>
    <w:p>
      <w:pPr>
        <w:ind w:firstLine="480"/>
        <w:jc w:val="left"/>
        <w:spacing w:line="440" w:lineRule="exact"/>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shd w:val="clear" w:color="auto" w:fill="ffffff"/>
        </w:rPr>
        <w:t xml:space="preserve">（3）电子投标准备</w:t>
      </w:r>
      <w:r>
        <w:rPr>
          <w:color w:val="auto"/>
          <w:highlight w:val="none"/>
        </w:rPr>
      </w:r>
      <w:r/>
    </w:p>
    <w:p>
      <w:pPr>
        <w:ind w:firstLine="480"/>
        <w:jc w:val="left"/>
        <w:spacing w:line="440" w:lineRule="exact"/>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shd w:val="clear" w:color="auto" w:fill="ffffff"/>
        </w:rPr>
        <w:t xml:space="preserve">供应商在“苏</w:t>
      </w:r>
      <w:r>
        <w:rPr>
          <w:rFonts w:hint="eastAsia" w:ascii="宋体" w:hAnsi="宋体" w:cs="宋体"/>
          <w:color w:val="auto"/>
          <w:sz w:val="24"/>
          <w:szCs w:val="24"/>
          <w:highlight w:val="none"/>
          <w:shd w:val="clear" w:color="auto" w:fill="ffffff"/>
        </w:rPr>
        <w:t xml:space="preserve">采云</w:t>
      </w:r>
      <w:r>
        <w:rPr>
          <w:rFonts w:hint="eastAsia" w:ascii="宋体" w:hAnsi="宋体" w:cs="宋体"/>
          <w:color w:val="auto"/>
          <w:sz w:val="24"/>
          <w:szCs w:val="24"/>
          <w:highlight w:val="none"/>
          <w:shd w:val="clear" w:color="auto" w:fill="ffffff"/>
        </w:rPr>
        <w:t xml:space="preserve">”系统中操作成功参与项目后，必须在“已参与项目”界面中下载电子招标文件（后缀名为“.kedt”）并导入政府采购客户端工具后方可进行投标文件制作和提交（</w:t>
      </w:r>
      <w:r>
        <w:rPr>
          <w:rFonts w:hint="eastAsia" w:ascii="宋体" w:hAnsi="宋体" w:cs="宋体"/>
          <w:b/>
          <w:bCs/>
          <w:color w:val="auto"/>
          <w:sz w:val="24"/>
          <w:szCs w:val="24"/>
          <w:highlight w:val="none"/>
          <w:shd w:val="clear" w:color="auto" w:fill="ffffff"/>
        </w:rPr>
        <w:t xml:space="preserve">具体详见《苏</w:t>
      </w:r>
      <w:r>
        <w:rPr>
          <w:rFonts w:hint="eastAsia" w:ascii="宋体" w:hAnsi="宋体" w:cs="宋体"/>
          <w:b/>
          <w:bCs/>
          <w:color w:val="auto"/>
          <w:sz w:val="24"/>
          <w:szCs w:val="24"/>
          <w:highlight w:val="none"/>
          <w:shd w:val="clear" w:color="auto" w:fill="ffffff"/>
        </w:rPr>
        <w:t xml:space="preserve">采云</w:t>
      </w:r>
      <w:r>
        <w:rPr>
          <w:rFonts w:hint="eastAsia" w:ascii="宋体" w:hAnsi="宋体" w:cs="宋体"/>
          <w:b/>
          <w:bCs/>
          <w:color w:val="auto"/>
          <w:sz w:val="24"/>
          <w:szCs w:val="24"/>
          <w:highlight w:val="none"/>
          <w:shd w:val="clear" w:color="auto" w:fill="ffffff"/>
        </w:rPr>
        <w:t xml:space="preserve">系统供应商操作手册》，网址链接https://czju.suzhou.gov.cn/zfcg/html/content/20231220161910031.shtml</w:t>
      </w:r>
      <w:r>
        <w:rPr>
          <w:rFonts w:hint="eastAsia" w:ascii="宋体" w:hAnsi="宋体" w:cs="宋体"/>
          <w:color w:val="auto"/>
          <w:sz w:val="24"/>
          <w:szCs w:val="24"/>
          <w:highlight w:val="none"/>
          <w:shd w:val="clear" w:color="auto" w:fill="ffffff"/>
        </w:rPr>
        <w:t xml:space="preserve">）。</w:t>
      </w:r>
      <w:r>
        <w:rPr>
          <w:color w:val="auto"/>
          <w:highlight w:val="none"/>
        </w:rPr>
      </w:r>
      <w:r/>
    </w:p>
    <w:p>
      <w:pPr>
        <w:ind w:firstLine="480"/>
        <w:jc w:val="left"/>
        <w:spacing w:line="440" w:lineRule="exact"/>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shd w:val="clear" w:color="auto" w:fill="ffffff"/>
        </w:rPr>
        <w:t xml:space="preserve">在系统操作过程中如有疑问，请按以下方式联系：</w:t>
      </w:r>
      <w:r>
        <w:rPr>
          <w:color w:val="auto"/>
          <w:highlight w:val="none"/>
        </w:rPr>
      </w:r>
      <w:r/>
    </w:p>
    <w:p>
      <w:pPr>
        <w:ind w:firstLine="480"/>
        <w:jc w:val="left"/>
        <w:spacing w:line="440" w:lineRule="exact"/>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shd w:val="clear" w:color="auto" w:fill="ffffff"/>
        </w:rPr>
        <w:t xml:space="preserve">注册咨询：18261002950；</w:t>
      </w:r>
      <w:r>
        <w:rPr>
          <w:color w:val="auto"/>
          <w:highlight w:val="none"/>
        </w:rPr>
      </w:r>
      <w:r/>
    </w:p>
    <w:p>
      <w:pPr>
        <w:ind w:firstLine="480"/>
        <w:jc w:val="left"/>
        <w:spacing w:line="440" w:lineRule="exact"/>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shd w:val="clear" w:color="auto" w:fill="ffffff"/>
        </w:rPr>
        <w:t xml:space="preserve">CA技术咨询电话：400-608-6099；</w:t>
      </w:r>
      <w:r>
        <w:rPr>
          <w:color w:val="auto"/>
          <w:highlight w:val="none"/>
        </w:rPr>
      </w:r>
      <w:r/>
    </w:p>
    <w:p>
      <w:pPr>
        <w:ind w:firstLine="480"/>
        <w:jc w:val="left"/>
        <w:spacing w:line="440" w:lineRule="exact"/>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shd w:val="clear" w:color="auto" w:fill="ffffff"/>
        </w:rPr>
        <w:t xml:space="preserve">签章使用问题：025-83633811、025-83633812、15380932027、15371015030；</w:t>
      </w:r>
      <w:r>
        <w:rPr>
          <w:color w:val="auto"/>
          <w:highlight w:val="none"/>
        </w:rPr>
      </w:r>
      <w:r/>
    </w:p>
    <w:p>
      <w:pPr>
        <w:ind w:firstLine="480"/>
        <w:jc w:val="left"/>
        <w:spacing w:line="440" w:lineRule="exact"/>
        <w:shd w:val="clear" w:color="auto" w:fill="ffffff"/>
        <w:widowControl/>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 xml:space="preserve">系统使用指导与咨询：联系电话：18261002950；QQ：3048755361、1315179389、895706745。</w:t>
      </w:r>
      <w:r>
        <w:rPr>
          <w:color w:val="auto"/>
          <w:highlight w:val="none"/>
        </w:rPr>
      </w:r>
      <w:r/>
    </w:p>
    <w:p>
      <w:pPr>
        <w:ind w:firstLine="480"/>
        <w:jc w:val="left"/>
        <w:spacing w:line="440" w:lineRule="exact"/>
        <w:shd w:val="clear" w:color="auto" w:fill="ffffff"/>
        <w:widowControl/>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 xml:space="preserve">4.售价：免费</w:t>
      </w:r>
      <w:r>
        <w:rPr>
          <w:color w:val="auto"/>
          <w:highlight w:val="none"/>
        </w:rPr>
      </w:r>
      <w:r/>
    </w:p>
    <w:p>
      <w:pPr>
        <w:ind w:firstLine="482"/>
        <w:jc w:val="left"/>
        <w:spacing w:line="440" w:lineRule="exact"/>
        <w:widowControl/>
        <w:rPr>
          <w:rFonts w:ascii="宋体" w:hAnsi="宋体" w:cs="宋体"/>
          <w:b/>
          <w:color w:val="auto"/>
          <w:sz w:val="24"/>
          <w:szCs w:val="24"/>
          <w:highlight w:val="none"/>
        </w:rPr>
      </w:pPr>
      <w:r>
        <w:rPr>
          <w:rFonts w:hint="eastAsia" w:ascii="宋体" w:hAnsi="宋体" w:cs="宋体"/>
          <w:b/>
          <w:color w:val="auto"/>
          <w:sz w:val="24"/>
          <w:szCs w:val="24"/>
          <w:highlight w:val="none"/>
        </w:rPr>
        <w:t xml:space="preserve">五、提交投标文件截止时间、开标时间和地点</w:t>
      </w:r>
      <w:r>
        <w:rPr>
          <w:color w:val="auto"/>
          <w:highlight w:val="none"/>
        </w:rPr>
      </w:r>
      <w:r/>
    </w:p>
    <w:p>
      <w:pPr>
        <w:ind w:firstLine="480"/>
        <w:jc w:val="left"/>
        <w:spacing w:line="440" w:lineRule="exact"/>
        <w:shd w:val="clear" w:color="auto" w:fill="ffffff"/>
        <w:widowControl/>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 xml:space="preserve">1.提交投标文件截止时间：2026年06月16</w:t>
      </w:r>
      <w:r>
        <w:rPr>
          <w:rFonts w:hint="eastAsia" w:ascii="宋体" w:hAnsi="宋体" w:cs="宋体"/>
          <w:color w:val="auto"/>
          <w:sz w:val="24"/>
          <w:szCs w:val="24"/>
          <w:highlight w:val="none"/>
          <w:shd w:val="clear" w:color="auto" w:fill="ffffff"/>
        </w:rPr>
        <w:t xml:space="preserve">日13点30分（北京时间）；</w:t>
      </w:r>
      <w:r>
        <w:rPr>
          <w:color w:val="auto"/>
          <w:highlight w:val="none"/>
        </w:rPr>
      </w:r>
      <w:r/>
    </w:p>
    <w:p>
      <w:pPr>
        <w:ind w:firstLine="480"/>
        <w:jc w:val="left"/>
        <w:spacing w:line="440" w:lineRule="exact"/>
        <w:shd w:val="clear" w:color="auto" w:fill="ffffff"/>
        <w:widowControl/>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 xml:space="preserve">2.开标时间：2026年06月</w:t>
      </w:r>
      <w:r>
        <w:rPr>
          <w:rFonts w:hint="eastAsia" w:ascii="宋体" w:hAnsi="宋体" w:cs="宋体"/>
          <w:color w:val="auto"/>
          <w:sz w:val="24"/>
          <w:szCs w:val="24"/>
          <w:highlight w:val="none"/>
          <w:shd w:val="clear" w:color="auto" w:fill="ffffff"/>
        </w:rPr>
        <w:t xml:space="preserve">16</w:t>
      </w:r>
      <w:r>
        <w:rPr>
          <w:rFonts w:hint="eastAsia" w:ascii="宋体" w:hAnsi="宋体" w:cs="宋体"/>
          <w:color w:val="auto"/>
          <w:sz w:val="24"/>
          <w:szCs w:val="24"/>
          <w:highlight w:val="none"/>
          <w:shd w:val="clear" w:color="auto" w:fill="ffffff"/>
        </w:rPr>
        <w:t xml:space="preserve">日13点30分（北京时间）；</w:t>
      </w:r>
      <w:r>
        <w:rPr>
          <w:color w:val="auto"/>
          <w:highlight w:val="none"/>
        </w:rPr>
      </w:r>
      <w:r/>
    </w:p>
    <w:p>
      <w:pPr>
        <w:ind w:firstLine="480"/>
        <w:jc w:val="left"/>
        <w:spacing w:line="440" w:lineRule="exact"/>
        <w:shd w:val="clear" w:color="auto" w:fill="ffffff"/>
        <w:widowControl/>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 xml:space="preserve">3.开标地点：“苏</w:t>
      </w:r>
      <w:r>
        <w:rPr>
          <w:rFonts w:hint="eastAsia" w:ascii="宋体" w:hAnsi="宋体" w:cs="宋体"/>
          <w:color w:val="auto"/>
          <w:sz w:val="24"/>
          <w:szCs w:val="24"/>
          <w:highlight w:val="none"/>
          <w:shd w:val="clear" w:color="auto" w:fill="ffffff"/>
        </w:rPr>
        <w:t xml:space="preserve">采云</w:t>
      </w:r>
      <w:r>
        <w:rPr>
          <w:rFonts w:hint="eastAsia" w:ascii="宋体" w:hAnsi="宋体" w:cs="宋体"/>
          <w:color w:val="auto"/>
          <w:sz w:val="24"/>
          <w:szCs w:val="24"/>
          <w:highlight w:val="none"/>
          <w:shd w:val="clear" w:color="auto" w:fill="ffffff"/>
        </w:rPr>
        <w:t xml:space="preserve">”系统（网址：http://jszfcg.jsczt.cn/）</w:t>
      </w:r>
      <w:r>
        <w:rPr>
          <w:color w:val="auto"/>
          <w:highlight w:val="none"/>
        </w:rPr>
      </w:r>
      <w:r/>
    </w:p>
    <w:p>
      <w:pPr>
        <w:ind w:firstLine="480"/>
        <w:jc w:val="left"/>
        <w:spacing w:line="440" w:lineRule="exact"/>
        <w:shd w:val="clear" w:color="auto" w:fill="ffffff"/>
        <w:widowControl/>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 xml:space="preserve">4.本项目采用电子招投标形式，请供应商按照《苏</w:t>
      </w:r>
      <w:r>
        <w:rPr>
          <w:rFonts w:hint="eastAsia" w:ascii="宋体" w:hAnsi="宋体" w:cs="宋体"/>
          <w:color w:val="auto"/>
          <w:sz w:val="24"/>
          <w:szCs w:val="24"/>
          <w:highlight w:val="none"/>
          <w:shd w:val="clear" w:color="auto" w:fill="ffffff"/>
        </w:rPr>
        <w:t xml:space="preserve">采云</w:t>
      </w:r>
      <w:r>
        <w:rPr>
          <w:rFonts w:hint="eastAsia" w:ascii="宋体" w:hAnsi="宋体" w:cs="宋体"/>
          <w:color w:val="auto"/>
          <w:sz w:val="24"/>
          <w:szCs w:val="24"/>
          <w:highlight w:val="none"/>
          <w:shd w:val="clear" w:color="auto" w:fill="ffffff"/>
        </w:rPr>
        <w:t xml:space="preserve">系统供应商操作手册》进行制作、上传电子投标文件。电子投标文件制作完成后请于投标文件递交截止时间前成功上传至“苏</w:t>
      </w:r>
      <w:r>
        <w:rPr>
          <w:rFonts w:hint="eastAsia" w:ascii="宋体" w:hAnsi="宋体" w:cs="宋体"/>
          <w:color w:val="auto"/>
          <w:sz w:val="24"/>
          <w:szCs w:val="24"/>
          <w:highlight w:val="none"/>
          <w:shd w:val="clear" w:color="auto" w:fill="ffffff"/>
        </w:rPr>
        <w:t xml:space="preserve">采云</w:t>
      </w:r>
      <w:r>
        <w:rPr>
          <w:rFonts w:hint="eastAsia" w:ascii="宋体" w:hAnsi="宋体" w:cs="宋体"/>
          <w:color w:val="auto"/>
          <w:sz w:val="24"/>
          <w:szCs w:val="24"/>
          <w:highlight w:val="none"/>
          <w:shd w:val="clear" w:color="auto" w:fill="ffffff"/>
        </w:rPr>
        <w:t xml:space="preserve">”系统，否则视为放弃参加该采购项目。供应商应充分考虑到网络环境、网络带宽等风险因素，如因供应商自身原因造成的电子投标文件上传不成功由供应商自行承担全部责任。</w:t>
      </w:r>
      <w:r>
        <w:rPr>
          <w:color w:val="auto"/>
          <w:highlight w:val="none"/>
        </w:rPr>
      </w:r>
      <w:r/>
    </w:p>
    <w:p>
      <w:pPr>
        <w:ind w:firstLine="480"/>
        <w:jc w:val="left"/>
        <w:spacing w:line="440" w:lineRule="exact"/>
        <w:shd w:val="clear" w:color="auto" w:fill="ffffff"/>
        <w:widowControl/>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 xml:space="preserve">5.线上参加开标（开启）会方式：供应商登录“苏</w:t>
      </w:r>
      <w:r>
        <w:rPr>
          <w:rFonts w:hint="eastAsia" w:ascii="宋体" w:hAnsi="宋体" w:cs="宋体"/>
          <w:color w:val="auto"/>
          <w:sz w:val="24"/>
          <w:szCs w:val="24"/>
          <w:highlight w:val="none"/>
          <w:shd w:val="clear" w:color="auto" w:fill="ffffff"/>
        </w:rPr>
        <w:t xml:space="preserve">采云</w:t>
      </w:r>
      <w:r>
        <w:rPr>
          <w:rFonts w:hint="eastAsia" w:ascii="宋体" w:hAnsi="宋体" w:cs="宋体"/>
          <w:color w:val="auto"/>
          <w:sz w:val="24"/>
          <w:szCs w:val="24"/>
          <w:highlight w:val="none"/>
          <w:shd w:val="clear" w:color="auto" w:fill="ffffff"/>
        </w:rPr>
        <w:t xml:space="preserve">”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rPr>
          <w:color w:val="auto"/>
          <w:highlight w:val="none"/>
        </w:rPr>
      </w:r>
      <w:r/>
    </w:p>
    <w:p>
      <w:pPr>
        <w:ind w:firstLine="480"/>
        <w:jc w:val="left"/>
        <w:spacing w:line="440" w:lineRule="exact"/>
        <w:shd w:val="clear" w:color="auto" w:fill="ffffff"/>
        <w:widowControl/>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 xml:space="preserve">请供应商确保电脑、系统及其他设备（视频输入输出设备等）无误，且开标直至项目结束始终保持系统在线状态。</w:t>
      </w:r>
      <w:r>
        <w:rPr>
          <w:color w:val="auto"/>
          <w:highlight w:val="none"/>
        </w:rPr>
      </w:r>
      <w:r/>
    </w:p>
    <w:p>
      <w:pPr>
        <w:ind w:firstLine="482"/>
        <w:jc w:val="left"/>
        <w:spacing w:line="440" w:lineRule="exact"/>
        <w:widowControl/>
        <w:rPr>
          <w:rFonts w:ascii="宋体" w:hAnsi="宋体" w:cs="宋体"/>
          <w:b/>
          <w:color w:val="auto"/>
          <w:sz w:val="24"/>
          <w:szCs w:val="24"/>
          <w:highlight w:val="none"/>
        </w:rPr>
      </w:pPr>
      <w:r>
        <w:rPr>
          <w:rFonts w:hint="eastAsia" w:ascii="宋体" w:hAnsi="宋体" w:cs="宋体"/>
          <w:b/>
          <w:color w:val="auto"/>
          <w:sz w:val="24"/>
          <w:szCs w:val="24"/>
          <w:highlight w:val="none"/>
        </w:rPr>
        <w:t xml:space="preserve">六、公告期限</w:t>
      </w:r>
      <w:r>
        <w:rPr>
          <w:color w:val="auto"/>
          <w:highlight w:val="none"/>
        </w:rPr>
      </w:r>
      <w:r/>
    </w:p>
    <w:p>
      <w:pPr>
        <w:ind w:firstLine="480"/>
        <w:jc w:val="left"/>
        <w:spacing w:line="440" w:lineRule="exact"/>
        <w:shd w:val="clear" w:color="auto" w:fill="ffffff"/>
        <w:widowControl/>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 xml:space="preserve">自本公告发布之日起 5个工作日。</w:t>
      </w:r>
      <w:r>
        <w:rPr>
          <w:color w:val="auto"/>
          <w:highlight w:val="none"/>
        </w:rPr>
      </w:r>
      <w:r/>
    </w:p>
    <w:p>
      <w:pPr>
        <w:ind w:firstLine="482"/>
        <w:jc w:val="left"/>
        <w:spacing w:line="440" w:lineRule="exact"/>
        <w:widowControl/>
        <w:rPr>
          <w:rFonts w:ascii="宋体" w:hAnsi="宋体" w:cs="宋体"/>
          <w:b/>
          <w:color w:val="auto"/>
          <w:sz w:val="24"/>
          <w:szCs w:val="24"/>
          <w:highlight w:val="none"/>
        </w:rPr>
      </w:pPr>
      <w:r>
        <w:rPr>
          <w:rFonts w:hint="eastAsia" w:ascii="宋体" w:hAnsi="宋体" w:cs="宋体"/>
          <w:b/>
          <w:color w:val="auto"/>
          <w:sz w:val="24"/>
          <w:szCs w:val="24"/>
          <w:highlight w:val="none"/>
        </w:rPr>
        <w:t xml:space="preserve">七、其他补充事宜</w:t>
      </w:r>
      <w:r>
        <w:rPr>
          <w:color w:val="auto"/>
          <w:highlight w:val="none"/>
        </w:rPr>
      </w:r>
      <w:r/>
    </w:p>
    <w:p>
      <w:pPr>
        <w:ind w:firstLine="480"/>
        <w:jc w:val="left"/>
        <w:spacing w:line="440" w:lineRule="exact"/>
        <w:widowControl/>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fldChar w:fldCharType="begin"/>
      </w:r>
      <w:r>
        <w:rPr>
          <w:rFonts w:hint="eastAsia" w:ascii="宋体" w:hAnsi="宋体" w:cs="宋体"/>
          <w:color w:val="auto"/>
          <w:sz w:val="24"/>
          <w:szCs w:val="24"/>
          <w:highlight w:val="none"/>
          <w:shd w:val="clear" w:color="auto" w:fill="ffffff"/>
        </w:rPr>
        <w:instrText xml:space="preserve"> HYPERLINK "https://czju.suzhou.gov.cn/zfcg/html/project/516a87a08a4d4ab08e339d7a32872822.shtml" </w:instrText>
      </w:r>
      <w:r>
        <w:rPr>
          <w:rFonts w:hint="eastAsia" w:ascii="宋体" w:hAnsi="宋体" w:cs="宋体"/>
          <w:color w:val="auto"/>
          <w:sz w:val="24"/>
          <w:szCs w:val="24"/>
          <w:highlight w:val="none"/>
          <w:shd w:val="clear" w:color="auto" w:fill="ffffff"/>
        </w:rPr>
        <w:fldChar w:fldCharType="separate"/>
      </w:r>
      <w:r>
        <w:rPr>
          <w:rFonts w:hint="eastAsia" w:ascii="宋体" w:hAnsi="宋体" w:cs="宋体"/>
          <w:color w:val="auto"/>
          <w:sz w:val="24"/>
          <w:szCs w:val="24"/>
          <w:highlight w:val="none"/>
          <w:shd w:val="clear" w:color="auto" w:fill="ffffff"/>
        </w:rPr>
        <w:t xml:space="preserve">1.本次采购的有关信息在以下网站上发布：江苏政府采购网、苏州市政府采购网；</w:t>
      </w:r>
      <w:r>
        <w:rPr>
          <w:color w:val="auto"/>
          <w:highlight w:val="none"/>
        </w:rPr>
      </w:r>
      <w:r/>
    </w:p>
    <w:p>
      <w:pPr>
        <w:ind w:firstLine="480"/>
        <w:jc w:val="left"/>
        <w:spacing w:line="440" w:lineRule="exact"/>
        <w:widowControl/>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 xml:space="preserve">2.有关该采购项目的澄清、修正及中标等信息亦在以上网站发布，请随时关注。</w:t>
      </w:r>
      <w:r>
        <w:rPr>
          <w:color w:val="auto"/>
          <w:highlight w:val="none"/>
        </w:rPr>
      </w:r>
      <w:r/>
    </w:p>
    <w:p>
      <w:pPr>
        <w:ind w:firstLine="480"/>
        <w:jc w:val="left"/>
        <w:spacing w:line="440" w:lineRule="exact"/>
        <w:widowControl/>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fldChar w:fldCharType="end"/>
      </w:r>
      <w:bookmarkStart w:id="2" w:name="_Toc35393796"/>
      <w:r>
        <w:rPr>
          <w:color w:val="auto"/>
          <w:highlight w:val="none"/>
        </w:rPr>
        <w:fldChar w:fldCharType="begin"/>
      </w:r>
      <w:r>
        <w:rPr>
          <w:color w:val="auto"/>
          <w:highlight w:val="none"/>
        </w:rPr>
        <w:instrText xml:space="preserve"> HYPERLINK "https://czju.suzhou.gov.cn/zfcg/html/project/516a87a08a4d4ab08e339d7a32872822.shtml" </w:instrText>
      </w:r>
      <w:r>
        <w:rPr>
          <w:color w:val="auto"/>
          <w:highlight w:val="none"/>
        </w:rPr>
        <w:fldChar w:fldCharType="end"/>
      </w:r>
      <w:bookmarkStart w:id="3" w:name="_Toc35393627"/>
      <w:r>
        <w:rPr>
          <w:color w:val="auto"/>
          <w:highlight w:val="none"/>
        </w:rPr>
      </w:r>
      <w:bookmarkEnd w:id="2"/>
      <w:r>
        <w:rPr>
          <w:rFonts w:hint="eastAsia" w:ascii="宋体" w:hAnsi="宋体" w:cs="宋体"/>
          <w:color w:val="auto"/>
          <w:sz w:val="24"/>
          <w:szCs w:val="24"/>
          <w:highlight w:val="none"/>
          <w:shd w:val="clear" w:color="auto" w:fill="ffffff"/>
        </w:rPr>
        <w:fldChar w:fldCharType="begin"/>
      </w:r>
      <w:r>
        <w:rPr>
          <w:rFonts w:hint="eastAsia" w:ascii="宋体" w:hAnsi="宋体" w:cs="宋体"/>
          <w:color w:val="auto"/>
          <w:sz w:val="24"/>
          <w:szCs w:val="24"/>
          <w:highlight w:val="none"/>
          <w:shd w:val="clear" w:color="auto" w:fill="ffffff"/>
        </w:rPr>
        <w:instrText xml:space="preserve"> HYPERLINK "https://czju.suzhou.gov.cn/zfcg/html/project/516a87a08a4d4ab08e339d7a32872822.shtml" </w:instrText>
      </w:r>
      <w:r>
        <w:rPr>
          <w:rFonts w:hint="eastAsia" w:ascii="宋体" w:hAnsi="宋体" w:cs="宋体"/>
          <w:color w:val="auto"/>
          <w:sz w:val="24"/>
          <w:szCs w:val="24"/>
          <w:highlight w:val="none"/>
          <w:shd w:val="clear" w:color="auto" w:fill="ffffff"/>
        </w:rPr>
        <w:fldChar w:fldCharType="separate"/>
      </w:r>
      <w:r>
        <w:rPr>
          <w:rFonts w:hint="eastAsia" w:ascii="宋体" w:hAnsi="宋体" w:cs="宋体"/>
          <w:color w:val="auto"/>
          <w:sz w:val="24"/>
          <w:szCs w:val="24"/>
          <w:highlight w:val="none"/>
          <w:shd w:val="clear" w:color="auto" w:fill="ffffff"/>
        </w:rPr>
        <w:t xml:space="preserve">3.本项目获取招标文件截止日期之后仍可以下载招标文件，但截止日期之后下载的招标文件，视为非有效方式且不作为供应商权益受到损害的证明材料和依据。</w:t>
      </w:r>
      <w:bookmarkEnd w:id="3"/>
      <w:r>
        <w:rPr>
          <w:rFonts w:hint="eastAsia" w:ascii="宋体" w:hAnsi="宋体" w:cs="宋体"/>
          <w:color w:val="auto"/>
          <w:sz w:val="24"/>
          <w:szCs w:val="24"/>
          <w:highlight w:val="none"/>
          <w:shd w:val="clear" w:color="auto" w:fill="ffffff"/>
        </w:rPr>
        <w:fldChar w:fldCharType="end"/>
      </w:r>
      <w:r>
        <w:rPr>
          <w:color w:val="auto"/>
          <w:highlight w:val="none"/>
        </w:rPr>
      </w:r>
      <w:r/>
    </w:p>
    <w:p>
      <w:pPr>
        <w:ind w:firstLine="482"/>
        <w:jc w:val="left"/>
        <w:spacing w:line="440" w:lineRule="exact"/>
        <w:widowControl/>
        <w:rPr>
          <w:rFonts w:ascii="宋体" w:hAnsi="宋体" w:cs="宋体"/>
          <w:color w:val="auto"/>
          <w:sz w:val="24"/>
          <w:szCs w:val="24"/>
          <w:highlight w:val="none"/>
        </w:rPr>
      </w:pPr>
      <w:r>
        <w:rPr>
          <w:rFonts w:hint="eastAsia" w:ascii="宋体" w:hAnsi="宋体" w:cs="宋体"/>
          <w:b/>
          <w:color w:val="auto"/>
          <w:sz w:val="24"/>
          <w:szCs w:val="24"/>
          <w:highlight w:val="none"/>
        </w:rPr>
        <w:t xml:space="preserve">八、对本次招标提出询问，请按以下方式联系：</w:t>
      </w:r>
      <w:r>
        <w:rPr>
          <w:color w:val="auto"/>
          <w:highlight w:val="none"/>
        </w:rPr>
      </w:r>
      <w:r/>
    </w:p>
    <w:p>
      <w:pPr>
        <w:ind w:firstLine="480"/>
        <w:jc w:val="left"/>
        <w:spacing w:line="440" w:lineRule="exact"/>
        <w:widowControl/>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 xml:space="preserve">1.采购人信息</w:t>
      </w:r>
      <w:r>
        <w:rPr>
          <w:color w:val="auto"/>
          <w:highlight w:val="none"/>
        </w:rPr>
      </w:r>
      <w:r/>
    </w:p>
    <w:p>
      <w:pPr>
        <w:ind w:firstLine="480"/>
        <w:jc w:val="left"/>
        <w:spacing w:line="440" w:lineRule="exact"/>
        <w:widowControl/>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 xml:space="preserve">名   称：苏州市相城生态环境局</w:t>
      </w:r>
      <w:r>
        <w:rPr>
          <w:color w:val="auto"/>
          <w:highlight w:val="none"/>
        </w:rPr>
      </w:r>
      <w:r/>
    </w:p>
    <w:p>
      <w:pPr>
        <w:ind w:firstLine="480"/>
        <w:jc w:val="left"/>
        <w:spacing w:line="440" w:lineRule="exact"/>
        <w:widowControl/>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 xml:space="preserve">地    址：苏州市相城区阳澄湖东路8号</w:t>
      </w:r>
      <w:r>
        <w:rPr>
          <w:color w:val="auto"/>
          <w:highlight w:val="none"/>
        </w:rPr>
      </w:r>
      <w:r/>
    </w:p>
    <w:p>
      <w:pPr>
        <w:ind w:firstLine="480"/>
        <w:jc w:val="left"/>
        <w:spacing w:line="440" w:lineRule="exact"/>
        <w:widowControl/>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 xml:space="preserve">联 系 人：殷小伟</w:t>
      </w:r>
      <w:r>
        <w:rPr>
          <w:color w:val="auto"/>
          <w:highlight w:val="none"/>
        </w:rPr>
      </w:r>
      <w:r/>
    </w:p>
    <w:p>
      <w:pPr>
        <w:ind w:firstLine="480"/>
        <w:jc w:val="left"/>
        <w:spacing w:line="440" w:lineRule="exact"/>
        <w:widowControl/>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 xml:space="preserve">联系电话：0512-66156159</w:t>
      </w:r>
      <w:r>
        <w:rPr>
          <w:color w:val="auto"/>
          <w:highlight w:val="none"/>
        </w:rPr>
      </w:r>
      <w:r/>
    </w:p>
    <w:p>
      <w:pPr>
        <w:ind w:firstLine="480"/>
        <w:jc w:val="left"/>
        <w:spacing w:line="440" w:lineRule="exact"/>
        <w:widowControl/>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 xml:space="preserve">2.采购代理机构信息</w:t>
      </w:r>
      <w:r>
        <w:rPr>
          <w:color w:val="auto"/>
          <w:highlight w:val="none"/>
        </w:rPr>
      </w:r>
      <w:r/>
    </w:p>
    <w:p>
      <w:pPr>
        <w:ind w:firstLine="480"/>
        <w:jc w:val="left"/>
        <w:spacing w:line="440" w:lineRule="exact"/>
        <w:widowControl/>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 xml:space="preserve">名称：苏州</w:t>
      </w:r>
      <w:r>
        <w:rPr>
          <w:rFonts w:hint="eastAsia" w:ascii="宋体" w:hAnsi="宋体" w:cs="宋体"/>
          <w:color w:val="auto"/>
          <w:sz w:val="24"/>
          <w:szCs w:val="24"/>
          <w:highlight w:val="none"/>
          <w:shd w:val="clear" w:color="auto" w:fill="ffffff"/>
        </w:rPr>
        <w:t xml:space="preserve">久诺招</w:t>
      </w:r>
      <w:r>
        <w:rPr>
          <w:rFonts w:hint="eastAsia" w:ascii="宋体" w:hAnsi="宋体" w:cs="宋体"/>
          <w:color w:val="auto"/>
          <w:sz w:val="24"/>
          <w:szCs w:val="24"/>
          <w:highlight w:val="none"/>
          <w:shd w:val="clear" w:color="auto" w:fill="ffffff"/>
        </w:rPr>
        <w:t xml:space="preserve">投标咨询服务有限公司 </w:t>
      </w:r>
      <w:r>
        <w:rPr>
          <w:color w:val="auto"/>
          <w:highlight w:val="none"/>
        </w:rPr>
      </w:r>
      <w:r/>
    </w:p>
    <w:p>
      <w:pPr>
        <w:ind w:firstLine="480"/>
        <w:jc w:val="left"/>
        <w:spacing w:line="440" w:lineRule="exact"/>
        <w:widowControl/>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 xml:space="preserve">地址：苏州市高新区</w:t>
      </w:r>
      <w:r>
        <w:rPr>
          <w:rFonts w:hint="eastAsia" w:ascii="宋体" w:hAnsi="宋体" w:cs="宋体"/>
          <w:color w:val="auto"/>
          <w:sz w:val="24"/>
          <w:szCs w:val="24"/>
          <w:highlight w:val="none"/>
          <w:shd w:val="clear" w:color="auto" w:fill="ffffff"/>
        </w:rPr>
        <w:t xml:space="preserve">狮</w:t>
      </w:r>
      <w:r>
        <w:rPr>
          <w:rFonts w:hint="eastAsia" w:ascii="宋体" w:hAnsi="宋体" w:cs="宋体"/>
          <w:color w:val="auto"/>
          <w:sz w:val="24"/>
          <w:szCs w:val="24"/>
          <w:highlight w:val="none"/>
          <w:shd w:val="clear" w:color="auto" w:fill="ffffff"/>
        </w:rPr>
        <w:t xml:space="preserve">山路金狮大厦一楼103室</w:t>
      </w:r>
      <w:r>
        <w:rPr>
          <w:color w:val="auto"/>
          <w:highlight w:val="none"/>
        </w:rPr>
      </w:r>
      <w:r/>
    </w:p>
    <w:p>
      <w:pPr>
        <w:ind w:firstLine="480"/>
        <w:jc w:val="left"/>
        <w:spacing w:line="440" w:lineRule="exact"/>
        <w:widowControl/>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 xml:space="preserve">项目联系人：张伟</w:t>
      </w:r>
      <w:r>
        <w:rPr>
          <w:color w:val="auto"/>
          <w:highlight w:val="none"/>
        </w:rPr>
      </w:r>
      <w:r/>
    </w:p>
    <w:p>
      <w:pPr>
        <w:ind w:firstLine="480"/>
        <w:jc w:val="left"/>
        <w:spacing w:line="440" w:lineRule="exact"/>
        <w:widowControl/>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 xml:space="preserve">联系方式：</w:t>
      </w:r>
      <w:r>
        <w:rPr>
          <w:rFonts w:ascii="宋体" w:hAnsi="宋体" w:cs="宋体"/>
          <w:color w:val="auto"/>
          <w:sz w:val="24"/>
          <w:szCs w:val="24"/>
          <w:highlight w:val="none"/>
          <w:shd w:val="clear" w:color="auto" w:fill="ffffff"/>
        </w:rPr>
        <w:t xml:space="preserve">0512</w:t>
      </w:r>
      <w:r>
        <w:rPr>
          <w:rFonts w:hint="eastAsia" w:ascii="宋体" w:hAnsi="宋体" w:cs="宋体"/>
          <w:color w:val="auto"/>
          <w:sz w:val="24"/>
          <w:szCs w:val="24"/>
          <w:highlight w:val="none"/>
          <w:shd w:val="clear" w:color="auto" w:fill="ffffff"/>
        </w:rPr>
        <w:t xml:space="preserve">-</w:t>
      </w:r>
      <w:r>
        <w:rPr>
          <w:rFonts w:ascii="宋体" w:hAnsi="宋体" w:cs="宋体"/>
          <w:color w:val="auto"/>
          <w:sz w:val="24"/>
          <w:szCs w:val="24"/>
          <w:highlight w:val="none"/>
          <w:shd w:val="clear" w:color="auto" w:fill="ffffff"/>
        </w:rPr>
        <w:t xml:space="preserve">63274291</w:t>
      </w:r>
      <w:r>
        <w:rPr>
          <w:rFonts w:hint="eastAsia" w:ascii="宋体" w:hAnsi="宋体" w:cs="宋体"/>
          <w:color w:val="auto"/>
          <w:sz w:val="24"/>
          <w:szCs w:val="24"/>
          <w:highlight w:val="none"/>
          <w:shd w:val="clear" w:color="auto" w:fill="ffffff"/>
        </w:rPr>
        <w:t xml:space="preserve"> </w:t>
      </w:r>
      <w:r>
        <w:rPr>
          <w:rFonts w:ascii="宋体" w:hAnsi="宋体" w:cs="宋体"/>
          <w:color w:val="auto"/>
          <w:sz w:val="24"/>
          <w:szCs w:val="24"/>
          <w:highlight w:val="none"/>
          <w:shd w:val="clear" w:color="auto" w:fill="ffffff"/>
        </w:rPr>
        <w:t xml:space="preserve"> </w:t>
      </w:r>
      <w:bookmarkEnd w:id="1"/>
      <w:r>
        <w:rPr>
          <w:color w:val="auto"/>
          <w:highlight w:val="none"/>
        </w:rPr>
      </w:r>
      <w:r/>
    </w:p>
    <w:p>
      <w:pPr>
        <w:pStyle w:val="785"/>
        <w:rPr>
          <w:rFonts w:ascii="宋体" w:hAnsi="宋体" w:cs="宋体"/>
          <w:color w:val="auto"/>
          <w:sz w:val="24"/>
          <w:szCs w:val="24"/>
          <w:highlight w:val="none"/>
          <w:shd w:val="clear" w:color="auto" w:fill="ffffff"/>
        </w:rPr>
      </w:pPr>
      <w:r>
        <w:rPr>
          <w:rFonts w:ascii="宋体" w:hAnsi="宋体" w:cs="宋体"/>
          <w:color w:val="auto"/>
          <w:sz w:val="24"/>
          <w:szCs w:val="24"/>
          <w:highlight w:val="none"/>
          <w:shd w:val="clear" w:color="auto" w:fill="ffffff"/>
        </w:rPr>
      </w:r>
      <w:r>
        <w:rPr>
          <w:color w:val="auto"/>
          <w:highlight w:val="none"/>
        </w:rPr>
      </w:r>
      <w:r/>
    </w:p>
    <w:p>
      <w:pPr>
        <w:rPr>
          <w:rFonts w:ascii="Times New Roman" w:hAnsi="Times New Roman"/>
          <w:b/>
          <w:bCs/>
          <w:caps/>
          <w:color w:val="auto"/>
          <w:sz w:val="36"/>
          <w:szCs w:val="36"/>
          <w:highlight w:val="none"/>
        </w:rPr>
      </w:pPr>
      <w:r>
        <w:rPr>
          <w:rFonts w:hint="eastAsia" w:ascii="Times New Roman" w:hAnsi="Times New Roman"/>
          <w:b/>
          <w:bCs/>
          <w:caps/>
          <w:color w:val="auto"/>
          <w:sz w:val="36"/>
          <w:szCs w:val="36"/>
          <w:highlight w:val="none"/>
        </w:rPr>
        <w:br w:type="page" w:clear="all"/>
      </w:r>
      <w:r>
        <w:rPr>
          <w:color w:val="auto"/>
          <w:highlight w:val="none"/>
        </w:rPr>
      </w:r>
      <w:r/>
    </w:p>
    <w:p>
      <w:pPr>
        <w:numPr>
          <w:ilvl w:val="0"/>
          <w:numId w:val="8"/>
        </w:numPr>
        <w:jc w:val="center"/>
        <w:spacing w:before="75" w:after="75"/>
        <w:widowControl/>
        <w:rPr>
          <w:rFonts w:ascii="Times New Roman" w:hAnsi="Times New Roman"/>
          <w:b/>
          <w:bCs/>
          <w:caps/>
          <w:color w:val="auto"/>
          <w:sz w:val="36"/>
          <w:szCs w:val="36"/>
          <w:highlight w:val="none"/>
        </w:rPr>
      </w:pPr>
      <w:r>
        <w:rPr>
          <w:rFonts w:hint="eastAsia" w:ascii="Times New Roman" w:hAnsi="Times New Roman"/>
          <w:b/>
          <w:bCs/>
          <w:caps/>
          <w:color w:val="auto"/>
          <w:sz w:val="36"/>
          <w:szCs w:val="36"/>
          <w:highlight w:val="none"/>
        </w:rPr>
        <w:t xml:space="preserve"> </w:t>
      </w:r>
      <w:r>
        <w:rPr>
          <w:rFonts w:hint="eastAsia" w:ascii="Times New Roman" w:hAnsi="Times New Roman"/>
          <w:b/>
          <w:bCs/>
          <w:caps/>
          <w:color w:val="auto"/>
          <w:sz w:val="36"/>
          <w:szCs w:val="36"/>
          <w:highlight w:val="none"/>
        </w:rPr>
        <w:t xml:space="preserve">投标人须知</w:t>
      </w:r>
      <w:r>
        <w:rPr>
          <w:color w:val="auto"/>
          <w:highlight w:val="none"/>
        </w:rPr>
      </w:r>
      <w:r/>
    </w:p>
    <w:p>
      <w:pPr>
        <w:ind w:firstLine="422"/>
        <w:jc w:val="left"/>
        <w:spacing w:line="440" w:lineRule="exact"/>
        <w:rPr>
          <w:rFonts w:ascii="宋体" w:hAnsi="宋体"/>
          <w:b/>
          <w:color w:val="auto"/>
          <w:sz w:val="24"/>
          <w:szCs w:val="24"/>
          <w:highlight w:val="none"/>
        </w:rPr>
      </w:pPr>
      <w:r>
        <w:rPr>
          <w:color w:val="auto"/>
          <w:highlight w:val="none"/>
        </w:rPr>
      </w:r>
      <w:bookmarkStart w:id="4" w:name="_Toc13437"/>
      <w:r>
        <w:rPr>
          <w:color w:val="auto"/>
          <w:highlight w:val="none"/>
        </w:rPr>
      </w:r>
      <w:bookmarkStart w:id="5" w:name="_Toc20132"/>
      <w:r>
        <w:rPr>
          <w:rFonts w:hint="eastAsia" w:ascii="宋体" w:hAnsi="宋体"/>
          <w:b/>
          <w:color w:val="auto"/>
          <w:sz w:val="24"/>
          <w:szCs w:val="24"/>
          <w:highlight w:val="none"/>
        </w:rPr>
        <w:t xml:space="preserve">一、说明和释义</w:t>
      </w:r>
      <w:bookmarkEnd w:id="4"/>
      <w:r>
        <w:rPr>
          <w:color w:val="auto"/>
          <w:highlight w:val="none"/>
        </w:rPr>
      </w:r>
      <w:bookmarkEnd w:id="5"/>
      <w:r>
        <w:rPr>
          <w:color w:val="auto"/>
          <w:highlight w:val="none"/>
        </w:rPr>
      </w:r>
      <w:r/>
    </w:p>
    <w:p>
      <w:pPr>
        <w:ind w:firstLine="422"/>
        <w:jc w:val="left"/>
        <w:spacing w:line="440" w:lineRule="exact"/>
        <w:rPr>
          <w:rFonts w:ascii="宋体" w:hAnsi="宋体"/>
          <w:b/>
          <w:color w:val="auto"/>
          <w:sz w:val="24"/>
          <w:szCs w:val="24"/>
          <w:highlight w:val="none"/>
        </w:rPr>
      </w:pPr>
      <w:r>
        <w:rPr>
          <w:color w:val="auto"/>
          <w:highlight w:val="none"/>
        </w:rPr>
      </w:r>
      <w:bookmarkStart w:id="6" w:name="_Toc9408"/>
      <w:r>
        <w:rPr>
          <w:rFonts w:hint="eastAsia" w:ascii="宋体" w:hAnsi="宋体"/>
          <w:b/>
          <w:color w:val="auto"/>
          <w:sz w:val="24"/>
          <w:szCs w:val="24"/>
          <w:highlight w:val="none"/>
        </w:rPr>
        <w:t xml:space="preserve">1.说明</w:t>
      </w:r>
      <w:bookmarkEnd w:id="6"/>
      <w:r>
        <w:rPr>
          <w:color w:val="auto"/>
          <w:highlight w:val="none"/>
        </w:rPr>
      </w:r>
      <w:r/>
    </w:p>
    <w:p>
      <w:pPr>
        <w:ind w:firstLine="420"/>
        <w:jc w:val="left"/>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1.1本招标文件仅适用苏州</w:t>
      </w:r>
      <w:r>
        <w:rPr>
          <w:rFonts w:hint="eastAsia" w:ascii="宋体" w:hAnsi="宋体"/>
          <w:color w:val="auto"/>
          <w:sz w:val="24"/>
          <w:szCs w:val="24"/>
          <w:highlight w:val="none"/>
        </w:rPr>
        <w:t xml:space="preserve">久诺招</w:t>
      </w:r>
      <w:r>
        <w:rPr>
          <w:rFonts w:hint="eastAsia" w:ascii="宋体" w:hAnsi="宋体"/>
          <w:color w:val="auto"/>
          <w:sz w:val="24"/>
          <w:szCs w:val="24"/>
          <w:highlight w:val="none"/>
        </w:rPr>
        <w:t xml:space="preserve">投标咨询服务有限公司组织的招标活动。</w:t>
      </w:r>
      <w:r>
        <w:rPr>
          <w:color w:val="auto"/>
          <w:highlight w:val="none"/>
        </w:rPr>
      </w:r>
      <w:r/>
    </w:p>
    <w:p>
      <w:pPr>
        <w:ind w:firstLine="420"/>
        <w:jc w:val="left"/>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1.2本次招标活动及因本次招标产生的合同受中国法律制约和保护。</w:t>
      </w:r>
      <w:r>
        <w:rPr>
          <w:color w:val="auto"/>
          <w:highlight w:val="none"/>
        </w:rPr>
      </w:r>
      <w:r/>
    </w:p>
    <w:p>
      <w:pPr>
        <w:ind w:firstLine="420"/>
        <w:jc w:val="left"/>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1.3本招标文件的解释权属苏州</w:t>
      </w:r>
      <w:r>
        <w:rPr>
          <w:rFonts w:hint="eastAsia" w:ascii="宋体" w:hAnsi="宋体"/>
          <w:color w:val="auto"/>
          <w:sz w:val="24"/>
          <w:szCs w:val="24"/>
          <w:highlight w:val="none"/>
        </w:rPr>
        <w:t xml:space="preserve">久诺招</w:t>
      </w:r>
      <w:r>
        <w:rPr>
          <w:rFonts w:hint="eastAsia" w:ascii="宋体" w:hAnsi="宋体"/>
          <w:color w:val="auto"/>
          <w:sz w:val="24"/>
          <w:szCs w:val="24"/>
          <w:highlight w:val="none"/>
        </w:rPr>
        <w:t xml:space="preserve">投标咨询服务有限公司。</w:t>
      </w:r>
      <w:r>
        <w:rPr>
          <w:color w:val="auto"/>
          <w:highlight w:val="none"/>
        </w:rPr>
      </w:r>
      <w:r/>
    </w:p>
    <w:p>
      <w:pPr>
        <w:ind w:firstLine="422"/>
        <w:jc w:val="left"/>
        <w:spacing w:line="440" w:lineRule="exact"/>
        <w:rPr>
          <w:rFonts w:ascii="宋体" w:hAnsi="宋体"/>
          <w:b/>
          <w:color w:val="auto"/>
          <w:sz w:val="24"/>
          <w:szCs w:val="24"/>
          <w:highlight w:val="none"/>
        </w:rPr>
      </w:pPr>
      <w:r>
        <w:rPr>
          <w:color w:val="auto"/>
          <w:highlight w:val="none"/>
        </w:rPr>
      </w:r>
      <w:bookmarkStart w:id="7" w:name="_Toc27555"/>
      <w:r>
        <w:rPr>
          <w:rFonts w:hint="eastAsia" w:ascii="宋体" w:hAnsi="宋体"/>
          <w:b/>
          <w:color w:val="auto"/>
          <w:sz w:val="24"/>
          <w:szCs w:val="24"/>
          <w:highlight w:val="none"/>
        </w:rPr>
        <w:t xml:space="preserve">2.词语释义</w:t>
      </w:r>
      <w:bookmarkEnd w:id="7"/>
      <w:r>
        <w:rPr>
          <w:color w:val="auto"/>
          <w:highlight w:val="none"/>
        </w:rPr>
      </w:r>
      <w:r/>
    </w:p>
    <w:p>
      <w:pPr>
        <w:ind w:firstLine="420"/>
        <w:jc w:val="left"/>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2.1 采购人：指依法进行政府采购的国家机关、事业单位、团体组织。</w:t>
      </w:r>
      <w:r>
        <w:rPr>
          <w:color w:val="auto"/>
          <w:highlight w:val="none"/>
        </w:rPr>
      </w:r>
      <w:r/>
    </w:p>
    <w:p>
      <w:pPr>
        <w:ind w:firstLine="420"/>
        <w:jc w:val="left"/>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2.2采购代理机构：指依法接受采购人委托，从事货物、工程和服务等政府采购业务的采购代理机构。本项目的采购代理机构是苏州</w:t>
      </w:r>
      <w:r>
        <w:rPr>
          <w:rFonts w:hint="eastAsia" w:ascii="宋体" w:hAnsi="宋体"/>
          <w:color w:val="auto"/>
          <w:sz w:val="24"/>
          <w:szCs w:val="24"/>
          <w:highlight w:val="none"/>
        </w:rPr>
        <w:t xml:space="preserve">久诺招</w:t>
      </w:r>
      <w:r>
        <w:rPr>
          <w:rFonts w:hint="eastAsia" w:ascii="宋体" w:hAnsi="宋体"/>
          <w:color w:val="auto"/>
          <w:sz w:val="24"/>
          <w:szCs w:val="24"/>
          <w:highlight w:val="none"/>
        </w:rPr>
        <w:t xml:space="preserve">投标咨询服务有限公司。</w:t>
      </w:r>
      <w:r>
        <w:rPr>
          <w:color w:val="auto"/>
          <w:highlight w:val="none"/>
        </w:rPr>
      </w:r>
      <w:r/>
    </w:p>
    <w:p>
      <w:pPr>
        <w:ind w:firstLine="420"/>
        <w:jc w:val="left"/>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2.3 投标人：指投标招标、参加投标竞争的法人、其他组织或自然人。</w:t>
      </w:r>
      <w:r>
        <w:rPr>
          <w:color w:val="auto"/>
          <w:highlight w:val="none"/>
        </w:rPr>
      </w:r>
      <w:r/>
    </w:p>
    <w:p>
      <w:pPr>
        <w:ind w:firstLine="420"/>
        <w:jc w:val="left"/>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2.4 投标：投标人根据采购人或采购代理机构发布的招标文件，编制投标文件并按规定投标的行为。</w:t>
      </w:r>
      <w:r>
        <w:rPr>
          <w:color w:val="auto"/>
          <w:highlight w:val="none"/>
        </w:rPr>
      </w:r>
      <w:r/>
    </w:p>
    <w:p>
      <w:pPr>
        <w:ind w:firstLine="420"/>
        <w:jc w:val="left"/>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2.5合同：采供双方根据招标文件和中标的投标文件及中标通知书规定的内容签署的以书面形式所达成的协议，包括所有的附件、附录和构成协议的所有文件。</w:t>
      </w:r>
      <w:r>
        <w:rPr>
          <w:color w:val="auto"/>
          <w:highlight w:val="none"/>
        </w:rPr>
      </w:r>
      <w:r/>
    </w:p>
    <w:p>
      <w:pPr>
        <w:ind w:firstLine="420"/>
        <w:jc w:val="left"/>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2.6甲方（采购人）：指招标文件中载明的，依法进行政府采购的国家机关、事业单位、团体组织。</w:t>
      </w:r>
      <w:r>
        <w:rPr>
          <w:color w:val="auto"/>
          <w:highlight w:val="none"/>
        </w:rPr>
      </w:r>
      <w:r/>
    </w:p>
    <w:p>
      <w:pPr>
        <w:ind w:firstLine="420"/>
        <w:jc w:val="left"/>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2.7乙方（供应商）：合同中规定的向采购人提供货物和服务的法人或其他组织和自然人。</w:t>
      </w:r>
      <w:r>
        <w:rPr>
          <w:color w:val="auto"/>
          <w:highlight w:val="none"/>
        </w:rPr>
      </w:r>
      <w:r/>
    </w:p>
    <w:p>
      <w:pPr>
        <w:ind w:firstLine="420"/>
        <w:jc w:val="left"/>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2.8天：日历日。</w:t>
      </w:r>
      <w:r>
        <w:rPr>
          <w:color w:val="auto"/>
          <w:highlight w:val="none"/>
        </w:rPr>
      </w:r>
      <w:r/>
    </w:p>
    <w:p>
      <w:pPr>
        <w:ind w:firstLine="420"/>
        <w:jc w:val="left"/>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2.9时间：除特别说明，均指北京时间。</w:t>
      </w:r>
      <w:r>
        <w:rPr>
          <w:color w:val="auto"/>
          <w:highlight w:val="none"/>
        </w:rPr>
      </w:r>
      <w:r/>
    </w:p>
    <w:p>
      <w:pPr>
        <w:ind w:firstLine="42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2.10知识产权:指专利权、商标权、著作权等无形财产专有权的统称。</w:t>
      </w:r>
      <w:r>
        <w:rPr>
          <w:color w:val="auto"/>
          <w:highlight w:val="none"/>
        </w:rPr>
      </w:r>
      <w:r/>
    </w:p>
    <w:p>
      <w:pPr>
        <w:ind w:firstLine="42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2.11交货地点:合同中明确约定的乙方提交的货物和服务最终到达地点。</w:t>
      </w:r>
      <w:r>
        <w:rPr>
          <w:color w:val="auto"/>
          <w:highlight w:val="none"/>
        </w:rPr>
      </w:r>
      <w:r/>
    </w:p>
    <w:p>
      <w:pPr>
        <w:ind w:firstLine="42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2.12合同价款:根据合同规定,乙方在正确地履行合同义务后甲方应支付乙方的价款。</w:t>
      </w:r>
      <w:r>
        <w:rPr>
          <w:color w:val="auto"/>
          <w:highlight w:val="none"/>
        </w:rPr>
      </w:r>
      <w:r/>
    </w:p>
    <w:p>
      <w:pPr>
        <w:ind w:firstLine="42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2.13服务：系指本次招标文件规定乙方应承担的与提供货物和服务有关的辅助服务，比如运输、保险、安装、调试、提供技术援助、培训、配合措施、维修投标及合同中规定乙方</w:t>
      </w:r>
      <w:r>
        <w:rPr>
          <w:rFonts w:hint="eastAsia" w:ascii="宋体" w:hAnsi="宋体"/>
          <w:color w:val="auto"/>
          <w:sz w:val="24"/>
          <w:szCs w:val="24"/>
          <w:highlight w:val="none"/>
        </w:rPr>
        <w:t xml:space="preserve">应承担的其它义务。</w:t>
      </w:r>
      <w:r>
        <w:rPr>
          <w:color w:val="auto"/>
          <w:highlight w:val="none"/>
        </w:rPr>
      </w:r>
      <w:r/>
    </w:p>
    <w:p>
      <w:pPr>
        <w:ind w:firstLine="420"/>
        <w:jc w:val="left"/>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2.14不可抗力：不能预见、不能避免并且不能克服的客观情况。</w:t>
      </w:r>
      <w:r>
        <w:rPr>
          <w:color w:val="auto"/>
          <w:highlight w:val="none"/>
        </w:rPr>
      </w:r>
      <w:r/>
    </w:p>
    <w:p>
      <w:pPr>
        <w:ind w:firstLine="42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2.15实质性投标：满足有关本次采购标的、数量、质量、价款或者报酬、履行期限、履行地点和方式、违约责任和解决争议方法等要求。</w:t>
      </w:r>
      <w:r>
        <w:rPr>
          <w:color w:val="auto"/>
          <w:highlight w:val="none"/>
        </w:rPr>
      </w:r>
      <w:r/>
    </w:p>
    <w:p>
      <w:pPr>
        <w:ind w:firstLine="42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2.16进口产品：指通过中国海关报关验放进入中国境内且产自境外的产品。</w:t>
      </w:r>
      <w:r>
        <w:rPr>
          <w:color w:val="auto"/>
          <w:highlight w:val="none"/>
        </w:rPr>
      </w:r>
      <w:r/>
    </w:p>
    <w:p>
      <w:pPr>
        <w:ind w:firstLine="420"/>
        <w:jc w:val="left"/>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2.17书面形式：指书面文字、合同书、信件和传真等可以有形地表现所载内容的形式。</w:t>
      </w:r>
      <w:bookmarkStart w:id="8" w:name="_Toc13350"/>
      <w:r>
        <w:rPr>
          <w:color w:val="auto"/>
          <w:highlight w:val="none"/>
        </w:rPr>
      </w:r>
      <w:bookmarkStart w:id="9" w:name="_Toc14976"/>
      <w:r>
        <w:rPr>
          <w:color w:val="auto"/>
          <w:highlight w:val="none"/>
        </w:rPr>
      </w:r>
      <w:r/>
    </w:p>
    <w:p>
      <w:pPr>
        <w:ind w:firstLine="422"/>
        <w:jc w:val="left"/>
        <w:spacing w:line="440" w:lineRule="exact"/>
        <w:rPr>
          <w:rFonts w:ascii="宋体" w:hAnsi="宋体"/>
          <w:color w:val="auto"/>
          <w:sz w:val="24"/>
          <w:szCs w:val="24"/>
          <w:highlight w:val="none"/>
        </w:rPr>
      </w:pPr>
      <w:r>
        <w:rPr>
          <w:rFonts w:hint="eastAsia" w:ascii="宋体" w:hAnsi="宋体"/>
          <w:b/>
          <w:color w:val="auto"/>
          <w:sz w:val="24"/>
          <w:szCs w:val="24"/>
          <w:highlight w:val="none"/>
        </w:rPr>
        <w:t xml:space="preserve">二、投标人</w:t>
      </w:r>
      <w:bookmarkEnd w:id="8"/>
      <w:r>
        <w:rPr>
          <w:color w:val="auto"/>
          <w:highlight w:val="none"/>
        </w:rPr>
      </w:r>
      <w:bookmarkEnd w:id="9"/>
      <w:r>
        <w:rPr>
          <w:color w:val="auto"/>
          <w:highlight w:val="none"/>
        </w:rPr>
      </w:r>
      <w:r/>
    </w:p>
    <w:p>
      <w:pPr>
        <w:ind w:firstLine="422"/>
        <w:jc w:val="left"/>
        <w:spacing w:line="440" w:lineRule="exact"/>
        <w:rPr>
          <w:rFonts w:ascii="宋体" w:hAnsi="宋体"/>
          <w:b/>
          <w:color w:val="auto"/>
          <w:sz w:val="24"/>
          <w:szCs w:val="24"/>
          <w:highlight w:val="none"/>
        </w:rPr>
      </w:pPr>
      <w:r>
        <w:rPr>
          <w:rFonts w:hint="eastAsia" w:ascii="宋体" w:hAnsi="宋体"/>
          <w:b/>
          <w:color w:val="auto"/>
          <w:sz w:val="24"/>
          <w:szCs w:val="24"/>
          <w:highlight w:val="none"/>
        </w:rPr>
        <w:t xml:space="preserve">3.合格投标人的资格条件：</w:t>
      </w:r>
      <w:r>
        <w:rPr>
          <w:color w:val="auto"/>
          <w:highlight w:val="none"/>
        </w:rPr>
      </w:r>
      <w:r/>
    </w:p>
    <w:p>
      <w:pPr>
        <w:ind w:firstLine="42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3.1满足《中华人民共和国政府采购法》第二十二条规定，投标人应当具备下列条件：</w:t>
      </w:r>
      <w:r>
        <w:rPr>
          <w:color w:val="auto"/>
          <w:highlight w:val="none"/>
        </w:rPr>
      </w:r>
      <w:r/>
    </w:p>
    <w:p>
      <w:pPr>
        <w:ind w:firstLine="42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（1）具有独立承担民事责任的能力；</w:t>
      </w:r>
      <w:r>
        <w:rPr>
          <w:color w:val="auto"/>
          <w:highlight w:val="none"/>
        </w:rPr>
      </w:r>
      <w:r/>
    </w:p>
    <w:p>
      <w:pPr>
        <w:ind w:firstLine="42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（2）具有良好的商业信誉和健全的财务会计制度；</w:t>
      </w:r>
      <w:r>
        <w:rPr>
          <w:color w:val="auto"/>
          <w:highlight w:val="none"/>
        </w:rPr>
      </w:r>
      <w:r/>
    </w:p>
    <w:p>
      <w:pPr>
        <w:ind w:firstLine="42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（3）具有履行合同所必需的设备和专业技术能力；</w:t>
      </w:r>
      <w:r>
        <w:rPr>
          <w:color w:val="auto"/>
          <w:highlight w:val="none"/>
        </w:rPr>
      </w:r>
      <w:r/>
    </w:p>
    <w:p>
      <w:pPr>
        <w:ind w:firstLine="42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（4）有依法缴纳税收和社会保障资金的良好记录；</w:t>
      </w:r>
      <w:r>
        <w:rPr>
          <w:color w:val="auto"/>
          <w:highlight w:val="none"/>
        </w:rPr>
      </w:r>
      <w:r/>
    </w:p>
    <w:p>
      <w:pPr>
        <w:ind w:firstLine="42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（5）参加政府采购活动前三年内，在经营活动中没有重大违法记录；</w:t>
      </w:r>
      <w:r>
        <w:rPr>
          <w:color w:val="auto"/>
          <w:highlight w:val="none"/>
        </w:rPr>
      </w:r>
      <w:r/>
    </w:p>
    <w:p>
      <w:pPr>
        <w:ind w:firstLine="42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（6）法律、行政法规规定的其他条件。</w:t>
      </w:r>
      <w:r>
        <w:rPr>
          <w:color w:val="auto"/>
          <w:highlight w:val="none"/>
        </w:rPr>
      </w:r>
      <w:r/>
    </w:p>
    <w:p>
      <w:pPr>
        <w:ind w:firstLine="42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3.2落实政府采购政策需满足的资格要求：见第一章</w:t>
      </w:r>
      <w:r>
        <w:rPr>
          <w:color w:val="auto"/>
          <w:highlight w:val="none"/>
        </w:rPr>
      </w:r>
      <w:r/>
    </w:p>
    <w:p>
      <w:pPr>
        <w:ind w:firstLine="42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3.3本项目的特定资格要求：见第一章</w:t>
      </w:r>
      <w:r>
        <w:rPr>
          <w:color w:val="auto"/>
          <w:highlight w:val="none"/>
        </w:rPr>
      </w:r>
      <w:r/>
    </w:p>
    <w:p>
      <w:pPr>
        <w:ind w:firstLine="422"/>
        <w:spacing w:line="44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4.投标人代表</w:t>
      </w:r>
      <w:r>
        <w:rPr>
          <w:color w:val="auto"/>
          <w:highlight w:val="none"/>
        </w:rPr>
      </w:r>
      <w:r/>
    </w:p>
    <w:p>
      <w:pPr>
        <w:ind w:firstLine="42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4.1指授权全权代表投标人参加投标活动并签署投标文件的人，如果投标人代表不是法人代表，须持有《法定代表人授权委托书》（详见统一格式）。</w:t>
      </w:r>
      <w:r>
        <w:rPr>
          <w:color w:val="auto"/>
          <w:highlight w:val="none"/>
        </w:rPr>
      </w:r>
      <w:r/>
    </w:p>
    <w:p>
      <w:pPr>
        <w:ind w:firstLine="422"/>
        <w:jc w:val="left"/>
        <w:spacing w:line="44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5.投标费用</w:t>
      </w:r>
      <w:r>
        <w:rPr>
          <w:color w:val="auto"/>
          <w:highlight w:val="none"/>
        </w:rPr>
      </w:r>
      <w:r/>
    </w:p>
    <w:p>
      <w:pPr>
        <w:ind w:firstLine="420"/>
        <w:jc w:val="left"/>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5.1无论投标过程中的做法和结果如何，投标人自行承担所有与参加投标有关的全部费用。</w:t>
      </w:r>
      <w:r>
        <w:rPr>
          <w:color w:val="auto"/>
          <w:highlight w:val="none"/>
        </w:rPr>
      </w:r>
      <w:r/>
    </w:p>
    <w:p>
      <w:pPr>
        <w:ind w:firstLine="420"/>
        <w:jc w:val="left"/>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5.2本次招标活动采购人和采购代理机构不收取标书工本费与中标服务费。</w:t>
      </w:r>
      <w:r>
        <w:rPr>
          <w:color w:val="auto"/>
          <w:highlight w:val="none"/>
        </w:rPr>
      </w:r>
      <w:r/>
    </w:p>
    <w:p>
      <w:pPr>
        <w:ind w:firstLine="422"/>
        <w:jc w:val="left"/>
        <w:spacing w:line="440" w:lineRule="exact"/>
        <w:rPr>
          <w:rFonts w:ascii="宋体" w:hAnsi="宋体" w:cs="宋体"/>
          <w:b/>
          <w:color w:val="auto"/>
          <w:sz w:val="24"/>
          <w:szCs w:val="24"/>
          <w:highlight w:val="none"/>
        </w:rPr>
      </w:pPr>
      <w:r>
        <w:rPr>
          <w:rFonts w:hint="eastAsia" w:ascii="宋体" w:hAnsi="宋体"/>
          <w:b/>
          <w:color w:val="auto"/>
          <w:sz w:val="24"/>
          <w:szCs w:val="24"/>
          <w:highlight w:val="none"/>
        </w:rPr>
        <w:t xml:space="preserve">6.联合投标及转包、分包</w:t>
      </w:r>
      <w:r>
        <w:rPr>
          <w:color w:val="auto"/>
          <w:highlight w:val="none"/>
        </w:rPr>
      </w:r>
      <w:r/>
    </w:p>
    <w:p>
      <w:pPr>
        <w:ind w:firstLine="420"/>
        <w:jc w:val="left"/>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6.1本项目不接受联合体投标。</w:t>
      </w:r>
      <w:r>
        <w:rPr>
          <w:color w:val="auto"/>
          <w:highlight w:val="none"/>
        </w:rPr>
      </w:r>
      <w:r/>
    </w:p>
    <w:p>
      <w:pPr>
        <w:ind w:firstLine="420"/>
        <w:jc w:val="left"/>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6.2本项目不接受转包、分包。</w:t>
      </w:r>
      <w:bookmarkStart w:id="10" w:name="_Toc5764"/>
      <w:r>
        <w:rPr>
          <w:color w:val="auto"/>
          <w:highlight w:val="none"/>
        </w:rPr>
      </w:r>
      <w:bookmarkStart w:id="11" w:name="_Toc31958"/>
      <w:r>
        <w:rPr>
          <w:color w:val="auto"/>
          <w:highlight w:val="none"/>
        </w:rPr>
      </w:r>
      <w:r/>
    </w:p>
    <w:p>
      <w:pPr>
        <w:ind w:firstLine="420"/>
        <w:jc w:val="left"/>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6.3本项目不接受进口产品。</w:t>
      </w:r>
      <w:r>
        <w:rPr>
          <w:color w:val="auto"/>
          <w:highlight w:val="none"/>
        </w:rPr>
      </w:r>
      <w:r/>
    </w:p>
    <w:p>
      <w:pPr>
        <w:ind w:firstLine="422"/>
        <w:jc w:val="left"/>
        <w:spacing w:line="440" w:lineRule="exact"/>
        <w:rPr>
          <w:rFonts w:ascii="宋体" w:hAnsi="宋体" w:cs="宋体"/>
          <w:b/>
          <w:color w:val="auto"/>
          <w:sz w:val="24"/>
          <w:szCs w:val="24"/>
          <w:highlight w:val="none"/>
        </w:rPr>
      </w:pPr>
      <w:r>
        <w:rPr>
          <w:rFonts w:hint="eastAsia" w:ascii="宋体" w:hAnsi="宋体"/>
          <w:b/>
          <w:color w:val="auto"/>
          <w:sz w:val="24"/>
          <w:szCs w:val="24"/>
          <w:highlight w:val="none"/>
        </w:rPr>
        <w:t xml:space="preserve">三、招标文件的说明</w:t>
      </w:r>
      <w:bookmarkEnd w:id="10"/>
      <w:r>
        <w:rPr>
          <w:color w:val="auto"/>
          <w:highlight w:val="none"/>
        </w:rPr>
      </w:r>
      <w:bookmarkEnd w:id="11"/>
      <w:r>
        <w:rPr>
          <w:color w:val="auto"/>
          <w:highlight w:val="none"/>
        </w:rPr>
      </w:r>
      <w:r/>
    </w:p>
    <w:p>
      <w:pPr>
        <w:ind w:firstLine="422"/>
        <w:jc w:val="left"/>
        <w:spacing w:line="440" w:lineRule="exact"/>
        <w:rPr>
          <w:rFonts w:ascii="宋体" w:hAnsi="宋体"/>
          <w:b/>
          <w:color w:val="auto"/>
          <w:sz w:val="24"/>
          <w:szCs w:val="24"/>
          <w:highlight w:val="none"/>
        </w:rPr>
      </w:pPr>
      <w:r>
        <w:rPr>
          <w:rFonts w:hint="eastAsia" w:ascii="宋体" w:hAnsi="宋体"/>
          <w:b/>
          <w:color w:val="auto"/>
          <w:sz w:val="24"/>
          <w:szCs w:val="24"/>
          <w:highlight w:val="none"/>
        </w:rPr>
        <w:t xml:space="preserve">7.招标文件</w:t>
      </w:r>
      <w:r>
        <w:rPr>
          <w:color w:val="auto"/>
          <w:highlight w:val="none"/>
        </w:rPr>
      </w:r>
      <w:r/>
    </w:p>
    <w:p>
      <w:pPr>
        <w:ind w:firstLine="420"/>
        <w:jc w:val="left"/>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rPr>
          <w:color w:val="auto"/>
          <w:highlight w:val="none"/>
        </w:rPr>
      </w:r>
      <w:r/>
    </w:p>
    <w:p>
      <w:pPr>
        <w:ind w:firstLine="420"/>
        <w:jc w:val="left"/>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7.2招标文件及其补充通知（包括更正公告）不是直接从财政部门指定的政府采购信息发布媒体上下载获得的，采购人或采购代理机构对招标文件及其补遗的真实性、完整性不承担任何责任。</w:t>
      </w:r>
      <w:r>
        <w:rPr>
          <w:color w:val="auto"/>
          <w:highlight w:val="none"/>
        </w:rPr>
      </w:r>
      <w:r/>
    </w:p>
    <w:p>
      <w:pPr>
        <w:ind w:firstLine="422"/>
        <w:spacing w:line="440" w:lineRule="exact"/>
        <w:rPr>
          <w:rFonts w:ascii="宋体" w:hAnsi="宋体"/>
          <w:b/>
          <w:color w:val="auto"/>
          <w:sz w:val="24"/>
          <w:szCs w:val="24"/>
          <w:highlight w:val="none"/>
        </w:rPr>
      </w:pPr>
      <w:r>
        <w:rPr>
          <w:rFonts w:hint="eastAsia" w:ascii="宋体" w:hAnsi="宋体"/>
          <w:b/>
          <w:color w:val="auto"/>
          <w:sz w:val="24"/>
          <w:szCs w:val="24"/>
          <w:highlight w:val="none"/>
        </w:rPr>
        <w:t xml:space="preserve">8.招标文件的澄清和修改</w:t>
      </w:r>
      <w:r>
        <w:rPr>
          <w:color w:val="auto"/>
          <w:highlight w:val="none"/>
        </w:rPr>
      </w:r>
      <w:r/>
    </w:p>
    <w:p>
      <w:pPr>
        <w:ind w:firstLine="420"/>
        <w:jc w:val="left"/>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rPr>
          <w:color w:val="auto"/>
          <w:highlight w:val="none"/>
        </w:rPr>
      </w:r>
      <w:r/>
    </w:p>
    <w:p>
      <w:pPr>
        <w:ind w:firstLine="420"/>
        <w:jc w:val="left"/>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rPr>
          <w:color w:val="auto"/>
          <w:highlight w:val="none"/>
        </w:rPr>
      </w:r>
      <w:r/>
    </w:p>
    <w:p>
      <w:pPr>
        <w:ind w:firstLine="420"/>
        <w:jc w:val="left"/>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8.3对于补充通知（包括更正公告），投标人通过“苏州市政府采购网”的“采购公告”自行查看项目的补充通知（包括更正公告）。补充通知（包括更正公告）将作为招标文件的组成部分，对所有投标人有约束力。</w:t>
      </w:r>
      <w:r>
        <w:rPr>
          <w:color w:val="auto"/>
          <w:highlight w:val="none"/>
        </w:rPr>
      </w:r>
      <w:r/>
    </w:p>
    <w:p>
      <w:pPr>
        <w:ind w:firstLine="420"/>
        <w:jc w:val="left"/>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8.4招标文件的澄清、修改、补充等内容均以苏州市政府采购网上发布的内容为准。</w:t>
      </w:r>
      <w:r>
        <w:rPr>
          <w:color w:val="auto"/>
          <w:highlight w:val="none"/>
        </w:rPr>
      </w:r>
      <w:r/>
    </w:p>
    <w:p>
      <w:pPr>
        <w:ind w:firstLine="422"/>
        <w:spacing w:line="440" w:lineRule="exact"/>
        <w:rPr>
          <w:rFonts w:ascii="宋体" w:hAnsi="宋体"/>
          <w:b/>
          <w:color w:val="auto"/>
          <w:sz w:val="24"/>
          <w:szCs w:val="24"/>
          <w:highlight w:val="none"/>
        </w:rPr>
      </w:pPr>
      <w:r>
        <w:rPr>
          <w:rFonts w:hint="eastAsia" w:ascii="宋体" w:hAnsi="宋体"/>
          <w:b/>
          <w:color w:val="auto"/>
          <w:sz w:val="24"/>
          <w:szCs w:val="24"/>
          <w:highlight w:val="none"/>
        </w:rPr>
        <w:t xml:space="preserve">9.勘察现场（不涉及此条的忽略）</w:t>
      </w:r>
      <w:r>
        <w:rPr>
          <w:color w:val="auto"/>
          <w:highlight w:val="none"/>
        </w:rPr>
      </w:r>
      <w:r/>
    </w:p>
    <w:p>
      <w:pPr>
        <w:ind w:firstLine="42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9.1根据自身投标需要，投标人可对有关现场和周围环境进行勘察，以获取编制投标文件和签署合同所需的信息。勘察现场所发生的费用由投标人自己承担。</w:t>
      </w:r>
      <w:r>
        <w:rPr>
          <w:color w:val="auto"/>
          <w:highlight w:val="none"/>
        </w:rPr>
      </w:r>
      <w:r/>
    </w:p>
    <w:p>
      <w:pPr>
        <w:ind w:firstLine="42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9.2采购人或采购代理机构向投标人提供的有关现场的资料和数据，是采购人或采购代</w:t>
      </w:r>
      <w:r>
        <w:rPr>
          <w:rFonts w:hint="eastAsia" w:ascii="宋体" w:hAnsi="宋体"/>
          <w:color w:val="auto"/>
          <w:sz w:val="24"/>
          <w:szCs w:val="24"/>
          <w:highlight w:val="none"/>
        </w:rPr>
        <w:t xml:space="preserve">理机构现有的并认为能使投标人可利用的资料。采购人或采购代理机构对投标人由此而做出的推论、理解和结论概不负责。</w:t>
      </w:r>
      <w:r>
        <w:rPr>
          <w:color w:val="auto"/>
          <w:highlight w:val="none"/>
        </w:rPr>
      </w:r>
      <w:r/>
    </w:p>
    <w:p>
      <w:pPr>
        <w:ind w:firstLine="42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9.3经采购人允许，投标人可为勘察目的进入采购人的项目现场，但投标人不得因此使采购人承担有关的责任和蒙受损失。投标人应承担勘察现场的责任和风险。</w:t>
      </w:r>
      <w:r>
        <w:rPr>
          <w:color w:val="auto"/>
          <w:highlight w:val="none"/>
        </w:rPr>
      </w:r>
      <w:r/>
    </w:p>
    <w:p>
      <w:pPr>
        <w:ind w:firstLine="42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rPr>
          <w:color w:val="auto"/>
          <w:highlight w:val="none"/>
        </w:rPr>
      </w:r>
      <w:r/>
    </w:p>
    <w:p>
      <w:pPr>
        <w:ind w:firstLine="422"/>
        <w:spacing w:line="440" w:lineRule="exact"/>
        <w:rPr>
          <w:rFonts w:ascii="宋体" w:hAnsi="宋体"/>
          <w:b/>
          <w:color w:val="auto"/>
          <w:sz w:val="24"/>
          <w:szCs w:val="24"/>
          <w:highlight w:val="none"/>
        </w:rPr>
      </w:pPr>
      <w:r>
        <w:rPr>
          <w:rFonts w:hint="eastAsia" w:ascii="宋体" w:hAnsi="宋体"/>
          <w:b/>
          <w:color w:val="auto"/>
          <w:sz w:val="24"/>
          <w:szCs w:val="24"/>
          <w:highlight w:val="none"/>
        </w:rPr>
        <w:t xml:space="preserve">10.投标质疑</w:t>
      </w:r>
      <w:r>
        <w:rPr>
          <w:color w:val="auto"/>
          <w:highlight w:val="none"/>
        </w:rPr>
      </w:r>
      <w:r/>
    </w:p>
    <w:p>
      <w:pPr>
        <w:ind w:firstLine="420"/>
        <w:jc w:val="left"/>
        <w:spacing w:line="440" w:lineRule="exact"/>
        <w:rPr>
          <w:rFonts w:ascii="宋体" w:hAnsi="宋体"/>
          <w:color w:val="auto"/>
          <w:sz w:val="24"/>
          <w:szCs w:val="24"/>
          <w:highlight w:val="none"/>
        </w:rPr>
      </w:pPr>
      <w:r>
        <w:rPr>
          <w:color w:val="auto"/>
          <w:highlight w:val="none"/>
        </w:rPr>
      </w:r>
      <w:bookmarkStart w:id="12" w:name="_Toc19463"/>
      <w:r>
        <w:rPr>
          <w:color w:val="auto"/>
          <w:highlight w:val="none"/>
        </w:rPr>
      </w:r>
      <w:bookmarkStart w:id="13" w:name="_Toc16745"/>
      <w:r>
        <w:rPr>
          <w:rFonts w:hint="eastAsia" w:ascii="宋体" w:hAnsi="宋体"/>
          <w:color w:val="auto"/>
          <w:sz w:val="24"/>
          <w:szCs w:val="24"/>
          <w:highlight w:val="none"/>
        </w:rPr>
        <w:t xml:space="preserve">10.1供应商认为招标文件、采购过程或中标、中标结果使自己的权益受到损害的，可以在知道或者应知其权益受到损害之日起7个工作日内，以书面形式向采购人、采购代理机构提出质疑。采购代理机构应当在收到投标人书面质疑后7个工作日内</w:t>
      </w:r>
      <w:r>
        <w:rPr>
          <w:rFonts w:hint="eastAsia" w:ascii="宋体" w:hAnsi="宋体"/>
          <w:color w:val="auto"/>
          <w:sz w:val="24"/>
          <w:szCs w:val="24"/>
          <w:highlight w:val="none"/>
        </w:rPr>
        <w:t xml:space="preserve">作出</w:t>
      </w:r>
      <w:r>
        <w:rPr>
          <w:rFonts w:hint="eastAsia" w:ascii="宋体" w:hAnsi="宋体"/>
          <w:color w:val="auto"/>
          <w:sz w:val="24"/>
          <w:szCs w:val="24"/>
          <w:highlight w:val="none"/>
        </w:rPr>
        <w:t xml:space="preserve">答复。</w:t>
      </w:r>
      <w:r>
        <w:rPr>
          <w:color w:val="auto"/>
          <w:highlight w:val="none"/>
        </w:rPr>
      </w:r>
      <w:r/>
    </w:p>
    <w:p>
      <w:pPr>
        <w:ind w:firstLine="420"/>
        <w:jc w:val="left"/>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10.2本次招标文件要求供应商在法定质疑期内一次性提出针对同一采购程序环节的质疑，否则不予受理。</w:t>
      </w:r>
      <w:r>
        <w:rPr>
          <w:color w:val="auto"/>
          <w:highlight w:val="none"/>
        </w:rPr>
      </w:r>
      <w:r/>
    </w:p>
    <w:p>
      <w:pPr>
        <w:ind w:firstLine="420"/>
        <w:jc w:val="left"/>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10.3供应商提出质疑应当提交质疑函和必要的证明材料，质疑</w:t>
      </w:r>
      <w:r>
        <w:rPr>
          <w:rFonts w:hint="eastAsia" w:ascii="宋体" w:hAnsi="宋体"/>
          <w:color w:val="auto"/>
          <w:sz w:val="24"/>
          <w:szCs w:val="24"/>
          <w:highlight w:val="none"/>
        </w:rPr>
        <w:t xml:space="preserve">函应当</w:t>
      </w:r>
      <w:r>
        <w:rPr>
          <w:rFonts w:hint="eastAsia" w:ascii="宋体" w:hAnsi="宋体"/>
          <w:color w:val="auto"/>
          <w:sz w:val="24"/>
          <w:szCs w:val="24"/>
          <w:highlight w:val="none"/>
        </w:rPr>
        <w:t xml:space="preserve">包括下列内容：</w:t>
      </w:r>
      <w:r>
        <w:rPr>
          <w:color w:val="auto"/>
          <w:highlight w:val="none"/>
        </w:rPr>
      </w:r>
      <w:r/>
    </w:p>
    <w:p>
      <w:pPr>
        <w:ind w:firstLine="420"/>
        <w:jc w:val="left"/>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（1）供应商的姓名或者名称（以提供的营业执照副本复印件为准）、地址、邮编、联系人及联系电话；</w:t>
      </w:r>
      <w:r>
        <w:rPr>
          <w:color w:val="auto"/>
          <w:highlight w:val="none"/>
        </w:rPr>
      </w:r>
      <w:r/>
    </w:p>
    <w:p>
      <w:pPr>
        <w:ind w:firstLine="420"/>
        <w:jc w:val="left"/>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（2）质疑项目的名称、编号；</w:t>
      </w:r>
      <w:r>
        <w:rPr>
          <w:color w:val="auto"/>
          <w:highlight w:val="none"/>
        </w:rPr>
      </w:r>
      <w:r/>
    </w:p>
    <w:p>
      <w:pPr>
        <w:ind w:firstLine="420"/>
        <w:jc w:val="left"/>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（3）具体、明确的质疑事项和与质疑事项相关的请求；</w:t>
      </w:r>
      <w:r>
        <w:rPr>
          <w:color w:val="auto"/>
          <w:highlight w:val="none"/>
        </w:rPr>
      </w:r>
      <w:r/>
    </w:p>
    <w:p>
      <w:pPr>
        <w:ind w:firstLine="420"/>
        <w:jc w:val="left"/>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（4）事实依据；</w:t>
      </w:r>
      <w:r>
        <w:rPr>
          <w:color w:val="auto"/>
          <w:highlight w:val="none"/>
        </w:rPr>
      </w:r>
      <w:r/>
    </w:p>
    <w:p>
      <w:pPr>
        <w:ind w:firstLine="420"/>
        <w:jc w:val="left"/>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（5）必要的法律依据；</w:t>
      </w:r>
      <w:r>
        <w:rPr>
          <w:color w:val="auto"/>
          <w:highlight w:val="none"/>
        </w:rPr>
      </w:r>
      <w:r/>
    </w:p>
    <w:p>
      <w:pPr>
        <w:ind w:firstLine="420"/>
        <w:jc w:val="left"/>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（6）提出质疑的日期。</w:t>
      </w:r>
      <w:r>
        <w:rPr>
          <w:color w:val="auto"/>
          <w:highlight w:val="none"/>
        </w:rPr>
      </w:r>
      <w:r/>
    </w:p>
    <w:p>
      <w:pPr>
        <w:ind w:firstLine="420"/>
        <w:jc w:val="left"/>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color w:val="auto"/>
          <w:sz w:val="24"/>
          <w:szCs w:val="24"/>
          <w:highlight w:val="none"/>
        </w:rPr>
        <w:t xml:space="preserve">授权委托书</w:t>
      </w:r>
      <w:r>
        <w:rPr>
          <w:rFonts w:hint="eastAsia" w:ascii="宋体" w:hAnsi="宋体"/>
          <w:color w:val="auto"/>
          <w:sz w:val="24"/>
          <w:szCs w:val="24"/>
          <w:highlight w:val="none"/>
        </w:rPr>
        <w:t xml:space="preserve">上应当载明代理人的姓名或者名称、代理事项、具体权限、期限和相关事项。</w:t>
      </w:r>
      <w:r>
        <w:rPr>
          <w:color w:val="auto"/>
          <w:highlight w:val="none"/>
        </w:rPr>
      </w:r>
      <w:r/>
    </w:p>
    <w:p>
      <w:pPr>
        <w:ind w:firstLine="422"/>
        <w:jc w:val="left"/>
        <w:spacing w:line="440" w:lineRule="exact"/>
        <w:rPr>
          <w:rFonts w:ascii="宋体" w:hAnsi="宋体"/>
          <w:b/>
          <w:color w:val="auto"/>
          <w:sz w:val="24"/>
          <w:szCs w:val="24"/>
          <w:highlight w:val="none"/>
        </w:rPr>
      </w:pPr>
      <w:r>
        <w:rPr>
          <w:rFonts w:hint="eastAsia" w:ascii="宋体" w:hAnsi="宋体"/>
          <w:b/>
          <w:color w:val="auto"/>
          <w:sz w:val="24"/>
          <w:szCs w:val="24"/>
          <w:highlight w:val="none"/>
          <w:lang w:eastAsia="en-US"/>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color w:val="auto"/>
          <w:sz w:val="24"/>
          <w:szCs w:val="24"/>
          <w:highlight w:val="none"/>
          <w:lang w:eastAsia="en-US"/>
        </w:rPr>
        <w:t xml:space="preserve">。</w:t>
      </w:r>
      <w:r>
        <w:rPr>
          <w:color w:val="auto"/>
          <w:highlight w:val="none"/>
        </w:rPr>
      </w:r>
      <w:r/>
    </w:p>
    <w:p>
      <w:pPr>
        <w:ind w:firstLine="420"/>
        <w:jc w:val="left"/>
        <w:spacing w:line="440" w:lineRule="exact"/>
        <w:rPr>
          <w:rFonts w:ascii="宋体" w:hAnsi="宋体"/>
          <w:b/>
          <w:color w:val="auto"/>
          <w:sz w:val="24"/>
          <w:szCs w:val="24"/>
          <w:highlight w:val="none"/>
        </w:rPr>
      </w:pPr>
      <w:r>
        <w:rPr>
          <w:rFonts w:hint="eastAsia" w:ascii="宋体" w:hAnsi="宋体"/>
          <w:color w:val="auto"/>
          <w:sz w:val="24"/>
          <w:szCs w:val="24"/>
          <w:highlight w:val="none"/>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b/>
          <w:color w:val="auto"/>
          <w:sz w:val="24"/>
          <w:szCs w:val="24"/>
          <w:highlight w:val="none"/>
        </w:rPr>
        <w:t xml:space="preserve">《投标供应商确认函》</w:t>
      </w:r>
      <w:r>
        <w:rPr>
          <w:rFonts w:hint="eastAsia" w:ascii="宋体" w:hAnsi="宋体"/>
          <w:color w:val="auto"/>
          <w:sz w:val="24"/>
          <w:szCs w:val="24"/>
          <w:highlight w:val="none"/>
        </w:rPr>
        <w:t xml:space="preserve">）与质疑</w:t>
      </w:r>
      <w:r>
        <w:rPr>
          <w:rFonts w:hint="eastAsia" w:ascii="宋体" w:hAnsi="宋体"/>
          <w:color w:val="auto"/>
          <w:sz w:val="24"/>
          <w:szCs w:val="24"/>
          <w:highlight w:val="none"/>
        </w:rPr>
        <w:t xml:space="preserve">函一起</w:t>
      </w:r>
      <w:r>
        <w:rPr>
          <w:rFonts w:hint="eastAsia" w:ascii="宋体" w:hAnsi="宋体"/>
          <w:color w:val="auto"/>
          <w:sz w:val="24"/>
          <w:szCs w:val="24"/>
          <w:highlight w:val="none"/>
        </w:rPr>
        <w:t xml:space="preserve">递交，否则不予受理。</w:t>
      </w:r>
      <w:r>
        <w:rPr>
          <w:color w:val="auto"/>
          <w:highlight w:val="none"/>
        </w:rPr>
      </w:r>
      <w:r/>
    </w:p>
    <w:p>
      <w:pPr>
        <w:ind w:firstLine="420"/>
        <w:jc w:val="left"/>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10.5接收质疑函的方式：书面形式（当场送达或邮寄方式）。</w:t>
      </w:r>
      <w:r>
        <w:rPr>
          <w:color w:val="auto"/>
          <w:highlight w:val="none"/>
        </w:rPr>
      </w:r>
      <w:r/>
    </w:p>
    <w:p>
      <w:pPr>
        <w:ind w:firstLine="420"/>
        <w:jc w:val="left"/>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质疑联系人：张伟</w:t>
      </w:r>
      <w:r>
        <w:rPr>
          <w:color w:val="auto"/>
          <w:highlight w:val="none"/>
        </w:rPr>
      </w:r>
      <w:r/>
    </w:p>
    <w:p>
      <w:pPr>
        <w:ind w:firstLine="420"/>
        <w:jc w:val="left"/>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联系电话：</w:t>
      </w:r>
      <w:r>
        <w:rPr>
          <w:rFonts w:hint="eastAsia" w:ascii="宋体" w:hAnsi="宋体" w:eastAsia="楷体_GB2312" w:cs="宋体"/>
          <w:color w:val="auto"/>
          <w:sz w:val="24"/>
          <w:szCs w:val="24"/>
          <w:highlight w:val="none"/>
        </w:rPr>
        <w:t xml:space="preserve">15950093155</w:t>
      </w:r>
      <w:r>
        <w:rPr>
          <w:color w:val="auto"/>
          <w:highlight w:val="none"/>
        </w:rPr>
      </w:r>
      <w:r/>
    </w:p>
    <w:p>
      <w:pPr>
        <w:ind w:firstLine="420"/>
        <w:jc w:val="left"/>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现场递交地址: 苏州市高新区</w:t>
      </w:r>
      <w:r>
        <w:rPr>
          <w:rFonts w:hint="eastAsia" w:ascii="宋体" w:hAnsi="宋体"/>
          <w:color w:val="auto"/>
          <w:sz w:val="24"/>
          <w:szCs w:val="24"/>
          <w:highlight w:val="none"/>
        </w:rPr>
        <w:t xml:space="preserve">狮</w:t>
      </w:r>
      <w:r>
        <w:rPr>
          <w:rFonts w:hint="eastAsia" w:ascii="宋体" w:hAnsi="宋体"/>
          <w:color w:val="auto"/>
          <w:sz w:val="24"/>
          <w:szCs w:val="24"/>
          <w:highlight w:val="none"/>
        </w:rPr>
        <w:t xml:space="preserve">山路金狮大厦一楼103室</w:t>
      </w:r>
      <w:r>
        <w:rPr>
          <w:color w:val="auto"/>
          <w:highlight w:val="none"/>
        </w:rPr>
      </w:r>
      <w:r/>
    </w:p>
    <w:p>
      <w:pPr>
        <w:ind w:firstLine="420"/>
        <w:jc w:val="left"/>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邮寄收取地址: 苏州市高新区</w:t>
      </w:r>
      <w:r>
        <w:rPr>
          <w:rFonts w:hint="eastAsia" w:ascii="宋体" w:hAnsi="宋体"/>
          <w:color w:val="auto"/>
          <w:sz w:val="24"/>
          <w:szCs w:val="24"/>
          <w:highlight w:val="none"/>
        </w:rPr>
        <w:t xml:space="preserve">狮</w:t>
      </w:r>
      <w:r>
        <w:rPr>
          <w:rFonts w:hint="eastAsia" w:ascii="宋体" w:hAnsi="宋体"/>
          <w:color w:val="auto"/>
          <w:sz w:val="24"/>
          <w:szCs w:val="24"/>
          <w:highlight w:val="none"/>
        </w:rPr>
        <w:t xml:space="preserve">山路金狮大厦一楼103室</w:t>
      </w:r>
      <w:r>
        <w:rPr>
          <w:color w:val="auto"/>
          <w:highlight w:val="none"/>
        </w:rPr>
      </w:r>
      <w:r/>
    </w:p>
    <w:p>
      <w:pPr>
        <w:ind w:firstLine="422"/>
        <w:jc w:val="left"/>
        <w:spacing w:line="440" w:lineRule="exact"/>
        <w:rPr>
          <w:rFonts w:ascii="宋体" w:hAnsi="宋体"/>
          <w:b/>
          <w:color w:val="auto"/>
          <w:sz w:val="24"/>
          <w:szCs w:val="24"/>
          <w:highlight w:val="none"/>
        </w:rPr>
      </w:pPr>
      <w:r>
        <w:rPr>
          <w:rFonts w:hint="eastAsia" w:ascii="宋体" w:hAnsi="宋体"/>
          <w:b/>
          <w:color w:val="auto"/>
          <w:sz w:val="24"/>
          <w:szCs w:val="24"/>
          <w:highlight w:val="none"/>
        </w:rPr>
        <w:t xml:space="preserve">四、投标文件说明</w:t>
      </w:r>
      <w:bookmarkEnd w:id="12"/>
      <w:r>
        <w:rPr>
          <w:color w:val="auto"/>
          <w:highlight w:val="none"/>
        </w:rPr>
      </w:r>
      <w:bookmarkEnd w:id="13"/>
      <w:r>
        <w:rPr>
          <w:color w:val="auto"/>
          <w:highlight w:val="none"/>
        </w:rPr>
      </w:r>
      <w:r/>
    </w:p>
    <w:p>
      <w:pPr>
        <w:ind w:firstLine="422"/>
        <w:jc w:val="left"/>
        <w:spacing w:line="440" w:lineRule="exact"/>
        <w:rPr>
          <w:rFonts w:ascii="宋体" w:hAnsi="宋体"/>
          <w:b/>
          <w:color w:val="auto"/>
          <w:sz w:val="24"/>
          <w:szCs w:val="24"/>
          <w:highlight w:val="none"/>
        </w:rPr>
      </w:pPr>
      <w:r>
        <w:rPr>
          <w:rFonts w:hint="eastAsia" w:ascii="宋体" w:hAnsi="宋体"/>
          <w:b/>
          <w:color w:val="auto"/>
          <w:sz w:val="24"/>
          <w:szCs w:val="24"/>
          <w:highlight w:val="none"/>
        </w:rPr>
        <w:t xml:space="preserve">11.提示与要求</w:t>
      </w:r>
      <w:r>
        <w:rPr>
          <w:color w:val="auto"/>
          <w:highlight w:val="none"/>
        </w:rPr>
      </w:r>
      <w:r/>
    </w:p>
    <w:p>
      <w:pPr>
        <w:ind w:firstLine="420"/>
        <w:jc w:val="left"/>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11.1投标人应仔细阅读招标文件的所有内容，应当按照招标文件的要求编制投标文件，并保证所提供全部资料的真实性，以使其投标对招标文件</w:t>
      </w:r>
      <w:r>
        <w:rPr>
          <w:rFonts w:hint="eastAsia" w:ascii="宋体" w:hAnsi="宋体"/>
          <w:color w:val="auto"/>
          <w:sz w:val="24"/>
          <w:szCs w:val="24"/>
          <w:highlight w:val="none"/>
        </w:rPr>
        <w:t xml:space="preserve">作出</w:t>
      </w:r>
      <w:r>
        <w:rPr>
          <w:rFonts w:hint="eastAsia" w:ascii="宋体" w:hAnsi="宋体"/>
          <w:color w:val="auto"/>
          <w:sz w:val="24"/>
          <w:szCs w:val="24"/>
          <w:highlight w:val="none"/>
        </w:rPr>
        <w:t xml:space="preserve">实质性投标，否则，其投标可能被拒绝。</w:t>
      </w:r>
      <w:r>
        <w:rPr>
          <w:color w:val="auto"/>
          <w:highlight w:val="none"/>
        </w:rPr>
      </w:r>
      <w:r/>
    </w:p>
    <w:p>
      <w:pPr>
        <w:ind w:firstLine="420"/>
        <w:jc w:val="left"/>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11.2无论是否递交投标文件，投标人都应将招标文件及以后的所有通知、文件等视为保密文件。</w:t>
      </w:r>
      <w:r>
        <w:rPr>
          <w:color w:val="auto"/>
          <w:highlight w:val="none"/>
        </w:rPr>
      </w:r>
      <w:r/>
    </w:p>
    <w:p>
      <w:pPr>
        <w:ind w:firstLine="422"/>
        <w:jc w:val="left"/>
        <w:spacing w:line="440" w:lineRule="exact"/>
        <w:rPr>
          <w:rFonts w:ascii="宋体" w:hAnsi="宋体"/>
          <w:color w:val="auto"/>
          <w:sz w:val="24"/>
          <w:szCs w:val="24"/>
          <w:highlight w:val="none"/>
        </w:rPr>
      </w:pPr>
      <w:r>
        <w:rPr>
          <w:rFonts w:hint="eastAsia" w:ascii="宋体" w:hAnsi="宋体"/>
          <w:b/>
          <w:color w:val="auto"/>
          <w:sz w:val="24"/>
          <w:szCs w:val="24"/>
          <w:highlight w:val="none"/>
        </w:rPr>
        <w:t xml:space="preserve">12.投标文件计量单位和使用文字</w:t>
      </w:r>
      <w:r>
        <w:rPr>
          <w:color w:val="auto"/>
          <w:highlight w:val="none"/>
        </w:rPr>
      </w:r>
      <w:r/>
    </w:p>
    <w:p>
      <w:pPr>
        <w:ind w:firstLine="420"/>
        <w:jc w:val="left"/>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12.1投标文件中所使用的计量单位，除招标文件中有特殊要求外，均应使用中华人民共和国法定计量单位。</w:t>
      </w:r>
      <w:r>
        <w:rPr>
          <w:color w:val="auto"/>
          <w:highlight w:val="none"/>
        </w:rPr>
      </w:r>
      <w:r/>
    </w:p>
    <w:p>
      <w:pPr>
        <w:ind w:firstLine="420"/>
        <w:jc w:val="left"/>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12.2投标文件应使用中文编制，投标文件中必须使用其他文字的，必须附有中文译本。对于未附有中文译本和中文译本不准确的投标文件，由此可能引起的对投标人不利的后果，采购人和采购代理机构概不负责。</w:t>
      </w:r>
      <w:r>
        <w:rPr>
          <w:color w:val="auto"/>
          <w:highlight w:val="none"/>
        </w:rPr>
      </w:r>
      <w:r/>
    </w:p>
    <w:p>
      <w:pPr>
        <w:ind w:firstLine="422"/>
        <w:spacing w:line="440" w:lineRule="exact"/>
        <w:rPr>
          <w:rFonts w:ascii="宋体" w:hAnsi="宋体"/>
          <w:b/>
          <w:color w:val="auto"/>
          <w:sz w:val="24"/>
          <w:szCs w:val="24"/>
          <w:highlight w:val="none"/>
        </w:rPr>
      </w:pPr>
      <w:r>
        <w:rPr>
          <w:rFonts w:hint="eastAsia" w:ascii="宋体" w:hAnsi="宋体"/>
          <w:b/>
          <w:color w:val="auto"/>
          <w:sz w:val="24"/>
          <w:szCs w:val="24"/>
          <w:highlight w:val="none"/>
        </w:rPr>
        <w:t xml:space="preserve">13. 知识产权</w:t>
      </w:r>
      <w:r>
        <w:rPr>
          <w:color w:val="auto"/>
          <w:highlight w:val="none"/>
        </w:rPr>
      </w:r>
      <w:r/>
    </w:p>
    <w:p>
      <w:pPr>
        <w:ind w:firstLine="42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rPr>
          <w:color w:val="auto"/>
          <w:highlight w:val="none"/>
        </w:rPr>
      </w:r>
      <w:r/>
    </w:p>
    <w:p>
      <w:pPr>
        <w:ind w:firstLine="422"/>
        <w:spacing w:line="440" w:lineRule="exact"/>
        <w:tabs>
          <w:tab w:val="left" w:pos="567" w:leader="none"/>
        </w:tabs>
        <w:rPr>
          <w:rFonts w:ascii="宋体" w:hAnsi="宋体"/>
          <w:b/>
          <w:color w:val="auto"/>
          <w:sz w:val="24"/>
          <w:szCs w:val="24"/>
          <w:highlight w:val="none"/>
        </w:rPr>
      </w:pPr>
      <w:r>
        <w:rPr>
          <w:rFonts w:hint="eastAsia" w:ascii="宋体" w:hAnsi="宋体"/>
          <w:b/>
          <w:color w:val="auto"/>
          <w:sz w:val="24"/>
          <w:szCs w:val="24"/>
          <w:highlight w:val="none"/>
        </w:rPr>
        <w:t xml:space="preserve">14.投标文件的组成</w:t>
      </w:r>
      <w:r>
        <w:rPr>
          <w:color w:val="auto"/>
          <w:highlight w:val="none"/>
        </w:rPr>
      </w:r>
      <w:r/>
    </w:p>
    <w:p>
      <w:pPr>
        <w:ind w:firstLine="422"/>
        <w:spacing w:line="440" w:lineRule="exact"/>
        <w:rPr>
          <w:rFonts w:ascii="宋体" w:hAnsi="宋体"/>
          <w:b/>
          <w:color w:val="auto"/>
          <w:sz w:val="24"/>
          <w:szCs w:val="24"/>
          <w:highlight w:val="none"/>
        </w:rPr>
      </w:pPr>
      <w:r>
        <w:rPr>
          <w:rFonts w:hint="eastAsia" w:ascii="宋体" w:hAnsi="宋体"/>
          <w:b/>
          <w:color w:val="auto"/>
          <w:sz w:val="24"/>
          <w:szCs w:val="24"/>
          <w:highlight w:val="none"/>
        </w:rPr>
        <w:t xml:space="preserve">14.1投标文件</w:t>
      </w:r>
      <w:r>
        <w:rPr>
          <w:color w:val="auto"/>
          <w:highlight w:val="none"/>
        </w:rPr>
      </w:r>
      <w:r/>
    </w:p>
    <w:p>
      <w:pPr>
        <w:ind w:firstLine="422"/>
        <w:spacing w:line="440" w:lineRule="exact"/>
        <w:rPr>
          <w:rFonts w:ascii="宋体" w:hAnsi="宋体"/>
          <w:b/>
          <w:color w:val="auto"/>
          <w:sz w:val="24"/>
          <w:szCs w:val="24"/>
          <w:highlight w:val="none"/>
        </w:rPr>
      </w:pPr>
      <w:r>
        <w:rPr>
          <w:rFonts w:hint="eastAsia" w:ascii="宋体" w:hAnsi="宋体"/>
          <w:b/>
          <w:color w:val="auto"/>
          <w:sz w:val="24"/>
          <w:szCs w:val="24"/>
          <w:highlight w:val="none"/>
        </w:rPr>
        <w:t xml:space="preserve">14.1.1封面</w:t>
      </w:r>
      <w:r>
        <w:rPr>
          <w:color w:val="auto"/>
          <w:highlight w:val="none"/>
        </w:rPr>
      </w:r>
      <w:r/>
    </w:p>
    <w:p>
      <w:pPr>
        <w:ind w:firstLine="422"/>
        <w:spacing w:line="440" w:lineRule="exact"/>
        <w:rPr>
          <w:rFonts w:ascii="宋体" w:hAnsi="宋体"/>
          <w:color w:val="auto"/>
          <w:sz w:val="24"/>
          <w:szCs w:val="24"/>
          <w:highlight w:val="none"/>
        </w:rPr>
      </w:pPr>
      <w:r>
        <w:rPr>
          <w:rFonts w:hint="eastAsia" w:ascii="宋体" w:hAnsi="宋体"/>
          <w:b/>
          <w:color w:val="auto"/>
          <w:sz w:val="24"/>
          <w:szCs w:val="24"/>
          <w:highlight w:val="none"/>
        </w:rPr>
        <w:t xml:space="preserve">14.1.2开标一览表</w:t>
      </w:r>
      <w:r>
        <w:rPr>
          <w:color w:val="auto"/>
          <w:highlight w:val="none"/>
        </w:rPr>
      </w:r>
      <w:r/>
    </w:p>
    <w:p>
      <w:pPr>
        <w:ind w:firstLine="422"/>
        <w:spacing w:line="440" w:lineRule="exact"/>
        <w:rPr>
          <w:rFonts w:ascii="宋体" w:hAnsi="宋体"/>
          <w:b/>
          <w:color w:val="auto"/>
          <w:sz w:val="24"/>
          <w:szCs w:val="24"/>
          <w:highlight w:val="none"/>
        </w:rPr>
      </w:pPr>
      <w:r>
        <w:rPr>
          <w:rFonts w:hint="eastAsia" w:ascii="宋体" w:hAnsi="宋体"/>
          <w:b/>
          <w:color w:val="auto"/>
          <w:sz w:val="24"/>
          <w:szCs w:val="24"/>
          <w:highlight w:val="none"/>
        </w:rPr>
        <w:t xml:space="preserve">14.1.3公开分项报价</w:t>
      </w:r>
      <w:r>
        <w:rPr>
          <w:color w:val="auto"/>
          <w:highlight w:val="none"/>
        </w:rPr>
      </w:r>
      <w:r/>
    </w:p>
    <w:p>
      <w:pPr>
        <w:ind w:firstLine="422"/>
        <w:spacing w:line="440" w:lineRule="exact"/>
        <w:rPr>
          <w:rFonts w:ascii="宋体" w:hAnsi="宋体"/>
          <w:b/>
          <w:color w:val="auto"/>
          <w:sz w:val="24"/>
          <w:szCs w:val="24"/>
          <w:highlight w:val="none"/>
        </w:rPr>
      </w:pPr>
      <w:r>
        <w:rPr>
          <w:rFonts w:hint="eastAsia" w:ascii="宋体" w:hAnsi="宋体"/>
          <w:b/>
          <w:color w:val="auto"/>
          <w:sz w:val="24"/>
          <w:szCs w:val="24"/>
          <w:highlight w:val="none"/>
        </w:rPr>
        <w:t xml:space="preserve">14.1.4资格审查文件</w:t>
      </w:r>
      <w:r>
        <w:rPr>
          <w:color w:val="auto"/>
          <w:highlight w:val="none"/>
        </w:rPr>
      </w:r>
      <w:r/>
    </w:p>
    <w:p>
      <w:pPr>
        <w:ind w:firstLine="42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（1）具有独立承担民事责任的能力证明。包括法人或者其他组织的营业执照等证明文件，自然人的身份证明；</w:t>
      </w:r>
      <w:r>
        <w:rPr>
          <w:color w:val="auto"/>
          <w:highlight w:val="none"/>
        </w:rPr>
      </w:r>
      <w:r/>
    </w:p>
    <w:p>
      <w:pPr>
        <w:ind w:firstLine="42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（2）具有良好的商业信誉和健全的财务会计制度证明（</w:t>
      </w:r>
      <w:r>
        <w:rPr>
          <w:rFonts w:hint="eastAsia" w:ascii="宋体" w:hAnsi="宋体"/>
          <w:b/>
          <w:color w:val="auto"/>
          <w:sz w:val="24"/>
          <w:szCs w:val="24"/>
          <w:highlight w:val="none"/>
        </w:rPr>
        <w:t xml:space="preserve">法人应提供最近一期经会计师事务所审计的财务报告</w:t>
      </w:r>
      <w:r>
        <w:rPr>
          <w:rFonts w:hint="eastAsia" w:ascii="宋体" w:hAnsi="宋体"/>
          <w:bCs/>
          <w:color w:val="auto"/>
          <w:sz w:val="24"/>
          <w:szCs w:val="24"/>
          <w:highlight w:val="none"/>
        </w:rPr>
        <w:t xml:space="preserve">，其他组织、自然人及成立未满一年的法人应提供银行出具的资信证明）；</w:t>
      </w:r>
      <w:r>
        <w:rPr>
          <w:color w:val="auto"/>
          <w:highlight w:val="none"/>
        </w:rPr>
      </w:r>
      <w:r/>
    </w:p>
    <w:p>
      <w:pPr>
        <w:ind w:firstLine="42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（3）具备履行合同所必需的设备和专业技术能力的证明材料或承诺；</w:t>
      </w:r>
      <w:r>
        <w:rPr>
          <w:color w:val="auto"/>
          <w:highlight w:val="none"/>
        </w:rPr>
      </w:r>
      <w:r/>
    </w:p>
    <w:p>
      <w:pPr>
        <w:ind w:firstLine="42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4）依法缴纳税收和社会保障资金的相关资料（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color w:val="auto"/>
          <w:highlight w:val="none"/>
        </w:rPr>
      </w:r>
      <w:r/>
    </w:p>
    <w:p>
      <w:pPr>
        <w:ind w:firstLine="42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（5）参加政府采购活动前三年内在经营活动中没有重大违法记录的书面声明函；</w:t>
      </w:r>
      <w:r>
        <w:rPr>
          <w:color w:val="auto"/>
          <w:highlight w:val="none"/>
        </w:rPr>
      </w:r>
      <w:r/>
    </w:p>
    <w:p>
      <w:pPr>
        <w:ind w:firstLine="42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（6）本项目的特定资格要求证明文件</w:t>
      </w:r>
      <w:r>
        <w:rPr>
          <w:rFonts w:hint="eastAsia" w:ascii="宋体" w:hAnsi="宋体"/>
          <w:bCs/>
          <w:color w:val="auto"/>
          <w:sz w:val="24"/>
          <w:szCs w:val="24"/>
          <w:highlight w:val="none"/>
        </w:rPr>
        <w:t xml:space="preserve">；</w:t>
      </w:r>
      <w:r>
        <w:rPr>
          <w:rFonts w:hint="eastAsia" w:ascii="宋体" w:hAnsi="宋体"/>
          <w:bCs/>
          <w:color w:val="auto"/>
          <w:sz w:val="24"/>
          <w:szCs w:val="24"/>
          <w:highlight w:val="none"/>
        </w:rPr>
        <w:t xml:space="preserve">（如有）</w:t>
      </w:r>
      <w:r>
        <w:rPr>
          <w:color w:val="auto"/>
          <w:highlight w:val="none"/>
        </w:rPr>
      </w:r>
      <w:r/>
    </w:p>
    <w:p>
      <w:pPr>
        <w:ind w:firstLine="420"/>
        <w:spacing w:line="440" w:lineRule="exact"/>
        <w:rPr>
          <w:rFonts w:ascii="宋体" w:hAnsi="宋体"/>
          <w:bCs/>
          <w:color w:val="auto"/>
          <w:sz w:val="24"/>
          <w:szCs w:val="24"/>
          <w:highlight w:val="none"/>
        </w:rPr>
      </w:pPr>
      <w:r>
        <w:rPr>
          <w:rFonts w:hint="eastAsia" w:ascii="宋体" w:hAnsi="宋体"/>
          <w:color w:val="auto"/>
          <w:sz w:val="24"/>
          <w:szCs w:val="24"/>
          <w:highlight w:val="none"/>
        </w:rPr>
        <w:t xml:space="preserve">（7）</w:t>
      </w:r>
      <w:r>
        <w:rPr>
          <w:rFonts w:hint="eastAsia" w:ascii="宋体" w:hAnsi="宋体"/>
          <w:color w:val="auto"/>
          <w:sz w:val="24"/>
          <w:szCs w:val="24"/>
          <w:highlight w:val="none"/>
        </w:rPr>
        <w:t xml:space="preserve">其它有关资格证明文件：</w:t>
      </w:r>
      <w:r>
        <w:rPr>
          <w:rFonts w:hint="eastAsia" w:ascii="宋体" w:hAnsi="宋体"/>
          <w:bCs/>
          <w:color w:val="auto"/>
          <w:sz w:val="24"/>
          <w:szCs w:val="24"/>
          <w:highlight w:val="none"/>
        </w:rPr>
        <w:t xml:space="preserve">（如有）</w:t>
      </w:r>
      <w:r>
        <w:rPr>
          <w:color w:val="auto"/>
          <w:highlight w:val="none"/>
        </w:rPr>
      </w:r>
      <w:r/>
    </w:p>
    <w:p>
      <w:pPr>
        <w:ind w:firstLine="422"/>
        <w:spacing w:line="440" w:lineRule="exact"/>
        <w:rPr>
          <w:rFonts w:ascii="宋体" w:hAnsi="宋体"/>
          <w:b/>
          <w:color w:val="auto"/>
          <w:sz w:val="24"/>
          <w:szCs w:val="24"/>
          <w:highlight w:val="none"/>
        </w:rPr>
      </w:pPr>
      <w:r>
        <w:rPr>
          <w:rFonts w:hint="eastAsia" w:ascii="宋体" w:hAnsi="宋体"/>
          <w:b/>
          <w:color w:val="auto"/>
          <w:sz w:val="24"/>
          <w:szCs w:val="24"/>
          <w:highlight w:val="none"/>
        </w:rPr>
        <w:t xml:space="preserve">14.1.5符合性审查文件</w:t>
      </w:r>
      <w:r>
        <w:rPr>
          <w:color w:val="auto"/>
          <w:highlight w:val="none"/>
        </w:rPr>
      </w:r>
      <w:r/>
    </w:p>
    <w:p>
      <w:pPr>
        <w:ind w:firstLine="420"/>
        <w:jc w:val="left"/>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14.1.5.1投标函（格式见第三章）；</w:t>
      </w:r>
      <w:r>
        <w:rPr>
          <w:color w:val="auto"/>
          <w:highlight w:val="none"/>
        </w:rPr>
      </w:r>
      <w:r/>
    </w:p>
    <w:p>
      <w:pPr>
        <w:ind w:firstLine="420"/>
        <w:jc w:val="left"/>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14.1.5.2技术要求（指标）对照表；</w:t>
      </w:r>
      <w:r>
        <w:rPr>
          <w:color w:val="auto"/>
          <w:highlight w:val="none"/>
        </w:rPr>
      </w:r>
      <w:r/>
    </w:p>
    <w:p>
      <w:pPr>
        <w:ind w:firstLine="420"/>
        <w:jc w:val="left"/>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14.1.5.3商务偏离表（格式见第三章）；</w:t>
      </w:r>
      <w:r>
        <w:rPr>
          <w:color w:val="auto"/>
          <w:highlight w:val="none"/>
        </w:rPr>
      </w:r>
      <w:r/>
    </w:p>
    <w:p>
      <w:pPr>
        <w:ind w:firstLine="420"/>
        <w:jc w:val="left"/>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14.1.5.4项目服务人员配置表（格式见第三章）；</w:t>
      </w:r>
      <w:r>
        <w:rPr>
          <w:color w:val="auto"/>
          <w:highlight w:val="none"/>
        </w:rPr>
      </w:r>
      <w:r/>
    </w:p>
    <w:p>
      <w:pPr>
        <w:ind w:firstLine="420"/>
        <w:jc w:val="left"/>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14.1.</w:t>
      </w:r>
      <w:r>
        <w:rPr>
          <w:rFonts w:hint="eastAsia" w:ascii="宋体" w:hAnsi="宋体"/>
          <w:color w:val="auto"/>
          <w:sz w:val="24"/>
          <w:szCs w:val="24"/>
          <w:highlight w:val="none"/>
        </w:rPr>
        <w:t xml:space="preserve">5</w:t>
      </w:r>
      <w:r>
        <w:rPr>
          <w:rFonts w:hint="eastAsia" w:ascii="宋体" w:hAnsi="宋体"/>
          <w:color w:val="auto"/>
          <w:sz w:val="24"/>
          <w:szCs w:val="24"/>
          <w:highlight w:val="none"/>
        </w:rPr>
        <w:t xml:space="preserve">.</w:t>
      </w:r>
      <w:r>
        <w:rPr>
          <w:rFonts w:hint="eastAsia" w:ascii="宋体" w:hAnsi="宋体"/>
          <w:color w:val="auto"/>
          <w:sz w:val="24"/>
          <w:szCs w:val="24"/>
          <w:highlight w:val="none"/>
        </w:rPr>
        <w:t xml:space="preserve">5</w:t>
      </w:r>
      <w:r>
        <w:rPr>
          <w:rFonts w:hint="eastAsia" w:ascii="宋体" w:hAnsi="宋体"/>
          <w:color w:val="auto"/>
          <w:sz w:val="24"/>
          <w:szCs w:val="24"/>
          <w:highlight w:val="none"/>
        </w:rPr>
        <w:t xml:space="preserve">关于资格文件的声明函（格式见第三章）；</w:t>
      </w:r>
      <w:r>
        <w:rPr>
          <w:color w:val="auto"/>
          <w:highlight w:val="none"/>
        </w:rPr>
      </w:r>
      <w:r/>
    </w:p>
    <w:p>
      <w:pPr>
        <w:ind w:firstLine="420"/>
        <w:jc w:val="left"/>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14.1.</w:t>
      </w:r>
      <w:r>
        <w:rPr>
          <w:rFonts w:hint="eastAsia" w:ascii="宋体" w:hAnsi="宋体"/>
          <w:color w:val="auto"/>
          <w:sz w:val="24"/>
          <w:szCs w:val="24"/>
          <w:highlight w:val="none"/>
        </w:rPr>
        <w:t xml:space="preserve">5</w:t>
      </w:r>
      <w:r>
        <w:rPr>
          <w:rFonts w:hint="eastAsia" w:ascii="宋体" w:hAnsi="宋体"/>
          <w:color w:val="auto"/>
          <w:sz w:val="24"/>
          <w:szCs w:val="24"/>
          <w:highlight w:val="none"/>
        </w:rPr>
        <w:t xml:space="preserve">.</w:t>
      </w:r>
      <w:r>
        <w:rPr>
          <w:rFonts w:hint="eastAsia" w:ascii="宋体" w:hAnsi="宋体"/>
          <w:color w:val="auto"/>
          <w:sz w:val="24"/>
          <w:szCs w:val="24"/>
          <w:highlight w:val="none"/>
        </w:rPr>
        <w:t xml:space="preserve">6</w:t>
      </w:r>
      <w:r>
        <w:rPr>
          <w:rFonts w:hint="eastAsia" w:ascii="宋体" w:hAnsi="宋体"/>
          <w:color w:val="auto"/>
          <w:sz w:val="24"/>
          <w:szCs w:val="24"/>
          <w:highlight w:val="none"/>
        </w:rPr>
        <w:t xml:space="preserve">投标人基本情况表（格式见第三章）；</w:t>
      </w:r>
      <w:r>
        <w:rPr>
          <w:color w:val="auto"/>
          <w:highlight w:val="none"/>
        </w:rPr>
      </w:r>
      <w:r/>
    </w:p>
    <w:p>
      <w:pPr>
        <w:ind w:firstLine="420"/>
        <w:jc w:val="left"/>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14.1.</w:t>
      </w:r>
      <w:r>
        <w:rPr>
          <w:rFonts w:hint="eastAsia" w:ascii="宋体" w:hAnsi="宋体"/>
          <w:color w:val="auto"/>
          <w:sz w:val="24"/>
          <w:szCs w:val="24"/>
          <w:highlight w:val="none"/>
        </w:rPr>
        <w:t xml:space="preserve">5</w:t>
      </w:r>
      <w:r>
        <w:rPr>
          <w:rFonts w:hint="eastAsia" w:ascii="宋体" w:hAnsi="宋体"/>
          <w:color w:val="auto"/>
          <w:sz w:val="24"/>
          <w:szCs w:val="24"/>
          <w:highlight w:val="none"/>
        </w:rPr>
        <w:t xml:space="preserve">.</w:t>
      </w:r>
      <w:r>
        <w:rPr>
          <w:rFonts w:hint="eastAsia" w:ascii="宋体" w:hAnsi="宋体"/>
          <w:color w:val="auto"/>
          <w:sz w:val="24"/>
          <w:szCs w:val="24"/>
          <w:highlight w:val="none"/>
        </w:rPr>
        <w:t xml:space="preserve">7</w:t>
      </w:r>
      <w:r>
        <w:rPr>
          <w:rFonts w:hint="eastAsia" w:ascii="宋体" w:hAnsi="宋体"/>
          <w:color w:val="auto"/>
          <w:sz w:val="24"/>
          <w:szCs w:val="24"/>
          <w:highlight w:val="none"/>
        </w:rPr>
        <w:t xml:space="preserve">投标人法定代表人身份证复印件；法定代表人授权委托书（如有授权，格式见</w:t>
      </w:r>
      <w:r>
        <w:rPr>
          <w:rFonts w:hint="eastAsia" w:ascii="宋体" w:hAnsi="宋体"/>
          <w:color w:val="auto"/>
          <w:sz w:val="24"/>
          <w:szCs w:val="24"/>
          <w:highlight w:val="none"/>
        </w:rPr>
        <w:t xml:space="preserve">第三章）；</w:t>
      </w:r>
      <w:r>
        <w:rPr>
          <w:rFonts w:hint="eastAsia" w:ascii="宋体" w:hAnsi="宋体"/>
          <w:color w:val="auto"/>
          <w:sz w:val="24"/>
          <w:szCs w:val="24"/>
          <w:highlight w:val="none"/>
        </w:rPr>
        <w:t xml:space="preserve">投标人授权代理人身份证复印件（如有授权）；</w:t>
      </w:r>
      <w:r>
        <w:rPr>
          <w:color w:val="auto"/>
          <w:highlight w:val="none"/>
        </w:rPr>
      </w:r>
      <w:r/>
    </w:p>
    <w:p>
      <w:pPr>
        <w:ind w:firstLine="420"/>
        <w:jc w:val="left"/>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14.1.5.</w:t>
      </w:r>
      <w:r>
        <w:rPr>
          <w:rFonts w:hint="eastAsia" w:ascii="宋体" w:hAnsi="宋体"/>
          <w:color w:val="auto"/>
          <w:sz w:val="24"/>
          <w:szCs w:val="24"/>
          <w:highlight w:val="none"/>
        </w:rPr>
        <w:t xml:space="preserve">8</w:t>
      </w:r>
      <w:r>
        <w:rPr>
          <w:rFonts w:hint="eastAsia" w:ascii="宋体" w:hAnsi="宋体"/>
          <w:color w:val="auto"/>
          <w:sz w:val="24"/>
          <w:szCs w:val="24"/>
          <w:highlight w:val="none"/>
        </w:rPr>
        <w:t xml:space="preserve">其他有关符合性证明的文件。</w:t>
      </w:r>
      <w:r>
        <w:rPr>
          <w:color w:val="auto"/>
          <w:highlight w:val="none"/>
        </w:rPr>
      </w:r>
      <w:r/>
    </w:p>
    <w:p>
      <w:pPr>
        <w:ind w:firstLine="408"/>
        <w:spacing w:line="440" w:lineRule="exact"/>
        <w:rPr>
          <w:rFonts w:ascii="宋体" w:hAnsi="宋体"/>
          <w:b/>
          <w:color w:val="auto"/>
          <w:sz w:val="24"/>
          <w:szCs w:val="24"/>
          <w:highlight w:val="none"/>
        </w:rPr>
      </w:pPr>
      <w:r>
        <w:rPr>
          <w:rFonts w:hint="eastAsia" w:ascii="宋体" w:hAnsi="宋体"/>
          <w:b/>
          <w:color w:val="auto"/>
          <w:sz w:val="24"/>
          <w:szCs w:val="24"/>
          <w:highlight w:val="none"/>
        </w:rPr>
        <w:t xml:space="preserve">14.1.6综合评审文件</w:t>
      </w:r>
      <w:r>
        <w:rPr>
          <w:color w:val="auto"/>
          <w:highlight w:val="none"/>
        </w:rPr>
      </w:r>
      <w:r/>
    </w:p>
    <w:p>
      <w:pPr>
        <w:ind w:firstLine="408"/>
        <w:spacing w:line="440" w:lineRule="exact"/>
        <w:rPr>
          <w:rFonts w:ascii="宋体" w:hAnsi="宋体"/>
          <w:color w:val="auto"/>
          <w:sz w:val="24"/>
          <w:szCs w:val="24"/>
          <w:highlight w:val="none"/>
        </w:rPr>
      </w:pPr>
      <w:r>
        <w:rPr>
          <w:rFonts w:hint="eastAsia" w:ascii="宋体" w:hAnsi="宋体"/>
          <w:color w:val="auto"/>
          <w:sz w:val="24"/>
          <w:szCs w:val="24"/>
          <w:highlight w:val="none"/>
          <w:lang w:val="zh-CN"/>
        </w:rPr>
        <w:t xml:space="preserve">14.1.6.1投标货物和服务品牌规格、性能、数量、交货期说明表（不得出现</w:t>
      </w:r>
      <w:r>
        <w:rPr>
          <w:rFonts w:hint="eastAsia" w:ascii="宋体" w:hAnsi="宋体"/>
          <w:color w:val="auto"/>
          <w:sz w:val="24"/>
          <w:szCs w:val="24"/>
          <w:highlight w:val="none"/>
        </w:rPr>
        <w:t xml:space="preserve">投标报价</w:t>
      </w:r>
      <w:r>
        <w:rPr>
          <w:rFonts w:hint="eastAsia" w:ascii="宋体" w:hAnsi="宋体"/>
          <w:color w:val="auto"/>
          <w:sz w:val="24"/>
          <w:szCs w:val="24"/>
          <w:highlight w:val="none"/>
          <w:lang w:val="zh-CN"/>
        </w:rPr>
        <w:t xml:space="preserve">）；</w:t>
      </w:r>
      <w:r>
        <w:rPr>
          <w:color w:val="auto"/>
          <w:highlight w:val="none"/>
        </w:rPr>
      </w:r>
      <w:r/>
    </w:p>
    <w:p>
      <w:pPr>
        <w:ind w:firstLine="408"/>
        <w:spacing w:line="440" w:lineRule="exact"/>
        <w:rPr>
          <w:rFonts w:ascii="宋体" w:hAnsi="宋体"/>
          <w:color w:val="auto"/>
          <w:sz w:val="24"/>
          <w:szCs w:val="24"/>
          <w:highlight w:val="none"/>
        </w:rPr>
      </w:pPr>
      <w:r>
        <w:rPr>
          <w:rFonts w:hint="eastAsia" w:ascii="宋体" w:hAnsi="宋体"/>
          <w:color w:val="auto"/>
          <w:sz w:val="24"/>
          <w:szCs w:val="24"/>
          <w:highlight w:val="none"/>
          <w:lang w:val="zh-CN"/>
        </w:rPr>
        <w:t xml:space="preserve">14.1.6.2</w:t>
      </w:r>
      <w:r>
        <w:rPr>
          <w:rFonts w:hint="eastAsia" w:ascii="宋体" w:hAnsi="宋体"/>
          <w:color w:val="auto"/>
          <w:sz w:val="24"/>
          <w:szCs w:val="24"/>
          <w:highlight w:val="none"/>
        </w:rPr>
        <w:t xml:space="preserve">项目实施</w:t>
      </w:r>
      <w:r>
        <w:rPr>
          <w:rFonts w:hint="eastAsia" w:ascii="宋体" w:hAnsi="宋体"/>
          <w:color w:val="auto"/>
          <w:sz w:val="24"/>
          <w:szCs w:val="24"/>
          <w:highlight w:val="none"/>
          <w:lang w:val="zh-CN"/>
        </w:rPr>
        <w:t xml:space="preserve">方案；</w:t>
      </w:r>
      <w:r>
        <w:rPr>
          <w:color w:val="auto"/>
          <w:highlight w:val="none"/>
        </w:rPr>
      </w:r>
      <w:r/>
    </w:p>
    <w:p>
      <w:pPr>
        <w:ind w:firstLine="408"/>
        <w:spacing w:line="440" w:lineRule="exact"/>
        <w:rPr>
          <w:rFonts w:ascii="宋体" w:hAnsi="宋体"/>
          <w:b/>
          <w:bCs/>
          <w:color w:val="auto"/>
          <w:sz w:val="24"/>
          <w:szCs w:val="24"/>
          <w:highlight w:val="none"/>
        </w:rPr>
      </w:pPr>
      <w:r>
        <w:rPr>
          <w:rFonts w:hint="eastAsia" w:ascii="宋体" w:hAnsi="宋体"/>
          <w:color w:val="auto"/>
          <w:sz w:val="24"/>
          <w:szCs w:val="24"/>
          <w:highlight w:val="none"/>
          <w:lang w:val="zh-CN"/>
        </w:rPr>
        <w:t xml:space="preserve">14.1.6.3投标单位综合</w:t>
      </w:r>
      <w:r>
        <w:rPr>
          <w:rFonts w:hint="eastAsia" w:ascii="宋体" w:hAnsi="宋体"/>
          <w:color w:val="auto"/>
          <w:sz w:val="24"/>
          <w:szCs w:val="24"/>
          <w:highlight w:val="none"/>
        </w:rPr>
        <w:t xml:space="preserve">能</w:t>
      </w:r>
      <w:r>
        <w:rPr>
          <w:rFonts w:hint="eastAsia" w:ascii="宋体" w:hAnsi="宋体"/>
          <w:color w:val="auto"/>
          <w:sz w:val="24"/>
          <w:szCs w:val="24"/>
          <w:highlight w:val="none"/>
          <w:lang w:val="zh-CN"/>
        </w:rPr>
        <w:t xml:space="preserve">力；</w:t>
      </w:r>
      <w:r>
        <w:rPr>
          <w:color w:val="auto"/>
          <w:highlight w:val="none"/>
        </w:rPr>
      </w:r>
      <w:r/>
    </w:p>
    <w:p>
      <w:pPr>
        <w:ind w:firstLine="420"/>
        <w:spacing w:line="440" w:lineRule="exact"/>
        <w:rPr>
          <w:rFonts w:ascii="宋体" w:hAnsi="宋体" w:cs="宋体"/>
          <w:color w:val="auto"/>
          <w:sz w:val="24"/>
          <w:szCs w:val="24"/>
          <w:highlight w:val="none"/>
        </w:rPr>
      </w:pPr>
      <w:r>
        <w:rPr>
          <w:rFonts w:hint="eastAsia" w:ascii="宋体" w:hAnsi="宋体"/>
          <w:color w:val="auto"/>
          <w:sz w:val="24"/>
          <w:szCs w:val="24"/>
          <w:highlight w:val="none"/>
        </w:rPr>
        <w:t xml:space="preserve">14.1.7如项目专门面向中小企业采购，供应商必须提供符合要求的《中小企业声明函》或《残疾人福利性单位声明函》或由省级以上监狱管理局、戒毒管理局（含新疆生产建设兵团）出具的属于监狱企业的证明文件；</w:t>
      </w:r>
      <w:r>
        <w:rPr>
          <w:color w:val="auto"/>
          <w:highlight w:val="none"/>
        </w:rPr>
      </w:r>
      <w:r/>
    </w:p>
    <w:p>
      <w:pPr>
        <w:ind w:firstLine="408"/>
        <w:spacing w:line="440" w:lineRule="exact"/>
        <w:rPr>
          <w:rFonts w:ascii="宋体" w:hAnsi="宋体" w:cs="宋体"/>
          <w:color w:val="auto"/>
          <w:sz w:val="24"/>
          <w:szCs w:val="24"/>
          <w:highlight w:val="none"/>
        </w:rPr>
      </w:pPr>
      <w:r>
        <w:rPr>
          <w:rFonts w:hint="eastAsia" w:ascii="宋体" w:hAnsi="宋体"/>
          <w:color w:val="auto"/>
          <w:sz w:val="24"/>
          <w:szCs w:val="24"/>
          <w:highlight w:val="none"/>
        </w:rPr>
        <w:t xml:space="preserve">14.1.8其他可以证明投标人资质、服务质量的证书、文件等相关资料。</w:t>
      </w:r>
      <w:r>
        <w:rPr>
          <w:color w:val="auto"/>
          <w:highlight w:val="none"/>
        </w:rPr>
      </w:r>
      <w:r/>
    </w:p>
    <w:p>
      <w:pPr>
        <w:ind w:firstLine="430"/>
        <w:spacing w:line="440" w:lineRule="exact"/>
        <w:rPr>
          <w:rFonts w:ascii="宋体" w:hAnsi="宋体" w:cs="宋体"/>
          <w:b/>
          <w:bCs/>
          <w:color w:val="auto"/>
          <w:sz w:val="24"/>
          <w:szCs w:val="24"/>
          <w:highlight w:val="none"/>
        </w:rPr>
      </w:pPr>
      <w:r>
        <w:rPr>
          <w:rFonts w:hint="eastAsia" w:ascii="宋体" w:hAnsi="宋体" w:cs="宋体"/>
          <w:b/>
          <w:bCs/>
          <w:color w:val="auto"/>
          <w:sz w:val="24"/>
          <w:szCs w:val="24"/>
          <w:highlight w:val="none"/>
          <w:lang w:val="zh-CN"/>
        </w:rPr>
        <w:t xml:space="preserve">注：（1）以上14.1.4为资格审查要求提供的材料，是作为对供应商资格审查、质疑身份认定的依据，投标人必须提供并加盖电子公章。否则，投标文件将被认定为不符合资格审查要求。</w:t>
      </w:r>
      <w:r>
        <w:rPr>
          <w:color w:val="auto"/>
          <w:highlight w:val="none"/>
        </w:rPr>
      </w:r>
      <w:r/>
    </w:p>
    <w:p>
      <w:pPr>
        <w:ind w:firstLine="430"/>
        <w:spacing w:line="440" w:lineRule="exact"/>
        <w:rPr>
          <w:rFonts w:ascii="宋体" w:hAnsi="宋体" w:cs="宋体"/>
          <w:b/>
          <w:bCs/>
          <w:color w:val="auto"/>
          <w:sz w:val="24"/>
          <w:szCs w:val="24"/>
          <w:highlight w:val="none"/>
        </w:rPr>
      </w:pPr>
      <w:r>
        <w:rPr>
          <w:rFonts w:hint="eastAsia" w:ascii="宋体" w:hAnsi="宋体" w:cs="宋体"/>
          <w:b/>
          <w:bCs/>
          <w:color w:val="auto"/>
          <w:sz w:val="24"/>
          <w:szCs w:val="24"/>
          <w:highlight w:val="none"/>
          <w:lang w:val="zh-CN"/>
        </w:rPr>
        <w:t xml:space="preserve">（2）以上14.1.5</w:t>
      </w:r>
      <w:r>
        <w:rPr>
          <w:rFonts w:hint="eastAsia" w:ascii="宋体" w:hAnsi="宋体" w:cs="宋体"/>
          <w:b/>
          <w:bCs/>
          <w:color w:val="auto"/>
          <w:sz w:val="24"/>
          <w:szCs w:val="24"/>
          <w:highlight w:val="none"/>
          <w:lang w:val="zh-CN"/>
        </w:rPr>
        <w:t xml:space="preserve">.1-14.1.5.</w:t>
      </w:r>
      <w:r>
        <w:rPr>
          <w:rFonts w:hint="eastAsia" w:ascii="宋体" w:hAnsi="宋体" w:cs="宋体"/>
          <w:b/>
          <w:bCs/>
          <w:color w:val="auto"/>
          <w:sz w:val="24"/>
          <w:szCs w:val="24"/>
          <w:highlight w:val="none"/>
          <w:lang w:val="zh-CN"/>
        </w:rPr>
        <w:t xml:space="preserve">8</w:t>
      </w:r>
      <w:r>
        <w:rPr>
          <w:rFonts w:hint="eastAsia" w:ascii="宋体" w:hAnsi="宋体" w:cs="宋体"/>
          <w:b/>
          <w:bCs/>
          <w:color w:val="auto"/>
          <w:sz w:val="24"/>
          <w:szCs w:val="24"/>
          <w:highlight w:val="none"/>
          <w:lang w:val="zh-CN"/>
        </w:rPr>
        <w:t xml:space="preserve">为符合性审查须提供的资料，投标人必须提供并加盖电子公章。否则，投标文件将被认定为未实质性响应。</w:t>
      </w:r>
      <w:r>
        <w:rPr>
          <w:color w:val="auto"/>
          <w:highlight w:val="none"/>
        </w:rPr>
      </w:r>
      <w:r/>
    </w:p>
    <w:p>
      <w:pPr>
        <w:ind w:firstLine="430"/>
        <w:spacing w:line="440" w:lineRule="exact"/>
        <w:rPr>
          <w:rFonts w:ascii="宋体" w:hAnsi="宋体"/>
          <w:color w:val="auto"/>
          <w:sz w:val="24"/>
          <w:szCs w:val="24"/>
          <w:highlight w:val="none"/>
        </w:rPr>
      </w:pPr>
      <w:r>
        <w:rPr>
          <w:rFonts w:hint="eastAsia" w:ascii="宋体" w:hAnsi="宋体" w:cs="宋体"/>
          <w:b/>
          <w:color w:val="auto"/>
          <w:sz w:val="24"/>
          <w:szCs w:val="24"/>
          <w:highlight w:val="none"/>
          <w:lang w:val="zh-CN"/>
        </w:rPr>
        <w:t xml:space="preserve">（3）“14.1.4-14.1.</w:t>
      </w:r>
      <w:r>
        <w:rPr>
          <w:rFonts w:hint="eastAsia" w:ascii="宋体" w:hAnsi="宋体" w:cs="宋体"/>
          <w:b/>
          <w:color w:val="auto"/>
          <w:sz w:val="24"/>
          <w:szCs w:val="24"/>
          <w:highlight w:val="none"/>
        </w:rPr>
        <w:t xml:space="preserve">8</w:t>
      </w:r>
      <w:r>
        <w:rPr>
          <w:rFonts w:hint="eastAsia" w:ascii="宋体" w:hAnsi="宋体" w:cs="宋体"/>
          <w:b/>
          <w:color w:val="auto"/>
          <w:sz w:val="24"/>
          <w:szCs w:val="24"/>
          <w:highlight w:val="none"/>
          <w:lang w:val="zh-CN"/>
        </w:rPr>
        <w:t xml:space="preserve">”中不得出现投标总报价。</w:t>
      </w:r>
      <w:r>
        <w:rPr>
          <w:rFonts w:hint="eastAsia" w:ascii="宋体" w:hAnsi="宋体" w:cs="宋体"/>
          <w:color w:val="auto"/>
          <w:sz w:val="24"/>
          <w:szCs w:val="24"/>
          <w:highlight w:val="none"/>
          <w:lang w:val="zh-CN"/>
        </w:rPr>
        <w:t xml:space="preserve">投标人所提交的资料的完整与否，将直接影响投标人的评分。</w:t>
      </w:r>
      <w:r>
        <w:rPr>
          <w:color w:val="auto"/>
          <w:highlight w:val="none"/>
        </w:rPr>
      </w:r>
      <w:r/>
    </w:p>
    <w:p>
      <w:pPr>
        <w:ind w:firstLine="430"/>
        <w:spacing w:line="440" w:lineRule="exact"/>
        <w:rPr>
          <w:rFonts w:ascii="宋体" w:hAnsi="宋体" w:cs="宋体"/>
          <w:b/>
          <w:bCs/>
          <w:color w:val="auto"/>
          <w:sz w:val="24"/>
          <w:szCs w:val="24"/>
          <w:highlight w:val="none"/>
        </w:rPr>
      </w:pPr>
      <w:r>
        <w:rPr>
          <w:rFonts w:hint="eastAsia" w:ascii="宋体" w:hAnsi="宋体" w:cs="宋体"/>
          <w:b/>
          <w:color w:val="auto"/>
          <w:sz w:val="24"/>
          <w:szCs w:val="24"/>
          <w:highlight w:val="none"/>
          <w:lang w:val="zh-CN"/>
        </w:rPr>
        <w:t xml:space="preserve">（4）制作电子投标文件时必须与投标文件制作软件目录一一对应，将相关资料上传至相应模块。</w:t>
      </w:r>
      <w:r>
        <w:rPr>
          <w:color w:val="auto"/>
          <w:highlight w:val="none"/>
        </w:rPr>
      </w:r>
      <w:r/>
    </w:p>
    <w:p>
      <w:pPr>
        <w:ind w:firstLine="430"/>
        <w:spacing w:line="440" w:lineRule="exact"/>
        <w:rPr>
          <w:rFonts w:ascii="宋体" w:hAnsi="宋体"/>
          <w:b/>
          <w:color w:val="auto"/>
          <w:sz w:val="24"/>
          <w:szCs w:val="24"/>
          <w:highlight w:val="none"/>
        </w:rPr>
      </w:pPr>
      <w:r>
        <w:rPr>
          <w:rFonts w:hint="eastAsia" w:ascii="宋体" w:hAnsi="宋体" w:cs="宋体"/>
          <w:b/>
          <w:color w:val="auto"/>
          <w:sz w:val="24"/>
          <w:szCs w:val="24"/>
          <w:highlight w:val="none"/>
          <w:lang w:val="zh-CN"/>
        </w:rPr>
        <w:t xml:space="preserve">（5）开评标过程中如有问题采购代理机构工作人员会及时通过《投标供应商确认函》留存的手机号与供应商联系。请供应商确保该手机号通讯畅通，</w:t>
      </w:r>
      <w:r>
        <w:rPr>
          <w:rFonts w:hint="eastAsia" w:ascii="宋体" w:hAnsi="宋体" w:cs="宋体"/>
          <w:b/>
          <w:color w:val="auto"/>
          <w:sz w:val="24"/>
          <w:szCs w:val="24"/>
          <w:highlight w:val="none"/>
          <w:lang w:val="zh-CN"/>
        </w:rPr>
        <w:t xml:space="preserve">否则导致</w:t>
      </w:r>
      <w:r>
        <w:rPr>
          <w:rFonts w:hint="eastAsia" w:ascii="宋体" w:hAnsi="宋体" w:cs="宋体"/>
          <w:b/>
          <w:color w:val="auto"/>
          <w:sz w:val="24"/>
          <w:szCs w:val="24"/>
          <w:highlight w:val="none"/>
          <w:lang w:val="zh-CN"/>
        </w:rPr>
        <w:t xml:space="preserve">的不利后果由供应商自行承担。</w:t>
      </w:r>
      <w:r>
        <w:rPr>
          <w:color w:val="auto"/>
          <w:highlight w:val="none"/>
        </w:rPr>
      </w:r>
      <w:r/>
    </w:p>
    <w:p>
      <w:pPr>
        <w:ind w:firstLine="422"/>
        <w:spacing w:line="440" w:lineRule="exact"/>
        <w:rPr>
          <w:rFonts w:ascii="宋体" w:hAnsi="宋体"/>
          <w:b/>
          <w:color w:val="auto"/>
          <w:sz w:val="24"/>
          <w:szCs w:val="24"/>
          <w:highlight w:val="none"/>
        </w:rPr>
      </w:pPr>
      <w:r>
        <w:rPr>
          <w:rFonts w:hint="eastAsia" w:ascii="宋体" w:hAnsi="宋体"/>
          <w:b/>
          <w:color w:val="auto"/>
          <w:sz w:val="24"/>
          <w:szCs w:val="24"/>
          <w:highlight w:val="none"/>
        </w:rPr>
        <w:t xml:space="preserve">15.投标文件编制要求</w:t>
      </w:r>
      <w:r>
        <w:rPr>
          <w:color w:val="auto"/>
          <w:highlight w:val="none"/>
        </w:rPr>
      </w:r>
      <w:r/>
    </w:p>
    <w:p>
      <w:pPr>
        <w:ind w:firstLine="422"/>
        <w:spacing w:line="440" w:lineRule="exact"/>
        <w:rPr>
          <w:rFonts w:ascii="宋体" w:hAnsi="宋体"/>
          <w:b/>
          <w:color w:val="auto"/>
          <w:sz w:val="24"/>
          <w:szCs w:val="24"/>
          <w:highlight w:val="none"/>
        </w:rPr>
      </w:pPr>
      <w:r>
        <w:rPr>
          <w:rFonts w:hint="eastAsia" w:ascii="宋体" w:hAnsi="宋体"/>
          <w:b/>
          <w:color w:val="auto"/>
          <w:sz w:val="24"/>
          <w:szCs w:val="24"/>
          <w:highlight w:val="none"/>
        </w:rPr>
        <w:t xml:space="preserve">15.1投标文件按统一格式、顺序编写。</w:t>
      </w:r>
      <w:r>
        <w:rPr>
          <w:color w:val="auto"/>
          <w:highlight w:val="none"/>
        </w:rPr>
      </w:r>
      <w:r/>
    </w:p>
    <w:p>
      <w:pPr>
        <w:ind w:firstLine="42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15.2《开标一览表》为在开标仪式上唱标的内容，要求按格式填写，统一规范，不得自行增减内容。</w:t>
      </w:r>
      <w:r>
        <w:rPr>
          <w:color w:val="auto"/>
          <w:highlight w:val="none"/>
        </w:rPr>
      </w:r>
      <w:r/>
    </w:p>
    <w:p>
      <w:pPr>
        <w:ind w:firstLine="422"/>
        <w:spacing w:line="440" w:lineRule="exact"/>
        <w:rPr>
          <w:rFonts w:ascii="宋体" w:hAnsi="宋体" w:cs="宋体"/>
          <w:b/>
          <w:color w:val="auto"/>
          <w:sz w:val="24"/>
          <w:szCs w:val="24"/>
          <w:highlight w:val="none"/>
        </w:rPr>
      </w:pPr>
      <w:r>
        <w:rPr>
          <w:rFonts w:hint="eastAsia" w:ascii="宋体" w:hAnsi="宋体" w:cs="宋体"/>
          <w:b/>
          <w:color w:val="auto"/>
          <w:sz w:val="24"/>
          <w:szCs w:val="24"/>
          <w:highlight w:val="none"/>
          <w:lang w:val="zh-CN"/>
        </w:rPr>
        <w:t xml:space="preserve">16.投标报价（编制）要求的说明</w:t>
      </w:r>
      <w:r>
        <w:rPr>
          <w:color w:val="auto"/>
          <w:highlight w:val="none"/>
        </w:rPr>
      </w:r>
      <w:r/>
    </w:p>
    <w:p>
      <w:pPr>
        <w:ind w:firstLine="420"/>
        <w:spacing w:line="440" w:lineRule="exact"/>
        <w:rPr>
          <w:rFonts w:ascii="宋体" w:hAnsi="宋体" w:cs="宋体"/>
          <w:color w:val="auto"/>
          <w:sz w:val="24"/>
          <w:szCs w:val="24"/>
          <w:highlight w:val="none"/>
        </w:rPr>
      </w:pPr>
      <w:r>
        <w:rPr>
          <w:rFonts w:hint="eastAsia" w:ascii="宋体" w:hAnsi="宋体"/>
          <w:color w:val="auto"/>
          <w:sz w:val="24"/>
          <w:szCs w:val="24"/>
          <w:highlight w:val="none"/>
        </w:rPr>
        <w:t xml:space="preserve">16.1除非合同中另有规定，投标人对《开标一览表》中的报价</w:t>
      </w:r>
      <w:r>
        <w:rPr>
          <w:rFonts w:hint="eastAsia" w:ascii="宋体" w:hAnsi="宋体"/>
          <w:color w:val="auto"/>
          <w:sz w:val="24"/>
          <w:szCs w:val="24"/>
          <w:highlight w:val="none"/>
          <w:lang w:val="zh-CN"/>
        </w:rPr>
        <w:t xml:space="preserve">应综合</w:t>
      </w:r>
      <w:r>
        <w:rPr>
          <w:rFonts w:hint="eastAsia" w:ascii="宋体" w:hAnsi="宋体"/>
          <w:color w:val="auto"/>
          <w:sz w:val="24"/>
          <w:szCs w:val="24"/>
          <w:highlight w:val="none"/>
          <w:lang w:val="zh-CN"/>
        </w:rPr>
        <w:t xml:space="preserve">考量</w:t>
      </w:r>
      <w:r>
        <w:rPr>
          <w:rFonts w:hint="eastAsia" w:ascii="宋体" w:hAnsi="宋体"/>
          <w:color w:val="auto"/>
          <w:sz w:val="24"/>
          <w:szCs w:val="24"/>
          <w:highlight w:val="none"/>
        </w:rPr>
        <w:t xml:space="preserve">完成本次服务项目所需的服务成本、经营成本、法定税费和管理企业的利润、保险及合同包含的所有风险、责任等各项应有费用。</w:t>
      </w:r>
      <w:r>
        <w:rPr>
          <w:rFonts w:hint="eastAsia" w:ascii="宋体" w:hAnsi="宋体"/>
          <w:color w:val="auto"/>
          <w:sz w:val="24"/>
          <w:szCs w:val="24"/>
          <w:highlight w:val="none"/>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color w:val="auto"/>
          <w:sz w:val="24"/>
          <w:szCs w:val="24"/>
          <w:highlight w:val="none"/>
        </w:rPr>
        <w:t xml:space="preserve">。</w:t>
      </w:r>
      <w:r>
        <w:rPr>
          <w:color w:val="auto"/>
          <w:highlight w:val="none"/>
        </w:rPr>
      </w:r>
      <w:r/>
    </w:p>
    <w:p>
      <w:pPr>
        <w:ind w:firstLine="42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16.2投标人应按《公开分项报价》要求的内容填写，并由其法定代表人或授权代理人签署。</w:t>
      </w:r>
      <w:r>
        <w:rPr>
          <w:color w:val="auto"/>
          <w:highlight w:val="none"/>
        </w:rPr>
      </w:r>
      <w:r/>
    </w:p>
    <w:p>
      <w:pPr>
        <w:ind w:firstLine="42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16.3投标人应对招标文件内所要采购的全部内容进行报价，只</w:t>
      </w:r>
      <w:r>
        <w:rPr>
          <w:rFonts w:hint="eastAsia" w:ascii="宋体" w:hAnsi="宋体" w:cs="宋体"/>
          <w:color w:val="auto"/>
          <w:sz w:val="24"/>
          <w:szCs w:val="24"/>
          <w:highlight w:val="none"/>
          <w:lang w:val="zh-CN"/>
        </w:rPr>
        <w:t xml:space="preserve">投其中</w:t>
      </w:r>
      <w:r>
        <w:rPr>
          <w:rFonts w:hint="eastAsia" w:ascii="宋体" w:hAnsi="宋体" w:cs="宋体"/>
          <w:color w:val="auto"/>
          <w:sz w:val="24"/>
          <w:szCs w:val="24"/>
          <w:highlight w:val="none"/>
          <w:lang w:val="zh-CN"/>
        </w:rPr>
        <w:t xml:space="preserve">部分内容者，其标书将被拒绝（如为多标段项目，则上述提到的全部内容是指所投标段对应采购的全部内容）。</w:t>
      </w:r>
      <w:r>
        <w:rPr>
          <w:color w:val="auto"/>
          <w:highlight w:val="none"/>
        </w:rPr>
      </w:r>
      <w:r/>
    </w:p>
    <w:p>
      <w:pPr>
        <w:ind w:firstLine="42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16.4</w:t>
      </w:r>
      <w:r>
        <w:rPr>
          <w:rFonts w:hint="eastAsia" w:ascii="宋体" w:hAnsi="宋体" w:cs="宋体"/>
          <w:color w:val="auto"/>
          <w:sz w:val="24"/>
          <w:szCs w:val="24"/>
          <w:highlight w:val="none"/>
          <w:lang w:val="zh-CN"/>
        </w:rPr>
        <w:t xml:space="preserve">一</w:t>
      </w:r>
      <w:r>
        <w:rPr>
          <w:rFonts w:hint="eastAsia" w:ascii="宋体" w:hAnsi="宋体" w:cs="宋体"/>
          <w:color w:val="auto"/>
          <w:sz w:val="24"/>
          <w:szCs w:val="24"/>
          <w:highlight w:val="none"/>
          <w:lang w:val="zh-CN"/>
        </w:rPr>
        <w:t xml:space="preserve">项投标内容只允许一个报价，采购人不接受任何有选择性的投标报价。</w:t>
      </w:r>
      <w:r>
        <w:rPr>
          <w:color w:val="auto"/>
          <w:highlight w:val="none"/>
        </w:rPr>
      </w:r>
      <w:r/>
    </w:p>
    <w:p>
      <w:pPr>
        <w:ind w:firstLine="42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16.5投标文件报价采用人民币表示，除非合同的特殊条款另有规定。</w:t>
      </w:r>
      <w:r>
        <w:rPr>
          <w:color w:val="auto"/>
          <w:highlight w:val="none"/>
        </w:rPr>
      </w:r>
      <w:r/>
    </w:p>
    <w:p>
      <w:pPr>
        <w:ind w:firstLine="42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16.6最低的报价或最</w:t>
      </w:r>
      <w:r>
        <w:rPr>
          <w:rFonts w:hint="eastAsia" w:ascii="宋体" w:hAnsi="宋体" w:cs="宋体"/>
          <w:color w:val="auto"/>
          <w:sz w:val="24"/>
          <w:szCs w:val="24"/>
          <w:highlight w:val="none"/>
        </w:rPr>
        <w:t xml:space="preserve">高</w:t>
      </w:r>
      <w:r>
        <w:rPr>
          <w:rFonts w:hint="eastAsia" w:ascii="宋体" w:hAnsi="宋体" w:cs="宋体"/>
          <w:color w:val="auto"/>
          <w:sz w:val="24"/>
          <w:szCs w:val="24"/>
          <w:highlight w:val="none"/>
          <w:lang w:val="zh-CN"/>
        </w:rPr>
        <w:t xml:space="preserve">的</w:t>
      </w:r>
      <w:r>
        <w:rPr>
          <w:rFonts w:hint="eastAsia" w:ascii="宋体" w:hAnsi="宋体" w:cs="宋体"/>
          <w:color w:val="auto"/>
          <w:sz w:val="24"/>
          <w:szCs w:val="24"/>
          <w:highlight w:val="none"/>
        </w:rPr>
        <w:t xml:space="preserve">优惠</w:t>
      </w:r>
      <w:r>
        <w:rPr>
          <w:rFonts w:hint="eastAsia" w:ascii="宋体" w:hAnsi="宋体" w:cs="宋体"/>
          <w:color w:val="auto"/>
          <w:sz w:val="24"/>
          <w:szCs w:val="24"/>
          <w:highlight w:val="none"/>
          <w:lang w:val="zh-CN"/>
        </w:rPr>
        <w:t xml:space="preserve">率不能作为中标的保证。</w:t>
      </w:r>
      <w:r>
        <w:rPr>
          <w:color w:val="auto"/>
          <w:highlight w:val="none"/>
        </w:rPr>
      </w:r>
      <w:r/>
    </w:p>
    <w:p>
      <w:pPr>
        <w:ind w:firstLine="422"/>
        <w:spacing w:line="440" w:lineRule="exact"/>
        <w:rPr>
          <w:rFonts w:ascii="宋体" w:hAnsi="宋体" w:cs="宋体"/>
          <w:b/>
          <w:color w:val="auto"/>
          <w:sz w:val="24"/>
          <w:szCs w:val="24"/>
          <w:highlight w:val="none"/>
        </w:rPr>
      </w:pPr>
      <w:r>
        <w:rPr>
          <w:rFonts w:hint="eastAsia" w:ascii="宋体" w:hAnsi="宋体" w:cs="宋体"/>
          <w:b/>
          <w:color w:val="auto"/>
          <w:sz w:val="24"/>
          <w:szCs w:val="24"/>
          <w:highlight w:val="none"/>
          <w:lang w:val="zh-CN"/>
        </w:rPr>
        <w:t xml:space="preserve">17.投标保证金：</w:t>
      </w:r>
      <w:r>
        <w:rPr>
          <w:rFonts w:hint="eastAsia" w:ascii="宋体" w:hAnsi="宋体" w:cs="宋体"/>
          <w:b/>
          <w:color w:val="auto"/>
          <w:sz w:val="24"/>
          <w:szCs w:val="24"/>
          <w:highlight w:val="none"/>
        </w:rPr>
        <w:t xml:space="preserve">本项目不收取投标保证金。</w:t>
      </w:r>
      <w:r>
        <w:rPr>
          <w:color w:val="auto"/>
          <w:highlight w:val="none"/>
        </w:rPr>
      </w:r>
      <w:r/>
    </w:p>
    <w:p>
      <w:pPr>
        <w:ind w:firstLine="422"/>
        <w:spacing w:line="440" w:lineRule="exact"/>
        <w:rPr>
          <w:rFonts w:ascii="宋体" w:hAnsi="宋体" w:cs="宋体"/>
          <w:b/>
          <w:color w:val="auto"/>
          <w:sz w:val="24"/>
          <w:szCs w:val="24"/>
          <w:highlight w:val="none"/>
        </w:rPr>
      </w:pPr>
      <w:r>
        <w:rPr>
          <w:rFonts w:hint="eastAsia" w:ascii="宋体" w:hAnsi="宋体" w:cs="宋体"/>
          <w:b/>
          <w:color w:val="auto"/>
          <w:sz w:val="24"/>
          <w:szCs w:val="24"/>
          <w:highlight w:val="none"/>
          <w:lang w:val="zh-CN"/>
        </w:rPr>
        <w:t xml:space="preserve">18.投标文件的有效期</w:t>
      </w:r>
      <w:r>
        <w:rPr>
          <w:color w:val="auto"/>
          <w:highlight w:val="none"/>
        </w:rPr>
      </w:r>
      <w:r/>
    </w:p>
    <w:p>
      <w:pPr>
        <w:ind w:firstLine="42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18.1自提交投标文件截止之日起90天内，投标文件中承诺的投标有效期应当不少于招标文件中载明的投标有效期。</w:t>
      </w:r>
      <w:r>
        <w:rPr>
          <w:color w:val="auto"/>
          <w:highlight w:val="none"/>
        </w:rPr>
      </w:r>
      <w:r/>
    </w:p>
    <w:p>
      <w:pPr>
        <w:ind w:firstLine="42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18.2在特殊情况下，采购人、采购代理机构可与投标人协商延长投标书的有效期。这种要求和答复都应以书面形式进行。同意延长有效期的投标人不能修改投标文件。</w:t>
      </w:r>
      <w:r>
        <w:rPr>
          <w:color w:val="auto"/>
          <w:highlight w:val="none"/>
        </w:rPr>
      </w:r>
      <w:r/>
    </w:p>
    <w:p>
      <w:pPr>
        <w:ind w:firstLine="422"/>
        <w:spacing w:line="440" w:lineRule="exact"/>
        <w:rPr>
          <w:rFonts w:ascii="宋体" w:hAnsi="宋体" w:cs="宋体"/>
          <w:b/>
          <w:color w:val="auto"/>
          <w:sz w:val="24"/>
          <w:szCs w:val="24"/>
          <w:highlight w:val="none"/>
        </w:rPr>
      </w:pPr>
      <w:r>
        <w:rPr>
          <w:rFonts w:hint="eastAsia" w:ascii="宋体" w:hAnsi="宋体" w:cs="宋体"/>
          <w:b/>
          <w:color w:val="auto"/>
          <w:sz w:val="24"/>
          <w:szCs w:val="24"/>
          <w:highlight w:val="none"/>
          <w:lang w:val="zh-CN"/>
        </w:rPr>
        <w:t xml:space="preserve">19.投标文件的制作、签署、上传</w:t>
      </w:r>
      <w:r>
        <w:rPr>
          <w:color w:val="auto"/>
          <w:highlight w:val="none"/>
        </w:rPr>
      </w:r>
      <w:r/>
    </w:p>
    <w:p>
      <w:pPr>
        <w:ind w:firstLine="428"/>
        <w:spacing w:line="440" w:lineRule="exact"/>
        <w:rPr>
          <w:rFonts w:ascii="宋体" w:hAnsi="宋体"/>
          <w:b/>
          <w:color w:val="auto"/>
          <w:sz w:val="24"/>
          <w:szCs w:val="24"/>
          <w:highlight w:val="none"/>
        </w:rPr>
      </w:pPr>
      <w:r>
        <w:rPr>
          <w:rFonts w:hint="eastAsia" w:ascii="宋体" w:hAnsi="宋体" w:cs="宋体"/>
          <w:color w:val="auto"/>
          <w:sz w:val="24"/>
          <w:szCs w:val="24"/>
          <w:highlight w:val="none"/>
          <w:lang w:val="zh-CN"/>
        </w:rPr>
        <w:t xml:space="preserve">19.1本项目采用电子招投标形式，请供应商按照</w:t>
      </w:r>
      <w:r>
        <w:rPr>
          <w:rFonts w:hint="eastAsia" w:ascii="宋体" w:hAnsi="宋体" w:cs="宋体"/>
          <w:b/>
          <w:color w:val="auto"/>
          <w:sz w:val="24"/>
          <w:szCs w:val="24"/>
          <w:highlight w:val="none"/>
          <w:lang w:val="zh-CN"/>
        </w:rPr>
        <w:t xml:space="preserve">《苏</w:t>
      </w:r>
      <w:r>
        <w:rPr>
          <w:rFonts w:hint="eastAsia" w:ascii="宋体" w:hAnsi="宋体" w:cs="宋体"/>
          <w:b/>
          <w:color w:val="auto"/>
          <w:sz w:val="24"/>
          <w:szCs w:val="24"/>
          <w:highlight w:val="none"/>
          <w:lang w:val="zh-CN"/>
        </w:rPr>
        <w:t xml:space="preserve">采云</w:t>
      </w:r>
      <w:r>
        <w:rPr>
          <w:rFonts w:hint="eastAsia" w:ascii="宋体" w:hAnsi="宋体" w:cs="宋体"/>
          <w:b/>
          <w:color w:val="auto"/>
          <w:sz w:val="24"/>
          <w:szCs w:val="24"/>
          <w:highlight w:val="none"/>
          <w:lang w:val="zh-CN"/>
        </w:rPr>
        <w:t xml:space="preserve">系统供应商操作手册》</w:t>
      </w:r>
      <w:r>
        <w:rPr>
          <w:rFonts w:hint="eastAsia" w:ascii="宋体" w:hAnsi="宋体" w:cs="宋体"/>
          <w:color w:val="auto"/>
          <w:sz w:val="24"/>
          <w:szCs w:val="24"/>
          <w:highlight w:val="none"/>
          <w:lang w:val="zh-CN"/>
        </w:rPr>
        <w:t xml:space="preserve">进行制作、上传电子投标文件。</w:t>
      </w:r>
      <w:r>
        <w:rPr>
          <w:color w:val="auto"/>
          <w:highlight w:val="none"/>
        </w:rPr>
      </w:r>
      <w:r/>
    </w:p>
    <w:p>
      <w:pPr>
        <w:ind w:firstLine="42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19.2制作电子投标文件时，应按照招标文件要求加盖投标人电子公章。</w:t>
      </w:r>
      <w:r>
        <w:rPr>
          <w:color w:val="auto"/>
          <w:highlight w:val="none"/>
        </w:rPr>
      </w:r>
      <w:r/>
    </w:p>
    <w:p>
      <w:pPr>
        <w:ind w:firstLine="42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19.3</w:t>
      </w:r>
      <w:r>
        <w:rPr>
          <w:rFonts w:hint="eastAsia" w:ascii="宋体" w:hAnsi="宋体" w:cs="宋体"/>
          <w:b/>
          <w:color w:val="auto"/>
          <w:sz w:val="24"/>
          <w:szCs w:val="24"/>
          <w:highlight w:val="none"/>
          <w:lang w:val="zh-CN"/>
        </w:rPr>
        <w:t xml:space="preserve">电子投标文件制作完成后请于投标文件网上提交截止时间前成功上传至“苏</w:t>
      </w:r>
      <w:r>
        <w:rPr>
          <w:rFonts w:hint="eastAsia" w:ascii="宋体" w:hAnsi="宋体" w:cs="宋体"/>
          <w:b/>
          <w:color w:val="auto"/>
          <w:sz w:val="24"/>
          <w:szCs w:val="24"/>
          <w:highlight w:val="none"/>
          <w:lang w:val="zh-CN"/>
        </w:rPr>
        <w:t xml:space="preserve">采云</w:t>
      </w:r>
      <w:r>
        <w:rPr>
          <w:rFonts w:hint="eastAsia" w:ascii="宋体" w:hAnsi="宋体" w:cs="宋体"/>
          <w:b/>
          <w:color w:val="auto"/>
          <w:sz w:val="24"/>
          <w:szCs w:val="24"/>
          <w:highlight w:val="none"/>
          <w:lang w:val="zh-CN"/>
        </w:rPr>
        <w:t xml:space="preserve">”系统，否则视为放弃参加该采购项目。</w:t>
      </w:r>
      <w:bookmarkStart w:id="14" w:name="_Toc25608"/>
      <w:r>
        <w:rPr>
          <w:color w:val="auto"/>
          <w:highlight w:val="none"/>
        </w:rPr>
      </w:r>
      <w:bookmarkStart w:id="15" w:name="_Toc31150"/>
      <w:r>
        <w:rPr>
          <w:rFonts w:hint="eastAsia" w:ascii="宋体" w:hAnsi="宋体" w:cs="宋体"/>
          <w:color w:val="auto"/>
          <w:sz w:val="24"/>
          <w:szCs w:val="24"/>
          <w:highlight w:val="none"/>
          <w:lang w:val="zh-CN"/>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14"/>
      <w:r>
        <w:rPr>
          <w:color w:val="auto"/>
          <w:highlight w:val="none"/>
        </w:rPr>
      </w:r>
      <w:bookmarkEnd w:id="15"/>
      <w:r>
        <w:rPr>
          <w:color w:val="auto"/>
          <w:highlight w:val="none"/>
        </w:rPr>
      </w:r>
      <w:r/>
    </w:p>
    <w:p>
      <w:pPr>
        <w:ind w:firstLine="422"/>
        <w:spacing w:line="440" w:lineRule="exact"/>
        <w:rPr>
          <w:rFonts w:ascii="宋体" w:hAnsi="宋体" w:cs="宋体"/>
          <w:b/>
          <w:color w:val="auto"/>
          <w:sz w:val="24"/>
          <w:szCs w:val="24"/>
          <w:highlight w:val="none"/>
        </w:rPr>
      </w:pPr>
      <w:r>
        <w:rPr>
          <w:rFonts w:hint="eastAsia" w:ascii="宋体" w:hAnsi="宋体" w:cs="宋体"/>
          <w:b/>
          <w:color w:val="auto"/>
          <w:sz w:val="24"/>
          <w:szCs w:val="24"/>
          <w:highlight w:val="none"/>
          <w:lang w:val="zh-CN"/>
        </w:rPr>
        <w:t xml:space="preserve">五、投标文件的递交、补充、修改和撤回</w:t>
      </w:r>
      <w:r>
        <w:rPr>
          <w:color w:val="auto"/>
          <w:highlight w:val="none"/>
        </w:rPr>
      </w:r>
      <w:r/>
    </w:p>
    <w:p>
      <w:pPr>
        <w:ind w:firstLine="422"/>
        <w:spacing w:line="440" w:lineRule="exact"/>
        <w:rPr>
          <w:rFonts w:ascii="宋体" w:hAnsi="宋体" w:cs="宋体"/>
          <w:b/>
          <w:color w:val="auto"/>
          <w:sz w:val="24"/>
          <w:szCs w:val="24"/>
          <w:highlight w:val="none"/>
        </w:rPr>
      </w:pPr>
      <w:r>
        <w:rPr>
          <w:rFonts w:hint="eastAsia" w:ascii="宋体" w:hAnsi="宋体" w:cs="宋体"/>
          <w:b/>
          <w:color w:val="auto"/>
          <w:sz w:val="24"/>
          <w:szCs w:val="24"/>
          <w:highlight w:val="none"/>
          <w:lang w:val="zh-CN"/>
        </w:rPr>
        <w:t xml:space="preserve">20.投标文件的递交</w:t>
      </w:r>
      <w:r>
        <w:rPr>
          <w:color w:val="auto"/>
          <w:highlight w:val="none"/>
        </w:rPr>
      </w:r>
      <w:r/>
    </w:p>
    <w:p>
      <w:pPr>
        <w:ind w:firstLine="42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20.1投标人应当在在投标截止时间</w:t>
      </w:r>
      <w:r>
        <w:rPr>
          <w:rFonts w:hint="eastAsia" w:ascii="宋体" w:hAnsi="宋体" w:cs="宋体"/>
          <w:color w:val="auto"/>
          <w:sz w:val="24"/>
          <w:szCs w:val="24"/>
          <w:highlight w:val="none"/>
          <w:lang w:val="zh-CN"/>
        </w:rPr>
        <w:t xml:space="preserve">前制作</w:t>
      </w:r>
      <w:r>
        <w:rPr>
          <w:rFonts w:hint="eastAsia" w:ascii="宋体" w:hAnsi="宋体" w:cs="宋体"/>
          <w:color w:val="auto"/>
          <w:sz w:val="24"/>
          <w:szCs w:val="24"/>
          <w:highlight w:val="none"/>
          <w:lang w:val="zh-CN"/>
        </w:rPr>
        <w:t xml:space="preserve">并上传电子投标文件。</w:t>
      </w:r>
      <w:r>
        <w:rPr>
          <w:color w:val="auto"/>
          <w:highlight w:val="none"/>
        </w:rPr>
      </w:r>
      <w:r/>
    </w:p>
    <w:p>
      <w:pPr>
        <w:ind w:firstLine="420"/>
        <w:jc w:val="left"/>
        <w:spacing w:line="440" w:lineRule="exact"/>
        <w:rPr>
          <w:rFonts w:ascii="宋体" w:hAnsi="宋体" w:cs="宋体"/>
          <w:b/>
          <w:color w:val="auto"/>
          <w:sz w:val="24"/>
          <w:szCs w:val="24"/>
          <w:highlight w:val="none"/>
        </w:rPr>
      </w:pPr>
      <w:r>
        <w:rPr>
          <w:rFonts w:hint="eastAsia" w:ascii="宋体" w:hAnsi="宋体"/>
          <w:color w:val="auto"/>
          <w:sz w:val="24"/>
          <w:szCs w:val="24"/>
          <w:highlight w:val="none"/>
        </w:rPr>
        <w:t xml:space="preserve">20.2投标人通过</w:t>
      </w:r>
      <w:r>
        <w:rPr>
          <w:rFonts w:hint="eastAsia" w:ascii="宋体" w:hAnsi="宋体"/>
          <w:b/>
          <w:color w:val="auto"/>
          <w:sz w:val="24"/>
          <w:szCs w:val="24"/>
          <w:highlight w:val="none"/>
        </w:rPr>
        <w:t xml:space="preserve">“苏</w:t>
      </w:r>
      <w:r>
        <w:rPr>
          <w:rFonts w:hint="eastAsia" w:ascii="宋体" w:hAnsi="宋体"/>
          <w:b/>
          <w:color w:val="auto"/>
          <w:sz w:val="24"/>
          <w:szCs w:val="24"/>
          <w:highlight w:val="none"/>
        </w:rPr>
        <w:t xml:space="preserve">采云</w:t>
      </w:r>
      <w:r>
        <w:rPr>
          <w:rFonts w:hint="eastAsia" w:ascii="宋体" w:hAnsi="宋体"/>
          <w:b/>
          <w:color w:val="auto"/>
          <w:sz w:val="24"/>
          <w:szCs w:val="24"/>
          <w:highlight w:val="none"/>
        </w:rPr>
        <w:t xml:space="preserve">”系统不见面开标大厅在线参与开标活动。（具体操作详见《苏</w:t>
      </w:r>
      <w:r>
        <w:rPr>
          <w:rFonts w:hint="eastAsia" w:ascii="宋体" w:hAnsi="宋体"/>
          <w:b/>
          <w:color w:val="auto"/>
          <w:sz w:val="24"/>
          <w:szCs w:val="24"/>
          <w:highlight w:val="none"/>
        </w:rPr>
        <w:t xml:space="preserve">采云</w:t>
      </w:r>
      <w:r>
        <w:rPr>
          <w:rFonts w:hint="eastAsia" w:ascii="宋体" w:hAnsi="宋体"/>
          <w:b/>
          <w:color w:val="auto"/>
          <w:sz w:val="24"/>
          <w:szCs w:val="24"/>
          <w:highlight w:val="none"/>
        </w:rPr>
        <w:t xml:space="preserve">系统供应商操作手册》，网址链接https://czju.suzhou.gov.cn/zfcg/html/content/20231220161910031.shtml）</w:t>
      </w:r>
      <w:r>
        <w:rPr>
          <w:color w:val="auto"/>
          <w:highlight w:val="none"/>
        </w:rPr>
      </w:r>
      <w:r/>
    </w:p>
    <w:p>
      <w:pPr>
        <w:ind w:firstLine="422"/>
        <w:spacing w:line="440" w:lineRule="exact"/>
        <w:rPr>
          <w:rFonts w:ascii="宋体" w:hAnsi="宋体" w:cs="宋体"/>
          <w:b/>
          <w:color w:val="auto"/>
          <w:sz w:val="24"/>
          <w:szCs w:val="24"/>
          <w:highlight w:val="none"/>
        </w:rPr>
      </w:pPr>
      <w:r>
        <w:rPr>
          <w:rFonts w:hint="eastAsia" w:ascii="宋体" w:hAnsi="宋体" w:cs="宋体"/>
          <w:b/>
          <w:color w:val="auto"/>
          <w:sz w:val="24"/>
          <w:szCs w:val="24"/>
          <w:highlight w:val="none"/>
          <w:lang w:val="zh-CN"/>
        </w:rPr>
        <w:t xml:space="preserve">21.投标截止时间</w:t>
      </w:r>
      <w:r>
        <w:rPr>
          <w:color w:val="auto"/>
          <w:highlight w:val="none"/>
        </w:rPr>
      </w:r>
      <w:r/>
    </w:p>
    <w:p>
      <w:pPr>
        <w:ind w:firstLine="42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21.1投标人应当在招标文件要求投标文件网上提交截止时间前，将投标文件完成提交（上传）。逾期提交（上传）的投标文件，采购人和采购代理机构拒绝接收。</w:t>
      </w:r>
      <w:r>
        <w:rPr>
          <w:color w:val="auto"/>
          <w:highlight w:val="none"/>
        </w:rPr>
      </w:r>
      <w:r/>
    </w:p>
    <w:p>
      <w:pPr>
        <w:ind w:firstLine="42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21.2采购人和采购代理机构推迟投标截止时间时，将按本须知规定的更正公告的方式对外发布。在这种情况下，采购人、采购代理机构和投标人的权利和义务将受到新的截止期的约束。</w:t>
      </w:r>
      <w:r>
        <w:rPr>
          <w:color w:val="auto"/>
          <w:highlight w:val="none"/>
        </w:rPr>
      </w:r>
      <w:r/>
    </w:p>
    <w:p>
      <w:pPr>
        <w:ind w:firstLine="42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21.3在投标截止时间</w:t>
      </w:r>
      <w:r>
        <w:rPr>
          <w:rFonts w:hint="eastAsia" w:ascii="宋体" w:hAnsi="宋体" w:cs="宋体"/>
          <w:color w:val="auto"/>
          <w:sz w:val="24"/>
          <w:szCs w:val="24"/>
          <w:highlight w:val="none"/>
          <w:lang w:val="zh-CN"/>
        </w:rPr>
        <w:t xml:space="preserve">止</w:t>
      </w:r>
      <w:r>
        <w:rPr>
          <w:rFonts w:hint="eastAsia" w:ascii="宋体" w:hAnsi="宋体" w:cs="宋体"/>
          <w:color w:val="auto"/>
          <w:sz w:val="24"/>
          <w:szCs w:val="24"/>
          <w:highlight w:val="none"/>
          <w:lang w:val="zh-CN"/>
        </w:rPr>
        <w:t xml:space="preserve">成功解密的投标文件少于三份，采购代理机构有权宣布本次招标失败。</w:t>
      </w:r>
      <w:r>
        <w:rPr>
          <w:color w:val="auto"/>
          <w:highlight w:val="none"/>
        </w:rPr>
      </w:r>
      <w:r/>
    </w:p>
    <w:p>
      <w:pPr>
        <w:ind w:firstLine="422"/>
        <w:spacing w:line="440" w:lineRule="exact"/>
        <w:rPr>
          <w:rFonts w:ascii="宋体" w:hAnsi="宋体" w:cs="宋体"/>
          <w:b/>
          <w:color w:val="auto"/>
          <w:sz w:val="24"/>
          <w:szCs w:val="24"/>
          <w:highlight w:val="none"/>
        </w:rPr>
      </w:pPr>
      <w:r>
        <w:rPr>
          <w:rFonts w:hint="eastAsia" w:ascii="宋体" w:hAnsi="宋体" w:cs="宋体"/>
          <w:b/>
          <w:color w:val="auto"/>
          <w:sz w:val="24"/>
          <w:szCs w:val="24"/>
          <w:highlight w:val="none"/>
          <w:lang w:val="zh-CN"/>
        </w:rPr>
        <w:t xml:space="preserve">22.投标文件的补充、修改和撤回</w:t>
      </w:r>
      <w:r>
        <w:rPr>
          <w:color w:val="auto"/>
          <w:highlight w:val="none"/>
        </w:rPr>
      </w:r>
      <w:r/>
    </w:p>
    <w:p>
      <w:pPr>
        <w:ind w:firstLine="42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22.1投标人在投标文件网上提交截止时间前，可以对其电子投标文件进行补充、修改，具体操作方法见《苏</w:t>
      </w:r>
      <w:r>
        <w:rPr>
          <w:rFonts w:hint="eastAsia" w:ascii="宋体" w:hAnsi="宋体" w:cs="宋体"/>
          <w:color w:val="auto"/>
          <w:sz w:val="24"/>
          <w:szCs w:val="24"/>
          <w:highlight w:val="none"/>
          <w:lang w:val="zh-CN"/>
        </w:rPr>
        <w:t xml:space="preserve">采云</w:t>
      </w:r>
      <w:r>
        <w:rPr>
          <w:rFonts w:hint="eastAsia" w:ascii="宋体" w:hAnsi="宋体" w:cs="宋体"/>
          <w:color w:val="auto"/>
          <w:sz w:val="24"/>
          <w:szCs w:val="24"/>
          <w:highlight w:val="none"/>
          <w:lang w:val="zh-CN"/>
        </w:rPr>
        <w:t xml:space="preserve">系统供应商操作手册》。在投标文件网上提交截止时间之后，投标人不得对其电子投标文件作任何修改。</w:t>
      </w:r>
      <w:r>
        <w:rPr>
          <w:color w:val="auto"/>
          <w:highlight w:val="none"/>
        </w:rPr>
      </w:r>
      <w:r/>
    </w:p>
    <w:p>
      <w:pPr>
        <w:ind w:firstLine="42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22.2投标人在投标文件网上提交截止时间前，可以撤回其电子投标文件，具体操作方法见《苏</w:t>
      </w:r>
      <w:r>
        <w:rPr>
          <w:rFonts w:hint="eastAsia" w:ascii="宋体" w:hAnsi="宋体" w:cs="宋体"/>
          <w:color w:val="auto"/>
          <w:sz w:val="24"/>
          <w:szCs w:val="24"/>
          <w:highlight w:val="none"/>
          <w:lang w:val="zh-CN"/>
        </w:rPr>
        <w:t xml:space="preserve">采云</w:t>
      </w:r>
      <w:r>
        <w:rPr>
          <w:rFonts w:hint="eastAsia" w:ascii="宋体" w:hAnsi="宋体" w:cs="宋体"/>
          <w:color w:val="auto"/>
          <w:sz w:val="24"/>
          <w:szCs w:val="24"/>
          <w:highlight w:val="none"/>
          <w:lang w:val="zh-CN"/>
        </w:rPr>
        <w:t xml:space="preserve">系统供应商操作手册》。</w:t>
      </w:r>
      <w:bookmarkStart w:id="16" w:name="_Toc22837"/>
      <w:r>
        <w:rPr>
          <w:color w:val="auto"/>
          <w:highlight w:val="none"/>
        </w:rPr>
      </w:r>
      <w:bookmarkStart w:id="17" w:name="_Toc29371"/>
      <w:r>
        <w:rPr>
          <w:rFonts w:hint="eastAsia" w:ascii="宋体" w:hAnsi="宋体" w:cs="宋体"/>
          <w:color w:val="auto"/>
          <w:sz w:val="24"/>
          <w:szCs w:val="24"/>
          <w:highlight w:val="none"/>
          <w:lang w:val="zh-CN"/>
        </w:rPr>
        <w:t xml:space="preserve">投标人撤回电子投标文件，则认为其不再参与本项目投标活动。在投标截止时间至招标文件中规定的投标有效期满之间的这段时间内，投标人不得撤回其投标。</w:t>
      </w:r>
      <w:r>
        <w:rPr>
          <w:color w:val="auto"/>
          <w:highlight w:val="none"/>
        </w:rPr>
      </w:r>
      <w:r/>
    </w:p>
    <w:p>
      <w:pPr>
        <w:ind w:firstLine="42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六、开标和评标</w:t>
      </w:r>
      <w:bookmarkEnd w:id="16"/>
      <w:r>
        <w:rPr>
          <w:color w:val="auto"/>
          <w:highlight w:val="none"/>
        </w:rPr>
      </w:r>
      <w:bookmarkEnd w:id="17"/>
      <w:r>
        <w:rPr>
          <w:color w:val="auto"/>
          <w:highlight w:val="none"/>
        </w:rPr>
      </w:r>
      <w:r/>
    </w:p>
    <w:p>
      <w:pPr>
        <w:ind w:firstLine="42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23.开标</w:t>
      </w:r>
      <w:r>
        <w:rPr>
          <w:color w:val="auto"/>
          <w:highlight w:val="none"/>
        </w:rPr>
      </w:r>
      <w:r/>
    </w:p>
    <w:p>
      <w:pPr>
        <w:ind w:firstLine="42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23.1开标由采购代理机构</w:t>
      </w:r>
      <w:r>
        <w:rPr>
          <w:rFonts w:hint="eastAsia" w:ascii="宋体" w:hAnsi="宋体" w:cs="宋体"/>
          <w:color w:val="auto"/>
          <w:sz w:val="24"/>
          <w:szCs w:val="24"/>
          <w:highlight w:val="none"/>
        </w:rPr>
        <w:t xml:space="preserve">在线</w:t>
      </w:r>
      <w:r>
        <w:rPr>
          <w:rFonts w:hint="eastAsia" w:ascii="宋体" w:hAnsi="宋体" w:cs="宋体"/>
          <w:color w:val="auto"/>
          <w:sz w:val="24"/>
          <w:szCs w:val="24"/>
          <w:highlight w:val="none"/>
          <w:lang w:val="zh-CN"/>
        </w:rPr>
        <w:t xml:space="preserve">主持，邀请投标人</w:t>
      </w:r>
      <w:r>
        <w:rPr>
          <w:rFonts w:hint="eastAsia" w:ascii="宋体" w:hAnsi="宋体" w:cs="宋体"/>
          <w:color w:val="auto"/>
          <w:sz w:val="24"/>
          <w:szCs w:val="24"/>
          <w:highlight w:val="none"/>
        </w:rPr>
        <w:t xml:space="preserve">在线</w:t>
      </w:r>
      <w:r>
        <w:rPr>
          <w:rFonts w:hint="eastAsia" w:ascii="宋体" w:hAnsi="宋体" w:cs="宋体"/>
          <w:color w:val="auto"/>
          <w:sz w:val="24"/>
          <w:szCs w:val="24"/>
          <w:highlight w:val="none"/>
          <w:lang w:val="zh-CN"/>
        </w:rPr>
        <w:t xml:space="preserve">参加。投标人应当按照《苏</w:t>
      </w:r>
      <w:r>
        <w:rPr>
          <w:rFonts w:hint="eastAsia" w:ascii="宋体" w:hAnsi="宋体" w:cs="宋体"/>
          <w:color w:val="auto"/>
          <w:sz w:val="24"/>
          <w:szCs w:val="24"/>
          <w:highlight w:val="none"/>
          <w:lang w:val="zh-CN"/>
        </w:rPr>
        <w:t xml:space="preserve">采云</w:t>
      </w:r>
      <w:r>
        <w:rPr>
          <w:rFonts w:hint="eastAsia" w:ascii="宋体" w:hAnsi="宋体" w:cs="宋体"/>
          <w:color w:val="auto"/>
          <w:sz w:val="24"/>
          <w:szCs w:val="24"/>
          <w:highlight w:val="none"/>
          <w:lang w:val="zh-CN"/>
        </w:rPr>
        <w:t xml:space="preserve">系统供应商操作手册》规定，</w:t>
      </w:r>
      <w:r>
        <w:rPr>
          <w:rFonts w:hint="eastAsia" w:ascii="宋体" w:hAnsi="宋体" w:cs="宋体"/>
          <w:b/>
          <w:color w:val="auto"/>
          <w:sz w:val="24"/>
          <w:szCs w:val="24"/>
          <w:highlight w:val="none"/>
          <w:lang w:val="zh-CN"/>
        </w:rPr>
        <w:t xml:space="preserve">参加开标活动和在“苏</w:t>
      </w:r>
      <w:r>
        <w:rPr>
          <w:rFonts w:hint="eastAsia" w:ascii="宋体" w:hAnsi="宋体" w:cs="宋体"/>
          <w:b/>
          <w:color w:val="auto"/>
          <w:sz w:val="24"/>
          <w:szCs w:val="24"/>
          <w:highlight w:val="none"/>
          <w:lang w:val="zh-CN"/>
        </w:rPr>
        <w:t xml:space="preserve">采云</w:t>
      </w:r>
      <w:r>
        <w:rPr>
          <w:rFonts w:hint="eastAsia" w:ascii="宋体" w:hAnsi="宋体" w:cs="宋体"/>
          <w:b/>
          <w:color w:val="auto"/>
          <w:sz w:val="24"/>
          <w:szCs w:val="24"/>
          <w:highlight w:val="none"/>
          <w:lang w:val="zh-CN"/>
        </w:rPr>
        <w:t xml:space="preserve">”系统规定的时间内对投标文件进行解密</w:t>
      </w:r>
      <w:r>
        <w:rPr>
          <w:rFonts w:hint="eastAsia" w:ascii="宋体" w:hAnsi="宋体" w:cs="宋体"/>
          <w:color w:val="auto"/>
          <w:sz w:val="24"/>
          <w:szCs w:val="24"/>
          <w:highlight w:val="none"/>
          <w:lang w:val="zh-CN"/>
        </w:rPr>
        <w:t xml:space="preserve">。评标委员会成员不得参加开标活动。</w:t>
      </w:r>
      <w:r>
        <w:rPr>
          <w:color w:val="auto"/>
          <w:highlight w:val="none"/>
        </w:rPr>
      </w:r>
      <w:r/>
    </w:p>
    <w:p>
      <w:pPr>
        <w:ind w:firstLine="42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23.2开标时，由采购代理机构</w:t>
      </w:r>
      <w:r>
        <w:rPr>
          <w:rFonts w:hint="eastAsia" w:ascii="宋体" w:hAnsi="宋体" w:cs="宋体"/>
          <w:color w:val="auto"/>
          <w:sz w:val="24"/>
          <w:szCs w:val="24"/>
          <w:highlight w:val="none"/>
        </w:rPr>
        <w:t xml:space="preserve">通过“苏</w:t>
      </w:r>
      <w:r>
        <w:rPr>
          <w:rFonts w:hint="eastAsia" w:ascii="宋体" w:hAnsi="宋体" w:cs="宋体"/>
          <w:color w:val="auto"/>
          <w:sz w:val="24"/>
          <w:szCs w:val="24"/>
          <w:highlight w:val="none"/>
        </w:rPr>
        <w:t xml:space="preserve">采云</w:t>
      </w:r>
      <w:r>
        <w:rPr>
          <w:rFonts w:hint="eastAsia" w:ascii="宋体" w:hAnsi="宋体" w:cs="宋体"/>
          <w:color w:val="auto"/>
          <w:sz w:val="24"/>
          <w:szCs w:val="24"/>
          <w:highlight w:val="none"/>
        </w:rPr>
        <w:t xml:space="preserve">”系统在线</w:t>
      </w:r>
      <w:r>
        <w:rPr>
          <w:rFonts w:hint="eastAsia" w:ascii="宋体" w:hAnsi="宋体" w:cs="宋体"/>
          <w:color w:val="auto"/>
          <w:sz w:val="24"/>
          <w:szCs w:val="24"/>
          <w:highlight w:val="none"/>
          <w:lang w:val="zh-CN"/>
        </w:rPr>
        <w:t xml:space="preserve">宣布投标人名称、投标价格和招标文件规定的需要宣布的其他内容。</w:t>
      </w:r>
      <w:r>
        <w:rPr>
          <w:rFonts w:hint="eastAsia" w:ascii="宋体" w:hAnsi="宋体" w:cs="宋体"/>
          <w:color w:val="auto"/>
          <w:sz w:val="24"/>
          <w:szCs w:val="24"/>
          <w:highlight w:val="none"/>
        </w:rPr>
        <w:t xml:space="preserve">投标人在不见面开标系统中确认投标价格，如</w:t>
      </w:r>
      <w:r>
        <w:rPr>
          <w:rFonts w:hint="eastAsia" w:ascii="宋体" w:hAnsi="宋体" w:cs="宋体"/>
          <w:color w:val="auto"/>
          <w:sz w:val="24"/>
          <w:szCs w:val="24"/>
          <w:highlight w:val="none"/>
          <w:lang w:val="zh-CN"/>
        </w:rPr>
        <w:t xml:space="preserve">投标人未</w:t>
      </w:r>
      <w:r>
        <w:rPr>
          <w:rFonts w:hint="eastAsia" w:ascii="宋体" w:hAnsi="宋体" w:cs="宋体"/>
          <w:color w:val="auto"/>
          <w:sz w:val="24"/>
          <w:szCs w:val="24"/>
          <w:highlight w:val="none"/>
        </w:rPr>
        <w:t xml:space="preserve">在线</w:t>
      </w:r>
      <w:r>
        <w:rPr>
          <w:rFonts w:hint="eastAsia" w:ascii="宋体" w:hAnsi="宋体" w:cs="宋体"/>
          <w:color w:val="auto"/>
          <w:sz w:val="24"/>
          <w:szCs w:val="24"/>
          <w:highlight w:val="none"/>
          <w:lang w:val="zh-CN"/>
        </w:rPr>
        <w:t xml:space="preserve">参加开标</w:t>
      </w:r>
      <w:r>
        <w:rPr>
          <w:rFonts w:hint="eastAsia" w:ascii="宋体" w:hAnsi="宋体" w:cs="宋体"/>
          <w:color w:val="auto"/>
          <w:sz w:val="24"/>
          <w:szCs w:val="24"/>
          <w:highlight w:val="none"/>
        </w:rPr>
        <w:t xml:space="preserve">或未在规定时间内确认价格</w:t>
      </w:r>
      <w:r>
        <w:rPr>
          <w:rFonts w:hint="eastAsia" w:ascii="宋体" w:hAnsi="宋体" w:cs="宋体"/>
          <w:color w:val="auto"/>
          <w:sz w:val="24"/>
          <w:szCs w:val="24"/>
          <w:highlight w:val="none"/>
          <w:lang w:val="zh-CN"/>
        </w:rPr>
        <w:t xml:space="preserve">的，视同认可开标结果。</w:t>
      </w:r>
      <w:r>
        <w:rPr>
          <w:color w:val="auto"/>
          <w:highlight w:val="none"/>
        </w:rPr>
      </w:r>
      <w:r/>
    </w:p>
    <w:p>
      <w:pPr>
        <w:ind w:firstLine="42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23.3资格审查</w:t>
      </w:r>
      <w:r>
        <w:rPr>
          <w:color w:val="auto"/>
          <w:highlight w:val="none"/>
        </w:rPr>
      </w:r>
      <w:r/>
    </w:p>
    <w:p>
      <w:pPr>
        <w:ind w:firstLine="42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23.3.1公开招标采购项目开标结束后，采购人应当依法对投标人的资格进行审查，未通过资格审查的视为无效投标。</w:t>
      </w:r>
      <w:r>
        <w:rPr>
          <w:color w:val="auto"/>
          <w:highlight w:val="none"/>
        </w:rPr>
      </w:r>
      <w:r/>
    </w:p>
    <w:p>
      <w:pPr>
        <w:ind w:firstLine="42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23.3.2根据政府采购法及相关法规，以及苏州市财政局《关于印发苏州市市级政府采购信用记录查询和使用工作试行办法的通知》（苏财购（2017）11号）文件的规定，采购代理机构将对供应商进行信用查询：</w:t>
      </w:r>
      <w:r>
        <w:rPr>
          <w:color w:val="auto"/>
          <w:highlight w:val="none"/>
        </w:rPr>
      </w:r>
      <w:r/>
    </w:p>
    <w:p>
      <w:pPr>
        <w:ind w:firstLine="42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23.3.2.1查询时间：投标文件递交截止时间。</w:t>
      </w:r>
      <w:r>
        <w:rPr>
          <w:color w:val="auto"/>
          <w:highlight w:val="none"/>
        </w:rPr>
      </w:r>
      <w:r/>
    </w:p>
    <w:p>
      <w:pPr>
        <w:ind w:firstLine="420"/>
        <w:spacing w:line="440" w:lineRule="exact"/>
        <w:rPr>
          <w:rFonts w:ascii="宋体" w:hAnsi="宋体" w:cs="宋体"/>
          <w:b/>
          <w:color w:val="auto"/>
          <w:sz w:val="24"/>
          <w:szCs w:val="24"/>
          <w:highlight w:val="none"/>
        </w:rPr>
      </w:pPr>
      <w:r>
        <w:rPr>
          <w:rFonts w:hint="eastAsia" w:ascii="宋体" w:hAnsi="宋体" w:cs="宋体"/>
          <w:color w:val="auto"/>
          <w:sz w:val="24"/>
          <w:szCs w:val="24"/>
          <w:highlight w:val="none"/>
        </w:rPr>
        <w:t xml:space="preserve">23.3.2.2</w:t>
      </w:r>
      <w:r>
        <w:rPr>
          <w:rFonts w:hint="eastAsia" w:ascii="宋体" w:hAnsi="宋体" w:cs="宋体"/>
          <w:color w:val="auto"/>
          <w:sz w:val="24"/>
          <w:szCs w:val="24"/>
          <w:highlight w:val="none"/>
          <w:lang w:val="zh-CN"/>
        </w:rPr>
        <w:t xml:space="preserve">查询渠道</w:t>
      </w:r>
      <w:r>
        <w:rPr>
          <w:rFonts w:hint="eastAsia" w:ascii="宋体" w:hAnsi="宋体" w:cs="宋体"/>
          <w:b/>
          <w:color w:val="auto"/>
          <w:sz w:val="24"/>
          <w:szCs w:val="24"/>
          <w:highlight w:val="none"/>
        </w:rPr>
        <w:t xml:space="preserve">：</w:t>
      </w:r>
      <w:r>
        <w:rPr>
          <w:rFonts w:hint="eastAsia" w:ascii="宋体" w:hAnsi="宋体" w:cs="宋体"/>
          <w:color w:val="auto"/>
          <w:sz w:val="24"/>
          <w:szCs w:val="24"/>
          <w:highlight w:val="none"/>
          <w:lang w:val="zh-CN"/>
        </w:rPr>
        <w:t xml:space="preserve">采购代理机构会在接收投标文件截止时间后</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zh-CN"/>
        </w:rPr>
        <w:t xml:space="preserve">登录信用中国网站</w:t>
      </w:r>
      <w:r>
        <w:rPr>
          <w:rFonts w:hint="eastAsia" w:ascii="宋体" w:hAnsi="宋体" w:cs="宋体"/>
          <w:color w:val="auto"/>
          <w:sz w:val="24"/>
          <w:szCs w:val="24"/>
          <w:highlight w:val="none"/>
        </w:rPr>
        <w:t xml:space="preserve">（www.creditchina.gov.cn）</w:t>
      </w:r>
      <w:r>
        <w:rPr>
          <w:rFonts w:hint="eastAsia" w:ascii="宋体" w:hAnsi="宋体" w:cs="宋体"/>
          <w:color w:val="auto"/>
          <w:sz w:val="24"/>
          <w:szCs w:val="24"/>
          <w:highlight w:val="none"/>
          <w:lang w:val="zh-CN"/>
        </w:rPr>
        <w:t xml:space="preserve">和中国政府采购网</w:t>
      </w:r>
      <w:r>
        <w:rPr>
          <w:rFonts w:hint="eastAsia" w:ascii="宋体" w:hAnsi="宋体" w:cs="宋体"/>
          <w:color w:val="auto"/>
          <w:sz w:val="24"/>
          <w:szCs w:val="24"/>
          <w:highlight w:val="none"/>
        </w:rPr>
        <w:t xml:space="preserve">（www.ccgp.gov.cn/）</w:t>
      </w:r>
      <w:r>
        <w:rPr>
          <w:rFonts w:hint="eastAsia" w:ascii="宋体" w:hAnsi="宋体" w:cs="宋体"/>
          <w:color w:val="auto"/>
          <w:sz w:val="24"/>
          <w:szCs w:val="24"/>
          <w:highlight w:val="none"/>
          <w:lang w:val="zh-CN"/>
        </w:rPr>
        <w:t xml:space="preserve">查询供应商的信用记录</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zh-CN"/>
        </w:rPr>
        <w:t xml:space="preserve">并将查询结果递交评标委员会。</w:t>
      </w:r>
      <w:r>
        <w:rPr>
          <w:color w:val="auto"/>
          <w:highlight w:val="none"/>
        </w:rPr>
      </w:r>
      <w:r/>
    </w:p>
    <w:p>
      <w:pPr>
        <w:ind w:firstLine="42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23.3.2.3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rPr>
          <w:color w:val="auto"/>
          <w:highlight w:val="none"/>
        </w:rPr>
      </w:r>
      <w:r/>
    </w:p>
    <w:p>
      <w:pPr>
        <w:ind w:firstLine="422"/>
        <w:spacing w:line="440" w:lineRule="exact"/>
        <w:rPr>
          <w:rFonts w:ascii="宋体" w:hAnsi="宋体" w:cs="宋体"/>
          <w:b/>
          <w:color w:val="auto"/>
          <w:sz w:val="24"/>
          <w:szCs w:val="24"/>
          <w:highlight w:val="none"/>
        </w:rPr>
      </w:pPr>
      <w:r>
        <w:rPr>
          <w:rFonts w:hint="eastAsia" w:ascii="宋体" w:hAnsi="宋体" w:cs="宋体"/>
          <w:b/>
          <w:color w:val="auto"/>
          <w:sz w:val="24"/>
          <w:szCs w:val="24"/>
          <w:highlight w:val="none"/>
          <w:lang w:val="zh-CN"/>
        </w:rPr>
        <w:t xml:space="preserve">23.3.4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rPr>
          <w:color w:val="auto"/>
          <w:highlight w:val="none"/>
        </w:rPr>
      </w:r>
      <w:r/>
    </w:p>
    <w:p>
      <w:pPr>
        <w:ind w:firstLine="422"/>
        <w:spacing w:line="440" w:lineRule="exact"/>
        <w:rPr>
          <w:rFonts w:ascii="宋体" w:hAnsi="宋体" w:cs="宋体"/>
          <w:b/>
          <w:color w:val="auto"/>
          <w:sz w:val="24"/>
          <w:szCs w:val="24"/>
          <w:highlight w:val="none"/>
        </w:rPr>
      </w:pPr>
      <w:r>
        <w:rPr>
          <w:rFonts w:hint="eastAsia" w:ascii="宋体" w:hAnsi="宋体" w:cs="宋体"/>
          <w:b/>
          <w:color w:val="auto"/>
          <w:sz w:val="24"/>
          <w:szCs w:val="24"/>
          <w:highlight w:val="none"/>
          <w:lang w:val="zh-CN"/>
        </w:rPr>
        <w:t xml:space="preserve">24.评标委员会</w:t>
      </w:r>
      <w:r>
        <w:rPr>
          <w:color w:val="auto"/>
          <w:highlight w:val="none"/>
        </w:rPr>
      </w:r>
      <w:r/>
    </w:p>
    <w:p>
      <w:pPr>
        <w:ind w:firstLine="42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24.1评标委员会负责具体评标事务，并独立履行下列职责：</w:t>
      </w:r>
      <w:r>
        <w:rPr>
          <w:color w:val="auto"/>
          <w:highlight w:val="none"/>
        </w:rPr>
      </w:r>
      <w:r/>
    </w:p>
    <w:p>
      <w:pPr>
        <w:ind w:firstLine="42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24.1.1审查、评价投标文件是否符合招标文件的商务、技术等实质性要求；</w:t>
      </w:r>
      <w:r>
        <w:rPr>
          <w:color w:val="auto"/>
          <w:highlight w:val="none"/>
        </w:rPr>
      </w:r>
      <w:r/>
    </w:p>
    <w:p>
      <w:pPr>
        <w:ind w:firstLine="42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24.1.2要求投标人对投标文件有关事项</w:t>
      </w:r>
      <w:r>
        <w:rPr>
          <w:rFonts w:hint="eastAsia" w:ascii="宋体" w:hAnsi="宋体" w:cs="宋体"/>
          <w:color w:val="auto"/>
          <w:sz w:val="24"/>
          <w:szCs w:val="24"/>
          <w:highlight w:val="none"/>
          <w:lang w:val="zh-CN"/>
        </w:rPr>
        <w:t xml:space="preserve">作出</w:t>
      </w:r>
      <w:r>
        <w:rPr>
          <w:rFonts w:hint="eastAsia" w:ascii="宋体" w:hAnsi="宋体" w:cs="宋体"/>
          <w:color w:val="auto"/>
          <w:sz w:val="24"/>
          <w:szCs w:val="24"/>
          <w:highlight w:val="none"/>
          <w:lang w:val="zh-CN"/>
        </w:rPr>
        <w:t xml:space="preserve">澄清或者说明；</w:t>
      </w:r>
      <w:r>
        <w:rPr>
          <w:color w:val="auto"/>
          <w:highlight w:val="none"/>
        </w:rPr>
      </w:r>
      <w:r/>
    </w:p>
    <w:p>
      <w:pPr>
        <w:ind w:firstLine="42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24.1.3对投标文件进行比较和评价；</w:t>
      </w:r>
      <w:r>
        <w:rPr>
          <w:color w:val="auto"/>
          <w:highlight w:val="none"/>
        </w:rPr>
      </w:r>
      <w:r/>
    </w:p>
    <w:p>
      <w:pPr>
        <w:ind w:firstLine="42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24.1.4确定中标候选人名单，以及根据采购人委托直接确定中标人；</w:t>
      </w:r>
      <w:r>
        <w:rPr>
          <w:color w:val="auto"/>
          <w:highlight w:val="none"/>
        </w:rPr>
      </w:r>
      <w:r/>
    </w:p>
    <w:p>
      <w:pPr>
        <w:ind w:firstLine="42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24.1.5向采购人、采购代理机构或者有关部门报告评标中发现的违法行为。</w:t>
      </w:r>
      <w:r>
        <w:rPr>
          <w:color w:val="auto"/>
          <w:highlight w:val="none"/>
        </w:rPr>
      </w:r>
      <w:r/>
    </w:p>
    <w:p>
      <w:pPr>
        <w:ind w:firstLine="42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24.2评标委员会成员应当履行下列义务：</w:t>
      </w:r>
      <w:r>
        <w:rPr>
          <w:color w:val="auto"/>
          <w:highlight w:val="none"/>
        </w:rPr>
      </w:r>
      <w:r/>
    </w:p>
    <w:p>
      <w:pPr>
        <w:ind w:firstLine="42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24.2.1遵纪守法，客观、公正、廉洁地履行职责；</w:t>
      </w:r>
      <w:r>
        <w:rPr>
          <w:color w:val="auto"/>
          <w:highlight w:val="none"/>
        </w:rPr>
      </w:r>
      <w:r/>
    </w:p>
    <w:p>
      <w:pPr>
        <w:ind w:firstLine="42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24.2.2按照招标文件规定的评标办法和评标标准进行评标，对评审意见承担个人责任；</w:t>
      </w:r>
      <w:r>
        <w:rPr>
          <w:color w:val="auto"/>
          <w:highlight w:val="none"/>
        </w:rPr>
      </w:r>
      <w:r/>
    </w:p>
    <w:p>
      <w:pPr>
        <w:ind w:firstLine="42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24.2.3对评标过程和结果，以及投标人的商业秘密保密；</w:t>
      </w:r>
      <w:r>
        <w:rPr>
          <w:color w:val="auto"/>
          <w:highlight w:val="none"/>
        </w:rPr>
      </w:r>
      <w:r/>
    </w:p>
    <w:p>
      <w:pPr>
        <w:ind w:firstLine="42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24.2.4评标委员会根据全体评标成员签字的原始评标记录和评标结果编写评标报告。评标报告应当包括以下内容： </w:t>
      </w:r>
      <w:r>
        <w:rPr>
          <w:color w:val="auto"/>
          <w:highlight w:val="none"/>
        </w:rPr>
      </w:r>
      <w:r/>
    </w:p>
    <w:p>
      <w:pPr>
        <w:ind w:firstLine="42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（一）招标公告刊登的媒体名称、开标日期和地点；</w:t>
      </w:r>
      <w:r>
        <w:rPr>
          <w:color w:val="auto"/>
          <w:highlight w:val="none"/>
        </w:rPr>
      </w:r>
      <w:r/>
    </w:p>
    <w:p>
      <w:pPr>
        <w:ind w:firstLine="42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（二）投标人名单和评标委员会成员名单；</w:t>
      </w:r>
      <w:r>
        <w:rPr>
          <w:color w:val="auto"/>
          <w:highlight w:val="none"/>
        </w:rPr>
      </w:r>
      <w:r/>
    </w:p>
    <w:p>
      <w:pPr>
        <w:ind w:firstLine="42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（三）评标方法和标准；</w:t>
      </w:r>
      <w:r>
        <w:rPr>
          <w:color w:val="auto"/>
          <w:highlight w:val="none"/>
        </w:rPr>
      </w:r>
      <w:r/>
    </w:p>
    <w:p>
      <w:pPr>
        <w:ind w:firstLine="42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（四）开标记录和评标情况及说明，包括无效投标人名单及原因；</w:t>
      </w:r>
      <w:r>
        <w:rPr>
          <w:color w:val="auto"/>
          <w:highlight w:val="none"/>
        </w:rPr>
      </w:r>
      <w:r/>
    </w:p>
    <w:p>
      <w:pPr>
        <w:ind w:firstLine="42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（五）评标结果，确定的中标候选人名单或者经采购人委托直接确定的中标人；</w:t>
      </w:r>
      <w:r>
        <w:rPr>
          <w:color w:val="auto"/>
          <w:highlight w:val="none"/>
        </w:rPr>
      </w:r>
      <w:r/>
    </w:p>
    <w:p>
      <w:pPr>
        <w:ind w:firstLine="42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（六）其他需要说明的情况，包括评标过程中投标人根据评标委员会要求进行的澄清、说明或者补正，评标委员会成员的更换等。</w:t>
      </w:r>
      <w:r>
        <w:rPr>
          <w:color w:val="auto"/>
          <w:highlight w:val="none"/>
        </w:rPr>
      </w:r>
      <w:r/>
    </w:p>
    <w:p>
      <w:pPr>
        <w:ind w:firstLine="42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24.2.5配合相关部门的投诉处理工作；</w:t>
      </w:r>
      <w:r>
        <w:rPr>
          <w:color w:val="auto"/>
          <w:highlight w:val="none"/>
        </w:rPr>
      </w:r>
      <w:r/>
    </w:p>
    <w:p>
      <w:pPr>
        <w:ind w:firstLine="42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24.2.6配合采购人和采购代理机构答复投标人提出的质疑。</w:t>
      </w:r>
      <w:r>
        <w:rPr>
          <w:color w:val="auto"/>
          <w:highlight w:val="none"/>
        </w:rPr>
      </w:r>
      <w:r/>
    </w:p>
    <w:p>
      <w:pPr>
        <w:ind w:firstLine="422"/>
        <w:spacing w:line="440" w:lineRule="exact"/>
        <w:rPr>
          <w:rFonts w:ascii="宋体" w:hAnsi="宋体" w:cs="宋体"/>
          <w:b/>
          <w:color w:val="auto"/>
          <w:sz w:val="24"/>
          <w:szCs w:val="24"/>
          <w:highlight w:val="none"/>
        </w:rPr>
      </w:pPr>
      <w:r>
        <w:rPr>
          <w:rFonts w:hint="eastAsia" w:ascii="宋体" w:hAnsi="宋体" w:cs="宋体"/>
          <w:b/>
          <w:color w:val="auto"/>
          <w:sz w:val="24"/>
          <w:szCs w:val="24"/>
          <w:highlight w:val="none"/>
          <w:lang w:val="zh-CN"/>
        </w:rPr>
        <w:t xml:space="preserve">25.评标内容的保密</w:t>
      </w:r>
      <w:r>
        <w:rPr>
          <w:color w:val="auto"/>
          <w:highlight w:val="none"/>
        </w:rPr>
      </w:r>
      <w:r/>
    </w:p>
    <w:p>
      <w:pPr>
        <w:ind w:firstLine="42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25.1公开开标后，直到宣布授予中标合同为止，凡属于审查、澄清、评价和比较投标的所有资料，有关授予合同的信息都不应向投标人或与评标无关的其他人泄露。</w:t>
      </w:r>
      <w:r>
        <w:rPr>
          <w:color w:val="auto"/>
          <w:highlight w:val="none"/>
        </w:rPr>
      </w:r>
      <w:r/>
    </w:p>
    <w:p>
      <w:pPr>
        <w:ind w:firstLine="42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25.2在投标文件的审查、澄清、评价和比较以及授予合同的过程中，投标人对采购人、采购代理机构和评标委员会成员施加影响的任何行为，都将取消其中标资格。</w:t>
      </w:r>
      <w:r>
        <w:rPr>
          <w:color w:val="auto"/>
          <w:highlight w:val="none"/>
        </w:rPr>
      </w:r>
      <w:r/>
    </w:p>
    <w:p>
      <w:pPr>
        <w:ind w:firstLine="422"/>
        <w:spacing w:line="440" w:lineRule="exact"/>
        <w:rPr>
          <w:rFonts w:ascii="宋体" w:hAnsi="宋体" w:cs="宋体"/>
          <w:b/>
          <w:color w:val="auto"/>
          <w:sz w:val="24"/>
          <w:szCs w:val="24"/>
          <w:highlight w:val="none"/>
        </w:rPr>
      </w:pPr>
      <w:r>
        <w:rPr>
          <w:rFonts w:hint="eastAsia" w:ascii="宋体" w:hAnsi="宋体" w:cs="宋体"/>
          <w:b/>
          <w:color w:val="auto"/>
          <w:sz w:val="24"/>
          <w:szCs w:val="24"/>
          <w:highlight w:val="none"/>
          <w:lang w:val="zh-CN"/>
        </w:rPr>
        <w:t xml:space="preserve">26.对投标文件初审</w:t>
      </w:r>
      <w:r>
        <w:rPr>
          <w:color w:val="auto"/>
          <w:highlight w:val="none"/>
        </w:rPr>
      </w:r>
      <w:r/>
    </w:p>
    <w:p>
      <w:pPr>
        <w:ind w:firstLine="42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26.1评标委员会应当对符合资格的投标人的投标文件进行符合性审查，以确定其是否满足招标文件的实质性要求。</w:t>
      </w:r>
      <w:r>
        <w:rPr>
          <w:color w:val="auto"/>
          <w:highlight w:val="none"/>
        </w:rPr>
      </w:r>
      <w:r/>
    </w:p>
    <w:p>
      <w:pPr>
        <w:ind w:firstLine="42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投标文件有下列情况之一者评标委员会有权将其拒绝：</w:t>
      </w:r>
      <w:r>
        <w:rPr>
          <w:color w:val="auto"/>
          <w:highlight w:val="none"/>
        </w:rPr>
      </w:r>
      <w:r/>
    </w:p>
    <w:p>
      <w:pPr>
        <w:ind w:firstLine="42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26.1.1投标人的投标文件未按照本须知规定制作的；</w:t>
      </w:r>
      <w:r>
        <w:rPr>
          <w:color w:val="auto"/>
          <w:highlight w:val="none"/>
        </w:rPr>
      </w:r>
      <w:r/>
    </w:p>
    <w:p>
      <w:pPr>
        <w:ind w:firstLine="42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26.1.2未按本须知规定提交资格文件；</w:t>
      </w:r>
      <w:r>
        <w:rPr>
          <w:color w:val="auto"/>
          <w:highlight w:val="none"/>
        </w:rPr>
      </w:r>
      <w:r/>
    </w:p>
    <w:p>
      <w:pPr>
        <w:ind w:firstLine="42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26.1.3与招标文件有重大偏离；</w:t>
      </w:r>
      <w:r>
        <w:rPr>
          <w:color w:val="auto"/>
          <w:highlight w:val="none"/>
        </w:rPr>
      </w:r>
      <w:r/>
    </w:p>
    <w:p>
      <w:pPr>
        <w:ind w:firstLine="42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26.1.4投标人拒绝修正错误；</w:t>
      </w:r>
      <w:r>
        <w:rPr>
          <w:color w:val="auto"/>
          <w:highlight w:val="none"/>
        </w:rPr>
      </w:r>
      <w:r/>
    </w:p>
    <w:p>
      <w:pPr>
        <w:ind w:firstLine="42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26.1.5投标人的报价是选择性的；</w:t>
      </w:r>
      <w:r>
        <w:rPr>
          <w:color w:val="auto"/>
          <w:highlight w:val="none"/>
        </w:rPr>
      </w:r>
      <w:r/>
    </w:p>
    <w:p>
      <w:pPr>
        <w:ind w:firstLine="42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26.1.6投标人的报价只投了部分内容；</w:t>
      </w:r>
      <w:r>
        <w:rPr>
          <w:color w:val="auto"/>
          <w:highlight w:val="none"/>
        </w:rPr>
      </w:r>
      <w:r/>
    </w:p>
    <w:p>
      <w:pPr>
        <w:ind w:firstLine="42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26.1.7投标人的投标文件出现了评标委员会认为不应当雷同的情况；</w:t>
      </w:r>
      <w:r>
        <w:rPr>
          <w:color w:val="auto"/>
          <w:highlight w:val="none"/>
        </w:rPr>
      </w:r>
      <w:r/>
    </w:p>
    <w:p>
      <w:pPr>
        <w:ind w:firstLine="42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26.1.8其他被评委会认定无效的情况。</w:t>
      </w:r>
      <w:r>
        <w:rPr>
          <w:color w:val="auto"/>
          <w:highlight w:val="none"/>
        </w:rPr>
      </w:r>
      <w:r/>
    </w:p>
    <w:p>
      <w:pPr>
        <w:ind w:firstLine="42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26.2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rPr>
          <w:color w:val="auto"/>
          <w:highlight w:val="none"/>
        </w:rPr>
      </w:r>
      <w:r/>
    </w:p>
    <w:p>
      <w:pPr>
        <w:ind w:firstLine="42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26.3投标文件报价出现前后不一致的，除招标文件另有规定外，按照下列规定修正：</w:t>
      </w:r>
      <w:r>
        <w:rPr>
          <w:color w:val="auto"/>
          <w:highlight w:val="none"/>
        </w:rPr>
      </w:r>
      <w:r/>
    </w:p>
    <w:p>
      <w:pPr>
        <w:ind w:firstLine="42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（一）投标文件中开标一览表（报价表）内容与投标文件中相应内容不一致的，以开标一览表（报价表）为准；</w:t>
      </w:r>
      <w:r>
        <w:rPr>
          <w:color w:val="auto"/>
          <w:highlight w:val="none"/>
        </w:rPr>
      </w:r>
      <w:r/>
    </w:p>
    <w:p>
      <w:pPr>
        <w:ind w:firstLine="42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（二）大写金额和小写金额不一致的，以大写金额为准；</w:t>
      </w:r>
      <w:r>
        <w:rPr>
          <w:color w:val="auto"/>
          <w:highlight w:val="none"/>
        </w:rPr>
      </w:r>
      <w:r/>
    </w:p>
    <w:p>
      <w:pPr>
        <w:ind w:firstLine="42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（三）单价金额小数点或者百分比有明显错位的，以开标一览表的总价为准，并修改单价；</w:t>
      </w:r>
      <w:r>
        <w:rPr>
          <w:color w:val="auto"/>
          <w:highlight w:val="none"/>
        </w:rPr>
      </w:r>
      <w:r/>
    </w:p>
    <w:p>
      <w:pPr>
        <w:ind w:firstLine="42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（四）总价金额与按单价汇总金额不一致的，以单价金额计算结果为准。</w:t>
      </w:r>
      <w:r>
        <w:rPr>
          <w:color w:val="auto"/>
          <w:highlight w:val="none"/>
        </w:rPr>
      </w:r>
      <w:r/>
    </w:p>
    <w:p>
      <w:pPr>
        <w:ind w:firstLine="42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rPr>
          <w:color w:val="auto"/>
          <w:highlight w:val="none"/>
        </w:rPr>
      </w:r>
      <w:r/>
    </w:p>
    <w:p>
      <w:pPr>
        <w:ind w:firstLine="42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26.4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color w:val="auto"/>
          <w:highlight w:val="none"/>
        </w:rPr>
      </w:r>
      <w:r/>
    </w:p>
    <w:p>
      <w:pPr>
        <w:ind w:firstLine="42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26.5 评标委员会成员对需要共同认定的事项存在争议的，应当按照少数服从多数的原则</w:t>
      </w:r>
      <w:r>
        <w:rPr>
          <w:rFonts w:hint="eastAsia" w:ascii="宋体" w:hAnsi="宋体" w:cs="宋体"/>
          <w:color w:val="auto"/>
          <w:sz w:val="24"/>
          <w:szCs w:val="24"/>
          <w:highlight w:val="none"/>
          <w:lang w:val="zh-CN"/>
        </w:rPr>
        <w:t xml:space="preserve">作出</w:t>
      </w:r>
      <w:r>
        <w:rPr>
          <w:rFonts w:hint="eastAsia" w:ascii="宋体" w:hAnsi="宋体" w:cs="宋体"/>
          <w:color w:val="auto"/>
          <w:sz w:val="24"/>
          <w:szCs w:val="24"/>
          <w:highlight w:val="none"/>
          <w:lang w:val="zh-CN"/>
        </w:rPr>
        <w:t xml:space="preserve">结论。持不同意见的评标委员会成员应当在评标报告上签署不同意见及理由，否则视为同意评标报告。</w:t>
      </w:r>
      <w:r>
        <w:rPr>
          <w:color w:val="auto"/>
          <w:highlight w:val="none"/>
        </w:rPr>
      </w:r>
      <w:r/>
    </w:p>
    <w:p>
      <w:pPr>
        <w:ind w:firstLine="422"/>
        <w:spacing w:line="440" w:lineRule="exact"/>
        <w:rPr>
          <w:rFonts w:ascii="宋体" w:hAnsi="宋体" w:cs="宋体"/>
          <w:b/>
          <w:color w:val="auto"/>
          <w:sz w:val="24"/>
          <w:szCs w:val="24"/>
          <w:highlight w:val="none"/>
        </w:rPr>
      </w:pPr>
      <w:r>
        <w:rPr>
          <w:rFonts w:hint="eastAsia" w:ascii="宋体" w:hAnsi="宋体" w:cs="宋体"/>
          <w:b/>
          <w:color w:val="auto"/>
          <w:sz w:val="24"/>
          <w:szCs w:val="24"/>
          <w:highlight w:val="none"/>
          <w:lang w:val="zh-CN"/>
        </w:rPr>
        <w:t xml:space="preserve">27.投标的澄清</w:t>
      </w:r>
      <w:r>
        <w:rPr>
          <w:color w:val="auto"/>
          <w:highlight w:val="none"/>
        </w:rPr>
      </w:r>
      <w:r/>
    </w:p>
    <w:p>
      <w:pPr>
        <w:ind w:firstLine="42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27.1对于投标文件中含义不明确、同类问题表述不一致或者有明显文字和计算错误的内容，评标委员会应当以书面形式要求投标人</w:t>
      </w:r>
      <w:r>
        <w:rPr>
          <w:rFonts w:hint="eastAsia" w:ascii="宋体" w:hAnsi="宋体" w:cs="宋体"/>
          <w:color w:val="auto"/>
          <w:sz w:val="24"/>
          <w:szCs w:val="24"/>
          <w:highlight w:val="none"/>
          <w:lang w:val="zh-CN"/>
        </w:rPr>
        <w:t xml:space="preserve">作出</w:t>
      </w:r>
      <w:r>
        <w:rPr>
          <w:rFonts w:hint="eastAsia" w:ascii="宋体" w:hAnsi="宋体" w:cs="宋体"/>
          <w:color w:val="auto"/>
          <w:sz w:val="24"/>
          <w:szCs w:val="24"/>
          <w:highlight w:val="none"/>
          <w:lang w:val="zh-CN"/>
        </w:rPr>
        <w:t xml:space="preserve">必要的澄清、说明或者补正。</w:t>
      </w:r>
      <w:r>
        <w:rPr>
          <w:color w:val="auto"/>
          <w:highlight w:val="none"/>
        </w:rPr>
      </w:r>
      <w:r/>
    </w:p>
    <w:p>
      <w:pPr>
        <w:ind w:firstLine="42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27.2投标人的澄清、说明或者补正应当采用书面形式，并加盖</w:t>
      </w:r>
      <w:r>
        <w:rPr>
          <w:rFonts w:hint="eastAsia" w:ascii="宋体" w:hAnsi="宋体" w:cs="宋体"/>
          <w:color w:val="auto"/>
          <w:sz w:val="24"/>
          <w:szCs w:val="24"/>
          <w:highlight w:val="none"/>
        </w:rPr>
        <w:t xml:space="preserve">其单位电子</w:t>
      </w:r>
      <w:r>
        <w:rPr>
          <w:rFonts w:hint="eastAsia" w:ascii="宋体" w:hAnsi="宋体" w:cs="宋体"/>
          <w:color w:val="auto"/>
          <w:sz w:val="24"/>
          <w:szCs w:val="24"/>
          <w:highlight w:val="none"/>
          <w:lang w:val="zh-CN"/>
        </w:rPr>
        <w:t xml:space="preserve">公章。投标人的澄清、说明或者补正不得超出投标文件的范围或者改变投标文件的实质性内容。</w:t>
      </w:r>
      <w:r>
        <w:rPr>
          <w:color w:val="auto"/>
          <w:highlight w:val="none"/>
        </w:rPr>
      </w:r>
      <w:r/>
    </w:p>
    <w:p>
      <w:pPr>
        <w:ind w:firstLine="422"/>
        <w:spacing w:line="440" w:lineRule="exact"/>
        <w:rPr>
          <w:rFonts w:ascii="宋体" w:hAnsi="宋体" w:cs="宋体"/>
          <w:color w:val="auto"/>
          <w:sz w:val="24"/>
          <w:szCs w:val="24"/>
          <w:highlight w:val="none"/>
        </w:rPr>
      </w:pPr>
      <w:r>
        <w:rPr>
          <w:rFonts w:hint="eastAsia" w:ascii="宋体" w:hAnsi="宋体" w:cs="宋体"/>
          <w:b/>
          <w:color w:val="auto"/>
          <w:sz w:val="24"/>
          <w:szCs w:val="24"/>
          <w:highlight w:val="none"/>
          <w:lang w:val="zh-CN"/>
        </w:rPr>
        <w:t xml:space="preserve">本项目投标人的澄清、说明或者补正采用线上澄清: 评标委员会将通过“苏</w:t>
      </w:r>
      <w:r>
        <w:rPr>
          <w:rFonts w:hint="eastAsia" w:ascii="宋体" w:hAnsi="宋体" w:cs="宋体"/>
          <w:b/>
          <w:color w:val="auto"/>
          <w:sz w:val="24"/>
          <w:szCs w:val="24"/>
          <w:highlight w:val="none"/>
          <w:lang w:val="zh-CN"/>
        </w:rPr>
        <w:t xml:space="preserve">采云</w:t>
      </w:r>
      <w:r>
        <w:rPr>
          <w:rFonts w:hint="eastAsia" w:ascii="宋体" w:hAnsi="宋体" w:cs="宋体"/>
          <w:b/>
          <w:color w:val="auto"/>
          <w:sz w:val="24"/>
          <w:szCs w:val="24"/>
          <w:highlight w:val="none"/>
          <w:lang w:val="zh-CN"/>
        </w:rPr>
        <w:t xml:space="preserve">”系统向投标人发布“澄清要求函”，接到“澄清要求函”的投标人应当按要求在规定时间内通过“苏</w:t>
      </w:r>
      <w:r>
        <w:rPr>
          <w:rFonts w:hint="eastAsia" w:ascii="宋体" w:hAnsi="宋体" w:cs="宋体"/>
          <w:b/>
          <w:color w:val="auto"/>
          <w:sz w:val="24"/>
          <w:szCs w:val="24"/>
          <w:highlight w:val="none"/>
          <w:lang w:val="zh-CN"/>
        </w:rPr>
        <w:t xml:space="preserve">采云</w:t>
      </w:r>
      <w:r>
        <w:rPr>
          <w:rFonts w:hint="eastAsia" w:ascii="宋体" w:hAnsi="宋体" w:cs="宋体"/>
          <w:b/>
          <w:color w:val="auto"/>
          <w:sz w:val="24"/>
          <w:szCs w:val="24"/>
          <w:highlight w:val="none"/>
          <w:lang w:val="zh-CN"/>
        </w:rPr>
        <w:t xml:space="preserve">”系统提交“澄清响应函”并加盖CA电子公章，澄清、说明和补充的内容作为投标文件的补充部分。</w:t>
      </w:r>
      <w:r>
        <w:rPr>
          <w:rFonts w:hint="eastAsia" w:ascii="宋体" w:hAnsi="宋体" w:cs="宋体"/>
          <w:color w:val="auto"/>
          <w:sz w:val="24"/>
          <w:szCs w:val="24"/>
          <w:highlight w:val="none"/>
          <w:lang w:val="zh-CN"/>
        </w:rPr>
        <w:t xml:space="preserve">(</w:t>
      </w:r>
      <w:r>
        <w:rPr>
          <w:rFonts w:hint="eastAsia" w:ascii="宋体" w:hAnsi="宋体" w:cs="宋体"/>
          <w:b/>
          <w:color w:val="auto"/>
          <w:sz w:val="24"/>
          <w:szCs w:val="24"/>
          <w:highlight w:val="none"/>
          <w:lang w:val="zh-CN"/>
        </w:rPr>
        <w:t xml:space="preserve">此处规定时间的计算以系统中的倒计时间为准，</w:t>
      </w:r>
      <w:r>
        <w:rPr>
          <w:rFonts w:hint="eastAsia" w:ascii="宋体" w:hAnsi="宋体" w:cs="宋体"/>
          <w:color w:val="auto"/>
          <w:sz w:val="24"/>
          <w:szCs w:val="24"/>
          <w:highlight w:val="none"/>
          <w:lang w:val="zh-CN"/>
        </w:rPr>
        <w:t xml:space="preserve">供应商应随时保持系统在线，如因供应商自身原因未在规定时间内提交澄清确认资料的，导致的不利后果由供应商自行承担。</w:t>
      </w:r>
      <w:r>
        <w:rPr>
          <w:color w:val="auto"/>
          <w:highlight w:val="none"/>
        </w:rPr>
      </w:r>
      <w:r/>
    </w:p>
    <w:p>
      <w:pPr>
        <w:ind w:firstLine="422"/>
        <w:spacing w:line="440" w:lineRule="exact"/>
        <w:rPr>
          <w:rFonts w:ascii="宋体" w:hAnsi="宋体" w:cs="宋体"/>
          <w:b/>
          <w:color w:val="auto"/>
          <w:sz w:val="24"/>
          <w:szCs w:val="24"/>
          <w:highlight w:val="none"/>
        </w:rPr>
      </w:pPr>
      <w:r>
        <w:rPr>
          <w:rFonts w:hint="eastAsia" w:ascii="宋体" w:hAnsi="宋体" w:cs="宋体"/>
          <w:b/>
          <w:color w:val="auto"/>
          <w:sz w:val="24"/>
          <w:szCs w:val="24"/>
          <w:highlight w:val="none"/>
          <w:lang w:val="zh-CN"/>
        </w:rPr>
        <w:t xml:space="preserve">28.投标无效</w:t>
      </w:r>
      <w:r>
        <w:rPr>
          <w:color w:val="auto"/>
          <w:highlight w:val="none"/>
        </w:rPr>
      </w:r>
      <w:r/>
    </w:p>
    <w:p>
      <w:pPr>
        <w:ind w:firstLine="42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28.1投标人存在下列情况之一的，投标无效:</w:t>
      </w:r>
      <w:r>
        <w:rPr>
          <w:color w:val="auto"/>
          <w:highlight w:val="none"/>
        </w:rPr>
      </w:r>
      <w:r/>
    </w:p>
    <w:p>
      <w:pPr>
        <w:ind w:firstLine="42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一</w:t>
      </w:r>
      <w:r>
        <w:rPr>
          <w:rFonts w:hint="eastAsia" w:ascii="宋体" w:hAnsi="宋体" w:cs="宋体"/>
          <w:color w:val="auto"/>
          <w:sz w:val="24"/>
          <w:szCs w:val="24"/>
          <w:highlight w:val="none"/>
          <w:lang w:val="zh-CN"/>
        </w:rPr>
        <w:t xml:space="preserve">）投标文件未按招标文件要求签署、盖章的；</w:t>
      </w:r>
      <w:r>
        <w:rPr>
          <w:color w:val="auto"/>
          <w:highlight w:val="none"/>
        </w:rPr>
      </w:r>
      <w:r/>
    </w:p>
    <w:p>
      <w:pPr>
        <w:ind w:firstLine="42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二</w:t>
      </w:r>
      <w:r>
        <w:rPr>
          <w:rFonts w:hint="eastAsia" w:ascii="宋体" w:hAnsi="宋体" w:cs="宋体"/>
          <w:color w:val="auto"/>
          <w:sz w:val="24"/>
          <w:szCs w:val="24"/>
          <w:highlight w:val="none"/>
          <w:lang w:val="zh-CN"/>
        </w:rPr>
        <w:t xml:space="preserve">）不具备招标文件中规定的资格要求的；</w:t>
      </w:r>
      <w:r>
        <w:rPr>
          <w:color w:val="auto"/>
          <w:highlight w:val="none"/>
        </w:rPr>
      </w:r>
      <w:r/>
    </w:p>
    <w:p>
      <w:pPr>
        <w:ind w:firstLine="42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三</w:t>
      </w:r>
      <w:r>
        <w:rPr>
          <w:rFonts w:hint="eastAsia" w:ascii="宋体" w:hAnsi="宋体" w:cs="宋体"/>
          <w:color w:val="auto"/>
          <w:sz w:val="24"/>
          <w:szCs w:val="24"/>
          <w:highlight w:val="none"/>
          <w:lang w:val="zh-CN"/>
        </w:rPr>
        <w:t xml:space="preserve">）报价超过招标文件中规定的预算金额或者最高限价的；</w:t>
      </w:r>
      <w:r>
        <w:rPr>
          <w:color w:val="auto"/>
          <w:highlight w:val="none"/>
        </w:rPr>
      </w:r>
      <w:r/>
    </w:p>
    <w:p>
      <w:pPr>
        <w:ind w:firstLine="42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四</w:t>
      </w:r>
      <w:r>
        <w:rPr>
          <w:rFonts w:hint="eastAsia" w:ascii="宋体" w:hAnsi="宋体" w:cs="宋体"/>
          <w:color w:val="auto"/>
          <w:sz w:val="24"/>
          <w:szCs w:val="24"/>
          <w:highlight w:val="none"/>
          <w:lang w:val="zh-CN"/>
        </w:rPr>
        <w:t xml:space="preserve">）投标文件含有采购人不能接受的附加条件的；</w:t>
      </w:r>
      <w:r>
        <w:rPr>
          <w:color w:val="auto"/>
          <w:highlight w:val="none"/>
        </w:rPr>
      </w:r>
      <w:r/>
    </w:p>
    <w:p>
      <w:pPr>
        <w:ind w:firstLine="42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（五）法律、法规和招标文件规定的其他无效情形。</w:t>
      </w:r>
      <w:r>
        <w:rPr>
          <w:color w:val="auto"/>
          <w:highlight w:val="none"/>
        </w:rPr>
      </w:r>
      <w:r/>
    </w:p>
    <w:p>
      <w:pPr>
        <w:ind w:firstLine="42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28.2投标人应当遵循公平竞争的原则，不得恶意串通，不得妨碍其他投标人的竞争行为，不得损害采购人或者其他投标人的合法权益。</w:t>
      </w:r>
      <w:r>
        <w:rPr>
          <w:color w:val="auto"/>
          <w:highlight w:val="none"/>
        </w:rPr>
      </w:r>
      <w:r/>
    </w:p>
    <w:p>
      <w:pPr>
        <w:ind w:firstLine="42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在评标过程中发现投标人有上述情形的，评标委员会应当认定其投标无效，并书面报告本级财政部门。</w:t>
      </w:r>
      <w:r>
        <w:rPr>
          <w:color w:val="auto"/>
          <w:highlight w:val="none"/>
        </w:rPr>
      </w:r>
      <w:r/>
    </w:p>
    <w:p>
      <w:pPr>
        <w:ind w:firstLine="42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28.3有下列情形之一的，视为投标人串通投标，其投标无效：</w:t>
      </w:r>
      <w:r>
        <w:rPr>
          <w:color w:val="auto"/>
          <w:highlight w:val="none"/>
        </w:rPr>
      </w:r>
      <w:r/>
    </w:p>
    <w:p>
      <w:pPr>
        <w:ind w:firstLine="42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（一）不同投标人的投标文件由同一单位或者个人编制；</w:t>
      </w:r>
      <w:r>
        <w:rPr>
          <w:color w:val="auto"/>
          <w:highlight w:val="none"/>
        </w:rPr>
      </w:r>
      <w:r/>
    </w:p>
    <w:p>
      <w:pPr>
        <w:ind w:firstLine="42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（二）不同投标人委托同一单位或者个人办理投标事宜；</w:t>
      </w:r>
      <w:r>
        <w:rPr>
          <w:color w:val="auto"/>
          <w:highlight w:val="none"/>
        </w:rPr>
      </w:r>
      <w:r/>
    </w:p>
    <w:p>
      <w:pPr>
        <w:ind w:firstLine="42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（三）不同投标人的投标文件载明的项目管理成员或者联系人员为同一人；</w:t>
      </w:r>
      <w:r>
        <w:rPr>
          <w:color w:val="auto"/>
          <w:highlight w:val="none"/>
        </w:rPr>
      </w:r>
      <w:r/>
    </w:p>
    <w:p>
      <w:pPr>
        <w:ind w:firstLine="42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（四）不同投标人的投标文件异常一致或者投标报价呈规律性差异；</w:t>
      </w:r>
      <w:r>
        <w:rPr>
          <w:color w:val="auto"/>
          <w:highlight w:val="none"/>
        </w:rPr>
      </w:r>
      <w:r/>
    </w:p>
    <w:p>
      <w:pPr>
        <w:ind w:firstLine="42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（五）不同投标人的投标文件相互混装。</w:t>
      </w:r>
      <w:r>
        <w:rPr>
          <w:color w:val="auto"/>
          <w:highlight w:val="none"/>
        </w:rPr>
      </w:r>
      <w:r/>
    </w:p>
    <w:p>
      <w:pPr>
        <w:ind w:firstLine="422"/>
        <w:spacing w:line="440" w:lineRule="exact"/>
        <w:rPr>
          <w:rFonts w:ascii="宋体" w:hAnsi="宋体" w:cs="宋体"/>
          <w:b/>
          <w:color w:val="auto"/>
          <w:sz w:val="24"/>
          <w:szCs w:val="24"/>
          <w:highlight w:val="none"/>
        </w:rPr>
      </w:pPr>
      <w:r>
        <w:rPr>
          <w:rFonts w:hint="eastAsia" w:ascii="宋体" w:hAnsi="宋体" w:cs="宋体"/>
          <w:b/>
          <w:color w:val="auto"/>
          <w:sz w:val="24"/>
          <w:szCs w:val="24"/>
          <w:highlight w:val="none"/>
          <w:lang w:val="zh-CN"/>
        </w:rPr>
        <w:t xml:space="preserve">29.废标</w:t>
      </w:r>
      <w:r>
        <w:rPr>
          <w:color w:val="auto"/>
          <w:highlight w:val="none"/>
        </w:rPr>
      </w:r>
      <w:r/>
    </w:p>
    <w:p>
      <w:pPr>
        <w:ind w:firstLine="42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29.1在招标过程中，出现下列情况之一的，应予废标：</w:t>
      </w:r>
      <w:r>
        <w:rPr>
          <w:color w:val="auto"/>
          <w:highlight w:val="none"/>
        </w:rPr>
      </w:r>
      <w:r/>
    </w:p>
    <w:p>
      <w:pPr>
        <w:ind w:firstLine="42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29.1.1符合专业条件的供应商或者对招标文件作实质投标的供应商不足</w:t>
      </w:r>
      <w:r>
        <w:rPr>
          <w:rFonts w:hint="eastAsia" w:ascii="宋体" w:hAnsi="宋体" w:cs="宋体"/>
          <w:color w:val="auto"/>
          <w:sz w:val="24"/>
          <w:szCs w:val="24"/>
          <w:highlight w:val="none"/>
        </w:rPr>
        <w:t xml:space="preserve">三</w:t>
      </w:r>
      <w:r>
        <w:rPr>
          <w:rFonts w:hint="eastAsia" w:ascii="宋体" w:hAnsi="宋体" w:cs="宋体"/>
          <w:color w:val="auto"/>
          <w:sz w:val="24"/>
          <w:szCs w:val="24"/>
          <w:highlight w:val="none"/>
          <w:lang w:val="zh-CN"/>
        </w:rPr>
        <w:t xml:space="preserve">家的；</w:t>
      </w:r>
      <w:r>
        <w:rPr>
          <w:color w:val="auto"/>
          <w:highlight w:val="none"/>
        </w:rPr>
      </w:r>
      <w:r/>
    </w:p>
    <w:p>
      <w:pPr>
        <w:ind w:firstLine="42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29.1.2出现影响采购公正的违法、违规行为的；</w:t>
      </w:r>
      <w:r>
        <w:rPr>
          <w:color w:val="auto"/>
          <w:highlight w:val="none"/>
        </w:rPr>
      </w:r>
      <w:r/>
    </w:p>
    <w:p>
      <w:pPr>
        <w:ind w:firstLine="42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29.1.3投标人的报价均超过了采购预算，采购人不能支付的；</w:t>
      </w:r>
      <w:r>
        <w:rPr>
          <w:color w:val="auto"/>
          <w:highlight w:val="none"/>
        </w:rPr>
      </w:r>
      <w:r/>
    </w:p>
    <w:p>
      <w:pPr>
        <w:ind w:firstLine="42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28.1.4因重大变故，采购任务取消的；</w:t>
      </w:r>
      <w:r>
        <w:rPr>
          <w:color w:val="auto"/>
          <w:highlight w:val="none"/>
        </w:rPr>
      </w:r>
      <w:r/>
    </w:p>
    <w:p>
      <w:pPr>
        <w:ind w:firstLine="42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29.2</w:t>
      </w:r>
      <w:r>
        <w:rPr>
          <w:rFonts w:hint="eastAsia" w:ascii="宋体" w:hAnsi="宋体" w:cs="宋体"/>
          <w:color w:val="auto"/>
          <w:sz w:val="24"/>
          <w:szCs w:val="24"/>
          <w:highlight w:val="none"/>
          <w:lang w:val="zh-CN"/>
        </w:rPr>
        <w:t xml:space="preserve">废标后</w:t>
      </w:r>
      <w:r>
        <w:rPr>
          <w:rFonts w:hint="eastAsia" w:ascii="宋体" w:hAnsi="宋体" w:cs="宋体"/>
          <w:color w:val="auto"/>
          <w:sz w:val="24"/>
          <w:szCs w:val="24"/>
          <w:highlight w:val="none"/>
          <w:lang w:val="zh-CN"/>
        </w:rPr>
        <w:t xml:space="preserve">，采购人和采购代理机构将把废标的理由通知所有投标人。</w:t>
      </w:r>
      <w:r>
        <w:rPr>
          <w:color w:val="auto"/>
          <w:highlight w:val="none"/>
        </w:rPr>
      </w:r>
      <w:r/>
    </w:p>
    <w:p>
      <w:pPr>
        <w:ind w:firstLine="422"/>
        <w:spacing w:line="440" w:lineRule="exact"/>
        <w:rPr>
          <w:rFonts w:ascii="宋体" w:hAnsi="宋体" w:cs="宋体"/>
          <w:b/>
          <w:color w:val="auto"/>
          <w:sz w:val="24"/>
          <w:szCs w:val="24"/>
          <w:highlight w:val="none"/>
        </w:rPr>
      </w:pPr>
      <w:r>
        <w:rPr>
          <w:rFonts w:hint="eastAsia" w:ascii="宋体" w:hAnsi="宋体" w:cs="宋体"/>
          <w:b/>
          <w:color w:val="auto"/>
          <w:sz w:val="24"/>
          <w:szCs w:val="24"/>
          <w:highlight w:val="none"/>
          <w:lang w:val="zh-CN"/>
        </w:rPr>
        <w:t xml:space="preserve">30.投标文件的评价和比较</w:t>
      </w:r>
      <w:r>
        <w:rPr>
          <w:color w:val="auto"/>
          <w:highlight w:val="none"/>
        </w:rPr>
      </w:r>
      <w:r/>
    </w:p>
    <w:p>
      <w:pPr>
        <w:ind w:firstLine="42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30.1采用综合评分法的，评标结果按评审后得分由高到低顺序排列。得分相同的，按投标报价由低到高顺序排列。得分且投标报价相同的并列，则由评标委员会组织抽签确定中标人。投标文件满足招标文件全部实质性要求，</w:t>
      </w:r>
      <w:r>
        <w:rPr>
          <w:rFonts w:hint="eastAsia" w:ascii="宋体" w:hAnsi="宋体" w:cs="宋体"/>
          <w:color w:val="auto"/>
          <w:sz w:val="24"/>
          <w:szCs w:val="24"/>
          <w:highlight w:val="none"/>
          <w:lang w:val="zh-CN"/>
        </w:rPr>
        <w:t xml:space="preserve">且按照</w:t>
      </w:r>
      <w:r>
        <w:rPr>
          <w:rFonts w:hint="eastAsia" w:ascii="宋体" w:hAnsi="宋体" w:cs="宋体"/>
          <w:color w:val="auto"/>
          <w:sz w:val="24"/>
          <w:szCs w:val="24"/>
          <w:highlight w:val="none"/>
          <w:lang w:val="zh-CN"/>
        </w:rPr>
        <w:t xml:space="preserve">评审因素的量化指标评审得分最高的投标人为排名第一的中标候选人。</w:t>
      </w:r>
      <w:r>
        <w:rPr>
          <w:color w:val="auto"/>
          <w:highlight w:val="none"/>
        </w:rPr>
      </w:r>
      <w:r/>
    </w:p>
    <w:p>
      <w:pPr>
        <w:ind w:firstLine="42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30.2最低的投标报价或最高的折扣比例是中标的重要条件，但不是唯一条件。</w:t>
      </w:r>
      <w:bookmarkStart w:id="18" w:name="_Toc18442"/>
      <w:r>
        <w:rPr>
          <w:color w:val="auto"/>
          <w:highlight w:val="none"/>
        </w:rPr>
      </w:r>
      <w:bookmarkStart w:id="19" w:name="_Toc19501"/>
      <w:r>
        <w:rPr>
          <w:color w:val="auto"/>
          <w:highlight w:val="none"/>
        </w:rPr>
      </w:r>
      <w:r/>
    </w:p>
    <w:p>
      <w:pPr>
        <w:ind w:firstLine="422"/>
        <w:spacing w:line="440" w:lineRule="exact"/>
        <w:rPr>
          <w:rFonts w:ascii="宋体" w:hAnsi="宋体" w:cs="宋体"/>
          <w:color w:val="auto"/>
          <w:sz w:val="24"/>
          <w:szCs w:val="24"/>
          <w:highlight w:val="none"/>
        </w:rPr>
      </w:pPr>
      <w:r>
        <w:rPr>
          <w:rFonts w:hint="eastAsia" w:ascii="宋体" w:hAnsi="宋体" w:cs="宋体"/>
          <w:b/>
          <w:color w:val="auto"/>
          <w:sz w:val="24"/>
          <w:szCs w:val="24"/>
          <w:highlight w:val="none"/>
          <w:lang w:val="zh-CN"/>
        </w:rPr>
        <w:t xml:space="preserve">七、授予合同</w:t>
      </w:r>
      <w:bookmarkEnd w:id="18"/>
      <w:r>
        <w:rPr>
          <w:color w:val="auto"/>
          <w:highlight w:val="none"/>
        </w:rPr>
      </w:r>
      <w:bookmarkEnd w:id="19"/>
      <w:r>
        <w:rPr>
          <w:color w:val="auto"/>
          <w:highlight w:val="none"/>
        </w:rPr>
      </w:r>
      <w:r/>
    </w:p>
    <w:p>
      <w:pPr>
        <w:ind w:firstLine="422"/>
        <w:spacing w:line="440" w:lineRule="exact"/>
        <w:rPr>
          <w:rFonts w:ascii="宋体" w:hAnsi="宋体" w:cs="宋体"/>
          <w:color w:val="auto"/>
          <w:sz w:val="24"/>
          <w:szCs w:val="24"/>
          <w:highlight w:val="none"/>
        </w:rPr>
      </w:pPr>
      <w:r>
        <w:rPr>
          <w:rFonts w:hint="eastAsia" w:ascii="宋体" w:hAnsi="宋体" w:cs="宋体"/>
          <w:b/>
          <w:color w:val="auto"/>
          <w:sz w:val="24"/>
          <w:szCs w:val="24"/>
          <w:highlight w:val="none"/>
          <w:lang w:val="zh-CN"/>
        </w:rPr>
        <w:t xml:space="preserve">31.中标单位的确认</w:t>
      </w:r>
      <w:r>
        <w:rPr>
          <w:color w:val="auto"/>
          <w:highlight w:val="none"/>
        </w:rPr>
      </w:r>
      <w:r/>
    </w:p>
    <w:p>
      <w:pPr>
        <w:ind w:firstLine="42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31.1评标委员会根据投标人资格审查情况，对投标文件进行评价和比较，按照评标办法和标准进行评标，并按采购人的委托向采购人推荐中标人。</w:t>
      </w:r>
      <w:r>
        <w:rPr>
          <w:color w:val="auto"/>
          <w:highlight w:val="none"/>
        </w:rPr>
      </w:r>
      <w:r/>
    </w:p>
    <w:p>
      <w:pPr>
        <w:ind w:firstLine="42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31.2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rPr>
          <w:color w:val="auto"/>
          <w:highlight w:val="none"/>
        </w:rPr>
      </w:r>
      <w:r/>
    </w:p>
    <w:p>
      <w:pPr>
        <w:ind w:firstLine="422"/>
        <w:spacing w:line="440" w:lineRule="exact"/>
        <w:rPr>
          <w:rFonts w:ascii="宋体" w:hAnsi="宋体" w:cs="宋体"/>
          <w:b/>
          <w:color w:val="auto"/>
          <w:sz w:val="24"/>
          <w:szCs w:val="24"/>
          <w:highlight w:val="none"/>
        </w:rPr>
      </w:pPr>
      <w:r>
        <w:rPr>
          <w:rFonts w:hint="eastAsia" w:ascii="宋体" w:hAnsi="宋体" w:cs="宋体"/>
          <w:b/>
          <w:color w:val="auto"/>
          <w:sz w:val="24"/>
          <w:szCs w:val="24"/>
          <w:highlight w:val="none"/>
          <w:lang w:val="zh-CN"/>
        </w:rPr>
        <w:t xml:space="preserve">32.合同授予标准</w:t>
      </w:r>
      <w:r>
        <w:rPr>
          <w:color w:val="auto"/>
          <w:highlight w:val="none"/>
        </w:rPr>
      </w:r>
      <w:r/>
    </w:p>
    <w:p>
      <w:pPr>
        <w:ind w:firstLine="42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采购人将把合同授予其投标文件在实质上响应投标招标文件要求且按本须知规定评选出的投标人。确定为中标的投标人必须具有实施本合同的能力和资源。</w:t>
      </w:r>
      <w:r>
        <w:rPr>
          <w:color w:val="auto"/>
          <w:highlight w:val="none"/>
        </w:rPr>
      </w:r>
      <w:r/>
    </w:p>
    <w:p>
      <w:pPr>
        <w:ind w:firstLine="422"/>
        <w:spacing w:line="440" w:lineRule="exact"/>
        <w:rPr>
          <w:rFonts w:ascii="宋体" w:hAnsi="宋体" w:cs="宋体"/>
          <w:b/>
          <w:color w:val="auto"/>
          <w:sz w:val="24"/>
          <w:szCs w:val="24"/>
          <w:highlight w:val="none"/>
        </w:rPr>
      </w:pPr>
      <w:r>
        <w:rPr>
          <w:rFonts w:hint="eastAsia" w:ascii="宋体" w:hAnsi="宋体" w:cs="宋体"/>
          <w:b/>
          <w:color w:val="auto"/>
          <w:sz w:val="24"/>
          <w:szCs w:val="24"/>
          <w:highlight w:val="none"/>
          <w:lang w:val="zh-CN"/>
        </w:rPr>
        <w:t xml:space="preserve">33.中标通知书</w:t>
      </w:r>
      <w:r>
        <w:rPr>
          <w:color w:val="auto"/>
          <w:highlight w:val="none"/>
        </w:rPr>
      </w:r>
      <w:r/>
    </w:p>
    <w:p>
      <w:pPr>
        <w:ind w:firstLine="420"/>
        <w:spacing w:line="440" w:lineRule="exact"/>
        <w:rPr>
          <w:rFonts w:ascii="宋体" w:hAnsi="宋体" w:cs="宋体"/>
          <w:b/>
          <w:color w:val="auto"/>
          <w:sz w:val="24"/>
          <w:szCs w:val="24"/>
          <w:highlight w:val="none"/>
        </w:rPr>
      </w:pPr>
      <w:r>
        <w:rPr>
          <w:rFonts w:hint="eastAsia" w:ascii="宋体" w:hAnsi="宋体" w:cs="宋体"/>
          <w:color w:val="auto"/>
          <w:sz w:val="24"/>
          <w:szCs w:val="24"/>
          <w:highlight w:val="none"/>
          <w:lang w:val="zh-CN"/>
        </w:rPr>
        <w:t xml:space="preserve">33.1确定出中标人后，采购代理机构在法定时间内向中标人发出中标通知书。</w:t>
      </w:r>
      <w:r>
        <w:rPr>
          <w:rFonts w:hint="eastAsia" w:ascii="宋体" w:hAnsi="宋体" w:cs="宋体"/>
          <w:b/>
          <w:color w:val="auto"/>
          <w:sz w:val="24"/>
          <w:szCs w:val="24"/>
          <w:highlight w:val="none"/>
          <w:lang w:val="zh-CN"/>
        </w:rPr>
        <w:t xml:space="preserve">请中标人在中标结果公告届满之日起30日内,使用CA证书登录“苏</w:t>
      </w:r>
      <w:r>
        <w:rPr>
          <w:rFonts w:hint="eastAsia" w:ascii="宋体" w:hAnsi="宋体" w:cs="宋体"/>
          <w:b/>
          <w:color w:val="auto"/>
          <w:sz w:val="24"/>
          <w:szCs w:val="24"/>
          <w:highlight w:val="none"/>
          <w:lang w:val="zh-CN"/>
        </w:rPr>
        <w:t xml:space="preserve">采云</w:t>
      </w:r>
      <w:r>
        <w:rPr>
          <w:rFonts w:hint="eastAsia" w:ascii="宋体" w:hAnsi="宋体" w:cs="宋体"/>
          <w:b/>
          <w:color w:val="auto"/>
          <w:sz w:val="24"/>
          <w:szCs w:val="24"/>
          <w:highlight w:val="none"/>
          <w:lang w:val="zh-CN"/>
        </w:rPr>
        <w:t xml:space="preserve">”系统及时下载中标通知书。</w:t>
      </w:r>
      <w:r>
        <w:rPr>
          <w:rFonts w:hint="eastAsia" w:ascii="宋体" w:hAnsi="宋体" w:cs="宋体"/>
          <w:color w:val="auto"/>
          <w:sz w:val="24"/>
          <w:szCs w:val="24"/>
          <w:highlight w:val="none"/>
          <w:lang w:val="zh-CN"/>
        </w:rPr>
        <w:t xml:space="preserve">因系统存储空间有限，自中标结果公告届满之日起30日后，“苏</w:t>
      </w:r>
      <w:r>
        <w:rPr>
          <w:rFonts w:hint="eastAsia" w:ascii="宋体" w:hAnsi="宋体" w:cs="宋体"/>
          <w:color w:val="auto"/>
          <w:sz w:val="24"/>
          <w:szCs w:val="24"/>
          <w:highlight w:val="none"/>
          <w:lang w:val="zh-CN"/>
        </w:rPr>
        <w:t xml:space="preserve">采云</w:t>
      </w:r>
      <w:r>
        <w:rPr>
          <w:rFonts w:hint="eastAsia" w:ascii="宋体" w:hAnsi="宋体" w:cs="宋体"/>
          <w:color w:val="auto"/>
          <w:sz w:val="24"/>
          <w:szCs w:val="24"/>
          <w:highlight w:val="none"/>
          <w:lang w:val="zh-CN"/>
        </w:rPr>
        <w:t xml:space="preserve">”系统不再保证提供</w:t>
      </w:r>
      <w:r>
        <w:rPr>
          <w:rFonts w:hint="eastAsia" w:ascii="宋体" w:hAnsi="宋体" w:cs="宋体"/>
          <w:color w:val="auto"/>
          <w:sz w:val="24"/>
          <w:szCs w:val="24"/>
          <w:highlight w:val="none"/>
          <w:lang w:val="zh-CN"/>
        </w:rPr>
        <w:t xml:space="preserve">下载中标通知书服务,因未及时下载而造成的不利后果由中标人自行承担。</w:t>
      </w:r>
      <w:r>
        <w:rPr>
          <w:color w:val="auto"/>
          <w:highlight w:val="none"/>
        </w:rPr>
      </w:r>
      <w:r/>
    </w:p>
    <w:p>
      <w:pPr>
        <w:ind w:firstLine="42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33.2中标通知书将成为合同的组成部分，对采购人和中标人具有同等法律效力。</w:t>
      </w:r>
      <w:r>
        <w:rPr>
          <w:color w:val="auto"/>
          <w:highlight w:val="none"/>
        </w:rPr>
      </w:r>
      <w:r/>
    </w:p>
    <w:p>
      <w:pPr>
        <w:ind w:firstLine="42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34.3中标通知书发出后，采购人不得违法改变中标结果，中标人无正当理由不得放弃中标。</w:t>
      </w:r>
      <w:r>
        <w:rPr>
          <w:color w:val="auto"/>
          <w:highlight w:val="none"/>
        </w:rPr>
      </w:r>
      <w:r/>
    </w:p>
    <w:p>
      <w:pPr>
        <w:ind w:firstLine="422"/>
        <w:spacing w:line="440" w:lineRule="exact"/>
        <w:rPr>
          <w:rFonts w:ascii="宋体" w:hAnsi="宋体" w:cs="宋体"/>
          <w:b/>
          <w:color w:val="auto"/>
          <w:sz w:val="24"/>
          <w:szCs w:val="24"/>
          <w:highlight w:val="none"/>
        </w:rPr>
      </w:pPr>
      <w:r>
        <w:rPr>
          <w:rFonts w:hint="eastAsia" w:ascii="宋体" w:hAnsi="宋体" w:cs="宋体"/>
          <w:b/>
          <w:color w:val="auto"/>
          <w:sz w:val="24"/>
          <w:szCs w:val="24"/>
          <w:highlight w:val="none"/>
          <w:lang w:val="zh-CN"/>
        </w:rPr>
        <w:t xml:space="preserve">34.合同的签订</w:t>
      </w:r>
      <w:r>
        <w:rPr>
          <w:color w:val="auto"/>
          <w:highlight w:val="none"/>
        </w:rPr>
      </w:r>
      <w:r/>
    </w:p>
    <w:p>
      <w:pPr>
        <w:ind w:firstLine="42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34.1 采购人与中标人原则上应当在中标通知书发出之日起</w:t>
      </w:r>
      <w:r>
        <w:rPr>
          <w:rFonts w:hint="eastAsia" w:ascii="宋体" w:hAnsi="宋体" w:cs="宋体"/>
          <w:color w:val="auto"/>
          <w:sz w:val="24"/>
          <w:szCs w:val="24"/>
          <w:highlight w:val="none"/>
        </w:rPr>
        <w:t xml:space="preserve">三十</w:t>
      </w:r>
      <w:r>
        <w:rPr>
          <w:rFonts w:hint="eastAsia" w:ascii="宋体" w:hAnsi="宋体" w:cs="宋体"/>
          <w:color w:val="auto"/>
          <w:sz w:val="24"/>
          <w:szCs w:val="24"/>
          <w:highlight w:val="none"/>
          <w:lang w:val="zh-CN"/>
        </w:rPr>
        <w:t xml:space="preserve">日内，按照招标文件及投标文件确定的事项签订政府采购合同。</w:t>
      </w:r>
      <w:r>
        <w:rPr>
          <w:color w:val="auto"/>
          <w:highlight w:val="none"/>
        </w:rPr>
      </w:r>
      <w:r/>
    </w:p>
    <w:p>
      <w:pPr>
        <w:ind w:firstLine="42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34.2 </w:t>
      </w:r>
      <w:r>
        <w:rPr>
          <w:rFonts w:hint="eastAsia" w:ascii="宋体" w:hAnsi="宋体" w:cs="宋体"/>
          <w:color w:val="auto"/>
          <w:sz w:val="24"/>
          <w:szCs w:val="24"/>
          <w:highlight w:val="none"/>
        </w:rPr>
        <w:t xml:space="preserve">采购人与中标人所签订的合同不得对招标文件确定的事项和中标人投标文件作实质性修改，采购人不得向中标人提出任何不合理的要求作为签订合同的条件。</w:t>
      </w:r>
      <w:r>
        <w:rPr>
          <w:color w:val="auto"/>
          <w:highlight w:val="none"/>
        </w:rPr>
      </w:r>
      <w:r/>
    </w:p>
    <w:p>
      <w:pPr>
        <w:ind w:firstLine="42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34.3招标文件、中标人的投标文件及招标过程中有关澄清、承诺文件均应作为合同附件。</w:t>
      </w:r>
      <w:r>
        <w:rPr>
          <w:color w:val="auto"/>
          <w:highlight w:val="none"/>
        </w:rPr>
      </w:r>
      <w:r/>
    </w:p>
    <w:p>
      <w:pPr>
        <w:ind w:firstLine="420"/>
        <w:spacing w:line="440" w:lineRule="exact"/>
        <w:rPr>
          <w:rFonts w:ascii="宋体" w:hAnsi="宋体" w:cs="宋体"/>
          <w:b/>
          <w:color w:val="auto"/>
          <w:sz w:val="24"/>
          <w:szCs w:val="24"/>
          <w:highlight w:val="none"/>
        </w:rPr>
      </w:pPr>
      <w:r>
        <w:rPr>
          <w:rFonts w:hint="eastAsia" w:ascii="宋体" w:hAnsi="宋体" w:cs="宋体"/>
          <w:color w:val="auto"/>
          <w:sz w:val="24"/>
          <w:szCs w:val="24"/>
          <w:highlight w:val="none"/>
          <w:lang w:val="zh-CN"/>
        </w:rPr>
        <w:t xml:space="preserve">34.4依据《政府采购促进中小企业发展管理办法》（财库〔2020〕46号）规定，依据本办法规定享受扶持政策获得政府采购合同的，小</w:t>
      </w:r>
      <w:r>
        <w:rPr>
          <w:rFonts w:hint="eastAsia" w:ascii="宋体" w:hAnsi="宋体" w:cs="宋体"/>
          <w:color w:val="auto"/>
          <w:sz w:val="24"/>
          <w:szCs w:val="24"/>
          <w:highlight w:val="none"/>
          <w:lang w:val="zh-CN"/>
        </w:rPr>
        <w:t xml:space="preserve">微企业</w:t>
      </w:r>
      <w:r>
        <w:rPr>
          <w:rFonts w:hint="eastAsia" w:ascii="宋体" w:hAnsi="宋体" w:cs="宋体"/>
          <w:color w:val="auto"/>
          <w:sz w:val="24"/>
          <w:szCs w:val="24"/>
          <w:highlight w:val="none"/>
          <w:lang w:val="zh-CN"/>
        </w:rPr>
        <w:t xml:space="preserve">不得将合同分包给大中型企业，中型企业不得将合同分包给大型企业。</w:t>
      </w:r>
      <w:r>
        <w:rPr>
          <w:color w:val="auto"/>
          <w:highlight w:val="none"/>
        </w:rPr>
      </w:r>
      <w:r/>
    </w:p>
    <w:p>
      <w:pPr>
        <w:ind w:firstLine="42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34.5政府采购合同履行中，采购人需追加与合同标的相同货物、工程或者服务的，在不改变合同其他条款的前提下，可以与中标人协商签订补充合同，但所有补充合同的采购金额不得超过原合同采购金额的10%。</w:t>
      </w:r>
      <w:bookmarkStart w:id="20" w:name="_Toc8186"/>
      <w:r>
        <w:rPr>
          <w:color w:val="auto"/>
          <w:highlight w:val="none"/>
        </w:rPr>
      </w:r>
      <w:bookmarkStart w:id="21" w:name="_Toc21029"/>
      <w:r>
        <w:rPr>
          <w:color w:val="auto"/>
          <w:highlight w:val="none"/>
        </w:rPr>
      </w:r>
      <w:r/>
    </w:p>
    <w:p>
      <w:pPr>
        <w:ind w:firstLine="422"/>
        <w:spacing w:line="440" w:lineRule="exact"/>
        <w:rPr>
          <w:rFonts w:ascii="宋体" w:hAnsi="宋体" w:cs="宋体"/>
          <w:color w:val="auto"/>
          <w:sz w:val="24"/>
          <w:szCs w:val="24"/>
          <w:highlight w:val="none"/>
        </w:rPr>
      </w:pPr>
      <w:r>
        <w:rPr>
          <w:rFonts w:hint="eastAsia" w:ascii="宋体" w:hAnsi="宋体" w:cs="宋体"/>
          <w:b/>
          <w:color w:val="auto"/>
          <w:sz w:val="24"/>
          <w:szCs w:val="24"/>
          <w:highlight w:val="none"/>
          <w:lang w:val="zh-CN"/>
        </w:rPr>
        <w:t xml:space="preserve">八、其他事项</w:t>
      </w:r>
      <w:bookmarkEnd w:id="20"/>
      <w:r>
        <w:rPr>
          <w:color w:val="auto"/>
          <w:highlight w:val="none"/>
        </w:rPr>
      </w:r>
      <w:bookmarkEnd w:id="21"/>
      <w:r>
        <w:rPr>
          <w:color w:val="auto"/>
          <w:highlight w:val="none"/>
        </w:rPr>
      </w:r>
      <w:r/>
    </w:p>
    <w:p>
      <w:pPr>
        <w:ind w:firstLine="422"/>
        <w:spacing w:line="440" w:lineRule="exact"/>
        <w:rPr>
          <w:rFonts w:ascii="宋体" w:hAnsi="宋体" w:cs="宋体"/>
          <w:color w:val="auto"/>
          <w:sz w:val="24"/>
          <w:szCs w:val="24"/>
          <w:highlight w:val="none"/>
        </w:rPr>
      </w:pPr>
      <w:r>
        <w:rPr>
          <w:rFonts w:hint="eastAsia" w:ascii="宋体" w:hAnsi="宋体" w:cs="宋体"/>
          <w:b/>
          <w:color w:val="auto"/>
          <w:sz w:val="24"/>
          <w:szCs w:val="24"/>
          <w:highlight w:val="none"/>
          <w:lang w:val="zh-CN"/>
        </w:rPr>
        <w:t xml:space="preserve">35.代理服务费：</w:t>
      </w:r>
      <w:r>
        <w:rPr>
          <w:color w:val="auto"/>
          <w:highlight w:val="none"/>
        </w:rPr>
      </w:r>
      <w:r/>
    </w:p>
    <w:p>
      <w:pPr>
        <w:ind w:firstLine="42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收费标准：按照预算金额的如下比例进行计算：即100万元以内1.35%、100～500万元0.935%，按照差额定率累进法计算。具体收费金额为￥18175.00元。本项目代理服务费由采购人支付。</w:t>
      </w:r>
      <w:r>
        <w:rPr>
          <w:color w:val="auto"/>
          <w:highlight w:val="none"/>
        </w:rPr>
      </w:r>
      <w:r/>
    </w:p>
    <w:p>
      <w:pPr>
        <w:ind w:firstLine="422"/>
        <w:spacing w:line="44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帐户</w:t>
      </w:r>
      <w:r>
        <w:rPr>
          <w:rFonts w:hint="eastAsia" w:ascii="宋体" w:hAnsi="宋体" w:cs="宋体"/>
          <w:b/>
          <w:color w:val="auto"/>
          <w:sz w:val="24"/>
          <w:szCs w:val="24"/>
          <w:highlight w:val="none"/>
        </w:rPr>
        <w:t xml:space="preserve">名：苏州</w:t>
      </w:r>
      <w:r>
        <w:rPr>
          <w:rFonts w:hint="eastAsia" w:ascii="宋体" w:hAnsi="宋体" w:cs="宋体"/>
          <w:b/>
          <w:color w:val="auto"/>
          <w:sz w:val="24"/>
          <w:szCs w:val="24"/>
          <w:highlight w:val="none"/>
        </w:rPr>
        <w:t xml:space="preserve">久诺招</w:t>
      </w:r>
      <w:r>
        <w:rPr>
          <w:rFonts w:hint="eastAsia" w:ascii="宋体" w:hAnsi="宋体" w:cs="宋体"/>
          <w:b/>
          <w:color w:val="auto"/>
          <w:sz w:val="24"/>
          <w:szCs w:val="24"/>
          <w:highlight w:val="none"/>
        </w:rPr>
        <w:t xml:space="preserve">投标咨询服务有限公司</w:t>
      </w:r>
      <w:r>
        <w:rPr>
          <w:color w:val="auto"/>
          <w:highlight w:val="none"/>
        </w:rPr>
      </w:r>
      <w:r/>
    </w:p>
    <w:p>
      <w:pPr>
        <w:ind w:firstLine="422"/>
        <w:spacing w:line="44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帐  号：</w:t>
      </w:r>
      <w:r>
        <w:rPr>
          <w:rFonts w:ascii="宋体" w:hAnsi="宋体" w:cs="宋体"/>
          <w:b/>
          <w:color w:val="auto"/>
          <w:sz w:val="24"/>
          <w:szCs w:val="24"/>
          <w:highlight w:val="none"/>
        </w:rPr>
        <w:t xml:space="preserve">1102022009000802673</w:t>
      </w:r>
      <w:r>
        <w:rPr>
          <w:color w:val="auto"/>
          <w:highlight w:val="none"/>
        </w:rPr>
      </w:r>
      <w:r/>
    </w:p>
    <w:p>
      <w:pPr>
        <w:ind w:firstLine="422"/>
        <w:spacing w:line="44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开户行：中国工商银行苏州分行</w:t>
      </w:r>
      <w:r>
        <w:rPr>
          <w:color w:val="auto"/>
          <w:highlight w:val="none"/>
        </w:rPr>
      </w:r>
      <w:r/>
    </w:p>
    <w:p>
      <w:pPr>
        <w:ind w:firstLine="422"/>
        <w:spacing w:line="440" w:lineRule="exact"/>
        <w:rPr>
          <w:rFonts w:ascii="宋体" w:hAnsi="宋体" w:cs="宋体"/>
          <w:b/>
          <w:color w:val="auto"/>
          <w:sz w:val="24"/>
          <w:szCs w:val="24"/>
          <w:highlight w:val="none"/>
        </w:rPr>
      </w:pPr>
      <w:r>
        <w:rPr>
          <w:rFonts w:hint="eastAsia" w:ascii="宋体" w:hAnsi="宋体" w:cs="宋体"/>
          <w:b/>
          <w:color w:val="auto"/>
          <w:sz w:val="24"/>
          <w:szCs w:val="24"/>
          <w:highlight w:val="none"/>
          <w:lang w:val="zh-CN"/>
        </w:rPr>
        <w:t xml:space="preserve">36.有关监督部门将对招投标全过程进行监督。</w:t>
      </w:r>
      <w:r>
        <w:rPr>
          <w:color w:val="auto"/>
          <w:highlight w:val="none"/>
        </w:rPr>
      </w:r>
      <w:r/>
    </w:p>
    <w:p>
      <w:pPr>
        <w:ind w:firstLine="422"/>
        <w:spacing w:line="440" w:lineRule="exact"/>
        <w:rPr>
          <w:rFonts w:ascii="宋体" w:hAnsi="宋体" w:cs="宋体"/>
          <w:color w:val="auto"/>
          <w:sz w:val="24"/>
          <w:szCs w:val="24"/>
          <w:highlight w:val="none"/>
        </w:rPr>
      </w:pPr>
      <w:r>
        <w:rPr>
          <w:rFonts w:hint="eastAsia" w:ascii="宋体" w:hAnsi="宋体" w:cs="宋体"/>
          <w:b/>
          <w:color w:val="auto"/>
          <w:sz w:val="24"/>
          <w:szCs w:val="24"/>
          <w:highlight w:val="none"/>
          <w:lang w:val="zh-CN"/>
        </w:rPr>
        <w:t xml:space="preserve">37.未尽事宜：</w:t>
      </w:r>
      <w:r>
        <w:rPr>
          <w:rFonts w:hint="eastAsia" w:ascii="宋体" w:hAnsi="宋体" w:cs="宋体"/>
          <w:color w:val="auto"/>
          <w:sz w:val="24"/>
          <w:szCs w:val="24"/>
          <w:highlight w:val="none"/>
          <w:lang w:val="zh-CN"/>
        </w:rPr>
        <w:t xml:space="preserve">按《中华人民共和国政府采购法》及其他有关的法律法规的规定执行。</w:t>
      </w:r>
      <w:r>
        <w:rPr>
          <w:color w:val="auto"/>
          <w:highlight w:val="none"/>
        </w:rPr>
      </w:r>
      <w:r/>
    </w:p>
    <w:p>
      <w:pPr>
        <w:rPr>
          <w:rFonts w:ascii="宋体" w:hAnsi="宋体" w:cs="宋体"/>
          <w:b/>
          <w:bCs/>
          <w:color w:val="auto"/>
          <w:sz w:val="44"/>
          <w:szCs w:val="44"/>
          <w:highlight w:val="none"/>
        </w:rPr>
      </w:pPr>
      <w:r>
        <w:rPr>
          <w:rFonts w:hint="eastAsia" w:ascii="宋体" w:hAnsi="宋体" w:cs="宋体"/>
          <w:b/>
          <w:bCs/>
          <w:color w:val="auto"/>
          <w:sz w:val="44"/>
          <w:szCs w:val="44"/>
          <w:highlight w:val="none"/>
        </w:rPr>
        <w:br w:type="page" w:clear="all"/>
      </w:r>
      <w:r>
        <w:rPr>
          <w:color w:val="auto"/>
          <w:highlight w:val="none"/>
        </w:rPr>
      </w:r>
      <w:r/>
    </w:p>
    <w:p>
      <w:pPr>
        <w:ind w:firstLine="990"/>
        <w:jc w:val="center"/>
        <w:spacing w:before="240" w:after="60"/>
        <w:rPr>
          <w:rFonts w:ascii="宋体" w:hAnsi="宋体" w:cs="宋体"/>
          <w:b/>
          <w:bCs/>
          <w:color w:val="auto"/>
          <w:sz w:val="44"/>
          <w:szCs w:val="44"/>
          <w:highlight w:val="none"/>
        </w:rPr>
        <w:outlineLvl w:val="0"/>
      </w:pPr>
      <w:r>
        <w:rPr>
          <w:rFonts w:hint="eastAsia" w:ascii="宋体" w:hAnsi="宋体" w:cs="宋体"/>
          <w:b/>
          <w:bCs/>
          <w:color w:val="auto"/>
          <w:sz w:val="44"/>
          <w:szCs w:val="44"/>
          <w:highlight w:val="none"/>
        </w:rPr>
        <w:t xml:space="preserve">第三章  投标文件格式</w:t>
      </w:r>
      <w:r>
        <w:rPr>
          <w:color w:val="auto"/>
          <w:highlight w:val="none"/>
        </w:rPr>
      </w:r>
      <w:r/>
    </w:p>
    <w:p>
      <w:pPr>
        <w:jc w:val="left"/>
        <w:spacing w:line="240" w:lineRule="auto"/>
        <w:rPr>
          <w:rFonts w:ascii="宋体" w:hAnsi="宋体" w:cs="宋体"/>
          <w:b/>
          <w:color w:val="auto"/>
          <w:szCs w:val="21"/>
          <w:highlight w:val="none"/>
        </w:rPr>
      </w:pPr>
      <w:r>
        <w:rPr>
          <w:rFonts w:hint="eastAsia" w:ascii="宋体" w:hAnsi="宋体" w:cs="宋体"/>
          <w:b/>
          <w:color w:val="auto"/>
          <w:szCs w:val="21"/>
          <w:highlight w:val="none"/>
        </w:rPr>
        <w:t xml:space="preserve">说明：</w:t>
      </w:r>
      <w:r>
        <w:rPr>
          <w:color w:val="auto"/>
          <w:highlight w:val="none"/>
        </w:rPr>
      </w:r>
      <w:r/>
    </w:p>
    <w:p>
      <w:pPr>
        <w:ind w:firstLine="422"/>
        <w:jc w:val="left"/>
        <w:spacing w:line="240" w:lineRule="auto"/>
        <w:rPr>
          <w:rFonts w:ascii="宋体" w:hAnsi="宋体" w:cs="宋体"/>
          <w:b/>
          <w:color w:val="auto"/>
          <w:szCs w:val="21"/>
          <w:highlight w:val="none"/>
        </w:rPr>
      </w:pPr>
      <w:r>
        <w:rPr>
          <w:rFonts w:hint="eastAsia" w:ascii="宋体" w:hAnsi="宋体" w:cs="宋体"/>
          <w:b/>
          <w:color w:val="auto"/>
          <w:szCs w:val="21"/>
          <w:highlight w:val="none"/>
        </w:rPr>
        <w:t xml:space="preserve">对本章所有的投标书格式 ，投标方可根据自身情况进行补充和修改，但补充和修改不得造成与本格式内容有实质性的违背。</w:t>
      </w:r>
      <w:r>
        <w:rPr>
          <w:color w:val="auto"/>
          <w:highlight w:val="none"/>
        </w:rPr>
      </w:r>
      <w:r/>
    </w:p>
    <w:p>
      <w:pPr>
        <w:spacing w:line="440" w:lineRule="exact"/>
        <w:rPr>
          <w:rFonts w:ascii="宋体" w:hAnsi="宋体"/>
          <w:color w:val="auto"/>
          <w:sz w:val="24"/>
          <w:szCs w:val="24"/>
          <w:highlight w:val="none"/>
        </w:rPr>
      </w:pPr>
      <w:r>
        <w:rPr>
          <w:rFonts w:hint="eastAsia" w:ascii="宋体" w:hAnsi="宋体"/>
          <w:b/>
          <w:bCs/>
          <w:color w:val="auto"/>
          <w:sz w:val="24"/>
          <w:szCs w:val="24"/>
          <w:highlight w:val="none"/>
          <w:lang w:val="zh-CN"/>
        </w:rPr>
        <w:t xml:space="preserve">格式1、投标函</w:t>
      </w:r>
      <w:r>
        <w:rPr>
          <w:color w:val="auto"/>
          <w:highlight w:val="none"/>
        </w:rPr>
      </w:r>
      <w:r/>
    </w:p>
    <w:p>
      <w:pPr>
        <w:jc w:val="center"/>
        <w:spacing w:line="440" w:lineRule="exact"/>
        <w:rPr>
          <w:rFonts w:ascii="宋体" w:hAnsi="宋体"/>
          <w:b/>
          <w:color w:val="auto"/>
          <w:sz w:val="24"/>
          <w:szCs w:val="24"/>
          <w:highlight w:val="none"/>
        </w:rPr>
      </w:pPr>
      <w:r>
        <w:rPr>
          <w:rFonts w:hint="eastAsia" w:ascii="宋体" w:hAnsi="宋体"/>
          <w:b/>
          <w:color w:val="auto"/>
          <w:sz w:val="24"/>
          <w:szCs w:val="24"/>
          <w:highlight w:val="none"/>
          <w:lang w:val="zh-CN"/>
        </w:rPr>
        <w:t xml:space="preserve">投标函</w:t>
      </w:r>
      <w:r>
        <w:rPr>
          <w:color w:val="auto"/>
          <w:highlight w:val="none"/>
        </w:rPr>
      </w:r>
      <w:r/>
    </w:p>
    <w:p>
      <w:pPr>
        <w:spacing w:line="240" w:lineRule="auto"/>
        <w:rPr>
          <w:rFonts w:ascii="宋体" w:hAnsi="宋体" w:cs="宋体"/>
          <w:color w:val="auto"/>
          <w:sz w:val="24"/>
          <w:szCs w:val="24"/>
          <w:highlight w:val="none"/>
        </w:rPr>
      </w:pPr>
      <w:r>
        <w:rPr>
          <w:rFonts w:ascii="宋体" w:hAnsi="宋体" w:cs="宋体"/>
          <w:color w:val="auto"/>
          <w:sz w:val="24"/>
          <w:szCs w:val="24"/>
          <w:highlight w:val="none"/>
        </w:rPr>
        <w:t xml:space="preserve">苏州</w:t>
      </w:r>
      <w:r>
        <w:rPr>
          <w:rFonts w:ascii="宋体" w:hAnsi="宋体" w:cs="宋体"/>
          <w:color w:val="auto"/>
          <w:sz w:val="24"/>
          <w:szCs w:val="24"/>
          <w:highlight w:val="none"/>
        </w:rPr>
        <w:t xml:space="preserve">久诺招</w:t>
      </w:r>
      <w:r>
        <w:rPr>
          <w:rFonts w:ascii="宋体" w:hAnsi="宋体" w:cs="宋体"/>
          <w:color w:val="auto"/>
          <w:sz w:val="24"/>
          <w:szCs w:val="24"/>
          <w:highlight w:val="none"/>
        </w:rPr>
        <w:t xml:space="preserve">投标咨询服务有限公司 ：</w:t>
      </w:r>
      <w:r>
        <w:rPr>
          <w:color w:val="auto"/>
          <w:highlight w:val="none"/>
        </w:rPr>
      </w:r>
      <w:r/>
    </w:p>
    <w:p>
      <w:pPr>
        <w:ind w:right="-332"/>
        <w:spacing w:line="240" w:lineRule="auto"/>
        <w:rPr>
          <w:rFonts w:ascii="宋体" w:hAnsi="宋体" w:cs="宋体"/>
          <w:color w:val="auto"/>
          <w:sz w:val="24"/>
          <w:szCs w:val="24"/>
          <w:highlight w:val="none"/>
        </w:rPr>
      </w:pPr>
      <w:r>
        <w:rPr>
          <w:rFonts w:ascii="宋体" w:hAnsi="宋体" w:cs="宋体"/>
          <w:color w:val="auto"/>
          <w:sz w:val="24"/>
          <w:szCs w:val="24"/>
          <w:highlight w:val="none"/>
        </w:rPr>
        <w:t xml:space="preserve">    我们收到贵公司 </w:t>
      </w:r>
      <w:r>
        <w:rPr>
          <w:rFonts w:ascii="宋体" w:hAnsi="宋体" w:cs="宋体"/>
          <w:color w:val="auto"/>
          <w:sz w:val="24"/>
          <w:szCs w:val="24"/>
          <w:highlight w:val="none"/>
          <w:u w:val="single"/>
        </w:rPr>
        <w:t xml:space="preserve">           </w:t>
      </w:r>
      <w:r>
        <w:rPr>
          <w:rFonts w:ascii="宋体" w:hAnsi="宋体" w:cs="宋体"/>
          <w:color w:val="auto"/>
          <w:sz w:val="24"/>
          <w:szCs w:val="24"/>
          <w:highlight w:val="none"/>
        </w:rPr>
        <w:t xml:space="preserve">号招标文件，经仔细阅读和研究，我们决定参加投标。</w:t>
      </w:r>
      <w:r>
        <w:rPr>
          <w:color w:val="auto"/>
          <w:highlight w:val="none"/>
        </w:rPr>
      </w:r>
      <w:r/>
    </w:p>
    <w:p>
      <w:pPr>
        <w:numPr>
          <w:ilvl w:val="0"/>
          <w:numId w:val="9"/>
        </w:numPr>
        <w:spacing w:line="240" w:lineRule="auto"/>
        <w:rPr>
          <w:rFonts w:ascii="宋体" w:hAnsi="宋体" w:cs="宋体"/>
          <w:color w:val="auto"/>
          <w:sz w:val="24"/>
          <w:szCs w:val="24"/>
          <w:highlight w:val="none"/>
        </w:rPr>
      </w:pPr>
      <w:r>
        <w:rPr>
          <w:rFonts w:ascii="宋体" w:hAnsi="宋体" w:cs="宋体"/>
          <w:color w:val="auto"/>
          <w:sz w:val="24"/>
          <w:szCs w:val="24"/>
          <w:highlight w:val="none"/>
        </w:rPr>
        <w:t xml:space="preserve">我们愿意按照招标文件的一切要求，完成该项目的全部内容。</w:t>
      </w:r>
      <w:r>
        <w:rPr>
          <w:color w:val="auto"/>
          <w:highlight w:val="none"/>
        </w:rPr>
      </w:r>
      <w:r/>
    </w:p>
    <w:p>
      <w:pPr>
        <w:spacing w:line="240" w:lineRule="auto"/>
        <w:rPr>
          <w:rFonts w:ascii="宋体" w:hAnsi="宋体" w:cs="宋体"/>
          <w:color w:val="auto"/>
          <w:sz w:val="24"/>
          <w:szCs w:val="24"/>
          <w:highlight w:val="none"/>
        </w:rPr>
      </w:pPr>
      <w:r>
        <w:rPr>
          <w:rFonts w:ascii="宋体" w:hAnsi="宋体" w:cs="宋体"/>
          <w:color w:val="auto"/>
          <w:sz w:val="24"/>
          <w:szCs w:val="24"/>
          <w:highlight w:val="none"/>
        </w:rPr>
        <w:t xml:space="preserve">2、如果我们的投标书被接受，我们将严格履行招标文件中规定的每一项要求，按期、按质、按量履行合同的义务。</w:t>
      </w:r>
      <w:r>
        <w:rPr>
          <w:color w:val="auto"/>
          <w:highlight w:val="none"/>
        </w:rPr>
      </w:r>
      <w:r/>
    </w:p>
    <w:p>
      <w:pPr>
        <w:spacing w:line="240" w:lineRule="auto"/>
        <w:rPr>
          <w:rFonts w:ascii="宋体" w:hAnsi="宋体" w:cs="宋体"/>
          <w:color w:val="auto"/>
          <w:sz w:val="24"/>
          <w:szCs w:val="24"/>
          <w:highlight w:val="none"/>
        </w:rPr>
      </w:pPr>
      <w:r>
        <w:rPr>
          <w:rFonts w:ascii="宋体" w:hAnsi="宋体" w:cs="宋体"/>
          <w:color w:val="auto"/>
          <w:sz w:val="24"/>
          <w:szCs w:val="24"/>
          <w:highlight w:val="none"/>
        </w:rPr>
        <w:t xml:space="preserve">3、我们已详细审查全部招标文件，包括补充文件(如果有的话)，无任何异议。</w:t>
      </w:r>
      <w:r>
        <w:rPr>
          <w:color w:val="auto"/>
          <w:highlight w:val="none"/>
        </w:rPr>
      </w:r>
      <w:r/>
    </w:p>
    <w:p>
      <w:pPr>
        <w:spacing w:line="240" w:lineRule="auto"/>
        <w:rPr>
          <w:rFonts w:ascii="宋体" w:hAnsi="宋体" w:cs="宋体"/>
          <w:color w:val="auto"/>
          <w:sz w:val="24"/>
          <w:szCs w:val="24"/>
          <w:highlight w:val="none"/>
        </w:rPr>
      </w:pPr>
      <w:r>
        <w:rPr>
          <w:rFonts w:ascii="宋体" w:hAnsi="宋体" w:cs="宋体"/>
          <w:color w:val="auto"/>
          <w:sz w:val="24"/>
          <w:szCs w:val="24"/>
          <w:highlight w:val="none"/>
        </w:rPr>
        <w:t xml:space="preserve">4、我们同意按招标文件中的规定，本投标书的有效期限为开标后</w:t>
      </w:r>
      <w:r>
        <w:rPr>
          <w:rFonts w:ascii="宋体" w:hAnsi="宋体" w:cs="宋体"/>
          <w:color w:val="auto"/>
          <w:sz w:val="24"/>
          <w:szCs w:val="24"/>
          <w:highlight w:val="none"/>
          <w:u w:val="single"/>
        </w:rPr>
        <w:t xml:space="preserve">90</w:t>
      </w:r>
      <w:r>
        <w:rPr>
          <w:rFonts w:ascii="宋体" w:hAnsi="宋体" w:cs="宋体"/>
          <w:color w:val="auto"/>
          <w:sz w:val="24"/>
          <w:szCs w:val="24"/>
          <w:highlight w:val="none"/>
        </w:rPr>
        <w:t xml:space="preserve">天。</w:t>
      </w:r>
      <w:r>
        <w:rPr>
          <w:color w:val="auto"/>
          <w:highlight w:val="none"/>
        </w:rPr>
      </w:r>
      <w:r/>
    </w:p>
    <w:p>
      <w:pPr>
        <w:spacing w:line="240" w:lineRule="auto"/>
        <w:rPr>
          <w:rFonts w:ascii="宋体" w:hAnsi="宋体" w:cs="宋体"/>
          <w:color w:val="auto"/>
          <w:sz w:val="24"/>
          <w:szCs w:val="24"/>
          <w:highlight w:val="none"/>
        </w:rPr>
      </w:pPr>
      <w:r>
        <w:rPr>
          <w:rFonts w:ascii="宋体" w:hAnsi="宋体" w:cs="宋体"/>
          <w:color w:val="auto"/>
          <w:sz w:val="24"/>
          <w:szCs w:val="24"/>
          <w:highlight w:val="none"/>
        </w:rPr>
        <w:t xml:space="preserve">5、我们愿意提供</w:t>
      </w:r>
      <w:r>
        <w:rPr>
          <w:rFonts w:hint="eastAsia" w:ascii="宋体" w:hAnsi="宋体" w:cs="宋体"/>
          <w:color w:val="auto"/>
          <w:sz w:val="24"/>
          <w:szCs w:val="24"/>
          <w:highlight w:val="none"/>
        </w:rPr>
        <w:t xml:space="preserve">采购人</w:t>
      </w:r>
      <w:r>
        <w:rPr>
          <w:rFonts w:ascii="宋体" w:hAnsi="宋体" w:cs="宋体"/>
          <w:color w:val="auto"/>
          <w:sz w:val="24"/>
          <w:szCs w:val="24"/>
          <w:highlight w:val="none"/>
        </w:rPr>
        <w:t xml:space="preserve">在招标文件中要求的所有资料。</w:t>
      </w:r>
      <w:r>
        <w:rPr>
          <w:color w:val="auto"/>
          <w:highlight w:val="none"/>
        </w:rPr>
      </w:r>
      <w:r/>
    </w:p>
    <w:p>
      <w:pPr>
        <w:spacing w:line="240" w:lineRule="auto"/>
        <w:rPr>
          <w:rFonts w:ascii="宋体" w:hAnsi="宋体" w:cs="宋体"/>
          <w:color w:val="auto"/>
          <w:sz w:val="24"/>
          <w:szCs w:val="24"/>
          <w:highlight w:val="none"/>
        </w:rPr>
      </w:pPr>
      <w:r>
        <w:rPr>
          <w:rFonts w:ascii="宋体" w:hAnsi="宋体" w:cs="宋体"/>
          <w:color w:val="auto"/>
          <w:sz w:val="24"/>
          <w:szCs w:val="24"/>
          <w:highlight w:val="none"/>
        </w:rPr>
        <w:t xml:space="preserve">6、我们认为你们有权决定中标者，还认为你们有权接受或拒绝所有的投标者。</w:t>
      </w:r>
      <w:r>
        <w:rPr>
          <w:color w:val="auto"/>
          <w:highlight w:val="none"/>
        </w:rPr>
      </w:r>
      <w:r/>
    </w:p>
    <w:p>
      <w:pPr>
        <w:spacing w:line="240" w:lineRule="auto"/>
        <w:rPr>
          <w:rFonts w:ascii="宋体" w:hAnsi="宋体" w:cs="宋体"/>
          <w:color w:val="auto"/>
          <w:sz w:val="24"/>
          <w:szCs w:val="24"/>
          <w:highlight w:val="none"/>
        </w:rPr>
      </w:pPr>
      <w:r>
        <w:rPr>
          <w:rFonts w:ascii="宋体" w:hAnsi="宋体" w:cs="宋体"/>
          <w:color w:val="auto"/>
          <w:sz w:val="24"/>
          <w:szCs w:val="24"/>
          <w:highlight w:val="none"/>
        </w:rPr>
        <w:t xml:space="preserve">7、我们愿意遵守招标公告及招标文件中所列的收费标准。</w:t>
      </w:r>
      <w:r>
        <w:rPr>
          <w:color w:val="auto"/>
          <w:highlight w:val="none"/>
        </w:rPr>
      </w:r>
      <w:r/>
    </w:p>
    <w:p>
      <w:pPr>
        <w:spacing w:line="240" w:lineRule="auto"/>
        <w:rPr>
          <w:rFonts w:ascii="宋体" w:hAnsi="宋体" w:cs="宋体"/>
          <w:color w:val="auto"/>
          <w:sz w:val="24"/>
          <w:szCs w:val="24"/>
          <w:highlight w:val="none"/>
        </w:rPr>
      </w:pPr>
      <w:r>
        <w:rPr>
          <w:rFonts w:ascii="宋体" w:hAnsi="宋体" w:cs="宋体"/>
          <w:color w:val="auto"/>
          <w:sz w:val="24"/>
          <w:szCs w:val="24"/>
          <w:highlight w:val="none"/>
        </w:rPr>
        <w:t xml:space="preserve">8、我们承诺该项投标在开标后的全过程中保持有效，不作任何更改和变动。</w:t>
      </w:r>
      <w:r>
        <w:rPr>
          <w:color w:val="auto"/>
          <w:highlight w:val="none"/>
        </w:rPr>
      </w:r>
      <w:r/>
    </w:p>
    <w:p>
      <w:pPr>
        <w:spacing w:line="240" w:lineRule="auto"/>
        <w:rPr>
          <w:rFonts w:ascii="宋体" w:hAnsi="宋体" w:cs="宋体"/>
          <w:color w:val="auto"/>
          <w:sz w:val="24"/>
          <w:szCs w:val="24"/>
          <w:highlight w:val="none"/>
        </w:rPr>
      </w:pPr>
      <w:r>
        <w:rPr>
          <w:rFonts w:ascii="宋体" w:hAnsi="宋体" w:cs="宋体"/>
          <w:color w:val="auto"/>
          <w:sz w:val="24"/>
          <w:szCs w:val="24"/>
          <w:highlight w:val="none"/>
        </w:rPr>
        <w:t xml:space="preserve">9、如果我方中标，我方愿意按招标文件的规定支付中标服务费。</w:t>
      </w:r>
      <w:r>
        <w:rPr>
          <w:color w:val="auto"/>
          <w:highlight w:val="none"/>
        </w:rPr>
      </w:r>
      <w:r/>
    </w:p>
    <w:p>
      <w:pPr>
        <w:spacing w:line="240" w:lineRule="auto"/>
        <w:rPr>
          <w:rFonts w:ascii="宋体" w:hAnsi="宋体" w:cs="宋体"/>
          <w:color w:val="auto"/>
          <w:sz w:val="24"/>
          <w:szCs w:val="24"/>
          <w:highlight w:val="none"/>
        </w:rPr>
      </w:pPr>
      <w:r>
        <w:rPr>
          <w:rFonts w:ascii="宋体" w:hAnsi="宋体" w:cs="宋体"/>
          <w:color w:val="auto"/>
          <w:sz w:val="24"/>
          <w:szCs w:val="24"/>
          <w:highlight w:val="none"/>
        </w:rPr>
        <w:t xml:space="preserve">10、我们承诺我公司符合招标文件投标人须知中“合格投标人的一般条件、特殊条件”的要求，若与真实情况不符，本公司愿意承担由此而产生的一切后果。</w:t>
      </w:r>
      <w:r>
        <w:rPr>
          <w:color w:val="auto"/>
          <w:highlight w:val="none"/>
        </w:rPr>
      </w:r>
      <w:r/>
    </w:p>
    <w:p>
      <w:pPr>
        <w:spacing w:line="240" w:lineRule="auto"/>
        <w:rPr>
          <w:rFonts w:ascii="宋体" w:hAnsi="宋体" w:cs="宋体"/>
          <w:color w:val="auto"/>
          <w:sz w:val="24"/>
          <w:szCs w:val="24"/>
          <w:highlight w:val="none"/>
        </w:rPr>
      </w:pPr>
      <w:r>
        <w:rPr>
          <w:rFonts w:ascii="宋体" w:hAnsi="宋体" w:cs="宋体"/>
          <w:color w:val="auto"/>
          <w:sz w:val="24"/>
          <w:szCs w:val="24"/>
          <w:highlight w:val="none"/>
        </w:rPr>
        <w:t xml:space="preserve">11、综合说明：</w:t>
      </w:r>
      <w:r>
        <w:rPr>
          <w:color w:val="auto"/>
          <w:highlight w:val="none"/>
        </w:rPr>
      </w:r>
      <w:r/>
    </w:p>
    <w:p>
      <w:pPr>
        <w:ind w:firstLine="420"/>
        <w:spacing w:line="240" w:lineRule="auto"/>
        <w:rPr>
          <w:rFonts w:ascii="宋体" w:hAnsi="宋体" w:cs="宋体"/>
          <w:color w:val="auto"/>
          <w:sz w:val="24"/>
          <w:szCs w:val="24"/>
          <w:highlight w:val="none"/>
        </w:rPr>
      </w:pPr>
      <w:r>
        <w:rPr>
          <w:rFonts w:ascii="宋体" w:hAnsi="宋体" w:cs="宋体"/>
          <w:color w:val="auto"/>
          <w:sz w:val="24"/>
          <w:szCs w:val="24"/>
          <w:highlight w:val="none"/>
        </w:rPr>
        <w:t xml:space="preserve">（1）伴随服务及配合措施；</w:t>
      </w:r>
      <w:r>
        <w:rPr>
          <w:color w:val="auto"/>
          <w:highlight w:val="none"/>
        </w:rPr>
      </w:r>
      <w:r/>
    </w:p>
    <w:p>
      <w:pPr>
        <w:ind w:firstLine="420"/>
        <w:spacing w:line="240" w:lineRule="auto"/>
        <w:rPr>
          <w:rFonts w:ascii="宋体" w:hAnsi="宋体" w:cs="宋体"/>
          <w:color w:val="auto"/>
          <w:sz w:val="24"/>
          <w:szCs w:val="24"/>
          <w:highlight w:val="none"/>
        </w:rPr>
      </w:pPr>
      <w:r>
        <w:rPr>
          <w:rFonts w:ascii="宋体" w:hAnsi="宋体" w:cs="宋体"/>
          <w:color w:val="auto"/>
          <w:sz w:val="24"/>
          <w:szCs w:val="24"/>
          <w:highlight w:val="none"/>
        </w:rPr>
        <w:t xml:space="preserve">（2）要求甲方提供的配合；</w:t>
      </w:r>
      <w:r>
        <w:rPr>
          <w:color w:val="auto"/>
          <w:highlight w:val="none"/>
        </w:rPr>
      </w:r>
      <w:r/>
    </w:p>
    <w:p>
      <w:pPr>
        <w:ind w:firstLine="420"/>
        <w:spacing w:line="240" w:lineRule="auto"/>
        <w:rPr>
          <w:rFonts w:ascii="宋体" w:hAnsi="宋体" w:cs="宋体"/>
          <w:color w:val="auto"/>
          <w:sz w:val="24"/>
          <w:szCs w:val="24"/>
          <w:highlight w:val="none"/>
        </w:rPr>
      </w:pPr>
      <w:r>
        <w:rPr>
          <w:rFonts w:ascii="宋体" w:hAnsi="宋体" w:cs="宋体"/>
          <w:color w:val="auto"/>
          <w:sz w:val="24"/>
          <w:szCs w:val="24"/>
          <w:highlight w:val="none"/>
        </w:rPr>
        <w:t xml:space="preserve">（3）对招标文件有不同意见的偏离说明；</w:t>
      </w:r>
      <w:r>
        <w:rPr>
          <w:color w:val="auto"/>
          <w:highlight w:val="none"/>
        </w:rPr>
      </w:r>
      <w:r/>
    </w:p>
    <w:p>
      <w:pPr>
        <w:ind w:firstLine="420"/>
        <w:spacing w:line="240" w:lineRule="auto"/>
        <w:rPr>
          <w:rFonts w:ascii="宋体" w:hAnsi="宋体" w:cs="宋体"/>
          <w:color w:val="auto"/>
          <w:sz w:val="24"/>
          <w:szCs w:val="24"/>
          <w:highlight w:val="none"/>
        </w:rPr>
      </w:pPr>
      <w:r>
        <w:rPr>
          <w:rFonts w:ascii="宋体" w:hAnsi="宋体" w:cs="宋体"/>
          <w:color w:val="auto"/>
          <w:sz w:val="24"/>
          <w:szCs w:val="24"/>
          <w:highlight w:val="none"/>
        </w:rPr>
        <w:t xml:space="preserve">（4）其它说明。</w:t>
      </w:r>
      <w:r>
        <w:rPr>
          <w:color w:val="auto"/>
          <w:highlight w:val="none"/>
        </w:rPr>
      </w:r>
      <w:r/>
    </w:p>
    <w:p>
      <w:pPr>
        <w:spacing w:line="240" w:lineRule="auto"/>
        <w:rPr>
          <w:rFonts w:ascii="宋体" w:hAnsi="宋体" w:cs="宋体"/>
          <w:color w:val="auto"/>
          <w:sz w:val="24"/>
          <w:szCs w:val="24"/>
          <w:highlight w:val="none"/>
        </w:rPr>
      </w:pPr>
      <w:r>
        <w:rPr>
          <w:rFonts w:ascii="宋体" w:hAnsi="宋体" w:cs="宋体"/>
          <w:color w:val="auto"/>
          <w:sz w:val="24"/>
          <w:szCs w:val="24"/>
          <w:highlight w:val="none"/>
        </w:rPr>
        <w:t xml:space="preserve">所有有关标书的函电，请按下列地址联系：</w:t>
      </w:r>
      <w:r>
        <w:rPr>
          <w:color w:val="auto"/>
          <w:highlight w:val="none"/>
        </w:rPr>
      </w:r>
      <w:r/>
    </w:p>
    <w:p>
      <w:pPr>
        <w:ind w:firstLine="420"/>
        <w:spacing w:line="240" w:lineRule="auto"/>
        <w:rPr>
          <w:rFonts w:ascii="宋体" w:hAnsi="宋体" w:cs="宋体"/>
          <w:color w:val="auto"/>
          <w:sz w:val="24"/>
          <w:szCs w:val="24"/>
          <w:highlight w:val="none"/>
          <w:u w:val="single"/>
        </w:rPr>
      </w:pPr>
      <w:r>
        <w:rPr>
          <w:rFonts w:ascii="宋体" w:hAnsi="宋体" w:cs="宋体"/>
          <w:color w:val="auto"/>
          <w:sz w:val="24"/>
          <w:szCs w:val="24"/>
          <w:highlight w:val="none"/>
        </w:rPr>
        <w:t xml:space="preserve">单    位： </w:t>
      </w:r>
      <w:r>
        <w:rPr>
          <w:rFonts w:ascii="宋体" w:hAnsi="宋体" w:cs="宋体"/>
          <w:color w:val="auto"/>
          <w:sz w:val="24"/>
          <w:szCs w:val="24"/>
          <w:highlight w:val="none"/>
          <w:u w:val="single"/>
        </w:rPr>
        <w:t xml:space="preserve">                                </w:t>
      </w:r>
      <w:r>
        <w:rPr>
          <w:rFonts w:ascii="宋体" w:hAnsi="宋体" w:cs="宋体"/>
          <w:color w:val="auto"/>
          <w:sz w:val="24"/>
          <w:szCs w:val="24"/>
          <w:highlight w:val="none"/>
        </w:rPr>
        <w:t xml:space="preserve">联 系 人：</w:t>
      </w:r>
      <w:r>
        <w:rPr>
          <w:rFonts w:ascii="宋体" w:hAnsi="宋体" w:cs="宋体"/>
          <w:color w:val="auto"/>
          <w:sz w:val="24"/>
          <w:szCs w:val="24"/>
          <w:highlight w:val="none"/>
          <w:u w:val="single"/>
        </w:rPr>
        <w:t xml:space="preserve">                   </w:t>
      </w:r>
      <w:r>
        <w:rPr>
          <w:color w:val="auto"/>
          <w:highlight w:val="none"/>
        </w:rPr>
      </w:r>
      <w:r/>
    </w:p>
    <w:p>
      <w:pPr>
        <w:ind w:firstLine="420"/>
        <w:spacing w:line="240" w:lineRule="auto"/>
        <w:rPr>
          <w:rFonts w:ascii="宋体" w:hAnsi="宋体" w:cs="宋体"/>
          <w:color w:val="auto"/>
          <w:sz w:val="24"/>
          <w:szCs w:val="24"/>
          <w:highlight w:val="none"/>
          <w:u w:val="single"/>
        </w:rPr>
      </w:pPr>
      <w:r>
        <w:rPr>
          <w:rFonts w:ascii="宋体" w:hAnsi="宋体" w:cs="宋体"/>
          <w:color w:val="auto"/>
          <w:sz w:val="24"/>
          <w:szCs w:val="24"/>
          <w:highlight w:val="none"/>
        </w:rPr>
        <w:t xml:space="preserve">地    址：</w:t>
      </w:r>
      <w:r>
        <w:rPr>
          <w:rFonts w:ascii="宋体" w:hAnsi="宋体" w:cs="宋体"/>
          <w:color w:val="auto"/>
          <w:sz w:val="24"/>
          <w:szCs w:val="24"/>
          <w:highlight w:val="none"/>
          <w:u w:val="single"/>
        </w:rPr>
        <w:t xml:space="preserve">                                </w:t>
      </w:r>
      <w:r>
        <w:rPr>
          <w:rFonts w:ascii="宋体" w:hAnsi="宋体" w:cs="宋体"/>
          <w:color w:val="auto"/>
          <w:sz w:val="24"/>
          <w:szCs w:val="24"/>
          <w:highlight w:val="none"/>
        </w:rPr>
        <w:t xml:space="preserve"> 邮政编码：</w:t>
      </w:r>
      <w:r>
        <w:rPr>
          <w:rFonts w:ascii="宋体" w:hAnsi="宋体" w:cs="宋体"/>
          <w:color w:val="auto"/>
          <w:sz w:val="24"/>
          <w:szCs w:val="24"/>
          <w:highlight w:val="none"/>
          <w:u w:val="single"/>
        </w:rPr>
        <w:t xml:space="preserve">                   </w:t>
      </w:r>
      <w:r>
        <w:rPr>
          <w:color w:val="auto"/>
          <w:highlight w:val="none"/>
        </w:rPr>
      </w:r>
      <w:r/>
    </w:p>
    <w:p>
      <w:pPr>
        <w:ind w:firstLine="420"/>
        <w:spacing w:line="240" w:lineRule="auto"/>
        <w:rPr>
          <w:rFonts w:ascii="宋体" w:hAnsi="宋体" w:cs="宋体"/>
          <w:color w:val="auto"/>
          <w:sz w:val="24"/>
          <w:szCs w:val="24"/>
          <w:highlight w:val="none"/>
          <w:u w:val="single"/>
        </w:rPr>
      </w:pPr>
      <w:r>
        <w:rPr>
          <w:rFonts w:ascii="宋体" w:hAnsi="宋体" w:cs="宋体"/>
          <w:color w:val="auto"/>
          <w:sz w:val="24"/>
          <w:szCs w:val="24"/>
          <w:highlight w:val="none"/>
        </w:rPr>
        <w:t xml:space="preserve">联系电话：</w:t>
      </w:r>
      <w:r>
        <w:rPr>
          <w:rFonts w:ascii="宋体" w:hAnsi="宋体" w:cs="宋体"/>
          <w:color w:val="auto"/>
          <w:sz w:val="24"/>
          <w:szCs w:val="24"/>
          <w:highlight w:val="none"/>
          <w:u w:val="single"/>
        </w:rPr>
        <w:t xml:space="preserve">                                </w:t>
      </w:r>
      <w:r>
        <w:rPr>
          <w:rFonts w:ascii="宋体" w:hAnsi="宋体" w:cs="宋体"/>
          <w:color w:val="auto"/>
          <w:sz w:val="24"/>
          <w:szCs w:val="24"/>
          <w:highlight w:val="none"/>
        </w:rPr>
        <w:t xml:space="preserve"> 传    真：</w:t>
      </w:r>
      <w:r>
        <w:rPr>
          <w:rFonts w:ascii="宋体" w:hAnsi="宋体" w:cs="宋体"/>
          <w:color w:val="auto"/>
          <w:sz w:val="24"/>
          <w:szCs w:val="24"/>
          <w:highlight w:val="none"/>
          <w:u w:val="single"/>
        </w:rPr>
        <w:t xml:space="preserve">                   </w:t>
      </w:r>
      <w:r>
        <w:rPr>
          <w:color w:val="auto"/>
          <w:highlight w:val="none"/>
        </w:rPr>
      </w:r>
      <w:r/>
    </w:p>
    <w:p>
      <w:pPr>
        <w:ind w:firstLine="425"/>
        <w:spacing w:line="240" w:lineRule="auto"/>
        <w:rPr>
          <w:rFonts w:ascii="宋体" w:hAnsi="宋体" w:cs="宋体"/>
          <w:color w:val="auto"/>
          <w:sz w:val="24"/>
          <w:szCs w:val="24"/>
          <w:highlight w:val="none"/>
        </w:rPr>
      </w:pPr>
      <w:r>
        <w:rPr>
          <w:rFonts w:ascii="宋体" w:hAnsi="宋体" w:cs="宋体"/>
          <w:color w:val="auto"/>
          <w:sz w:val="24"/>
          <w:szCs w:val="24"/>
          <w:highlight w:val="none"/>
        </w:rPr>
        <w:t xml:space="preserve">投标人：（签章）</w:t>
      </w:r>
      <w:r>
        <w:rPr>
          <w:color w:val="auto"/>
          <w:highlight w:val="none"/>
        </w:rPr>
      </w:r>
      <w:r/>
    </w:p>
    <w:p>
      <w:pPr>
        <w:ind w:firstLine="425"/>
        <w:spacing w:line="240" w:lineRule="auto"/>
        <w:rPr>
          <w:rFonts w:ascii="宋体" w:hAnsi="宋体" w:cs="宋体"/>
          <w:color w:val="auto"/>
          <w:sz w:val="24"/>
          <w:szCs w:val="24"/>
          <w:highlight w:val="none"/>
        </w:rPr>
      </w:pPr>
      <w:r>
        <w:rPr>
          <w:rFonts w:ascii="宋体" w:hAnsi="宋体" w:cs="宋体"/>
          <w:color w:val="auto"/>
          <w:sz w:val="24"/>
          <w:szCs w:val="24"/>
          <w:highlight w:val="none"/>
        </w:rPr>
        <w:t xml:space="preserve">单位法定代表人或授权委托人：（签字或签章）    年     月     日</w:t>
      </w:r>
      <w:r>
        <w:rPr>
          <w:color w:val="auto"/>
          <w:highlight w:val="none"/>
        </w:rPr>
      </w:r>
      <w:r/>
    </w:p>
    <w:p>
      <w:pPr>
        <w:rPr>
          <w:rFonts w:ascii="宋体" w:hAnsi="宋体"/>
          <w:b/>
          <w:color w:val="auto"/>
          <w:sz w:val="24"/>
          <w:szCs w:val="24"/>
          <w:highlight w:val="none"/>
        </w:rPr>
      </w:pPr>
      <w:r>
        <w:rPr>
          <w:rFonts w:hint="eastAsia" w:ascii="宋体" w:hAnsi="宋体"/>
          <w:b/>
          <w:color w:val="auto"/>
          <w:sz w:val="24"/>
          <w:szCs w:val="24"/>
          <w:highlight w:val="none"/>
          <w:lang w:val="zh-CN"/>
        </w:rPr>
        <w:br w:type="page" w:clear="all"/>
      </w:r>
      <w:r>
        <w:rPr>
          <w:color w:val="auto"/>
          <w:highlight w:val="none"/>
        </w:rPr>
      </w:r>
      <w:r/>
    </w:p>
    <w:p>
      <w:pPr>
        <w:jc w:val="left"/>
        <w:spacing w:line="440" w:lineRule="exact"/>
        <w:rPr>
          <w:rFonts w:ascii="宋体" w:hAnsi="宋体"/>
          <w:b/>
          <w:color w:val="auto"/>
          <w:sz w:val="24"/>
          <w:szCs w:val="24"/>
          <w:highlight w:val="none"/>
        </w:rPr>
      </w:pPr>
      <w:r>
        <w:rPr>
          <w:rFonts w:hint="eastAsia" w:ascii="宋体" w:hAnsi="宋体"/>
          <w:b/>
          <w:color w:val="auto"/>
          <w:sz w:val="24"/>
          <w:szCs w:val="24"/>
          <w:highlight w:val="none"/>
          <w:lang w:val="zh-CN"/>
        </w:rPr>
        <w:t xml:space="preserve">格式</w:t>
      </w:r>
      <w:r>
        <w:rPr>
          <w:rFonts w:hint="eastAsia" w:ascii="宋体" w:hAnsi="宋体"/>
          <w:b/>
          <w:color w:val="auto"/>
          <w:sz w:val="24"/>
          <w:szCs w:val="24"/>
          <w:highlight w:val="none"/>
        </w:rPr>
        <w:t xml:space="preserve">2、法人授权书</w:t>
      </w:r>
      <w:r>
        <w:rPr>
          <w:color w:val="auto"/>
          <w:highlight w:val="none"/>
        </w:rPr>
      </w:r>
      <w:r/>
    </w:p>
    <w:p>
      <w:pPr>
        <w:jc w:val="center"/>
        <w:spacing w:line="440" w:lineRule="exact"/>
        <w:rPr>
          <w:rFonts w:ascii="宋体" w:hAnsi="宋体"/>
          <w:b/>
          <w:color w:val="auto"/>
          <w:sz w:val="24"/>
          <w:szCs w:val="24"/>
          <w:highlight w:val="none"/>
        </w:rPr>
      </w:pPr>
      <w:r>
        <w:rPr>
          <w:rFonts w:hint="eastAsia" w:ascii="宋体" w:hAnsi="宋体"/>
          <w:b/>
          <w:color w:val="auto"/>
          <w:sz w:val="24"/>
          <w:szCs w:val="24"/>
          <w:highlight w:val="none"/>
          <w:lang w:val="zh-CN"/>
        </w:rPr>
        <w:t xml:space="preserve">法人授权委托书</w:t>
      </w:r>
      <w:r>
        <w:rPr>
          <w:color w:val="auto"/>
          <w:highlight w:val="none"/>
        </w:rPr>
      </w:r>
      <w:r/>
    </w:p>
    <w:p>
      <w:pPr>
        <w:ind w:firstLine="42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p>
      <w:pPr>
        <w:ind w:firstLine="420"/>
        <w:spacing w:line="440" w:lineRule="exact"/>
        <w:rPr>
          <w:rFonts w:ascii="宋体" w:hAnsi="宋体"/>
          <w:color w:val="auto"/>
          <w:sz w:val="24"/>
          <w:szCs w:val="24"/>
          <w:highlight w:val="none"/>
        </w:rPr>
      </w:pPr>
      <w:r>
        <w:rPr>
          <w:rFonts w:hint="eastAsia" w:ascii="宋体" w:hAnsi="宋体"/>
          <w:color w:val="auto"/>
          <w:sz w:val="24"/>
          <w:szCs w:val="24"/>
          <w:highlight w:val="none"/>
          <w:lang w:val="zh-CN"/>
        </w:rPr>
        <w:t xml:space="preserve">本授权委托书声明：  我 </w:t>
      </w:r>
      <w:r>
        <w:rPr>
          <w:rFonts w:hint="eastAsia" w:ascii="宋体" w:hAnsi="宋体"/>
          <w:color w:val="auto"/>
          <w:sz w:val="24"/>
          <w:szCs w:val="24"/>
          <w:highlight w:val="none"/>
          <w:u w:val="single"/>
          <w:lang w:val="zh-CN"/>
        </w:rPr>
        <w:t xml:space="preserve">             </w:t>
      </w:r>
      <w:r>
        <w:rPr>
          <w:rFonts w:hint="eastAsia" w:ascii="宋体" w:hAnsi="宋体"/>
          <w:color w:val="auto"/>
          <w:sz w:val="24"/>
          <w:szCs w:val="24"/>
          <w:highlight w:val="none"/>
          <w:lang w:val="zh-CN"/>
        </w:rPr>
        <w:t xml:space="preserve">（姓名）系</w:t>
      </w:r>
      <w:r>
        <w:rPr>
          <w:rFonts w:hint="eastAsia" w:ascii="宋体" w:hAnsi="宋体"/>
          <w:color w:val="auto"/>
          <w:sz w:val="24"/>
          <w:szCs w:val="24"/>
          <w:highlight w:val="none"/>
          <w:u w:val="single"/>
          <w:lang w:val="zh-CN"/>
        </w:rPr>
        <w:t xml:space="preserve">          </w:t>
      </w:r>
      <w:r>
        <w:rPr>
          <w:rFonts w:hint="eastAsia" w:ascii="宋体" w:hAnsi="宋体"/>
          <w:color w:val="auto"/>
          <w:sz w:val="24"/>
          <w:szCs w:val="24"/>
          <w:highlight w:val="none"/>
          <w:lang w:val="zh-CN"/>
        </w:rPr>
        <w:t xml:space="preserve">（投标人名称）的法定代表人，现授权委托</w:t>
      </w:r>
      <w:r>
        <w:rPr>
          <w:rFonts w:hint="eastAsia" w:ascii="宋体" w:hAnsi="宋体"/>
          <w:color w:val="auto"/>
          <w:sz w:val="24"/>
          <w:szCs w:val="24"/>
          <w:highlight w:val="none"/>
          <w:u w:val="single"/>
          <w:lang w:val="zh-CN"/>
        </w:rPr>
        <w:t xml:space="preserve">        </w:t>
      </w:r>
      <w:r>
        <w:rPr>
          <w:rFonts w:hint="eastAsia" w:ascii="宋体" w:hAnsi="宋体"/>
          <w:color w:val="auto"/>
          <w:sz w:val="24"/>
          <w:szCs w:val="24"/>
          <w:highlight w:val="none"/>
          <w:lang w:val="zh-CN"/>
        </w:rPr>
        <w:t xml:space="preserve">（姓名）为我公司代理人，以本公司的名义参加苏州</w:t>
      </w:r>
      <w:r>
        <w:rPr>
          <w:rFonts w:hint="eastAsia" w:ascii="宋体" w:hAnsi="宋体"/>
          <w:color w:val="auto"/>
          <w:sz w:val="24"/>
          <w:szCs w:val="24"/>
          <w:highlight w:val="none"/>
          <w:lang w:val="zh-CN"/>
        </w:rPr>
        <w:t xml:space="preserve">久诺招</w:t>
      </w:r>
      <w:r>
        <w:rPr>
          <w:rFonts w:hint="eastAsia" w:ascii="宋体" w:hAnsi="宋体"/>
          <w:color w:val="auto"/>
          <w:sz w:val="24"/>
          <w:szCs w:val="24"/>
          <w:highlight w:val="none"/>
          <w:lang w:val="zh-CN"/>
        </w:rPr>
        <w:t xml:space="preserve">投标咨询服务有限公司组织实施的编号为</w:t>
      </w:r>
      <w:r>
        <w:rPr>
          <w:rFonts w:hint="eastAsia" w:ascii="宋体" w:hAnsi="宋体"/>
          <w:color w:val="auto"/>
          <w:sz w:val="24"/>
          <w:szCs w:val="24"/>
          <w:highlight w:val="none"/>
          <w:u w:val="single"/>
          <w:lang w:val="zh-CN"/>
        </w:rPr>
        <w:t xml:space="preserve">             </w:t>
      </w:r>
      <w:r>
        <w:rPr>
          <w:rFonts w:hint="eastAsia" w:ascii="宋体" w:hAnsi="宋体"/>
          <w:color w:val="auto"/>
          <w:sz w:val="24"/>
          <w:szCs w:val="24"/>
          <w:highlight w:val="none"/>
          <w:lang w:val="zh-CN"/>
        </w:rPr>
        <w:t xml:space="preserve">号公开</w:t>
      </w:r>
      <w:r>
        <w:rPr>
          <w:rFonts w:hint="eastAsia" w:ascii="宋体" w:hAnsi="宋体"/>
          <w:color w:val="auto"/>
          <w:sz w:val="24"/>
          <w:szCs w:val="24"/>
          <w:highlight w:val="none"/>
          <w:lang w:val="zh-CN"/>
        </w:rPr>
        <w:t xml:space="preserve">招标的招投标活动。代理人在开标、评标、合同谈判过程中所签署的一切文件和处理与这有关的一切事务，我均予以承认。</w:t>
      </w:r>
      <w:r>
        <w:rPr>
          <w:color w:val="auto"/>
          <w:highlight w:val="none"/>
        </w:rPr>
      </w:r>
      <w:r/>
    </w:p>
    <w:p>
      <w:pPr>
        <w:ind w:firstLine="420"/>
        <w:spacing w:line="440" w:lineRule="exact"/>
        <w:rPr>
          <w:rFonts w:ascii="宋体" w:hAnsi="宋体"/>
          <w:color w:val="auto"/>
          <w:sz w:val="24"/>
          <w:szCs w:val="24"/>
          <w:highlight w:val="none"/>
        </w:rPr>
      </w:pPr>
      <w:r>
        <w:rPr>
          <w:rFonts w:hint="eastAsia" w:ascii="宋体" w:hAnsi="宋体"/>
          <w:color w:val="auto"/>
          <w:sz w:val="24"/>
          <w:szCs w:val="24"/>
          <w:highlight w:val="none"/>
          <w:lang w:val="zh-CN"/>
        </w:rPr>
        <w:t xml:space="preserve">代理人在授权委托书有效期内签署的所有文件不因授权委托的撤销而失效，除非有撤销授权委托的书面通知，本授权委托书自投标开始至合同履行完毕止。</w:t>
      </w:r>
      <w:r>
        <w:rPr>
          <w:color w:val="auto"/>
          <w:highlight w:val="none"/>
        </w:rPr>
      </w:r>
      <w:r/>
    </w:p>
    <w:p>
      <w:pPr>
        <w:ind w:firstLine="425"/>
        <w:spacing w:line="440" w:lineRule="exact"/>
        <w:rPr>
          <w:rFonts w:ascii="宋体" w:hAnsi="宋体"/>
          <w:color w:val="auto"/>
          <w:sz w:val="24"/>
          <w:szCs w:val="24"/>
          <w:highlight w:val="none"/>
        </w:rPr>
      </w:pPr>
      <w:r>
        <w:rPr>
          <w:rFonts w:hint="eastAsia" w:ascii="宋体" w:hAnsi="宋体"/>
          <w:color w:val="auto"/>
          <w:sz w:val="24"/>
          <w:szCs w:val="24"/>
          <w:highlight w:val="none"/>
          <w:lang w:val="zh-CN"/>
        </w:rPr>
        <w:t xml:space="preserve">代理人无转委托权。特此委托。</w:t>
      </w:r>
      <w:r>
        <w:rPr>
          <w:color w:val="auto"/>
          <w:highlight w:val="none"/>
        </w:rPr>
      </w:r>
      <w:r/>
    </w:p>
    <w:p>
      <w:pPr>
        <w:ind w:firstLine="420"/>
        <w:jc w:val="left"/>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p>
      <w:pPr>
        <w:ind w:firstLine="42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投标人：（公章）</w:t>
      </w:r>
      <w:r>
        <w:rPr>
          <w:color w:val="auto"/>
          <w:highlight w:val="none"/>
        </w:rPr>
      </w:r>
      <w:r/>
    </w:p>
    <w:p>
      <w:pPr>
        <w:ind w:firstLine="42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法定代表人：（签字或签章）</w:t>
      </w:r>
      <w:r>
        <w:rPr>
          <w:color w:val="auto"/>
          <w:highlight w:val="none"/>
        </w:rPr>
      </w:r>
      <w:r/>
    </w:p>
    <w:p>
      <w:pPr>
        <w:ind w:firstLine="42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授权委托人：（签字或签章）</w:t>
      </w:r>
      <w:r>
        <w:rPr>
          <w:color w:val="auto"/>
          <w:highlight w:val="none"/>
        </w:rPr>
      </w:r>
      <w:r/>
    </w:p>
    <w:p>
      <w:pPr>
        <w:ind w:firstLine="420"/>
        <w:jc w:val="cente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                                       年    月    日</w:t>
      </w:r>
      <w:r>
        <w:rPr>
          <w:color w:val="auto"/>
          <w:highlight w:val="none"/>
        </w:rPr>
      </w:r>
      <w:r/>
    </w:p>
    <w:p>
      <w:pPr>
        <w:spacing w:line="440" w:lineRule="exact"/>
        <w:rPr>
          <w:rFonts w:ascii="宋体" w:hAnsi="宋体"/>
          <w:color w:val="auto"/>
          <w:sz w:val="24"/>
          <w:szCs w:val="24"/>
          <w:highlight w:val="none"/>
        </w:rPr>
      </w:pPr>
      <w:r>
        <w:rPr>
          <w:rFonts w:ascii="宋体" w:hAnsi="宋体"/>
          <w:color w:val="auto"/>
          <w:sz w:val="24"/>
          <w:szCs w:val="24"/>
          <w:highlight w:val="none"/>
        </w:rPr>
      </w:r>
      <w:r>
        <w:rPr>
          <w:color w:val="auto"/>
          <w:highlight w:val="none"/>
        </w:rPr>
      </w:r>
      <w:r/>
    </w:p>
    <w:p>
      <w:pPr>
        <w:spacing w:line="440" w:lineRule="exact"/>
        <w:rPr>
          <w:rFonts w:ascii="宋体" w:hAnsi="宋体"/>
          <w:color w:val="auto"/>
          <w:sz w:val="24"/>
          <w:szCs w:val="24"/>
          <w:highlight w:val="none"/>
        </w:rPr>
      </w:pPr>
      <w:r>
        <w:rPr>
          <w:rFonts w:ascii="宋体" w:hAnsi="宋体"/>
          <w:color w:val="auto"/>
          <w:sz w:val="24"/>
          <w:szCs w:val="24"/>
          <w:highlight w:val="none"/>
        </w:rPr>
      </w:r>
      <w:r>
        <w:rPr>
          <w:color w:val="auto"/>
          <w:highlight w:val="none"/>
        </w:rPr>
      </w:r>
      <w:r/>
    </w:p>
    <w:p>
      <w:pPr>
        <w:spacing w:line="440" w:lineRule="exact"/>
        <w:rPr>
          <w:rFonts w:ascii="宋体" w:hAnsi="宋体"/>
          <w:color w:val="auto"/>
          <w:sz w:val="24"/>
          <w:szCs w:val="24"/>
          <w:highlight w:val="none"/>
        </w:rPr>
      </w:pPr>
      <w:r>
        <w:rPr>
          <w:rFonts w:hint="eastAsia" w:ascii="宋体" w:hAnsi="宋体"/>
          <w:color w:val="auto"/>
          <w:sz w:val="24"/>
          <w:szCs w:val="24"/>
          <w:highlight w:val="none"/>
        </w:rPr>
        <w:br w:type="page" w:clear="all"/>
      </w:r>
      <w:r>
        <w:rPr>
          <w:rFonts w:hint="eastAsia" w:ascii="宋体" w:hAnsi="宋体"/>
          <w:b/>
          <w:bCs/>
          <w:color w:val="auto"/>
          <w:sz w:val="24"/>
          <w:szCs w:val="24"/>
          <w:highlight w:val="none"/>
          <w:lang w:val="zh-CN"/>
        </w:rPr>
        <w:t xml:space="preserve">格式</w:t>
      </w:r>
      <w:r>
        <w:rPr>
          <w:rFonts w:hint="eastAsia" w:ascii="宋体" w:hAnsi="宋体"/>
          <w:b/>
          <w:bCs/>
          <w:color w:val="auto"/>
          <w:sz w:val="24"/>
          <w:szCs w:val="24"/>
          <w:highlight w:val="none"/>
        </w:rPr>
        <w:t xml:space="preserve">3</w:t>
      </w:r>
      <w:r>
        <w:rPr>
          <w:rFonts w:hint="eastAsia" w:ascii="宋体" w:hAnsi="宋体"/>
          <w:b/>
          <w:bCs/>
          <w:color w:val="auto"/>
          <w:sz w:val="24"/>
          <w:szCs w:val="24"/>
          <w:highlight w:val="none"/>
          <w:lang w:val="zh-CN"/>
        </w:rPr>
        <w:t xml:space="preserve">、开标一览表</w:t>
      </w:r>
      <w:r>
        <w:rPr>
          <w:color w:val="auto"/>
          <w:highlight w:val="none"/>
        </w:rPr>
      </w:r>
      <w:r/>
    </w:p>
    <w:p>
      <w:pPr>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p>
      <w:pPr>
        <w:jc w:val="center"/>
        <w:spacing w:line="44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开标一览表</w:t>
      </w:r>
      <w:r>
        <w:rPr>
          <w:color w:val="auto"/>
          <w:highlight w:val="none"/>
        </w:rPr>
      </w:r>
      <w:r/>
    </w:p>
    <w:p>
      <w:pPr>
        <w:jc w:val="center"/>
        <w:spacing w:line="440" w:lineRule="exact"/>
        <w:rPr>
          <w:rFonts w:ascii="宋体" w:hAnsi="宋体" w:cs="宋体"/>
          <w:b/>
          <w:bCs/>
          <w:color w:val="auto"/>
          <w:sz w:val="24"/>
          <w:szCs w:val="24"/>
          <w:highlight w:val="none"/>
        </w:rPr>
      </w:pPr>
      <w:r>
        <w:rPr>
          <w:rFonts w:ascii="宋体" w:hAnsi="宋体" w:cs="宋体"/>
          <w:b/>
          <w:bCs/>
          <w:color w:val="auto"/>
          <w:sz w:val="24"/>
          <w:szCs w:val="24"/>
          <w:highlight w:val="none"/>
        </w:rPr>
      </w:r>
      <w:r>
        <w:rPr>
          <w:color w:val="auto"/>
          <w:highlight w:val="none"/>
        </w:rPr>
      </w:r>
      <w:r/>
    </w:p>
    <w:p>
      <w:pPr>
        <w:spacing w:line="440" w:lineRule="exact"/>
        <w:tabs>
          <w:tab w:val="left" w:pos="7020"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招标编号：</w:t>
      </w:r>
      <w:r>
        <w:rPr>
          <w:color w:val="auto"/>
          <w:highlight w:val="none"/>
        </w:rPr>
      </w:r>
      <w:r/>
    </w:p>
    <w:tbl>
      <w:tblPr>
        <w:tblW w:w="82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727"/>
        <w:gridCol w:w="3551"/>
      </w:tblGrid>
      <w:tr>
        <w:trPr>
          <w:jc w:val="center"/>
          <w:trHeight w:val="823"/>
        </w:trPr>
        <w:tc>
          <w:tcPr>
            <w:tcW w:w="4727" w:type="dxa"/>
            <w:vAlign w:val="center"/>
            <w:textDirection w:val="lrTb"/>
            <w:noWrap w:val="false"/>
          </w:tcPr>
          <w:p>
            <w:pPr>
              <w:jc w:val="center"/>
              <w:spacing w:line="440" w:lineRule="exact"/>
              <w:widowControl/>
              <w:rPr>
                <w:rFonts w:ascii="宋体" w:hAnsi="宋体" w:cs="仿宋_GB2312"/>
                <w:color w:val="auto"/>
                <w:sz w:val="24"/>
                <w:szCs w:val="24"/>
                <w:highlight w:val="none"/>
              </w:rPr>
            </w:pPr>
            <w:r>
              <w:rPr>
                <w:rFonts w:hint="eastAsia" w:ascii="宋体" w:hAnsi="宋体" w:cs="仿宋_GB2312"/>
                <w:color w:val="auto"/>
                <w:sz w:val="24"/>
                <w:szCs w:val="24"/>
                <w:highlight w:val="none"/>
              </w:rPr>
              <w:t xml:space="preserve">项目名称</w:t>
            </w:r>
            <w:r>
              <w:rPr>
                <w:color w:val="auto"/>
                <w:highlight w:val="none"/>
              </w:rPr>
            </w:r>
            <w:r/>
          </w:p>
        </w:tc>
        <w:tc>
          <w:tcPr>
            <w:tcW w:w="3551" w:type="dxa"/>
            <w:vAlign w:val="center"/>
            <w:textDirection w:val="lrTb"/>
            <w:noWrap w:val="false"/>
          </w:tcPr>
          <w:p>
            <w:pPr>
              <w:jc w:val="center"/>
              <w:spacing w:line="440" w:lineRule="exact"/>
              <w:rPr>
                <w:rFonts w:ascii="宋体" w:hAnsi="宋体" w:cs="仿宋_GB2312"/>
                <w:color w:val="auto"/>
                <w:sz w:val="24"/>
                <w:szCs w:val="24"/>
                <w:highlight w:val="none"/>
              </w:rPr>
            </w:pPr>
            <w:r>
              <w:rPr>
                <w:rFonts w:hint="eastAsia" w:ascii="宋体" w:hAnsi="宋体" w:cs="宋体"/>
                <w:bCs/>
                <w:color w:val="auto"/>
                <w:sz w:val="24"/>
                <w:szCs w:val="24"/>
                <w:highlight w:val="none"/>
              </w:rPr>
              <w:t xml:space="preserve">投标总价（元）</w:t>
            </w:r>
            <w:r>
              <w:rPr>
                <w:color w:val="auto"/>
                <w:highlight w:val="none"/>
              </w:rPr>
            </w:r>
            <w:r/>
          </w:p>
        </w:tc>
      </w:tr>
      <w:tr>
        <w:trPr>
          <w:jc w:val="center"/>
          <w:trHeight w:val="692"/>
        </w:trPr>
        <w:tc>
          <w:tcPr>
            <w:tcW w:w="4727" w:type="dxa"/>
            <w:vAlign w:val="center"/>
            <w:textDirection w:val="lrTb"/>
            <w:noWrap w:val="false"/>
          </w:tcPr>
          <w:p>
            <w:pPr>
              <w:jc w:val="center"/>
              <w:spacing w:line="440" w:lineRule="exact"/>
              <w:widowControl/>
              <w:rPr>
                <w:rFonts w:ascii="宋体" w:hAnsi="宋体" w:cs="宋体"/>
                <w:color w:val="auto"/>
                <w:sz w:val="24"/>
                <w:szCs w:val="24"/>
                <w:highlight w:val="none"/>
                <w:u w:val="single"/>
              </w:rPr>
            </w:pPr>
            <w:r>
              <w:rPr>
                <w:rFonts w:hint="eastAsia" w:ascii="宋体" w:hAnsi="宋体"/>
                <w:color w:val="auto"/>
                <w:sz w:val="24"/>
                <w:szCs w:val="24"/>
                <w:highlight w:val="none"/>
              </w:rPr>
              <w:t xml:space="preserve">2026年实验室仪器购置</w:t>
            </w:r>
            <w:r>
              <w:rPr>
                <w:color w:val="auto"/>
                <w:highlight w:val="none"/>
              </w:rPr>
            </w:r>
            <w:r/>
          </w:p>
        </w:tc>
        <w:tc>
          <w:tcPr>
            <w:tcW w:w="3551" w:type="dxa"/>
            <w:vAlign w:val="center"/>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rPr>
                <w:color w:val="auto"/>
                <w:highlight w:val="none"/>
              </w:rPr>
            </w:r>
            <w:r/>
          </w:p>
        </w:tc>
      </w:tr>
    </w:tbl>
    <w:p>
      <w:pPr>
        <w:ind w:firstLine="480"/>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投标人（</w:t>
      </w:r>
      <w:r>
        <w:rPr>
          <w:rFonts w:hint="eastAsia" w:ascii="宋体" w:hAnsi="宋体" w:cs="宋体"/>
          <w:color w:val="auto"/>
          <w:sz w:val="24"/>
          <w:szCs w:val="24"/>
          <w:highlight w:val="none"/>
        </w:rPr>
        <w:t xml:space="preserve">签章</w:t>
      </w:r>
      <w:r>
        <w:rPr>
          <w:rFonts w:hint="eastAsia" w:ascii="宋体" w:hAnsi="宋体" w:cs="宋体"/>
          <w:color w:val="auto"/>
          <w:sz w:val="24"/>
          <w:szCs w:val="24"/>
          <w:highlight w:val="none"/>
          <w:lang w:val="zh-CN"/>
        </w:rPr>
        <w:t xml:space="preserve">）：</w:t>
      </w:r>
      <w:r>
        <w:rPr>
          <w:color w:val="auto"/>
          <w:highlight w:val="none"/>
        </w:rPr>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法定代表人或委托代理人：（签字</w:t>
      </w:r>
      <w:r>
        <w:rPr>
          <w:rFonts w:hint="eastAsia" w:ascii="宋体" w:hAnsi="宋体" w:cs="宋体"/>
          <w:color w:val="auto"/>
          <w:sz w:val="24"/>
          <w:szCs w:val="24"/>
          <w:highlight w:val="none"/>
        </w:rPr>
        <w:t xml:space="preserve">或签章</w:t>
      </w:r>
      <w:r>
        <w:rPr>
          <w:rFonts w:hint="eastAsia" w:ascii="宋体" w:hAnsi="宋体" w:cs="宋体"/>
          <w:color w:val="auto"/>
          <w:sz w:val="24"/>
          <w:szCs w:val="24"/>
          <w:highlight w:val="none"/>
          <w:lang w:val="zh-CN"/>
        </w:rPr>
        <w:t xml:space="preserve">）</w:t>
      </w:r>
      <w:r>
        <w:rPr>
          <w:color w:val="auto"/>
          <w:highlight w:val="none"/>
        </w:rPr>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日期：</w:t>
      </w:r>
      <w:r>
        <w:rPr>
          <w:color w:val="auto"/>
          <w:highlight w:val="none"/>
        </w:rPr>
      </w:r>
      <w:r/>
    </w:p>
    <w:p>
      <w:pPr>
        <w:spacing w:line="440" w:lineRule="exact"/>
        <w:rPr>
          <w:rFonts w:ascii="宋体" w:hAnsi="宋体"/>
          <w:b/>
          <w:bCs/>
          <w:color w:val="auto"/>
          <w:sz w:val="24"/>
          <w:szCs w:val="24"/>
          <w:highlight w:val="none"/>
        </w:rPr>
      </w:pPr>
      <w:r>
        <w:rPr>
          <w:rFonts w:hint="eastAsia" w:ascii="宋体" w:hAnsi="宋体"/>
          <w:b/>
          <w:bCs/>
          <w:color w:val="auto"/>
          <w:sz w:val="24"/>
          <w:szCs w:val="24"/>
          <w:highlight w:val="none"/>
          <w:lang w:val="zh-CN"/>
        </w:rPr>
        <w:br w:type="page" w:clear="all"/>
      </w:r>
      <w:r>
        <w:rPr>
          <w:color w:val="auto"/>
          <w:highlight w:val="none"/>
        </w:rPr>
      </w:r>
      <w:r/>
    </w:p>
    <w:p>
      <w:pPr>
        <w:spacing w:line="440" w:lineRule="exact"/>
        <w:rPr>
          <w:rFonts w:ascii="宋体" w:hAnsi="宋体"/>
          <w:b/>
          <w:bCs/>
          <w:color w:val="auto"/>
          <w:sz w:val="24"/>
          <w:szCs w:val="24"/>
          <w:highlight w:val="none"/>
        </w:rPr>
      </w:pPr>
      <w:r>
        <w:rPr>
          <w:rFonts w:hint="eastAsia" w:ascii="宋体" w:hAnsi="宋体"/>
          <w:b/>
          <w:bCs/>
          <w:color w:val="auto"/>
          <w:sz w:val="24"/>
          <w:szCs w:val="24"/>
          <w:highlight w:val="none"/>
          <w:lang w:val="zh-CN"/>
        </w:rPr>
        <w:t xml:space="preserve">格式</w:t>
      </w:r>
      <w:r>
        <w:rPr>
          <w:rFonts w:hint="eastAsia" w:ascii="宋体" w:hAnsi="宋体"/>
          <w:b/>
          <w:bCs/>
          <w:color w:val="auto"/>
          <w:sz w:val="24"/>
          <w:szCs w:val="24"/>
          <w:highlight w:val="none"/>
        </w:rPr>
        <w:t xml:space="preserve">4</w:t>
      </w:r>
      <w:r>
        <w:rPr>
          <w:rFonts w:hint="eastAsia" w:ascii="宋体" w:hAnsi="宋体"/>
          <w:b/>
          <w:bCs/>
          <w:color w:val="auto"/>
          <w:sz w:val="24"/>
          <w:szCs w:val="24"/>
          <w:highlight w:val="none"/>
          <w:lang w:val="zh-CN"/>
        </w:rPr>
        <w:t xml:space="preserve">、</w:t>
      </w:r>
      <w:r>
        <w:rPr>
          <w:rFonts w:hint="eastAsia" w:ascii="宋体" w:hAnsi="宋体"/>
          <w:b/>
          <w:bCs/>
          <w:color w:val="auto"/>
          <w:sz w:val="24"/>
          <w:szCs w:val="24"/>
          <w:highlight w:val="none"/>
        </w:rPr>
        <w:t xml:space="preserve">报价分析表</w:t>
      </w:r>
      <w:r>
        <w:rPr>
          <w:color w:val="auto"/>
          <w:highlight w:val="none"/>
        </w:rPr>
      </w:r>
      <w:r/>
    </w:p>
    <w:p>
      <w:pPr>
        <w:jc w:val="center"/>
        <w:spacing w:line="440" w:lineRule="exact"/>
        <w:rPr>
          <w:rFonts w:ascii="宋体" w:hAnsi="宋体" w:cs="宋体"/>
          <w:b/>
          <w:bCs/>
          <w:color w:val="auto"/>
          <w:sz w:val="24"/>
          <w:szCs w:val="24"/>
          <w:highlight w:val="none"/>
        </w:rPr>
      </w:pPr>
      <w:r>
        <w:rPr>
          <w:rFonts w:hint="eastAsia" w:ascii="宋体" w:hAnsi="宋体" w:cs="宋体"/>
          <w:b/>
          <w:bCs/>
          <w:color w:val="auto"/>
          <w:sz w:val="24"/>
          <w:szCs w:val="24"/>
          <w:highlight w:val="none"/>
          <w:lang w:val="zh-CN"/>
        </w:rPr>
        <w:t xml:space="preserve">项目投标报价分析表（参考格式）</w:t>
      </w:r>
      <w:r>
        <w:rPr>
          <w:color w:val="auto"/>
          <w:highlight w:val="none"/>
        </w:rPr>
      </w:r>
      <w:r/>
    </w:p>
    <w:p>
      <w:pP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招标编号：</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zh-CN"/>
        </w:rPr>
        <w:t xml:space="preserve">项目名称：</w:t>
      </w:r>
      <w:r>
        <w:rPr>
          <w:rFonts w:hint="eastAsia" w:ascii="宋体" w:hAnsi="宋体" w:cs="宋体"/>
          <w:color w:val="auto"/>
          <w:sz w:val="24"/>
          <w:szCs w:val="24"/>
          <w:highlight w:val="none"/>
          <w:lang w:val="zh-CN"/>
        </w:rPr>
        <w:tab/>
      </w:r>
      <w:r>
        <w:rPr>
          <w:color w:val="auto"/>
          <w:highlight w:val="none"/>
        </w:rPr>
      </w:r>
      <w:r/>
    </w:p>
    <w:tbl>
      <w:tblPr>
        <w:tblW w:w="98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61"/>
        <w:gridCol w:w="1116"/>
        <w:gridCol w:w="1585"/>
        <w:gridCol w:w="1832"/>
        <w:gridCol w:w="1281"/>
        <w:gridCol w:w="1535"/>
        <w:gridCol w:w="1657"/>
      </w:tblGrid>
      <w:tr>
        <w:trPr>
          <w:jc w:val="center"/>
        </w:trPr>
        <w:tc>
          <w:tcPr>
            <w:tcW w:w="861" w:type="dxa"/>
            <w:vAlign w:val="center"/>
            <w:textDirection w:val="lrTb"/>
            <w:noWrap w:val="false"/>
          </w:tcPr>
          <w:p>
            <w:pPr>
              <w:jc w:val="center"/>
              <w:spacing w:after="120" w:line="440" w:lineRule="exact"/>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序号</w:t>
            </w:r>
            <w:r>
              <w:rPr>
                <w:color w:val="auto"/>
                <w:highlight w:val="none"/>
              </w:rPr>
            </w:r>
            <w:r/>
          </w:p>
        </w:tc>
        <w:tc>
          <w:tcPr>
            <w:tcW w:w="1116" w:type="dxa"/>
            <w:vAlign w:val="center"/>
            <w:textDirection w:val="lrTb"/>
            <w:noWrap w:val="false"/>
          </w:tcPr>
          <w:p>
            <w:pPr>
              <w:jc w:val="center"/>
              <w:spacing w:after="120" w:line="440" w:lineRule="exact"/>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名称</w:t>
            </w:r>
            <w:r>
              <w:rPr>
                <w:color w:val="auto"/>
                <w:highlight w:val="none"/>
              </w:rPr>
            </w:r>
            <w:r/>
          </w:p>
        </w:tc>
        <w:tc>
          <w:tcPr>
            <w:tcW w:w="1585" w:type="dxa"/>
            <w:vAlign w:val="center"/>
            <w:textDirection w:val="lrTb"/>
            <w:noWrap w:val="false"/>
          </w:tcPr>
          <w:p>
            <w:pPr>
              <w:jc w:val="center"/>
              <w:spacing w:after="120"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品牌、型号</w:t>
            </w:r>
            <w:r>
              <w:rPr>
                <w:color w:val="auto"/>
                <w:highlight w:val="none"/>
              </w:rPr>
            </w:r>
            <w:r/>
          </w:p>
        </w:tc>
        <w:tc>
          <w:tcPr>
            <w:tcW w:w="1832" w:type="dxa"/>
            <w:vAlign w:val="center"/>
            <w:textDirection w:val="lrTb"/>
            <w:noWrap w:val="false"/>
          </w:tcPr>
          <w:p>
            <w:pPr>
              <w:jc w:val="center"/>
              <w:spacing w:after="120"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规格、技术指标、性能</w:t>
            </w:r>
            <w:r>
              <w:rPr>
                <w:color w:val="auto"/>
                <w:highlight w:val="none"/>
              </w:rPr>
            </w:r>
            <w:r/>
          </w:p>
        </w:tc>
        <w:tc>
          <w:tcPr>
            <w:tcW w:w="1281" w:type="dxa"/>
            <w:vAlign w:val="center"/>
            <w:textDirection w:val="lrTb"/>
            <w:noWrap w:val="false"/>
          </w:tcPr>
          <w:p>
            <w:pPr>
              <w:jc w:val="center"/>
              <w:spacing w:after="120" w:line="440" w:lineRule="exact"/>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数量</w:t>
            </w:r>
            <w:r>
              <w:rPr>
                <w:color w:val="auto"/>
                <w:highlight w:val="none"/>
              </w:rPr>
            </w:r>
            <w:r/>
          </w:p>
        </w:tc>
        <w:tc>
          <w:tcPr>
            <w:tcW w:w="1535" w:type="dxa"/>
            <w:vAlign w:val="center"/>
            <w:textDirection w:val="lrTb"/>
            <w:noWrap w:val="false"/>
          </w:tcPr>
          <w:p>
            <w:pPr>
              <w:jc w:val="center"/>
              <w:spacing w:after="120"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单价（元）</w:t>
            </w:r>
            <w:r>
              <w:rPr>
                <w:color w:val="auto"/>
                <w:highlight w:val="none"/>
              </w:rPr>
            </w:r>
            <w:r/>
          </w:p>
        </w:tc>
        <w:tc>
          <w:tcPr>
            <w:tcW w:w="1657" w:type="dxa"/>
            <w:vAlign w:val="center"/>
            <w:textDirection w:val="lrTb"/>
            <w:noWrap w:val="false"/>
          </w:tcPr>
          <w:p>
            <w:pPr>
              <w:spacing w:after="120"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总价（元）</w:t>
            </w:r>
            <w:r>
              <w:rPr>
                <w:color w:val="auto"/>
                <w:highlight w:val="none"/>
              </w:rPr>
            </w:r>
            <w:r/>
          </w:p>
        </w:tc>
      </w:tr>
      <w:tr>
        <w:trPr>
          <w:jc w:val="center"/>
        </w:trPr>
        <w:tc>
          <w:tcPr>
            <w:tcW w:w="861" w:type="dxa"/>
            <w:vAlign w:val="center"/>
            <w:textDirection w:val="lrTb"/>
            <w:noWrap w:val="false"/>
          </w:tcPr>
          <w:p>
            <w:pPr>
              <w:jc w:val="center"/>
              <w:spacing w:after="120"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116" w:type="dxa"/>
            <w:vAlign w:val="center"/>
            <w:textDirection w:val="lrTb"/>
            <w:noWrap w:val="false"/>
          </w:tcPr>
          <w:p>
            <w:pPr>
              <w:jc w:val="center"/>
              <w:spacing w:after="120"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585" w:type="dxa"/>
            <w:vAlign w:val="center"/>
            <w:textDirection w:val="lrTb"/>
            <w:noWrap w:val="false"/>
          </w:tcPr>
          <w:p>
            <w:pPr>
              <w:jc w:val="center"/>
              <w:spacing w:after="120"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832" w:type="dxa"/>
            <w:vAlign w:val="center"/>
            <w:textDirection w:val="lrTb"/>
            <w:noWrap w:val="false"/>
          </w:tcPr>
          <w:p>
            <w:pPr>
              <w:jc w:val="center"/>
              <w:spacing w:after="120"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281" w:type="dxa"/>
            <w:vAlign w:val="center"/>
            <w:textDirection w:val="lrTb"/>
            <w:noWrap w:val="false"/>
          </w:tcPr>
          <w:p>
            <w:pPr>
              <w:jc w:val="center"/>
              <w:spacing w:after="120"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535" w:type="dxa"/>
            <w:vAlign w:val="center"/>
            <w:textDirection w:val="lrTb"/>
            <w:noWrap w:val="false"/>
          </w:tcPr>
          <w:p>
            <w:pPr>
              <w:jc w:val="center"/>
              <w:spacing w:after="120"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657" w:type="dxa"/>
            <w:vAlign w:val="center"/>
            <w:textDirection w:val="lrTb"/>
            <w:noWrap w:val="false"/>
          </w:tcPr>
          <w:p>
            <w:pPr>
              <w:jc w:val="center"/>
              <w:spacing w:after="120"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r>
      <w:tr>
        <w:trPr>
          <w:jc w:val="center"/>
        </w:trPr>
        <w:tc>
          <w:tcPr>
            <w:tcW w:w="861" w:type="dxa"/>
            <w:vAlign w:val="center"/>
            <w:textDirection w:val="lrTb"/>
            <w:noWrap w:val="false"/>
          </w:tcPr>
          <w:p>
            <w:pPr>
              <w:jc w:val="center"/>
              <w:spacing w:after="120"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116" w:type="dxa"/>
            <w:vAlign w:val="center"/>
            <w:textDirection w:val="lrTb"/>
            <w:noWrap w:val="false"/>
          </w:tcPr>
          <w:p>
            <w:pPr>
              <w:jc w:val="center"/>
              <w:spacing w:after="120"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585" w:type="dxa"/>
            <w:vAlign w:val="center"/>
            <w:textDirection w:val="lrTb"/>
            <w:noWrap w:val="false"/>
          </w:tcPr>
          <w:p>
            <w:pPr>
              <w:jc w:val="center"/>
              <w:spacing w:after="120"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832" w:type="dxa"/>
            <w:vAlign w:val="center"/>
            <w:textDirection w:val="lrTb"/>
            <w:noWrap w:val="false"/>
          </w:tcPr>
          <w:p>
            <w:pPr>
              <w:jc w:val="center"/>
              <w:spacing w:after="120"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281" w:type="dxa"/>
            <w:vAlign w:val="center"/>
            <w:textDirection w:val="lrTb"/>
            <w:noWrap w:val="false"/>
          </w:tcPr>
          <w:p>
            <w:pPr>
              <w:jc w:val="center"/>
              <w:spacing w:after="120"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535" w:type="dxa"/>
            <w:vAlign w:val="center"/>
            <w:textDirection w:val="lrTb"/>
            <w:noWrap w:val="false"/>
          </w:tcPr>
          <w:p>
            <w:pPr>
              <w:jc w:val="center"/>
              <w:spacing w:after="120"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657" w:type="dxa"/>
            <w:vAlign w:val="center"/>
            <w:textDirection w:val="lrTb"/>
            <w:noWrap w:val="false"/>
          </w:tcPr>
          <w:p>
            <w:pPr>
              <w:jc w:val="center"/>
              <w:spacing w:after="120"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r>
      <w:tr>
        <w:trPr>
          <w:jc w:val="center"/>
        </w:trPr>
        <w:tc>
          <w:tcPr>
            <w:tcW w:w="861" w:type="dxa"/>
            <w:vAlign w:val="center"/>
            <w:textDirection w:val="lrTb"/>
            <w:noWrap w:val="false"/>
          </w:tcPr>
          <w:p>
            <w:pPr>
              <w:jc w:val="center"/>
              <w:spacing w:after="120"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116" w:type="dxa"/>
            <w:vAlign w:val="center"/>
            <w:textDirection w:val="lrTb"/>
            <w:noWrap w:val="false"/>
          </w:tcPr>
          <w:p>
            <w:pPr>
              <w:jc w:val="center"/>
              <w:spacing w:after="120"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585" w:type="dxa"/>
            <w:vAlign w:val="center"/>
            <w:textDirection w:val="lrTb"/>
            <w:noWrap w:val="false"/>
          </w:tcPr>
          <w:p>
            <w:pPr>
              <w:jc w:val="center"/>
              <w:spacing w:after="120"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832" w:type="dxa"/>
            <w:vAlign w:val="center"/>
            <w:textDirection w:val="lrTb"/>
            <w:noWrap w:val="false"/>
          </w:tcPr>
          <w:p>
            <w:pPr>
              <w:jc w:val="center"/>
              <w:spacing w:after="120"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281" w:type="dxa"/>
            <w:vAlign w:val="center"/>
            <w:textDirection w:val="lrTb"/>
            <w:noWrap w:val="false"/>
          </w:tcPr>
          <w:p>
            <w:pPr>
              <w:jc w:val="center"/>
              <w:spacing w:after="120"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535" w:type="dxa"/>
            <w:vAlign w:val="center"/>
            <w:textDirection w:val="lrTb"/>
            <w:noWrap w:val="false"/>
          </w:tcPr>
          <w:p>
            <w:pPr>
              <w:jc w:val="center"/>
              <w:spacing w:after="120"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657" w:type="dxa"/>
            <w:vAlign w:val="center"/>
            <w:textDirection w:val="lrTb"/>
            <w:noWrap w:val="false"/>
          </w:tcPr>
          <w:p>
            <w:pPr>
              <w:jc w:val="center"/>
              <w:spacing w:after="120"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r>
      <w:tr>
        <w:trPr>
          <w:jc w:val="center"/>
        </w:trPr>
        <w:tc>
          <w:tcPr>
            <w:tcW w:w="861" w:type="dxa"/>
            <w:vAlign w:val="center"/>
            <w:textDirection w:val="lrTb"/>
            <w:noWrap w:val="false"/>
          </w:tcPr>
          <w:p>
            <w:pPr>
              <w:jc w:val="center"/>
              <w:spacing w:after="120"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116" w:type="dxa"/>
            <w:vAlign w:val="center"/>
            <w:textDirection w:val="lrTb"/>
            <w:noWrap w:val="false"/>
          </w:tcPr>
          <w:p>
            <w:pPr>
              <w:jc w:val="center"/>
              <w:spacing w:after="120"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585" w:type="dxa"/>
            <w:vAlign w:val="center"/>
            <w:textDirection w:val="lrTb"/>
            <w:noWrap w:val="false"/>
          </w:tcPr>
          <w:p>
            <w:pPr>
              <w:jc w:val="center"/>
              <w:spacing w:after="120"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832" w:type="dxa"/>
            <w:vAlign w:val="center"/>
            <w:textDirection w:val="lrTb"/>
            <w:noWrap w:val="false"/>
          </w:tcPr>
          <w:p>
            <w:pPr>
              <w:jc w:val="center"/>
              <w:spacing w:after="120"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281" w:type="dxa"/>
            <w:vAlign w:val="center"/>
            <w:textDirection w:val="lrTb"/>
            <w:noWrap w:val="false"/>
          </w:tcPr>
          <w:p>
            <w:pPr>
              <w:jc w:val="center"/>
              <w:spacing w:after="120"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535" w:type="dxa"/>
            <w:vAlign w:val="center"/>
            <w:textDirection w:val="lrTb"/>
            <w:noWrap w:val="false"/>
          </w:tcPr>
          <w:p>
            <w:pPr>
              <w:jc w:val="center"/>
              <w:spacing w:after="120"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657" w:type="dxa"/>
            <w:vAlign w:val="center"/>
            <w:textDirection w:val="lrTb"/>
            <w:noWrap w:val="false"/>
          </w:tcPr>
          <w:p>
            <w:pPr>
              <w:jc w:val="center"/>
              <w:spacing w:after="120"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r>
      <w:tr>
        <w:trPr>
          <w:jc w:val="center"/>
        </w:trPr>
        <w:tc>
          <w:tcPr>
            <w:tcW w:w="861" w:type="dxa"/>
            <w:vAlign w:val="center"/>
            <w:textDirection w:val="lrTb"/>
            <w:noWrap w:val="false"/>
          </w:tcPr>
          <w:p>
            <w:pPr>
              <w:jc w:val="center"/>
              <w:spacing w:after="120"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116" w:type="dxa"/>
            <w:vAlign w:val="center"/>
            <w:textDirection w:val="lrTb"/>
            <w:noWrap w:val="false"/>
          </w:tcPr>
          <w:p>
            <w:pPr>
              <w:jc w:val="center"/>
              <w:spacing w:after="120"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585" w:type="dxa"/>
            <w:vAlign w:val="center"/>
            <w:textDirection w:val="lrTb"/>
            <w:noWrap w:val="false"/>
          </w:tcPr>
          <w:p>
            <w:pPr>
              <w:jc w:val="center"/>
              <w:spacing w:after="120"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832" w:type="dxa"/>
            <w:vAlign w:val="center"/>
            <w:textDirection w:val="lrTb"/>
            <w:noWrap w:val="false"/>
          </w:tcPr>
          <w:p>
            <w:pPr>
              <w:jc w:val="center"/>
              <w:spacing w:after="120"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281" w:type="dxa"/>
            <w:vAlign w:val="center"/>
            <w:textDirection w:val="lrTb"/>
            <w:noWrap w:val="false"/>
          </w:tcPr>
          <w:p>
            <w:pPr>
              <w:jc w:val="center"/>
              <w:spacing w:after="120"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535" w:type="dxa"/>
            <w:vAlign w:val="center"/>
            <w:textDirection w:val="lrTb"/>
            <w:noWrap w:val="false"/>
          </w:tcPr>
          <w:p>
            <w:pPr>
              <w:jc w:val="center"/>
              <w:spacing w:after="120"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657" w:type="dxa"/>
            <w:vAlign w:val="center"/>
            <w:textDirection w:val="lrTb"/>
            <w:noWrap w:val="false"/>
          </w:tcPr>
          <w:p>
            <w:pPr>
              <w:jc w:val="center"/>
              <w:spacing w:after="120"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r>
      <w:tr>
        <w:trPr>
          <w:jc w:val="center"/>
        </w:trPr>
        <w:tc>
          <w:tcPr>
            <w:tcW w:w="861" w:type="dxa"/>
            <w:vAlign w:val="center"/>
            <w:textDirection w:val="lrTb"/>
            <w:noWrap w:val="false"/>
          </w:tcPr>
          <w:p>
            <w:pPr>
              <w:jc w:val="center"/>
              <w:spacing w:after="120"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116" w:type="dxa"/>
            <w:vAlign w:val="center"/>
            <w:textDirection w:val="lrTb"/>
            <w:noWrap w:val="false"/>
          </w:tcPr>
          <w:p>
            <w:pPr>
              <w:jc w:val="center"/>
              <w:spacing w:after="120"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585" w:type="dxa"/>
            <w:vAlign w:val="center"/>
            <w:textDirection w:val="lrTb"/>
            <w:noWrap w:val="false"/>
          </w:tcPr>
          <w:p>
            <w:pPr>
              <w:jc w:val="center"/>
              <w:spacing w:after="120"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832" w:type="dxa"/>
            <w:vAlign w:val="center"/>
            <w:textDirection w:val="lrTb"/>
            <w:noWrap w:val="false"/>
          </w:tcPr>
          <w:p>
            <w:pPr>
              <w:jc w:val="center"/>
              <w:spacing w:after="120"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281" w:type="dxa"/>
            <w:vAlign w:val="center"/>
            <w:textDirection w:val="lrTb"/>
            <w:noWrap w:val="false"/>
          </w:tcPr>
          <w:p>
            <w:pPr>
              <w:jc w:val="center"/>
              <w:spacing w:after="120"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535" w:type="dxa"/>
            <w:vAlign w:val="center"/>
            <w:textDirection w:val="lrTb"/>
            <w:noWrap w:val="false"/>
          </w:tcPr>
          <w:p>
            <w:pPr>
              <w:jc w:val="center"/>
              <w:spacing w:after="120"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657" w:type="dxa"/>
            <w:vAlign w:val="center"/>
            <w:textDirection w:val="lrTb"/>
            <w:noWrap w:val="false"/>
          </w:tcPr>
          <w:p>
            <w:pPr>
              <w:jc w:val="center"/>
              <w:spacing w:after="120"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r>
      <w:tr>
        <w:trPr>
          <w:jc w:val="center"/>
        </w:trPr>
        <w:tc>
          <w:tcPr>
            <w:tcW w:w="861" w:type="dxa"/>
            <w:vAlign w:val="center"/>
            <w:textDirection w:val="lrTb"/>
            <w:noWrap w:val="false"/>
          </w:tcPr>
          <w:p>
            <w:pPr>
              <w:jc w:val="center"/>
              <w:spacing w:after="120"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116" w:type="dxa"/>
            <w:vAlign w:val="center"/>
            <w:textDirection w:val="lrTb"/>
            <w:noWrap w:val="false"/>
          </w:tcPr>
          <w:p>
            <w:pPr>
              <w:jc w:val="center"/>
              <w:spacing w:after="120"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585" w:type="dxa"/>
            <w:vAlign w:val="center"/>
            <w:textDirection w:val="lrTb"/>
            <w:noWrap w:val="false"/>
          </w:tcPr>
          <w:p>
            <w:pPr>
              <w:jc w:val="center"/>
              <w:spacing w:after="120"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832" w:type="dxa"/>
            <w:vAlign w:val="center"/>
            <w:textDirection w:val="lrTb"/>
            <w:noWrap w:val="false"/>
          </w:tcPr>
          <w:p>
            <w:pPr>
              <w:jc w:val="center"/>
              <w:spacing w:after="120"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281" w:type="dxa"/>
            <w:vAlign w:val="center"/>
            <w:textDirection w:val="lrTb"/>
            <w:noWrap w:val="false"/>
          </w:tcPr>
          <w:p>
            <w:pPr>
              <w:jc w:val="center"/>
              <w:spacing w:after="120"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535" w:type="dxa"/>
            <w:vAlign w:val="center"/>
            <w:textDirection w:val="lrTb"/>
            <w:noWrap w:val="false"/>
          </w:tcPr>
          <w:p>
            <w:pPr>
              <w:jc w:val="center"/>
              <w:spacing w:after="120"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657" w:type="dxa"/>
            <w:vAlign w:val="center"/>
            <w:textDirection w:val="lrTb"/>
            <w:noWrap w:val="false"/>
          </w:tcPr>
          <w:p>
            <w:pPr>
              <w:jc w:val="center"/>
              <w:spacing w:after="120"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r>
      <w:tr>
        <w:trPr>
          <w:jc w:val="center"/>
        </w:trPr>
        <w:tc>
          <w:tcPr>
            <w:tcW w:w="861" w:type="dxa"/>
            <w:vAlign w:val="center"/>
            <w:textDirection w:val="lrTb"/>
            <w:noWrap w:val="false"/>
          </w:tcPr>
          <w:p>
            <w:pPr>
              <w:jc w:val="center"/>
              <w:spacing w:after="120"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116" w:type="dxa"/>
            <w:vAlign w:val="center"/>
            <w:textDirection w:val="lrTb"/>
            <w:noWrap w:val="false"/>
          </w:tcPr>
          <w:p>
            <w:pPr>
              <w:jc w:val="center"/>
              <w:spacing w:after="120"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585" w:type="dxa"/>
            <w:vAlign w:val="center"/>
            <w:textDirection w:val="lrTb"/>
            <w:noWrap w:val="false"/>
          </w:tcPr>
          <w:p>
            <w:pPr>
              <w:jc w:val="center"/>
              <w:spacing w:after="120"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832" w:type="dxa"/>
            <w:vAlign w:val="center"/>
            <w:textDirection w:val="lrTb"/>
            <w:noWrap w:val="false"/>
          </w:tcPr>
          <w:p>
            <w:pPr>
              <w:jc w:val="center"/>
              <w:spacing w:after="120"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281" w:type="dxa"/>
            <w:vAlign w:val="center"/>
            <w:textDirection w:val="lrTb"/>
            <w:noWrap w:val="false"/>
          </w:tcPr>
          <w:p>
            <w:pPr>
              <w:jc w:val="center"/>
              <w:spacing w:after="120"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535" w:type="dxa"/>
            <w:vAlign w:val="center"/>
            <w:textDirection w:val="lrTb"/>
            <w:noWrap w:val="false"/>
          </w:tcPr>
          <w:p>
            <w:pPr>
              <w:jc w:val="center"/>
              <w:spacing w:after="120"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657" w:type="dxa"/>
            <w:vAlign w:val="center"/>
            <w:textDirection w:val="lrTb"/>
            <w:noWrap w:val="false"/>
          </w:tcPr>
          <w:p>
            <w:pPr>
              <w:jc w:val="center"/>
              <w:spacing w:after="120"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r>
      <w:tr>
        <w:trPr>
          <w:jc w:val="center"/>
        </w:trPr>
        <w:tc>
          <w:tcPr>
            <w:tcW w:w="861" w:type="dxa"/>
            <w:vAlign w:val="center"/>
            <w:textDirection w:val="lrTb"/>
            <w:noWrap w:val="false"/>
          </w:tcPr>
          <w:p>
            <w:pPr>
              <w:jc w:val="center"/>
              <w:spacing w:after="120" w:line="440" w:lineRule="exact"/>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总价</w:t>
            </w:r>
            <w:r>
              <w:rPr>
                <w:color w:val="auto"/>
                <w:highlight w:val="none"/>
              </w:rPr>
            </w:r>
            <w:r/>
          </w:p>
        </w:tc>
        <w:tc>
          <w:tcPr>
            <w:gridSpan w:val="6"/>
            <w:tcW w:w="9006" w:type="dxa"/>
            <w:vAlign w:val="center"/>
            <w:textDirection w:val="lrTb"/>
            <w:noWrap w:val="false"/>
          </w:tcPr>
          <w:p>
            <w:pPr>
              <w:spacing w:after="120" w:line="440" w:lineRule="exact"/>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人民币（大写）（￥：）</w:t>
            </w:r>
            <w:r>
              <w:rPr>
                <w:color w:val="auto"/>
                <w:highlight w:val="none"/>
              </w:rPr>
            </w:r>
            <w:r/>
          </w:p>
        </w:tc>
      </w:tr>
      <w:tr>
        <w:trPr>
          <w:jc w:val="center"/>
        </w:trPr>
        <w:tc>
          <w:tcPr>
            <w:gridSpan w:val="7"/>
            <w:tcW w:w="9867" w:type="dxa"/>
            <w:vAlign w:val="center"/>
            <w:textDirection w:val="lrTb"/>
            <w:noWrap w:val="false"/>
          </w:tcPr>
          <w:p>
            <w:pPr>
              <w:spacing w:after="120" w:line="440" w:lineRule="exact"/>
              <w:rPr>
                <w:rFonts w:ascii="宋体" w:hAnsi="宋体" w:cs="宋体"/>
                <w:color w:val="auto"/>
                <w:sz w:val="24"/>
                <w:szCs w:val="24"/>
                <w:highlight w:val="none"/>
              </w:rPr>
            </w:pPr>
            <w:r>
              <w:rPr>
                <w:rFonts w:hint="eastAsia" w:ascii="宋体" w:hAnsi="宋体" w:cs="宋体"/>
                <w:b/>
                <w:color w:val="auto"/>
                <w:sz w:val="24"/>
                <w:szCs w:val="24"/>
                <w:highlight w:val="none"/>
              </w:rPr>
              <w:t xml:space="preserve">本采购包中提供的符合本国产品标准的产品成本之和占该采购包提供的全部产品成本之和的比例为</w:t>
            </w:r>
            <w:r>
              <w:rPr>
                <w:rFonts w:hint="eastAsia" w:ascii="宋体" w:hAnsi="宋体" w:cs="宋体"/>
                <w:b/>
                <w:color w:val="auto"/>
                <w:sz w:val="24"/>
                <w:szCs w:val="24"/>
                <w:highlight w:val="none"/>
                <w:u w:val="single"/>
              </w:rPr>
              <w:t xml:space="preserve">    </w:t>
            </w:r>
            <w:r>
              <w:rPr>
                <w:rFonts w:hint="eastAsia" w:ascii="宋体" w:hAnsi="宋体" w:cs="宋体"/>
                <w:b/>
                <w:color w:val="auto"/>
                <w:sz w:val="24"/>
                <w:szCs w:val="24"/>
                <w:highlight w:val="none"/>
              </w:rPr>
              <w:t xml:space="preserve">%。</w:t>
            </w:r>
            <w:r>
              <w:rPr>
                <w:color w:val="auto"/>
                <w:highlight w:val="none"/>
              </w:rPr>
            </w:r>
            <w:r/>
          </w:p>
        </w:tc>
      </w:tr>
    </w:tbl>
    <w:p>
      <w:pP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lang w:val="zh-CN"/>
        </w:rPr>
        <w:tab/>
      </w:r>
      <w:r>
        <w:rPr>
          <w:rFonts w:hint="eastAsia" w:ascii="宋体" w:hAnsi="宋体" w:cs="宋体"/>
          <w:color w:val="auto"/>
          <w:sz w:val="24"/>
          <w:szCs w:val="24"/>
          <w:highlight w:val="none"/>
        </w:rPr>
        <w:t xml:space="preserve">注： 1、“</w:t>
      </w:r>
      <w:r>
        <w:rPr>
          <w:rFonts w:hint="eastAsia" w:ascii="宋体" w:hAnsi="宋体" w:cs="宋体"/>
          <w:color w:val="auto"/>
          <w:sz w:val="24"/>
          <w:szCs w:val="24"/>
          <w:highlight w:val="none"/>
          <w:lang w:val="zh-CN"/>
        </w:rPr>
        <w:t xml:space="preserve">投标报价分析表</w:t>
      </w:r>
      <w:r>
        <w:rPr>
          <w:rFonts w:hint="eastAsia" w:ascii="宋体" w:hAnsi="宋体" w:cs="宋体"/>
          <w:color w:val="auto"/>
          <w:sz w:val="24"/>
          <w:szCs w:val="24"/>
          <w:highlight w:val="none"/>
        </w:rPr>
        <w:t xml:space="preserve">”各分项报价合计金额应当与“开标一览表”投标总价相等，如不相等，以“开标一览表”为准。</w:t>
      </w:r>
      <w:r>
        <w:rPr>
          <w:color w:val="auto"/>
          <w:highlight w:val="none"/>
        </w:rPr>
      </w:r>
      <w:r/>
    </w:p>
    <w:p>
      <w:pPr>
        <w:ind w:firstLine="422"/>
        <w:spacing w:line="440" w:lineRule="exact"/>
        <w:tabs>
          <w:tab w:val="left" w:pos="1320" w:leader="none"/>
        </w:tabs>
        <w:rPr>
          <w:rFonts w:ascii="宋体" w:hAnsi="宋体"/>
          <w:color w:val="auto"/>
          <w:sz w:val="24"/>
          <w:szCs w:val="24"/>
          <w:highlight w:val="none"/>
        </w:rPr>
      </w:pPr>
      <w:r>
        <w:rPr>
          <w:rFonts w:hint="eastAsia" w:ascii="宋体" w:hAnsi="宋体"/>
          <w:b/>
          <w:color w:val="auto"/>
          <w:sz w:val="24"/>
          <w:szCs w:val="24"/>
          <w:highlight w:val="none"/>
        </w:rPr>
        <w:t xml:space="preserve">2、本采购包中含有多种产品时，供应商未填写本采购包中提供的符合本国产品标准的产品成本之和占该采购包提供的全部产品成本之和的比例数值的，或比例数值未达到80%的，将不享受本国产品价格评审优惠。</w:t>
      </w:r>
      <w:r>
        <w:rPr>
          <w:color w:val="auto"/>
          <w:highlight w:val="none"/>
        </w:rPr>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投标人（</w:t>
      </w:r>
      <w:r>
        <w:rPr>
          <w:rFonts w:hint="eastAsia" w:ascii="宋体" w:hAnsi="宋体" w:cs="宋体"/>
          <w:color w:val="auto"/>
          <w:sz w:val="24"/>
          <w:szCs w:val="24"/>
          <w:highlight w:val="none"/>
        </w:rPr>
        <w:t xml:space="preserve">签章</w:t>
      </w:r>
      <w:r>
        <w:rPr>
          <w:rFonts w:hint="eastAsia" w:ascii="宋体" w:hAnsi="宋体" w:cs="宋体"/>
          <w:color w:val="auto"/>
          <w:sz w:val="24"/>
          <w:szCs w:val="24"/>
          <w:highlight w:val="none"/>
          <w:lang w:val="zh-CN"/>
        </w:rPr>
        <w:t xml:space="preserve">）：</w:t>
      </w:r>
      <w:r>
        <w:rPr>
          <w:color w:val="auto"/>
          <w:highlight w:val="none"/>
        </w:rPr>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法定代表人或委托代理人：（签字</w:t>
      </w:r>
      <w:r>
        <w:rPr>
          <w:rFonts w:hint="eastAsia" w:ascii="宋体" w:hAnsi="宋体" w:cs="宋体"/>
          <w:color w:val="auto"/>
          <w:sz w:val="24"/>
          <w:szCs w:val="24"/>
          <w:highlight w:val="none"/>
        </w:rPr>
        <w:t xml:space="preserve">或签章</w:t>
      </w:r>
      <w:r>
        <w:rPr>
          <w:rFonts w:hint="eastAsia" w:ascii="宋体" w:hAnsi="宋体" w:cs="宋体"/>
          <w:color w:val="auto"/>
          <w:sz w:val="24"/>
          <w:szCs w:val="24"/>
          <w:highlight w:val="none"/>
          <w:lang w:val="zh-CN"/>
        </w:rPr>
        <w:t xml:space="preserve">）</w:t>
      </w:r>
      <w:r>
        <w:rPr>
          <w:color w:val="auto"/>
          <w:highlight w:val="none"/>
        </w:rPr>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日期：</w:t>
      </w:r>
      <w:r>
        <w:rPr>
          <w:color w:val="auto"/>
          <w:highlight w:val="none"/>
        </w:rPr>
      </w:r>
      <w:r/>
    </w:p>
    <w:p>
      <w:pPr>
        <w:rPr>
          <w:rFonts w:ascii="宋体" w:hAnsi="宋体" w:cs="宋体"/>
          <w:b/>
          <w:color w:val="auto"/>
          <w:highlight w:val="none"/>
        </w:rPr>
      </w:pPr>
      <w:r>
        <w:rPr>
          <w:rFonts w:ascii="宋体" w:hAnsi="宋体" w:cs="宋体"/>
          <w:b/>
          <w:color w:val="auto"/>
          <w:highlight w:val="none"/>
        </w:rPr>
        <w:br w:type="page" w:clear="all"/>
      </w:r>
      <w:r>
        <w:rPr>
          <w:color w:val="auto"/>
          <w:highlight w:val="none"/>
        </w:rPr>
      </w:r>
      <w:r/>
    </w:p>
    <w:p>
      <w:pPr>
        <w:spacing w:line="440" w:lineRule="exact"/>
        <w:rPr>
          <w:rFonts w:ascii="宋体" w:hAnsi="宋体"/>
          <w:b/>
          <w:bCs/>
          <w:color w:val="auto"/>
          <w:sz w:val="24"/>
          <w:szCs w:val="24"/>
          <w:highlight w:val="none"/>
        </w:rPr>
      </w:pPr>
      <w:r>
        <w:rPr>
          <w:rFonts w:hint="eastAsia" w:ascii="宋体" w:hAnsi="宋体"/>
          <w:b/>
          <w:bCs/>
          <w:color w:val="auto"/>
          <w:sz w:val="24"/>
          <w:szCs w:val="24"/>
          <w:highlight w:val="none"/>
          <w:lang w:val="zh-CN"/>
        </w:rPr>
        <w:t xml:space="preserve">格式</w:t>
      </w:r>
      <w:r>
        <w:rPr>
          <w:rFonts w:hint="eastAsia" w:ascii="宋体" w:hAnsi="宋体"/>
          <w:b/>
          <w:bCs/>
          <w:color w:val="auto"/>
          <w:sz w:val="24"/>
          <w:szCs w:val="24"/>
          <w:highlight w:val="none"/>
        </w:rPr>
        <w:t xml:space="preserve">5</w:t>
      </w:r>
      <w:r>
        <w:rPr>
          <w:rFonts w:hint="eastAsia" w:ascii="宋体" w:hAnsi="宋体"/>
          <w:b/>
          <w:bCs/>
          <w:color w:val="auto"/>
          <w:sz w:val="24"/>
          <w:szCs w:val="24"/>
          <w:highlight w:val="none"/>
          <w:lang w:val="zh-CN"/>
        </w:rPr>
        <w:t xml:space="preserve">、</w:t>
      </w:r>
      <w:r>
        <w:rPr>
          <w:rFonts w:hint="eastAsia" w:ascii="宋体" w:hAnsi="宋体"/>
          <w:b/>
          <w:bCs/>
          <w:color w:val="auto"/>
          <w:sz w:val="24"/>
          <w:szCs w:val="24"/>
          <w:highlight w:val="none"/>
        </w:rPr>
        <w:t xml:space="preserve">投标货物和服务数量、品牌规格、性能、交货期说明表</w:t>
      </w:r>
      <w:r>
        <w:rPr>
          <w:color w:val="auto"/>
          <w:highlight w:val="none"/>
        </w:rPr>
      </w:r>
      <w:r/>
    </w:p>
    <w:p>
      <w:pPr>
        <w:jc w:val="center"/>
        <w:spacing w:line="440" w:lineRule="exact"/>
        <w:rPr>
          <w:rFonts w:ascii="宋体" w:hAnsi="宋体"/>
          <w:b/>
          <w:bCs/>
          <w:color w:val="auto"/>
          <w:sz w:val="24"/>
          <w:szCs w:val="24"/>
          <w:highlight w:val="none"/>
        </w:rPr>
      </w:pPr>
      <w:r>
        <w:rPr>
          <w:rFonts w:hint="eastAsia" w:ascii="宋体" w:hAnsi="宋体"/>
          <w:b/>
          <w:bCs/>
          <w:color w:val="auto"/>
          <w:sz w:val="24"/>
          <w:szCs w:val="24"/>
          <w:highlight w:val="none"/>
          <w:lang w:val="zh-CN"/>
        </w:rPr>
        <w:t xml:space="preserve">投标货物和服务数量、品牌规格、性能、交货期说明表</w:t>
      </w:r>
      <w:r>
        <w:rPr>
          <w:color w:val="auto"/>
          <w:highlight w:val="none"/>
        </w:rPr>
      </w:r>
      <w:r/>
    </w:p>
    <w:tbl>
      <w:tblPr>
        <w:tblStyle w:val="811"/>
        <w:tblW w:w="935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635"/>
        <w:gridCol w:w="1835"/>
        <w:gridCol w:w="1555"/>
        <w:gridCol w:w="2563"/>
        <w:gridCol w:w="764"/>
        <w:gridCol w:w="657"/>
        <w:gridCol w:w="1345"/>
      </w:tblGrid>
      <w:tr>
        <w:trPr>
          <w:trHeight w:val="51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jc w:val="center"/>
              <w:spacing w:after="0"/>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序号</w:t>
            </w:r>
            <w:r>
              <w:rPr>
                <w:color w:val="auto"/>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35" w:type="dxa"/>
            <w:vAlign w:val="center"/>
            <w:textDirection w:val="lrTb"/>
            <w:noWrap w:val="false"/>
          </w:tcPr>
          <w:p>
            <w:pPr>
              <w:ind w:left="54"/>
              <w:jc w:val="center"/>
              <w:spacing w:after="0" w:line="85"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标的物名称</w:t>
            </w:r>
            <w:r>
              <w:rPr>
                <w:color w:val="auto"/>
                <w:highlight w:val="none"/>
              </w:rPr>
            </w:r>
            <w:r/>
          </w:p>
        </w:tc>
        <w:tc>
          <w:tcPr>
            <w:tcBorders>
              <w:top w:val="single" w:color="000000" w:sz="8" w:space="0"/>
              <w:left w:val="none" w:color="000000" w:sz="4" w:space="0"/>
              <w:bottom w:val="single" w:color="000000" w:sz="8" w:space="0"/>
              <w:right w:val="single" w:color="auto" w:sz="4" w:space="0"/>
            </w:tcBorders>
            <w:tcMar>
              <w:left w:w="108" w:type="dxa"/>
              <w:top w:w="0" w:type="dxa"/>
              <w:right w:w="108" w:type="dxa"/>
              <w:bottom w:w="0" w:type="dxa"/>
            </w:tcMar>
            <w:tcW w:w="1555" w:type="dxa"/>
            <w:vAlign w:val="center"/>
            <w:textDirection w:val="lrTb"/>
            <w:noWrap w:val="false"/>
          </w:tcPr>
          <w:p>
            <w:pPr>
              <w:jc w:val="center"/>
              <w:spacing w:after="0" w:line="85"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品牌、型号</w:t>
            </w:r>
            <w:r>
              <w:rPr>
                <w:color w:val="auto"/>
                <w:highlight w:val="none"/>
              </w:rPr>
            </w:r>
            <w:r/>
          </w:p>
        </w:tc>
        <w:tc>
          <w:tcPr>
            <w:tcBorders>
              <w:top w:val="single" w:color="000000" w:sz="8" w:space="0"/>
              <w:left w:val="single" w:color="auto" w:sz="4" w:space="0"/>
              <w:bottom w:val="single" w:color="000000" w:sz="8" w:space="0"/>
              <w:right w:val="single" w:color="000000" w:sz="8" w:space="0"/>
            </w:tcBorders>
            <w:tcMar>
              <w:left w:w="108" w:type="dxa"/>
              <w:top w:w="0" w:type="dxa"/>
              <w:right w:w="108" w:type="dxa"/>
              <w:bottom w:w="0" w:type="dxa"/>
            </w:tcMar>
            <w:tcW w:w="2563" w:type="dxa"/>
            <w:vAlign w:val="center"/>
            <w:textDirection w:val="lrTb"/>
            <w:noWrap w:val="false"/>
          </w:tcPr>
          <w:p>
            <w:pPr>
              <w:jc w:val="center"/>
              <w:spacing w:after="0" w:line="85"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规格、性能、技术参数、指标</w:t>
            </w:r>
            <w:r>
              <w:rPr>
                <w:color w:val="auto"/>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jc w:val="center"/>
              <w:spacing w:after="0" w:line="85"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单位</w:t>
            </w:r>
            <w:r>
              <w:rPr>
                <w:color w:val="auto"/>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7" w:type="dxa"/>
            <w:vAlign w:val="center"/>
            <w:textDirection w:val="lrTb"/>
            <w:noWrap w:val="false"/>
          </w:tcPr>
          <w:p>
            <w:pPr>
              <w:jc w:val="center"/>
              <w:spacing w:after="0" w:line="85"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数量</w:t>
            </w:r>
            <w:r>
              <w:rPr>
                <w:color w:val="auto"/>
                <w:highlight w:val="none"/>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45" w:type="dxa"/>
            <w:vAlign w:val="center"/>
            <w:textDirection w:val="lrTb"/>
            <w:noWrap w:val="false"/>
          </w:tcPr>
          <w:p>
            <w:pPr>
              <w:jc w:val="center"/>
              <w:spacing w:after="0" w:line="85"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交货期</w:t>
            </w:r>
            <w:r>
              <w:rPr>
                <w:color w:val="auto"/>
                <w:highlight w:val="none"/>
              </w:rPr>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jc w:val="center"/>
              <w:spacing w:after="0"/>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w:t>
            </w: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5" w:type="dxa"/>
            <w:vAlign w:val="center"/>
            <w:textDirection w:val="lrTb"/>
            <w:noWrap w:val="false"/>
          </w:tcPr>
          <w:p>
            <w:pPr>
              <w:jc w:val="center"/>
              <w:spacing w:after="0" w:line="559"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 </w:t>
            </w:r>
            <w:r>
              <w:rPr>
                <w:color w:val="auto"/>
                <w:highlight w:val="none"/>
              </w:rPr>
            </w:r>
            <w:r/>
          </w:p>
        </w:tc>
        <w:tc>
          <w:tcPr>
            <w:tcBorders>
              <w:top w:val="none" w:color="000000" w:sz="4" w:space="0"/>
              <w:left w:val="none" w:color="000000" w:sz="4" w:space="0"/>
              <w:bottom w:val="single" w:color="000000" w:sz="8" w:space="0"/>
              <w:right w:val="single" w:color="auto" w:sz="4" w:space="0"/>
            </w:tcBorders>
            <w:tcMar>
              <w:left w:w="108" w:type="dxa"/>
              <w:top w:w="0" w:type="dxa"/>
              <w:right w:w="108" w:type="dxa"/>
              <w:bottom w:w="0" w:type="dxa"/>
            </w:tcMar>
            <w:tcW w:w="1555" w:type="dxa"/>
            <w:vAlign w:val="center"/>
            <w:textDirection w:val="lrTb"/>
            <w:noWrap w:val="false"/>
          </w:tcPr>
          <w:p>
            <w:pPr>
              <w:jc w:val="center"/>
              <w:spacing w:after="0" w:line="85"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 </w:t>
            </w:r>
            <w:r>
              <w:rPr>
                <w:color w:val="auto"/>
                <w:highlight w:val="none"/>
              </w:rPr>
            </w:r>
            <w:r/>
          </w:p>
        </w:tc>
        <w:tc>
          <w:tcPr>
            <w:tcBorders>
              <w:top w:val="none" w:color="000000" w:sz="4" w:space="0"/>
              <w:left w:val="single" w:color="auto" w:sz="4" w:space="0"/>
              <w:bottom w:val="single" w:color="000000" w:sz="8" w:space="0"/>
              <w:right w:val="single" w:color="000000" w:sz="8" w:space="0"/>
            </w:tcBorders>
            <w:tcMar>
              <w:left w:w="108" w:type="dxa"/>
              <w:top w:w="0" w:type="dxa"/>
              <w:right w:w="108" w:type="dxa"/>
              <w:bottom w:w="0" w:type="dxa"/>
            </w:tcMar>
            <w:tcW w:w="2563" w:type="dxa"/>
            <w:vAlign w:val="center"/>
            <w:textDirection w:val="lrTb"/>
            <w:noWrap w:val="false"/>
          </w:tcPr>
          <w:p>
            <w:pPr>
              <w:jc w:val="center"/>
              <w:spacing w:after="0" w:line="85"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jc w:val="center"/>
              <w:spacing w:after="0" w:line="559"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 </w:t>
            </w: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7" w:type="dxa"/>
            <w:vAlign w:val="center"/>
            <w:textDirection w:val="lrTb"/>
            <w:noWrap w:val="false"/>
          </w:tcPr>
          <w:p>
            <w:pPr>
              <w:jc w:val="center"/>
              <w:spacing w:after="0" w:line="559"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 </w:t>
            </w: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5" w:type="dxa"/>
            <w:textDirection w:val="lrTb"/>
            <w:noWrap w:val="false"/>
          </w:tcPr>
          <w:p>
            <w:pPr>
              <w:jc w:val="center"/>
              <w:spacing w:after="0" w:line="85"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 </w:t>
            </w:r>
            <w:r>
              <w:rPr>
                <w:color w:val="auto"/>
                <w:highlight w:val="none"/>
              </w:rPr>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jc w:val="center"/>
              <w:spacing w:after="0"/>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w:t>
            </w: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5" w:type="dxa"/>
            <w:vAlign w:val="center"/>
            <w:textDirection w:val="lrTb"/>
            <w:noWrap w:val="false"/>
          </w:tcPr>
          <w:p>
            <w:pPr>
              <w:jc w:val="center"/>
              <w:spacing w:after="0" w:line="559"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 </w:t>
            </w:r>
            <w:r>
              <w:rPr>
                <w:color w:val="auto"/>
                <w:highlight w:val="none"/>
              </w:rPr>
            </w:r>
            <w:r/>
          </w:p>
        </w:tc>
        <w:tc>
          <w:tcPr>
            <w:tcBorders>
              <w:top w:val="none" w:color="000000" w:sz="4" w:space="0"/>
              <w:left w:val="none" w:color="000000" w:sz="4" w:space="0"/>
              <w:bottom w:val="single" w:color="000000" w:sz="8" w:space="0"/>
              <w:right w:val="single" w:color="auto" w:sz="4" w:space="0"/>
            </w:tcBorders>
            <w:tcMar>
              <w:left w:w="108" w:type="dxa"/>
              <w:top w:w="0" w:type="dxa"/>
              <w:right w:w="108" w:type="dxa"/>
              <w:bottom w:w="0" w:type="dxa"/>
            </w:tcMar>
            <w:tcW w:w="1555" w:type="dxa"/>
            <w:vAlign w:val="center"/>
            <w:textDirection w:val="lrTb"/>
            <w:noWrap w:val="false"/>
          </w:tcPr>
          <w:p>
            <w:pPr>
              <w:jc w:val="center"/>
              <w:spacing w:after="0" w:line="85"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 </w:t>
            </w:r>
            <w:r>
              <w:rPr>
                <w:color w:val="auto"/>
                <w:highlight w:val="none"/>
              </w:rPr>
            </w:r>
            <w:r/>
          </w:p>
        </w:tc>
        <w:tc>
          <w:tcPr>
            <w:tcBorders>
              <w:top w:val="none" w:color="000000" w:sz="4" w:space="0"/>
              <w:left w:val="single" w:color="auto" w:sz="4" w:space="0"/>
              <w:bottom w:val="single" w:color="000000" w:sz="8" w:space="0"/>
              <w:right w:val="single" w:color="000000" w:sz="8" w:space="0"/>
            </w:tcBorders>
            <w:tcMar>
              <w:left w:w="108" w:type="dxa"/>
              <w:top w:w="0" w:type="dxa"/>
              <w:right w:w="108" w:type="dxa"/>
              <w:bottom w:w="0" w:type="dxa"/>
            </w:tcMar>
            <w:tcW w:w="2563" w:type="dxa"/>
            <w:vAlign w:val="center"/>
            <w:textDirection w:val="lrTb"/>
            <w:noWrap w:val="false"/>
          </w:tcPr>
          <w:p>
            <w:pPr>
              <w:jc w:val="center"/>
              <w:spacing w:after="0" w:line="85"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jc w:val="center"/>
              <w:spacing w:after="0" w:line="559"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 </w:t>
            </w: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7" w:type="dxa"/>
            <w:vAlign w:val="center"/>
            <w:textDirection w:val="lrTb"/>
            <w:noWrap w:val="false"/>
          </w:tcPr>
          <w:p>
            <w:pPr>
              <w:jc w:val="center"/>
              <w:spacing w:after="0" w:line="559"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 </w:t>
            </w: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5" w:type="dxa"/>
            <w:textDirection w:val="lrTb"/>
            <w:noWrap w:val="false"/>
          </w:tcPr>
          <w:p>
            <w:pPr>
              <w:jc w:val="center"/>
              <w:spacing w:after="0" w:line="85"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 </w:t>
            </w:r>
            <w:r>
              <w:rPr>
                <w:color w:val="auto"/>
                <w:highlight w:val="none"/>
              </w:rPr>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jc w:val="center"/>
              <w:spacing w:after="0"/>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w:t>
            </w: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5" w:type="dxa"/>
            <w:textDirection w:val="lrTb"/>
            <w:noWrap w:val="false"/>
          </w:tcPr>
          <w:p>
            <w:pPr>
              <w:jc w:val="center"/>
              <w:spacing w:after="0" w:line="85"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 </w:t>
            </w:r>
            <w:r>
              <w:rPr>
                <w:color w:val="auto"/>
                <w:highlight w:val="none"/>
              </w:rPr>
            </w:r>
            <w:r/>
          </w:p>
        </w:tc>
        <w:tc>
          <w:tcPr>
            <w:tcBorders>
              <w:top w:val="none" w:color="000000" w:sz="4" w:space="0"/>
              <w:left w:val="none" w:color="000000" w:sz="4" w:space="0"/>
              <w:bottom w:val="single" w:color="000000" w:sz="8" w:space="0"/>
              <w:right w:val="single" w:color="auto" w:sz="4" w:space="0"/>
            </w:tcBorders>
            <w:tcMar>
              <w:left w:w="108" w:type="dxa"/>
              <w:top w:w="0" w:type="dxa"/>
              <w:right w:w="108" w:type="dxa"/>
              <w:bottom w:w="0" w:type="dxa"/>
            </w:tcMar>
            <w:tcW w:w="1555" w:type="dxa"/>
            <w:textDirection w:val="lrTb"/>
            <w:noWrap w:val="false"/>
          </w:tcPr>
          <w:p>
            <w:pPr>
              <w:jc w:val="center"/>
              <w:spacing w:after="0" w:line="85"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 </w:t>
            </w:r>
            <w:r>
              <w:rPr>
                <w:color w:val="auto"/>
                <w:highlight w:val="none"/>
              </w:rPr>
            </w:r>
            <w:r/>
          </w:p>
        </w:tc>
        <w:tc>
          <w:tcPr>
            <w:tcBorders>
              <w:top w:val="none" w:color="000000" w:sz="4" w:space="0"/>
              <w:left w:val="single" w:color="auto" w:sz="4" w:space="0"/>
              <w:bottom w:val="single" w:color="000000" w:sz="8" w:space="0"/>
              <w:right w:val="single" w:color="000000" w:sz="8" w:space="0"/>
            </w:tcBorders>
            <w:tcMar>
              <w:left w:w="108" w:type="dxa"/>
              <w:top w:w="0" w:type="dxa"/>
              <w:right w:w="108" w:type="dxa"/>
              <w:bottom w:w="0" w:type="dxa"/>
            </w:tcMar>
            <w:tcW w:w="2563" w:type="dxa"/>
            <w:textDirection w:val="lrTb"/>
            <w:noWrap w:val="false"/>
          </w:tcPr>
          <w:p>
            <w:pPr>
              <w:jc w:val="center"/>
              <w:spacing w:after="0" w:line="85"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textDirection w:val="lrTb"/>
            <w:noWrap w:val="false"/>
          </w:tcPr>
          <w:p>
            <w:pPr>
              <w:jc w:val="center"/>
              <w:spacing w:after="0" w:line="85"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 </w:t>
            </w: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7" w:type="dxa"/>
            <w:textDirection w:val="lrTb"/>
            <w:noWrap w:val="false"/>
          </w:tcPr>
          <w:p>
            <w:pPr>
              <w:jc w:val="center"/>
              <w:spacing w:after="0" w:line="85"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 </w:t>
            </w: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5" w:type="dxa"/>
            <w:textDirection w:val="lrTb"/>
            <w:noWrap w:val="false"/>
          </w:tcPr>
          <w:p>
            <w:pPr>
              <w:jc w:val="center"/>
              <w:spacing w:after="0" w:line="85"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 </w:t>
            </w:r>
            <w:r>
              <w:rPr>
                <w:color w:val="auto"/>
                <w:highlight w:val="none"/>
              </w:rPr>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jc w:val="center"/>
              <w:spacing w:after="0"/>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4</w:t>
            </w: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5" w:type="dxa"/>
            <w:textDirection w:val="lrTb"/>
            <w:noWrap w:val="false"/>
          </w:tcPr>
          <w:p>
            <w:pPr>
              <w:jc w:val="center"/>
              <w:spacing w:after="0" w:line="85"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 </w:t>
            </w:r>
            <w:r>
              <w:rPr>
                <w:color w:val="auto"/>
                <w:highlight w:val="none"/>
              </w:rPr>
            </w:r>
            <w:r/>
          </w:p>
        </w:tc>
        <w:tc>
          <w:tcPr>
            <w:tcBorders>
              <w:top w:val="none" w:color="000000" w:sz="4" w:space="0"/>
              <w:left w:val="none" w:color="000000" w:sz="4" w:space="0"/>
              <w:bottom w:val="single" w:color="000000" w:sz="8" w:space="0"/>
              <w:right w:val="single" w:color="auto" w:sz="4" w:space="0"/>
            </w:tcBorders>
            <w:tcMar>
              <w:left w:w="108" w:type="dxa"/>
              <w:top w:w="0" w:type="dxa"/>
              <w:right w:w="108" w:type="dxa"/>
              <w:bottom w:w="0" w:type="dxa"/>
            </w:tcMar>
            <w:tcW w:w="1555" w:type="dxa"/>
            <w:textDirection w:val="lrTb"/>
            <w:noWrap w:val="false"/>
          </w:tcPr>
          <w:p>
            <w:pPr>
              <w:jc w:val="center"/>
              <w:spacing w:after="0" w:line="85"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 </w:t>
            </w:r>
            <w:r>
              <w:rPr>
                <w:color w:val="auto"/>
                <w:highlight w:val="none"/>
              </w:rPr>
            </w:r>
            <w:r/>
          </w:p>
        </w:tc>
        <w:tc>
          <w:tcPr>
            <w:tcBorders>
              <w:top w:val="none" w:color="000000" w:sz="4" w:space="0"/>
              <w:left w:val="single" w:color="auto" w:sz="4" w:space="0"/>
              <w:bottom w:val="single" w:color="000000" w:sz="8" w:space="0"/>
              <w:right w:val="single" w:color="000000" w:sz="8" w:space="0"/>
            </w:tcBorders>
            <w:tcMar>
              <w:left w:w="108" w:type="dxa"/>
              <w:top w:w="0" w:type="dxa"/>
              <w:right w:w="108" w:type="dxa"/>
              <w:bottom w:w="0" w:type="dxa"/>
            </w:tcMar>
            <w:tcW w:w="2563" w:type="dxa"/>
            <w:textDirection w:val="lrTb"/>
            <w:noWrap w:val="false"/>
          </w:tcPr>
          <w:p>
            <w:pPr>
              <w:jc w:val="center"/>
              <w:spacing w:after="0" w:line="85"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textDirection w:val="lrTb"/>
            <w:noWrap w:val="false"/>
          </w:tcPr>
          <w:p>
            <w:pPr>
              <w:jc w:val="center"/>
              <w:spacing w:after="0" w:line="85"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 </w:t>
            </w: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7" w:type="dxa"/>
            <w:textDirection w:val="lrTb"/>
            <w:noWrap w:val="false"/>
          </w:tcPr>
          <w:p>
            <w:pPr>
              <w:jc w:val="center"/>
              <w:spacing w:after="0" w:line="85"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 </w:t>
            </w: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5" w:type="dxa"/>
            <w:textDirection w:val="lrTb"/>
            <w:noWrap w:val="false"/>
          </w:tcPr>
          <w:p>
            <w:pPr>
              <w:jc w:val="center"/>
              <w:spacing w:after="0" w:line="85"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 </w:t>
            </w:r>
            <w:r>
              <w:rPr>
                <w:color w:val="auto"/>
                <w:highlight w:val="none"/>
              </w:rPr>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jc w:val="center"/>
              <w:spacing w:after="0"/>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5</w:t>
            </w: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5" w:type="dxa"/>
            <w:textDirection w:val="lrTb"/>
            <w:noWrap w:val="false"/>
          </w:tcPr>
          <w:p>
            <w:pPr>
              <w:jc w:val="center"/>
              <w:spacing w:after="0" w:line="85"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 </w:t>
            </w:r>
            <w:r>
              <w:rPr>
                <w:color w:val="auto"/>
                <w:highlight w:val="none"/>
              </w:rPr>
            </w:r>
            <w:r/>
          </w:p>
        </w:tc>
        <w:tc>
          <w:tcPr>
            <w:tcBorders>
              <w:top w:val="none" w:color="000000" w:sz="4" w:space="0"/>
              <w:left w:val="none" w:color="000000" w:sz="4" w:space="0"/>
              <w:bottom w:val="single" w:color="000000" w:sz="8" w:space="0"/>
              <w:right w:val="single" w:color="auto" w:sz="4" w:space="0"/>
            </w:tcBorders>
            <w:tcMar>
              <w:left w:w="108" w:type="dxa"/>
              <w:top w:w="0" w:type="dxa"/>
              <w:right w:w="108" w:type="dxa"/>
              <w:bottom w:w="0" w:type="dxa"/>
            </w:tcMar>
            <w:tcW w:w="1555" w:type="dxa"/>
            <w:textDirection w:val="lrTb"/>
            <w:noWrap w:val="false"/>
          </w:tcPr>
          <w:p>
            <w:pPr>
              <w:jc w:val="center"/>
              <w:spacing w:after="0" w:line="85"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 </w:t>
            </w:r>
            <w:r>
              <w:rPr>
                <w:color w:val="auto"/>
                <w:highlight w:val="none"/>
              </w:rPr>
            </w:r>
            <w:r/>
          </w:p>
        </w:tc>
        <w:tc>
          <w:tcPr>
            <w:tcBorders>
              <w:top w:val="none" w:color="000000" w:sz="4" w:space="0"/>
              <w:left w:val="single" w:color="auto" w:sz="4" w:space="0"/>
              <w:bottom w:val="single" w:color="000000" w:sz="8" w:space="0"/>
              <w:right w:val="single" w:color="000000" w:sz="8" w:space="0"/>
            </w:tcBorders>
            <w:tcMar>
              <w:left w:w="108" w:type="dxa"/>
              <w:top w:w="0" w:type="dxa"/>
              <w:right w:w="108" w:type="dxa"/>
              <w:bottom w:w="0" w:type="dxa"/>
            </w:tcMar>
            <w:tcW w:w="2563" w:type="dxa"/>
            <w:textDirection w:val="lrTb"/>
            <w:noWrap w:val="false"/>
          </w:tcPr>
          <w:p>
            <w:pPr>
              <w:jc w:val="center"/>
              <w:spacing w:after="0" w:line="85"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textDirection w:val="lrTb"/>
            <w:noWrap w:val="false"/>
          </w:tcPr>
          <w:p>
            <w:pPr>
              <w:jc w:val="center"/>
              <w:spacing w:after="0" w:line="85"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 </w:t>
            </w: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7" w:type="dxa"/>
            <w:textDirection w:val="lrTb"/>
            <w:noWrap w:val="false"/>
          </w:tcPr>
          <w:p>
            <w:pPr>
              <w:jc w:val="center"/>
              <w:spacing w:after="0" w:line="85"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 </w:t>
            </w: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5" w:type="dxa"/>
            <w:textDirection w:val="lrTb"/>
            <w:noWrap w:val="false"/>
          </w:tcPr>
          <w:p>
            <w:pPr>
              <w:jc w:val="center"/>
              <w:spacing w:after="0" w:line="85"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 </w:t>
            </w:r>
            <w:r>
              <w:rPr>
                <w:color w:val="auto"/>
                <w:highlight w:val="none"/>
              </w:rPr>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jc w:val="center"/>
              <w:spacing w:after="0"/>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6</w:t>
            </w: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5" w:type="dxa"/>
            <w:textDirection w:val="lrTb"/>
            <w:noWrap w:val="false"/>
          </w:tcPr>
          <w:p>
            <w:pPr>
              <w:jc w:val="center"/>
              <w:spacing w:after="0" w:line="85"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 </w:t>
            </w:r>
            <w:r>
              <w:rPr>
                <w:color w:val="auto"/>
                <w:highlight w:val="none"/>
              </w:rPr>
            </w:r>
            <w:r/>
          </w:p>
        </w:tc>
        <w:tc>
          <w:tcPr>
            <w:tcBorders>
              <w:top w:val="none" w:color="000000" w:sz="4" w:space="0"/>
              <w:left w:val="none" w:color="000000" w:sz="4" w:space="0"/>
              <w:bottom w:val="single" w:color="000000" w:sz="8" w:space="0"/>
              <w:right w:val="single" w:color="auto" w:sz="4" w:space="0"/>
            </w:tcBorders>
            <w:tcMar>
              <w:left w:w="108" w:type="dxa"/>
              <w:top w:w="0" w:type="dxa"/>
              <w:right w:w="108" w:type="dxa"/>
              <w:bottom w:w="0" w:type="dxa"/>
            </w:tcMar>
            <w:tcW w:w="1555" w:type="dxa"/>
            <w:textDirection w:val="lrTb"/>
            <w:noWrap w:val="false"/>
          </w:tcPr>
          <w:p>
            <w:pPr>
              <w:jc w:val="center"/>
              <w:spacing w:after="0" w:line="85"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 </w:t>
            </w:r>
            <w:r>
              <w:rPr>
                <w:color w:val="auto"/>
                <w:highlight w:val="none"/>
              </w:rPr>
            </w:r>
            <w:r/>
          </w:p>
        </w:tc>
        <w:tc>
          <w:tcPr>
            <w:tcBorders>
              <w:top w:val="none" w:color="000000" w:sz="4" w:space="0"/>
              <w:left w:val="single" w:color="auto" w:sz="4" w:space="0"/>
              <w:bottom w:val="single" w:color="000000" w:sz="8" w:space="0"/>
              <w:right w:val="single" w:color="000000" w:sz="8" w:space="0"/>
            </w:tcBorders>
            <w:tcMar>
              <w:left w:w="108" w:type="dxa"/>
              <w:top w:w="0" w:type="dxa"/>
              <w:right w:w="108" w:type="dxa"/>
              <w:bottom w:w="0" w:type="dxa"/>
            </w:tcMar>
            <w:tcW w:w="2563" w:type="dxa"/>
            <w:textDirection w:val="lrTb"/>
            <w:noWrap w:val="false"/>
          </w:tcPr>
          <w:p>
            <w:pPr>
              <w:jc w:val="center"/>
              <w:spacing w:after="0" w:line="85"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textDirection w:val="lrTb"/>
            <w:noWrap w:val="false"/>
          </w:tcPr>
          <w:p>
            <w:pPr>
              <w:jc w:val="center"/>
              <w:spacing w:after="0" w:line="85"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 </w:t>
            </w: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7" w:type="dxa"/>
            <w:textDirection w:val="lrTb"/>
            <w:noWrap w:val="false"/>
          </w:tcPr>
          <w:p>
            <w:pPr>
              <w:jc w:val="center"/>
              <w:spacing w:after="0" w:line="85"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 </w:t>
            </w: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5" w:type="dxa"/>
            <w:textDirection w:val="lrTb"/>
            <w:noWrap w:val="false"/>
          </w:tcPr>
          <w:p>
            <w:pPr>
              <w:jc w:val="center"/>
              <w:spacing w:after="0" w:line="85"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 </w:t>
            </w:r>
            <w:r>
              <w:rPr>
                <w:color w:val="auto"/>
                <w:highlight w:val="none"/>
              </w:rPr>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jc w:val="center"/>
              <w:spacing w:after="0"/>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7</w:t>
            </w: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5" w:type="dxa"/>
            <w:textDirection w:val="lrTb"/>
            <w:noWrap w:val="false"/>
          </w:tcPr>
          <w:p>
            <w:pPr>
              <w:jc w:val="center"/>
              <w:spacing w:after="0" w:line="85"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 </w:t>
            </w:r>
            <w:r>
              <w:rPr>
                <w:color w:val="auto"/>
                <w:highlight w:val="none"/>
              </w:rPr>
            </w:r>
            <w:r/>
          </w:p>
        </w:tc>
        <w:tc>
          <w:tcPr>
            <w:tcBorders>
              <w:top w:val="none" w:color="000000" w:sz="4" w:space="0"/>
              <w:left w:val="none" w:color="000000" w:sz="4" w:space="0"/>
              <w:bottom w:val="single" w:color="000000" w:sz="8" w:space="0"/>
              <w:right w:val="single" w:color="auto" w:sz="4" w:space="0"/>
            </w:tcBorders>
            <w:tcMar>
              <w:left w:w="108" w:type="dxa"/>
              <w:top w:w="0" w:type="dxa"/>
              <w:right w:w="108" w:type="dxa"/>
              <w:bottom w:w="0" w:type="dxa"/>
            </w:tcMar>
            <w:tcW w:w="1555" w:type="dxa"/>
            <w:textDirection w:val="lrTb"/>
            <w:noWrap w:val="false"/>
          </w:tcPr>
          <w:p>
            <w:pPr>
              <w:jc w:val="center"/>
              <w:spacing w:after="0" w:line="85"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 </w:t>
            </w:r>
            <w:r>
              <w:rPr>
                <w:color w:val="auto"/>
                <w:highlight w:val="none"/>
              </w:rPr>
            </w:r>
            <w:r/>
          </w:p>
        </w:tc>
        <w:tc>
          <w:tcPr>
            <w:tcBorders>
              <w:top w:val="none" w:color="000000" w:sz="4" w:space="0"/>
              <w:left w:val="single" w:color="auto" w:sz="4" w:space="0"/>
              <w:bottom w:val="single" w:color="000000" w:sz="8" w:space="0"/>
              <w:right w:val="single" w:color="000000" w:sz="8" w:space="0"/>
            </w:tcBorders>
            <w:tcMar>
              <w:left w:w="108" w:type="dxa"/>
              <w:top w:w="0" w:type="dxa"/>
              <w:right w:w="108" w:type="dxa"/>
              <w:bottom w:w="0" w:type="dxa"/>
            </w:tcMar>
            <w:tcW w:w="2563" w:type="dxa"/>
            <w:textDirection w:val="lrTb"/>
            <w:noWrap w:val="false"/>
          </w:tcPr>
          <w:p>
            <w:pPr>
              <w:jc w:val="center"/>
              <w:spacing w:after="0" w:line="85"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textDirection w:val="lrTb"/>
            <w:noWrap w:val="false"/>
          </w:tcPr>
          <w:p>
            <w:pPr>
              <w:jc w:val="center"/>
              <w:spacing w:after="0" w:line="85"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 </w:t>
            </w: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7" w:type="dxa"/>
            <w:textDirection w:val="lrTb"/>
            <w:noWrap w:val="false"/>
          </w:tcPr>
          <w:p>
            <w:pPr>
              <w:jc w:val="center"/>
              <w:spacing w:after="0" w:line="85"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 </w:t>
            </w: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5" w:type="dxa"/>
            <w:textDirection w:val="lrTb"/>
            <w:noWrap w:val="false"/>
          </w:tcPr>
          <w:p>
            <w:pPr>
              <w:jc w:val="center"/>
              <w:spacing w:after="0" w:line="85"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 </w:t>
            </w:r>
            <w:r>
              <w:rPr>
                <w:color w:val="auto"/>
                <w:highlight w:val="none"/>
              </w:rPr>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jc w:val="center"/>
              <w:spacing w:after="0"/>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8</w:t>
            </w: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5" w:type="dxa"/>
            <w:textDirection w:val="lrTb"/>
            <w:noWrap w:val="false"/>
          </w:tcPr>
          <w:p>
            <w:pPr>
              <w:jc w:val="center"/>
              <w:spacing w:after="0" w:line="85"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 </w:t>
            </w:r>
            <w:r>
              <w:rPr>
                <w:color w:val="auto"/>
                <w:highlight w:val="none"/>
              </w:rPr>
            </w:r>
            <w:r/>
          </w:p>
        </w:tc>
        <w:tc>
          <w:tcPr>
            <w:tcBorders>
              <w:top w:val="none" w:color="000000" w:sz="4" w:space="0"/>
              <w:left w:val="none" w:color="000000" w:sz="4" w:space="0"/>
              <w:bottom w:val="single" w:color="000000" w:sz="8" w:space="0"/>
              <w:right w:val="single" w:color="auto" w:sz="4" w:space="0"/>
            </w:tcBorders>
            <w:tcMar>
              <w:left w:w="108" w:type="dxa"/>
              <w:top w:w="0" w:type="dxa"/>
              <w:right w:w="108" w:type="dxa"/>
              <w:bottom w:w="0" w:type="dxa"/>
            </w:tcMar>
            <w:tcW w:w="1555" w:type="dxa"/>
            <w:textDirection w:val="lrTb"/>
            <w:noWrap w:val="false"/>
          </w:tcPr>
          <w:p>
            <w:pPr>
              <w:jc w:val="center"/>
              <w:spacing w:after="0" w:line="85"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 </w:t>
            </w:r>
            <w:r>
              <w:rPr>
                <w:color w:val="auto"/>
                <w:highlight w:val="none"/>
              </w:rPr>
            </w:r>
            <w:r/>
          </w:p>
        </w:tc>
        <w:tc>
          <w:tcPr>
            <w:tcBorders>
              <w:top w:val="none" w:color="000000" w:sz="4" w:space="0"/>
              <w:left w:val="single" w:color="auto" w:sz="4" w:space="0"/>
              <w:bottom w:val="single" w:color="000000" w:sz="8" w:space="0"/>
              <w:right w:val="single" w:color="000000" w:sz="8" w:space="0"/>
            </w:tcBorders>
            <w:tcMar>
              <w:left w:w="108" w:type="dxa"/>
              <w:top w:w="0" w:type="dxa"/>
              <w:right w:w="108" w:type="dxa"/>
              <w:bottom w:w="0" w:type="dxa"/>
            </w:tcMar>
            <w:tcW w:w="2563" w:type="dxa"/>
            <w:textDirection w:val="lrTb"/>
            <w:noWrap w:val="false"/>
          </w:tcPr>
          <w:p>
            <w:pPr>
              <w:jc w:val="center"/>
              <w:spacing w:after="0" w:line="85"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textDirection w:val="lrTb"/>
            <w:noWrap w:val="false"/>
          </w:tcPr>
          <w:p>
            <w:pPr>
              <w:jc w:val="center"/>
              <w:spacing w:after="0" w:line="85"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 </w:t>
            </w: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7" w:type="dxa"/>
            <w:textDirection w:val="lrTb"/>
            <w:noWrap w:val="false"/>
          </w:tcPr>
          <w:p>
            <w:pPr>
              <w:jc w:val="center"/>
              <w:spacing w:after="0" w:line="85"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 </w:t>
            </w: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5" w:type="dxa"/>
            <w:textDirection w:val="lrTb"/>
            <w:noWrap w:val="false"/>
          </w:tcPr>
          <w:p>
            <w:pPr>
              <w:jc w:val="center"/>
              <w:spacing w:after="0" w:line="85"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 </w:t>
            </w:r>
            <w:r>
              <w:rPr>
                <w:color w:val="auto"/>
                <w:highlight w:val="none"/>
              </w:rPr>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jc w:val="center"/>
              <w:spacing w:after="0"/>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 </w:t>
            </w: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5" w:type="dxa"/>
            <w:textDirection w:val="lrTb"/>
            <w:noWrap w:val="false"/>
          </w:tcPr>
          <w:p>
            <w:pPr>
              <w:jc w:val="center"/>
              <w:spacing w:after="0" w:line="85"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 </w:t>
            </w:r>
            <w:r>
              <w:rPr>
                <w:color w:val="auto"/>
                <w:highlight w:val="none"/>
              </w:rPr>
            </w:r>
            <w:r/>
          </w:p>
        </w:tc>
        <w:tc>
          <w:tcPr>
            <w:tcBorders>
              <w:top w:val="none" w:color="000000" w:sz="4" w:space="0"/>
              <w:left w:val="none" w:color="000000" w:sz="4" w:space="0"/>
              <w:bottom w:val="single" w:color="000000" w:sz="8" w:space="0"/>
              <w:right w:val="single" w:color="auto" w:sz="4" w:space="0"/>
            </w:tcBorders>
            <w:tcMar>
              <w:left w:w="108" w:type="dxa"/>
              <w:top w:w="0" w:type="dxa"/>
              <w:right w:w="108" w:type="dxa"/>
              <w:bottom w:w="0" w:type="dxa"/>
            </w:tcMar>
            <w:tcW w:w="1555" w:type="dxa"/>
            <w:textDirection w:val="lrTb"/>
            <w:noWrap w:val="false"/>
          </w:tcPr>
          <w:p>
            <w:pPr>
              <w:jc w:val="center"/>
              <w:spacing w:after="0" w:line="85"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 </w:t>
            </w:r>
            <w:r>
              <w:rPr>
                <w:color w:val="auto"/>
                <w:highlight w:val="none"/>
              </w:rPr>
            </w:r>
            <w:r/>
          </w:p>
        </w:tc>
        <w:tc>
          <w:tcPr>
            <w:tcBorders>
              <w:top w:val="none" w:color="000000" w:sz="4" w:space="0"/>
              <w:left w:val="single" w:color="auto" w:sz="4" w:space="0"/>
              <w:bottom w:val="single" w:color="000000" w:sz="8" w:space="0"/>
              <w:right w:val="single" w:color="000000" w:sz="8" w:space="0"/>
            </w:tcBorders>
            <w:tcMar>
              <w:left w:w="108" w:type="dxa"/>
              <w:top w:w="0" w:type="dxa"/>
              <w:right w:w="108" w:type="dxa"/>
              <w:bottom w:w="0" w:type="dxa"/>
            </w:tcMar>
            <w:tcW w:w="2563" w:type="dxa"/>
            <w:textDirection w:val="lrTb"/>
            <w:noWrap w:val="false"/>
          </w:tcPr>
          <w:p>
            <w:pPr>
              <w:jc w:val="center"/>
              <w:spacing w:after="0" w:line="85"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textDirection w:val="lrTb"/>
            <w:noWrap w:val="false"/>
          </w:tcPr>
          <w:p>
            <w:pPr>
              <w:jc w:val="center"/>
              <w:spacing w:after="0" w:line="85"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 </w:t>
            </w: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7" w:type="dxa"/>
            <w:textDirection w:val="lrTb"/>
            <w:noWrap w:val="false"/>
          </w:tcPr>
          <w:p>
            <w:pPr>
              <w:jc w:val="center"/>
              <w:spacing w:after="0" w:line="85"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 </w:t>
            </w: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5" w:type="dxa"/>
            <w:textDirection w:val="lrTb"/>
            <w:noWrap w:val="false"/>
          </w:tcPr>
          <w:p>
            <w:pPr>
              <w:jc w:val="center"/>
              <w:spacing w:after="0" w:line="85"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 </w:t>
            </w:r>
            <w:r>
              <w:rPr>
                <w:color w:val="auto"/>
                <w:highlight w:val="none"/>
              </w:rPr>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jc w:val="center"/>
              <w:spacing w:after="0"/>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w:t>
            </w: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5" w:type="dxa"/>
            <w:textDirection w:val="lrTb"/>
            <w:noWrap w:val="false"/>
          </w:tcPr>
          <w:p>
            <w:pPr>
              <w:jc w:val="center"/>
              <w:spacing w:after="0" w:line="85"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 </w:t>
            </w:r>
            <w:r>
              <w:rPr>
                <w:color w:val="auto"/>
                <w:highlight w:val="none"/>
              </w:rPr>
            </w:r>
            <w:r/>
          </w:p>
        </w:tc>
        <w:tc>
          <w:tcPr>
            <w:tcBorders>
              <w:top w:val="none" w:color="000000" w:sz="4" w:space="0"/>
              <w:left w:val="none" w:color="000000" w:sz="4" w:space="0"/>
              <w:bottom w:val="single" w:color="000000" w:sz="8" w:space="0"/>
              <w:right w:val="single" w:color="auto" w:sz="4" w:space="0"/>
            </w:tcBorders>
            <w:tcMar>
              <w:left w:w="108" w:type="dxa"/>
              <w:top w:w="0" w:type="dxa"/>
              <w:right w:w="108" w:type="dxa"/>
              <w:bottom w:w="0" w:type="dxa"/>
            </w:tcMar>
            <w:tcW w:w="1555" w:type="dxa"/>
            <w:textDirection w:val="lrTb"/>
            <w:noWrap w:val="false"/>
          </w:tcPr>
          <w:p>
            <w:pPr>
              <w:jc w:val="center"/>
              <w:spacing w:after="0" w:line="85"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 </w:t>
            </w:r>
            <w:r>
              <w:rPr>
                <w:color w:val="auto"/>
                <w:highlight w:val="none"/>
              </w:rPr>
            </w:r>
            <w:r/>
          </w:p>
        </w:tc>
        <w:tc>
          <w:tcPr>
            <w:tcBorders>
              <w:top w:val="none" w:color="000000" w:sz="4" w:space="0"/>
              <w:left w:val="single" w:color="auto" w:sz="4" w:space="0"/>
              <w:bottom w:val="single" w:color="000000" w:sz="8" w:space="0"/>
              <w:right w:val="single" w:color="000000" w:sz="8" w:space="0"/>
            </w:tcBorders>
            <w:tcMar>
              <w:left w:w="108" w:type="dxa"/>
              <w:top w:w="0" w:type="dxa"/>
              <w:right w:w="108" w:type="dxa"/>
              <w:bottom w:w="0" w:type="dxa"/>
            </w:tcMar>
            <w:tcW w:w="2563" w:type="dxa"/>
            <w:textDirection w:val="lrTb"/>
            <w:noWrap w:val="false"/>
          </w:tcPr>
          <w:p>
            <w:pPr>
              <w:jc w:val="center"/>
              <w:spacing w:after="0" w:line="85"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textDirection w:val="lrTb"/>
            <w:noWrap w:val="false"/>
          </w:tcPr>
          <w:p>
            <w:pPr>
              <w:jc w:val="center"/>
              <w:spacing w:after="0" w:line="85"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 </w:t>
            </w: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7" w:type="dxa"/>
            <w:textDirection w:val="lrTb"/>
            <w:noWrap w:val="false"/>
          </w:tcPr>
          <w:p>
            <w:pPr>
              <w:jc w:val="center"/>
              <w:spacing w:after="0" w:line="85"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 </w:t>
            </w: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5" w:type="dxa"/>
            <w:textDirection w:val="lrTb"/>
            <w:noWrap w:val="false"/>
          </w:tcPr>
          <w:p>
            <w:pPr>
              <w:jc w:val="center"/>
              <w:spacing w:after="0" w:line="85"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 </w:t>
            </w:r>
            <w:r>
              <w:rPr>
                <w:color w:val="auto"/>
                <w:highlight w:val="none"/>
              </w:rPr>
            </w:r>
            <w:r/>
          </w:p>
        </w:tc>
      </w:tr>
    </w:tbl>
    <w:p>
      <w:pPr>
        <w:spacing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highlight w:val="none"/>
        </w:rPr>
        <w:t xml:space="preserve"> </w:t>
      </w:r>
      <w:r>
        <w:rPr>
          <w:color w:val="auto"/>
          <w:highlight w:val="none"/>
        </w:rPr>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投标人（</w:t>
      </w:r>
      <w:r>
        <w:rPr>
          <w:rFonts w:hint="eastAsia" w:ascii="宋体" w:hAnsi="宋体" w:cs="宋体"/>
          <w:color w:val="auto"/>
          <w:sz w:val="24"/>
          <w:szCs w:val="24"/>
          <w:highlight w:val="none"/>
        </w:rPr>
        <w:t xml:space="preserve">签章</w:t>
      </w:r>
      <w:r>
        <w:rPr>
          <w:rFonts w:hint="eastAsia" w:ascii="宋体" w:hAnsi="宋体" w:cs="宋体"/>
          <w:color w:val="auto"/>
          <w:sz w:val="24"/>
          <w:szCs w:val="24"/>
          <w:highlight w:val="none"/>
          <w:lang w:val="zh-CN"/>
        </w:rPr>
        <w:t xml:space="preserve">）：</w:t>
      </w:r>
      <w:r>
        <w:rPr>
          <w:color w:val="auto"/>
          <w:highlight w:val="none"/>
        </w:rPr>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法定代表人或委托代理人：（签字</w:t>
      </w:r>
      <w:r>
        <w:rPr>
          <w:rFonts w:hint="eastAsia" w:ascii="宋体" w:hAnsi="宋体" w:cs="宋体"/>
          <w:color w:val="auto"/>
          <w:sz w:val="24"/>
          <w:szCs w:val="24"/>
          <w:highlight w:val="none"/>
        </w:rPr>
        <w:t xml:space="preserve">或签章</w:t>
      </w:r>
      <w:r>
        <w:rPr>
          <w:rFonts w:hint="eastAsia" w:ascii="宋体" w:hAnsi="宋体" w:cs="宋体"/>
          <w:color w:val="auto"/>
          <w:sz w:val="24"/>
          <w:szCs w:val="24"/>
          <w:highlight w:val="none"/>
          <w:lang w:val="zh-CN"/>
        </w:rPr>
        <w:t xml:space="preserve">）</w:t>
      </w:r>
      <w:r>
        <w:rPr>
          <w:color w:val="auto"/>
          <w:highlight w:val="none"/>
        </w:rPr>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日期：</w:t>
      </w:r>
      <w:r>
        <w:rPr>
          <w:color w:val="auto"/>
          <w:highlight w:val="none"/>
        </w:rPr>
      </w:r>
      <w:r/>
    </w:p>
    <w:p>
      <w:pPr>
        <w:spacing w:line="440" w:lineRule="exact"/>
        <w:rPr>
          <w:rFonts w:ascii="宋体" w:hAnsi="宋体"/>
          <w:b/>
          <w:bCs/>
          <w:color w:val="auto"/>
          <w:sz w:val="24"/>
          <w:szCs w:val="24"/>
          <w:highlight w:val="none"/>
        </w:rPr>
      </w:pPr>
      <w:r>
        <w:rPr>
          <w:rFonts w:hint="eastAsia" w:ascii="宋体" w:hAnsi="宋体"/>
          <w:b/>
          <w:bCs/>
          <w:color w:val="auto"/>
          <w:sz w:val="24"/>
          <w:szCs w:val="24"/>
          <w:highlight w:val="none"/>
        </w:rPr>
        <w:br w:type="page" w:clear="all"/>
      </w:r>
      <w:r>
        <w:rPr>
          <w:color w:val="auto"/>
          <w:highlight w:val="none"/>
        </w:rPr>
      </w:r>
      <w:r/>
    </w:p>
    <w:p>
      <w:pPr>
        <w:spacing w:line="440" w:lineRule="exact"/>
        <w:rPr>
          <w:rFonts w:ascii="宋体" w:hAnsi="宋体"/>
          <w:color w:val="auto"/>
          <w:sz w:val="24"/>
          <w:szCs w:val="24"/>
          <w:highlight w:val="none"/>
        </w:rPr>
      </w:pPr>
      <w:r>
        <w:rPr>
          <w:rFonts w:hint="eastAsia" w:ascii="宋体" w:hAnsi="宋体"/>
          <w:b/>
          <w:bCs/>
          <w:color w:val="auto"/>
          <w:sz w:val="24"/>
          <w:szCs w:val="24"/>
          <w:highlight w:val="none"/>
        </w:rPr>
        <w:t xml:space="preserve">格式 6、 服务方案</w:t>
      </w:r>
      <w:r>
        <w:rPr>
          <w:color w:val="auto"/>
          <w:highlight w:val="none"/>
        </w:rPr>
      </w:r>
      <w:r/>
    </w:p>
    <w:p>
      <w:pPr>
        <w:jc w:val="center"/>
        <w:spacing w:before="312" w:line="440" w:lineRule="exact"/>
        <w:rPr>
          <w:rFonts w:ascii="宋体" w:hAnsi="宋体" w:cs="宋体"/>
          <w:b/>
          <w:color w:val="auto"/>
          <w:sz w:val="24"/>
          <w:szCs w:val="24"/>
          <w:highlight w:val="none"/>
        </w:rPr>
      </w:pPr>
      <w:r>
        <w:rPr>
          <w:rFonts w:ascii="宋体" w:hAnsi="宋体" w:cs="宋体"/>
          <w:b/>
          <w:color w:val="auto"/>
          <w:sz w:val="24"/>
          <w:szCs w:val="24"/>
          <w:highlight w:val="none"/>
        </w:rPr>
        <w:t xml:space="preserve">服务方案</w:t>
      </w:r>
      <w:r>
        <w:rPr>
          <w:color w:val="auto"/>
          <w:highlight w:val="none"/>
        </w:rPr>
      </w:r>
      <w:r/>
    </w:p>
    <w:tbl>
      <w:tblPr>
        <w:tblW w:w="91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9100"/>
      </w:tblGrid>
      <w:tr>
        <w:trPr>
          <w:trHeight w:val="11192"/>
        </w:trPr>
        <w:tc>
          <w:tcPr>
            <w:tcW w:w="9100" w:type="dxa"/>
            <w:textDirection w:val="lrTb"/>
            <w:noWrap w:val="false"/>
          </w:tcPr>
          <w:p>
            <w:pPr>
              <w:jc w:val="left"/>
              <w:spacing w:line="440" w:lineRule="exact"/>
              <w:tabs>
                <w:tab w:val="left" w:pos="1320" w:leader="none"/>
              </w:tabs>
              <w:rPr>
                <w:rFonts w:ascii="宋体" w:hAnsi="宋体"/>
                <w:color w:val="auto"/>
                <w:sz w:val="24"/>
                <w:szCs w:val="24"/>
                <w:highlight w:val="none"/>
              </w:rPr>
            </w:pPr>
            <w:r>
              <w:rPr>
                <w:rFonts w:hint="eastAsia" w:ascii="宋体" w:hAnsi="宋体"/>
                <w:color w:val="auto"/>
                <w:sz w:val="24"/>
                <w:szCs w:val="24"/>
                <w:highlight w:val="none"/>
              </w:rPr>
              <w:t xml:space="preserve">提示：</w:t>
            </w:r>
            <w:r>
              <w:rPr>
                <w:color w:val="auto"/>
                <w:highlight w:val="none"/>
              </w:rPr>
            </w:r>
            <w:r/>
          </w:p>
          <w:p>
            <w:pPr>
              <w:spacing w:line="440" w:lineRule="exact"/>
              <w:widowControl/>
              <w:rPr>
                <w:rFonts w:ascii="宋体" w:hAnsi="宋体"/>
                <w:color w:val="auto"/>
                <w:sz w:val="24"/>
                <w:szCs w:val="24"/>
                <w:highlight w:val="none"/>
              </w:rPr>
            </w:pPr>
            <w:r>
              <w:rPr>
                <w:rFonts w:ascii="宋体" w:hAnsi="宋体"/>
                <w:color w:val="auto"/>
                <w:sz w:val="24"/>
                <w:szCs w:val="24"/>
                <w:highlight w:val="none"/>
              </w:rPr>
              <w:t xml:space="preserve">1、供应商应根据本次采购项目要求，对所</w:t>
            </w:r>
            <w:r>
              <w:rPr>
                <w:rFonts w:hint="eastAsia" w:ascii="宋体" w:hAnsi="宋体"/>
                <w:color w:val="auto"/>
                <w:sz w:val="24"/>
                <w:szCs w:val="24"/>
                <w:highlight w:val="none"/>
              </w:rPr>
              <w:t xml:space="preserve">配套</w:t>
            </w:r>
            <w:r>
              <w:rPr>
                <w:rFonts w:ascii="宋体" w:hAnsi="宋体"/>
                <w:color w:val="auto"/>
                <w:sz w:val="24"/>
                <w:szCs w:val="24"/>
                <w:highlight w:val="none"/>
              </w:rPr>
              <w:t xml:space="preserve">服务进行详细的说明与描述，包括针对本次采购项目特点及具体情况编写</w:t>
            </w:r>
            <w:r>
              <w:rPr>
                <w:rFonts w:hint="eastAsia" w:ascii="宋体" w:hAnsi="宋体"/>
                <w:color w:val="auto"/>
                <w:sz w:val="24"/>
                <w:szCs w:val="24"/>
                <w:highlight w:val="none"/>
              </w:rPr>
              <w:t xml:space="preserve">中标</w:t>
            </w:r>
            <w:r>
              <w:rPr>
                <w:rFonts w:ascii="宋体" w:hAnsi="宋体"/>
                <w:color w:val="auto"/>
                <w:sz w:val="24"/>
                <w:szCs w:val="24"/>
                <w:highlight w:val="none"/>
              </w:rPr>
              <w:t xml:space="preserve">后拟采取的实施方案等</w:t>
            </w:r>
            <w:r>
              <w:rPr>
                <w:rFonts w:hint="eastAsia" w:ascii="宋体" w:hAnsi="宋体"/>
                <w:color w:val="auto"/>
                <w:sz w:val="24"/>
                <w:szCs w:val="24"/>
                <w:highlight w:val="none"/>
              </w:rPr>
              <w:t xml:space="preserve">。</w:t>
            </w:r>
            <w:r>
              <w:rPr>
                <w:color w:val="auto"/>
                <w:highlight w:val="none"/>
              </w:rPr>
            </w:r>
            <w:r/>
          </w:p>
          <w:p>
            <w:pPr>
              <w:jc w:val="left"/>
              <w:spacing w:line="440" w:lineRule="exact"/>
              <w:rPr>
                <w:rFonts w:ascii="宋体" w:hAnsi="宋体"/>
                <w:color w:val="auto"/>
                <w:sz w:val="24"/>
                <w:szCs w:val="24"/>
                <w:highlight w:val="none"/>
              </w:rPr>
            </w:pPr>
            <w:r>
              <w:rPr>
                <w:rFonts w:ascii="宋体" w:hAnsi="宋体"/>
                <w:color w:val="auto"/>
                <w:sz w:val="24"/>
                <w:szCs w:val="24"/>
                <w:highlight w:val="none"/>
              </w:rPr>
              <w:t xml:space="preserve">2、供应商可根据自身情况编写，本页</w:t>
            </w:r>
            <w:r>
              <w:rPr>
                <w:rFonts w:ascii="宋体" w:hAnsi="宋体"/>
                <w:color w:val="auto"/>
                <w:sz w:val="24"/>
                <w:szCs w:val="24"/>
                <w:highlight w:val="none"/>
              </w:rPr>
              <w:t xml:space="preserve">不够可</w:t>
            </w:r>
            <w:r>
              <w:rPr>
                <w:rFonts w:ascii="宋体" w:hAnsi="宋体"/>
                <w:color w:val="auto"/>
                <w:sz w:val="24"/>
                <w:szCs w:val="24"/>
                <w:highlight w:val="none"/>
              </w:rPr>
              <w:t xml:space="preserve">另加页附后。</w:t>
            </w:r>
            <w:r>
              <w:rPr>
                <w:color w:val="auto"/>
                <w:highlight w:val="none"/>
              </w:rPr>
            </w:r>
            <w:r/>
          </w:p>
          <w:p>
            <w:pPr>
              <w:ind w:left="-27" w:firstLine="247"/>
              <w:jc w:val="left"/>
              <w:spacing w:line="440" w:lineRule="exact"/>
              <w:rPr>
                <w:rFonts w:ascii="宋体" w:hAnsi="宋体"/>
                <w:color w:val="auto"/>
                <w:sz w:val="24"/>
                <w:szCs w:val="24"/>
                <w:highlight w:val="none"/>
              </w:rPr>
            </w:pPr>
            <w:r>
              <w:rPr>
                <w:rFonts w:ascii="宋体" w:hAnsi="宋体"/>
                <w:color w:val="auto"/>
                <w:sz w:val="24"/>
                <w:szCs w:val="24"/>
                <w:highlight w:val="none"/>
              </w:rPr>
            </w:r>
            <w:r>
              <w:rPr>
                <w:color w:val="auto"/>
                <w:highlight w:val="none"/>
              </w:rPr>
            </w:r>
            <w:r/>
          </w:p>
          <w:p>
            <w:pPr>
              <w:ind w:left="-27" w:firstLine="247"/>
              <w:jc w:val="left"/>
              <w:spacing w:line="440" w:lineRule="exact"/>
              <w:rPr>
                <w:rFonts w:ascii="宋体" w:hAnsi="宋体"/>
                <w:color w:val="auto"/>
                <w:sz w:val="24"/>
                <w:szCs w:val="24"/>
                <w:highlight w:val="none"/>
              </w:rPr>
            </w:pPr>
            <w:r>
              <w:rPr>
                <w:rFonts w:ascii="宋体" w:hAnsi="宋体"/>
                <w:color w:val="auto"/>
                <w:sz w:val="24"/>
                <w:szCs w:val="24"/>
                <w:highlight w:val="none"/>
              </w:rPr>
            </w:r>
            <w:r>
              <w:rPr>
                <w:color w:val="auto"/>
                <w:highlight w:val="none"/>
              </w:rPr>
            </w:r>
            <w:r/>
          </w:p>
          <w:p>
            <w:pPr>
              <w:ind w:left="-27" w:firstLine="247"/>
              <w:jc w:val="left"/>
              <w:spacing w:line="440" w:lineRule="exact"/>
              <w:rPr>
                <w:rFonts w:ascii="宋体" w:hAnsi="宋体"/>
                <w:color w:val="auto"/>
                <w:sz w:val="24"/>
                <w:szCs w:val="24"/>
                <w:highlight w:val="none"/>
              </w:rPr>
            </w:pPr>
            <w:r>
              <w:rPr>
                <w:rFonts w:ascii="宋体" w:hAnsi="宋体"/>
                <w:color w:val="auto"/>
                <w:sz w:val="24"/>
                <w:szCs w:val="24"/>
                <w:highlight w:val="none"/>
              </w:rPr>
            </w:r>
            <w:r>
              <w:rPr>
                <w:color w:val="auto"/>
                <w:highlight w:val="none"/>
              </w:rPr>
            </w:r>
            <w:r/>
          </w:p>
          <w:p>
            <w:pPr>
              <w:ind w:left="-27" w:firstLine="247"/>
              <w:jc w:val="left"/>
              <w:spacing w:line="440" w:lineRule="exact"/>
              <w:rPr>
                <w:rFonts w:ascii="宋体" w:hAnsi="宋体"/>
                <w:color w:val="auto"/>
                <w:sz w:val="24"/>
                <w:szCs w:val="24"/>
                <w:highlight w:val="none"/>
              </w:rPr>
            </w:pPr>
            <w:r>
              <w:rPr>
                <w:rFonts w:ascii="宋体" w:hAnsi="宋体"/>
                <w:color w:val="auto"/>
                <w:sz w:val="24"/>
                <w:szCs w:val="24"/>
                <w:highlight w:val="none"/>
              </w:rPr>
            </w:r>
            <w:r>
              <w:rPr>
                <w:color w:val="auto"/>
                <w:highlight w:val="none"/>
              </w:rPr>
            </w:r>
            <w:r/>
          </w:p>
          <w:p>
            <w:pPr>
              <w:ind w:left="-27" w:firstLine="247"/>
              <w:jc w:val="left"/>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                          </w:t>
            </w:r>
            <w:r>
              <w:rPr>
                <w:color w:val="auto"/>
                <w:highlight w:val="none"/>
              </w:rPr>
            </w:r>
            <w:r/>
          </w:p>
          <w:p>
            <w:pPr>
              <w:ind w:left="-27" w:firstLine="247"/>
              <w:jc w:val="left"/>
              <w:spacing w:line="440" w:lineRule="exact"/>
              <w:rPr>
                <w:rFonts w:ascii="宋体" w:hAnsi="宋体"/>
                <w:color w:val="auto"/>
                <w:sz w:val="24"/>
                <w:szCs w:val="24"/>
                <w:highlight w:val="none"/>
              </w:rPr>
            </w:pPr>
            <w:r>
              <w:rPr>
                <w:rFonts w:ascii="宋体" w:hAnsi="宋体"/>
                <w:color w:val="auto"/>
                <w:sz w:val="24"/>
                <w:szCs w:val="24"/>
                <w:highlight w:val="none"/>
              </w:rPr>
            </w:r>
            <w:r>
              <w:rPr>
                <w:color w:val="auto"/>
                <w:highlight w:val="none"/>
              </w:rPr>
            </w:r>
            <w:r/>
          </w:p>
          <w:p>
            <w:pPr>
              <w:ind w:left="-27" w:firstLine="247"/>
              <w:jc w:val="left"/>
              <w:spacing w:line="440" w:lineRule="exact"/>
              <w:rPr>
                <w:rFonts w:ascii="宋体" w:hAnsi="宋体"/>
                <w:color w:val="auto"/>
                <w:sz w:val="24"/>
                <w:szCs w:val="24"/>
                <w:highlight w:val="none"/>
              </w:rPr>
            </w:pPr>
            <w:r>
              <w:rPr>
                <w:rFonts w:ascii="宋体" w:hAnsi="宋体"/>
                <w:color w:val="auto"/>
                <w:sz w:val="24"/>
                <w:szCs w:val="24"/>
                <w:highlight w:val="none"/>
              </w:rPr>
            </w:r>
            <w:r>
              <w:rPr>
                <w:color w:val="auto"/>
                <w:highlight w:val="none"/>
              </w:rPr>
            </w:r>
            <w:r/>
          </w:p>
          <w:p>
            <w:pPr>
              <w:ind w:left="-27" w:firstLine="247"/>
              <w:jc w:val="left"/>
              <w:spacing w:line="440" w:lineRule="exact"/>
              <w:rPr>
                <w:rFonts w:ascii="宋体" w:hAnsi="宋体"/>
                <w:color w:val="auto"/>
                <w:sz w:val="24"/>
                <w:szCs w:val="24"/>
                <w:highlight w:val="none"/>
              </w:rPr>
            </w:pPr>
            <w:r>
              <w:rPr>
                <w:rFonts w:ascii="宋体" w:hAnsi="宋体"/>
                <w:color w:val="auto"/>
                <w:sz w:val="24"/>
                <w:szCs w:val="24"/>
                <w:highlight w:val="none"/>
              </w:rPr>
            </w:r>
            <w:r>
              <w:rPr>
                <w:color w:val="auto"/>
                <w:highlight w:val="none"/>
              </w:rPr>
            </w:r>
            <w:r/>
          </w:p>
          <w:p>
            <w:pPr>
              <w:ind w:left="-27" w:firstLine="247"/>
              <w:jc w:val="left"/>
              <w:spacing w:line="440" w:lineRule="exact"/>
              <w:rPr>
                <w:rFonts w:ascii="宋体" w:hAnsi="宋体"/>
                <w:color w:val="auto"/>
                <w:sz w:val="24"/>
                <w:szCs w:val="24"/>
                <w:highlight w:val="none"/>
              </w:rPr>
            </w:pPr>
            <w:r>
              <w:rPr>
                <w:rFonts w:ascii="宋体" w:hAnsi="宋体"/>
                <w:color w:val="auto"/>
                <w:sz w:val="24"/>
                <w:szCs w:val="24"/>
                <w:highlight w:val="none"/>
              </w:rPr>
            </w:r>
            <w:r>
              <w:rPr>
                <w:color w:val="auto"/>
                <w:highlight w:val="none"/>
              </w:rPr>
            </w:r>
            <w:r/>
          </w:p>
          <w:p>
            <w:pPr>
              <w:ind w:left="-27" w:firstLine="247"/>
              <w:jc w:val="left"/>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                             投标人</w:t>
            </w:r>
            <w:r>
              <w:rPr>
                <w:rFonts w:ascii="宋体" w:hAnsi="宋体"/>
                <w:color w:val="auto"/>
                <w:sz w:val="24"/>
                <w:szCs w:val="24"/>
                <w:highlight w:val="none"/>
              </w:rPr>
              <w:t xml:space="preserve">（盖章）：</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rPr>
                <w:color w:val="auto"/>
                <w:highlight w:val="none"/>
              </w:rPr>
            </w:r>
            <w:r/>
          </w:p>
          <w:p>
            <w:pPr>
              <w:ind w:left="-27" w:firstLine="247"/>
              <w:jc w:val="left"/>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                            </w:t>
            </w:r>
            <w:r>
              <w:rPr>
                <w:color w:val="auto"/>
                <w:highlight w:val="none"/>
              </w:rPr>
            </w:r>
            <w:r/>
          </w:p>
        </w:tc>
      </w:tr>
    </w:tbl>
    <w:p>
      <w:pPr>
        <w:spacing w:line="440" w:lineRule="exact"/>
        <w:rPr>
          <w:rFonts w:ascii="宋体" w:hAnsi="宋体" w:cs="宋体"/>
          <w:b/>
          <w:bCs/>
          <w:color w:val="auto"/>
          <w:sz w:val="24"/>
          <w:szCs w:val="24"/>
          <w:highlight w:val="none"/>
        </w:rPr>
      </w:pPr>
      <w:r>
        <w:rPr>
          <w:rFonts w:ascii="宋体" w:hAnsi="宋体" w:cs="宋体"/>
          <w:b/>
          <w:bCs/>
          <w:color w:val="auto"/>
          <w:sz w:val="24"/>
          <w:szCs w:val="24"/>
          <w:highlight w:val="none"/>
        </w:rPr>
      </w:r>
      <w:r>
        <w:rPr>
          <w:color w:val="auto"/>
          <w:highlight w:val="none"/>
        </w:rPr>
      </w:r>
      <w:r/>
    </w:p>
    <w:p>
      <w:pPr>
        <w:spacing w:line="440" w:lineRule="exact"/>
        <w:rPr>
          <w:rFonts w:ascii="宋体" w:hAnsi="宋体" w:cs="宋体"/>
          <w:b/>
          <w:bCs/>
          <w:color w:val="auto"/>
          <w:sz w:val="24"/>
          <w:szCs w:val="24"/>
          <w:highlight w:val="none"/>
        </w:rPr>
      </w:pPr>
      <w:r>
        <w:rPr>
          <w:rFonts w:ascii="宋体" w:hAnsi="宋体" w:cs="宋体"/>
          <w:b/>
          <w:bCs/>
          <w:color w:val="auto"/>
          <w:sz w:val="24"/>
          <w:szCs w:val="24"/>
          <w:highlight w:val="none"/>
        </w:rPr>
      </w:r>
      <w:r>
        <w:rPr>
          <w:color w:val="auto"/>
          <w:highlight w:val="none"/>
        </w:rPr>
      </w:r>
      <w:r/>
    </w:p>
    <w:p>
      <w:pPr>
        <w:spacing w:line="440" w:lineRule="exact"/>
        <w:rPr>
          <w:rFonts w:ascii="宋体" w:hAnsi="宋体" w:cs="宋体"/>
          <w:b/>
          <w:bCs/>
          <w:color w:val="auto"/>
          <w:sz w:val="24"/>
          <w:szCs w:val="24"/>
          <w:highlight w:val="none"/>
        </w:rPr>
      </w:pPr>
      <w:r>
        <w:rPr>
          <w:rFonts w:ascii="宋体" w:hAnsi="宋体" w:cs="宋体"/>
          <w:b/>
          <w:bCs/>
          <w:color w:val="auto"/>
          <w:sz w:val="24"/>
          <w:szCs w:val="24"/>
          <w:highlight w:val="none"/>
        </w:rPr>
      </w:r>
      <w:r>
        <w:rPr>
          <w:color w:val="auto"/>
          <w:highlight w:val="none"/>
        </w:rPr>
      </w:r>
      <w:r/>
    </w:p>
    <w:p>
      <w:pPr>
        <w:spacing w:line="440" w:lineRule="exact"/>
        <w:rPr>
          <w:rFonts w:ascii="宋体" w:hAnsi="宋体" w:cs="宋体"/>
          <w:color w:val="auto"/>
          <w:sz w:val="24"/>
          <w:szCs w:val="24"/>
          <w:highlight w:val="none"/>
        </w:rPr>
      </w:pPr>
      <w:r>
        <w:rPr>
          <w:rFonts w:ascii="宋体" w:hAnsi="宋体" w:cs="宋体"/>
          <w:b/>
          <w:bCs/>
          <w:color w:val="auto"/>
          <w:sz w:val="24"/>
          <w:szCs w:val="24"/>
          <w:highlight w:val="none"/>
          <w:lang w:val="zh-CN"/>
        </w:rPr>
        <w:t xml:space="preserve">格式</w:t>
      </w:r>
      <w:r>
        <w:rPr>
          <w:rFonts w:hint="eastAsia" w:ascii="宋体" w:hAnsi="宋体" w:cs="宋体"/>
          <w:b/>
          <w:bCs/>
          <w:color w:val="auto"/>
          <w:sz w:val="24"/>
          <w:szCs w:val="24"/>
          <w:highlight w:val="none"/>
        </w:rPr>
        <w:t xml:space="preserve">7</w:t>
      </w:r>
      <w:r>
        <w:rPr>
          <w:rFonts w:ascii="宋体" w:hAnsi="宋体" w:cs="宋体"/>
          <w:b/>
          <w:bCs/>
          <w:color w:val="auto"/>
          <w:sz w:val="24"/>
          <w:szCs w:val="24"/>
          <w:highlight w:val="none"/>
          <w:lang w:val="zh-CN"/>
        </w:rPr>
        <w:t xml:space="preserve">、</w:t>
      </w:r>
      <w:r>
        <w:rPr>
          <w:rFonts w:ascii="宋体" w:hAnsi="宋体" w:cs="宋体"/>
          <w:b/>
          <w:color w:val="auto"/>
          <w:sz w:val="24"/>
          <w:szCs w:val="24"/>
          <w:highlight w:val="none"/>
        </w:rPr>
        <w:t xml:space="preserve">商务条款偏离表</w:t>
      </w:r>
      <w:r>
        <w:rPr>
          <w:color w:val="auto"/>
          <w:highlight w:val="none"/>
        </w:rPr>
      </w:r>
      <w:r/>
    </w:p>
    <w:p>
      <w:pPr>
        <w:jc w:val="center"/>
        <w:spacing w:line="440" w:lineRule="exact"/>
        <w:rPr>
          <w:rFonts w:ascii="宋体" w:hAnsi="宋体" w:cs="宋体"/>
          <w:color w:val="auto"/>
          <w:sz w:val="24"/>
          <w:szCs w:val="24"/>
          <w:highlight w:val="none"/>
        </w:rPr>
      </w:pPr>
      <w:r>
        <w:rPr>
          <w:rFonts w:hint="eastAsia" w:ascii="宋体" w:hAnsi="宋体" w:cs="宋体"/>
          <w:b/>
          <w:color w:val="auto"/>
          <w:sz w:val="24"/>
          <w:szCs w:val="24"/>
          <w:highlight w:val="none"/>
        </w:rPr>
        <w:t xml:space="preserve">商务偏离表</w:t>
      </w:r>
      <w:r>
        <w:rPr>
          <w:color w:val="auto"/>
          <w:highlight w:val="none"/>
        </w:rPr>
      </w:r>
      <w:r/>
    </w:p>
    <w:tbl>
      <w:tblPr>
        <w:tblW w:w="852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660"/>
        <w:gridCol w:w="2036"/>
        <w:gridCol w:w="1990"/>
        <w:gridCol w:w="1910"/>
        <w:gridCol w:w="1926"/>
      </w:tblGrid>
      <w:tr>
        <w:trPr>
          <w:jc w:val="center"/>
        </w:trPr>
        <w:tc>
          <w:tcPr>
            <w:tcW w:w="660" w:type="dxa"/>
            <w:textDirection w:val="lrTb"/>
            <w:noWrap w:val="false"/>
          </w:tcPr>
          <w:p>
            <w:pPr>
              <w:jc w:val="cente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序号</w:t>
            </w:r>
            <w:r>
              <w:rPr>
                <w:color w:val="auto"/>
                <w:highlight w:val="none"/>
              </w:rPr>
            </w:r>
            <w:r/>
          </w:p>
        </w:tc>
        <w:tc>
          <w:tcPr>
            <w:tcW w:w="2036" w:type="dxa"/>
            <w:textDirection w:val="lrTb"/>
            <w:noWrap w:val="false"/>
          </w:tcPr>
          <w:p>
            <w:pPr>
              <w:jc w:val="cente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招标文件条目号</w:t>
            </w:r>
            <w:r>
              <w:rPr>
                <w:color w:val="auto"/>
                <w:highlight w:val="none"/>
              </w:rPr>
            </w:r>
            <w:r/>
          </w:p>
        </w:tc>
        <w:tc>
          <w:tcPr>
            <w:tcW w:w="1990" w:type="dxa"/>
            <w:textDirection w:val="lrTb"/>
            <w:noWrap w:val="false"/>
          </w:tcPr>
          <w:p>
            <w:pPr>
              <w:jc w:val="cente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招标文件的商务条款</w:t>
            </w:r>
            <w:r>
              <w:rPr>
                <w:color w:val="auto"/>
                <w:highlight w:val="none"/>
              </w:rPr>
            </w:r>
            <w:r/>
          </w:p>
        </w:tc>
        <w:tc>
          <w:tcPr>
            <w:tcW w:w="1910" w:type="dxa"/>
            <w:textDirection w:val="lrTb"/>
            <w:noWrap w:val="false"/>
          </w:tcPr>
          <w:p>
            <w:pPr>
              <w:jc w:val="cente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投标文件的商务条款</w:t>
            </w:r>
            <w:r>
              <w:rPr>
                <w:color w:val="auto"/>
                <w:highlight w:val="none"/>
              </w:rPr>
            </w:r>
            <w:r/>
          </w:p>
        </w:tc>
        <w:tc>
          <w:tcPr>
            <w:tcW w:w="1926" w:type="dxa"/>
            <w:textDirection w:val="lrTb"/>
            <w:noWrap w:val="false"/>
          </w:tcPr>
          <w:p>
            <w:pPr>
              <w:jc w:val="cente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说明</w:t>
            </w:r>
            <w:r>
              <w:rPr>
                <w:color w:val="auto"/>
                <w:highlight w:val="none"/>
              </w:rPr>
            </w:r>
            <w:r/>
          </w:p>
        </w:tc>
      </w:tr>
      <w:tr>
        <w:trPr>
          <w:jc w:val="center"/>
        </w:trPr>
        <w:tc>
          <w:tcPr>
            <w:tcW w:w="660" w:type="dxa"/>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2036" w:type="dxa"/>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990" w:type="dxa"/>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910" w:type="dxa"/>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926" w:type="dxa"/>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r>
      <w:tr>
        <w:trPr>
          <w:jc w:val="center"/>
        </w:trPr>
        <w:tc>
          <w:tcPr>
            <w:tcW w:w="660" w:type="dxa"/>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2036" w:type="dxa"/>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990" w:type="dxa"/>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910" w:type="dxa"/>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926" w:type="dxa"/>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r>
      <w:tr>
        <w:trPr>
          <w:jc w:val="center"/>
        </w:trPr>
        <w:tc>
          <w:tcPr>
            <w:tcW w:w="660" w:type="dxa"/>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2036" w:type="dxa"/>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990" w:type="dxa"/>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910" w:type="dxa"/>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926" w:type="dxa"/>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r>
      <w:tr>
        <w:trPr>
          <w:jc w:val="center"/>
        </w:trPr>
        <w:tc>
          <w:tcPr>
            <w:tcW w:w="660" w:type="dxa"/>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2036" w:type="dxa"/>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990" w:type="dxa"/>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910" w:type="dxa"/>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926" w:type="dxa"/>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r>
      <w:tr>
        <w:trPr>
          <w:jc w:val="center"/>
        </w:trPr>
        <w:tc>
          <w:tcPr>
            <w:tcW w:w="660" w:type="dxa"/>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2036" w:type="dxa"/>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990" w:type="dxa"/>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910" w:type="dxa"/>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926" w:type="dxa"/>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r>
      <w:tr>
        <w:trPr>
          <w:jc w:val="center"/>
        </w:trPr>
        <w:tc>
          <w:tcPr>
            <w:tcW w:w="660" w:type="dxa"/>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2036" w:type="dxa"/>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990" w:type="dxa"/>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910" w:type="dxa"/>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926" w:type="dxa"/>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r>
      <w:tr>
        <w:trPr>
          <w:jc w:val="center"/>
        </w:trPr>
        <w:tc>
          <w:tcPr>
            <w:tcW w:w="660" w:type="dxa"/>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2036" w:type="dxa"/>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990" w:type="dxa"/>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910" w:type="dxa"/>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926" w:type="dxa"/>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r>
      <w:tr>
        <w:trPr>
          <w:jc w:val="center"/>
        </w:trPr>
        <w:tc>
          <w:tcPr>
            <w:tcW w:w="660" w:type="dxa"/>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2036" w:type="dxa"/>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990" w:type="dxa"/>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910" w:type="dxa"/>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926" w:type="dxa"/>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r>
      <w:tr>
        <w:trPr>
          <w:jc w:val="center"/>
        </w:trPr>
        <w:tc>
          <w:tcPr>
            <w:tcW w:w="660" w:type="dxa"/>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2036" w:type="dxa"/>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990" w:type="dxa"/>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910" w:type="dxa"/>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926" w:type="dxa"/>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r>
      <w:tr>
        <w:trPr>
          <w:jc w:val="center"/>
        </w:trPr>
        <w:tc>
          <w:tcPr>
            <w:tcW w:w="660" w:type="dxa"/>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2036" w:type="dxa"/>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990" w:type="dxa"/>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910" w:type="dxa"/>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926" w:type="dxa"/>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r>
    </w:tbl>
    <w:p>
      <w:pP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注：投标人的投标文件（商务条款部分）与招标文件规定的有偏离的，应在此表中说明。</w:t>
      </w:r>
      <w:r>
        <w:rPr>
          <w:color w:val="auto"/>
          <w:highlight w:val="none"/>
        </w:rPr>
      </w:r>
      <w:r/>
    </w:p>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p>
      <w:pP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投标单位：（签章）</w:t>
      </w:r>
      <w:r>
        <w:rPr>
          <w:color w:val="auto"/>
          <w:highlight w:val="none"/>
        </w:rPr>
      </w:r>
      <w:r/>
    </w:p>
    <w:p>
      <w:pP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法定代表人或委托代理人：（签字或签章）</w:t>
      </w:r>
      <w:r>
        <w:rPr>
          <w:color w:val="auto"/>
          <w:highlight w:val="none"/>
        </w:rPr>
      </w:r>
      <w:r/>
    </w:p>
    <w:p>
      <w:pPr>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日期：</w:t>
      </w:r>
      <w:r>
        <w:rPr>
          <w:color w:val="auto"/>
          <w:highlight w:val="none"/>
        </w:rPr>
      </w:r>
      <w:r/>
    </w:p>
    <w:p>
      <w:pPr>
        <w:pageBreakBefore/>
        <w:spacing w:line="440" w:lineRule="exact"/>
        <w:rPr>
          <w:rFonts w:ascii="宋体" w:hAnsi="宋体" w:cs="宋体"/>
          <w:b/>
          <w:bCs/>
          <w:color w:val="auto"/>
          <w:sz w:val="24"/>
          <w:szCs w:val="24"/>
          <w:highlight w:val="none"/>
        </w:rPr>
      </w:pPr>
      <w:r>
        <w:rPr>
          <w:rFonts w:ascii="宋体" w:hAnsi="宋体"/>
          <w:b/>
          <w:color w:val="auto"/>
          <w:sz w:val="24"/>
          <w:szCs w:val="24"/>
          <w:highlight w:val="none"/>
          <w:lang w:val="zh-CN"/>
        </w:rPr>
        <w:t xml:space="preserve">格式</w:t>
      </w:r>
      <w:r>
        <w:rPr>
          <w:rFonts w:hint="eastAsia" w:ascii="宋体" w:hAnsi="宋体"/>
          <w:b/>
          <w:color w:val="auto"/>
          <w:sz w:val="24"/>
          <w:szCs w:val="24"/>
          <w:highlight w:val="none"/>
        </w:rPr>
        <w:t xml:space="preserve">8</w:t>
      </w:r>
      <w:r>
        <w:rPr>
          <w:rFonts w:ascii="宋体" w:hAnsi="宋体"/>
          <w:b/>
          <w:color w:val="auto"/>
          <w:sz w:val="24"/>
          <w:szCs w:val="24"/>
          <w:highlight w:val="none"/>
          <w:lang w:val="zh-CN"/>
        </w:rPr>
        <w:t xml:space="preserve">、</w:t>
      </w:r>
      <w:bookmarkStart w:id="22" w:name="_Toc7888"/>
      <w:r>
        <w:rPr>
          <w:color w:val="auto"/>
          <w:highlight w:val="none"/>
        </w:rPr>
      </w:r>
      <w:bookmarkStart w:id="23" w:name="_Toc532444506"/>
      <w:r>
        <w:rPr>
          <w:color w:val="auto"/>
          <w:highlight w:val="none"/>
        </w:rPr>
      </w:r>
      <w:bookmarkStart w:id="24" w:name="_Toc518926909"/>
      <w:r>
        <w:rPr>
          <w:color w:val="auto"/>
          <w:highlight w:val="none"/>
        </w:rPr>
      </w:r>
      <w:bookmarkStart w:id="25" w:name="_Toc532444344"/>
      <w:r>
        <w:rPr>
          <w:color w:val="auto"/>
          <w:highlight w:val="none"/>
        </w:rPr>
      </w:r>
      <w:bookmarkStart w:id="26" w:name="_Toc2583142"/>
      <w:r>
        <w:rPr>
          <w:color w:val="auto"/>
          <w:highlight w:val="none"/>
        </w:rPr>
      </w:r>
      <w:bookmarkStart w:id="27" w:name="_Toc532452113"/>
      <w:r>
        <w:rPr>
          <w:rFonts w:hint="eastAsia" w:ascii="宋体" w:hAnsi="宋体"/>
          <w:b/>
          <w:color w:val="auto"/>
          <w:sz w:val="24"/>
          <w:szCs w:val="24"/>
          <w:highlight w:val="none"/>
          <w:lang w:val="zh-CN"/>
        </w:rPr>
        <w:t xml:space="preserve">技术要求（指标）对照表</w:t>
      </w:r>
      <w:r>
        <w:rPr>
          <w:color w:val="auto"/>
          <w:highlight w:val="none"/>
        </w:rPr>
      </w:r>
      <w:r/>
    </w:p>
    <w:p>
      <w:pPr>
        <w:jc w:val="center"/>
        <w:spacing w:line="440" w:lineRule="exact"/>
        <w:rPr>
          <w:rFonts w:ascii="宋体" w:hAnsi="宋体" w:cs="宋体"/>
          <w:color w:val="auto"/>
          <w:sz w:val="24"/>
          <w:szCs w:val="24"/>
          <w:highlight w:val="none"/>
        </w:rPr>
      </w:pPr>
      <w:r>
        <w:rPr>
          <w:rFonts w:hint="eastAsia" w:ascii="宋体" w:hAnsi="宋体" w:cs="宋体"/>
          <w:b/>
          <w:color w:val="auto"/>
          <w:sz w:val="24"/>
          <w:szCs w:val="24"/>
          <w:highlight w:val="none"/>
        </w:rPr>
        <w:t xml:space="preserve">技术要求（指标）对照表</w:t>
      </w:r>
      <w:r>
        <w:rPr>
          <w:color w:val="auto"/>
          <w:highlight w:val="none"/>
        </w:rPr>
      </w:r>
      <w:r/>
    </w:p>
    <w:tbl>
      <w:tblPr>
        <w:tblW w:w="852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772"/>
        <w:gridCol w:w="1677"/>
        <w:gridCol w:w="1510"/>
        <w:gridCol w:w="1342"/>
        <w:gridCol w:w="1584"/>
        <w:gridCol w:w="1637"/>
      </w:tblGrid>
      <w:tr>
        <w:trPr>
          <w:jc w:val="center"/>
        </w:trPr>
        <w:tc>
          <w:tcPr>
            <w:tcW w:w="772" w:type="dxa"/>
            <w:vAlign w:val="center"/>
            <w:textDirection w:val="lrTb"/>
            <w:noWrap w:val="false"/>
          </w:tcPr>
          <w:p>
            <w:pPr>
              <w:jc w:val="cente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序号</w:t>
            </w:r>
            <w:r>
              <w:rPr>
                <w:color w:val="auto"/>
                <w:highlight w:val="none"/>
              </w:rPr>
            </w:r>
            <w:r/>
          </w:p>
        </w:tc>
        <w:tc>
          <w:tcPr>
            <w:tcW w:w="1677" w:type="dxa"/>
            <w:vAlign w:val="center"/>
            <w:textDirection w:val="lrTb"/>
            <w:noWrap w:val="false"/>
          </w:tcPr>
          <w:p>
            <w:pPr>
              <w:jc w:val="cente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名称</w:t>
            </w:r>
            <w:r>
              <w:rPr>
                <w:color w:val="auto"/>
                <w:highlight w:val="none"/>
              </w:rPr>
            </w:r>
            <w:r/>
          </w:p>
        </w:tc>
        <w:tc>
          <w:tcPr>
            <w:tcW w:w="1510" w:type="dxa"/>
            <w:vAlign w:val="center"/>
            <w:textDirection w:val="lrTb"/>
            <w:noWrap w:val="false"/>
          </w:tcPr>
          <w:p>
            <w:pPr>
              <w:jc w:val="cente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招标要求</w:t>
            </w:r>
            <w:r>
              <w:rPr>
                <w:color w:val="auto"/>
                <w:highlight w:val="none"/>
              </w:rPr>
            </w:r>
            <w:r/>
          </w:p>
        </w:tc>
        <w:tc>
          <w:tcPr>
            <w:tcW w:w="1342" w:type="dxa"/>
            <w:vAlign w:val="center"/>
            <w:textDirection w:val="lrTb"/>
            <w:noWrap w:val="false"/>
          </w:tcPr>
          <w:p>
            <w:pPr>
              <w:jc w:val="cente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投标响应</w:t>
            </w:r>
            <w:r>
              <w:rPr>
                <w:color w:val="auto"/>
                <w:highlight w:val="none"/>
              </w:rPr>
            </w:r>
            <w:r/>
          </w:p>
        </w:tc>
        <w:tc>
          <w:tcPr>
            <w:tcW w:w="1584" w:type="dxa"/>
            <w:vAlign w:val="center"/>
            <w:textDirection w:val="lrTb"/>
            <w:noWrap w:val="false"/>
          </w:tcPr>
          <w:p>
            <w:pPr>
              <w:jc w:val="cente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偏离情况</w:t>
            </w:r>
            <w:r>
              <w:rPr>
                <w:color w:val="auto"/>
                <w:highlight w:val="none"/>
              </w:rPr>
            </w:r>
            <w:r/>
          </w:p>
        </w:tc>
        <w:tc>
          <w:tcPr>
            <w:tcW w:w="1637" w:type="dxa"/>
            <w:vAlign w:val="center"/>
            <w:textDirection w:val="lrTb"/>
            <w:noWrap w:val="false"/>
          </w:tcPr>
          <w:p>
            <w:pPr>
              <w:jc w:val="cente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说明</w:t>
            </w:r>
            <w:r>
              <w:rPr>
                <w:color w:val="auto"/>
                <w:highlight w:val="none"/>
              </w:rPr>
            </w:r>
            <w:r/>
          </w:p>
        </w:tc>
      </w:tr>
      <w:tr>
        <w:trPr>
          <w:jc w:val="center"/>
        </w:trPr>
        <w:tc>
          <w:tcPr>
            <w:tcW w:w="772" w:type="dxa"/>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677" w:type="dxa"/>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510" w:type="dxa"/>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342" w:type="dxa"/>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584" w:type="dxa"/>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637" w:type="dxa"/>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r>
      <w:tr>
        <w:trPr>
          <w:jc w:val="center"/>
        </w:trPr>
        <w:tc>
          <w:tcPr>
            <w:tcW w:w="772" w:type="dxa"/>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677" w:type="dxa"/>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510" w:type="dxa"/>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342" w:type="dxa"/>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584" w:type="dxa"/>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637" w:type="dxa"/>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r>
      <w:tr>
        <w:trPr>
          <w:jc w:val="center"/>
        </w:trPr>
        <w:tc>
          <w:tcPr>
            <w:tcW w:w="772" w:type="dxa"/>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677" w:type="dxa"/>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510" w:type="dxa"/>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342" w:type="dxa"/>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584" w:type="dxa"/>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637" w:type="dxa"/>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r>
      <w:tr>
        <w:trPr>
          <w:jc w:val="center"/>
        </w:trPr>
        <w:tc>
          <w:tcPr>
            <w:tcW w:w="772" w:type="dxa"/>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677" w:type="dxa"/>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510" w:type="dxa"/>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342" w:type="dxa"/>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584" w:type="dxa"/>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637" w:type="dxa"/>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r>
      <w:tr>
        <w:trPr>
          <w:jc w:val="center"/>
        </w:trPr>
        <w:tc>
          <w:tcPr>
            <w:tcW w:w="772" w:type="dxa"/>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677" w:type="dxa"/>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510" w:type="dxa"/>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342" w:type="dxa"/>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584" w:type="dxa"/>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637" w:type="dxa"/>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r>
      <w:tr>
        <w:trPr>
          <w:jc w:val="center"/>
        </w:trPr>
        <w:tc>
          <w:tcPr>
            <w:tcW w:w="772" w:type="dxa"/>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677" w:type="dxa"/>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510" w:type="dxa"/>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342" w:type="dxa"/>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584" w:type="dxa"/>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637" w:type="dxa"/>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r>
      <w:tr>
        <w:trPr>
          <w:jc w:val="center"/>
        </w:trPr>
        <w:tc>
          <w:tcPr>
            <w:tcW w:w="772" w:type="dxa"/>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677" w:type="dxa"/>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510" w:type="dxa"/>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342" w:type="dxa"/>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584" w:type="dxa"/>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637" w:type="dxa"/>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r>
      <w:tr>
        <w:trPr>
          <w:jc w:val="center"/>
        </w:trPr>
        <w:tc>
          <w:tcPr>
            <w:tcW w:w="772" w:type="dxa"/>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677" w:type="dxa"/>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510" w:type="dxa"/>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342" w:type="dxa"/>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584" w:type="dxa"/>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637" w:type="dxa"/>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r>
      <w:tr>
        <w:trPr>
          <w:jc w:val="center"/>
        </w:trPr>
        <w:tc>
          <w:tcPr>
            <w:tcW w:w="772" w:type="dxa"/>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677" w:type="dxa"/>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510" w:type="dxa"/>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342" w:type="dxa"/>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584" w:type="dxa"/>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637" w:type="dxa"/>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r>
      <w:tr>
        <w:trPr>
          <w:jc w:val="center"/>
        </w:trPr>
        <w:tc>
          <w:tcPr>
            <w:tcW w:w="772" w:type="dxa"/>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677" w:type="dxa"/>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510" w:type="dxa"/>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342" w:type="dxa"/>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584" w:type="dxa"/>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637" w:type="dxa"/>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r>
    </w:tbl>
    <w:p>
      <w:pP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注：1.投标人应对照招标文件技术要求、性能指标等要求，所投标的物与招标文件的规定有偏离的，应在此表中申明与技术要求条文的偏差和例外。</w:t>
      </w:r>
      <w:r>
        <w:rPr>
          <w:color w:val="auto"/>
          <w:highlight w:val="none"/>
        </w:rPr>
      </w:r>
      <w:r/>
    </w:p>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p>
      <w:pP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投标人：（签章）</w:t>
      </w:r>
      <w:r>
        <w:rPr>
          <w:color w:val="auto"/>
          <w:highlight w:val="none"/>
        </w:rPr>
      </w:r>
      <w:r/>
    </w:p>
    <w:p>
      <w:pP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法定代表人或委托代理人：（签字或盖章）</w:t>
      </w:r>
      <w:r>
        <w:rPr>
          <w:color w:val="auto"/>
          <w:highlight w:val="none"/>
        </w:rPr>
      </w:r>
      <w:r/>
    </w:p>
    <w:p>
      <w:pP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日期：</w:t>
      </w:r>
      <w:bookmarkEnd w:id="22"/>
      <w:r>
        <w:rPr>
          <w:color w:val="auto"/>
          <w:highlight w:val="none"/>
        </w:rPr>
      </w:r>
      <w:bookmarkEnd w:id="23"/>
      <w:r>
        <w:rPr>
          <w:color w:val="auto"/>
          <w:highlight w:val="none"/>
        </w:rPr>
      </w:r>
      <w:bookmarkEnd w:id="24"/>
      <w:r>
        <w:rPr>
          <w:color w:val="auto"/>
          <w:highlight w:val="none"/>
        </w:rPr>
      </w:r>
      <w:bookmarkEnd w:id="25"/>
      <w:r>
        <w:rPr>
          <w:color w:val="auto"/>
          <w:highlight w:val="none"/>
        </w:rPr>
      </w:r>
      <w:bookmarkEnd w:id="26"/>
      <w:r>
        <w:rPr>
          <w:color w:val="auto"/>
          <w:highlight w:val="none"/>
        </w:rPr>
      </w:r>
      <w:bookmarkEnd w:id="27"/>
      <w:r>
        <w:rPr>
          <w:color w:val="auto"/>
          <w:highlight w:val="none"/>
        </w:rPr>
      </w:r>
      <w:r/>
    </w:p>
    <w:p>
      <w:pPr>
        <w:spacing w:line="440" w:lineRule="exact"/>
        <w:rPr>
          <w:rFonts w:ascii="宋体" w:hAnsi="宋体" w:cs="宋体"/>
          <w:b/>
          <w:color w:val="auto"/>
          <w:szCs w:val="21"/>
          <w:highlight w:val="none"/>
        </w:rPr>
      </w:pPr>
      <w:r>
        <w:rPr>
          <w:rFonts w:ascii="宋体" w:hAnsi="宋体" w:cs="宋体"/>
          <w:b/>
          <w:color w:val="auto"/>
          <w:szCs w:val="21"/>
          <w:highlight w:val="none"/>
        </w:rPr>
      </w:r>
      <w:r>
        <w:rPr>
          <w:color w:val="auto"/>
          <w:highlight w:val="none"/>
        </w:rPr>
      </w:r>
      <w:r/>
    </w:p>
    <w:p>
      <w:pPr>
        <w:keepLines/>
        <w:keepNext/>
        <w:spacing w:line="440" w:lineRule="exact"/>
        <w:rPr>
          <w:rFonts w:ascii="宋体" w:hAnsi="宋体"/>
          <w:b/>
          <w:color w:val="auto"/>
          <w:sz w:val="24"/>
          <w:szCs w:val="24"/>
          <w:highlight w:val="none"/>
        </w:rPr>
        <w:outlineLvl w:val="1"/>
      </w:pPr>
      <w:r>
        <w:rPr>
          <w:rFonts w:hint="eastAsia" w:ascii="宋体" w:hAnsi="宋体" w:cs="宋体"/>
          <w:b/>
          <w:color w:val="auto"/>
          <w:szCs w:val="21"/>
          <w:highlight w:val="none"/>
          <w:lang w:val="zh-CN"/>
        </w:rPr>
        <w:br w:type="page" w:clear="all"/>
      </w:r>
      <w:r>
        <w:rPr>
          <w:rFonts w:hint="eastAsia" w:ascii="宋体" w:hAnsi="宋体"/>
          <w:b/>
          <w:color w:val="auto"/>
          <w:sz w:val="24"/>
          <w:szCs w:val="24"/>
          <w:highlight w:val="none"/>
          <w:lang w:val="zh-CN"/>
        </w:rPr>
        <w:t xml:space="preserve">格式</w:t>
      </w:r>
      <w:r>
        <w:rPr>
          <w:rFonts w:hint="eastAsia" w:ascii="宋体" w:hAnsi="宋体"/>
          <w:b/>
          <w:color w:val="auto"/>
          <w:sz w:val="24"/>
          <w:szCs w:val="24"/>
          <w:highlight w:val="none"/>
        </w:rPr>
        <w:t xml:space="preserve">9</w:t>
      </w:r>
      <w:r>
        <w:rPr>
          <w:rFonts w:ascii="宋体" w:hAnsi="宋体"/>
          <w:b/>
          <w:color w:val="auto"/>
          <w:sz w:val="24"/>
          <w:szCs w:val="24"/>
          <w:highlight w:val="none"/>
          <w:lang w:val="zh-CN"/>
        </w:rPr>
        <w:t xml:space="preserve">、</w:t>
      </w:r>
      <w:r>
        <w:rPr>
          <w:rFonts w:ascii="宋体" w:hAnsi="宋体"/>
          <w:b/>
          <w:color w:val="auto"/>
          <w:sz w:val="24"/>
          <w:szCs w:val="24"/>
          <w:highlight w:val="none"/>
        </w:rPr>
        <w:t xml:space="preserve">拟投入本项目人员配备一览表</w:t>
      </w:r>
      <w:r>
        <w:rPr>
          <w:color w:val="auto"/>
          <w:highlight w:val="none"/>
        </w:rPr>
      </w:r>
      <w:r/>
    </w:p>
    <w:p>
      <w:pPr>
        <w:spacing w:line="440" w:lineRule="exact"/>
        <w:rPr>
          <w:rFonts w:ascii="宋体" w:hAnsi="宋体"/>
          <w:color w:val="auto"/>
          <w:sz w:val="24"/>
          <w:szCs w:val="24"/>
          <w:highlight w:val="none"/>
        </w:rPr>
      </w:pPr>
      <w:r>
        <w:rPr>
          <w:rFonts w:ascii="宋体" w:hAnsi="宋体"/>
          <w:color w:val="auto"/>
          <w:sz w:val="24"/>
          <w:szCs w:val="24"/>
          <w:highlight w:val="none"/>
        </w:rPr>
      </w:r>
      <w:r>
        <w:rPr>
          <w:color w:val="auto"/>
          <w:highlight w:val="none"/>
        </w:rPr>
      </w:r>
      <w:r/>
    </w:p>
    <w:p>
      <w:pPr>
        <w:spacing w:line="440" w:lineRule="exact"/>
        <w:rPr>
          <w:rFonts w:ascii="宋体" w:hAnsi="宋体"/>
          <w:color w:val="auto"/>
          <w:sz w:val="24"/>
          <w:szCs w:val="24"/>
          <w:highlight w:val="none"/>
        </w:rPr>
      </w:pPr>
      <w:r>
        <w:rPr>
          <w:rFonts w:ascii="宋体" w:hAnsi="宋体"/>
          <w:color w:val="auto"/>
          <w:sz w:val="24"/>
          <w:szCs w:val="24"/>
          <w:highlight w:val="none"/>
        </w:rPr>
      </w:r>
      <w:r>
        <w:rPr>
          <w:color w:val="auto"/>
          <w:highlight w:val="none"/>
        </w:rPr>
      </w:r>
      <w:r/>
    </w:p>
    <w:p>
      <w:pPr>
        <w:jc w:val="center"/>
        <w:spacing w:line="440" w:lineRule="exact"/>
        <w:rPr>
          <w:rFonts w:ascii="宋体" w:hAnsi="宋体" w:cs="宋体"/>
          <w:b/>
          <w:bCs/>
          <w:color w:val="auto"/>
          <w:sz w:val="24"/>
          <w:szCs w:val="24"/>
          <w:highlight w:val="none"/>
        </w:rPr>
      </w:pPr>
      <w:r>
        <w:rPr>
          <w:rFonts w:ascii="宋体" w:hAnsi="宋体" w:cs="宋体"/>
          <w:b/>
          <w:color w:val="auto"/>
          <w:sz w:val="24"/>
          <w:szCs w:val="24"/>
          <w:highlight w:val="none"/>
        </w:rPr>
        <w:t xml:space="preserve">项目服务人员配置表</w:t>
      </w:r>
      <w:r>
        <w:rPr>
          <w:color w:val="auto"/>
          <w:highlight w:val="none"/>
        </w:rPr>
      </w:r>
      <w:r/>
    </w:p>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bl>
      <w:tblPr>
        <w:tblW w:w="9248"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Layout w:type="fixed"/>
        <w:tblCellMar>
          <w:left w:w="0" w:type="dxa"/>
          <w:right w:w="0" w:type="dxa"/>
        </w:tblCellMar>
        <w:tblLook w:val="04A0" w:firstRow="1" w:lastRow="0" w:firstColumn="1" w:lastColumn="0" w:noHBand="0" w:noVBand="1"/>
      </w:tblPr>
      <w:tblGrid>
        <w:gridCol w:w="610"/>
        <w:gridCol w:w="1173"/>
        <w:gridCol w:w="1052"/>
        <w:gridCol w:w="750"/>
        <w:gridCol w:w="796"/>
        <w:gridCol w:w="753"/>
        <w:gridCol w:w="1381"/>
        <w:gridCol w:w="1243"/>
        <w:gridCol w:w="1490"/>
      </w:tblGrid>
      <w:tr>
        <w:trPr>
          <w:jc w:val="center"/>
          <w:trHeight w:val="701"/>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10" w:type="dxa"/>
            <w:vAlign w:val="center"/>
            <w:textDirection w:val="lrTb"/>
            <w:noWrap w:val="false"/>
          </w:tcPr>
          <w:p>
            <w:pPr>
              <w:jc w:val="center"/>
              <w:spacing w:line="440" w:lineRule="exact"/>
              <w:rPr>
                <w:rFonts w:ascii="宋体" w:hAnsi="宋体"/>
                <w:color w:val="auto"/>
                <w:sz w:val="24"/>
                <w:szCs w:val="24"/>
                <w:highlight w:val="none"/>
              </w:rPr>
            </w:pPr>
            <w:r>
              <w:rPr>
                <w:rFonts w:ascii="宋体" w:hAnsi="宋体" w:cs="宋体"/>
                <w:color w:val="auto"/>
                <w:sz w:val="24"/>
                <w:szCs w:val="24"/>
                <w:highlight w:val="none"/>
                <w:lang w:val="zh-TW" w:eastAsia="zh-TW"/>
              </w:rPr>
              <w:t xml:space="preserve">序号</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spacing w:line="440" w:lineRule="exact"/>
              <w:rPr>
                <w:rFonts w:ascii="宋体" w:hAnsi="宋体"/>
                <w:color w:val="auto"/>
                <w:sz w:val="24"/>
                <w:szCs w:val="24"/>
                <w:highlight w:val="none"/>
              </w:rPr>
            </w:pPr>
            <w:r>
              <w:rPr>
                <w:rFonts w:ascii="宋体" w:hAnsi="宋体" w:cs="宋体"/>
                <w:color w:val="auto"/>
                <w:sz w:val="24"/>
                <w:szCs w:val="24"/>
                <w:highlight w:val="none"/>
                <w:lang w:val="zh-TW" w:eastAsia="zh-TW"/>
              </w:rPr>
              <w:t xml:space="preserve">项目组所任职务</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spacing w:line="440" w:lineRule="exact"/>
              <w:rPr>
                <w:rFonts w:ascii="宋体" w:hAnsi="宋体"/>
                <w:color w:val="auto"/>
                <w:sz w:val="24"/>
                <w:szCs w:val="24"/>
                <w:highlight w:val="none"/>
              </w:rPr>
            </w:pPr>
            <w:r>
              <w:rPr>
                <w:rFonts w:ascii="宋体" w:hAnsi="宋体" w:cs="宋体"/>
                <w:color w:val="auto"/>
                <w:sz w:val="24"/>
                <w:szCs w:val="24"/>
                <w:highlight w:val="none"/>
                <w:lang w:val="zh-TW" w:eastAsia="zh-TW"/>
              </w:rPr>
              <w:t xml:space="preserve">姓名</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440" w:lineRule="exact"/>
              <w:rPr>
                <w:rFonts w:ascii="宋体" w:hAnsi="宋体"/>
                <w:color w:val="auto"/>
                <w:sz w:val="24"/>
                <w:szCs w:val="24"/>
                <w:highlight w:val="none"/>
              </w:rPr>
            </w:pPr>
            <w:r>
              <w:rPr>
                <w:rFonts w:ascii="宋体" w:hAnsi="宋体" w:cs="宋体"/>
                <w:color w:val="auto"/>
                <w:sz w:val="24"/>
                <w:szCs w:val="24"/>
                <w:highlight w:val="none"/>
                <w:lang w:val="zh-TW" w:eastAsia="zh-TW"/>
              </w:rPr>
              <w:t xml:space="preserve">性别</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spacing w:line="440" w:lineRule="exact"/>
              <w:rPr>
                <w:rFonts w:ascii="宋体" w:hAnsi="宋体"/>
                <w:color w:val="auto"/>
                <w:sz w:val="24"/>
                <w:szCs w:val="24"/>
                <w:highlight w:val="none"/>
              </w:rPr>
            </w:pPr>
            <w:r>
              <w:rPr>
                <w:rFonts w:ascii="宋体" w:hAnsi="宋体" w:cs="宋体"/>
                <w:color w:val="auto"/>
                <w:sz w:val="24"/>
                <w:szCs w:val="24"/>
                <w:highlight w:val="none"/>
                <w:lang w:val="zh-TW" w:eastAsia="zh-TW"/>
              </w:rPr>
              <w:t xml:space="preserve">年龄</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440" w:lineRule="exact"/>
              <w:rPr>
                <w:rFonts w:ascii="宋体" w:hAnsi="宋体"/>
                <w:color w:val="auto"/>
                <w:sz w:val="24"/>
                <w:szCs w:val="24"/>
                <w:highlight w:val="none"/>
              </w:rPr>
            </w:pPr>
            <w:r>
              <w:rPr>
                <w:rFonts w:ascii="宋体" w:hAnsi="宋体" w:cs="宋体"/>
                <w:color w:val="auto"/>
                <w:sz w:val="24"/>
                <w:szCs w:val="24"/>
                <w:highlight w:val="none"/>
                <w:lang w:val="zh-TW" w:eastAsia="zh-TW"/>
              </w:rPr>
              <w:t xml:space="preserve">职称</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jc w:val="center"/>
              <w:spacing w:line="440" w:lineRule="exact"/>
              <w:rPr>
                <w:rFonts w:ascii="宋体" w:hAnsi="宋体"/>
                <w:color w:val="auto"/>
                <w:sz w:val="24"/>
                <w:szCs w:val="24"/>
                <w:highlight w:val="none"/>
              </w:rPr>
            </w:pPr>
            <w:r>
              <w:rPr>
                <w:rFonts w:ascii="宋体" w:hAnsi="宋体" w:cs="宋体"/>
                <w:color w:val="auto"/>
                <w:sz w:val="24"/>
                <w:szCs w:val="24"/>
                <w:highlight w:val="none"/>
                <w:lang w:val="zh-TW" w:eastAsia="zh-TW"/>
              </w:rPr>
              <w:t xml:space="preserve">专业</w:t>
            </w:r>
            <w:r>
              <w:rPr>
                <w:rFonts w:ascii="宋体" w:hAnsi="宋体" w:cs="宋体"/>
                <w:color w:val="auto"/>
                <w:sz w:val="24"/>
                <w:szCs w:val="24"/>
                <w:highlight w:val="none"/>
              </w:rPr>
              <w:t xml:space="preserve">/</w:t>
            </w:r>
            <w:r>
              <w:rPr>
                <w:rFonts w:ascii="宋体" w:hAnsi="宋体" w:cs="宋体"/>
                <w:color w:val="auto"/>
                <w:sz w:val="24"/>
                <w:szCs w:val="24"/>
                <w:highlight w:val="none"/>
                <w:lang w:val="zh-TW" w:eastAsia="zh-TW"/>
              </w:rPr>
              <w:t xml:space="preserve">资格</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jc w:val="center"/>
              <w:spacing w:line="440" w:lineRule="exact"/>
              <w:rPr>
                <w:rFonts w:ascii="宋体" w:hAnsi="宋体"/>
                <w:color w:val="auto"/>
                <w:sz w:val="24"/>
                <w:szCs w:val="24"/>
                <w:highlight w:val="none"/>
              </w:rPr>
            </w:pPr>
            <w:r>
              <w:rPr>
                <w:rFonts w:ascii="宋体" w:hAnsi="宋体" w:cs="宋体"/>
                <w:color w:val="auto"/>
                <w:sz w:val="24"/>
                <w:szCs w:val="24"/>
                <w:highlight w:val="none"/>
                <w:lang w:val="zh-TW" w:eastAsia="zh-TW"/>
              </w:rPr>
              <w:t xml:space="preserve">从事本工作时间</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lang w:val="zh-TW" w:eastAsia="zh-TW"/>
              </w:rPr>
              <w:t xml:space="preserve">典型业务</w:t>
            </w:r>
            <w:r>
              <w:rPr>
                <w:color w:val="auto"/>
                <w:highlight w:val="none"/>
              </w:rPr>
            </w:r>
            <w:r/>
          </w:p>
          <w:p>
            <w:pPr>
              <w:jc w:val="center"/>
              <w:spacing w:line="440" w:lineRule="exact"/>
              <w:rPr>
                <w:rFonts w:ascii="宋体" w:hAnsi="宋体"/>
                <w:color w:val="auto"/>
                <w:sz w:val="24"/>
                <w:szCs w:val="24"/>
                <w:highlight w:val="none"/>
              </w:rPr>
            </w:pPr>
            <w:r>
              <w:rPr>
                <w:rFonts w:ascii="宋体" w:hAnsi="宋体" w:cs="宋体"/>
                <w:color w:val="auto"/>
                <w:sz w:val="24"/>
                <w:szCs w:val="24"/>
                <w:highlight w:val="none"/>
                <w:lang w:val="zh-TW" w:eastAsia="zh-TW"/>
              </w:rPr>
              <w:t xml:space="preserve">与技术专长</w:t>
            </w:r>
            <w:r>
              <w:rPr>
                <w:color w:val="auto"/>
                <w:highlight w:val="none"/>
              </w:rPr>
            </w:r>
            <w:r/>
          </w:p>
        </w:tc>
      </w:tr>
      <w:tr>
        <w:trPr>
          <w:jc w:val="cente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10" w:type="dxa"/>
            <w:vAlign w:val="center"/>
            <w:textDirection w:val="lrTb"/>
            <w:noWrap w:val="false"/>
          </w:tcPr>
          <w:p>
            <w:pPr>
              <w:jc w:val="center"/>
              <w:spacing w:line="440" w:lineRule="exact"/>
              <w:rPr>
                <w:rFonts w:ascii="宋体" w:hAnsi="宋体"/>
                <w:color w:val="auto"/>
                <w:sz w:val="24"/>
                <w:szCs w:val="24"/>
                <w:highlight w:val="none"/>
              </w:rPr>
            </w:pPr>
            <w:r>
              <w:rPr>
                <w:rFonts w:ascii="宋体" w:hAnsi="宋体" w:cs="宋体"/>
                <w:color w:val="auto"/>
                <w:sz w:val="24"/>
                <w:szCs w:val="24"/>
                <w:highlight w:val="none"/>
              </w:rPr>
              <w:t xml:space="preserve">1</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spacing w:line="440" w:lineRule="exact"/>
              <w:rPr>
                <w:rFonts w:ascii="宋体" w:hAnsi="宋体"/>
                <w:color w:val="auto"/>
                <w:sz w:val="24"/>
                <w:szCs w:val="24"/>
                <w:highlight w:val="none"/>
              </w:rPr>
            </w:pPr>
            <w:r>
              <w:rPr>
                <w:rFonts w:ascii="宋体" w:hAnsi="宋体"/>
                <w:color w:val="auto"/>
                <w:sz w:val="24"/>
                <w:szCs w:val="24"/>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spacing w:line="440" w:lineRule="exact"/>
              <w:rPr>
                <w:rFonts w:ascii="宋体" w:hAnsi="宋体"/>
                <w:color w:val="auto"/>
                <w:sz w:val="24"/>
                <w:szCs w:val="24"/>
                <w:highlight w:val="none"/>
              </w:rPr>
            </w:pPr>
            <w:r>
              <w:rPr>
                <w:rFonts w:ascii="宋体" w:hAnsi="宋体"/>
                <w:color w:val="auto"/>
                <w:sz w:val="24"/>
                <w:szCs w:val="24"/>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spacing w:line="440" w:lineRule="exact"/>
              <w:rPr>
                <w:rFonts w:ascii="宋体" w:hAnsi="宋体"/>
                <w:color w:val="auto"/>
                <w:sz w:val="24"/>
                <w:szCs w:val="24"/>
                <w:highlight w:val="none"/>
              </w:rPr>
            </w:pPr>
            <w:r>
              <w:rPr>
                <w:rFonts w:ascii="宋体" w:hAnsi="宋体"/>
                <w:color w:val="auto"/>
                <w:sz w:val="24"/>
                <w:szCs w:val="24"/>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spacing w:line="440" w:lineRule="exact"/>
              <w:rPr>
                <w:rFonts w:ascii="宋体" w:hAnsi="宋体"/>
                <w:color w:val="auto"/>
                <w:sz w:val="24"/>
                <w:szCs w:val="24"/>
                <w:highlight w:val="none"/>
              </w:rPr>
            </w:pPr>
            <w:r>
              <w:rPr>
                <w:rFonts w:ascii="宋体" w:hAnsi="宋体"/>
                <w:color w:val="auto"/>
                <w:sz w:val="24"/>
                <w:szCs w:val="24"/>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spacing w:line="440" w:lineRule="exact"/>
              <w:rPr>
                <w:rFonts w:ascii="宋体" w:hAnsi="宋体"/>
                <w:color w:val="auto"/>
                <w:sz w:val="24"/>
                <w:szCs w:val="24"/>
                <w:highlight w:val="none"/>
              </w:rPr>
            </w:pPr>
            <w:r>
              <w:rPr>
                <w:rFonts w:ascii="宋体" w:hAnsi="宋体"/>
                <w:color w:val="auto"/>
                <w:sz w:val="24"/>
                <w:szCs w:val="24"/>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spacing w:line="440" w:lineRule="exact"/>
              <w:rPr>
                <w:rFonts w:ascii="宋体" w:hAnsi="宋体"/>
                <w:color w:val="auto"/>
                <w:sz w:val="24"/>
                <w:szCs w:val="24"/>
                <w:highlight w:val="none"/>
              </w:rPr>
            </w:pPr>
            <w:r>
              <w:rPr>
                <w:rFonts w:ascii="宋体" w:hAnsi="宋体"/>
                <w:color w:val="auto"/>
                <w:sz w:val="24"/>
                <w:szCs w:val="24"/>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spacing w:line="440" w:lineRule="exact"/>
              <w:rPr>
                <w:rFonts w:ascii="宋体" w:hAnsi="宋体"/>
                <w:color w:val="auto"/>
                <w:sz w:val="24"/>
                <w:szCs w:val="24"/>
                <w:highlight w:val="none"/>
              </w:rPr>
            </w:pPr>
            <w:r>
              <w:rPr>
                <w:rFonts w:ascii="宋体" w:hAnsi="宋体"/>
                <w:color w:val="auto"/>
                <w:sz w:val="24"/>
                <w:szCs w:val="24"/>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spacing w:line="440" w:lineRule="exact"/>
              <w:rPr>
                <w:rFonts w:ascii="宋体" w:hAnsi="宋体"/>
                <w:color w:val="auto"/>
                <w:sz w:val="24"/>
                <w:szCs w:val="24"/>
                <w:highlight w:val="none"/>
              </w:rPr>
            </w:pPr>
            <w:r>
              <w:rPr>
                <w:rFonts w:ascii="宋体" w:hAnsi="宋体"/>
                <w:color w:val="auto"/>
                <w:sz w:val="24"/>
                <w:szCs w:val="24"/>
                <w:highlight w:val="none"/>
              </w:rPr>
            </w:r>
            <w:r>
              <w:rPr>
                <w:color w:val="auto"/>
                <w:highlight w:val="none"/>
              </w:rPr>
            </w:r>
            <w:r/>
          </w:p>
        </w:tc>
      </w:tr>
      <w:tr>
        <w:trPr>
          <w:jc w:val="cente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10" w:type="dxa"/>
            <w:vAlign w:val="center"/>
            <w:textDirection w:val="lrTb"/>
            <w:noWrap w:val="false"/>
          </w:tcPr>
          <w:p>
            <w:pPr>
              <w:jc w:val="center"/>
              <w:spacing w:line="440" w:lineRule="exact"/>
              <w:rPr>
                <w:rFonts w:ascii="宋体" w:hAnsi="宋体"/>
                <w:color w:val="auto"/>
                <w:sz w:val="24"/>
                <w:szCs w:val="24"/>
                <w:highlight w:val="none"/>
              </w:rPr>
            </w:pPr>
            <w:r>
              <w:rPr>
                <w:rFonts w:ascii="宋体" w:hAnsi="宋体" w:cs="宋体"/>
                <w:color w:val="auto"/>
                <w:sz w:val="24"/>
                <w:szCs w:val="24"/>
                <w:highlight w:val="none"/>
              </w:rPr>
              <w:t xml:space="preserve">2</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spacing w:line="440" w:lineRule="exact"/>
              <w:rPr>
                <w:rFonts w:ascii="宋体" w:hAnsi="宋体"/>
                <w:color w:val="auto"/>
                <w:sz w:val="24"/>
                <w:szCs w:val="24"/>
                <w:highlight w:val="none"/>
              </w:rPr>
            </w:pPr>
            <w:r>
              <w:rPr>
                <w:rFonts w:ascii="宋体" w:hAnsi="宋体"/>
                <w:color w:val="auto"/>
                <w:sz w:val="24"/>
                <w:szCs w:val="24"/>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spacing w:line="440" w:lineRule="exact"/>
              <w:rPr>
                <w:rFonts w:ascii="宋体" w:hAnsi="宋体"/>
                <w:color w:val="auto"/>
                <w:sz w:val="24"/>
                <w:szCs w:val="24"/>
                <w:highlight w:val="none"/>
              </w:rPr>
            </w:pPr>
            <w:r>
              <w:rPr>
                <w:rFonts w:ascii="宋体" w:hAnsi="宋体"/>
                <w:color w:val="auto"/>
                <w:sz w:val="24"/>
                <w:szCs w:val="24"/>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spacing w:line="440" w:lineRule="exact"/>
              <w:rPr>
                <w:rFonts w:ascii="宋体" w:hAnsi="宋体"/>
                <w:color w:val="auto"/>
                <w:sz w:val="24"/>
                <w:szCs w:val="24"/>
                <w:highlight w:val="none"/>
              </w:rPr>
            </w:pPr>
            <w:r>
              <w:rPr>
                <w:rFonts w:ascii="宋体" w:hAnsi="宋体"/>
                <w:color w:val="auto"/>
                <w:sz w:val="24"/>
                <w:szCs w:val="24"/>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spacing w:line="440" w:lineRule="exact"/>
              <w:rPr>
                <w:rFonts w:ascii="宋体" w:hAnsi="宋体"/>
                <w:color w:val="auto"/>
                <w:sz w:val="24"/>
                <w:szCs w:val="24"/>
                <w:highlight w:val="none"/>
              </w:rPr>
            </w:pPr>
            <w:r>
              <w:rPr>
                <w:rFonts w:ascii="宋体" w:hAnsi="宋体"/>
                <w:color w:val="auto"/>
                <w:sz w:val="24"/>
                <w:szCs w:val="24"/>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spacing w:line="440" w:lineRule="exact"/>
              <w:rPr>
                <w:rFonts w:ascii="宋体" w:hAnsi="宋体"/>
                <w:color w:val="auto"/>
                <w:sz w:val="24"/>
                <w:szCs w:val="24"/>
                <w:highlight w:val="none"/>
              </w:rPr>
            </w:pPr>
            <w:r>
              <w:rPr>
                <w:rFonts w:ascii="宋体" w:hAnsi="宋体"/>
                <w:color w:val="auto"/>
                <w:sz w:val="24"/>
                <w:szCs w:val="24"/>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spacing w:line="440" w:lineRule="exact"/>
              <w:rPr>
                <w:rFonts w:ascii="宋体" w:hAnsi="宋体"/>
                <w:color w:val="auto"/>
                <w:sz w:val="24"/>
                <w:szCs w:val="24"/>
                <w:highlight w:val="none"/>
              </w:rPr>
            </w:pPr>
            <w:r>
              <w:rPr>
                <w:rFonts w:ascii="宋体" w:hAnsi="宋体"/>
                <w:color w:val="auto"/>
                <w:sz w:val="24"/>
                <w:szCs w:val="24"/>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spacing w:line="440" w:lineRule="exact"/>
              <w:rPr>
                <w:rFonts w:ascii="宋体" w:hAnsi="宋体"/>
                <w:color w:val="auto"/>
                <w:sz w:val="24"/>
                <w:szCs w:val="24"/>
                <w:highlight w:val="none"/>
              </w:rPr>
            </w:pPr>
            <w:r>
              <w:rPr>
                <w:rFonts w:ascii="宋体" w:hAnsi="宋体"/>
                <w:color w:val="auto"/>
                <w:sz w:val="24"/>
                <w:szCs w:val="24"/>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spacing w:line="440" w:lineRule="exact"/>
              <w:rPr>
                <w:rFonts w:ascii="宋体" w:hAnsi="宋体"/>
                <w:color w:val="auto"/>
                <w:sz w:val="24"/>
                <w:szCs w:val="24"/>
                <w:highlight w:val="none"/>
              </w:rPr>
            </w:pPr>
            <w:r>
              <w:rPr>
                <w:rFonts w:ascii="宋体" w:hAnsi="宋体"/>
                <w:color w:val="auto"/>
                <w:sz w:val="24"/>
                <w:szCs w:val="24"/>
                <w:highlight w:val="none"/>
              </w:rPr>
            </w:r>
            <w:r>
              <w:rPr>
                <w:color w:val="auto"/>
                <w:highlight w:val="none"/>
              </w:rPr>
            </w:r>
            <w:r/>
          </w:p>
        </w:tc>
      </w:tr>
      <w:tr>
        <w:trPr>
          <w:jc w:val="cente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10" w:type="dxa"/>
            <w:vAlign w:val="center"/>
            <w:textDirection w:val="lrTb"/>
            <w:noWrap w:val="false"/>
          </w:tcPr>
          <w:p>
            <w:pPr>
              <w:jc w:val="center"/>
              <w:spacing w:line="440" w:lineRule="exact"/>
              <w:rPr>
                <w:rFonts w:ascii="宋体" w:hAnsi="宋体"/>
                <w:color w:val="auto"/>
                <w:sz w:val="24"/>
                <w:szCs w:val="24"/>
                <w:highlight w:val="none"/>
              </w:rPr>
            </w:pPr>
            <w:r>
              <w:rPr>
                <w:rFonts w:ascii="宋体" w:hAnsi="宋体" w:cs="宋体"/>
                <w:color w:val="auto"/>
                <w:sz w:val="24"/>
                <w:szCs w:val="24"/>
                <w:highlight w:val="none"/>
              </w:rPr>
              <w:t xml:space="preserve">3</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spacing w:line="440" w:lineRule="exact"/>
              <w:rPr>
                <w:rFonts w:ascii="宋体" w:hAnsi="宋体"/>
                <w:color w:val="auto"/>
                <w:sz w:val="24"/>
                <w:szCs w:val="24"/>
                <w:highlight w:val="none"/>
              </w:rPr>
            </w:pPr>
            <w:r>
              <w:rPr>
                <w:rFonts w:ascii="宋体" w:hAnsi="宋体"/>
                <w:color w:val="auto"/>
                <w:sz w:val="24"/>
                <w:szCs w:val="24"/>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spacing w:line="440" w:lineRule="exact"/>
              <w:rPr>
                <w:rFonts w:ascii="宋体" w:hAnsi="宋体"/>
                <w:color w:val="auto"/>
                <w:sz w:val="24"/>
                <w:szCs w:val="24"/>
                <w:highlight w:val="none"/>
              </w:rPr>
            </w:pPr>
            <w:r>
              <w:rPr>
                <w:rFonts w:ascii="宋体" w:hAnsi="宋体"/>
                <w:color w:val="auto"/>
                <w:sz w:val="24"/>
                <w:szCs w:val="24"/>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spacing w:line="440" w:lineRule="exact"/>
              <w:rPr>
                <w:rFonts w:ascii="宋体" w:hAnsi="宋体"/>
                <w:color w:val="auto"/>
                <w:sz w:val="24"/>
                <w:szCs w:val="24"/>
                <w:highlight w:val="none"/>
              </w:rPr>
            </w:pPr>
            <w:r>
              <w:rPr>
                <w:rFonts w:ascii="宋体" w:hAnsi="宋体"/>
                <w:color w:val="auto"/>
                <w:sz w:val="24"/>
                <w:szCs w:val="24"/>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spacing w:line="440" w:lineRule="exact"/>
              <w:rPr>
                <w:rFonts w:ascii="宋体" w:hAnsi="宋体"/>
                <w:color w:val="auto"/>
                <w:sz w:val="24"/>
                <w:szCs w:val="24"/>
                <w:highlight w:val="none"/>
              </w:rPr>
            </w:pPr>
            <w:r>
              <w:rPr>
                <w:rFonts w:ascii="宋体" w:hAnsi="宋体"/>
                <w:color w:val="auto"/>
                <w:sz w:val="24"/>
                <w:szCs w:val="24"/>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spacing w:line="440" w:lineRule="exact"/>
              <w:rPr>
                <w:rFonts w:ascii="宋体" w:hAnsi="宋体"/>
                <w:color w:val="auto"/>
                <w:sz w:val="24"/>
                <w:szCs w:val="24"/>
                <w:highlight w:val="none"/>
              </w:rPr>
            </w:pPr>
            <w:r>
              <w:rPr>
                <w:rFonts w:ascii="宋体" w:hAnsi="宋体"/>
                <w:color w:val="auto"/>
                <w:sz w:val="24"/>
                <w:szCs w:val="24"/>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spacing w:line="440" w:lineRule="exact"/>
              <w:rPr>
                <w:rFonts w:ascii="宋体" w:hAnsi="宋体"/>
                <w:color w:val="auto"/>
                <w:sz w:val="24"/>
                <w:szCs w:val="24"/>
                <w:highlight w:val="none"/>
              </w:rPr>
            </w:pPr>
            <w:r>
              <w:rPr>
                <w:rFonts w:ascii="宋体" w:hAnsi="宋体"/>
                <w:color w:val="auto"/>
                <w:sz w:val="24"/>
                <w:szCs w:val="24"/>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spacing w:line="440" w:lineRule="exact"/>
              <w:rPr>
                <w:rFonts w:ascii="宋体" w:hAnsi="宋体"/>
                <w:color w:val="auto"/>
                <w:sz w:val="24"/>
                <w:szCs w:val="24"/>
                <w:highlight w:val="none"/>
              </w:rPr>
            </w:pPr>
            <w:r>
              <w:rPr>
                <w:rFonts w:ascii="宋体" w:hAnsi="宋体"/>
                <w:color w:val="auto"/>
                <w:sz w:val="24"/>
                <w:szCs w:val="24"/>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spacing w:line="440" w:lineRule="exact"/>
              <w:rPr>
                <w:rFonts w:ascii="宋体" w:hAnsi="宋体"/>
                <w:color w:val="auto"/>
                <w:sz w:val="24"/>
                <w:szCs w:val="24"/>
                <w:highlight w:val="none"/>
              </w:rPr>
            </w:pPr>
            <w:r>
              <w:rPr>
                <w:rFonts w:ascii="宋体" w:hAnsi="宋体"/>
                <w:color w:val="auto"/>
                <w:sz w:val="24"/>
                <w:szCs w:val="24"/>
                <w:highlight w:val="none"/>
              </w:rPr>
            </w:r>
            <w:r>
              <w:rPr>
                <w:color w:val="auto"/>
                <w:highlight w:val="none"/>
              </w:rPr>
            </w:r>
            <w:r/>
          </w:p>
        </w:tc>
      </w:tr>
      <w:tr>
        <w:trPr>
          <w:jc w:val="cente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10" w:type="dxa"/>
            <w:vAlign w:val="center"/>
            <w:textDirection w:val="lrTb"/>
            <w:noWrap w:val="false"/>
          </w:tcPr>
          <w:p>
            <w:pPr>
              <w:jc w:val="center"/>
              <w:spacing w:line="440" w:lineRule="exact"/>
              <w:rPr>
                <w:rFonts w:ascii="宋体" w:hAnsi="宋体"/>
                <w:color w:val="auto"/>
                <w:sz w:val="24"/>
                <w:szCs w:val="24"/>
                <w:highlight w:val="none"/>
              </w:rPr>
            </w:pPr>
            <w:r>
              <w:rPr>
                <w:rFonts w:ascii="宋体" w:hAnsi="宋体" w:cs="宋体"/>
                <w:color w:val="auto"/>
                <w:sz w:val="24"/>
                <w:szCs w:val="24"/>
                <w:highlight w:val="none"/>
              </w:rPr>
              <w:t xml:space="preserve">4</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spacing w:line="440" w:lineRule="exact"/>
              <w:rPr>
                <w:rFonts w:ascii="宋体" w:hAnsi="宋体"/>
                <w:color w:val="auto"/>
                <w:sz w:val="24"/>
                <w:szCs w:val="24"/>
                <w:highlight w:val="none"/>
              </w:rPr>
            </w:pPr>
            <w:r>
              <w:rPr>
                <w:rFonts w:ascii="宋体" w:hAnsi="宋体"/>
                <w:color w:val="auto"/>
                <w:sz w:val="24"/>
                <w:szCs w:val="24"/>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spacing w:line="440" w:lineRule="exact"/>
              <w:rPr>
                <w:rFonts w:ascii="宋体" w:hAnsi="宋体"/>
                <w:color w:val="auto"/>
                <w:sz w:val="24"/>
                <w:szCs w:val="24"/>
                <w:highlight w:val="none"/>
              </w:rPr>
            </w:pPr>
            <w:r>
              <w:rPr>
                <w:rFonts w:ascii="宋体" w:hAnsi="宋体"/>
                <w:color w:val="auto"/>
                <w:sz w:val="24"/>
                <w:szCs w:val="24"/>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spacing w:line="440" w:lineRule="exact"/>
              <w:rPr>
                <w:rFonts w:ascii="宋体" w:hAnsi="宋体"/>
                <w:color w:val="auto"/>
                <w:sz w:val="24"/>
                <w:szCs w:val="24"/>
                <w:highlight w:val="none"/>
              </w:rPr>
            </w:pPr>
            <w:r>
              <w:rPr>
                <w:rFonts w:ascii="宋体" w:hAnsi="宋体"/>
                <w:color w:val="auto"/>
                <w:sz w:val="24"/>
                <w:szCs w:val="24"/>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spacing w:line="440" w:lineRule="exact"/>
              <w:rPr>
                <w:rFonts w:ascii="宋体" w:hAnsi="宋体"/>
                <w:color w:val="auto"/>
                <w:sz w:val="24"/>
                <w:szCs w:val="24"/>
                <w:highlight w:val="none"/>
              </w:rPr>
            </w:pPr>
            <w:r>
              <w:rPr>
                <w:rFonts w:ascii="宋体" w:hAnsi="宋体"/>
                <w:color w:val="auto"/>
                <w:sz w:val="24"/>
                <w:szCs w:val="24"/>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spacing w:line="440" w:lineRule="exact"/>
              <w:rPr>
                <w:rFonts w:ascii="宋体" w:hAnsi="宋体"/>
                <w:color w:val="auto"/>
                <w:sz w:val="24"/>
                <w:szCs w:val="24"/>
                <w:highlight w:val="none"/>
              </w:rPr>
            </w:pPr>
            <w:r>
              <w:rPr>
                <w:rFonts w:ascii="宋体" w:hAnsi="宋体"/>
                <w:color w:val="auto"/>
                <w:sz w:val="24"/>
                <w:szCs w:val="24"/>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spacing w:line="440" w:lineRule="exact"/>
              <w:rPr>
                <w:rFonts w:ascii="宋体" w:hAnsi="宋体"/>
                <w:color w:val="auto"/>
                <w:sz w:val="24"/>
                <w:szCs w:val="24"/>
                <w:highlight w:val="none"/>
              </w:rPr>
            </w:pPr>
            <w:r>
              <w:rPr>
                <w:rFonts w:ascii="宋体" w:hAnsi="宋体"/>
                <w:color w:val="auto"/>
                <w:sz w:val="24"/>
                <w:szCs w:val="24"/>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spacing w:line="440" w:lineRule="exact"/>
              <w:rPr>
                <w:rFonts w:ascii="宋体" w:hAnsi="宋体"/>
                <w:color w:val="auto"/>
                <w:sz w:val="24"/>
                <w:szCs w:val="24"/>
                <w:highlight w:val="none"/>
              </w:rPr>
            </w:pPr>
            <w:r>
              <w:rPr>
                <w:rFonts w:ascii="宋体" w:hAnsi="宋体"/>
                <w:color w:val="auto"/>
                <w:sz w:val="24"/>
                <w:szCs w:val="24"/>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spacing w:line="440" w:lineRule="exact"/>
              <w:rPr>
                <w:rFonts w:ascii="宋体" w:hAnsi="宋体"/>
                <w:color w:val="auto"/>
                <w:sz w:val="24"/>
                <w:szCs w:val="24"/>
                <w:highlight w:val="none"/>
              </w:rPr>
            </w:pPr>
            <w:r>
              <w:rPr>
                <w:rFonts w:ascii="宋体" w:hAnsi="宋体"/>
                <w:color w:val="auto"/>
                <w:sz w:val="24"/>
                <w:szCs w:val="24"/>
                <w:highlight w:val="none"/>
              </w:rPr>
            </w:r>
            <w:r>
              <w:rPr>
                <w:color w:val="auto"/>
                <w:highlight w:val="none"/>
              </w:rPr>
            </w:r>
            <w:r/>
          </w:p>
        </w:tc>
      </w:tr>
      <w:tr>
        <w:trPr>
          <w:jc w:val="cente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10" w:type="dxa"/>
            <w:vAlign w:val="center"/>
            <w:textDirection w:val="lrTb"/>
            <w:noWrap w:val="false"/>
          </w:tcPr>
          <w:p>
            <w:pPr>
              <w:jc w:val="center"/>
              <w:spacing w:line="440" w:lineRule="exact"/>
              <w:rPr>
                <w:rFonts w:ascii="宋体" w:hAnsi="宋体"/>
                <w:color w:val="auto"/>
                <w:sz w:val="24"/>
                <w:szCs w:val="24"/>
                <w:highlight w:val="none"/>
              </w:rPr>
            </w:pPr>
            <w:r>
              <w:rPr>
                <w:rFonts w:ascii="宋体" w:hAnsi="宋体" w:cs="宋体"/>
                <w:color w:val="auto"/>
                <w:sz w:val="24"/>
                <w:szCs w:val="24"/>
                <w:highlight w:val="none"/>
              </w:rPr>
              <w:t xml:space="preserve">5</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spacing w:line="440" w:lineRule="exact"/>
              <w:rPr>
                <w:rFonts w:ascii="宋体" w:hAnsi="宋体"/>
                <w:color w:val="auto"/>
                <w:sz w:val="24"/>
                <w:szCs w:val="24"/>
                <w:highlight w:val="none"/>
              </w:rPr>
            </w:pPr>
            <w:r>
              <w:rPr>
                <w:rFonts w:ascii="宋体" w:hAnsi="宋体"/>
                <w:color w:val="auto"/>
                <w:sz w:val="24"/>
                <w:szCs w:val="24"/>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spacing w:line="440" w:lineRule="exact"/>
              <w:rPr>
                <w:rFonts w:ascii="宋体" w:hAnsi="宋体"/>
                <w:color w:val="auto"/>
                <w:sz w:val="24"/>
                <w:szCs w:val="24"/>
                <w:highlight w:val="none"/>
              </w:rPr>
            </w:pPr>
            <w:r>
              <w:rPr>
                <w:rFonts w:ascii="宋体" w:hAnsi="宋体"/>
                <w:color w:val="auto"/>
                <w:sz w:val="24"/>
                <w:szCs w:val="24"/>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spacing w:line="440" w:lineRule="exact"/>
              <w:rPr>
                <w:rFonts w:ascii="宋体" w:hAnsi="宋体"/>
                <w:color w:val="auto"/>
                <w:sz w:val="24"/>
                <w:szCs w:val="24"/>
                <w:highlight w:val="none"/>
              </w:rPr>
            </w:pPr>
            <w:r>
              <w:rPr>
                <w:rFonts w:ascii="宋体" w:hAnsi="宋体"/>
                <w:color w:val="auto"/>
                <w:sz w:val="24"/>
                <w:szCs w:val="24"/>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spacing w:line="440" w:lineRule="exact"/>
              <w:rPr>
                <w:rFonts w:ascii="宋体" w:hAnsi="宋体"/>
                <w:color w:val="auto"/>
                <w:sz w:val="24"/>
                <w:szCs w:val="24"/>
                <w:highlight w:val="none"/>
              </w:rPr>
            </w:pPr>
            <w:r>
              <w:rPr>
                <w:rFonts w:ascii="宋体" w:hAnsi="宋体"/>
                <w:color w:val="auto"/>
                <w:sz w:val="24"/>
                <w:szCs w:val="24"/>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spacing w:line="440" w:lineRule="exact"/>
              <w:rPr>
                <w:rFonts w:ascii="宋体" w:hAnsi="宋体"/>
                <w:color w:val="auto"/>
                <w:sz w:val="24"/>
                <w:szCs w:val="24"/>
                <w:highlight w:val="none"/>
              </w:rPr>
            </w:pPr>
            <w:r>
              <w:rPr>
                <w:rFonts w:ascii="宋体" w:hAnsi="宋体"/>
                <w:color w:val="auto"/>
                <w:sz w:val="24"/>
                <w:szCs w:val="24"/>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spacing w:line="440" w:lineRule="exact"/>
              <w:rPr>
                <w:rFonts w:ascii="宋体" w:hAnsi="宋体"/>
                <w:color w:val="auto"/>
                <w:sz w:val="24"/>
                <w:szCs w:val="24"/>
                <w:highlight w:val="none"/>
              </w:rPr>
            </w:pPr>
            <w:r>
              <w:rPr>
                <w:rFonts w:ascii="宋体" w:hAnsi="宋体"/>
                <w:color w:val="auto"/>
                <w:sz w:val="24"/>
                <w:szCs w:val="24"/>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spacing w:line="440" w:lineRule="exact"/>
              <w:rPr>
                <w:rFonts w:ascii="宋体" w:hAnsi="宋体"/>
                <w:color w:val="auto"/>
                <w:sz w:val="24"/>
                <w:szCs w:val="24"/>
                <w:highlight w:val="none"/>
              </w:rPr>
            </w:pPr>
            <w:r>
              <w:rPr>
                <w:rFonts w:ascii="宋体" w:hAnsi="宋体"/>
                <w:color w:val="auto"/>
                <w:sz w:val="24"/>
                <w:szCs w:val="24"/>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spacing w:line="440" w:lineRule="exact"/>
              <w:rPr>
                <w:rFonts w:ascii="宋体" w:hAnsi="宋体"/>
                <w:color w:val="auto"/>
                <w:sz w:val="24"/>
                <w:szCs w:val="24"/>
                <w:highlight w:val="none"/>
              </w:rPr>
            </w:pPr>
            <w:r>
              <w:rPr>
                <w:rFonts w:ascii="宋体" w:hAnsi="宋体"/>
                <w:color w:val="auto"/>
                <w:sz w:val="24"/>
                <w:szCs w:val="24"/>
                <w:highlight w:val="none"/>
              </w:rPr>
            </w:r>
            <w:r>
              <w:rPr>
                <w:color w:val="auto"/>
                <w:highlight w:val="none"/>
              </w:rPr>
            </w:r>
            <w:r/>
          </w:p>
        </w:tc>
      </w:tr>
      <w:tr>
        <w:trPr>
          <w:jc w:val="cente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10" w:type="dxa"/>
            <w:textDirection w:val="lrTb"/>
            <w:noWrap w:val="false"/>
          </w:tcPr>
          <w:p>
            <w:pPr>
              <w:jc w:val="center"/>
              <w:spacing w:line="440" w:lineRule="exact"/>
              <w:rPr>
                <w:rFonts w:ascii="宋体" w:hAnsi="宋体"/>
                <w:color w:val="auto"/>
                <w:sz w:val="24"/>
                <w:szCs w:val="24"/>
                <w:highlight w:val="none"/>
              </w:rPr>
            </w:pPr>
            <w:r>
              <w:rPr>
                <w:rFonts w:ascii="宋体" w:hAnsi="宋体" w:cs="宋体"/>
                <w:color w:val="auto"/>
                <w:sz w:val="24"/>
                <w:szCs w:val="24"/>
                <w:highlight w:val="none"/>
              </w:rPr>
              <w:t xml:space="preserve">…</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spacing w:line="440" w:lineRule="exact"/>
              <w:rPr>
                <w:rFonts w:ascii="宋体" w:hAnsi="宋体"/>
                <w:color w:val="auto"/>
                <w:sz w:val="24"/>
                <w:szCs w:val="24"/>
                <w:highlight w:val="none"/>
              </w:rPr>
            </w:pPr>
            <w:r>
              <w:rPr>
                <w:rFonts w:ascii="宋体" w:hAnsi="宋体"/>
                <w:color w:val="auto"/>
                <w:sz w:val="24"/>
                <w:szCs w:val="24"/>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W w:w="1052" w:type="dxa"/>
            <w:textDirection w:val="lrTb"/>
            <w:noWrap w:val="false"/>
          </w:tcPr>
          <w:p>
            <w:pPr>
              <w:spacing w:line="440" w:lineRule="exact"/>
              <w:rPr>
                <w:rFonts w:ascii="宋体" w:hAnsi="宋体"/>
                <w:color w:val="auto"/>
                <w:sz w:val="24"/>
                <w:szCs w:val="24"/>
                <w:highlight w:val="none"/>
              </w:rPr>
            </w:pPr>
            <w:r>
              <w:rPr>
                <w:rFonts w:ascii="宋体" w:hAnsi="宋体"/>
                <w:color w:val="auto"/>
                <w:sz w:val="24"/>
                <w:szCs w:val="24"/>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W w:w="750" w:type="dxa"/>
            <w:textDirection w:val="lrTb"/>
            <w:noWrap w:val="false"/>
          </w:tcPr>
          <w:p>
            <w:pPr>
              <w:spacing w:line="440" w:lineRule="exact"/>
              <w:rPr>
                <w:rFonts w:ascii="宋体" w:hAnsi="宋体"/>
                <w:color w:val="auto"/>
                <w:sz w:val="24"/>
                <w:szCs w:val="24"/>
                <w:highlight w:val="none"/>
              </w:rPr>
            </w:pPr>
            <w:r>
              <w:rPr>
                <w:rFonts w:ascii="宋体" w:hAnsi="宋体"/>
                <w:color w:val="auto"/>
                <w:sz w:val="24"/>
                <w:szCs w:val="24"/>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W w:w="796" w:type="dxa"/>
            <w:textDirection w:val="lrTb"/>
            <w:noWrap w:val="false"/>
          </w:tcPr>
          <w:p>
            <w:pPr>
              <w:spacing w:line="440" w:lineRule="exact"/>
              <w:rPr>
                <w:rFonts w:ascii="宋体" w:hAnsi="宋体"/>
                <w:color w:val="auto"/>
                <w:sz w:val="24"/>
                <w:szCs w:val="24"/>
                <w:highlight w:val="none"/>
              </w:rPr>
            </w:pPr>
            <w:r>
              <w:rPr>
                <w:rFonts w:ascii="宋体" w:hAnsi="宋体"/>
                <w:color w:val="auto"/>
                <w:sz w:val="24"/>
                <w:szCs w:val="24"/>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W w:w="753" w:type="dxa"/>
            <w:textDirection w:val="lrTb"/>
            <w:noWrap w:val="false"/>
          </w:tcPr>
          <w:p>
            <w:pPr>
              <w:spacing w:line="440" w:lineRule="exact"/>
              <w:rPr>
                <w:rFonts w:ascii="宋体" w:hAnsi="宋体"/>
                <w:color w:val="auto"/>
                <w:sz w:val="24"/>
                <w:szCs w:val="24"/>
                <w:highlight w:val="none"/>
              </w:rPr>
            </w:pPr>
            <w:r>
              <w:rPr>
                <w:rFonts w:ascii="宋体" w:hAnsi="宋体"/>
                <w:color w:val="auto"/>
                <w:sz w:val="24"/>
                <w:szCs w:val="24"/>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W w:w="1381" w:type="dxa"/>
            <w:textDirection w:val="lrTb"/>
            <w:noWrap w:val="false"/>
          </w:tcPr>
          <w:p>
            <w:pPr>
              <w:spacing w:line="440" w:lineRule="exact"/>
              <w:rPr>
                <w:rFonts w:ascii="宋体" w:hAnsi="宋体"/>
                <w:color w:val="auto"/>
                <w:sz w:val="24"/>
                <w:szCs w:val="24"/>
                <w:highlight w:val="none"/>
              </w:rPr>
            </w:pPr>
            <w:r>
              <w:rPr>
                <w:rFonts w:ascii="宋体" w:hAnsi="宋体"/>
                <w:color w:val="auto"/>
                <w:sz w:val="24"/>
                <w:szCs w:val="24"/>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W w:w="1243" w:type="dxa"/>
            <w:textDirection w:val="lrTb"/>
            <w:noWrap w:val="false"/>
          </w:tcPr>
          <w:p>
            <w:pPr>
              <w:spacing w:line="440" w:lineRule="exact"/>
              <w:rPr>
                <w:rFonts w:ascii="宋体" w:hAnsi="宋体"/>
                <w:color w:val="auto"/>
                <w:sz w:val="24"/>
                <w:szCs w:val="24"/>
                <w:highlight w:val="none"/>
              </w:rPr>
            </w:pPr>
            <w:r>
              <w:rPr>
                <w:rFonts w:ascii="宋体" w:hAnsi="宋体"/>
                <w:color w:val="auto"/>
                <w:sz w:val="24"/>
                <w:szCs w:val="24"/>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W w:w="1490" w:type="dxa"/>
            <w:textDirection w:val="lrTb"/>
            <w:noWrap w:val="false"/>
          </w:tcPr>
          <w:p>
            <w:pPr>
              <w:spacing w:line="440" w:lineRule="exact"/>
              <w:rPr>
                <w:rFonts w:ascii="宋体" w:hAnsi="宋体"/>
                <w:color w:val="auto"/>
                <w:sz w:val="24"/>
                <w:szCs w:val="24"/>
                <w:highlight w:val="none"/>
              </w:rPr>
            </w:pPr>
            <w:r>
              <w:rPr>
                <w:rFonts w:ascii="宋体" w:hAnsi="宋体"/>
                <w:color w:val="auto"/>
                <w:sz w:val="24"/>
                <w:szCs w:val="24"/>
                <w:highlight w:val="none"/>
              </w:rPr>
            </w:r>
            <w:r>
              <w:rPr>
                <w:color w:val="auto"/>
                <w:highlight w:val="none"/>
              </w:rPr>
            </w:r>
            <w:r/>
          </w:p>
        </w:tc>
      </w:tr>
    </w:tbl>
    <w:p>
      <w:pPr>
        <w:ind w:right="420" w:firstLine="240"/>
        <w:jc w:val="left"/>
        <w:spacing w:line="440" w:lineRule="exact"/>
        <w:rPr>
          <w:rFonts w:ascii="宋体" w:hAnsi="宋体"/>
          <w:color w:val="auto"/>
          <w:sz w:val="24"/>
          <w:szCs w:val="24"/>
          <w:highlight w:val="none"/>
        </w:rPr>
      </w:pPr>
      <w:r>
        <w:rPr>
          <w:rFonts w:ascii="宋体" w:hAnsi="宋体"/>
          <w:color w:val="auto"/>
          <w:sz w:val="24"/>
          <w:szCs w:val="24"/>
          <w:highlight w:val="none"/>
        </w:rPr>
      </w:r>
      <w:r>
        <w:rPr>
          <w:color w:val="auto"/>
          <w:highlight w:val="none"/>
        </w:rPr>
      </w:r>
      <w:r/>
    </w:p>
    <w:p>
      <w:pPr>
        <w:ind w:firstLine="480"/>
        <w:spacing w:line="440" w:lineRule="exact"/>
        <w:rPr>
          <w:rFonts w:ascii="宋体" w:hAnsi="宋体" w:cs="宋体"/>
          <w:color w:val="auto"/>
          <w:sz w:val="24"/>
          <w:szCs w:val="24"/>
          <w:highlight w:val="none"/>
        </w:rPr>
      </w:pPr>
      <w:r>
        <w:rPr>
          <w:rFonts w:ascii="宋体" w:hAnsi="宋体" w:cs="宋体"/>
          <w:color w:val="auto"/>
          <w:sz w:val="24"/>
          <w:szCs w:val="24"/>
          <w:highlight w:val="none"/>
          <w:lang w:eastAsia="en-US"/>
        </w:rPr>
        <w:t xml:space="preserve">投标人：（盖章）</w:t>
      </w:r>
      <w:r>
        <w:rPr>
          <w:color w:val="auto"/>
          <w:highlight w:val="none"/>
        </w:rPr>
      </w:r>
      <w:r/>
    </w:p>
    <w:p>
      <w:pPr>
        <w:ind w:firstLine="480"/>
        <w:spacing w:line="440" w:lineRule="exact"/>
        <w:rPr>
          <w:rFonts w:ascii="宋体" w:hAnsi="宋体" w:cs="宋体"/>
          <w:color w:val="auto"/>
          <w:sz w:val="24"/>
          <w:szCs w:val="24"/>
          <w:highlight w:val="none"/>
        </w:rPr>
      </w:pPr>
      <w:r>
        <w:rPr>
          <w:rFonts w:ascii="宋体" w:hAnsi="宋体" w:cs="宋体"/>
          <w:color w:val="auto"/>
          <w:sz w:val="24"/>
          <w:szCs w:val="24"/>
          <w:highlight w:val="none"/>
        </w:rPr>
        <w:t xml:space="preserve">法定代表人或代理人：（签字或盖章）</w:t>
      </w:r>
      <w:r>
        <w:rPr>
          <w:color w:val="auto"/>
          <w:highlight w:val="none"/>
        </w:rPr>
      </w:r>
      <w:r/>
    </w:p>
    <w:p>
      <w:pPr>
        <w:ind w:firstLine="480"/>
        <w:spacing w:line="440" w:lineRule="exact"/>
        <w:rPr>
          <w:rFonts w:ascii="宋体" w:hAnsi="宋体" w:cs="宋体"/>
          <w:color w:val="auto"/>
          <w:sz w:val="24"/>
          <w:szCs w:val="24"/>
          <w:highlight w:val="none"/>
        </w:rPr>
      </w:pPr>
      <w:r>
        <w:rPr>
          <w:rFonts w:ascii="宋体" w:hAnsi="宋体" w:cs="宋体"/>
          <w:color w:val="auto"/>
          <w:sz w:val="24"/>
          <w:szCs w:val="24"/>
          <w:highlight w:val="none"/>
        </w:rPr>
        <w:t xml:space="preserve">日期：    年    月    日</w:t>
      </w:r>
      <w:r>
        <w:rPr>
          <w:color w:val="auto"/>
          <w:highlight w:val="none"/>
        </w:rPr>
      </w:r>
      <w:r/>
    </w:p>
    <w:p>
      <w:pPr>
        <w:spacing w:line="440" w:lineRule="exact"/>
        <w:rPr>
          <w:rFonts w:ascii="宋体" w:hAnsi="宋体" w:eastAsia="方正大黑简体" w:cs="宋体"/>
          <w:i/>
          <w:iCs/>
          <w:color w:val="auto"/>
          <w:position w:val="6"/>
          <w:sz w:val="24"/>
          <w:szCs w:val="24"/>
          <w:highlight w:val="none"/>
        </w:rPr>
      </w:pPr>
      <w:r>
        <w:rPr>
          <w:rFonts w:hint="eastAsia" w:ascii="宋体" w:hAnsi="宋体"/>
          <w:color w:val="auto"/>
          <w:position w:val="6"/>
          <w:sz w:val="30"/>
          <w:szCs w:val="20"/>
          <w:highlight w:val="none"/>
        </w:rPr>
        <w:br w:type="page" w:clear="all"/>
      </w:r>
      <w:r>
        <w:rPr>
          <w:rFonts w:hint="eastAsia" w:ascii="宋体" w:hAnsi="宋体"/>
          <w:b/>
          <w:color w:val="auto"/>
          <w:sz w:val="24"/>
          <w:szCs w:val="24"/>
          <w:highlight w:val="none"/>
          <w:lang w:val="zh-CN"/>
        </w:rPr>
        <w:t xml:space="preserve">格式</w:t>
      </w:r>
      <w:r>
        <w:rPr>
          <w:rFonts w:hint="eastAsia" w:ascii="宋体" w:hAnsi="宋体"/>
          <w:b/>
          <w:color w:val="auto"/>
          <w:sz w:val="24"/>
          <w:szCs w:val="24"/>
          <w:highlight w:val="none"/>
        </w:rPr>
        <w:t xml:space="preserve">10、投标单位类似业绩一览表</w:t>
      </w:r>
      <w:r>
        <w:rPr>
          <w:color w:val="auto"/>
          <w:highlight w:val="none"/>
        </w:rPr>
      </w:r>
      <w:r/>
    </w:p>
    <w:p>
      <w:pPr>
        <w:jc w:val="center"/>
        <w:spacing w:line="440" w:lineRule="exact"/>
        <w:rPr>
          <w:rFonts w:ascii="宋体" w:hAnsi="宋体"/>
          <w:b/>
          <w:color w:val="auto"/>
          <w:sz w:val="24"/>
          <w:szCs w:val="24"/>
          <w:highlight w:val="none"/>
        </w:rPr>
      </w:pPr>
      <w:r>
        <w:rPr>
          <w:rFonts w:ascii="宋体" w:hAnsi="宋体"/>
          <w:b/>
          <w:color w:val="auto"/>
          <w:sz w:val="24"/>
          <w:szCs w:val="24"/>
          <w:highlight w:val="none"/>
        </w:rPr>
      </w:r>
      <w:r>
        <w:rPr>
          <w:color w:val="auto"/>
          <w:highlight w:val="none"/>
        </w:rPr>
      </w:r>
      <w:r/>
    </w:p>
    <w:p>
      <w:pPr>
        <w:jc w:val="center"/>
        <w:spacing w:line="44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投标单位类似业绩一览表</w:t>
      </w:r>
      <w:r>
        <w:rPr>
          <w:color w:val="auto"/>
          <w:highlight w:val="none"/>
        </w:rPr>
      </w:r>
      <w:r/>
    </w:p>
    <w:tbl>
      <w:tblPr>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88"/>
        <w:gridCol w:w="1399"/>
        <w:gridCol w:w="1515"/>
        <w:gridCol w:w="1532"/>
        <w:gridCol w:w="2052"/>
        <w:gridCol w:w="1336"/>
      </w:tblGrid>
      <w:tr>
        <w:trPr>
          <w:jc w:val="center"/>
        </w:trPr>
        <w:tc>
          <w:tcPr>
            <w:tcW w:w="688" w:type="dxa"/>
            <w:vAlign w:val="center"/>
            <w:textDirection w:val="lrTb"/>
            <w:noWrap w:val="false"/>
          </w:tcPr>
          <w:p>
            <w:pPr>
              <w:jc w:val="cente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序号</w:t>
            </w:r>
            <w:r>
              <w:rPr>
                <w:color w:val="auto"/>
                <w:highlight w:val="none"/>
              </w:rPr>
            </w:r>
            <w:r/>
          </w:p>
        </w:tc>
        <w:tc>
          <w:tcPr>
            <w:tcW w:w="1399" w:type="dxa"/>
            <w:vAlign w:val="center"/>
            <w:textDirection w:val="lrTb"/>
            <w:noWrap w:val="false"/>
          </w:tcPr>
          <w:p>
            <w:pPr>
              <w:jc w:val="cente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项目名称</w:t>
            </w:r>
            <w:r>
              <w:rPr>
                <w:color w:val="auto"/>
                <w:highlight w:val="none"/>
              </w:rPr>
            </w:r>
            <w:r/>
          </w:p>
        </w:tc>
        <w:tc>
          <w:tcPr>
            <w:tcW w:w="1515" w:type="dxa"/>
            <w:vAlign w:val="center"/>
            <w:textDirection w:val="lrTb"/>
            <w:noWrap w:val="false"/>
          </w:tcPr>
          <w:p>
            <w:pPr>
              <w:jc w:val="cente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项目单位</w:t>
            </w:r>
            <w:r>
              <w:rPr>
                <w:color w:val="auto"/>
                <w:highlight w:val="none"/>
              </w:rPr>
            </w:r>
            <w:r/>
          </w:p>
        </w:tc>
        <w:tc>
          <w:tcPr>
            <w:tcW w:w="1532" w:type="dxa"/>
            <w:vAlign w:val="center"/>
            <w:textDirection w:val="lrTb"/>
            <w:noWrap w:val="false"/>
          </w:tcPr>
          <w:p>
            <w:pPr>
              <w:jc w:val="cente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项目内容</w:t>
            </w:r>
            <w:r>
              <w:rPr>
                <w:color w:val="auto"/>
                <w:highlight w:val="none"/>
              </w:rPr>
            </w:r>
            <w:r/>
          </w:p>
        </w:tc>
        <w:tc>
          <w:tcPr>
            <w:tcW w:w="2052" w:type="dxa"/>
            <w:vAlign w:val="center"/>
            <w:textDirection w:val="lrTb"/>
            <w:noWrap w:val="false"/>
          </w:tcPr>
          <w:p>
            <w:pPr>
              <w:jc w:val="cente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合同金额（万元）</w:t>
            </w:r>
            <w:r>
              <w:rPr>
                <w:color w:val="auto"/>
                <w:highlight w:val="none"/>
              </w:rPr>
            </w:r>
            <w:r/>
          </w:p>
        </w:tc>
        <w:tc>
          <w:tcPr>
            <w:tcW w:w="1336" w:type="dxa"/>
            <w:vAlign w:val="center"/>
            <w:textDirection w:val="lrTb"/>
            <w:noWrap w:val="false"/>
          </w:tcPr>
          <w:p>
            <w:pPr>
              <w:jc w:val="cente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备注</w:t>
            </w:r>
            <w:r>
              <w:rPr>
                <w:color w:val="auto"/>
                <w:highlight w:val="none"/>
              </w:rPr>
            </w:r>
            <w:r/>
          </w:p>
        </w:tc>
      </w:tr>
      <w:tr>
        <w:trPr>
          <w:jc w:val="center"/>
          <w:trHeight w:val="567" w:hRule="exact"/>
        </w:trPr>
        <w:tc>
          <w:tcPr>
            <w:tcW w:w="688" w:type="dxa"/>
            <w:vAlign w:val="center"/>
            <w:textDirection w:val="lrTb"/>
            <w:noWrap w:val="false"/>
          </w:tcPr>
          <w:p>
            <w:pPr>
              <w:jc w:val="cente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color w:val="auto"/>
                <w:highlight w:val="none"/>
              </w:rPr>
            </w:r>
            <w:r/>
          </w:p>
        </w:tc>
        <w:tc>
          <w:tcPr>
            <w:tcW w:w="1399" w:type="dxa"/>
            <w:vAlign w:val="center"/>
            <w:textDirection w:val="lrTb"/>
            <w:noWrap w:val="false"/>
          </w:tcPr>
          <w:p>
            <w:pPr>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515" w:type="dxa"/>
            <w:vAlign w:val="center"/>
            <w:textDirection w:val="lrTb"/>
            <w:noWrap w:val="false"/>
          </w:tcPr>
          <w:p>
            <w:pPr>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532" w:type="dxa"/>
            <w:vAlign w:val="center"/>
            <w:textDirection w:val="lrTb"/>
            <w:noWrap w:val="false"/>
          </w:tcPr>
          <w:p>
            <w:pPr>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2052" w:type="dxa"/>
            <w:vAlign w:val="center"/>
            <w:textDirection w:val="lrTb"/>
            <w:noWrap w:val="false"/>
          </w:tcPr>
          <w:p>
            <w:pPr>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336" w:type="dxa"/>
            <w:vAlign w:val="center"/>
            <w:textDirection w:val="lrTb"/>
            <w:noWrap w:val="false"/>
          </w:tcPr>
          <w:p>
            <w:pPr>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r>
      <w:tr>
        <w:trPr>
          <w:jc w:val="center"/>
          <w:trHeight w:val="567" w:hRule="exact"/>
        </w:trPr>
        <w:tc>
          <w:tcPr>
            <w:tcW w:w="688" w:type="dxa"/>
            <w:vAlign w:val="center"/>
            <w:textDirection w:val="lrTb"/>
            <w:noWrap w:val="false"/>
          </w:tcPr>
          <w:p>
            <w:pPr>
              <w:jc w:val="cente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color w:val="auto"/>
                <w:highlight w:val="none"/>
              </w:rPr>
            </w:r>
            <w:r/>
          </w:p>
        </w:tc>
        <w:tc>
          <w:tcPr>
            <w:tcW w:w="1399" w:type="dxa"/>
            <w:vAlign w:val="center"/>
            <w:textDirection w:val="lrTb"/>
            <w:noWrap w:val="false"/>
          </w:tcPr>
          <w:p>
            <w:pPr>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515" w:type="dxa"/>
            <w:vAlign w:val="center"/>
            <w:textDirection w:val="lrTb"/>
            <w:noWrap w:val="false"/>
          </w:tcPr>
          <w:p>
            <w:pPr>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532" w:type="dxa"/>
            <w:vAlign w:val="center"/>
            <w:textDirection w:val="lrTb"/>
            <w:noWrap w:val="false"/>
          </w:tcPr>
          <w:p>
            <w:pPr>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2052" w:type="dxa"/>
            <w:vAlign w:val="center"/>
            <w:textDirection w:val="lrTb"/>
            <w:noWrap w:val="false"/>
          </w:tcPr>
          <w:p>
            <w:pPr>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336" w:type="dxa"/>
            <w:vAlign w:val="center"/>
            <w:textDirection w:val="lrTb"/>
            <w:noWrap w:val="false"/>
          </w:tcPr>
          <w:p>
            <w:pPr>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r>
      <w:tr>
        <w:trPr>
          <w:jc w:val="center"/>
          <w:trHeight w:val="567" w:hRule="exact"/>
        </w:trPr>
        <w:tc>
          <w:tcPr>
            <w:tcW w:w="688" w:type="dxa"/>
            <w:vAlign w:val="center"/>
            <w:textDirection w:val="lrTb"/>
            <w:noWrap w:val="false"/>
          </w:tcPr>
          <w:p>
            <w:pPr>
              <w:jc w:val="cente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rPr>
                <w:color w:val="auto"/>
                <w:highlight w:val="none"/>
              </w:rPr>
            </w:r>
            <w:r/>
          </w:p>
        </w:tc>
        <w:tc>
          <w:tcPr>
            <w:tcW w:w="1399" w:type="dxa"/>
            <w:vAlign w:val="center"/>
            <w:textDirection w:val="lrTb"/>
            <w:noWrap w:val="false"/>
          </w:tcPr>
          <w:p>
            <w:pPr>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515" w:type="dxa"/>
            <w:vAlign w:val="center"/>
            <w:textDirection w:val="lrTb"/>
            <w:noWrap w:val="false"/>
          </w:tcPr>
          <w:p>
            <w:pPr>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532" w:type="dxa"/>
            <w:vAlign w:val="center"/>
            <w:textDirection w:val="lrTb"/>
            <w:noWrap w:val="false"/>
          </w:tcPr>
          <w:p>
            <w:pPr>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2052" w:type="dxa"/>
            <w:vAlign w:val="center"/>
            <w:textDirection w:val="lrTb"/>
            <w:noWrap w:val="false"/>
          </w:tcPr>
          <w:p>
            <w:pPr>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336" w:type="dxa"/>
            <w:vAlign w:val="center"/>
            <w:textDirection w:val="lrTb"/>
            <w:noWrap w:val="false"/>
          </w:tcPr>
          <w:p>
            <w:pPr>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r>
      <w:tr>
        <w:trPr>
          <w:jc w:val="center"/>
          <w:trHeight w:val="567" w:hRule="exact"/>
        </w:trPr>
        <w:tc>
          <w:tcPr>
            <w:tcW w:w="688" w:type="dxa"/>
            <w:vAlign w:val="center"/>
            <w:textDirection w:val="lrTb"/>
            <w:noWrap w:val="false"/>
          </w:tcPr>
          <w:p>
            <w:pPr>
              <w:jc w:val="cente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rPr>
                <w:color w:val="auto"/>
                <w:highlight w:val="none"/>
              </w:rPr>
            </w:r>
            <w:r/>
          </w:p>
        </w:tc>
        <w:tc>
          <w:tcPr>
            <w:tcW w:w="1399" w:type="dxa"/>
            <w:vAlign w:val="center"/>
            <w:textDirection w:val="lrTb"/>
            <w:noWrap w:val="false"/>
          </w:tcPr>
          <w:p>
            <w:pPr>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515" w:type="dxa"/>
            <w:vAlign w:val="center"/>
            <w:textDirection w:val="lrTb"/>
            <w:noWrap w:val="false"/>
          </w:tcPr>
          <w:p>
            <w:pPr>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532" w:type="dxa"/>
            <w:vAlign w:val="center"/>
            <w:textDirection w:val="lrTb"/>
            <w:noWrap w:val="false"/>
          </w:tcPr>
          <w:p>
            <w:pPr>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2052" w:type="dxa"/>
            <w:vAlign w:val="center"/>
            <w:textDirection w:val="lrTb"/>
            <w:noWrap w:val="false"/>
          </w:tcPr>
          <w:p>
            <w:pPr>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336" w:type="dxa"/>
            <w:vAlign w:val="center"/>
            <w:textDirection w:val="lrTb"/>
            <w:noWrap w:val="false"/>
          </w:tcPr>
          <w:p>
            <w:pPr>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r>
      <w:tr>
        <w:trPr>
          <w:jc w:val="center"/>
          <w:trHeight w:val="567" w:hRule="exact"/>
        </w:trPr>
        <w:tc>
          <w:tcPr>
            <w:tcW w:w="688" w:type="dxa"/>
            <w:vAlign w:val="center"/>
            <w:textDirection w:val="lrTb"/>
            <w:noWrap w:val="false"/>
          </w:tcPr>
          <w:p>
            <w:pPr>
              <w:jc w:val="cente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rPr>
                <w:color w:val="auto"/>
                <w:highlight w:val="none"/>
              </w:rPr>
            </w:r>
            <w:r/>
          </w:p>
        </w:tc>
        <w:tc>
          <w:tcPr>
            <w:tcW w:w="1399" w:type="dxa"/>
            <w:vAlign w:val="center"/>
            <w:textDirection w:val="lrTb"/>
            <w:noWrap w:val="false"/>
          </w:tcPr>
          <w:p>
            <w:pPr>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515" w:type="dxa"/>
            <w:vAlign w:val="center"/>
            <w:textDirection w:val="lrTb"/>
            <w:noWrap w:val="false"/>
          </w:tcPr>
          <w:p>
            <w:pPr>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532" w:type="dxa"/>
            <w:vAlign w:val="center"/>
            <w:textDirection w:val="lrTb"/>
            <w:noWrap w:val="false"/>
          </w:tcPr>
          <w:p>
            <w:pPr>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2052" w:type="dxa"/>
            <w:vAlign w:val="center"/>
            <w:textDirection w:val="lrTb"/>
            <w:noWrap w:val="false"/>
          </w:tcPr>
          <w:p>
            <w:pPr>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336" w:type="dxa"/>
            <w:vAlign w:val="center"/>
            <w:textDirection w:val="lrTb"/>
            <w:noWrap w:val="false"/>
          </w:tcPr>
          <w:p>
            <w:pPr>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r>
      <w:tr>
        <w:trPr>
          <w:jc w:val="center"/>
          <w:trHeight w:val="567" w:hRule="exact"/>
        </w:trPr>
        <w:tc>
          <w:tcPr>
            <w:tcW w:w="688" w:type="dxa"/>
            <w:vAlign w:val="center"/>
            <w:textDirection w:val="lrTb"/>
            <w:noWrap w:val="false"/>
          </w:tcPr>
          <w:p>
            <w:pPr>
              <w:jc w:val="cente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rPr>
                <w:color w:val="auto"/>
                <w:highlight w:val="none"/>
              </w:rPr>
            </w:r>
            <w:r/>
          </w:p>
        </w:tc>
        <w:tc>
          <w:tcPr>
            <w:tcW w:w="1399" w:type="dxa"/>
            <w:vAlign w:val="center"/>
            <w:textDirection w:val="lrTb"/>
            <w:noWrap w:val="false"/>
          </w:tcPr>
          <w:p>
            <w:pPr>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515" w:type="dxa"/>
            <w:vAlign w:val="center"/>
            <w:textDirection w:val="lrTb"/>
            <w:noWrap w:val="false"/>
          </w:tcPr>
          <w:p>
            <w:pPr>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532" w:type="dxa"/>
            <w:vAlign w:val="center"/>
            <w:textDirection w:val="lrTb"/>
            <w:noWrap w:val="false"/>
          </w:tcPr>
          <w:p>
            <w:pPr>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2052" w:type="dxa"/>
            <w:vAlign w:val="center"/>
            <w:textDirection w:val="lrTb"/>
            <w:noWrap w:val="false"/>
          </w:tcPr>
          <w:p>
            <w:pPr>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336" w:type="dxa"/>
            <w:vAlign w:val="center"/>
            <w:textDirection w:val="lrTb"/>
            <w:noWrap w:val="false"/>
          </w:tcPr>
          <w:p>
            <w:pPr>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r>
      <w:tr>
        <w:trPr>
          <w:jc w:val="center"/>
          <w:trHeight w:val="567" w:hRule="exact"/>
        </w:trPr>
        <w:tc>
          <w:tcPr>
            <w:tcW w:w="688" w:type="dxa"/>
            <w:vAlign w:val="center"/>
            <w:textDirection w:val="lrTb"/>
            <w:noWrap w:val="false"/>
          </w:tcPr>
          <w:p>
            <w:pPr>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399" w:type="dxa"/>
            <w:vAlign w:val="center"/>
            <w:textDirection w:val="lrTb"/>
            <w:noWrap w:val="false"/>
          </w:tcPr>
          <w:p>
            <w:pPr>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515" w:type="dxa"/>
            <w:vAlign w:val="center"/>
            <w:textDirection w:val="lrTb"/>
            <w:noWrap w:val="false"/>
          </w:tcPr>
          <w:p>
            <w:pPr>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532" w:type="dxa"/>
            <w:vAlign w:val="center"/>
            <w:textDirection w:val="lrTb"/>
            <w:noWrap w:val="false"/>
          </w:tcPr>
          <w:p>
            <w:pPr>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2052" w:type="dxa"/>
            <w:vAlign w:val="center"/>
            <w:textDirection w:val="lrTb"/>
            <w:noWrap w:val="false"/>
          </w:tcPr>
          <w:p>
            <w:pPr>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336" w:type="dxa"/>
            <w:vAlign w:val="center"/>
            <w:textDirection w:val="lrTb"/>
            <w:noWrap w:val="false"/>
          </w:tcPr>
          <w:p>
            <w:pPr>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r>
      <w:tr>
        <w:trPr>
          <w:jc w:val="center"/>
          <w:trHeight w:val="567" w:hRule="exact"/>
        </w:trPr>
        <w:tc>
          <w:tcPr>
            <w:tcW w:w="688" w:type="dxa"/>
            <w:vAlign w:val="center"/>
            <w:textDirection w:val="lrTb"/>
            <w:noWrap w:val="false"/>
          </w:tcPr>
          <w:p>
            <w:pPr>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399" w:type="dxa"/>
            <w:vAlign w:val="center"/>
            <w:textDirection w:val="lrTb"/>
            <w:noWrap w:val="false"/>
          </w:tcPr>
          <w:p>
            <w:pPr>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515" w:type="dxa"/>
            <w:vAlign w:val="center"/>
            <w:textDirection w:val="lrTb"/>
            <w:noWrap w:val="false"/>
          </w:tcPr>
          <w:p>
            <w:pPr>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532" w:type="dxa"/>
            <w:vAlign w:val="center"/>
            <w:textDirection w:val="lrTb"/>
            <w:noWrap w:val="false"/>
          </w:tcPr>
          <w:p>
            <w:pPr>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2052" w:type="dxa"/>
            <w:vAlign w:val="center"/>
            <w:textDirection w:val="lrTb"/>
            <w:noWrap w:val="false"/>
          </w:tcPr>
          <w:p>
            <w:pPr>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336" w:type="dxa"/>
            <w:vAlign w:val="center"/>
            <w:textDirection w:val="lrTb"/>
            <w:noWrap w:val="false"/>
          </w:tcPr>
          <w:p>
            <w:pPr>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r>
    </w:tbl>
    <w:p>
      <w:pP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注：按招标文件要求附相关证明材料。</w:t>
      </w:r>
      <w:r>
        <w:rPr>
          <w:color w:val="auto"/>
          <w:highlight w:val="none"/>
        </w:rPr>
      </w:r>
      <w:r/>
    </w:p>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p>
      <w:pP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投标单位：（签章）</w:t>
      </w:r>
      <w:r>
        <w:rPr>
          <w:color w:val="auto"/>
          <w:highlight w:val="none"/>
        </w:rPr>
      </w:r>
      <w:r/>
    </w:p>
    <w:p>
      <w:pP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法定代表人或委托代理人：（签字或签章）</w:t>
      </w:r>
      <w:r>
        <w:rPr>
          <w:color w:val="auto"/>
          <w:highlight w:val="none"/>
        </w:rPr>
      </w:r>
      <w:r/>
    </w:p>
    <w:p>
      <w:pP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日期：</w:t>
      </w:r>
      <w:r>
        <w:rPr>
          <w:color w:val="auto"/>
          <w:highlight w:val="none"/>
        </w:rPr>
      </w:r>
      <w:r/>
    </w:p>
    <w:p>
      <w:pPr>
        <w:jc w:val="center"/>
        <w:spacing w:line="440" w:lineRule="exact"/>
        <w:rPr>
          <w:rFonts w:ascii="宋体" w:hAnsi="宋体"/>
          <w:color w:val="auto"/>
          <w:position w:val="6"/>
          <w:sz w:val="24"/>
          <w:szCs w:val="24"/>
          <w:highlight w:val="none"/>
        </w:rPr>
      </w:pPr>
      <w:r>
        <w:rPr>
          <w:rFonts w:ascii="宋体" w:hAnsi="宋体"/>
          <w:color w:val="auto"/>
          <w:position w:val="6"/>
          <w:sz w:val="24"/>
          <w:szCs w:val="24"/>
          <w:highlight w:val="none"/>
        </w:rPr>
      </w:r>
      <w:r>
        <w:rPr>
          <w:color w:val="auto"/>
          <w:highlight w:val="none"/>
        </w:rPr>
      </w:r>
      <w:r/>
    </w:p>
    <w:p>
      <w:pPr>
        <w:jc w:val="center"/>
        <w:spacing w:line="440" w:lineRule="exact"/>
        <w:rPr>
          <w:rFonts w:ascii="宋体" w:hAnsi="宋体"/>
          <w:color w:val="auto"/>
          <w:position w:val="6"/>
          <w:sz w:val="24"/>
          <w:szCs w:val="24"/>
          <w:highlight w:val="none"/>
        </w:rPr>
      </w:pPr>
      <w:r>
        <w:rPr>
          <w:rFonts w:ascii="宋体" w:hAnsi="宋体"/>
          <w:color w:val="auto"/>
          <w:position w:val="6"/>
          <w:sz w:val="24"/>
          <w:szCs w:val="24"/>
          <w:highlight w:val="none"/>
        </w:rPr>
      </w:r>
      <w:r>
        <w:rPr>
          <w:color w:val="auto"/>
          <w:highlight w:val="none"/>
        </w:rPr>
      </w:r>
      <w:r/>
    </w:p>
    <w:p>
      <w:pPr>
        <w:spacing w:line="440" w:lineRule="exact"/>
        <w:rPr>
          <w:rFonts w:ascii="宋体" w:hAnsi="宋体"/>
          <w:color w:val="auto"/>
          <w:sz w:val="24"/>
          <w:szCs w:val="24"/>
          <w:highlight w:val="none"/>
        </w:rPr>
      </w:pPr>
      <w:r>
        <w:rPr>
          <w:rFonts w:hint="eastAsia" w:ascii="宋体" w:hAnsi="宋体"/>
          <w:b/>
          <w:bCs/>
          <w:color w:val="auto"/>
          <w:sz w:val="24"/>
          <w:szCs w:val="24"/>
          <w:highlight w:val="none"/>
          <w:lang w:val="zh-CN"/>
        </w:rPr>
        <w:br w:type="page" w:clear="all"/>
      </w:r>
      <w:r>
        <w:rPr>
          <w:rFonts w:hint="eastAsia" w:ascii="宋体" w:hAnsi="宋体"/>
          <w:b/>
          <w:bCs/>
          <w:color w:val="auto"/>
          <w:sz w:val="24"/>
          <w:szCs w:val="24"/>
          <w:highlight w:val="none"/>
          <w:lang w:val="zh-CN"/>
        </w:rPr>
        <w:t xml:space="preserve">格式</w:t>
      </w:r>
      <w:r>
        <w:rPr>
          <w:rFonts w:hint="eastAsia" w:ascii="宋体" w:hAnsi="宋体"/>
          <w:b/>
          <w:bCs/>
          <w:color w:val="auto"/>
          <w:sz w:val="24"/>
          <w:szCs w:val="24"/>
          <w:highlight w:val="none"/>
        </w:rPr>
        <w:t xml:space="preserve">11</w:t>
      </w:r>
      <w:r>
        <w:rPr>
          <w:rFonts w:hint="eastAsia" w:ascii="宋体" w:hAnsi="宋体"/>
          <w:b/>
          <w:bCs/>
          <w:color w:val="auto"/>
          <w:sz w:val="24"/>
          <w:szCs w:val="24"/>
          <w:highlight w:val="none"/>
          <w:lang w:val="zh-CN"/>
        </w:rPr>
        <w:t xml:space="preserve">、</w:t>
      </w:r>
      <w:r>
        <w:rPr>
          <w:rFonts w:hint="eastAsia" w:ascii="宋体" w:hAnsi="宋体"/>
          <w:b/>
          <w:color w:val="auto"/>
          <w:sz w:val="24"/>
          <w:szCs w:val="24"/>
          <w:highlight w:val="none"/>
          <w:lang w:val="zh-CN"/>
        </w:rPr>
        <w:t xml:space="preserve">关于资格文件的声明函</w:t>
      </w:r>
      <w:r>
        <w:rPr>
          <w:color w:val="auto"/>
          <w:highlight w:val="none"/>
        </w:rPr>
      </w:r>
      <w:r/>
    </w:p>
    <w:p>
      <w:pPr>
        <w:ind w:firstLine="425"/>
        <w:jc w:val="center"/>
        <w:spacing w:line="440" w:lineRule="exact"/>
        <w:rPr>
          <w:rFonts w:ascii="宋体" w:hAnsi="宋体"/>
          <w:b/>
          <w:color w:val="auto"/>
          <w:sz w:val="24"/>
          <w:szCs w:val="24"/>
          <w:highlight w:val="none"/>
        </w:rPr>
      </w:pPr>
      <w:r>
        <w:rPr>
          <w:rFonts w:ascii="宋体" w:hAnsi="宋体"/>
          <w:b/>
          <w:color w:val="auto"/>
          <w:sz w:val="24"/>
          <w:szCs w:val="24"/>
          <w:highlight w:val="none"/>
        </w:rPr>
      </w:r>
      <w:r>
        <w:rPr>
          <w:color w:val="auto"/>
          <w:highlight w:val="none"/>
        </w:rPr>
      </w:r>
      <w:r/>
    </w:p>
    <w:p>
      <w:pPr>
        <w:jc w:val="center"/>
        <w:spacing w:line="440" w:lineRule="exact"/>
        <w:rPr>
          <w:rFonts w:ascii="宋体" w:hAnsi="宋体"/>
          <w:b/>
          <w:color w:val="auto"/>
          <w:sz w:val="24"/>
          <w:szCs w:val="24"/>
          <w:highlight w:val="none"/>
        </w:rPr>
      </w:pPr>
      <w:r>
        <w:rPr>
          <w:rFonts w:hint="eastAsia" w:ascii="宋体" w:hAnsi="宋体"/>
          <w:b/>
          <w:color w:val="auto"/>
          <w:sz w:val="24"/>
          <w:szCs w:val="24"/>
          <w:highlight w:val="none"/>
          <w:lang w:val="zh-CN"/>
        </w:rPr>
        <w:t xml:space="preserve">关于资格文件的声明函</w:t>
      </w:r>
      <w:r>
        <w:rPr>
          <w:color w:val="auto"/>
          <w:highlight w:val="none"/>
        </w:rPr>
      </w:r>
      <w:r/>
    </w:p>
    <w:p>
      <w:pPr>
        <w:ind w:firstLine="425"/>
        <w:jc w:val="center"/>
        <w:spacing w:line="440" w:lineRule="exact"/>
        <w:rPr>
          <w:rFonts w:ascii="宋体" w:hAnsi="宋体"/>
          <w:color w:val="auto"/>
          <w:sz w:val="24"/>
          <w:szCs w:val="24"/>
          <w:highlight w:val="none"/>
        </w:rPr>
      </w:pPr>
      <w:r>
        <w:rPr>
          <w:rFonts w:ascii="宋体" w:hAnsi="宋体"/>
          <w:color w:val="auto"/>
          <w:sz w:val="24"/>
          <w:szCs w:val="24"/>
          <w:highlight w:val="none"/>
        </w:rPr>
      </w:r>
      <w:r>
        <w:rPr>
          <w:color w:val="auto"/>
          <w:highlight w:val="none"/>
        </w:rPr>
      </w:r>
      <w:r/>
    </w:p>
    <w:p>
      <w:pPr>
        <w:spacing w:line="440" w:lineRule="exact"/>
        <w:rPr>
          <w:rFonts w:ascii="宋体" w:hAnsi="宋体"/>
          <w:color w:val="auto"/>
          <w:sz w:val="24"/>
          <w:szCs w:val="24"/>
          <w:highlight w:val="none"/>
        </w:rPr>
      </w:pPr>
      <w:r>
        <w:rPr>
          <w:rFonts w:hint="eastAsia" w:ascii="宋体" w:hAnsi="宋体"/>
          <w:color w:val="auto"/>
          <w:sz w:val="24"/>
          <w:szCs w:val="24"/>
          <w:highlight w:val="none"/>
          <w:u w:val="single"/>
          <w:lang w:val="zh-CN"/>
        </w:rPr>
        <w:t xml:space="preserve">                                    </w:t>
      </w:r>
      <w:r>
        <w:rPr>
          <w:rFonts w:hint="eastAsia" w:ascii="宋体" w:hAnsi="宋体"/>
          <w:color w:val="auto"/>
          <w:sz w:val="24"/>
          <w:szCs w:val="24"/>
          <w:highlight w:val="none"/>
          <w:lang w:val="zh-CN"/>
        </w:rPr>
        <w:t xml:space="preserve">：</w:t>
      </w:r>
      <w:r>
        <w:rPr>
          <w:color w:val="auto"/>
          <w:highlight w:val="none"/>
        </w:rPr>
      </w:r>
      <w:r/>
    </w:p>
    <w:p>
      <w:pPr>
        <w:ind w:firstLine="420"/>
        <w:spacing w:line="440" w:lineRule="exact"/>
        <w:rPr>
          <w:rFonts w:ascii="宋体" w:hAnsi="宋体"/>
          <w:color w:val="auto"/>
          <w:sz w:val="24"/>
          <w:szCs w:val="24"/>
          <w:highlight w:val="none"/>
        </w:rPr>
      </w:pPr>
      <w:r>
        <w:rPr>
          <w:rFonts w:hint="eastAsia" w:ascii="宋体" w:hAnsi="宋体"/>
          <w:color w:val="auto"/>
          <w:sz w:val="24"/>
          <w:szCs w:val="24"/>
          <w:highlight w:val="none"/>
          <w:lang w:val="zh-CN"/>
        </w:rPr>
        <w:t xml:space="preserve">本公司愿就由贵公司组织实施的编号为</w:t>
      </w:r>
      <w:r>
        <w:rPr>
          <w:rFonts w:hint="eastAsia" w:ascii="宋体" w:hAnsi="宋体"/>
          <w:color w:val="auto"/>
          <w:sz w:val="24"/>
          <w:szCs w:val="24"/>
          <w:highlight w:val="none"/>
          <w:u w:val="single"/>
          <w:lang w:val="zh-CN"/>
        </w:rPr>
        <w:t xml:space="preserve">              </w:t>
      </w:r>
      <w:r>
        <w:rPr>
          <w:rFonts w:hint="eastAsia" w:ascii="宋体" w:hAnsi="宋体"/>
          <w:color w:val="auto"/>
          <w:sz w:val="24"/>
          <w:szCs w:val="24"/>
          <w:highlight w:val="none"/>
          <w:lang w:val="zh-CN"/>
        </w:rPr>
        <w:t xml:space="preserve">号的招标活动进行投标。本公司所提交的投标文件中所有关于投标资格的文件、证明和陈述均是真实的、准确的。若与真实情况不符，本公司愿意承担由此而产生的一切后果。</w:t>
      </w:r>
      <w:r>
        <w:rPr>
          <w:color w:val="auto"/>
          <w:highlight w:val="none"/>
        </w:rPr>
      </w:r>
      <w:r/>
    </w:p>
    <w:p>
      <w:pPr>
        <w:ind w:firstLine="425"/>
        <w:spacing w:line="440" w:lineRule="exact"/>
        <w:rPr>
          <w:rFonts w:ascii="宋体" w:hAnsi="宋体"/>
          <w:color w:val="auto"/>
          <w:sz w:val="24"/>
          <w:szCs w:val="24"/>
          <w:highlight w:val="none"/>
        </w:rPr>
      </w:pPr>
      <w:r>
        <w:rPr>
          <w:rFonts w:ascii="宋体" w:hAnsi="宋体"/>
          <w:color w:val="auto"/>
          <w:sz w:val="24"/>
          <w:szCs w:val="24"/>
          <w:highlight w:val="none"/>
        </w:rPr>
      </w:r>
      <w:r>
        <w:rPr>
          <w:color w:val="auto"/>
          <w:highlight w:val="none"/>
        </w:rPr>
      </w:r>
      <w:r/>
    </w:p>
    <w:p>
      <w:pPr>
        <w:ind w:firstLine="425"/>
        <w:spacing w:line="440" w:lineRule="exact"/>
        <w:rPr>
          <w:rFonts w:ascii="宋体" w:hAnsi="宋体"/>
          <w:color w:val="auto"/>
          <w:sz w:val="24"/>
          <w:szCs w:val="24"/>
          <w:highlight w:val="none"/>
        </w:rPr>
      </w:pPr>
      <w:r>
        <w:rPr>
          <w:rFonts w:ascii="宋体" w:hAnsi="宋体"/>
          <w:color w:val="auto"/>
          <w:sz w:val="24"/>
          <w:szCs w:val="24"/>
          <w:highlight w:val="none"/>
        </w:rPr>
      </w:r>
      <w:r>
        <w:rPr>
          <w:color w:val="auto"/>
          <w:highlight w:val="none"/>
        </w:rPr>
      </w:r>
      <w:r/>
    </w:p>
    <w:p>
      <w:pPr>
        <w:ind w:firstLine="425"/>
        <w:spacing w:line="440" w:lineRule="exact"/>
        <w:rPr>
          <w:rFonts w:ascii="宋体" w:hAnsi="宋体"/>
          <w:color w:val="auto"/>
          <w:sz w:val="24"/>
          <w:szCs w:val="24"/>
          <w:highlight w:val="none"/>
        </w:rPr>
      </w:pPr>
      <w:r>
        <w:rPr>
          <w:rFonts w:ascii="宋体" w:hAnsi="宋体"/>
          <w:color w:val="auto"/>
          <w:sz w:val="24"/>
          <w:szCs w:val="24"/>
          <w:highlight w:val="none"/>
        </w:rPr>
      </w:r>
      <w:r>
        <w:rPr>
          <w:color w:val="auto"/>
          <w:highlight w:val="none"/>
        </w:rPr>
      </w:r>
      <w:r/>
    </w:p>
    <w:p>
      <w:pP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投标单位：（签章）</w:t>
      </w:r>
      <w:r>
        <w:rPr>
          <w:color w:val="auto"/>
          <w:highlight w:val="none"/>
        </w:rPr>
      </w:r>
      <w:r/>
    </w:p>
    <w:p>
      <w:pP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法定代表人或委托代理人：（签字或签章）</w:t>
      </w:r>
      <w:r>
        <w:rPr>
          <w:color w:val="auto"/>
          <w:highlight w:val="none"/>
        </w:rPr>
      </w:r>
      <w:r/>
    </w:p>
    <w:p>
      <w:pP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日期：</w:t>
      </w:r>
      <w:r>
        <w:rPr>
          <w:color w:val="auto"/>
          <w:highlight w:val="none"/>
        </w:rPr>
      </w:r>
      <w:r/>
    </w:p>
    <w:p>
      <w:pPr>
        <w:ind w:firstLine="1995"/>
        <w:spacing w:line="440" w:lineRule="exact"/>
        <w:rPr>
          <w:rFonts w:ascii="宋体" w:hAnsi="宋体"/>
          <w:color w:val="auto"/>
          <w:sz w:val="24"/>
          <w:szCs w:val="24"/>
          <w:highlight w:val="none"/>
        </w:rPr>
      </w:pPr>
      <w:r>
        <w:rPr>
          <w:rFonts w:ascii="宋体" w:hAnsi="宋体"/>
          <w:color w:val="auto"/>
          <w:sz w:val="24"/>
          <w:szCs w:val="24"/>
          <w:highlight w:val="none"/>
        </w:rPr>
      </w:r>
      <w:r>
        <w:rPr>
          <w:color w:val="auto"/>
          <w:highlight w:val="none"/>
        </w:rPr>
      </w:r>
      <w:r/>
    </w:p>
    <w:p>
      <w:pPr>
        <w:spacing w:line="440" w:lineRule="exact"/>
        <w:rPr>
          <w:rFonts w:ascii="宋体" w:hAnsi="宋体"/>
          <w:b/>
          <w:color w:val="auto"/>
          <w:sz w:val="24"/>
          <w:szCs w:val="24"/>
          <w:highlight w:val="none"/>
        </w:rPr>
      </w:pPr>
      <w:r>
        <w:rPr>
          <w:rFonts w:hint="eastAsia" w:ascii="宋体" w:hAnsi="宋体"/>
          <w:color w:val="auto"/>
          <w:sz w:val="24"/>
          <w:szCs w:val="24"/>
          <w:highlight w:val="none"/>
          <w:lang w:val="zh-CN"/>
        </w:rPr>
        <w:br w:type="page" w:clear="all"/>
      </w:r>
      <w:r>
        <w:rPr>
          <w:rFonts w:hint="eastAsia" w:ascii="宋体" w:hAnsi="宋体"/>
          <w:b/>
          <w:bCs/>
          <w:color w:val="auto"/>
          <w:sz w:val="24"/>
          <w:szCs w:val="24"/>
          <w:highlight w:val="none"/>
          <w:lang w:val="zh-CN"/>
        </w:rPr>
        <w:t xml:space="preserve">格式</w:t>
      </w:r>
      <w:r>
        <w:rPr>
          <w:rFonts w:hint="eastAsia" w:ascii="宋体" w:hAnsi="宋体"/>
          <w:b/>
          <w:bCs/>
          <w:color w:val="auto"/>
          <w:sz w:val="24"/>
          <w:szCs w:val="24"/>
          <w:highlight w:val="none"/>
        </w:rPr>
        <w:t xml:space="preserve">12</w:t>
      </w:r>
      <w:r>
        <w:rPr>
          <w:rFonts w:hint="eastAsia" w:ascii="宋体" w:hAnsi="宋体"/>
          <w:b/>
          <w:bCs/>
          <w:color w:val="auto"/>
          <w:sz w:val="24"/>
          <w:szCs w:val="24"/>
          <w:highlight w:val="none"/>
          <w:lang w:val="zh-CN"/>
        </w:rPr>
        <w:t xml:space="preserve">、</w:t>
      </w:r>
      <w:r>
        <w:rPr>
          <w:rFonts w:hint="eastAsia" w:ascii="宋体" w:hAnsi="宋体"/>
          <w:b/>
          <w:color w:val="auto"/>
          <w:sz w:val="24"/>
          <w:szCs w:val="24"/>
          <w:highlight w:val="none"/>
          <w:lang w:val="zh-CN"/>
        </w:rPr>
        <w:t xml:space="preserve">投标人情况表</w:t>
      </w:r>
      <w:r>
        <w:rPr>
          <w:color w:val="auto"/>
          <w:highlight w:val="none"/>
        </w:rPr>
      </w:r>
      <w:r/>
    </w:p>
    <w:p>
      <w:pPr>
        <w:spacing w:line="440" w:lineRule="exact"/>
        <w:rPr>
          <w:rFonts w:ascii="宋体" w:hAnsi="宋体"/>
          <w:color w:val="auto"/>
          <w:szCs w:val="21"/>
          <w:highlight w:val="none"/>
        </w:rPr>
      </w:pPr>
      <w:r>
        <w:rPr>
          <w:rFonts w:hint="eastAsia" w:ascii="宋体" w:hAnsi="宋体" w:cs="宋体"/>
          <w:color w:val="auto"/>
          <w:szCs w:val="21"/>
          <w:highlight w:val="none"/>
          <w:lang w:val="zh-CN"/>
        </w:rPr>
        <w:t xml:space="preserve">投标单位：（公章）</w:t>
      </w:r>
      <w:r>
        <w:rPr>
          <w:color w:val="auto"/>
          <w:highlight w:val="none"/>
        </w:rPr>
      </w:r>
      <w:r/>
    </w:p>
    <w:tbl>
      <w:tblPr>
        <w:tblW w:w="9206"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2860"/>
        <w:gridCol w:w="1720"/>
        <w:gridCol w:w="1933"/>
        <w:gridCol w:w="1633"/>
        <w:gridCol w:w="1060"/>
      </w:tblGrid>
      <w:tr>
        <w:trPr/>
        <w:tc>
          <w:tcPr>
            <w:tcW w:w="2860" w:type="dxa"/>
            <w:vAlign w:val="center"/>
            <w:textDirection w:val="lrTb"/>
            <w:noWrap w:val="false"/>
          </w:tcPr>
          <w:p>
            <w:pPr>
              <w:jc w:val="center"/>
              <w:spacing w:line="240" w:lineRule="auto"/>
              <w:rPr>
                <w:rFonts w:ascii="宋体" w:hAnsi="宋体" w:cs="宋体"/>
                <w:bCs/>
                <w:color w:val="auto"/>
                <w:szCs w:val="21"/>
                <w:highlight w:val="none"/>
                <w:shd w:val="clear" w:color="auto" w:fill="ffffff"/>
              </w:rPr>
            </w:pPr>
            <w:r>
              <w:rPr>
                <w:rFonts w:hint="eastAsia" w:ascii="宋体" w:hAnsi="宋体" w:cs="宋体"/>
                <w:bCs/>
                <w:color w:val="auto"/>
                <w:szCs w:val="21"/>
                <w:highlight w:val="none"/>
                <w:shd w:val="clear" w:color="auto" w:fill="ffffff"/>
              </w:rPr>
              <w:t xml:space="preserve">法定代表人</w:t>
            </w:r>
            <w:r>
              <w:rPr>
                <w:color w:val="auto"/>
                <w:highlight w:val="none"/>
              </w:rPr>
            </w:r>
            <w:r/>
          </w:p>
        </w:tc>
        <w:tc>
          <w:tcPr>
            <w:tcW w:w="1720" w:type="dxa"/>
            <w:vAlign w:val="center"/>
            <w:textDirection w:val="lrTb"/>
            <w:noWrap w:val="false"/>
          </w:tcPr>
          <w:p>
            <w:pPr>
              <w:jc w:val="center"/>
              <w:spacing w:line="240" w:lineRule="auto"/>
              <w:rPr>
                <w:rFonts w:ascii="宋体" w:hAnsi="宋体" w:cs="宋体"/>
                <w:bCs/>
                <w:color w:val="auto"/>
                <w:szCs w:val="21"/>
                <w:highlight w:val="none"/>
                <w:shd w:val="clear" w:color="auto" w:fill="ffffff"/>
              </w:rPr>
            </w:pPr>
            <w:r>
              <w:rPr>
                <w:rFonts w:ascii="宋体" w:hAnsi="宋体" w:cs="宋体"/>
                <w:bCs/>
                <w:color w:val="auto"/>
                <w:szCs w:val="21"/>
                <w:highlight w:val="none"/>
                <w:shd w:val="clear" w:color="auto" w:fill="ffffff"/>
              </w:rPr>
            </w:r>
            <w:r>
              <w:rPr>
                <w:color w:val="auto"/>
                <w:highlight w:val="none"/>
              </w:rPr>
            </w:r>
            <w:r/>
          </w:p>
        </w:tc>
        <w:tc>
          <w:tcPr>
            <w:tcW w:w="1933" w:type="dxa"/>
            <w:vAlign w:val="center"/>
            <w:textDirection w:val="lrTb"/>
            <w:noWrap w:val="false"/>
          </w:tcPr>
          <w:p>
            <w:pPr>
              <w:jc w:val="center"/>
              <w:spacing w:line="240" w:lineRule="auto"/>
              <w:rPr>
                <w:rFonts w:ascii="宋体" w:hAnsi="宋体" w:cs="宋体"/>
                <w:bCs/>
                <w:color w:val="auto"/>
                <w:szCs w:val="21"/>
                <w:highlight w:val="none"/>
                <w:shd w:val="clear" w:color="auto" w:fill="ffffff"/>
              </w:rPr>
            </w:pPr>
            <w:r>
              <w:rPr>
                <w:rFonts w:hint="eastAsia" w:ascii="宋体" w:hAnsi="宋体" w:cs="宋体"/>
                <w:bCs/>
                <w:color w:val="auto"/>
                <w:szCs w:val="21"/>
                <w:highlight w:val="none"/>
                <w:shd w:val="clear" w:color="auto" w:fill="ffffff"/>
              </w:rPr>
              <w:t xml:space="preserve">成立日期</w:t>
            </w:r>
            <w:r>
              <w:rPr>
                <w:color w:val="auto"/>
                <w:highlight w:val="none"/>
              </w:rPr>
            </w:r>
            <w:r/>
          </w:p>
        </w:tc>
        <w:tc>
          <w:tcPr>
            <w:gridSpan w:val="2"/>
            <w:tcW w:w="2693" w:type="dxa"/>
            <w:vAlign w:val="center"/>
            <w:textDirection w:val="lrTb"/>
            <w:noWrap w:val="false"/>
          </w:tcPr>
          <w:p>
            <w:pPr>
              <w:jc w:val="center"/>
              <w:spacing w:line="240" w:lineRule="auto"/>
              <w:rPr>
                <w:rFonts w:ascii="宋体" w:hAnsi="宋体" w:cs="宋体"/>
                <w:bCs/>
                <w:color w:val="auto"/>
                <w:szCs w:val="21"/>
                <w:highlight w:val="none"/>
                <w:shd w:val="clear" w:color="auto" w:fill="ffffff"/>
              </w:rPr>
            </w:pPr>
            <w:r>
              <w:rPr>
                <w:rFonts w:ascii="宋体" w:hAnsi="宋体" w:cs="宋体"/>
                <w:bCs/>
                <w:color w:val="auto"/>
                <w:szCs w:val="21"/>
                <w:highlight w:val="none"/>
                <w:shd w:val="clear" w:color="auto" w:fill="ffffff"/>
              </w:rPr>
            </w:r>
            <w:r>
              <w:rPr>
                <w:color w:val="auto"/>
                <w:highlight w:val="none"/>
              </w:rPr>
            </w:r>
            <w:r/>
          </w:p>
        </w:tc>
      </w:tr>
      <w:tr>
        <w:trPr/>
        <w:tc>
          <w:tcPr>
            <w:tcW w:w="2860" w:type="dxa"/>
            <w:vAlign w:val="center"/>
            <w:textDirection w:val="lrTb"/>
            <w:noWrap w:val="false"/>
          </w:tcPr>
          <w:p>
            <w:pPr>
              <w:jc w:val="center"/>
              <w:spacing w:line="240" w:lineRule="auto"/>
              <w:rPr>
                <w:rFonts w:ascii="宋体" w:hAnsi="宋体" w:cs="宋体"/>
                <w:bCs/>
                <w:color w:val="auto"/>
                <w:szCs w:val="21"/>
                <w:highlight w:val="none"/>
                <w:shd w:val="clear" w:color="auto" w:fill="ffffff"/>
              </w:rPr>
            </w:pPr>
            <w:r>
              <w:rPr>
                <w:rFonts w:hint="eastAsia" w:ascii="宋体" w:hAnsi="宋体" w:cs="宋体"/>
                <w:bCs/>
                <w:color w:val="auto"/>
                <w:szCs w:val="21"/>
                <w:highlight w:val="none"/>
                <w:shd w:val="clear" w:color="auto" w:fill="ffffff"/>
              </w:rPr>
              <w:t xml:space="preserve">企业地址</w:t>
            </w:r>
            <w:r>
              <w:rPr>
                <w:color w:val="auto"/>
                <w:highlight w:val="none"/>
              </w:rPr>
            </w:r>
            <w:r/>
          </w:p>
        </w:tc>
        <w:tc>
          <w:tcPr>
            <w:tcW w:w="1720" w:type="dxa"/>
            <w:vAlign w:val="center"/>
            <w:textDirection w:val="lrTb"/>
            <w:noWrap w:val="false"/>
          </w:tcPr>
          <w:p>
            <w:pPr>
              <w:jc w:val="center"/>
              <w:spacing w:line="240" w:lineRule="auto"/>
              <w:rPr>
                <w:rFonts w:ascii="宋体" w:hAnsi="宋体" w:cs="宋体"/>
                <w:bCs/>
                <w:color w:val="auto"/>
                <w:szCs w:val="21"/>
                <w:highlight w:val="none"/>
                <w:shd w:val="clear" w:color="auto" w:fill="ffffff"/>
              </w:rPr>
            </w:pPr>
            <w:r>
              <w:rPr>
                <w:rFonts w:ascii="宋体" w:hAnsi="宋体" w:cs="宋体"/>
                <w:bCs/>
                <w:color w:val="auto"/>
                <w:szCs w:val="21"/>
                <w:highlight w:val="none"/>
                <w:shd w:val="clear" w:color="auto" w:fill="ffffff"/>
              </w:rPr>
            </w:r>
            <w:r>
              <w:rPr>
                <w:color w:val="auto"/>
                <w:highlight w:val="none"/>
              </w:rPr>
            </w:r>
            <w:r/>
          </w:p>
        </w:tc>
        <w:tc>
          <w:tcPr>
            <w:tcW w:w="1933" w:type="dxa"/>
            <w:vAlign w:val="center"/>
            <w:textDirection w:val="lrTb"/>
            <w:noWrap w:val="false"/>
          </w:tcPr>
          <w:p>
            <w:pPr>
              <w:jc w:val="center"/>
              <w:spacing w:line="240" w:lineRule="auto"/>
              <w:rPr>
                <w:rFonts w:ascii="宋体" w:hAnsi="宋体" w:cs="宋体"/>
                <w:bCs/>
                <w:color w:val="auto"/>
                <w:szCs w:val="21"/>
                <w:highlight w:val="none"/>
                <w:shd w:val="clear" w:color="auto" w:fill="ffffff"/>
              </w:rPr>
            </w:pPr>
            <w:r>
              <w:rPr>
                <w:rFonts w:hint="eastAsia" w:ascii="宋体" w:hAnsi="宋体" w:cs="宋体"/>
                <w:bCs/>
                <w:color w:val="auto"/>
                <w:szCs w:val="21"/>
                <w:highlight w:val="none"/>
                <w:shd w:val="clear" w:color="auto" w:fill="ffffff"/>
              </w:rPr>
              <w:t xml:space="preserve">注册资本</w:t>
            </w:r>
            <w:r>
              <w:rPr>
                <w:color w:val="auto"/>
                <w:highlight w:val="none"/>
              </w:rPr>
            </w:r>
            <w:r/>
          </w:p>
        </w:tc>
        <w:tc>
          <w:tcPr>
            <w:gridSpan w:val="2"/>
            <w:tcW w:w="2693" w:type="dxa"/>
            <w:vAlign w:val="center"/>
            <w:textDirection w:val="lrTb"/>
            <w:noWrap w:val="false"/>
          </w:tcPr>
          <w:p>
            <w:pPr>
              <w:jc w:val="center"/>
              <w:spacing w:line="240" w:lineRule="auto"/>
              <w:rPr>
                <w:rFonts w:ascii="宋体" w:hAnsi="宋体" w:cs="宋体"/>
                <w:bCs/>
                <w:color w:val="auto"/>
                <w:szCs w:val="21"/>
                <w:highlight w:val="none"/>
                <w:shd w:val="clear" w:color="auto" w:fill="ffffff"/>
              </w:rPr>
            </w:pPr>
            <w:r>
              <w:rPr>
                <w:rFonts w:ascii="宋体" w:hAnsi="宋体" w:cs="宋体"/>
                <w:bCs/>
                <w:color w:val="auto"/>
                <w:szCs w:val="21"/>
                <w:highlight w:val="none"/>
                <w:shd w:val="clear" w:color="auto" w:fill="ffffff"/>
              </w:rPr>
            </w:r>
            <w:r>
              <w:rPr>
                <w:color w:val="auto"/>
                <w:highlight w:val="none"/>
              </w:rPr>
            </w:r>
            <w:r/>
          </w:p>
        </w:tc>
      </w:tr>
      <w:tr>
        <w:trPr/>
        <w:tc>
          <w:tcPr>
            <w:tcW w:w="2860" w:type="dxa"/>
            <w:vAlign w:val="center"/>
            <w:textDirection w:val="lrTb"/>
            <w:noWrap w:val="false"/>
          </w:tcPr>
          <w:p>
            <w:pPr>
              <w:jc w:val="center"/>
              <w:spacing w:line="240" w:lineRule="auto"/>
              <w:rPr>
                <w:rFonts w:ascii="宋体" w:hAnsi="宋体" w:cs="宋体"/>
                <w:bCs/>
                <w:color w:val="auto"/>
                <w:szCs w:val="21"/>
                <w:highlight w:val="none"/>
                <w:shd w:val="clear" w:color="auto" w:fill="ffffff"/>
              </w:rPr>
            </w:pPr>
            <w:r>
              <w:rPr>
                <w:rFonts w:hint="eastAsia" w:ascii="宋体" w:hAnsi="宋体" w:cs="宋体"/>
                <w:bCs/>
                <w:color w:val="auto"/>
                <w:szCs w:val="21"/>
                <w:highlight w:val="none"/>
                <w:shd w:val="clear" w:color="auto" w:fill="ffffff"/>
              </w:rPr>
              <w:t xml:space="preserve">经营范围</w:t>
            </w:r>
            <w:r>
              <w:rPr>
                <w:color w:val="auto"/>
                <w:highlight w:val="none"/>
              </w:rPr>
            </w:r>
            <w:r/>
          </w:p>
        </w:tc>
        <w:tc>
          <w:tcPr>
            <w:gridSpan w:val="4"/>
            <w:tcW w:w="6346" w:type="dxa"/>
            <w:vAlign w:val="center"/>
            <w:textDirection w:val="lrTb"/>
            <w:noWrap w:val="false"/>
          </w:tcPr>
          <w:p>
            <w:pPr>
              <w:ind w:firstLine="420"/>
              <w:jc w:val="left"/>
              <w:spacing w:line="240" w:lineRule="auto"/>
              <w:rPr>
                <w:rFonts w:ascii="宋体" w:hAnsi="宋体" w:cs="宋体"/>
                <w:bCs/>
                <w:color w:val="auto"/>
                <w:szCs w:val="21"/>
                <w:highlight w:val="none"/>
                <w:shd w:val="clear" w:color="auto" w:fill="ffffff"/>
              </w:rPr>
            </w:pPr>
            <w:r>
              <w:rPr>
                <w:rFonts w:ascii="宋体" w:hAnsi="宋体" w:cs="宋体"/>
                <w:bCs/>
                <w:color w:val="auto"/>
                <w:szCs w:val="21"/>
                <w:highlight w:val="none"/>
                <w:shd w:val="clear" w:color="auto" w:fill="ffffff"/>
              </w:rPr>
            </w:r>
            <w:r>
              <w:rPr>
                <w:color w:val="auto"/>
                <w:highlight w:val="none"/>
              </w:rPr>
            </w:r>
            <w:r/>
          </w:p>
        </w:tc>
      </w:tr>
      <w:tr>
        <w:trPr/>
        <w:tc>
          <w:tcPr>
            <w:tcW w:w="2860" w:type="dxa"/>
            <w:vAlign w:val="center"/>
            <w:textDirection w:val="lrTb"/>
            <w:noWrap w:val="false"/>
          </w:tcPr>
          <w:p>
            <w:pPr>
              <w:jc w:val="center"/>
              <w:spacing w:line="240" w:lineRule="auto"/>
              <w:rPr>
                <w:rFonts w:ascii="宋体" w:hAnsi="宋体" w:cs="宋体"/>
                <w:bCs/>
                <w:color w:val="auto"/>
                <w:szCs w:val="21"/>
                <w:highlight w:val="none"/>
                <w:shd w:val="clear" w:color="auto" w:fill="ffffff"/>
              </w:rPr>
            </w:pPr>
            <w:r>
              <w:rPr>
                <w:rFonts w:hint="eastAsia" w:ascii="宋体" w:hAnsi="宋体" w:cs="宋体"/>
                <w:bCs/>
                <w:color w:val="auto"/>
                <w:szCs w:val="21"/>
                <w:highlight w:val="none"/>
                <w:shd w:val="clear" w:color="auto" w:fill="ffffff"/>
              </w:rPr>
              <w:t xml:space="preserve">职工人数</w:t>
            </w:r>
            <w:r>
              <w:rPr>
                <w:color w:val="auto"/>
                <w:highlight w:val="none"/>
              </w:rPr>
            </w:r>
            <w:r/>
          </w:p>
        </w:tc>
        <w:tc>
          <w:tcPr>
            <w:tcW w:w="1720" w:type="dxa"/>
            <w:vAlign w:val="center"/>
            <w:textDirection w:val="lrTb"/>
            <w:noWrap w:val="false"/>
          </w:tcPr>
          <w:p>
            <w:pPr>
              <w:jc w:val="center"/>
              <w:spacing w:line="240" w:lineRule="auto"/>
              <w:rPr>
                <w:rFonts w:ascii="宋体" w:hAnsi="宋体" w:cs="宋体"/>
                <w:bCs/>
                <w:color w:val="auto"/>
                <w:szCs w:val="21"/>
                <w:highlight w:val="none"/>
                <w:shd w:val="clear" w:color="auto" w:fill="ffffff"/>
              </w:rPr>
            </w:pPr>
            <w:r>
              <w:rPr>
                <w:rFonts w:ascii="宋体" w:hAnsi="宋体" w:cs="宋体"/>
                <w:bCs/>
                <w:color w:val="auto"/>
                <w:szCs w:val="21"/>
                <w:highlight w:val="none"/>
                <w:shd w:val="clear" w:color="auto" w:fill="ffffff"/>
              </w:rPr>
            </w:r>
            <w:r>
              <w:rPr>
                <w:color w:val="auto"/>
                <w:highlight w:val="none"/>
              </w:rPr>
            </w:r>
            <w:r/>
          </w:p>
        </w:tc>
        <w:tc>
          <w:tcPr>
            <w:gridSpan w:val="2"/>
            <w:tcW w:w="3566" w:type="dxa"/>
            <w:vAlign w:val="center"/>
            <w:textDirection w:val="lrTb"/>
            <w:noWrap w:val="false"/>
          </w:tcPr>
          <w:p>
            <w:pPr>
              <w:jc w:val="left"/>
              <w:spacing w:line="240" w:lineRule="auto"/>
              <w:rPr>
                <w:rFonts w:ascii="宋体" w:hAnsi="宋体" w:cs="宋体"/>
                <w:bCs/>
                <w:color w:val="auto"/>
                <w:szCs w:val="21"/>
                <w:highlight w:val="none"/>
                <w:shd w:val="clear" w:color="auto" w:fill="ffffff"/>
              </w:rPr>
            </w:pPr>
            <w:r>
              <w:rPr>
                <w:rFonts w:hint="eastAsia" w:ascii="宋体" w:hAnsi="宋体" w:cs="宋体"/>
                <w:bCs/>
                <w:color w:val="auto"/>
                <w:szCs w:val="21"/>
                <w:highlight w:val="none"/>
                <w:shd w:val="clear" w:color="auto" w:fill="ffffff"/>
              </w:rPr>
              <w:t xml:space="preserve">其中：有中高级以上职称的人数</w:t>
            </w:r>
            <w:r>
              <w:rPr>
                <w:color w:val="auto"/>
                <w:highlight w:val="none"/>
              </w:rPr>
            </w:r>
            <w:r/>
          </w:p>
        </w:tc>
        <w:tc>
          <w:tcPr>
            <w:tcW w:w="1060" w:type="dxa"/>
            <w:vAlign w:val="center"/>
            <w:textDirection w:val="lrTb"/>
            <w:noWrap w:val="false"/>
          </w:tcPr>
          <w:p>
            <w:pPr>
              <w:jc w:val="center"/>
              <w:spacing w:line="240" w:lineRule="auto"/>
              <w:rPr>
                <w:rFonts w:ascii="宋体" w:hAnsi="宋体" w:cs="宋体"/>
                <w:bCs/>
                <w:color w:val="auto"/>
                <w:szCs w:val="21"/>
                <w:highlight w:val="none"/>
                <w:shd w:val="clear" w:color="auto" w:fill="ffffff"/>
              </w:rPr>
            </w:pPr>
            <w:r>
              <w:rPr>
                <w:rFonts w:ascii="宋体" w:hAnsi="宋体" w:cs="宋体"/>
                <w:bCs/>
                <w:color w:val="auto"/>
                <w:szCs w:val="21"/>
                <w:highlight w:val="none"/>
                <w:shd w:val="clear" w:color="auto" w:fill="ffffff"/>
              </w:rPr>
            </w:r>
            <w:r>
              <w:rPr>
                <w:color w:val="auto"/>
                <w:highlight w:val="none"/>
              </w:rPr>
            </w:r>
            <w:r/>
          </w:p>
        </w:tc>
      </w:tr>
      <w:tr>
        <w:trPr/>
        <w:tc>
          <w:tcPr>
            <w:tcW w:w="2860" w:type="dxa"/>
            <w:vAlign w:val="center"/>
            <w:textDirection w:val="lrTb"/>
            <w:noWrap w:val="false"/>
          </w:tcPr>
          <w:p>
            <w:pPr>
              <w:jc w:val="center"/>
              <w:spacing w:line="240" w:lineRule="auto"/>
              <w:rPr>
                <w:rFonts w:ascii="宋体" w:hAnsi="宋体" w:cs="宋体"/>
                <w:bCs/>
                <w:color w:val="auto"/>
                <w:szCs w:val="21"/>
                <w:highlight w:val="none"/>
                <w:shd w:val="clear" w:color="auto" w:fill="ffffff"/>
              </w:rPr>
            </w:pPr>
            <w:r>
              <w:rPr>
                <w:rFonts w:hint="eastAsia" w:ascii="宋体" w:hAnsi="宋体" w:cs="宋体"/>
                <w:bCs/>
                <w:color w:val="auto"/>
                <w:szCs w:val="21"/>
                <w:highlight w:val="none"/>
                <w:shd w:val="clear" w:color="auto" w:fill="ffffff"/>
              </w:rPr>
              <w:t xml:space="preserve">资产总计</w:t>
            </w:r>
            <w:r>
              <w:rPr>
                <w:color w:val="auto"/>
                <w:highlight w:val="none"/>
              </w:rPr>
            </w:r>
            <w:r/>
          </w:p>
        </w:tc>
        <w:tc>
          <w:tcPr>
            <w:tcW w:w="1720" w:type="dxa"/>
            <w:vAlign w:val="center"/>
            <w:textDirection w:val="lrTb"/>
            <w:noWrap w:val="false"/>
          </w:tcPr>
          <w:p>
            <w:pPr>
              <w:jc w:val="center"/>
              <w:spacing w:line="240" w:lineRule="auto"/>
              <w:rPr>
                <w:rFonts w:ascii="宋体" w:hAnsi="宋体" w:cs="宋体"/>
                <w:bCs/>
                <w:color w:val="auto"/>
                <w:szCs w:val="21"/>
                <w:highlight w:val="none"/>
                <w:shd w:val="clear" w:color="auto" w:fill="ffffff"/>
              </w:rPr>
            </w:pPr>
            <w:r>
              <w:rPr>
                <w:rFonts w:ascii="宋体" w:hAnsi="宋体" w:cs="宋体"/>
                <w:bCs/>
                <w:color w:val="auto"/>
                <w:szCs w:val="21"/>
                <w:highlight w:val="none"/>
                <w:shd w:val="clear" w:color="auto" w:fill="ffffff"/>
              </w:rPr>
            </w:r>
            <w:r>
              <w:rPr>
                <w:color w:val="auto"/>
                <w:highlight w:val="none"/>
              </w:rPr>
            </w:r>
            <w:r/>
          </w:p>
        </w:tc>
        <w:tc>
          <w:tcPr>
            <w:tcW w:w="1933" w:type="dxa"/>
            <w:vAlign w:val="center"/>
            <w:textDirection w:val="lrTb"/>
            <w:noWrap w:val="false"/>
          </w:tcPr>
          <w:p>
            <w:pPr>
              <w:jc w:val="center"/>
              <w:spacing w:line="240" w:lineRule="auto"/>
              <w:rPr>
                <w:rFonts w:ascii="宋体" w:hAnsi="宋体" w:cs="宋体"/>
                <w:bCs/>
                <w:color w:val="auto"/>
                <w:szCs w:val="21"/>
                <w:highlight w:val="none"/>
                <w:shd w:val="clear" w:color="auto" w:fill="ffffff"/>
              </w:rPr>
            </w:pPr>
            <w:r>
              <w:rPr>
                <w:rFonts w:hint="eastAsia" w:ascii="宋体" w:hAnsi="宋体" w:cs="宋体"/>
                <w:bCs/>
                <w:color w:val="auto"/>
                <w:szCs w:val="21"/>
                <w:highlight w:val="none"/>
                <w:shd w:val="clear" w:color="auto" w:fill="ffffff"/>
              </w:rPr>
              <w:t xml:space="preserve">净资产</w:t>
            </w:r>
            <w:r>
              <w:rPr>
                <w:color w:val="auto"/>
                <w:highlight w:val="none"/>
              </w:rPr>
            </w:r>
            <w:r/>
          </w:p>
        </w:tc>
        <w:tc>
          <w:tcPr>
            <w:gridSpan w:val="2"/>
            <w:tcW w:w="2693" w:type="dxa"/>
            <w:vAlign w:val="center"/>
            <w:textDirection w:val="lrTb"/>
            <w:noWrap w:val="false"/>
          </w:tcPr>
          <w:p>
            <w:pPr>
              <w:jc w:val="center"/>
              <w:spacing w:line="240" w:lineRule="auto"/>
              <w:rPr>
                <w:rFonts w:ascii="宋体" w:hAnsi="宋体" w:cs="宋体"/>
                <w:bCs/>
                <w:color w:val="auto"/>
                <w:szCs w:val="21"/>
                <w:highlight w:val="none"/>
                <w:shd w:val="clear" w:color="auto" w:fill="ffffff"/>
              </w:rPr>
            </w:pPr>
            <w:r>
              <w:rPr>
                <w:rFonts w:ascii="宋体" w:hAnsi="宋体" w:cs="宋体"/>
                <w:bCs/>
                <w:color w:val="auto"/>
                <w:szCs w:val="21"/>
                <w:highlight w:val="none"/>
                <w:shd w:val="clear" w:color="auto" w:fill="ffffff"/>
              </w:rPr>
            </w:r>
            <w:r>
              <w:rPr>
                <w:color w:val="auto"/>
                <w:highlight w:val="none"/>
              </w:rPr>
            </w:r>
            <w:r/>
          </w:p>
        </w:tc>
      </w:tr>
      <w:tr>
        <w:trPr/>
        <w:tc>
          <w:tcPr>
            <w:tcW w:w="2860" w:type="dxa"/>
            <w:vAlign w:val="center"/>
            <w:textDirection w:val="lrTb"/>
            <w:noWrap w:val="false"/>
          </w:tcPr>
          <w:p>
            <w:pPr>
              <w:jc w:val="center"/>
              <w:spacing w:line="240" w:lineRule="auto"/>
              <w:rPr>
                <w:rFonts w:ascii="宋体" w:hAnsi="宋体" w:cs="宋体"/>
                <w:bCs/>
                <w:color w:val="auto"/>
                <w:szCs w:val="21"/>
                <w:highlight w:val="none"/>
                <w:shd w:val="clear" w:color="auto" w:fill="ffffff"/>
              </w:rPr>
            </w:pPr>
            <w:r>
              <w:rPr>
                <w:rFonts w:hint="eastAsia" w:ascii="宋体" w:hAnsi="宋体" w:cs="宋体"/>
                <w:bCs/>
                <w:color w:val="auto"/>
                <w:szCs w:val="21"/>
                <w:highlight w:val="none"/>
                <w:shd w:val="clear" w:color="auto" w:fill="ffffff"/>
              </w:rPr>
              <w:t xml:space="preserve">股东权益</w:t>
            </w:r>
            <w:r>
              <w:rPr>
                <w:color w:val="auto"/>
                <w:highlight w:val="none"/>
              </w:rPr>
            </w:r>
            <w:r/>
          </w:p>
        </w:tc>
        <w:tc>
          <w:tcPr>
            <w:tcW w:w="1720" w:type="dxa"/>
            <w:vAlign w:val="center"/>
            <w:textDirection w:val="lrTb"/>
            <w:noWrap w:val="false"/>
          </w:tcPr>
          <w:p>
            <w:pPr>
              <w:jc w:val="center"/>
              <w:spacing w:line="240" w:lineRule="auto"/>
              <w:rPr>
                <w:rFonts w:ascii="宋体" w:hAnsi="宋体" w:cs="宋体"/>
                <w:bCs/>
                <w:color w:val="auto"/>
                <w:szCs w:val="21"/>
                <w:highlight w:val="none"/>
                <w:shd w:val="clear" w:color="auto" w:fill="ffffff"/>
              </w:rPr>
            </w:pPr>
            <w:r>
              <w:rPr>
                <w:rFonts w:ascii="宋体" w:hAnsi="宋体" w:cs="宋体"/>
                <w:bCs/>
                <w:color w:val="auto"/>
                <w:szCs w:val="21"/>
                <w:highlight w:val="none"/>
                <w:shd w:val="clear" w:color="auto" w:fill="ffffff"/>
              </w:rPr>
            </w:r>
            <w:r>
              <w:rPr>
                <w:color w:val="auto"/>
                <w:highlight w:val="none"/>
              </w:rPr>
            </w:r>
            <w:r/>
          </w:p>
        </w:tc>
        <w:tc>
          <w:tcPr>
            <w:tcW w:w="1933" w:type="dxa"/>
            <w:vAlign w:val="center"/>
            <w:textDirection w:val="lrTb"/>
            <w:noWrap w:val="false"/>
          </w:tcPr>
          <w:p>
            <w:pPr>
              <w:jc w:val="center"/>
              <w:spacing w:line="240" w:lineRule="auto"/>
              <w:rPr>
                <w:rFonts w:ascii="宋体" w:hAnsi="宋体" w:cs="宋体"/>
                <w:bCs/>
                <w:color w:val="auto"/>
                <w:szCs w:val="21"/>
                <w:highlight w:val="none"/>
                <w:shd w:val="clear" w:color="auto" w:fill="ffffff"/>
              </w:rPr>
            </w:pPr>
            <w:r>
              <w:rPr>
                <w:rFonts w:hint="eastAsia" w:ascii="宋体" w:hAnsi="宋体" w:cs="宋体"/>
                <w:bCs/>
                <w:color w:val="auto"/>
                <w:szCs w:val="21"/>
                <w:highlight w:val="none"/>
                <w:shd w:val="clear" w:color="auto" w:fill="ffffff"/>
              </w:rPr>
              <w:t xml:space="preserve">销售收入</w:t>
            </w:r>
            <w:r>
              <w:rPr>
                <w:color w:val="auto"/>
                <w:highlight w:val="none"/>
              </w:rPr>
            </w:r>
            <w:r/>
          </w:p>
        </w:tc>
        <w:tc>
          <w:tcPr>
            <w:gridSpan w:val="2"/>
            <w:tcW w:w="2693" w:type="dxa"/>
            <w:vAlign w:val="center"/>
            <w:textDirection w:val="lrTb"/>
            <w:noWrap w:val="false"/>
          </w:tcPr>
          <w:p>
            <w:pPr>
              <w:jc w:val="center"/>
              <w:spacing w:line="240" w:lineRule="auto"/>
              <w:rPr>
                <w:rFonts w:ascii="宋体" w:hAnsi="宋体" w:cs="宋体"/>
                <w:bCs/>
                <w:color w:val="auto"/>
                <w:szCs w:val="21"/>
                <w:highlight w:val="none"/>
                <w:shd w:val="clear" w:color="auto" w:fill="ffffff"/>
              </w:rPr>
            </w:pPr>
            <w:r>
              <w:rPr>
                <w:rFonts w:ascii="宋体" w:hAnsi="宋体" w:cs="宋体"/>
                <w:bCs/>
                <w:color w:val="auto"/>
                <w:szCs w:val="21"/>
                <w:highlight w:val="none"/>
                <w:shd w:val="clear" w:color="auto" w:fill="ffffff"/>
              </w:rPr>
            </w:r>
            <w:r>
              <w:rPr>
                <w:color w:val="auto"/>
                <w:highlight w:val="none"/>
              </w:rPr>
            </w:r>
            <w:r/>
          </w:p>
        </w:tc>
      </w:tr>
      <w:tr>
        <w:trPr/>
        <w:tc>
          <w:tcPr>
            <w:tcW w:w="2860" w:type="dxa"/>
            <w:vAlign w:val="center"/>
            <w:textDirection w:val="lrTb"/>
            <w:noWrap w:val="false"/>
          </w:tcPr>
          <w:p>
            <w:pPr>
              <w:jc w:val="center"/>
              <w:spacing w:line="240" w:lineRule="auto"/>
              <w:rPr>
                <w:rFonts w:ascii="宋体" w:hAnsi="宋体" w:cs="宋体"/>
                <w:bCs/>
                <w:color w:val="auto"/>
                <w:szCs w:val="21"/>
                <w:highlight w:val="none"/>
                <w:shd w:val="clear" w:color="auto" w:fill="ffffff"/>
              </w:rPr>
            </w:pPr>
            <w:r>
              <w:rPr>
                <w:rFonts w:hint="eastAsia" w:ascii="宋体" w:hAnsi="宋体" w:cs="宋体"/>
                <w:bCs/>
                <w:color w:val="auto"/>
                <w:szCs w:val="21"/>
                <w:highlight w:val="none"/>
                <w:shd w:val="clear" w:color="auto" w:fill="ffffff"/>
              </w:rPr>
              <w:t xml:space="preserve">实现利润</w:t>
            </w:r>
            <w:r>
              <w:rPr>
                <w:color w:val="auto"/>
                <w:highlight w:val="none"/>
              </w:rPr>
            </w:r>
            <w:r/>
          </w:p>
        </w:tc>
        <w:tc>
          <w:tcPr>
            <w:gridSpan w:val="4"/>
            <w:tcW w:w="6346" w:type="dxa"/>
            <w:vAlign w:val="center"/>
            <w:textDirection w:val="lrTb"/>
            <w:noWrap w:val="false"/>
          </w:tcPr>
          <w:p>
            <w:pPr>
              <w:jc w:val="center"/>
              <w:spacing w:line="240" w:lineRule="auto"/>
              <w:rPr>
                <w:rFonts w:ascii="宋体" w:hAnsi="宋体" w:cs="宋体"/>
                <w:bCs/>
                <w:color w:val="auto"/>
                <w:szCs w:val="21"/>
                <w:highlight w:val="none"/>
                <w:shd w:val="clear" w:color="auto" w:fill="ffffff"/>
              </w:rPr>
            </w:pPr>
            <w:r>
              <w:rPr>
                <w:rFonts w:ascii="宋体" w:hAnsi="宋体" w:cs="宋体"/>
                <w:bCs/>
                <w:color w:val="auto"/>
                <w:szCs w:val="21"/>
                <w:highlight w:val="none"/>
                <w:shd w:val="clear" w:color="auto" w:fill="ffffff"/>
              </w:rPr>
            </w:r>
            <w:r>
              <w:rPr>
                <w:color w:val="auto"/>
                <w:highlight w:val="none"/>
              </w:rPr>
            </w:r>
            <w:r/>
          </w:p>
        </w:tc>
      </w:tr>
      <w:tr>
        <w:trPr/>
        <w:tc>
          <w:tcPr>
            <w:tcW w:w="2860" w:type="dxa"/>
            <w:vAlign w:val="center"/>
            <w:textDirection w:val="lrTb"/>
            <w:noWrap w:val="false"/>
          </w:tcPr>
          <w:p>
            <w:pPr>
              <w:jc w:val="center"/>
              <w:spacing w:line="240" w:lineRule="auto"/>
              <w:rPr>
                <w:rFonts w:ascii="宋体" w:hAnsi="宋体" w:cs="宋体"/>
                <w:bCs/>
                <w:color w:val="auto"/>
                <w:szCs w:val="21"/>
                <w:highlight w:val="none"/>
                <w:shd w:val="clear" w:color="auto" w:fill="ffffff"/>
              </w:rPr>
            </w:pPr>
            <w:r>
              <w:rPr>
                <w:rFonts w:hint="eastAsia" w:ascii="宋体" w:hAnsi="宋体" w:cs="宋体"/>
                <w:bCs/>
                <w:color w:val="auto"/>
                <w:szCs w:val="21"/>
                <w:highlight w:val="none"/>
                <w:shd w:val="clear" w:color="auto" w:fill="ffffff"/>
              </w:rPr>
              <w:t xml:space="preserve">营业面积</w:t>
            </w:r>
            <w:r>
              <w:rPr>
                <w:color w:val="auto"/>
                <w:highlight w:val="none"/>
              </w:rPr>
            </w:r>
            <w:r/>
          </w:p>
          <w:p>
            <w:pPr>
              <w:jc w:val="center"/>
              <w:spacing w:line="240" w:lineRule="auto"/>
              <w:rPr>
                <w:rFonts w:ascii="宋体" w:hAnsi="宋体" w:cs="宋体"/>
                <w:bCs/>
                <w:color w:val="auto"/>
                <w:szCs w:val="21"/>
                <w:highlight w:val="none"/>
                <w:shd w:val="clear" w:color="auto" w:fill="ffffff"/>
              </w:rPr>
            </w:pPr>
            <w:r>
              <w:rPr>
                <w:rFonts w:hint="eastAsia" w:ascii="宋体" w:hAnsi="宋体" w:cs="宋体"/>
                <w:bCs/>
                <w:color w:val="auto"/>
                <w:szCs w:val="21"/>
                <w:highlight w:val="none"/>
                <w:shd w:val="clear" w:color="auto" w:fill="ffffff"/>
              </w:rPr>
              <w:t xml:space="preserve">（含厂房面积）</w:t>
            </w:r>
            <w:r>
              <w:rPr>
                <w:color w:val="auto"/>
                <w:highlight w:val="none"/>
              </w:rPr>
            </w:r>
            <w:r/>
          </w:p>
        </w:tc>
        <w:tc>
          <w:tcPr>
            <w:tcW w:w="1720" w:type="dxa"/>
            <w:vAlign w:val="center"/>
            <w:textDirection w:val="lrTb"/>
            <w:noWrap w:val="false"/>
          </w:tcPr>
          <w:p>
            <w:pPr>
              <w:jc w:val="center"/>
              <w:spacing w:line="240" w:lineRule="auto"/>
              <w:rPr>
                <w:rFonts w:ascii="宋体" w:hAnsi="宋体" w:cs="宋体"/>
                <w:bCs/>
                <w:color w:val="auto"/>
                <w:szCs w:val="21"/>
                <w:highlight w:val="none"/>
                <w:shd w:val="clear" w:color="auto" w:fill="ffffff"/>
              </w:rPr>
            </w:pPr>
            <w:r>
              <w:rPr>
                <w:rFonts w:ascii="宋体" w:hAnsi="宋体" w:cs="宋体"/>
                <w:bCs/>
                <w:color w:val="auto"/>
                <w:szCs w:val="21"/>
                <w:highlight w:val="none"/>
                <w:shd w:val="clear" w:color="auto" w:fill="ffffff"/>
              </w:rPr>
            </w:r>
            <w:r>
              <w:rPr>
                <w:color w:val="auto"/>
                <w:highlight w:val="none"/>
              </w:rPr>
            </w:r>
            <w:r/>
          </w:p>
        </w:tc>
        <w:tc>
          <w:tcPr>
            <w:tcW w:w="1933" w:type="dxa"/>
            <w:vAlign w:val="center"/>
            <w:textDirection w:val="lrTb"/>
            <w:noWrap w:val="false"/>
          </w:tcPr>
          <w:p>
            <w:pPr>
              <w:jc w:val="center"/>
              <w:spacing w:line="240" w:lineRule="auto"/>
              <w:rPr>
                <w:rFonts w:ascii="宋体" w:hAnsi="宋体" w:cs="宋体"/>
                <w:bCs/>
                <w:color w:val="auto"/>
                <w:szCs w:val="21"/>
                <w:highlight w:val="none"/>
                <w:shd w:val="clear" w:color="auto" w:fill="ffffff"/>
              </w:rPr>
            </w:pPr>
            <w:r>
              <w:rPr>
                <w:rFonts w:hint="eastAsia" w:ascii="宋体" w:hAnsi="宋体" w:cs="宋体"/>
                <w:bCs/>
                <w:color w:val="auto"/>
                <w:szCs w:val="21"/>
                <w:highlight w:val="none"/>
                <w:shd w:val="clear" w:color="auto" w:fill="ffffff"/>
              </w:rPr>
              <w:t xml:space="preserve">其中：</w:t>
            </w:r>
            <w:r>
              <w:rPr>
                <w:color w:val="auto"/>
                <w:highlight w:val="none"/>
              </w:rPr>
            </w:r>
            <w:r/>
          </w:p>
        </w:tc>
        <w:tc>
          <w:tcPr>
            <w:gridSpan w:val="2"/>
            <w:tcW w:w="2693" w:type="dxa"/>
            <w:vAlign w:val="center"/>
            <w:textDirection w:val="lrTb"/>
            <w:noWrap w:val="false"/>
          </w:tcPr>
          <w:p>
            <w:pPr>
              <w:jc w:val="left"/>
              <w:spacing w:line="240" w:lineRule="auto"/>
              <w:rPr>
                <w:rFonts w:ascii="宋体" w:hAnsi="宋体" w:cs="宋体"/>
                <w:bCs/>
                <w:color w:val="auto"/>
                <w:szCs w:val="21"/>
                <w:highlight w:val="none"/>
                <w:shd w:val="clear" w:color="auto" w:fill="ffffff"/>
              </w:rPr>
            </w:pPr>
            <w:r>
              <w:rPr>
                <w:rFonts w:hint="eastAsia" w:ascii="宋体" w:hAnsi="宋体" w:cs="宋体"/>
                <w:bCs/>
                <w:color w:val="auto"/>
                <w:szCs w:val="21"/>
                <w:highlight w:val="none"/>
                <w:shd w:val="clear" w:color="auto" w:fill="ffffff"/>
              </w:rPr>
              <w:t xml:space="preserve">自有面积平方米</w:t>
            </w:r>
            <w:r>
              <w:rPr>
                <w:color w:val="auto"/>
                <w:highlight w:val="none"/>
              </w:rPr>
            </w:r>
            <w:r/>
          </w:p>
          <w:p>
            <w:pPr>
              <w:jc w:val="left"/>
              <w:spacing w:line="240" w:lineRule="auto"/>
              <w:rPr>
                <w:rFonts w:ascii="宋体" w:hAnsi="宋体" w:cs="宋体"/>
                <w:bCs/>
                <w:color w:val="auto"/>
                <w:szCs w:val="21"/>
                <w:highlight w:val="none"/>
                <w:shd w:val="clear" w:color="auto" w:fill="ffffff"/>
              </w:rPr>
            </w:pPr>
            <w:r>
              <w:rPr>
                <w:rFonts w:hint="eastAsia" w:ascii="宋体" w:hAnsi="宋体" w:cs="宋体"/>
                <w:bCs/>
                <w:color w:val="auto"/>
                <w:szCs w:val="21"/>
                <w:highlight w:val="none"/>
                <w:shd w:val="clear" w:color="auto" w:fill="ffffff"/>
              </w:rPr>
              <w:t xml:space="preserve">承租面积平方米</w:t>
            </w:r>
            <w:r>
              <w:rPr>
                <w:color w:val="auto"/>
                <w:highlight w:val="none"/>
              </w:rPr>
            </w:r>
            <w:r/>
          </w:p>
        </w:tc>
      </w:tr>
      <w:tr>
        <w:trPr/>
        <w:tc>
          <w:tcPr>
            <w:tcW w:w="2860" w:type="dxa"/>
            <w:vAlign w:val="center"/>
            <w:textDirection w:val="lrTb"/>
            <w:noWrap w:val="false"/>
          </w:tcPr>
          <w:p>
            <w:pPr>
              <w:jc w:val="left"/>
              <w:spacing w:line="240" w:lineRule="auto"/>
              <w:rPr>
                <w:rFonts w:ascii="宋体" w:hAnsi="宋体" w:cs="宋体"/>
                <w:bCs/>
                <w:color w:val="auto"/>
                <w:szCs w:val="21"/>
                <w:highlight w:val="none"/>
                <w:shd w:val="clear" w:color="auto" w:fill="ffffff"/>
              </w:rPr>
            </w:pPr>
            <w:r>
              <w:rPr>
                <w:rFonts w:hint="eastAsia" w:ascii="宋体" w:hAnsi="宋体" w:cs="宋体"/>
                <w:bCs/>
                <w:color w:val="auto"/>
                <w:szCs w:val="21"/>
                <w:highlight w:val="none"/>
                <w:shd w:val="clear" w:color="auto" w:fill="ffffff"/>
              </w:rPr>
              <w:t xml:space="preserve">单位简历及内设机构情况</w:t>
            </w:r>
            <w:r>
              <w:rPr>
                <w:color w:val="auto"/>
                <w:highlight w:val="none"/>
              </w:rPr>
            </w:r>
            <w:r/>
          </w:p>
        </w:tc>
        <w:tc>
          <w:tcPr>
            <w:gridSpan w:val="4"/>
            <w:tcW w:w="6346" w:type="dxa"/>
            <w:vAlign w:val="center"/>
            <w:textDirection w:val="lrTb"/>
            <w:noWrap w:val="false"/>
          </w:tcPr>
          <w:p>
            <w:pPr>
              <w:jc w:val="center"/>
              <w:spacing w:line="240" w:lineRule="auto"/>
              <w:rPr>
                <w:rFonts w:ascii="宋体" w:hAnsi="宋体" w:cs="宋体"/>
                <w:bCs/>
                <w:color w:val="auto"/>
                <w:szCs w:val="21"/>
                <w:highlight w:val="none"/>
                <w:shd w:val="clear" w:color="auto" w:fill="ffffff"/>
              </w:rPr>
            </w:pPr>
            <w:r>
              <w:rPr>
                <w:rFonts w:ascii="宋体" w:hAnsi="宋体" w:cs="宋体"/>
                <w:bCs/>
                <w:color w:val="auto"/>
                <w:szCs w:val="21"/>
                <w:highlight w:val="none"/>
                <w:shd w:val="clear" w:color="auto" w:fill="ffffff"/>
              </w:rPr>
            </w:r>
            <w:r>
              <w:rPr>
                <w:color w:val="auto"/>
                <w:highlight w:val="none"/>
              </w:rPr>
            </w:r>
            <w:r/>
          </w:p>
        </w:tc>
      </w:tr>
      <w:tr>
        <w:trPr/>
        <w:tc>
          <w:tcPr>
            <w:tcW w:w="2860" w:type="dxa"/>
            <w:vAlign w:val="center"/>
            <w:textDirection w:val="lrTb"/>
            <w:noWrap w:val="false"/>
          </w:tcPr>
          <w:p>
            <w:pPr>
              <w:jc w:val="left"/>
              <w:spacing w:line="240" w:lineRule="auto"/>
              <w:rPr>
                <w:rFonts w:ascii="宋体" w:hAnsi="宋体" w:cs="宋体"/>
                <w:bCs/>
                <w:color w:val="auto"/>
                <w:szCs w:val="21"/>
                <w:highlight w:val="none"/>
                <w:shd w:val="clear" w:color="auto" w:fill="ffffff"/>
              </w:rPr>
            </w:pPr>
            <w:r>
              <w:rPr>
                <w:rFonts w:hint="eastAsia" w:ascii="宋体" w:hAnsi="宋体" w:cs="宋体"/>
                <w:bCs/>
                <w:color w:val="auto"/>
                <w:szCs w:val="21"/>
                <w:highlight w:val="none"/>
                <w:shd w:val="clear" w:color="auto" w:fill="ffffff"/>
              </w:rPr>
              <w:t xml:space="preserve">单位优势及特长</w:t>
            </w:r>
            <w:r>
              <w:rPr>
                <w:color w:val="auto"/>
                <w:highlight w:val="none"/>
              </w:rPr>
            </w:r>
            <w:r/>
          </w:p>
        </w:tc>
        <w:tc>
          <w:tcPr>
            <w:gridSpan w:val="4"/>
            <w:tcW w:w="6346" w:type="dxa"/>
            <w:vAlign w:val="center"/>
            <w:textDirection w:val="lrTb"/>
            <w:noWrap w:val="false"/>
          </w:tcPr>
          <w:p>
            <w:pPr>
              <w:ind w:firstLine="420"/>
              <w:jc w:val="left"/>
              <w:spacing w:line="240" w:lineRule="auto"/>
              <w:rPr>
                <w:rFonts w:ascii="宋体" w:hAnsi="宋体" w:cs="宋体"/>
                <w:bCs/>
                <w:color w:val="auto"/>
                <w:szCs w:val="21"/>
                <w:highlight w:val="none"/>
                <w:shd w:val="clear" w:color="auto" w:fill="ffffff"/>
              </w:rPr>
            </w:pPr>
            <w:r>
              <w:rPr>
                <w:rFonts w:ascii="宋体" w:hAnsi="宋体" w:cs="宋体"/>
                <w:bCs/>
                <w:color w:val="auto"/>
                <w:szCs w:val="21"/>
                <w:highlight w:val="none"/>
                <w:shd w:val="clear" w:color="auto" w:fill="ffffff"/>
              </w:rPr>
            </w:r>
            <w:r>
              <w:rPr>
                <w:color w:val="auto"/>
                <w:highlight w:val="none"/>
              </w:rPr>
            </w:r>
            <w:r/>
          </w:p>
        </w:tc>
      </w:tr>
      <w:tr>
        <w:trPr/>
        <w:tc>
          <w:tcPr>
            <w:tcW w:w="2860" w:type="dxa"/>
            <w:vAlign w:val="center"/>
            <w:textDirection w:val="lrTb"/>
            <w:noWrap w:val="false"/>
          </w:tcPr>
          <w:p>
            <w:pPr>
              <w:jc w:val="left"/>
              <w:spacing w:line="240" w:lineRule="auto"/>
              <w:rPr>
                <w:rFonts w:ascii="宋体" w:hAnsi="宋体" w:cs="宋体"/>
                <w:bCs/>
                <w:color w:val="auto"/>
                <w:szCs w:val="21"/>
                <w:highlight w:val="none"/>
                <w:shd w:val="clear" w:color="auto" w:fill="ffffff"/>
              </w:rPr>
            </w:pPr>
            <w:r>
              <w:rPr>
                <w:rFonts w:hint="eastAsia" w:ascii="宋体" w:hAnsi="宋体" w:cs="宋体"/>
                <w:bCs/>
                <w:color w:val="auto"/>
                <w:szCs w:val="21"/>
                <w:highlight w:val="none"/>
                <w:shd w:val="clear" w:color="auto" w:fill="ffffff"/>
              </w:rPr>
              <w:t xml:space="preserve">近三年来完成或正在履行的重大合同情况</w:t>
            </w:r>
            <w:r>
              <w:rPr>
                <w:color w:val="auto"/>
                <w:highlight w:val="none"/>
              </w:rPr>
            </w:r>
            <w:r/>
          </w:p>
        </w:tc>
        <w:tc>
          <w:tcPr>
            <w:gridSpan w:val="4"/>
            <w:tcW w:w="6346" w:type="dxa"/>
            <w:vAlign w:val="center"/>
            <w:textDirection w:val="lrTb"/>
            <w:noWrap w:val="false"/>
          </w:tcPr>
          <w:p>
            <w:pPr>
              <w:jc w:val="center"/>
              <w:spacing w:line="240" w:lineRule="auto"/>
              <w:rPr>
                <w:rFonts w:ascii="宋体" w:hAnsi="宋体" w:cs="宋体"/>
                <w:bCs/>
                <w:color w:val="auto"/>
                <w:szCs w:val="21"/>
                <w:highlight w:val="none"/>
                <w:shd w:val="clear" w:color="auto" w:fill="ffffff"/>
              </w:rPr>
            </w:pPr>
            <w:r>
              <w:rPr>
                <w:rFonts w:ascii="宋体" w:hAnsi="宋体" w:cs="宋体"/>
                <w:bCs/>
                <w:color w:val="auto"/>
                <w:szCs w:val="21"/>
                <w:highlight w:val="none"/>
                <w:shd w:val="clear" w:color="auto" w:fill="ffffff"/>
              </w:rPr>
            </w:r>
            <w:r>
              <w:rPr>
                <w:color w:val="auto"/>
                <w:highlight w:val="none"/>
              </w:rPr>
            </w:r>
            <w:r/>
          </w:p>
        </w:tc>
      </w:tr>
      <w:tr>
        <w:trPr/>
        <w:tc>
          <w:tcPr>
            <w:tcW w:w="2860" w:type="dxa"/>
            <w:vAlign w:val="center"/>
            <w:textDirection w:val="lrTb"/>
            <w:noWrap w:val="false"/>
          </w:tcPr>
          <w:p>
            <w:pPr>
              <w:jc w:val="left"/>
              <w:spacing w:line="240" w:lineRule="auto"/>
              <w:rPr>
                <w:rFonts w:ascii="宋体" w:hAnsi="宋体" w:cs="宋体"/>
                <w:bCs/>
                <w:color w:val="auto"/>
                <w:szCs w:val="21"/>
                <w:highlight w:val="none"/>
                <w:shd w:val="clear" w:color="auto" w:fill="ffffff"/>
              </w:rPr>
            </w:pPr>
            <w:r>
              <w:rPr>
                <w:rFonts w:hint="eastAsia" w:ascii="宋体" w:hAnsi="宋体" w:cs="宋体"/>
                <w:bCs/>
                <w:color w:val="auto"/>
                <w:szCs w:val="21"/>
                <w:highlight w:val="none"/>
                <w:shd w:val="clear" w:color="auto" w:fill="ffffff"/>
              </w:rPr>
              <w:t xml:space="preserve">最近3年内在经营过程中受到何种奖励或处分（包括情况和结果）</w:t>
            </w:r>
            <w:r>
              <w:rPr>
                <w:color w:val="auto"/>
                <w:highlight w:val="none"/>
              </w:rPr>
            </w:r>
            <w:r/>
          </w:p>
        </w:tc>
        <w:tc>
          <w:tcPr>
            <w:gridSpan w:val="4"/>
            <w:tcW w:w="6346" w:type="dxa"/>
            <w:vAlign w:val="center"/>
            <w:textDirection w:val="lrTb"/>
            <w:noWrap w:val="false"/>
          </w:tcPr>
          <w:p>
            <w:pPr>
              <w:jc w:val="center"/>
              <w:spacing w:line="240" w:lineRule="auto"/>
              <w:rPr>
                <w:rFonts w:ascii="宋体" w:hAnsi="宋体" w:cs="宋体"/>
                <w:bCs/>
                <w:color w:val="auto"/>
                <w:szCs w:val="21"/>
                <w:highlight w:val="none"/>
                <w:shd w:val="clear" w:color="auto" w:fill="ffffff"/>
              </w:rPr>
            </w:pPr>
            <w:r>
              <w:rPr>
                <w:rFonts w:ascii="宋体" w:hAnsi="宋体" w:cs="宋体"/>
                <w:bCs/>
                <w:color w:val="auto"/>
                <w:szCs w:val="21"/>
                <w:highlight w:val="none"/>
                <w:shd w:val="clear" w:color="auto" w:fill="ffffff"/>
              </w:rPr>
            </w:r>
            <w:r>
              <w:rPr>
                <w:color w:val="auto"/>
                <w:highlight w:val="none"/>
              </w:rPr>
            </w:r>
            <w:r/>
          </w:p>
        </w:tc>
      </w:tr>
      <w:tr>
        <w:trPr/>
        <w:tc>
          <w:tcPr>
            <w:tcW w:w="2860" w:type="dxa"/>
            <w:vAlign w:val="center"/>
            <w:textDirection w:val="lrTb"/>
            <w:noWrap w:val="false"/>
          </w:tcPr>
          <w:p>
            <w:pPr>
              <w:jc w:val="left"/>
              <w:spacing w:line="240" w:lineRule="auto"/>
              <w:rPr>
                <w:rFonts w:ascii="宋体" w:hAnsi="宋体" w:cs="宋体"/>
                <w:bCs/>
                <w:color w:val="auto"/>
                <w:szCs w:val="21"/>
                <w:highlight w:val="none"/>
                <w:shd w:val="clear" w:color="auto" w:fill="ffffff"/>
              </w:rPr>
            </w:pPr>
            <w:r>
              <w:rPr>
                <w:rFonts w:hint="eastAsia" w:ascii="宋体" w:hAnsi="宋体" w:cs="宋体"/>
                <w:bCs/>
                <w:color w:val="auto"/>
                <w:szCs w:val="21"/>
                <w:highlight w:val="none"/>
                <w:shd w:val="clear" w:color="auto" w:fill="ffffff"/>
              </w:rPr>
              <w:t xml:space="preserve">最近</w:t>
            </w:r>
            <w:r>
              <w:rPr>
                <w:rFonts w:ascii="宋体" w:hAnsi="宋体" w:cs="宋体"/>
                <w:bCs/>
                <w:color w:val="auto"/>
                <w:szCs w:val="21"/>
                <w:highlight w:val="none"/>
                <w:shd w:val="clear" w:color="auto" w:fill="ffffff"/>
              </w:rPr>
              <w:t xml:space="preserve">3</w:t>
            </w:r>
            <w:r>
              <w:rPr>
                <w:rFonts w:hint="eastAsia" w:ascii="宋体" w:hAnsi="宋体" w:cs="宋体"/>
                <w:bCs/>
                <w:color w:val="auto"/>
                <w:szCs w:val="21"/>
                <w:highlight w:val="none"/>
                <w:shd w:val="clear" w:color="auto" w:fill="ffffff"/>
              </w:rPr>
              <w:t xml:space="preserve">年内有无因售假、售劣或是其他原因被消费者投诉或起诉的情况及说明（包括解决方式和结果）</w:t>
            </w:r>
            <w:r>
              <w:rPr>
                <w:color w:val="auto"/>
                <w:highlight w:val="none"/>
              </w:rPr>
            </w:r>
            <w:r/>
          </w:p>
        </w:tc>
        <w:tc>
          <w:tcPr>
            <w:gridSpan w:val="4"/>
            <w:tcW w:w="6346" w:type="dxa"/>
            <w:vAlign w:val="center"/>
            <w:textDirection w:val="lrTb"/>
            <w:noWrap w:val="false"/>
          </w:tcPr>
          <w:p>
            <w:pPr>
              <w:jc w:val="center"/>
              <w:spacing w:line="240" w:lineRule="auto"/>
              <w:rPr>
                <w:rFonts w:ascii="宋体" w:hAnsi="宋体" w:cs="宋体"/>
                <w:bCs/>
                <w:color w:val="auto"/>
                <w:szCs w:val="21"/>
                <w:highlight w:val="none"/>
                <w:shd w:val="clear" w:color="auto" w:fill="ffffff"/>
              </w:rPr>
            </w:pPr>
            <w:r>
              <w:rPr>
                <w:rFonts w:ascii="宋体" w:hAnsi="宋体" w:cs="宋体"/>
                <w:bCs/>
                <w:color w:val="auto"/>
                <w:szCs w:val="21"/>
                <w:highlight w:val="none"/>
                <w:shd w:val="clear" w:color="auto" w:fill="ffffff"/>
              </w:rPr>
            </w:r>
            <w:r>
              <w:rPr>
                <w:color w:val="auto"/>
                <w:highlight w:val="none"/>
              </w:rPr>
            </w:r>
            <w:r/>
          </w:p>
        </w:tc>
      </w:tr>
      <w:tr>
        <w:trPr/>
        <w:tc>
          <w:tcPr>
            <w:tcW w:w="2860" w:type="dxa"/>
            <w:vAlign w:val="center"/>
            <w:textDirection w:val="lrTb"/>
            <w:noWrap w:val="false"/>
          </w:tcPr>
          <w:p>
            <w:pPr>
              <w:jc w:val="left"/>
              <w:spacing w:line="240" w:lineRule="auto"/>
              <w:rPr>
                <w:rFonts w:ascii="宋体" w:hAnsi="宋体" w:cs="宋体"/>
                <w:bCs/>
                <w:color w:val="auto"/>
                <w:szCs w:val="21"/>
                <w:highlight w:val="none"/>
                <w:shd w:val="clear" w:color="auto" w:fill="ffffff"/>
              </w:rPr>
            </w:pPr>
            <w:r>
              <w:rPr>
                <w:rFonts w:hint="eastAsia" w:ascii="宋体" w:hAnsi="宋体" w:cs="宋体"/>
                <w:bCs/>
                <w:color w:val="auto"/>
                <w:szCs w:val="21"/>
                <w:highlight w:val="none"/>
                <w:shd w:val="clear" w:color="auto" w:fill="ffffff"/>
              </w:rPr>
              <w:t xml:space="preserve">最近</w:t>
            </w:r>
            <w:r>
              <w:rPr>
                <w:rFonts w:ascii="宋体" w:hAnsi="宋体" w:cs="宋体"/>
                <w:bCs/>
                <w:color w:val="auto"/>
                <w:szCs w:val="21"/>
                <w:highlight w:val="none"/>
                <w:shd w:val="clear" w:color="auto" w:fill="ffffff"/>
              </w:rPr>
              <w:t xml:space="preserve">3</w:t>
            </w:r>
            <w:r>
              <w:rPr>
                <w:rFonts w:hint="eastAsia" w:ascii="宋体" w:hAnsi="宋体" w:cs="宋体"/>
                <w:bCs/>
                <w:color w:val="auto"/>
                <w:szCs w:val="21"/>
                <w:highlight w:val="none"/>
                <w:shd w:val="clear" w:color="auto" w:fill="ffffff"/>
              </w:rPr>
              <w:t xml:space="preserve">年内主要负责人有无因经济犯罪被司法机关追究的情况及说明</w:t>
            </w:r>
            <w:r>
              <w:rPr>
                <w:color w:val="auto"/>
                <w:highlight w:val="none"/>
              </w:rPr>
            </w:r>
            <w:r/>
          </w:p>
        </w:tc>
        <w:tc>
          <w:tcPr>
            <w:gridSpan w:val="4"/>
            <w:tcW w:w="6346" w:type="dxa"/>
            <w:vAlign w:val="center"/>
            <w:textDirection w:val="lrTb"/>
            <w:noWrap w:val="false"/>
          </w:tcPr>
          <w:p>
            <w:pPr>
              <w:jc w:val="center"/>
              <w:spacing w:line="240" w:lineRule="auto"/>
              <w:rPr>
                <w:rFonts w:ascii="宋体" w:hAnsi="宋体" w:cs="宋体"/>
                <w:bCs/>
                <w:color w:val="auto"/>
                <w:szCs w:val="21"/>
                <w:highlight w:val="none"/>
                <w:shd w:val="clear" w:color="auto" w:fill="ffffff"/>
              </w:rPr>
            </w:pPr>
            <w:r>
              <w:rPr>
                <w:rFonts w:ascii="宋体" w:hAnsi="宋体" w:cs="宋体"/>
                <w:bCs/>
                <w:color w:val="auto"/>
                <w:szCs w:val="21"/>
                <w:highlight w:val="none"/>
                <w:shd w:val="clear" w:color="auto" w:fill="ffffff"/>
              </w:rPr>
            </w:r>
            <w:r>
              <w:rPr>
                <w:color w:val="auto"/>
                <w:highlight w:val="none"/>
              </w:rPr>
            </w:r>
            <w:r/>
          </w:p>
        </w:tc>
      </w:tr>
      <w:tr>
        <w:trPr>
          <w:trHeight w:val="560"/>
        </w:trPr>
        <w:tc>
          <w:tcPr>
            <w:tcW w:w="2860" w:type="dxa"/>
            <w:vAlign w:val="center"/>
            <w:textDirection w:val="lrTb"/>
            <w:noWrap w:val="false"/>
          </w:tcPr>
          <w:p>
            <w:pPr>
              <w:jc w:val="left"/>
              <w:spacing w:line="240" w:lineRule="auto"/>
              <w:rPr>
                <w:rFonts w:ascii="宋体" w:hAnsi="宋体" w:cs="宋体"/>
                <w:bCs/>
                <w:color w:val="auto"/>
                <w:szCs w:val="21"/>
                <w:highlight w:val="none"/>
                <w:shd w:val="clear" w:color="auto" w:fill="ffffff"/>
              </w:rPr>
            </w:pPr>
            <w:r>
              <w:rPr>
                <w:rFonts w:hint="eastAsia" w:ascii="宋体" w:hAnsi="宋体" w:cs="宋体"/>
                <w:bCs/>
                <w:color w:val="auto"/>
                <w:szCs w:val="21"/>
                <w:highlight w:val="none"/>
                <w:shd w:val="clear" w:color="auto" w:fill="ffffff"/>
              </w:rPr>
              <w:t xml:space="preserve">其他需要说明的情况</w:t>
            </w:r>
            <w:r>
              <w:rPr>
                <w:color w:val="auto"/>
                <w:highlight w:val="none"/>
              </w:rPr>
            </w:r>
            <w:r/>
          </w:p>
        </w:tc>
        <w:tc>
          <w:tcPr>
            <w:gridSpan w:val="4"/>
            <w:tcW w:w="6346" w:type="dxa"/>
            <w:vAlign w:val="center"/>
            <w:textDirection w:val="lrTb"/>
            <w:noWrap w:val="false"/>
          </w:tcPr>
          <w:p>
            <w:pPr>
              <w:jc w:val="center"/>
              <w:spacing w:line="240" w:lineRule="auto"/>
              <w:rPr>
                <w:rFonts w:ascii="宋体" w:hAnsi="宋体" w:cs="宋体"/>
                <w:bCs/>
                <w:color w:val="auto"/>
                <w:szCs w:val="21"/>
                <w:highlight w:val="none"/>
                <w:shd w:val="clear" w:color="auto" w:fill="ffffff"/>
              </w:rPr>
            </w:pPr>
            <w:r>
              <w:rPr>
                <w:rFonts w:ascii="宋体" w:hAnsi="宋体" w:cs="宋体"/>
                <w:bCs/>
                <w:color w:val="auto"/>
                <w:szCs w:val="21"/>
                <w:highlight w:val="none"/>
                <w:shd w:val="clear" w:color="auto" w:fill="ffffff"/>
              </w:rPr>
            </w:r>
            <w:r>
              <w:rPr>
                <w:color w:val="auto"/>
                <w:highlight w:val="none"/>
              </w:rPr>
            </w:r>
            <w:r/>
          </w:p>
        </w:tc>
      </w:tr>
      <w:tr>
        <w:trPr>
          <w:trHeight w:val="560"/>
        </w:trPr>
        <w:tc>
          <w:tcPr>
            <w:tcW w:w="2860" w:type="dxa"/>
            <w:vAlign w:val="center"/>
            <w:textDirection w:val="lrTb"/>
            <w:noWrap w:val="false"/>
          </w:tcPr>
          <w:p>
            <w:pPr>
              <w:jc w:val="left"/>
              <w:spacing w:line="240" w:lineRule="auto"/>
              <w:rPr>
                <w:rFonts w:ascii="宋体" w:hAnsi="宋体" w:cs="宋体"/>
                <w:bCs/>
                <w:color w:val="auto"/>
                <w:szCs w:val="21"/>
                <w:highlight w:val="none"/>
                <w:shd w:val="clear" w:color="auto" w:fill="ffffff"/>
              </w:rPr>
            </w:pPr>
            <w:r>
              <w:rPr>
                <w:rFonts w:hint="eastAsia" w:ascii="宋体" w:hAnsi="宋体" w:cs="宋体"/>
                <w:bCs/>
                <w:color w:val="auto"/>
                <w:szCs w:val="21"/>
                <w:highlight w:val="none"/>
                <w:shd w:val="clear" w:color="auto" w:fill="ffffff"/>
              </w:rPr>
              <w:t xml:space="preserve">数字人民币账户信息</w:t>
            </w:r>
            <w:r>
              <w:rPr>
                <w:color w:val="auto"/>
                <w:highlight w:val="none"/>
              </w:rPr>
            </w:r>
            <w:r/>
          </w:p>
        </w:tc>
        <w:tc>
          <w:tcPr>
            <w:gridSpan w:val="4"/>
            <w:tcW w:w="6346" w:type="dxa"/>
            <w:vAlign w:val="center"/>
            <w:textDirection w:val="lrTb"/>
            <w:noWrap w:val="false"/>
          </w:tcPr>
          <w:p>
            <w:pPr>
              <w:jc w:val="center"/>
              <w:spacing w:line="240" w:lineRule="auto"/>
              <w:rPr>
                <w:rFonts w:ascii="宋体" w:hAnsi="宋体" w:cs="宋体"/>
                <w:bCs/>
                <w:color w:val="auto"/>
                <w:szCs w:val="21"/>
                <w:highlight w:val="none"/>
                <w:shd w:val="clear" w:color="auto" w:fill="ffffff"/>
              </w:rPr>
            </w:pPr>
            <w:r>
              <w:rPr>
                <w:rFonts w:ascii="宋体" w:hAnsi="宋体" w:cs="宋体"/>
                <w:bCs/>
                <w:color w:val="auto"/>
                <w:szCs w:val="21"/>
                <w:highlight w:val="none"/>
                <w:shd w:val="clear" w:color="auto" w:fill="ffffff"/>
              </w:rPr>
            </w:r>
            <w:r>
              <w:rPr>
                <w:color w:val="auto"/>
                <w:highlight w:val="none"/>
              </w:rPr>
            </w:r>
            <w:r/>
          </w:p>
        </w:tc>
      </w:tr>
    </w:tbl>
    <w:p>
      <w:pPr>
        <w:spacing w:line="440" w:lineRule="exact"/>
        <w:rPr>
          <w:rFonts w:ascii="宋体" w:hAnsi="宋体" w:cs="宋体"/>
          <w:color w:val="auto"/>
          <w:szCs w:val="21"/>
          <w:highlight w:val="none"/>
        </w:rPr>
      </w:pPr>
      <w:r>
        <w:rPr>
          <w:rFonts w:ascii="宋体" w:hAnsi="宋体" w:cs="宋体"/>
          <w:color w:val="auto"/>
          <w:szCs w:val="21"/>
          <w:highlight w:val="none"/>
        </w:rPr>
      </w:r>
      <w:r>
        <w:rPr>
          <w:color w:val="auto"/>
          <w:highlight w:val="none"/>
        </w:rPr>
      </w:r>
      <w:r/>
    </w:p>
    <w:p>
      <w:pPr>
        <w:spacing w:line="440" w:lineRule="exact"/>
        <w:rPr>
          <w:rFonts w:ascii="宋体" w:hAnsi="宋体" w:cs="宋体"/>
          <w:color w:val="auto"/>
          <w:szCs w:val="21"/>
          <w:highlight w:val="none"/>
          <w:u w:val="single"/>
        </w:rPr>
      </w:pPr>
      <w:r>
        <w:rPr>
          <w:rFonts w:hint="eastAsia" w:ascii="宋体" w:hAnsi="宋体" w:cs="宋体"/>
          <w:color w:val="auto"/>
          <w:szCs w:val="21"/>
          <w:highlight w:val="none"/>
          <w:lang w:val="zh-CN"/>
        </w:rPr>
        <w:t xml:space="preserve">法定代表人或其授权代表：（签字或盖章）</w:t>
      </w:r>
      <w:r>
        <w:rPr>
          <w:color w:val="auto"/>
          <w:highlight w:val="none"/>
        </w:rPr>
      </w:r>
      <w:r/>
    </w:p>
    <w:p>
      <w:pPr>
        <w:spacing w:line="44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日期：</w:t>
      </w:r>
      <w:r>
        <w:rPr>
          <w:color w:val="auto"/>
          <w:highlight w:val="none"/>
        </w:rPr>
      </w:r>
      <w:r/>
    </w:p>
    <w:p>
      <w:pPr>
        <w:spacing w:line="440" w:lineRule="exact"/>
        <w:rPr>
          <w:rFonts w:ascii="宋体" w:hAnsi="宋体"/>
          <w:color w:val="auto"/>
          <w:sz w:val="24"/>
          <w:szCs w:val="24"/>
          <w:highlight w:val="none"/>
        </w:rPr>
      </w:pPr>
      <w:r>
        <w:rPr>
          <w:rFonts w:hint="eastAsia" w:ascii="宋体" w:hAnsi="宋体"/>
          <w:color w:val="auto"/>
          <w:sz w:val="24"/>
          <w:szCs w:val="24"/>
          <w:highlight w:val="none"/>
        </w:rPr>
        <w:br w:type="page" w:clear="all"/>
      </w:r>
      <w:r>
        <w:rPr>
          <w:rFonts w:hint="eastAsia" w:ascii="宋体" w:hAnsi="宋体"/>
          <w:b/>
          <w:bCs/>
          <w:color w:val="auto"/>
          <w:sz w:val="24"/>
          <w:szCs w:val="24"/>
          <w:highlight w:val="none"/>
          <w:lang w:val="zh-CN"/>
        </w:rPr>
        <w:t xml:space="preserve">格式</w:t>
      </w:r>
      <w:r>
        <w:rPr>
          <w:rFonts w:hint="eastAsia" w:ascii="宋体" w:hAnsi="宋体"/>
          <w:b/>
          <w:bCs/>
          <w:color w:val="auto"/>
          <w:sz w:val="24"/>
          <w:szCs w:val="24"/>
          <w:highlight w:val="none"/>
        </w:rPr>
        <w:t xml:space="preserve">13、中小企业声明函</w:t>
      </w:r>
      <w:r>
        <w:rPr>
          <w:color w:val="auto"/>
          <w:highlight w:val="none"/>
        </w:rPr>
      </w:r>
      <w:r/>
    </w:p>
    <w:p>
      <w:pPr>
        <w:jc w:val="center"/>
        <w:spacing w:line="44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中小企业声明函（货物）</w:t>
      </w:r>
      <w:r>
        <w:rPr>
          <w:color w:val="auto"/>
          <w:highlight w:val="none"/>
        </w:rPr>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本公司郑重声明，根据《政府采购促进中小企业发展管理办法》（财库﹝2020﹞46 号）的规定，本公司参加</w:t>
      </w:r>
      <w:r>
        <w:rPr>
          <w:rFonts w:hint="eastAsia" w:ascii="宋体" w:hAnsi="宋体" w:cs="宋体"/>
          <w:color w:val="auto"/>
          <w:sz w:val="24"/>
          <w:szCs w:val="24"/>
          <w:highlight w:val="none"/>
          <w:u w:val="single"/>
        </w:rPr>
        <w:t xml:space="preserve">（单位名称）</w:t>
      </w:r>
      <w:r>
        <w:rPr>
          <w:rFonts w:hint="eastAsia" w:ascii="宋体" w:hAnsi="宋体" w:cs="宋体"/>
          <w:color w:val="auto"/>
          <w:sz w:val="24"/>
          <w:szCs w:val="24"/>
          <w:highlight w:val="none"/>
        </w:rPr>
        <w:t xml:space="preserve">的</w:t>
      </w:r>
      <w:r>
        <w:rPr>
          <w:rFonts w:hint="eastAsia" w:ascii="宋体" w:hAnsi="宋体" w:cs="宋体"/>
          <w:color w:val="auto"/>
          <w:sz w:val="24"/>
          <w:szCs w:val="24"/>
          <w:highlight w:val="none"/>
          <w:u w:val="single"/>
        </w:rPr>
        <w:t xml:space="preserve">（项目名称）</w:t>
      </w:r>
      <w:r>
        <w:rPr>
          <w:rFonts w:hint="eastAsia" w:ascii="宋体" w:hAnsi="宋体" w:cs="宋体"/>
          <w:color w:val="auto"/>
          <w:sz w:val="24"/>
          <w:szCs w:val="24"/>
          <w:highlight w:val="none"/>
        </w:rPr>
        <w:t xml:space="preserve">采购活动，提供的货物全部由符合政策要求的中小企业制造。相关企业的具体情况如下： </w:t>
      </w:r>
      <w:r>
        <w:rPr>
          <w:color w:val="auto"/>
          <w:highlight w:val="none"/>
        </w:rPr>
      </w:r>
      <w:r/>
    </w:p>
    <w:p>
      <w:pPr>
        <w:numPr>
          <w:ilvl w:val="0"/>
          <w:numId w:val="10"/>
        </w:num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u w:val="single"/>
        </w:rPr>
        <w:t xml:space="preserve">（标的名称）</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工业</w:t>
      </w:r>
      <w:r>
        <w:rPr>
          <w:rFonts w:hint="eastAsia" w:ascii="宋体" w:hAnsi="宋体" w:cs="宋体"/>
          <w:color w:val="auto"/>
          <w:sz w:val="24"/>
          <w:szCs w:val="24"/>
          <w:highlight w:val="none"/>
        </w:rPr>
        <w:t xml:space="preserve">行业；制造商为</w:t>
      </w:r>
      <w:r>
        <w:rPr>
          <w:rFonts w:hint="eastAsia" w:ascii="宋体" w:hAnsi="宋体" w:cs="宋体"/>
          <w:color w:val="auto"/>
          <w:sz w:val="24"/>
          <w:szCs w:val="24"/>
          <w:highlight w:val="none"/>
          <w:u w:val="single"/>
        </w:rPr>
        <w:t xml:space="preserve">（企业名称）</w:t>
      </w:r>
      <w:r>
        <w:rPr>
          <w:rFonts w:hint="eastAsia" w:ascii="宋体" w:hAnsi="宋体" w:cs="宋体"/>
          <w:color w:val="auto"/>
          <w:sz w:val="24"/>
          <w:szCs w:val="24"/>
          <w:highlight w:val="none"/>
        </w:rPr>
        <w:t xml:space="preserve">，从业人员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人，营业收入为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万元，资产总额为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万元，属于</w:t>
      </w:r>
      <w:r>
        <w:rPr>
          <w:rFonts w:hint="eastAsia" w:ascii="宋体" w:hAnsi="宋体" w:cs="宋体"/>
          <w:color w:val="auto"/>
          <w:sz w:val="24"/>
          <w:szCs w:val="24"/>
          <w:highlight w:val="none"/>
          <w:u w:val="single"/>
        </w:rPr>
        <w:t xml:space="preserve">（中型企业、小型企业、微型企业）</w:t>
      </w:r>
      <w:r>
        <w:rPr>
          <w:rFonts w:hint="eastAsia" w:ascii="宋体" w:hAnsi="宋体" w:cs="宋体"/>
          <w:color w:val="auto"/>
          <w:sz w:val="24"/>
          <w:szCs w:val="24"/>
          <w:highlight w:val="none"/>
        </w:rPr>
        <w:t xml:space="preserve">； </w:t>
      </w:r>
      <w:r>
        <w:rPr>
          <w:color w:val="auto"/>
          <w:highlight w:val="none"/>
        </w:rPr>
      </w:r>
      <w:r/>
    </w:p>
    <w:p>
      <w:pPr>
        <w:numPr>
          <w:ilvl w:val="0"/>
          <w:numId w:val="10"/>
        </w:num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u w:val="single"/>
        </w:rPr>
        <w:t xml:space="preserve">（标的名称）</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工业</w:t>
      </w:r>
      <w:r>
        <w:rPr>
          <w:rFonts w:hint="eastAsia" w:ascii="宋体" w:hAnsi="宋体" w:cs="宋体"/>
          <w:color w:val="auto"/>
          <w:sz w:val="24"/>
          <w:szCs w:val="24"/>
          <w:highlight w:val="none"/>
        </w:rPr>
        <w:t xml:space="preserve">行业；制造商为</w:t>
      </w:r>
      <w:r>
        <w:rPr>
          <w:rFonts w:hint="eastAsia" w:ascii="宋体" w:hAnsi="宋体" w:cs="宋体"/>
          <w:color w:val="auto"/>
          <w:sz w:val="24"/>
          <w:szCs w:val="24"/>
          <w:highlight w:val="none"/>
          <w:u w:val="single"/>
        </w:rPr>
        <w:t xml:space="preserve">（企业名称）</w:t>
      </w:r>
      <w:r>
        <w:rPr>
          <w:rFonts w:hint="eastAsia" w:ascii="宋体" w:hAnsi="宋体" w:cs="宋体"/>
          <w:color w:val="auto"/>
          <w:sz w:val="24"/>
          <w:szCs w:val="24"/>
          <w:highlight w:val="none"/>
        </w:rPr>
        <w:t xml:space="preserve">，从业人员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人，营业收入为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万元，资产总额为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万元，属于</w:t>
      </w:r>
      <w:r>
        <w:rPr>
          <w:rFonts w:hint="eastAsia" w:ascii="宋体" w:hAnsi="宋体" w:cs="宋体"/>
          <w:color w:val="auto"/>
          <w:sz w:val="24"/>
          <w:szCs w:val="24"/>
          <w:highlight w:val="none"/>
          <w:u w:val="single"/>
        </w:rPr>
        <w:t xml:space="preserve">（中型企业、小型企业、微型企业）</w:t>
      </w:r>
      <w:r>
        <w:rPr>
          <w:rFonts w:hint="eastAsia" w:ascii="宋体" w:hAnsi="宋体" w:cs="宋体"/>
          <w:color w:val="auto"/>
          <w:sz w:val="24"/>
          <w:szCs w:val="24"/>
          <w:highlight w:val="none"/>
        </w:rPr>
        <w:t xml:space="preserve">； </w:t>
      </w:r>
      <w:r>
        <w:rPr>
          <w:color w:val="auto"/>
          <w:highlight w:val="none"/>
        </w:rPr>
      </w:r>
      <w:r/>
    </w:p>
    <w:p>
      <w:pPr>
        <w:numPr>
          <w:ilvl w:val="0"/>
          <w:numId w:val="10"/>
        </w:num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rPr>
          <w:color w:val="auto"/>
          <w:highlight w:val="none"/>
        </w:rPr>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 以上企业，不属于大企业的分支机构，不存在控股股东为大企业的情形，也不存在与大企业的负责人为同一人的情形。 本企业对上述声明内容的真实性负责。如有虚假，将依法承担相应责任。 </w:t>
      </w:r>
      <w:r>
        <w:rPr>
          <w:color w:val="auto"/>
          <w:highlight w:val="none"/>
        </w:rPr>
      </w:r>
      <w:r/>
    </w:p>
    <w:p>
      <w:pPr>
        <w:ind w:firstLine="672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企业名称（盖章）： </w:t>
      </w:r>
      <w:r>
        <w:rPr>
          <w:color w:val="auto"/>
          <w:highlight w:val="none"/>
        </w:rPr>
      </w:r>
      <w:r/>
    </w:p>
    <w:p>
      <w:pPr>
        <w:ind w:firstLine="792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日 期：</w:t>
      </w:r>
      <w:r>
        <w:rPr>
          <w:color w:val="auto"/>
          <w:highlight w:val="none"/>
        </w:rPr>
      </w:r>
      <w:r/>
    </w:p>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p>
      <w:pPr>
        <w:ind w:firstLine="420"/>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p>
      <w:pPr>
        <w:spacing w:line="440" w:lineRule="exact"/>
        <w:rPr>
          <w:rFonts w:ascii="宋体" w:hAnsi="宋体"/>
          <w:color w:val="auto"/>
          <w:sz w:val="24"/>
          <w:szCs w:val="24"/>
          <w:highlight w:val="none"/>
        </w:rPr>
      </w:pPr>
      <w:r>
        <w:rPr>
          <w:rFonts w:ascii="宋体" w:hAnsi="宋体"/>
          <w:color w:val="auto"/>
          <w:sz w:val="24"/>
          <w:szCs w:val="24"/>
          <w:highlight w:val="none"/>
        </w:rPr>
      </w:r>
      <w:r>
        <w:rPr>
          <w:color w:val="auto"/>
          <w:highlight w:val="none"/>
        </w:rPr>
      </w:r>
      <w:r/>
    </w:p>
    <w:p>
      <w:pPr>
        <w:ind w:firstLine="420"/>
        <w:spacing w:line="440" w:lineRule="exact"/>
        <w:rPr>
          <w:rFonts w:ascii="宋体" w:hAnsi="宋体"/>
          <w:color w:val="auto"/>
          <w:sz w:val="24"/>
          <w:szCs w:val="24"/>
          <w:highlight w:val="none"/>
        </w:rPr>
      </w:pPr>
      <w:r>
        <w:rPr>
          <w:rFonts w:ascii="宋体" w:hAnsi="宋体"/>
          <w:color w:val="auto"/>
          <w:sz w:val="24"/>
          <w:szCs w:val="24"/>
          <w:highlight w:val="none"/>
        </w:rPr>
        <w:t xml:space="preserve">从业人员、营业收入、资产总额填报上一年度数据，无上</w:t>
      </w:r>
      <w:r>
        <w:rPr>
          <w:rFonts w:ascii="宋体" w:hAnsi="宋体"/>
          <w:color w:val="auto"/>
          <w:sz w:val="24"/>
          <w:szCs w:val="24"/>
          <w:highlight w:val="none"/>
        </w:rPr>
        <w:t xml:space="preserve">一</w:t>
      </w:r>
      <w:r>
        <w:rPr>
          <w:rFonts w:ascii="宋体" w:hAnsi="宋体"/>
          <w:color w:val="auto"/>
          <w:sz w:val="24"/>
          <w:szCs w:val="24"/>
          <w:highlight w:val="none"/>
        </w:rPr>
        <w:t xml:space="preserve">年度数据的新成立企业可不填报。</w:t>
      </w:r>
      <w:r>
        <w:rPr>
          <w:color w:val="auto"/>
          <w:highlight w:val="none"/>
        </w:rPr>
      </w:r>
      <w:r/>
    </w:p>
    <w:p>
      <w:pPr>
        <w:spacing w:line="440" w:lineRule="exact"/>
        <w:rPr>
          <w:rFonts w:ascii="宋体" w:hAnsi="宋体"/>
          <w:b/>
          <w:bCs/>
          <w:color w:val="auto"/>
          <w:sz w:val="24"/>
          <w:szCs w:val="24"/>
          <w:highlight w:val="none"/>
        </w:rPr>
      </w:pPr>
      <w:r>
        <w:rPr>
          <w:rFonts w:ascii="宋体" w:hAnsi="宋体"/>
          <w:b/>
          <w:bCs/>
          <w:color w:val="auto"/>
          <w:sz w:val="24"/>
          <w:szCs w:val="24"/>
          <w:highlight w:val="none"/>
        </w:rPr>
      </w:r>
      <w:r>
        <w:rPr>
          <w:color w:val="auto"/>
          <w:highlight w:val="none"/>
        </w:rPr>
      </w:r>
      <w:r/>
    </w:p>
    <w:p>
      <w:pPr>
        <w:spacing w:line="440" w:lineRule="exact"/>
        <w:rPr>
          <w:rFonts w:ascii="宋体" w:hAnsi="宋体"/>
          <w:b/>
          <w:bCs/>
          <w:color w:val="auto"/>
          <w:sz w:val="24"/>
          <w:szCs w:val="24"/>
          <w:highlight w:val="none"/>
        </w:rPr>
      </w:pPr>
      <w:r>
        <w:rPr>
          <w:rFonts w:ascii="宋体" w:hAnsi="宋体"/>
          <w:b/>
          <w:bCs/>
          <w:color w:val="auto"/>
          <w:sz w:val="24"/>
          <w:szCs w:val="24"/>
          <w:highlight w:val="none"/>
        </w:rPr>
      </w:r>
      <w:r>
        <w:rPr>
          <w:color w:val="auto"/>
          <w:highlight w:val="none"/>
        </w:rPr>
      </w:r>
      <w:r/>
    </w:p>
    <w:p>
      <w:pPr>
        <w:spacing w:line="440" w:lineRule="exact"/>
        <w:rPr>
          <w:rFonts w:ascii="宋体" w:hAnsi="宋体" w:cs="宋体"/>
          <w:color w:val="auto"/>
          <w:sz w:val="24"/>
          <w:szCs w:val="24"/>
          <w:highlight w:val="none"/>
        </w:rPr>
      </w:pPr>
      <w:r>
        <w:rPr>
          <w:rFonts w:hint="eastAsia" w:ascii="宋体" w:hAnsi="宋体" w:cs="宋体"/>
          <w:b/>
          <w:bCs/>
          <w:color w:val="auto"/>
          <w:sz w:val="24"/>
          <w:szCs w:val="24"/>
          <w:highlight w:val="none"/>
        </w:rPr>
        <w:br w:type="page" w:clear="all"/>
      </w:r>
      <w:r>
        <w:rPr>
          <w:rFonts w:hint="eastAsia" w:ascii="宋体" w:hAnsi="宋体" w:cs="宋体"/>
          <w:b/>
          <w:bCs/>
          <w:color w:val="auto"/>
          <w:sz w:val="24"/>
          <w:szCs w:val="24"/>
          <w:highlight w:val="none"/>
        </w:rPr>
        <w:t xml:space="preserve">格式14、残疾人福利性单位声明函</w:t>
      </w:r>
      <w:r>
        <w:rPr>
          <w:color w:val="auto"/>
          <w:highlight w:val="none"/>
        </w:rPr>
      </w:r>
      <w:r/>
    </w:p>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p>
      <w:pPr>
        <w:jc w:val="center"/>
        <w:spacing w:before="100" w:beforeAutospacing="1" w:after="100" w:afterAutospacing="1" w:line="440" w:lineRule="exact"/>
        <w:rPr>
          <w:rFonts w:ascii="宋体" w:hAnsi="宋体" w:cs="宋体"/>
          <w:color w:val="auto"/>
          <w:sz w:val="24"/>
          <w:szCs w:val="24"/>
          <w:highlight w:val="none"/>
        </w:rPr>
      </w:pPr>
      <w:r>
        <w:rPr>
          <w:rFonts w:hint="eastAsia" w:ascii="宋体" w:hAnsi="宋体" w:cs="宋体"/>
          <w:b/>
          <w:bCs/>
          <w:color w:val="auto"/>
          <w:sz w:val="24"/>
          <w:szCs w:val="24"/>
          <w:highlight w:val="none"/>
        </w:rPr>
        <w:t xml:space="preserve">残疾人福利性单位声明函</w:t>
      </w:r>
      <w:r>
        <w:rPr>
          <w:color w:val="auto"/>
          <w:highlight w:val="none"/>
        </w:rPr>
      </w:r>
      <w:r/>
    </w:p>
    <w:p>
      <w:pPr>
        <w:ind w:firstLine="420"/>
        <w:jc w:val="left"/>
        <w:spacing w:before="100" w:beforeAutospacing="1" w:after="100" w:afterAutospacing="1"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color w:val="auto"/>
          <w:highlight w:val="none"/>
        </w:rPr>
      </w:r>
      <w:r/>
    </w:p>
    <w:p>
      <w:pPr>
        <w:ind w:firstLine="420"/>
        <w:jc w:val="left"/>
        <w:spacing w:before="100" w:beforeAutospacing="1" w:after="100" w:afterAutospacing="1"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本单位对上述声明的真实性负责。如有虚假，将依法承担相应责任。</w:t>
      </w:r>
      <w:r>
        <w:rPr>
          <w:color w:val="auto"/>
          <w:highlight w:val="none"/>
        </w:rPr>
      </w:r>
      <w:r/>
    </w:p>
    <w:p>
      <w:pPr>
        <w:ind w:firstLine="420"/>
        <w:jc w:val="left"/>
        <w:spacing w:before="100" w:beforeAutospacing="1" w:after="100" w:afterAutospacing="1"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p>
      <w:pPr>
        <w:ind w:firstLine="420"/>
        <w:jc w:val="left"/>
        <w:spacing w:before="100" w:beforeAutospacing="1" w:after="100" w:afterAutospacing="1"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p>
      <w:pP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投标单位：（签章）</w:t>
      </w:r>
      <w:r>
        <w:rPr>
          <w:color w:val="auto"/>
          <w:highlight w:val="none"/>
        </w:rPr>
      </w:r>
      <w:r/>
    </w:p>
    <w:p>
      <w:pP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日期：</w:t>
      </w:r>
      <w:r>
        <w:rPr>
          <w:color w:val="auto"/>
          <w:highlight w:val="none"/>
        </w:rPr>
      </w:r>
      <w:r/>
    </w:p>
    <w:p>
      <w:pPr>
        <w:spacing w:line="440" w:lineRule="exact"/>
        <w:rPr>
          <w:rFonts w:ascii="宋体" w:hAnsi="宋体"/>
          <w:b/>
          <w:bCs/>
          <w:color w:val="auto"/>
          <w:sz w:val="24"/>
          <w:szCs w:val="24"/>
          <w:highlight w:val="none"/>
        </w:rPr>
      </w:pPr>
      <w:r>
        <w:rPr>
          <w:rFonts w:ascii="宋体" w:hAnsi="宋体"/>
          <w:b/>
          <w:bCs/>
          <w:color w:val="auto"/>
          <w:sz w:val="24"/>
          <w:szCs w:val="24"/>
          <w:highlight w:val="none"/>
        </w:rPr>
      </w:r>
      <w:r>
        <w:rPr>
          <w:color w:val="auto"/>
          <w:highlight w:val="none"/>
        </w:rPr>
      </w:r>
      <w:r/>
    </w:p>
    <w:p>
      <w:pPr>
        <w:jc w:val="center"/>
        <w:spacing w:line="440" w:lineRule="exact"/>
        <w:rPr>
          <w:rFonts w:ascii="宋体" w:hAnsi="宋体"/>
          <w:b/>
          <w:bCs/>
          <w:color w:val="auto"/>
          <w:position w:val="6"/>
          <w:sz w:val="24"/>
          <w:szCs w:val="24"/>
          <w:highlight w:val="none"/>
        </w:rPr>
      </w:pPr>
      <w:r>
        <w:rPr>
          <w:rFonts w:ascii="宋体" w:hAnsi="宋体"/>
          <w:b/>
          <w:bCs/>
          <w:color w:val="auto"/>
          <w:position w:val="6"/>
          <w:sz w:val="24"/>
          <w:szCs w:val="24"/>
          <w:highlight w:val="none"/>
        </w:rPr>
      </w:r>
      <w:r>
        <w:rPr>
          <w:color w:val="auto"/>
          <w:highlight w:val="none"/>
        </w:rPr>
      </w:r>
      <w:r/>
    </w:p>
    <w:p>
      <w:pPr>
        <w:jc w:val="center"/>
        <w:spacing w:line="440" w:lineRule="exact"/>
        <w:rPr>
          <w:rFonts w:ascii="宋体" w:hAnsi="宋体"/>
          <w:b/>
          <w:bCs/>
          <w:color w:val="auto"/>
          <w:position w:val="6"/>
          <w:sz w:val="24"/>
          <w:szCs w:val="24"/>
          <w:highlight w:val="none"/>
        </w:rPr>
      </w:pPr>
      <w:r>
        <w:rPr>
          <w:rFonts w:ascii="宋体" w:hAnsi="宋体"/>
          <w:b/>
          <w:bCs/>
          <w:color w:val="auto"/>
          <w:position w:val="6"/>
          <w:sz w:val="24"/>
          <w:szCs w:val="24"/>
          <w:highlight w:val="none"/>
        </w:rPr>
      </w:r>
      <w:r>
        <w:rPr>
          <w:color w:val="auto"/>
          <w:highlight w:val="none"/>
        </w:rPr>
      </w:r>
      <w:r/>
    </w:p>
    <w:p>
      <w:pPr>
        <w:jc w:val="center"/>
        <w:spacing w:line="440" w:lineRule="exact"/>
        <w:rPr>
          <w:rFonts w:ascii="宋体" w:hAnsi="宋体"/>
          <w:b/>
          <w:bCs/>
          <w:color w:val="auto"/>
          <w:position w:val="6"/>
          <w:sz w:val="24"/>
          <w:szCs w:val="24"/>
          <w:highlight w:val="none"/>
        </w:rPr>
      </w:pPr>
      <w:r>
        <w:rPr>
          <w:rFonts w:ascii="宋体" w:hAnsi="宋体"/>
          <w:b/>
          <w:bCs/>
          <w:color w:val="auto"/>
          <w:position w:val="6"/>
          <w:sz w:val="24"/>
          <w:szCs w:val="24"/>
          <w:highlight w:val="none"/>
        </w:rPr>
      </w:r>
      <w:r>
        <w:rPr>
          <w:color w:val="auto"/>
          <w:highlight w:val="none"/>
        </w:rPr>
      </w:r>
      <w:r/>
    </w:p>
    <w:p>
      <w:pPr>
        <w:jc w:val="center"/>
        <w:spacing w:line="440" w:lineRule="exact"/>
        <w:rPr>
          <w:rFonts w:ascii="宋体" w:hAnsi="宋体"/>
          <w:b/>
          <w:bCs/>
          <w:color w:val="auto"/>
          <w:position w:val="6"/>
          <w:sz w:val="24"/>
          <w:szCs w:val="24"/>
          <w:highlight w:val="none"/>
        </w:rPr>
      </w:pPr>
      <w:r>
        <w:rPr>
          <w:rFonts w:ascii="宋体" w:hAnsi="宋体"/>
          <w:b/>
          <w:bCs/>
          <w:color w:val="auto"/>
          <w:position w:val="6"/>
          <w:sz w:val="24"/>
          <w:szCs w:val="24"/>
          <w:highlight w:val="none"/>
        </w:rPr>
      </w:r>
      <w:r>
        <w:rPr>
          <w:color w:val="auto"/>
          <w:highlight w:val="none"/>
        </w:rPr>
      </w:r>
      <w:r/>
    </w:p>
    <w:p>
      <w:pPr>
        <w:spacing w:line="440" w:lineRule="exact"/>
        <w:rPr>
          <w:rFonts w:ascii="宋体" w:hAnsi="宋体" w:cs="宋体"/>
          <w:b/>
          <w:bCs/>
          <w:color w:val="auto"/>
          <w:sz w:val="24"/>
          <w:szCs w:val="24"/>
          <w:highlight w:val="none"/>
        </w:rPr>
      </w:pPr>
      <w:r>
        <w:rPr>
          <w:rFonts w:ascii="宋体" w:hAnsi="宋体" w:cs="宋体"/>
          <w:b/>
          <w:bCs/>
          <w:color w:val="auto"/>
          <w:sz w:val="24"/>
          <w:szCs w:val="24"/>
          <w:highlight w:val="none"/>
        </w:rPr>
      </w:r>
      <w:r>
        <w:rPr>
          <w:color w:val="auto"/>
          <w:highlight w:val="none"/>
        </w:rPr>
      </w:r>
      <w:r/>
    </w:p>
    <w:p>
      <w:pPr>
        <w:spacing w:line="440" w:lineRule="exact"/>
        <w:rPr>
          <w:rFonts w:ascii="宋体" w:hAnsi="宋体" w:cs="宋体"/>
          <w:b/>
          <w:bCs/>
          <w:color w:val="auto"/>
          <w:sz w:val="24"/>
          <w:szCs w:val="24"/>
          <w:highlight w:val="none"/>
        </w:rPr>
      </w:pPr>
      <w:r>
        <w:rPr>
          <w:rFonts w:ascii="宋体" w:hAnsi="宋体" w:cs="宋体"/>
          <w:b/>
          <w:bCs/>
          <w:color w:val="auto"/>
          <w:sz w:val="24"/>
          <w:szCs w:val="24"/>
          <w:highlight w:val="none"/>
        </w:rPr>
      </w:r>
      <w:r>
        <w:rPr>
          <w:color w:val="auto"/>
          <w:highlight w:val="none"/>
        </w:rPr>
      </w:r>
      <w:r/>
    </w:p>
    <w:p>
      <w:pPr>
        <w:spacing w:line="440" w:lineRule="exact"/>
        <w:rPr>
          <w:rFonts w:ascii="宋体" w:hAnsi="宋体"/>
          <w:color w:val="auto"/>
          <w:sz w:val="24"/>
          <w:szCs w:val="24"/>
          <w:highlight w:val="none"/>
        </w:rPr>
      </w:pPr>
      <w:r>
        <w:rPr>
          <w:rFonts w:ascii="宋体" w:hAnsi="宋体"/>
          <w:b/>
          <w:bCs/>
          <w:color w:val="auto"/>
          <w:sz w:val="24"/>
          <w:szCs w:val="24"/>
          <w:highlight w:val="none"/>
          <w:lang w:val="zh-CN"/>
        </w:rPr>
        <w:br w:type="page" w:clear="all"/>
      </w:r>
      <w:r>
        <w:rPr>
          <w:rFonts w:hint="eastAsia" w:ascii="宋体" w:hAnsi="宋体"/>
          <w:b/>
          <w:color w:val="auto"/>
          <w:sz w:val="24"/>
          <w:szCs w:val="24"/>
          <w:highlight w:val="none"/>
        </w:rPr>
        <w:t xml:space="preserve">格式</w:t>
      </w:r>
      <w:r>
        <w:rPr>
          <w:rFonts w:hint="eastAsia" w:ascii="宋体" w:hAnsi="宋体"/>
          <w:b/>
          <w:bCs/>
          <w:color w:val="auto"/>
          <w:sz w:val="24"/>
          <w:szCs w:val="24"/>
          <w:highlight w:val="none"/>
        </w:rPr>
        <w:t xml:space="preserve">15、投标保证承诺书</w:t>
      </w:r>
      <w:r>
        <w:rPr>
          <w:color w:val="auto"/>
          <w:highlight w:val="none"/>
        </w:rPr>
      </w:r>
      <w:r/>
    </w:p>
    <w:p>
      <w:pPr>
        <w:spacing w:line="440" w:lineRule="exact"/>
        <w:rPr>
          <w:rFonts w:ascii="宋体" w:hAnsi="宋体"/>
          <w:b/>
          <w:color w:val="auto"/>
          <w:sz w:val="24"/>
          <w:szCs w:val="24"/>
          <w:highlight w:val="none"/>
        </w:rPr>
      </w:pPr>
      <w:r>
        <w:rPr>
          <w:rFonts w:ascii="宋体" w:hAnsi="宋体"/>
          <w:b/>
          <w:color w:val="auto"/>
          <w:sz w:val="24"/>
          <w:szCs w:val="24"/>
          <w:highlight w:val="none"/>
        </w:rPr>
      </w:r>
      <w:r>
        <w:rPr>
          <w:color w:val="auto"/>
          <w:highlight w:val="none"/>
        </w:rPr>
      </w:r>
      <w:r/>
    </w:p>
    <w:p>
      <w:pPr>
        <w:jc w:val="center"/>
        <w:spacing w:line="440" w:lineRule="exact"/>
        <w:rPr>
          <w:rFonts w:ascii="宋体" w:hAnsi="宋体"/>
          <w:b/>
          <w:color w:val="auto"/>
          <w:sz w:val="24"/>
          <w:szCs w:val="24"/>
          <w:highlight w:val="none"/>
        </w:rPr>
      </w:pPr>
      <w:r>
        <w:rPr>
          <w:rFonts w:hint="eastAsia" w:ascii="宋体" w:hAnsi="宋体"/>
          <w:b/>
          <w:color w:val="auto"/>
          <w:sz w:val="24"/>
          <w:szCs w:val="24"/>
          <w:highlight w:val="none"/>
        </w:rPr>
        <w:t xml:space="preserve">投标保证承诺书</w:t>
      </w:r>
      <w:r>
        <w:rPr>
          <w:color w:val="auto"/>
          <w:highlight w:val="none"/>
        </w:rPr>
      </w:r>
      <w:r/>
    </w:p>
    <w:p>
      <w:pPr>
        <w:spacing w:line="440" w:lineRule="exact"/>
        <w:rPr>
          <w:rFonts w:ascii="宋体" w:hAnsi="宋体"/>
          <w:b/>
          <w:color w:val="auto"/>
          <w:sz w:val="24"/>
          <w:szCs w:val="24"/>
          <w:highlight w:val="none"/>
        </w:rPr>
      </w:pPr>
      <w:r>
        <w:rPr>
          <w:rFonts w:ascii="宋体" w:hAnsi="宋体"/>
          <w:b/>
          <w:color w:val="auto"/>
          <w:sz w:val="24"/>
          <w:szCs w:val="24"/>
          <w:highlight w:val="none"/>
        </w:rPr>
      </w:r>
      <w:r>
        <w:rPr>
          <w:color w:val="auto"/>
          <w:highlight w:val="none"/>
        </w:rPr>
      </w:r>
      <w:r/>
    </w:p>
    <w:p>
      <w:pPr>
        <w:spacing w:line="440" w:lineRule="exact"/>
        <w:rPr>
          <w:rFonts w:ascii="宋体" w:hAnsi="宋体"/>
          <w:color w:val="auto"/>
          <w:sz w:val="24"/>
          <w:szCs w:val="24"/>
          <w:highlight w:val="none"/>
          <w:u w:val="single"/>
        </w:rPr>
      </w:pPr>
      <w:r>
        <w:rPr>
          <w:rFonts w:hint="eastAsia" w:ascii="宋体" w:hAnsi="宋体"/>
          <w:color w:val="auto"/>
          <w:sz w:val="24"/>
          <w:szCs w:val="24"/>
          <w:highlight w:val="none"/>
        </w:rPr>
        <w:t xml:space="preserve">致</w:t>
      </w:r>
      <w:r>
        <w:rPr>
          <w:rFonts w:hint="eastAsia" w:ascii="宋体" w:hAnsi="宋体"/>
          <w:color w:val="auto"/>
          <w:sz w:val="24"/>
          <w:szCs w:val="24"/>
          <w:highlight w:val="none"/>
          <w:u w:val="single"/>
        </w:rPr>
        <w:t xml:space="preserve">：（采购代理机构名称）</w:t>
      </w:r>
      <w:r>
        <w:rPr>
          <w:color w:val="auto"/>
          <w:highlight w:val="none"/>
        </w:rPr>
      </w:r>
      <w:r/>
    </w:p>
    <w:p>
      <w:pPr>
        <w:ind w:firstLine="420"/>
        <w:spacing w:line="440" w:lineRule="exact"/>
        <w:rPr>
          <w:rFonts w:ascii="宋体" w:hAnsi="宋体"/>
          <w:color w:val="auto"/>
          <w:sz w:val="24"/>
          <w:szCs w:val="24"/>
          <w:highlight w:val="none"/>
        </w:rPr>
      </w:pPr>
      <w:r>
        <w:rPr>
          <w:rFonts w:ascii="宋体" w:hAnsi="宋体"/>
          <w:color w:val="auto"/>
          <w:sz w:val="24"/>
          <w:szCs w:val="24"/>
          <w:highlight w:val="none"/>
        </w:rPr>
      </w:r>
      <w:r>
        <w:rPr>
          <w:color w:val="auto"/>
          <w:highlight w:val="none"/>
        </w:rPr>
      </w:r>
      <w:r/>
    </w:p>
    <w:p>
      <w:pPr>
        <w:ind w:firstLine="42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我（单位/本人，以下统称我单位）自愿参加（项目名称和采购编号）的响应,并做出如下承诺：</w:t>
      </w:r>
      <w:r>
        <w:rPr>
          <w:color w:val="auto"/>
          <w:highlight w:val="none"/>
        </w:rPr>
      </w:r>
      <w:r/>
    </w:p>
    <w:p>
      <w:pPr>
        <w:ind w:firstLine="42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一、除不可抗力外，我单位如果发生以下行为，将在行为发生的10个工作日内，向贵方</w:t>
      </w:r>
      <w:r>
        <w:rPr>
          <w:rFonts w:hint="eastAsia" w:ascii="宋体" w:hAnsi="宋体"/>
          <w:color w:val="auto"/>
          <w:sz w:val="24"/>
          <w:szCs w:val="24"/>
          <w:highlight w:val="none"/>
          <w:u w:val="single"/>
        </w:rPr>
        <w:t xml:space="preserve">（或采购人）</w:t>
      </w:r>
      <w:r>
        <w:rPr>
          <w:rFonts w:hint="eastAsia" w:ascii="宋体" w:hAnsi="宋体"/>
          <w:color w:val="auto"/>
          <w:sz w:val="24"/>
          <w:szCs w:val="24"/>
          <w:highlight w:val="none"/>
        </w:rPr>
        <w:t xml:space="preserve">支付本采购文件公布的预算金额（或最高限价）的2%作为违约赔偿金（数量不确定的单价采购须约定具体金额）。</w:t>
      </w:r>
      <w:r>
        <w:rPr>
          <w:color w:val="auto"/>
          <w:highlight w:val="none"/>
        </w:rPr>
      </w:r>
      <w:r/>
    </w:p>
    <w:p>
      <w:pPr>
        <w:ind w:firstLine="42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1.自响应截止时间至本项目发布中标公告为止，撤销响应；</w:t>
      </w:r>
      <w:r>
        <w:rPr>
          <w:color w:val="auto"/>
          <w:highlight w:val="none"/>
        </w:rPr>
      </w:r>
      <w:r/>
    </w:p>
    <w:p>
      <w:pPr>
        <w:ind w:firstLine="42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2.中标后不依法与采购人签订合同；</w:t>
      </w:r>
      <w:r>
        <w:rPr>
          <w:color w:val="auto"/>
          <w:highlight w:val="none"/>
        </w:rPr>
      </w:r>
      <w:r/>
    </w:p>
    <w:p>
      <w:pPr>
        <w:ind w:firstLine="42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3.中标后不按本采购文件规定向采购人提交履约保函；</w:t>
      </w:r>
      <w:r>
        <w:rPr>
          <w:color w:val="auto"/>
          <w:highlight w:val="none"/>
        </w:rPr>
      </w:r>
      <w:r/>
    </w:p>
    <w:p>
      <w:pPr>
        <w:ind w:firstLine="42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二、我单位知晓上述行为的法律后果，承认</w:t>
      </w:r>
      <w:r>
        <w:rPr>
          <w:rFonts w:hint="eastAsia" w:ascii="宋体" w:hAnsi="宋体"/>
          <w:color w:val="auto"/>
          <w:sz w:val="24"/>
          <w:szCs w:val="24"/>
          <w:highlight w:val="none"/>
        </w:rPr>
        <w:t xml:space="preserve">本承诺</w:t>
      </w:r>
      <w:r>
        <w:rPr>
          <w:rFonts w:hint="eastAsia" w:ascii="宋体" w:hAnsi="宋体"/>
          <w:color w:val="auto"/>
          <w:sz w:val="24"/>
          <w:szCs w:val="24"/>
          <w:highlight w:val="none"/>
        </w:rPr>
        <w:t xml:space="preserve">书作为贵方（或采购人）要求我单位履行违约赔偿义务的依据作用。</w:t>
      </w:r>
      <w:r>
        <w:rPr>
          <w:color w:val="auto"/>
          <w:highlight w:val="none"/>
        </w:rPr>
      </w:r>
      <w:r/>
    </w:p>
    <w:p>
      <w:pP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投标单位：        （签章）</w:t>
      </w:r>
      <w:r>
        <w:rPr>
          <w:color w:val="auto"/>
          <w:highlight w:val="none"/>
        </w:rPr>
      </w:r>
      <w:r/>
    </w:p>
    <w:p>
      <w:pP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地址：                                                                </w:t>
      </w:r>
      <w:r>
        <w:rPr>
          <w:color w:val="auto"/>
          <w:highlight w:val="none"/>
        </w:rPr>
      </w:r>
      <w:r/>
    </w:p>
    <w:p>
      <w:pP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电话：                     传真：                      </w:t>
      </w:r>
      <w:r>
        <w:rPr>
          <w:color w:val="auto"/>
          <w:highlight w:val="none"/>
        </w:rPr>
      </w:r>
      <w:r/>
    </w:p>
    <w:p>
      <w:pP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电子邮件：                 邮编：                      </w:t>
      </w:r>
      <w:r>
        <w:rPr>
          <w:color w:val="auto"/>
          <w:highlight w:val="none"/>
        </w:rPr>
      </w:r>
      <w:r/>
    </w:p>
    <w:p>
      <w:pP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法定代表人或委托代理人(签字或签章)：                                 </w:t>
      </w:r>
      <w:r>
        <w:rPr>
          <w:color w:val="auto"/>
          <w:highlight w:val="none"/>
        </w:rPr>
      </w:r>
      <w:r/>
    </w:p>
    <w:p>
      <w:pP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日期：                                  </w:t>
      </w:r>
      <w:r>
        <w:rPr>
          <w:color w:val="auto"/>
          <w:highlight w:val="none"/>
        </w:rPr>
      </w:r>
      <w:r/>
    </w:p>
    <w:p>
      <w:pPr>
        <w:spacing w:line="440" w:lineRule="exact"/>
        <w:rPr>
          <w:rFonts w:ascii="宋体" w:hAnsi="宋体" w:cs="宋体"/>
          <w:b/>
          <w:bCs/>
          <w:color w:val="auto"/>
          <w:sz w:val="24"/>
          <w:szCs w:val="24"/>
          <w:highlight w:val="none"/>
        </w:rPr>
      </w:pPr>
      <w:r>
        <w:rPr>
          <w:rFonts w:ascii="宋体" w:hAnsi="宋体" w:cs="宋体"/>
          <w:b/>
          <w:bCs/>
          <w:color w:val="auto"/>
          <w:sz w:val="24"/>
          <w:szCs w:val="24"/>
          <w:highlight w:val="none"/>
        </w:rPr>
      </w:r>
      <w:r>
        <w:rPr>
          <w:color w:val="auto"/>
          <w:highlight w:val="none"/>
        </w:rPr>
      </w:r>
      <w:r/>
    </w:p>
    <w:p>
      <w:pPr>
        <w:spacing w:line="440" w:lineRule="exact"/>
        <w:widowControl/>
        <w:rPr>
          <w:rFonts w:ascii="宋体" w:hAnsi="宋体" w:cs="宋体"/>
          <w:b/>
          <w:color w:val="auto"/>
          <w:sz w:val="24"/>
          <w:szCs w:val="24"/>
          <w:highlight w:val="none"/>
        </w:rPr>
      </w:pPr>
      <w:r>
        <w:rPr>
          <w:rFonts w:ascii="宋体" w:hAnsi="宋体"/>
          <w:b/>
          <w:bCs/>
          <w:color w:val="auto"/>
          <w:sz w:val="24"/>
          <w:szCs w:val="24"/>
          <w:highlight w:val="none"/>
          <w:lang w:val="zh-CN"/>
        </w:rPr>
        <w:br w:type="page" w:clear="all"/>
      </w:r>
      <w:r>
        <w:rPr>
          <w:rFonts w:hint="eastAsia" w:ascii="宋体" w:hAnsi="宋体"/>
          <w:b/>
          <w:color w:val="auto"/>
          <w:sz w:val="24"/>
          <w:szCs w:val="24"/>
          <w:highlight w:val="none"/>
        </w:rPr>
        <w:t xml:space="preserve">格式</w:t>
      </w:r>
      <w:r>
        <w:rPr>
          <w:rFonts w:hint="eastAsia" w:ascii="宋体" w:hAnsi="宋体"/>
          <w:b/>
          <w:bCs/>
          <w:color w:val="auto"/>
          <w:sz w:val="24"/>
          <w:szCs w:val="24"/>
          <w:highlight w:val="none"/>
        </w:rPr>
        <w:t xml:space="preserve">16、</w:t>
      </w:r>
      <w:r>
        <w:rPr>
          <w:rFonts w:hint="eastAsia" w:ascii="宋体" w:hAnsi="宋体" w:cs="宋体"/>
          <w:b/>
          <w:color w:val="auto"/>
          <w:sz w:val="24"/>
          <w:szCs w:val="24"/>
          <w:highlight w:val="none"/>
        </w:rPr>
        <w:t xml:space="preserve">投标人与其他单位存在控股、管理关系情况表</w:t>
      </w:r>
      <w:r>
        <w:rPr>
          <w:color w:val="auto"/>
          <w:highlight w:val="none"/>
        </w:rPr>
      </w:r>
      <w:r/>
    </w:p>
    <w:p>
      <w:pPr>
        <w:jc w:val="center"/>
        <w:spacing w:line="440" w:lineRule="exact"/>
        <w:rPr>
          <w:rFonts w:ascii="宋体" w:hAnsi="宋体"/>
          <w:b/>
          <w:color w:val="auto"/>
          <w:sz w:val="24"/>
          <w:szCs w:val="24"/>
          <w:highlight w:val="none"/>
        </w:rPr>
      </w:pPr>
      <w:r>
        <w:rPr>
          <w:rFonts w:ascii="宋体" w:hAnsi="宋体"/>
          <w:b/>
          <w:color w:val="auto"/>
          <w:sz w:val="24"/>
          <w:szCs w:val="24"/>
          <w:highlight w:val="none"/>
        </w:rPr>
      </w:r>
      <w:r>
        <w:rPr>
          <w:color w:val="auto"/>
          <w:highlight w:val="none"/>
        </w:rPr>
      </w:r>
      <w:r/>
    </w:p>
    <w:p>
      <w:pPr>
        <w:jc w:val="center"/>
        <w:spacing w:line="440" w:lineRule="exact"/>
        <w:rPr>
          <w:rFonts w:ascii="宋体" w:hAnsi="宋体"/>
          <w:b/>
          <w:color w:val="auto"/>
          <w:sz w:val="24"/>
          <w:szCs w:val="24"/>
          <w:highlight w:val="none"/>
        </w:rPr>
      </w:pPr>
      <w:r>
        <w:rPr>
          <w:rFonts w:hint="eastAsia" w:ascii="宋体" w:hAnsi="宋体"/>
          <w:b/>
          <w:color w:val="auto"/>
          <w:sz w:val="24"/>
          <w:szCs w:val="24"/>
          <w:highlight w:val="none"/>
        </w:rPr>
        <w:t xml:space="preserve">投标人与其他单位存在控股、管理关系情况表</w:t>
      </w:r>
      <w:r>
        <w:rPr>
          <w:color w:val="auto"/>
          <w:highlight w:val="none"/>
        </w:rPr>
      </w:r>
      <w:r/>
    </w:p>
    <w:p>
      <w:pPr>
        <w:ind w:firstLine="420"/>
        <w:spacing w:line="440" w:lineRule="exact"/>
        <w:widowControl/>
        <w:rPr>
          <w:rFonts w:ascii="宋体" w:hAnsi="宋体"/>
          <w:color w:val="auto"/>
          <w:szCs w:val="20"/>
          <w:highlight w:val="none"/>
        </w:rPr>
      </w:pPr>
      <w:r>
        <w:rPr>
          <w:rFonts w:ascii="宋体" w:hAnsi="宋体"/>
          <w:color w:val="auto"/>
          <w:szCs w:val="20"/>
          <w:highlight w:val="none"/>
        </w:rPr>
      </w:r>
      <w:r>
        <w:rPr>
          <w:color w:val="auto"/>
          <w:highlight w:val="none"/>
        </w:rPr>
      </w:r>
      <w:r/>
    </w:p>
    <w:tbl>
      <w:tblPr>
        <w:tblW w:w="101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956"/>
        <w:gridCol w:w="5238"/>
      </w:tblGrid>
      <w:tr>
        <w:trPr>
          <w:jc w:val="center"/>
          <w:trHeight w:val="637"/>
        </w:trPr>
        <w:tc>
          <w:tcPr>
            <w:tcW w:w="4956" w:type="dxa"/>
            <w:vAlign w:val="center"/>
            <w:textDirection w:val="lrTb"/>
            <w:noWrap w:val="false"/>
          </w:tcPr>
          <w:p>
            <w:pPr>
              <w:jc w:val="center"/>
              <w:spacing w:line="440" w:lineRule="exact"/>
              <w:widowControl/>
              <w:rPr>
                <w:rFonts w:ascii="宋体" w:hAnsi="宋体"/>
                <w:b/>
                <w:color w:val="auto"/>
                <w:sz w:val="24"/>
                <w:szCs w:val="24"/>
                <w:highlight w:val="none"/>
                <w:shd w:val="clear" w:color="auto" w:fill="ffffff"/>
              </w:rPr>
            </w:pPr>
            <w:r>
              <w:rPr>
                <w:rFonts w:hint="eastAsia" w:ascii="宋体" w:hAnsi="宋体"/>
                <w:b/>
                <w:color w:val="auto"/>
                <w:sz w:val="24"/>
                <w:szCs w:val="24"/>
                <w:highlight w:val="none"/>
                <w:shd w:val="clear" w:color="auto" w:fill="ffffff"/>
              </w:rPr>
              <w:t xml:space="preserve">与投标人存在控股、管理关系的单位名称</w:t>
            </w:r>
            <w:r>
              <w:rPr>
                <w:color w:val="auto"/>
                <w:highlight w:val="none"/>
              </w:rPr>
            </w:r>
            <w:r/>
          </w:p>
        </w:tc>
        <w:tc>
          <w:tcPr>
            <w:tcW w:w="5238" w:type="dxa"/>
            <w:vAlign w:val="center"/>
            <w:textDirection w:val="lrTb"/>
            <w:noWrap w:val="false"/>
          </w:tcPr>
          <w:p>
            <w:pPr>
              <w:jc w:val="center"/>
              <w:spacing w:line="440" w:lineRule="exact"/>
              <w:widowControl/>
              <w:rPr>
                <w:rFonts w:ascii="宋体" w:hAnsi="宋体"/>
                <w:b/>
                <w:color w:val="auto"/>
                <w:sz w:val="24"/>
                <w:szCs w:val="24"/>
                <w:highlight w:val="none"/>
                <w:shd w:val="clear" w:color="auto" w:fill="ffffff"/>
              </w:rPr>
            </w:pPr>
            <w:r>
              <w:rPr>
                <w:rFonts w:hint="eastAsia" w:ascii="宋体" w:hAnsi="宋体"/>
                <w:b/>
                <w:color w:val="auto"/>
                <w:sz w:val="24"/>
                <w:szCs w:val="24"/>
                <w:highlight w:val="none"/>
                <w:shd w:val="clear" w:color="auto" w:fill="ffffff"/>
              </w:rPr>
              <w:t xml:space="preserve">控股、管理关系情况说明</w:t>
            </w:r>
            <w:r>
              <w:rPr>
                <w:color w:val="auto"/>
                <w:highlight w:val="none"/>
              </w:rPr>
            </w:r>
            <w:r/>
          </w:p>
        </w:tc>
      </w:tr>
      <w:tr>
        <w:trPr>
          <w:jc w:val="center"/>
          <w:trHeight w:val="850"/>
        </w:trPr>
        <w:tc>
          <w:tcPr>
            <w:tcW w:w="4956" w:type="dxa"/>
            <w:vAlign w:val="center"/>
            <w:textDirection w:val="lrTb"/>
            <w:noWrap w:val="false"/>
          </w:tcPr>
          <w:p>
            <w:pPr>
              <w:jc w:val="center"/>
              <w:spacing w:line="440" w:lineRule="exact"/>
              <w:widowControl/>
              <w:rPr>
                <w:rFonts w:ascii="宋体" w:hAnsi="宋体"/>
                <w:b/>
                <w:color w:val="auto"/>
                <w:szCs w:val="21"/>
                <w:highlight w:val="none"/>
                <w:shd w:val="clear" w:color="auto" w:fill="ffffff"/>
              </w:rPr>
            </w:pPr>
            <w:r>
              <w:rPr>
                <w:rFonts w:ascii="宋体" w:hAnsi="宋体"/>
                <w:b/>
                <w:color w:val="auto"/>
                <w:szCs w:val="21"/>
                <w:highlight w:val="none"/>
                <w:shd w:val="clear" w:color="auto" w:fill="ffffff"/>
              </w:rPr>
            </w:r>
            <w:r>
              <w:rPr>
                <w:color w:val="auto"/>
                <w:highlight w:val="none"/>
              </w:rPr>
            </w:r>
            <w:r/>
          </w:p>
        </w:tc>
        <w:tc>
          <w:tcPr>
            <w:tcW w:w="5238" w:type="dxa"/>
            <w:vAlign w:val="center"/>
            <w:textDirection w:val="lrTb"/>
            <w:noWrap w:val="false"/>
          </w:tcPr>
          <w:p>
            <w:pPr>
              <w:jc w:val="center"/>
              <w:spacing w:line="440" w:lineRule="exact"/>
              <w:widowControl/>
              <w:rPr>
                <w:rFonts w:ascii="宋体" w:hAnsi="宋体"/>
                <w:b/>
                <w:color w:val="auto"/>
                <w:szCs w:val="21"/>
                <w:highlight w:val="none"/>
                <w:shd w:val="clear" w:color="auto" w:fill="ffffff"/>
              </w:rPr>
            </w:pPr>
            <w:r>
              <w:rPr>
                <w:rFonts w:ascii="宋体" w:hAnsi="宋体"/>
                <w:b/>
                <w:color w:val="auto"/>
                <w:szCs w:val="21"/>
                <w:highlight w:val="none"/>
                <w:shd w:val="clear" w:color="auto" w:fill="ffffff"/>
              </w:rPr>
            </w:r>
            <w:r>
              <w:rPr>
                <w:color w:val="auto"/>
                <w:highlight w:val="none"/>
              </w:rPr>
            </w:r>
            <w:r/>
          </w:p>
        </w:tc>
      </w:tr>
      <w:tr>
        <w:trPr>
          <w:jc w:val="center"/>
          <w:trHeight w:val="850"/>
        </w:trPr>
        <w:tc>
          <w:tcPr>
            <w:tcW w:w="4956" w:type="dxa"/>
            <w:vAlign w:val="center"/>
            <w:textDirection w:val="lrTb"/>
            <w:noWrap w:val="false"/>
          </w:tcPr>
          <w:p>
            <w:pPr>
              <w:jc w:val="center"/>
              <w:spacing w:line="440" w:lineRule="exact"/>
              <w:widowControl/>
              <w:rPr>
                <w:rFonts w:ascii="宋体" w:hAnsi="宋体"/>
                <w:b/>
                <w:color w:val="auto"/>
                <w:szCs w:val="21"/>
                <w:highlight w:val="none"/>
                <w:shd w:val="clear" w:color="auto" w:fill="ffffff"/>
              </w:rPr>
            </w:pPr>
            <w:r>
              <w:rPr>
                <w:rFonts w:ascii="宋体" w:hAnsi="宋体"/>
                <w:b/>
                <w:color w:val="auto"/>
                <w:szCs w:val="21"/>
                <w:highlight w:val="none"/>
                <w:shd w:val="clear" w:color="auto" w:fill="ffffff"/>
              </w:rPr>
            </w:r>
            <w:r>
              <w:rPr>
                <w:color w:val="auto"/>
                <w:highlight w:val="none"/>
              </w:rPr>
            </w:r>
            <w:r/>
          </w:p>
        </w:tc>
        <w:tc>
          <w:tcPr>
            <w:tcW w:w="5238" w:type="dxa"/>
            <w:vAlign w:val="center"/>
            <w:textDirection w:val="lrTb"/>
            <w:noWrap w:val="false"/>
          </w:tcPr>
          <w:p>
            <w:pPr>
              <w:jc w:val="center"/>
              <w:spacing w:line="440" w:lineRule="exact"/>
              <w:widowControl/>
              <w:rPr>
                <w:rFonts w:ascii="宋体" w:hAnsi="宋体"/>
                <w:b/>
                <w:color w:val="auto"/>
                <w:szCs w:val="21"/>
                <w:highlight w:val="none"/>
                <w:shd w:val="clear" w:color="auto" w:fill="ffffff"/>
              </w:rPr>
            </w:pPr>
            <w:r>
              <w:rPr>
                <w:rFonts w:ascii="宋体" w:hAnsi="宋体"/>
                <w:b/>
                <w:color w:val="auto"/>
                <w:szCs w:val="21"/>
                <w:highlight w:val="none"/>
                <w:shd w:val="clear" w:color="auto" w:fill="ffffff"/>
              </w:rPr>
            </w:r>
            <w:r>
              <w:rPr>
                <w:color w:val="auto"/>
                <w:highlight w:val="none"/>
              </w:rPr>
            </w:r>
            <w:r/>
          </w:p>
        </w:tc>
      </w:tr>
      <w:tr>
        <w:trPr>
          <w:jc w:val="center"/>
          <w:trHeight w:val="850"/>
        </w:trPr>
        <w:tc>
          <w:tcPr>
            <w:tcW w:w="4956" w:type="dxa"/>
            <w:vAlign w:val="center"/>
            <w:textDirection w:val="lrTb"/>
            <w:noWrap w:val="false"/>
          </w:tcPr>
          <w:p>
            <w:pPr>
              <w:jc w:val="center"/>
              <w:spacing w:line="440" w:lineRule="exact"/>
              <w:widowControl/>
              <w:rPr>
                <w:rFonts w:ascii="宋体" w:hAnsi="宋体"/>
                <w:b/>
                <w:color w:val="auto"/>
                <w:szCs w:val="21"/>
                <w:highlight w:val="none"/>
                <w:shd w:val="clear" w:color="auto" w:fill="ffffff"/>
              </w:rPr>
            </w:pPr>
            <w:r>
              <w:rPr>
                <w:rFonts w:ascii="宋体" w:hAnsi="宋体"/>
                <w:b/>
                <w:color w:val="auto"/>
                <w:szCs w:val="21"/>
                <w:highlight w:val="none"/>
                <w:shd w:val="clear" w:color="auto" w:fill="ffffff"/>
              </w:rPr>
            </w:r>
            <w:r>
              <w:rPr>
                <w:color w:val="auto"/>
                <w:highlight w:val="none"/>
              </w:rPr>
            </w:r>
            <w:r/>
          </w:p>
        </w:tc>
        <w:tc>
          <w:tcPr>
            <w:tcW w:w="5238" w:type="dxa"/>
            <w:vAlign w:val="center"/>
            <w:textDirection w:val="lrTb"/>
            <w:noWrap w:val="false"/>
          </w:tcPr>
          <w:p>
            <w:pPr>
              <w:jc w:val="center"/>
              <w:spacing w:line="440" w:lineRule="exact"/>
              <w:widowControl/>
              <w:rPr>
                <w:rFonts w:ascii="宋体" w:hAnsi="宋体"/>
                <w:b/>
                <w:color w:val="auto"/>
                <w:szCs w:val="21"/>
                <w:highlight w:val="none"/>
                <w:shd w:val="clear" w:color="auto" w:fill="ffffff"/>
              </w:rPr>
            </w:pPr>
            <w:r>
              <w:rPr>
                <w:rFonts w:ascii="宋体" w:hAnsi="宋体"/>
                <w:b/>
                <w:color w:val="auto"/>
                <w:szCs w:val="21"/>
                <w:highlight w:val="none"/>
                <w:shd w:val="clear" w:color="auto" w:fill="ffffff"/>
              </w:rPr>
            </w:r>
            <w:r>
              <w:rPr>
                <w:color w:val="auto"/>
                <w:highlight w:val="none"/>
              </w:rPr>
            </w:r>
            <w:r/>
          </w:p>
        </w:tc>
      </w:tr>
      <w:tr>
        <w:trPr>
          <w:jc w:val="center"/>
          <w:trHeight w:val="850"/>
        </w:trPr>
        <w:tc>
          <w:tcPr>
            <w:tcW w:w="4956" w:type="dxa"/>
            <w:vAlign w:val="center"/>
            <w:textDirection w:val="lrTb"/>
            <w:noWrap w:val="false"/>
          </w:tcPr>
          <w:p>
            <w:pPr>
              <w:jc w:val="center"/>
              <w:spacing w:line="440" w:lineRule="exact"/>
              <w:widowControl/>
              <w:rPr>
                <w:rFonts w:ascii="宋体" w:hAnsi="宋体"/>
                <w:b/>
                <w:color w:val="auto"/>
                <w:szCs w:val="21"/>
                <w:highlight w:val="none"/>
                <w:shd w:val="clear" w:color="auto" w:fill="ffffff"/>
              </w:rPr>
            </w:pPr>
            <w:r>
              <w:rPr>
                <w:rFonts w:ascii="宋体" w:hAnsi="宋体"/>
                <w:b/>
                <w:color w:val="auto"/>
                <w:szCs w:val="21"/>
                <w:highlight w:val="none"/>
                <w:shd w:val="clear" w:color="auto" w:fill="ffffff"/>
              </w:rPr>
            </w:r>
            <w:r>
              <w:rPr>
                <w:color w:val="auto"/>
                <w:highlight w:val="none"/>
              </w:rPr>
            </w:r>
            <w:r/>
          </w:p>
        </w:tc>
        <w:tc>
          <w:tcPr>
            <w:tcW w:w="5238" w:type="dxa"/>
            <w:vAlign w:val="center"/>
            <w:textDirection w:val="lrTb"/>
            <w:noWrap w:val="false"/>
          </w:tcPr>
          <w:p>
            <w:pPr>
              <w:jc w:val="center"/>
              <w:spacing w:line="440" w:lineRule="exact"/>
              <w:widowControl/>
              <w:rPr>
                <w:rFonts w:ascii="宋体" w:hAnsi="宋体"/>
                <w:b/>
                <w:color w:val="auto"/>
                <w:szCs w:val="21"/>
                <w:highlight w:val="none"/>
                <w:shd w:val="clear" w:color="auto" w:fill="ffffff"/>
              </w:rPr>
            </w:pPr>
            <w:r>
              <w:rPr>
                <w:rFonts w:ascii="宋体" w:hAnsi="宋体"/>
                <w:b/>
                <w:color w:val="auto"/>
                <w:szCs w:val="21"/>
                <w:highlight w:val="none"/>
                <w:shd w:val="clear" w:color="auto" w:fill="ffffff"/>
              </w:rPr>
            </w:r>
            <w:r>
              <w:rPr>
                <w:color w:val="auto"/>
                <w:highlight w:val="none"/>
              </w:rPr>
            </w:r>
            <w:r/>
          </w:p>
        </w:tc>
      </w:tr>
      <w:tr>
        <w:trPr>
          <w:jc w:val="center"/>
          <w:trHeight w:val="850"/>
        </w:trPr>
        <w:tc>
          <w:tcPr>
            <w:tcW w:w="4956" w:type="dxa"/>
            <w:vAlign w:val="center"/>
            <w:textDirection w:val="lrTb"/>
            <w:noWrap w:val="false"/>
          </w:tcPr>
          <w:p>
            <w:pPr>
              <w:jc w:val="center"/>
              <w:spacing w:line="440" w:lineRule="exact"/>
              <w:widowControl/>
              <w:rPr>
                <w:rFonts w:ascii="宋体" w:hAnsi="宋体"/>
                <w:b/>
                <w:color w:val="auto"/>
                <w:szCs w:val="21"/>
                <w:highlight w:val="none"/>
                <w:shd w:val="clear" w:color="auto" w:fill="ffffff"/>
              </w:rPr>
            </w:pPr>
            <w:r>
              <w:rPr>
                <w:rFonts w:ascii="宋体" w:hAnsi="宋体"/>
                <w:b/>
                <w:color w:val="auto"/>
                <w:szCs w:val="21"/>
                <w:highlight w:val="none"/>
                <w:shd w:val="clear" w:color="auto" w:fill="ffffff"/>
              </w:rPr>
            </w:r>
            <w:r>
              <w:rPr>
                <w:color w:val="auto"/>
                <w:highlight w:val="none"/>
              </w:rPr>
            </w:r>
            <w:r/>
          </w:p>
        </w:tc>
        <w:tc>
          <w:tcPr>
            <w:tcW w:w="5238" w:type="dxa"/>
            <w:vAlign w:val="center"/>
            <w:textDirection w:val="lrTb"/>
            <w:noWrap w:val="false"/>
          </w:tcPr>
          <w:p>
            <w:pPr>
              <w:jc w:val="center"/>
              <w:spacing w:line="440" w:lineRule="exact"/>
              <w:widowControl/>
              <w:rPr>
                <w:rFonts w:ascii="宋体" w:hAnsi="宋体"/>
                <w:b/>
                <w:color w:val="auto"/>
                <w:szCs w:val="21"/>
                <w:highlight w:val="none"/>
                <w:shd w:val="clear" w:color="auto" w:fill="ffffff"/>
              </w:rPr>
            </w:pPr>
            <w:r>
              <w:rPr>
                <w:rFonts w:ascii="宋体" w:hAnsi="宋体"/>
                <w:b/>
                <w:color w:val="auto"/>
                <w:szCs w:val="21"/>
                <w:highlight w:val="none"/>
                <w:shd w:val="clear" w:color="auto" w:fill="ffffff"/>
              </w:rPr>
            </w:r>
            <w:r>
              <w:rPr>
                <w:color w:val="auto"/>
                <w:highlight w:val="none"/>
              </w:rPr>
            </w:r>
            <w:r/>
          </w:p>
        </w:tc>
      </w:tr>
      <w:tr>
        <w:trPr>
          <w:jc w:val="center"/>
          <w:trHeight w:val="850"/>
        </w:trPr>
        <w:tc>
          <w:tcPr>
            <w:tcW w:w="4956" w:type="dxa"/>
            <w:vAlign w:val="center"/>
            <w:textDirection w:val="lrTb"/>
            <w:noWrap w:val="false"/>
          </w:tcPr>
          <w:p>
            <w:pPr>
              <w:jc w:val="center"/>
              <w:spacing w:line="440" w:lineRule="exact"/>
              <w:widowControl/>
              <w:rPr>
                <w:rFonts w:ascii="宋体" w:hAnsi="宋体"/>
                <w:b/>
                <w:color w:val="auto"/>
                <w:szCs w:val="21"/>
                <w:highlight w:val="none"/>
                <w:shd w:val="clear" w:color="auto" w:fill="ffffff"/>
              </w:rPr>
            </w:pPr>
            <w:r>
              <w:rPr>
                <w:rFonts w:ascii="宋体" w:hAnsi="宋体"/>
                <w:b/>
                <w:color w:val="auto"/>
                <w:szCs w:val="21"/>
                <w:highlight w:val="none"/>
                <w:shd w:val="clear" w:color="auto" w:fill="ffffff"/>
              </w:rPr>
            </w:r>
            <w:r>
              <w:rPr>
                <w:color w:val="auto"/>
                <w:highlight w:val="none"/>
              </w:rPr>
            </w:r>
            <w:r/>
          </w:p>
        </w:tc>
        <w:tc>
          <w:tcPr>
            <w:tcW w:w="5238" w:type="dxa"/>
            <w:vAlign w:val="center"/>
            <w:textDirection w:val="lrTb"/>
            <w:noWrap w:val="false"/>
          </w:tcPr>
          <w:p>
            <w:pPr>
              <w:jc w:val="center"/>
              <w:spacing w:line="440" w:lineRule="exact"/>
              <w:widowControl/>
              <w:rPr>
                <w:rFonts w:ascii="宋体" w:hAnsi="宋体"/>
                <w:b/>
                <w:color w:val="auto"/>
                <w:szCs w:val="21"/>
                <w:highlight w:val="none"/>
                <w:shd w:val="clear" w:color="auto" w:fill="ffffff"/>
              </w:rPr>
            </w:pPr>
            <w:r>
              <w:rPr>
                <w:rFonts w:ascii="宋体" w:hAnsi="宋体"/>
                <w:b/>
                <w:color w:val="auto"/>
                <w:szCs w:val="21"/>
                <w:highlight w:val="none"/>
                <w:shd w:val="clear" w:color="auto" w:fill="ffffff"/>
              </w:rPr>
            </w:r>
            <w:r>
              <w:rPr>
                <w:color w:val="auto"/>
                <w:highlight w:val="none"/>
              </w:rPr>
            </w:r>
            <w:r/>
          </w:p>
        </w:tc>
      </w:tr>
    </w:tbl>
    <w:p>
      <w:pPr>
        <w:ind w:firstLine="679"/>
        <w:spacing w:line="440" w:lineRule="exact"/>
        <w:widowControl/>
        <w:rPr>
          <w:rFonts w:ascii="宋体" w:hAnsi="宋体"/>
          <w:b/>
          <w:color w:val="auto"/>
          <w:sz w:val="24"/>
          <w:szCs w:val="24"/>
          <w:highlight w:val="none"/>
          <w:shd w:val="clear" w:color="auto" w:fill="ffffff"/>
        </w:rPr>
      </w:pPr>
      <w:r>
        <w:rPr>
          <w:rFonts w:hint="eastAsia" w:ascii="宋体" w:hAnsi="宋体"/>
          <w:b/>
          <w:color w:val="auto"/>
          <w:sz w:val="24"/>
          <w:szCs w:val="24"/>
          <w:highlight w:val="none"/>
          <w:shd w:val="clear" w:color="auto" w:fill="ffffff"/>
        </w:rPr>
        <w:t xml:space="preserve">注：投标人须如实填写所有与之有控股、管理关系的情况。</w:t>
      </w:r>
      <w:r>
        <w:rPr>
          <w:color w:val="auto"/>
          <w:highlight w:val="none"/>
        </w:rPr>
      </w:r>
      <w:r/>
    </w:p>
    <w:p>
      <w:pPr>
        <w:spacing w:line="440" w:lineRule="exact"/>
        <w:rPr>
          <w:rFonts w:ascii="宋体" w:hAnsi="宋体"/>
          <w:color w:val="auto"/>
          <w:highlight w:val="none"/>
        </w:rPr>
      </w:pPr>
      <w:r>
        <w:rPr>
          <w:rFonts w:ascii="宋体" w:hAnsi="宋体"/>
          <w:color w:val="auto"/>
          <w:highlight w:val="none"/>
        </w:rPr>
      </w:r>
      <w:r>
        <w:rPr>
          <w:color w:val="auto"/>
          <w:highlight w:val="none"/>
        </w:rPr>
      </w:r>
      <w:r/>
    </w:p>
    <w:p>
      <w:pPr>
        <w:ind w:firstLine="420"/>
        <w:spacing w:line="440" w:lineRule="exact"/>
        <w:widowControl/>
        <w:rPr>
          <w:rFonts w:ascii="宋体" w:hAnsi="宋体"/>
          <w:color w:val="auto"/>
          <w:szCs w:val="20"/>
          <w:highlight w:val="none"/>
        </w:rPr>
      </w:pPr>
      <w:r>
        <w:rPr>
          <w:rFonts w:ascii="宋体" w:hAnsi="宋体"/>
          <w:color w:val="auto"/>
          <w:szCs w:val="20"/>
          <w:highlight w:val="none"/>
        </w:rPr>
      </w:r>
      <w:r>
        <w:rPr>
          <w:color w:val="auto"/>
          <w:highlight w:val="none"/>
        </w:rPr>
      </w:r>
      <w:r/>
    </w:p>
    <w:p>
      <w:pPr>
        <w:spacing w:line="440" w:lineRule="exact"/>
        <w:rPr>
          <w:rFonts w:ascii="宋体" w:hAnsi="宋体"/>
          <w:color w:val="auto"/>
          <w:highlight w:val="none"/>
        </w:rPr>
      </w:pPr>
      <w:r>
        <w:rPr>
          <w:rFonts w:ascii="宋体" w:hAnsi="宋体"/>
          <w:color w:val="auto"/>
          <w:highlight w:val="none"/>
        </w:rPr>
      </w:r>
      <w:r>
        <w:rPr>
          <w:color w:val="auto"/>
          <w:highlight w:val="none"/>
        </w:rPr>
      </w:r>
      <w:r/>
    </w:p>
    <w:p>
      <w:pPr>
        <w:ind w:firstLine="480"/>
        <w:spacing w:line="440" w:lineRule="exact"/>
        <w:rPr>
          <w:rFonts w:ascii="宋体" w:hAnsi="宋体" w:cs="宋体"/>
          <w:color w:val="auto"/>
          <w:sz w:val="24"/>
          <w:szCs w:val="20"/>
          <w:highlight w:val="none"/>
        </w:rPr>
      </w:pPr>
      <w:r>
        <w:rPr>
          <w:rFonts w:ascii="宋体" w:hAnsi="宋体" w:cs="宋体"/>
          <w:color w:val="auto"/>
          <w:sz w:val="24"/>
          <w:szCs w:val="20"/>
          <w:highlight w:val="none"/>
        </w:rPr>
        <w:t xml:space="preserve">投标人：（盖章）</w:t>
      </w:r>
      <w:r>
        <w:rPr>
          <w:color w:val="auto"/>
          <w:highlight w:val="none"/>
        </w:rPr>
      </w:r>
      <w:r/>
    </w:p>
    <w:p>
      <w:pPr>
        <w:ind w:firstLine="480"/>
        <w:spacing w:line="440" w:lineRule="exact"/>
        <w:rPr>
          <w:rFonts w:ascii="宋体" w:hAnsi="宋体" w:cs="宋体"/>
          <w:color w:val="auto"/>
          <w:sz w:val="24"/>
          <w:szCs w:val="20"/>
          <w:highlight w:val="none"/>
        </w:rPr>
      </w:pPr>
      <w:r>
        <w:rPr>
          <w:rFonts w:ascii="宋体" w:hAnsi="宋体" w:cs="宋体"/>
          <w:color w:val="auto"/>
          <w:sz w:val="24"/>
          <w:szCs w:val="20"/>
          <w:highlight w:val="none"/>
        </w:rPr>
        <w:t xml:space="preserve">法定代表人或代理人：（签字或盖章）</w:t>
      </w:r>
      <w:r>
        <w:rPr>
          <w:color w:val="auto"/>
          <w:highlight w:val="none"/>
        </w:rPr>
      </w:r>
      <w:r/>
    </w:p>
    <w:p>
      <w:pPr>
        <w:ind w:firstLine="480"/>
        <w:spacing w:line="440" w:lineRule="exact"/>
        <w:rPr>
          <w:rFonts w:ascii="宋体" w:hAnsi="宋体" w:cs="宋体"/>
          <w:color w:val="auto"/>
          <w:sz w:val="24"/>
          <w:szCs w:val="20"/>
          <w:highlight w:val="none"/>
        </w:rPr>
      </w:pPr>
      <w:r>
        <w:rPr>
          <w:rFonts w:ascii="宋体" w:hAnsi="宋体" w:cs="宋体"/>
          <w:color w:val="auto"/>
          <w:sz w:val="24"/>
          <w:szCs w:val="20"/>
          <w:highlight w:val="none"/>
        </w:rPr>
        <w:t xml:space="preserve">日期：    年    月    日</w:t>
      </w:r>
      <w:r>
        <w:rPr>
          <w:color w:val="auto"/>
          <w:highlight w:val="none"/>
        </w:rPr>
      </w:r>
      <w:r/>
    </w:p>
    <w:p>
      <w:pPr>
        <w:ind w:firstLine="420"/>
        <w:spacing w:line="440" w:lineRule="exact"/>
        <w:widowControl/>
        <w:rPr>
          <w:rFonts w:ascii="宋体" w:hAnsi="宋体"/>
          <w:color w:val="auto"/>
          <w:szCs w:val="20"/>
          <w:highlight w:val="none"/>
        </w:rPr>
      </w:pPr>
      <w:r>
        <w:rPr>
          <w:rFonts w:ascii="宋体" w:hAnsi="宋体"/>
          <w:color w:val="auto"/>
          <w:szCs w:val="20"/>
          <w:highlight w:val="none"/>
        </w:rPr>
      </w:r>
      <w:r>
        <w:rPr>
          <w:color w:val="auto"/>
          <w:highlight w:val="none"/>
        </w:rPr>
      </w:r>
      <w:r/>
    </w:p>
    <w:p>
      <w:pPr>
        <w:spacing w:after="120" w:line="440" w:lineRule="exact"/>
        <w:rPr>
          <w:rFonts w:ascii="宋体" w:hAnsi="宋体"/>
          <w:b/>
          <w:bCs/>
          <w:color w:val="auto"/>
          <w:sz w:val="24"/>
          <w:szCs w:val="24"/>
          <w:highlight w:val="none"/>
        </w:rPr>
      </w:pPr>
      <w:r>
        <w:rPr>
          <w:rFonts w:ascii="宋体" w:hAnsi="宋体"/>
          <w:b/>
          <w:bCs/>
          <w:color w:val="auto"/>
          <w:szCs w:val="24"/>
          <w:highlight w:val="none"/>
        </w:rPr>
        <w:br w:type="page" w:clear="all"/>
      </w:r>
      <w:r>
        <w:rPr>
          <w:rFonts w:hint="eastAsia" w:ascii="宋体" w:hAnsi="宋体"/>
          <w:b/>
          <w:color w:val="auto"/>
          <w:sz w:val="24"/>
          <w:szCs w:val="24"/>
          <w:highlight w:val="none"/>
        </w:rPr>
        <w:t xml:space="preserve">格式</w:t>
      </w:r>
      <w:r>
        <w:rPr>
          <w:rFonts w:hint="eastAsia" w:ascii="宋体" w:hAnsi="宋体"/>
          <w:b/>
          <w:bCs/>
          <w:color w:val="auto"/>
          <w:sz w:val="24"/>
          <w:szCs w:val="24"/>
          <w:highlight w:val="none"/>
        </w:rPr>
        <w:t xml:space="preserve">17、开票信息</w:t>
      </w:r>
      <w:r>
        <w:rPr>
          <w:color w:val="auto"/>
          <w:highlight w:val="none"/>
        </w:rPr>
      </w:r>
      <w:r/>
    </w:p>
    <w:p>
      <w:pPr>
        <w:ind w:left="420"/>
        <w:spacing w:after="120" w:line="440" w:lineRule="exact"/>
        <w:rPr>
          <w:rFonts w:ascii="宋体" w:hAnsi="宋体"/>
          <w:b/>
          <w:bCs/>
          <w:color w:val="auto"/>
          <w:sz w:val="24"/>
          <w:szCs w:val="24"/>
          <w:highlight w:val="none"/>
        </w:rPr>
      </w:pPr>
      <w:r>
        <w:rPr>
          <w:rFonts w:ascii="宋体" w:hAnsi="宋体"/>
          <w:b/>
          <w:bCs/>
          <w:color w:val="auto"/>
          <w:sz w:val="24"/>
          <w:szCs w:val="24"/>
          <w:highlight w:val="none"/>
        </w:rPr>
      </w:r>
      <w:r>
        <w:rPr>
          <w:color w:val="auto"/>
          <w:highlight w:val="none"/>
        </w:rPr>
      </w:r>
      <w:r/>
    </w:p>
    <w:p>
      <w:pPr>
        <w:jc w:val="center"/>
        <w:spacing w:line="44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开票信息</w:t>
      </w:r>
      <w:r>
        <w:rPr>
          <w:color w:val="auto"/>
          <w:highlight w:val="none"/>
        </w:rPr>
      </w:r>
      <w:r/>
    </w:p>
    <w:tbl>
      <w:tblPr>
        <w:tblW w:w="62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288"/>
        <w:gridCol w:w="3990"/>
      </w:tblGrid>
      <w:tr>
        <w:trPr>
          <w:jc w:val="center"/>
        </w:trPr>
        <w:tc>
          <w:tcPr>
            <w:tcW w:w="2288" w:type="dxa"/>
            <w:textDirection w:val="lrTb"/>
            <w:noWrap w:val="false"/>
          </w:tcPr>
          <w:p>
            <w:pP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供应商名称</w:t>
            </w:r>
            <w:r>
              <w:rPr>
                <w:color w:val="auto"/>
                <w:highlight w:val="none"/>
              </w:rPr>
            </w:r>
            <w:r/>
          </w:p>
        </w:tc>
        <w:tc>
          <w:tcPr>
            <w:tcW w:w="3990" w:type="dxa"/>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r>
      <w:tr>
        <w:trPr>
          <w:jc w:val="center"/>
        </w:trPr>
        <w:tc>
          <w:tcPr>
            <w:tcW w:w="2288" w:type="dxa"/>
            <w:textDirection w:val="lrTb"/>
            <w:noWrap w:val="false"/>
          </w:tcPr>
          <w:p>
            <w:pP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地址</w:t>
            </w:r>
            <w:r>
              <w:rPr>
                <w:color w:val="auto"/>
                <w:highlight w:val="none"/>
              </w:rPr>
            </w:r>
            <w:r/>
          </w:p>
        </w:tc>
        <w:tc>
          <w:tcPr>
            <w:tcW w:w="3990" w:type="dxa"/>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r>
      <w:tr>
        <w:trPr>
          <w:jc w:val="center"/>
        </w:trPr>
        <w:tc>
          <w:tcPr>
            <w:tcW w:w="2288" w:type="dxa"/>
            <w:textDirection w:val="lrTb"/>
            <w:noWrap w:val="false"/>
          </w:tcPr>
          <w:p>
            <w:pP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电话</w:t>
            </w:r>
            <w:r>
              <w:rPr>
                <w:color w:val="auto"/>
                <w:highlight w:val="none"/>
              </w:rPr>
            </w:r>
            <w:r/>
          </w:p>
        </w:tc>
        <w:tc>
          <w:tcPr>
            <w:tcW w:w="3990" w:type="dxa"/>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r>
      <w:tr>
        <w:trPr>
          <w:jc w:val="center"/>
        </w:trPr>
        <w:tc>
          <w:tcPr>
            <w:tcW w:w="2288" w:type="dxa"/>
            <w:textDirection w:val="lrTb"/>
            <w:noWrap w:val="false"/>
          </w:tcPr>
          <w:p>
            <w:pP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税号</w:t>
            </w:r>
            <w:r>
              <w:rPr>
                <w:color w:val="auto"/>
                <w:highlight w:val="none"/>
              </w:rPr>
            </w:r>
            <w:r/>
          </w:p>
        </w:tc>
        <w:tc>
          <w:tcPr>
            <w:tcW w:w="3990" w:type="dxa"/>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r>
      <w:tr>
        <w:trPr>
          <w:jc w:val="center"/>
        </w:trPr>
        <w:tc>
          <w:tcPr>
            <w:tcW w:w="2288" w:type="dxa"/>
            <w:textDirection w:val="lrTb"/>
            <w:noWrap w:val="false"/>
          </w:tcPr>
          <w:p>
            <w:pP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开户行</w:t>
            </w:r>
            <w:r>
              <w:rPr>
                <w:color w:val="auto"/>
                <w:highlight w:val="none"/>
              </w:rPr>
            </w:r>
            <w:r/>
          </w:p>
        </w:tc>
        <w:tc>
          <w:tcPr>
            <w:tcW w:w="3990" w:type="dxa"/>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r>
      <w:tr>
        <w:trPr>
          <w:jc w:val="center"/>
        </w:trPr>
        <w:tc>
          <w:tcPr>
            <w:tcW w:w="2288" w:type="dxa"/>
            <w:textDirection w:val="lrTb"/>
            <w:noWrap w:val="false"/>
          </w:tcPr>
          <w:p>
            <w:pP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银行账号</w:t>
            </w:r>
            <w:r>
              <w:rPr>
                <w:color w:val="auto"/>
                <w:highlight w:val="none"/>
              </w:rPr>
            </w:r>
            <w:r/>
          </w:p>
        </w:tc>
        <w:tc>
          <w:tcPr>
            <w:tcW w:w="3990" w:type="dxa"/>
            <w:textDirection w:val="lrTb"/>
            <w:noWrap w:val="false"/>
          </w:tcPr>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r>
    </w:tbl>
    <w:p>
      <w:pPr>
        <w:ind w:firstLine="480"/>
        <w:spacing w:line="44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注：（1）供应商中标（成交）后应依照采购文件的规定缴纳采购代理服务费，代理机构依法开具相应发票。</w:t>
      </w:r>
      <w:r>
        <w:rPr>
          <w:color w:val="auto"/>
          <w:highlight w:val="none"/>
        </w:rPr>
      </w:r>
      <w:r/>
    </w:p>
    <w:p>
      <w:pPr>
        <w:ind w:firstLine="480"/>
        <w:spacing w:line="440" w:lineRule="exact"/>
        <w:rPr>
          <w:rFonts w:ascii="宋体" w:hAnsi="宋体" w:cs="宋体"/>
          <w:color w:val="auto"/>
          <w:sz w:val="24"/>
          <w:szCs w:val="24"/>
          <w:highlight w:val="none"/>
        </w:rPr>
      </w:pP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如供应商为增值税一般纳税人的，须按上表要求提供开票信息，并制作在投标（响应）文件中。中标（成交）后，代理机构将按所提供的开票信息就代理服务费开具增值税专用发票，否则，将直接开具增值税普通发票。</w:t>
      </w:r>
      <w:r>
        <w:rPr>
          <w:color w:val="auto"/>
          <w:highlight w:val="none"/>
        </w:rPr>
      </w:r>
      <w:r/>
    </w:p>
    <w:p>
      <w:pPr>
        <w:ind w:firstLine="480"/>
        <w:spacing w:line="440" w:lineRule="exact"/>
        <w:rPr>
          <w:rFonts w:ascii="宋体" w:hAnsi="宋体" w:cs="宋体"/>
          <w:color w:val="auto"/>
          <w:sz w:val="24"/>
          <w:szCs w:val="24"/>
          <w:highlight w:val="none"/>
        </w:rPr>
      </w:pP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采购代理机构仅对开票信息内容填写完整的中标（成交）供应商开具增值税专用发票。供应商须对所提供材料信息的真实性、准确性和完整性负责，因材料信息内容的差错缺漏等而导致的后果，由供应商自行承担。</w:t>
      </w:r>
      <w:r>
        <w:rPr>
          <w:color w:val="auto"/>
          <w:highlight w:val="none"/>
        </w:rPr>
      </w:r>
      <w:r/>
    </w:p>
    <w:p>
      <w:pPr>
        <w:ind w:firstLine="480"/>
        <w:spacing w:line="440" w:lineRule="exact"/>
        <w:rPr>
          <w:rFonts w:ascii="宋体" w:hAnsi="宋体" w:cs="宋体"/>
          <w:color w:val="auto"/>
          <w:sz w:val="24"/>
          <w:szCs w:val="24"/>
          <w:highlight w:val="none"/>
        </w:rPr>
      </w:pP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中标（成交）供应</w:t>
      </w:r>
      <w:r>
        <w:rPr>
          <w:rFonts w:hint="eastAsia" w:ascii="宋体" w:hAnsi="宋体" w:cs="宋体"/>
          <w:color w:val="auto"/>
          <w:sz w:val="24"/>
          <w:szCs w:val="24"/>
          <w:highlight w:val="none"/>
        </w:rPr>
        <w:t xml:space="preserve">商凭已</w:t>
      </w:r>
      <w:r>
        <w:rPr>
          <w:rFonts w:hint="eastAsia" w:ascii="宋体" w:hAnsi="宋体" w:cs="宋体"/>
          <w:color w:val="auto"/>
          <w:sz w:val="24"/>
          <w:szCs w:val="24"/>
          <w:highlight w:val="none"/>
        </w:rPr>
        <w:t xml:space="preserve">缴纳代理服务费的银行回单至代理机构领取合同。</w:t>
      </w:r>
      <w:r>
        <w:rPr>
          <w:color w:val="auto"/>
          <w:highlight w:val="none"/>
        </w:rPr>
      </w:r>
      <w:r/>
    </w:p>
    <w:p>
      <w:pPr>
        <w:spacing w:line="360" w:lineRule="auto"/>
        <w:rPr>
          <w:rFonts w:ascii="宋体" w:hAnsi="宋体" w:cs="宋体"/>
          <w:b/>
          <w:bCs/>
          <w:color w:val="auto"/>
          <w:sz w:val="24"/>
          <w:szCs w:val="24"/>
          <w:highlight w:val="none"/>
        </w:rPr>
      </w:pPr>
      <w:r>
        <w:rPr>
          <w:rFonts w:ascii="宋体" w:hAnsi="宋体" w:cs="宋体"/>
          <w:b/>
          <w:bCs/>
          <w:color w:val="auto"/>
          <w:sz w:val="24"/>
          <w:szCs w:val="24"/>
          <w:highlight w:val="none"/>
        </w:rPr>
      </w:r>
      <w:r>
        <w:rPr>
          <w:color w:val="auto"/>
          <w:highlight w:val="none"/>
        </w:rPr>
      </w:r>
      <w:r/>
    </w:p>
    <w:p>
      <w:pPr>
        <w:rPr>
          <w:rFonts w:ascii="宋体" w:hAnsi="宋体"/>
          <w:b/>
          <w:color w:val="auto"/>
          <w:szCs w:val="21"/>
          <w:highlight w:val="none"/>
        </w:rPr>
      </w:pPr>
      <w:r>
        <w:rPr>
          <w:rFonts w:hint="eastAsia" w:ascii="宋体" w:hAnsi="宋体"/>
          <w:b/>
          <w:color w:val="auto"/>
          <w:szCs w:val="21"/>
          <w:highlight w:val="none"/>
        </w:rPr>
        <w:br w:type="page" w:clear="all"/>
      </w:r>
      <w:r>
        <w:rPr>
          <w:color w:val="auto"/>
          <w:highlight w:val="none"/>
        </w:rPr>
      </w:r>
      <w:r/>
    </w:p>
    <w:p>
      <w:pPr>
        <w:jc w:val="left"/>
        <w:rPr>
          <w:rFonts w:ascii="宋体" w:hAnsi="宋体"/>
          <w:b/>
          <w:color w:val="auto"/>
          <w:szCs w:val="21"/>
          <w:highlight w:val="none"/>
        </w:rPr>
        <w:outlineLvl w:val="0"/>
      </w:pPr>
      <w:r>
        <w:rPr>
          <w:rFonts w:hint="eastAsia" w:ascii="宋体" w:hAnsi="宋体"/>
          <w:b/>
          <w:color w:val="auto"/>
          <w:szCs w:val="21"/>
          <w:highlight w:val="none"/>
        </w:rPr>
        <w:t xml:space="preserve">格式18、关于符合本国产品标准的声明函</w:t>
      </w:r>
      <w:r>
        <w:rPr>
          <w:color w:val="auto"/>
          <w:highlight w:val="none"/>
        </w:rPr>
      </w:r>
      <w:r/>
    </w:p>
    <w:p>
      <w:pPr>
        <w:jc w:val="center"/>
        <w:spacing w:before="100" w:beforeAutospacing="1" w:after="100" w:afterAutospacing="1" w:line="480" w:lineRule="auto"/>
        <w:rPr>
          <w:rFonts w:ascii="宋体" w:hAnsi="宋体"/>
          <w:b/>
          <w:color w:val="auto"/>
          <w:szCs w:val="21"/>
          <w:highlight w:val="none"/>
        </w:rPr>
      </w:pPr>
      <w:r>
        <w:rPr>
          <w:rFonts w:hint="eastAsia" w:ascii="宋体" w:hAnsi="宋体"/>
          <w:b/>
          <w:color w:val="auto"/>
          <w:szCs w:val="21"/>
          <w:highlight w:val="none"/>
        </w:rPr>
        <w:t xml:space="preserve">关于符合本国产品标准的声明函</w:t>
      </w:r>
      <w:r>
        <w:rPr>
          <w:color w:val="auto"/>
          <w:highlight w:val="none"/>
        </w:rPr>
      </w:r>
      <w:r/>
    </w:p>
    <w:p>
      <w:pPr>
        <w:pStyle w:val="806"/>
        <w:ind w:firstLine="480"/>
        <w:spacing w:before="30" w:after="30"/>
        <w:shd w:val="clear" w:color="auto" w:fill="ffffff"/>
        <w:rPr>
          <w:color w:val="auto"/>
          <w:highlight w:val="none"/>
        </w:rPr>
      </w:pPr>
      <w:r>
        <w:rPr>
          <w:rFonts w:hint="eastAsia"/>
          <w:color w:val="auto"/>
          <w:highlight w:val="none"/>
        </w:rPr>
        <w:t xml:space="preserve">本公司（单位）郑重声明，根据《国务院办公厅关于在政府采购中实施本国产品标准及相关政策的通知》（国办发〔</w:t>
      </w:r>
      <w:r>
        <w:rPr>
          <w:rFonts w:hint="eastAsia"/>
          <w:color w:val="auto"/>
          <w:highlight w:val="none"/>
        </w:rPr>
        <w:t xml:space="preserve">2025</w:t>
      </w:r>
      <w:r>
        <w:rPr>
          <w:rFonts w:hint="eastAsia"/>
          <w:color w:val="auto"/>
          <w:highlight w:val="none"/>
        </w:rPr>
        <w:t xml:space="preserve">〕</w:t>
      </w:r>
      <w:r>
        <w:rPr>
          <w:rFonts w:hint="eastAsia"/>
          <w:color w:val="auto"/>
          <w:highlight w:val="none"/>
        </w:rPr>
        <w:t xml:space="preserve">34</w:t>
      </w:r>
      <w:r>
        <w:rPr>
          <w:rFonts w:hint="eastAsia"/>
          <w:color w:val="auto"/>
          <w:highlight w:val="none"/>
        </w:rPr>
        <w:t xml:space="preserve">号）的规定，本公司（单位）提供的以下产品属于本国产品。具体情况如下：</w:t>
      </w:r>
      <w:r>
        <w:rPr>
          <w:color w:val="auto"/>
          <w:highlight w:val="none"/>
        </w:rPr>
      </w:r>
      <w:r/>
    </w:p>
    <w:p>
      <w:pPr>
        <w:pStyle w:val="806"/>
        <w:ind w:firstLine="480"/>
        <w:spacing w:before="0" w:after="0"/>
        <w:shd w:val="clear" w:color="auto" w:fill="ffffff"/>
        <w:rPr>
          <w:color w:val="auto"/>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-35559</wp:posOffset>
                </wp:positionH>
                <wp:positionV relativeFrom="paragraph">
                  <wp:posOffset>490855</wp:posOffset>
                </wp:positionV>
                <wp:extent cx="849630" cy="120015"/>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1" o:spid="_x0000_s1" style="position:absolute;z-index:251664384;o:allowoverlap:true;o:allowincell:true;mso-position-horizontal-relative:text;margin-left:-2.8pt;mso-position-horizontal:absolute;mso-position-vertical-relative:text;margin-top:38.6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4993640</wp:posOffset>
                </wp:positionH>
                <wp:positionV relativeFrom="paragraph">
                  <wp:posOffset>236855</wp:posOffset>
                </wp:positionV>
                <wp:extent cx="849630" cy="120015"/>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2" o:spid="_x0000_s2" style="position:absolute;z-index:251663360;o:allowoverlap:true;o:allowincell:true;mso-position-horizontal-relative:text;margin-left:393.2pt;mso-position-horizontal:absolute;mso-position-vertical-relative:text;margin-top:18.6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4129405</wp:posOffset>
                </wp:positionH>
                <wp:positionV relativeFrom="paragraph">
                  <wp:posOffset>33020</wp:posOffset>
                </wp:positionV>
                <wp:extent cx="849630" cy="120015"/>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3" o:spid="_x0000_s3" style="position:absolute;z-index:251660288;o:allowoverlap:true;o:allowincell:true;mso-position-horizontal-relative:text;margin-left:325.1pt;mso-position-horizontal:absolute;mso-position-vertical-relative:text;margin-top:2.6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2914650</wp:posOffset>
                </wp:positionH>
                <wp:positionV relativeFrom="paragraph">
                  <wp:posOffset>274955</wp:posOffset>
                </wp:positionV>
                <wp:extent cx="849630" cy="12001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4" o:spid="_x0000_s4" style="position:absolute;z-index:251662336;o:allowoverlap:true;o:allowincell:true;mso-position-horizontal-relative:text;margin-left:229.5pt;mso-position-horizontal:absolute;mso-position-vertical-relative:text;margin-top:21.6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1910715</wp:posOffset>
                </wp:positionH>
                <wp:positionV relativeFrom="paragraph">
                  <wp:posOffset>281305</wp:posOffset>
                </wp:positionV>
                <wp:extent cx="849630" cy="12001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5" o:spid="_x0000_s5" style="position:absolute;z-index:251670528;o:allowoverlap:true;o:allowincell:true;mso-position-horizontal-relative:text;margin-left:150.4pt;mso-position-horizontal:absolute;mso-position-vertical-relative:text;margin-top:22.1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990600</wp:posOffset>
                </wp:positionH>
                <wp:positionV relativeFrom="paragraph">
                  <wp:posOffset>238760</wp:posOffset>
                </wp:positionV>
                <wp:extent cx="849630" cy="12001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6" o:spid="_x0000_s6" style="position:absolute;z-index:251661312;o:allowoverlap:true;o:allowincell:true;mso-position-horizontal-relative:text;margin-left:78.0pt;mso-position-horizontal:absolute;mso-position-vertical-relative:text;margin-top:18.8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rFonts w:hint="eastAsia"/>
          <w:color w:val="auto"/>
          <w:highlight w:val="none"/>
        </w:rPr>
        <w:t xml:space="preserve">1.</w:t>
      </w:r>
      <w:r>
        <w:rPr>
          <w:rStyle w:val="814"/>
          <w:rFonts w:hint="eastAsia"/>
          <w:color w:val="auto"/>
          <w:highlight w:val="none"/>
          <w:u w:val="single"/>
        </w:rPr>
        <w:t xml:space="preserve">（产品名称</w:t>
      </w:r>
      <w:r>
        <w:rPr>
          <w:rStyle w:val="814"/>
          <w:rFonts w:hint="eastAsia"/>
          <w:color w:val="auto"/>
          <w:highlight w:val="none"/>
          <w:u w:val="single"/>
        </w:rPr>
        <w:t xml:space="preserve">1</w:t>
      </w:r>
      <w:r>
        <w:rPr>
          <w:rStyle w:val="814"/>
          <w:rFonts w:hint="eastAsia"/>
          <w:color w:val="auto"/>
          <w:highlight w:val="none"/>
          <w:u w:val="single"/>
        </w:rPr>
        <w:t xml:space="preserve">）</w:t>
      </w:r>
      <w:r>
        <w:rPr>
          <w:rStyle w:val="814"/>
          <w:rFonts w:hint="eastAsia"/>
          <w:color w:val="auto"/>
          <w:highlight w:val="none"/>
          <w:vertAlign w:val="superscript"/>
        </w:rPr>
        <w:t xml:space="preserve">1</w:t>
      </w:r>
      <w:r>
        <w:rPr>
          <w:rFonts w:hint="eastAsia"/>
          <w:color w:val="auto"/>
          <w:highlight w:val="none"/>
        </w:rPr>
        <w:t xml:space="preserve">，生产厂为</w:t>
      </w:r>
      <w:r>
        <w:rPr>
          <w:rStyle w:val="814"/>
          <w:rFonts w:hint="eastAsia"/>
          <w:color w:val="auto"/>
          <w:highlight w:val="none"/>
          <w:u w:val="single"/>
        </w:rPr>
        <w:t xml:space="preserve">（厂名）</w:t>
      </w:r>
      <w:r>
        <w:rPr>
          <w:rStyle w:val="814"/>
          <w:rFonts w:hint="eastAsia"/>
          <w:color w:val="auto"/>
          <w:highlight w:val="none"/>
          <w:vertAlign w:val="superscript"/>
        </w:rPr>
        <w:t xml:space="preserve">2</w:t>
      </w:r>
      <w:r>
        <w:rPr>
          <w:rFonts w:hint="eastAsia"/>
          <w:color w:val="auto"/>
          <w:highlight w:val="none"/>
        </w:rPr>
        <w:t xml:space="preserve">，厂址为</w:t>
      </w:r>
      <w:r>
        <w:rPr>
          <w:rStyle w:val="814"/>
          <w:rFonts w:hint="eastAsia"/>
          <w:color w:val="auto"/>
          <w:highlight w:val="none"/>
          <w:u w:val="single"/>
        </w:rPr>
        <w:t xml:space="preserve">（生产厂址）</w:t>
      </w:r>
      <w:r>
        <w:rPr>
          <w:rFonts w:hint="eastAsia"/>
          <w:color w:val="auto"/>
          <w:highlight w:val="none"/>
        </w:rPr>
        <w:t xml:space="preserve">。</w:t>
      </w:r>
      <w:r>
        <w:rPr>
          <w:rStyle w:val="814"/>
          <w:rFonts w:hint="eastAsia"/>
          <w:color w:val="auto"/>
          <w:highlight w:val="none"/>
          <w:u w:val="single"/>
        </w:rPr>
        <w:t xml:space="preserve">（产品名称</w:t>
      </w:r>
      <w:r>
        <w:rPr>
          <w:rStyle w:val="814"/>
          <w:rFonts w:hint="eastAsia"/>
          <w:color w:val="auto"/>
          <w:highlight w:val="none"/>
          <w:u w:val="single"/>
        </w:rPr>
        <w:t xml:space="preserve">1</w:t>
      </w:r>
      <w:r>
        <w:rPr>
          <w:rStyle w:val="814"/>
          <w:rFonts w:hint="eastAsia"/>
          <w:color w:val="auto"/>
          <w:highlight w:val="none"/>
          <w:u w:val="single"/>
        </w:rPr>
        <w:t xml:space="preserve">）</w:t>
      </w:r>
      <w:r>
        <w:rPr>
          <w:rFonts w:hint="eastAsia"/>
          <w:color w:val="auto"/>
          <w:highlight w:val="none"/>
        </w:rPr>
        <w:t xml:space="preserve">的中国境内生产的组件成本占比≥</w:t>
      </w:r>
      <w:r>
        <w:rPr>
          <w:rStyle w:val="814"/>
          <w:rFonts w:hint="eastAsia"/>
          <w:color w:val="auto"/>
          <w:highlight w:val="none"/>
          <w:u w:val="single"/>
        </w:rPr>
        <w:t xml:space="preserve">（规定比例）</w:t>
      </w:r>
      <w:r>
        <w:rPr>
          <w:rStyle w:val="814"/>
          <w:rFonts w:hint="eastAsia"/>
          <w:color w:val="auto"/>
          <w:highlight w:val="none"/>
          <w:vertAlign w:val="superscript"/>
        </w:rPr>
        <w:t xml:space="preserve">3</w:t>
      </w:r>
      <w:r>
        <w:rPr>
          <w:rFonts w:hint="eastAsia"/>
          <w:color w:val="auto"/>
          <w:highlight w:val="none"/>
        </w:rPr>
        <w:t xml:space="preserve">。</w:t>
      </w:r>
      <w:r>
        <w:rPr>
          <w:rStyle w:val="814"/>
          <w:rFonts w:hint="eastAsia"/>
          <w:color w:val="auto"/>
          <w:highlight w:val="none"/>
          <w:u w:val="single"/>
        </w:rPr>
        <w:t xml:space="preserve">（产品名称</w:t>
      </w:r>
      <w:r>
        <w:rPr>
          <w:rStyle w:val="814"/>
          <w:rFonts w:hint="eastAsia"/>
          <w:color w:val="auto"/>
          <w:highlight w:val="none"/>
          <w:u w:val="single"/>
        </w:rPr>
        <w:t xml:space="preserve">1</w:t>
      </w:r>
      <w:r>
        <w:rPr>
          <w:rStyle w:val="814"/>
          <w:rFonts w:hint="eastAsia"/>
          <w:color w:val="auto"/>
          <w:highlight w:val="none"/>
          <w:u w:val="single"/>
        </w:rPr>
        <w:t xml:space="preserve">）</w:t>
      </w:r>
      <w:r>
        <w:rPr>
          <w:rFonts w:hint="eastAsia"/>
          <w:color w:val="auto"/>
          <w:highlight w:val="none"/>
        </w:rPr>
        <w:t xml:space="preserve">的</w:t>
      </w:r>
      <w:r>
        <w:rPr>
          <w:rStyle w:val="814"/>
          <w:rFonts w:hint="eastAsia"/>
          <w:color w:val="auto"/>
          <w:highlight w:val="none"/>
          <w:u w:val="single"/>
        </w:rPr>
        <w:t xml:space="preserve">（关键组件）</w:t>
      </w:r>
      <w:r>
        <w:rPr>
          <w:rStyle w:val="814"/>
          <w:rFonts w:hint="eastAsia"/>
          <w:color w:val="auto"/>
          <w:highlight w:val="none"/>
          <w:vertAlign w:val="superscript"/>
        </w:rPr>
        <w:t xml:space="preserve">4</w:t>
      </w:r>
      <w:r>
        <w:rPr>
          <w:rFonts w:hint="eastAsia"/>
          <w:color w:val="auto"/>
          <w:highlight w:val="none"/>
        </w:rPr>
        <w:t xml:space="preserve">在中国境内生产。</w:t>
      </w:r>
      <w:r>
        <w:rPr>
          <w:rStyle w:val="814"/>
          <w:rFonts w:hint="eastAsia"/>
          <w:color w:val="auto"/>
          <w:highlight w:val="none"/>
          <w:u w:val="single"/>
        </w:rPr>
        <w:t xml:space="preserve">（产品名称</w:t>
      </w:r>
      <w:r>
        <w:rPr>
          <w:rStyle w:val="814"/>
          <w:rFonts w:hint="eastAsia"/>
          <w:color w:val="auto"/>
          <w:highlight w:val="none"/>
          <w:u w:val="single"/>
        </w:rPr>
        <w:t xml:space="preserve">1</w:t>
      </w:r>
      <w:r>
        <w:rPr>
          <w:rStyle w:val="814"/>
          <w:rFonts w:hint="eastAsia"/>
          <w:color w:val="auto"/>
          <w:highlight w:val="none"/>
          <w:u w:val="single"/>
        </w:rPr>
        <w:t xml:space="preserve">）</w:t>
      </w:r>
      <w:r>
        <w:rPr>
          <w:rFonts w:hint="eastAsia"/>
          <w:color w:val="auto"/>
          <w:highlight w:val="none"/>
        </w:rPr>
        <w:t xml:space="preserve">的</w:t>
      </w:r>
      <w:r>
        <w:rPr>
          <w:rStyle w:val="814"/>
          <w:rFonts w:hint="eastAsia"/>
          <w:color w:val="auto"/>
          <w:highlight w:val="none"/>
          <w:u w:val="single"/>
        </w:rPr>
        <w:t xml:space="preserve">（关键工序）</w:t>
      </w:r>
      <w:r>
        <w:rPr>
          <w:rStyle w:val="814"/>
          <w:rFonts w:hint="eastAsia"/>
          <w:color w:val="auto"/>
          <w:highlight w:val="none"/>
          <w:vertAlign w:val="superscript"/>
        </w:rPr>
        <w:t xml:space="preserve">5</w:t>
      </w:r>
      <w:r>
        <w:rPr>
          <w:rFonts w:hint="eastAsia"/>
          <w:color w:val="auto"/>
          <w:highlight w:val="none"/>
        </w:rPr>
        <w:t xml:space="preserve">在中国境内完成。</w:t>
      </w:r>
      <w:r>
        <w:rPr>
          <w:color w:val="auto"/>
          <w:highlight w:val="none"/>
        </w:rPr>
      </w:r>
      <w:r/>
    </w:p>
    <w:p>
      <w:pPr>
        <w:pStyle w:val="806"/>
        <w:ind w:firstLine="480"/>
        <w:spacing w:before="0" w:after="0"/>
        <w:shd w:val="clear" w:color="auto" w:fill="ffffff"/>
        <w:rPr>
          <w:color w:val="auto"/>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5241290</wp:posOffset>
                </wp:positionH>
                <wp:positionV relativeFrom="paragraph">
                  <wp:posOffset>325755</wp:posOffset>
                </wp:positionV>
                <wp:extent cx="849630" cy="12001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7" o:spid="_x0000_s7" style="position:absolute;z-index:251671552;o:allowoverlap:true;o:allowincell:true;mso-position-horizontal-relative:text;margin-left:412.7pt;mso-position-horizontal:absolute;mso-position-vertical-relative:text;margin-top:25.6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4679315</wp:posOffset>
                </wp:positionH>
                <wp:positionV relativeFrom="paragraph">
                  <wp:posOffset>268605</wp:posOffset>
                </wp:positionV>
                <wp:extent cx="849630" cy="12001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8" o:spid="_x0000_s8" style="position:absolute;z-index:251669504;o:allowoverlap:true;o:allowincell:true;mso-position-horizontal-relative:text;margin-left:368.4pt;mso-position-horizontal:absolute;mso-position-vertical-relative:text;margin-top:21.1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2796540</wp:posOffset>
                </wp:positionH>
                <wp:positionV relativeFrom="paragraph">
                  <wp:posOffset>236855</wp:posOffset>
                </wp:positionV>
                <wp:extent cx="849630" cy="12001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9" o:spid="_x0000_s9" style="position:absolute;z-index:251668480;o:allowoverlap:true;o:allowincell:true;mso-position-horizontal-relative:text;margin-left:220.2pt;mso-position-horizontal:absolute;mso-position-vertical-relative:text;margin-top:18.6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1796415</wp:posOffset>
                </wp:positionH>
                <wp:positionV relativeFrom="paragraph">
                  <wp:posOffset>265430</wp:posOffset>
                </wp:positionV>
                <wp:extent cx="849630" cy="12001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10" o:spid="_x0000_s10" style="position:absolute;z-index:251667456;o:allowoverlap:true;o:allowincell:true;mso-position-horizontal-relative:text;margin-left:141.4pt;mso-position-horizontal:absolute;mso-position-vertical-relative:text;margin-top:20.9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866140</wp:posOffset>
                </wp:positionH>
                <wp:positionV relativeFrom="paragraph">
                  <wp:posOffset>234315</wp:posOffset>
                </wp:positionV>
                <wp:extent cx="849630" cy="12001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11" o:spid="_x0000_s11" style="position:absolute;z-index:251666432;o:allowoverlap:true;o:allowincell:true;mso-position-horizontal-relative:text;margin-left:68.2pt;mso-position-horizontal:absolute;mso-position-vertical-relative:text;margin-top:18.4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3993515</wp:posOffset>
                </wp:positionH>
                <wp:positionV relativeFrom="paragraph">
                  <wp:posOffset>62865</wp:posOffset>
                </wp:positionV>
                <wp:extent cx="849630" cy="12001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12" o:spid="_x0000_s12" style="position:absolute;z-index:251665408;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rFonts w:hint="eastAsia"/>
          <w:color w:val="auto"/>
          <w:highlight w:val="none"/>
        </w:rPr>
        <w:t xml:space="preserve">2.</w:t>
      </w:r>
      <w:r>
        <w:rPr>
          <w:rStyle w:val="814"/>
          <w:rFonts w:hint="eastAsia"/>
          <w:color w:val="auto"/>
          <w:highlight w:val="none"/>
          <w:u w:val="single"/>
        </w:rPr>
        <w:t xml:space="preserve">（产品名称</w:t>
      </w:r>
      <w:r>
        <w:rPr>
          <w:rStyle w:val="814"/>
          <w:rFonts w:hint="eastAsia"/>
          <w:color w:val="auto"/>
          <w:highlight w:val="none"/>
          <w:u w:val="single"/>
        </w:rPr>
        <w:t xml:space="preserve">2</w:t>
      </w:r>
      <w:r>
        <w:rPr>
          <w:rStyle w:val="814"/>
          <w:rFonts w:hint="eastAsia"/>
          <w:color w:val="auto"/>
          <w:highlight w:val="none"/>
          <w:u w:val="single"/>
        </w:rPr>
        <w:t xml:space="preserve">）</w:t>
      </w:r>
      <w:r>
        <w:rPr>
          <w:rFonts w:hint="eastAsia"/>
          <w:color w:val="auto"/>
          <w:highlight w:val="none"/>
        </w:rPr>
        <w:t xml:space="preserve">，生产厂为</w:t>
      </w:r>
      <w:r>
        <w:rPr>
          <w:rStyle w:val="814"/>
          <w:rFonts w:hint="eastAsia"/>
          <w:color w:val="auto"/>
          <w:highlight w:val="none"/>
          <w:u w:val="single"/>
        </w:rPr>
        <w:t xml:space="preserve">（厂名）</w:t>
      </w:r>
      <w:r>
        <w:rPr>
          <w:rFonts w:hint="eastAsia"/>
          <w:color w:val="auto"/>
          <w:highlight w:val="none"/>
        </w:rPr>
        <w:t xml:space="preserve">，厂址为</w:t>
      </w:r>
      <w:r>
        <w:rPr>
          <w:rStyle w:val="814"/>
          <w:rFonts w:hint="eastAsia"/>
          <w:color w:val="auto"/>
          <w:highlight w:val="none"/>
          <w:u w:val="single"/>
        </w:rPr>
        <w:t xml:space="preserve">（生产厂址）</w:t>
      </w:r>
      <w:r>
        <w:rPr>
          <w:rFonts w:hint="eastAsia"/>
          <w:color w:val="auto"/>
          <w:highlight w:val="none"/>
        </w:rPr>
        <w:t xml:space="preserve">。</w:t>
      </w:r>
      <w:r>
        <w:rPr>
          <w:rStyle w:val="814"/>
          <w:rFonts w:hint="eastAsia"/>
          <w:color w:val="auto"/>
          <w:highlight w:val="none"/>
          <w:u w:val="single"/>
        </w:rPr>
        <w:t xml:space="preserve">（产品名称</w:t>
      </w:r>
      <w:r>
        <w:rPr>
          <w:rStyle w:val="814"/>
          <w:rFonts w:hint="eastAsia"/>
          <w:color w:val="auto"/>
          <w:highlight w:val="none"/>
          <w:u w:val="single"/>
        </w:rPr>
        <w:t xml:space="preserve">2</w:t>
      </w:r>
      <w:r>
        <w:rPr>
          <w:rStyle w:val="814"/>
          <w:rFonts w:hint="eastAsia"/>
          <w:color w:val="auto"/>
          <w:highlight w:val="none"/>
          <w:u w:val="single"/>
        </w:rPr>
        <w:t xml:space="preserve">）</w:t>
      </w:r>
      <w:r>
        <w:rPr>
          <w:rFonts w:hint="eastAsia"/>
          <w:color w:val="auto"/>
          <w:highlight w:val="none"/>
        </w:rPr>
        <w:t xml:space="preserve">的中国境内生产的组件成本占比≥</w:t>
      </w:r>
      <w:r>
        <w:rPr>
          <w:rStyle w:val="814"/>
          <w:rFonts w:hint="eastAsia"/>
          <w:color w:val="auto"/>
          <w:highlight w:val="none"/>
          <w:u w:val="single"/>
        </w:rPr>
        <w:t xml:space="preserve">（规定比例）</w:t>
      </w:r>
      <w:r>
        <w:rPr>
          <w:rFonts w:hint="eastAsia"/>
          <w:color w:val="auto"/>
          <w:highlight w:val="none"/>
        </w:rPr>
        <w:t xml:space="preserve">。</w:t>
      </w:r>
      <w:r>
        <w:rPr>
          <w:rStyle w:val="814"/>
          <w:rFonts w:hint="eastAsia"/>
          <w:color w:val="auto"/>
          <w:highlight w:val="none"/>
          <w:u w:val="single"/>
        </w:rPr>
        <w:t xml:space="preserve">（产品名称</w:t>
      </w:r>
      <w:r>
        <w:rPr>
          <w:rStyle w:val="814"/>
          <w:rFonts w:hint="eastAsia"/>
          <w:color w:val="auto"/>
          <w:highlight w:val="none"/>
          <w:u w:val="single"/>
        </w:rPr>
        <w:t xml:space="preserve">2</w:t>
      </w:r>
      <w:r>
        <w:rPr>
          <w:rStyle w:val="814"/>
          <w:rFonts w:hint="eastAsia"/>
          <w:color w:val="auto"/>
          <w:highlight w:val="none"/>
          <w:u w:val="single"/>
        </w:rPr>
        <w:t xml:space="preserve">）</w:t>
      </w:r>
      <w:r>
        <w:rPr>
          <w:rFonts w:hint="eastAsia"/>
          <w:color w:val="auto"/>
          <w:highlight w:val="none"/>
        </w:rPr>
        <w:t xml:space="preserve">的</w:t>
      </w:r>
      <w:r>
        <w:rPr>
          <w:rStyle w:val="814"/>
          <w:rFonts w:hint="eastAsia"/>
          <w:color w:val="auto"/>
          <w:highlight w:val="none"/>
          <w:u w:val="single"/>
        </w:rPr>
        <w:t xml:space="preserve">（关键组件）</w:t>
      </w:r>
      <w:r>
        <w:rPr>
          <w:rFonts w:hint="eastAsia"/>
          <w:color w:val="auto"/>
          <w:highlight w:val="none"/>
        </w:rPr>
        <w:t xml:space="preserve">在中国境内生产。</w:t>
      </w:r>
      <w:r>
        <w:rPr>
          <w:rStyle w:val="814"/>
          <w:rFonts w:hint="eastAsia"/>
          <w:color w:val="auto"/>
          <w:highlight w:val="none"/>
          <w:u w:val="single"/>
        </w:rPr>
        <w:t xml:space="preserve">（产品名称</w:t>
      </w:r>
      <w:r>
        <w:rPr>
          <w:rStyle w:val="814"/>
          <w:rFonts w:hint="eastAsia"/>
          <w:color w:val="auto"/>
          <w:highlight w:val="none"/>
          <w:u w:val="single"/>
        </w:rPr>
        <w:t xml:space="preserve">2</w:t>
      </w:r>
      <w:r>
        <w:rPr>
          <w:rStyle w:val="814"/>
          <w:rFonts w:hint="eastAsia"/>
          <w:color w:val="auto"/>
          <w:highlight w:val="none"/>
          <w:u w:val="single"/>
        </w:rPr>
        <w:t xml:space="preserve">）</w:t>
      </w:r>
      <w:r>
        <w:rPr>
          <w:rFonts w:hint="eastAsia"/>
          <w:color w:val="auto"/>
          <w:highlight w:val="none"/>
        </w:rPr>
        <w:t xml:space="preserve">的</w:t>
      </w:r>
      <w:r>
        <w:rPr>
          <w:rStyle w:val="814"/>
          <w:rFonts w:hint="eastAsia"/>
          <w:color w:val="auto"/>
          <w:highlight w:val="none"/>
          <w:u w:val="single"/>
        </w:rPr>
        <w:t xml:space="preserve">（关键工序）</w:t>
      </w:r>
      <w:r>
        <w:rPr>
          <w:rFonts w:hint="eastAsia"/>
          <w:color w:val="auto"/>
          <w:highlight w:val="none"/>
        </w:rPr>
        <w:t xml:space="preserve">在中国境内完成。</w:t>
      </w:r>
      <w:r>
        <w:rPr>
          <w:color w:val="auto"/>
          <w:highlight w:val="none"/>
        </w:rPr>
      </w:r>
      <w:r/>
    </w:p>
    <w:p>
      <w:pPr>
        <w:pStyle w:val="806"/>
        <w:ind w:firstLine="480"/>
        <w:spacing w:before="30" w:after="30"/>
        <w:shd w:val="clear" w:color="auto" w:fill="ffffff"/>
        <w:rPr>
          <w:color w:val="auto"/>
          <w:highlight w:val="none"/>
        </w:rPr>
      </w:pPr>
      <w:r>
        <w:rPr>
          <w:rFonts w:hint="eastAsia"/>
          <w:color w:val="auto"/>
          <w:highlight w:val="none"/>
        </w:rPr>
        <w:t xml:space="preserve">……</w:t>
      </w:r>
      <w:r>
        <w:rPr>
          <w:color w:val="auto"/>
          <w:highlight w:val="none"/>
        </w:rPr>
      </w:r>
      <w:r/>
    </w:p>
    <w:p>
      <w:pPr>
        <w:pStyle w:val="806"/>
        <w:ind w:firstLine="480"/>
        <w:spacing w:before="30" w:after="30"/>
        <w:shd w:val="clear" w:color="auto" w:fill="ffffff"/>
        <w:rPr>
          <w:color w:val="auto"/>
          <w:highlight w:val="none"/>
        </w:rPr>
      </w:pPr>
      <w:r>
        <w:rPr>
          <w:rFonts w:hint="eastAsia"/>
          <w:color w:val="auto"/>
          <w:highlight w:val="none"/>
        </w:rPr>
        <w:t xml:space="preserve">本公司（单位）对上述声明内容的真实性负责。如有虚假，愿承担相应法律责任。</w:t>
      </w:r>
      <w:r>
        <w:rPr>
          <w:color w:val="auto"/>
          <w:highlight w:val="none"/>
        </w:rPr>
      </w:r>
      <w:r/>
    </w:p>
    <w:p>
      <w:pPr>
        <w:pStyle w:val="806"/>
        <w:spacing w:before="30" w:after="30"/>
        <w:shd w:val="clear" w:color="auto" w:fill="ffffff"/>
        <w:rPr>
          <w:color w:val="auto"/>
          <w:highlight w:val="none"/>
        </w:rPr>
      </w:pPr>
      <w:r>
        <w:rPr>
          <w:color w:val="auto"/>
          <w:highlight w:val="none"/>
        </w:rPr>
      </w:r>
      <w:r>
        <w:rPr>
          <w:color w:val="auto"/>
          <w:highlight w:val="none"/>
        </w:rPr>
      </w:r>
      <w:r/>
    </w:p>
    <w:p>
      <w:pPr>
        <w:pStyle w:val="806"/>
        <w:ind w:right="815"/>
        <w:jc w:val="center"/>
        <w:spacing w:before="30" w:after="30"/>
        <w:shd w:val="clear" w:color="auto" w:fill="ffffff"/>
        <w:rPr>
          <w:color w:val="auto"/>
          <w:highlight w:val="none"/>
        </w:rPr>
      </w:pPr>
      <w:r>
        <w:rPr>
          <w:rFonts w:hint="eastAsia"/>
          <w:color w:val="auto"/>
          <w:highlight w:val="none"/>
        </w:rPr>
        <w:t xml:space="preserve">公司（单位）名称（盖章）：</w:t>
      </w:r>
      <w:r>
        <w:rPr>
          <w:color w:val="auto"/>
          <w:highlight w:val="none"/>
        </w:rPr>
      </w:r>
      <w:r/>
    </w:p>
    <w:p>
      <w:pPr>
        <w:pStyle w:val="806"/>
        <w:ind w:left="0" w:right="815" w:firstLine="5400"/>
        <w:spacing w:before="0" w:after="0"/>
        <w:shd w:val="clear" w:color="auto" w:fill="ffffff"/>
        <w:rPr>
          <w:color w:val="auto"/>
          <w:highlight w:val="none"/>
        </w:rPr>
      </w:pPr>
      <w:r>
        <w:rPr>
          <w:rFonts w:hint="eastAsia"/>
          <w:color w:val="auto"/>
          <w:highlight w:val="none"/>
        </w:rPr>
        <w:t xml:space="preserve">日期：</w:t>
      </w:r>
      <w:r>
        <w:rPr>
          <w:rFonts w:hint="eastAsia"/>
          <w:color w:val="auto"/>
          <w:highlight w:val="none"/>
        </w:rPr>
        <w:t xml:space="preserve"> </w:t>
      </w:r>
      <w:r>
        <w:rPr>
          <w:color w:val="auto"/>
          <w:highlight w:val="none"/>
        </w:rPr>
        <w:t xml:space="preserve">    </w:t>
      </w:r>
      <w:r>
        <w:rPr>
          <w:rFonts w:hint="eastAsia"/>
          <w:color w:val="auto"/>
          <w:highlight w:val="none"/>
        </w:rPr>
        <w:t xml:space="preserve">年</w:t>
      </w:r>
      <w:r>
        <w:rPr>
          <w:rFonts w:hint="eastAsia"/>
          <w:color w:val="auto"/>
          <w:highlight w:val="none"/>
        </w:rPr>
        <w:t xml:space="preserve"> </w:t>
      </w:r>
      <w:r>
        <w:rPr>
          <w:color w:val="auto"/>
          <w:highlight w:val="none"/>
        </w:rPr>
        <w:t xml:space="preserve">    </w:t>
      </w:r>
      <w:r>
        <w:rPr>
          <w:rFonts w:hint="eastAsia"/>
          <w:color w:val="auto"/>
          <w:highlight w:val="none"/>
        </w:rPr>
        <w:t xml:space="preserve">月</w:t>
      </w:r>
      <w:r>
        <w:rPr>
          <w:rFonts w:hint="eastAsia"/>
          <w:color w:val="auto"/>
          <w:highlight w:val="none"/>
        </w:rPr>
        <w:t xml:space="preserve"> </w:t>
      </w:r>
      <w:r>
        <w:rPr>
          <w:color w:val="auto"/>
          <w:highlight w:val="none"/>
        </w:rPr>
        <w:t xml:space="preserve">     </w:t>
      </w:r>
      <w:r>
        <w:rPr>
          <w:rFonts w:hint="eastAsia"/>
          <w:color w:val="auto"/>
          <w:highlight w:val="none"/>
        </w:rPr>
        <w:t xml:space="preserve">日</w:t>
      </w:r>
      <w:r>
        <w:rPr>
          <w:color w:val="auto"/>
          <w:highlight w:val="none"/>
        </w:rPr>
      </w:r>
      <w:r/>
    </w:p>
    <w:p>
      <w:pPr>
        <w:pStyle w:val="806"/>
        <w:jc w:val="right"/>
        <w:spacing w:before="0" w:after="0"/>
        <w:shd w:val="clear" w:color="auto" w:fill="ffffff"/>
        <w:rPr>
          <w:color w:val="auto"/>
          <w:highlight w:val="none"/>
        </w:rPr>
      </w:pPr>
      <w:r>
        <w:rPr>
          <w:color w:val="auto"/>
          <w:highlight w:val="none"/>
        </w:rPr>
      </w:r>
      <w:r>
        <w:rPr>
          <w:color w:val="auto"/>
          <w:highlight w:val="none"/>
        </w:rPr>
      </w:r>
      <w:r/>
    </w:p>
    <w:p>
      <w:pPr>
        <w:pStyle w:val="806"/>
        <w:jc w:val="right"/>
        <w:spacing w:before="0" w:after="0"/>
        <w:shd w:val="clear" w:color="auto" w:fill="ffffff"/>
        <w:rPr>
          <w:color w:val="auto"/>
          <w:highlight w:val="none"/>
        </w:rPr>
      </w:pPr>
      <w:r>
        <w:rPr>
          <w:color w:val="auto"/>
          <w:highlight w:val="none"/>
        </w:rPr>
      </w:r>
      <w:r>
        <w:rPr>
          <w:color w:val="auto"/>
          <w:highlight w:val="none"/>
        </w:rPr>
      </w:r>
      <w:r/>
    </w:p>
    <w:p>
      <w:pPr>
        <w:pStyle w:val="806"/>
        <w:jc w:val="right"/>
        <w:spacing w:before="0" w:after="0"/>
        <w:shd w:val="clear" w:color="auto" w:fill="ffffff"/>
        <w:rPr>
          <w:color w:val="auto"/>
          <w:highlight w:val="none"/>
        </w:rPr>
      </w:pPr>
      <w:r>
        <w:rPr>
          <w:color w:val="auto"/>
          <w:highlight w:val="none"/>
        </w:rPr>
      </w:r>
      <w:r>
        <w:rPr>
          <w:color w:val="auto"/>
          <w:highlight w:val="none"/>
        </w:rPr>
      </w:r>
      <w:r/>
    </w:p>
    <w:p>
      <w:pPr>
        <w:pStyle w:val="806"/>
        <w:jc w:val="right"/>
        <w:spacing w:before="0" w:after="0"/>
        <w:shd w:val="clear" w:color="auto" w:fill="ffffff"/>
        <w:rPr>
          <w:color w:val="auto"/>
          <w:highlight w:val="none"/>
        </w:rPr>
      </w:pPr>
      <w:r>
        <w:rPr>
          <w:color w:val="auto"/>
          <w:highlight w:val="none"/>
        </w:rPr>
      </w:r>
      <w:r>
        <w:rPr>
          <w:color w:val="auto"/>
          <w:highlight w:val="none"/>
        </w:rPr>
      </w:r>
      <w:r/>
    </w:p>
    <w:p>
      <w:pPr>
        <w:pStyle w:val="806"/>
        <w:ind w:left="0" w:firstLine="0"/>
        <w:spacing w:before="30" w:after="30"/>
        <w:shd w:val="clear" w:color="auto" w:fill="ffffff"/>
        <w:rPr>
          <w:color w:val="auto"/>
          <w:highlight w:val="none"/>
        </w:rPr>
      </w:pPr>
      <w:r>
        <w:rPr>
          <w:rFonts w:hint="eastAsia"/>
          <w:color w:val="auto"/>
          <w:highlight w:val="none"/>
        </w:rPr>
        <w:t xml:space="preserve">__________________</w:t>
      </w:r>
      <w:r>
        <w:rPr>
          <w:color w:val="auto"/>
          <w:highlight w:val="none"/>
        </w:rPr>
      </w:r>
      <w:r/>
    </w:p>
    <w:p>
      <w:pPr>
        <w:pStyle w:val="806"/>
        <w:ind w:firstLine="480"/>
        <w:spacing w:before="0" w:after="0"/>
        <w:shd w:val="clear" w:color="auto" w:fill="ffffff"/>
        <w:rPr>
          <w:color w:val="auto"/>
          <w:szCs w:val="21"/>
          <w:highlight w:val="none"/>
        </w:rPr>
      </w:pPr>
      <w:r>
        <w:rPr>
          <w:rFonts w:hint="eastAsia"/>
          <w:color w:val="auto"/>
          <w:szCs w:val="21"/>
          <w:highlight w:val="none"/>
        </w:rPr>
        <w:t xml:space="preserve">1.</w:t>
      </w:r>
      <w:r>
        <w:rPr>
          <w:rFonts w:hint="eastAsia"/>
          <w:color w:val="auto"/>
          <w:szCs w:val="21"/>
          <w:highlight w:val="none"/>
        </w:rPr>
        <w:t xml:space="preserve">产品如有型号，请在“产品名称”栏一并填写。</w:t>
      </w:r>
      <w:r>
        <w:rPr>
          <w:color w:val="auto"/>
          <w:highlight w:val="none"/>
        </w:rPr>
      </w:r>
      <w:r/>
    </w:p>
    <w:p>
      <w:pPr>
        <w:pStyle w:val="806"/>
        <w:ind w:firstLine="480"/>
        <w:spacing w:before="0" w:after="0"/>
        <w:shd w:val="clear" w:color="auto" w:fill="ffffff"/>
        <w:rPr>
          <w:color w:val="auto"/>
          <w:szCs w:val="21"/>
          <w:highlight w:val="none"/>
        </w:rPr>
      </w:pPr>
      <w:r>
        <w:rPr>
          <w:rFonts w:hint="eastAsia"/>
          <w:color w:val="auto"/>
          <w:szCs w:val="21"/>
          <w:highlight w:val="none"/>
        </w:rPr>
        <w:t xml:space="preserve">2.</w:t>
      </w:r>
      <w:r>
        <w:rPr>
          <w:rFonts w:hint="eastAsia"/>
          <w:color w:val="auto"/>
          <w:szCs w:val="21"/>
          <w:highlight w:val="none"/>
        </w:rPr>
        <w:t xml:space="preserve">生产厂名与厂址应与生产厂营业执照载明的相关信息保持一致。</w:t>
      </w:r>
      <w:r>
        <w:rPr>
          <w:color w:val="auto"/>
          <w:highlight w:val="none"/>
        </w:rPr>
      </w:r>
      <w:r/>
    </w:p>
    <w:p>
      <w:pPr>
        <w:pStyle w:val="806"/>
        <w:ind w:firstLine="480"/>
        <w:spacing w:before="0" w:after="0"/>
        <w:shd w:val="clear" w:color="auto" w:fill="ffffff"/>
        <w:rPr>
          <w:color w:val="auto"/>
          <w:szCs w:val="21"/>
          <w:highlight w:val="none"/>
        </w:rPr>
      </w:pPr>
      <w:r>
        <w:rPr>
          <w:rFonts w:hint="eastAsia"/>
          <w:color w:val="auto"/>
          <w:szCs w:val="21"/>
          <w:highlight w:val="none"/>
        </w:rPr>
        <w:t xml:space="preserve">3.</w:t>
      </w:r>
      <w:r>
        <w:rPr>
          <w:rFonts w:hint="eastAsia"/>
          <w:color w:val="auto"/>
          <w:szCs w:val="21"/>
          <w:highlight w:val="none"/>
        </w:rPr>
        <w:t xml:space="preserve">该产品的中国境内生产的组件成本占比相关要求实施前，“规定比例”栏可不填，下同。</w:t>
      </w:r>
      <w:r>
        <w:rPr>
          <w:color w:val="auto"/>
          <w:highlight w:val="none"/>
        </w:rPr>
      </w:r>
      <w:r/>
    </w:p>
    <w:p>
      <w:pPr>
        <w:pStyle w:val="806"/>
        <w:ind w:firstLine="480"/>
        <w:spacing w:before="0" w:after="0"/>
        <w:shd w:val="clear" w:color="auto" w:fill="ffffff"/>
        <w:rPr>
          <w:color w:val="auto"/>
          <w:szCs w:val="21"/>
          <w:highlight w:val="none"/>
        </w:rPr>
      </w:pPr>
      <w:r>
        <w:rPr>
          <w:rFonts w:hint="eastAsia"/>
          <w:color w:val="auto"/>
          <w:szCs w:val="21"/>
          <w:highlight w:val="none"/>
        </w:rPr>
        <w:t xml:space="preserve">4.</w:t>
      </w:r>
      <w:r>
        <w:rPr>
          <w:rFonts w:hint="eastAsia"/>
          <w:color w:val="auto"/>
          <w:szCs w:val="21"/>
          <w:highlight w:val="none"/>
        </w:rPr>
        <w:t xml:space="preserve">该产品的关键组件要求实施前，“关键组件”栏可不填，下同。</w:t>
      </w:r>
      <w:r>
        <w:rPr>
          <w:color w:val="auto"/>
          <w:highlight w:val="none"/>
        </w:rPr>
      </w:r>
      <w:r/>
    </w:p>
    <w:p>
      <w:pPr>
        <w:pStyle w:val="806"/>
        <w:ind w:firstLine="480"/>
        <w:spacing w:before="0" w:after="0"/>
        <w:shd w:val="clear" w:color="auto" w:fill="ffffff"/>
        <w:rPr>
          <w:color w:val="auto"/>
          <w:szCs w:val="21"/>
          <w:highlight w:val="none"/>
        </w:rPr>
      </w:pPr>
      <w:r>
        <w:rPr>
          <w:rFonts w:hint="eastAsia"/>
          <w:color w:val="auto"/>
          <w:szCs w:val="21"/>
          <w:highlight w:val="none"/>
        </w:rPr>
        <w:t xml:space="preserve">5.</w:t>
      </w:r>
      <w:r>
        <w:rPr>
          <w:rFonts w:hint="eastAsia"/>
          <w:color w:val="auto"/>
          <w:szCs w:val="21"/>
          <w:highlight w:val="none"/>
        </w:rPr>
        <w:t xml:space="preserve">该产品的关键工序要求实施前，“关键工序”栏可不填，下同。</w:t>
      </w:r>
      <w:r>
        <w:rPr>
          <w:color w:val="auto"/>
          <w:highlight w:val="none"/>
        </w:rPr>
      </w:r>
      <w:r/>
    </w:p>
    <w:p>
      <w:pPr>
        <w:pStyle w:val="806"/>
        <w:ind w:firstLine="480"/>
        <w:spacing w:before="0" w:after="0"/>
        <w:shd w:val="clear" w:color="auto" w:fill="ffffff"/>
        <w:rPr>
          <w:color w:val="auto"/>
          <w:szCs w:val="21"/>
          <w:highlight w:val="none"/>
        </w:rPr>
      </w:pPr>
      <w:r>
        <w:rPr>
          <w:rFonts w:hint="eastAsia"/>
          <w:color w:val="auto"/>
          <w:szCs w:val="21"/>
          <w:highlight w:val="none"/>
        </w:rPr>
        <w:t xml:space="preserve">6</w:t>
      </w:r>
      <w:r>
        <w:rPr>
          <w:color w:val="auto"/>
          <w:szCs w:val="21"/>
          <w:highlight w:val="none"/>
        </w:rPr>
        <w:t xml:space="preserve">.</w:t>
      </w:r>
      <w:r>
        <w:rPr>
          <w:rFonts w:hint="eastAsia"/>
          <w:b/>
          <w:color w:val="auto"/>
          <w:szCs w:val="21"/>
          <w:highlight w:val="none"/>
        </w:rPr>
        <w:t xml:space="preserve">用</w:t>
      </w:r>
      <w:r>
        <w:rPr>
          <w:rFonts w:hint="eastAsia"/>
          <w:b/>
          <w:color w:val="auto"/>
          <w:szCs w:val="21"/>
          <w:highlight w:val="none"/>
        </w:rPr>
        <w:t xml:space="preserve">斜线划除的</w:t>
      </w:r>
      <w:r>
        <w:rPr>
          <w:rFonts w:hint="eastAsia"/>
          <w:b/>
          <w:color w:val="auto"/>
          <w:szCs w:val="21"/>
          <w:highlight w:val="none"/>
        </w:rPr>
        <w:t xml:space="preserve">地方无需填写。</w:t>
      </w:r>
      <w:r>
        <w:rPr>
          <w:color w:val="auto"/>
          <w:highlight w:val="none"/>
        </w:rPr>
      </w:r>
      <w:r/>
    </w:p>
    <w:p>
      <w:pPr>
        <w:pStyle w:val="810"/>
        <w:ind w:left="0" w:firstLine="0"/>
        <w:spacing w:after="0"/>
        <w:rPr>
          <w:rFonts w:ascii="宋体" w:hAnsi="宋体"/>
          <w:b/>
          <w:color w:val="auto"/>
          <w:highlight w:val="none"/>
        </w:rPr>
      </w:pPr>
      <w:r>
        <w:rPr>
          <w:rFonts w:ascii="宋体" w:hAnsi="宋体"/>
          <w:b/>
          <w:color w:val="auto"/>
          <w:highlight w:val="none"/>
        </w:rPr>
      </w:r>
      <w:r>
        <w:rPr>
          <w:color w:val="auto"/>
          <w:highlight w:val="none"/>
        </w:rPr>
      </w:r>
      <w:r/>
    </w:p>
    <w:p>
      <w:pPr>
        <w:jc w:val="center"/>
        <w:spacing w:line="520" w:lineRule="exact"/>
        <w:rPr>
          <w:rFonts w:ascii="宋体" w:hAnsi="宋体" w:cs="宋体"/>
          <w:b/>
          <w:bCs/>
          <w:color w:val="auto"/>
          <w:sz w:val="32"/>
          <w:szCs w:val="32"/>
          <w:highlight w:val="none"/>
        </w:rPr>
      </w:pPr>
      <w:r>
        <w:rPr>
          <w:rFonts w:hint="eastAsia"/>
          <w:b/>
          <w:bCs/>
          <w:color w:val="auto"/>
          <w:szCs w:val="21"/>
          <w:highlight w:val="none"/>
        </w:rPr>
        <w:br w:type="page" w:clear="all"/>
      </w:r>
      <w:r>
        <w:rPr>
          <w:rFonts w:hint="eastAsia" w:ascii="宋体" w:hAnsi="宋体" w:cs="宋体"/>
          <w:b/>
          <w:bCs/>
          <w:color w:val="auto"/>
          <w:sz w:val="32"/>
          <w:szCs w:val="32"/>
          <w:highlight w:val="none"/>
        </w:rPr>
        <w:t xml:space="preserve">第四章  招标书</w:t>
      </w:r>
      <w:r>
        <w:rPr>
          <w:color w:val="auto"/>
          <w:highlight w:val="none"/>
        </w:rPr>
      </w:r>
      <w:r/>
    </w:p>
    <w:p>
      <w:pPr>
        <w:ind w:firstLine="420"/>
        <w:spacing w:after="0" w:line="360" w:lineRule="auto"/>
        <w:rPr>
          <w:rFonts w:ascii="宋体" w:hAnsi="宋体" w:cs="宋体"/>
          <w:color w:val="auto"/>
          <w:sz w:val="24"/>
          <w:szCs w:val="24"/>
          <w:highlight w:val="none"/>
        </w:rPr>
      </w:pPr>
      <w:r>
        <w:rPr>
          <w:rFonts w:hint="eastAsia" w:ascii="宋体" w:hAnsi="宋体"/>
          <w:color w:val="auto"/>
          <w:sz w:val="24"/>
          <w:szCs w:val="24"/>
          <w:highlight w:val="none"/>
        </w:rPr>
        <w:t xml:space="preserve">苏州</w:t>
      </w:r>
      <w:r>
        <w:rPr>
          <w:rFonts w:hint="eastAsia" w:ascii="宋体" w:hAnsi="宋体"/>
          <w:color w:val="auto"/>
          <w:sz w:val="24"/>
          <w:szCs w:val="24"/>
          <w:highlight w:val="none"/>
        </w:rPr>
        <w:t xml:space="preserve">久诺招</w:t>
      </w:r>
      <w:r>
        <w:rPr>
          <w:rFonts w:hint="eastAsia" w:ascii="宋体" w:hAnsi="宋体" w:cs="宋体"/>
          <w:color w:val="auto"/>
          <w:sz w:val="24"/>
          <w:szCs w:val="24"/>
          <w:highlight w:val="none"/>
        </w:rPr>
        <w:t xml:space="preserve">投标咨询服务有限公司受苏州市相城生态环境局的委托，就其2026年实验室仪器购置项目进行国内公开招标, 欢迎有资格的供应商前来参加投标。</w:t>
      </w:r>
      <w:r>
        <w:rPr>
          <w:color w:val="auto"/>
          <w:highlight w:val="none"/>
        </w:rPr>
      </w:r>
      <w:r/>
    </w:p>
    <w:p>
      <w:pPr>
        <w:numPr>
          <w:ilvl w:val="0"/>
          <w:numId w:val="11"/>
        </w:numPr>
        <w:ind w:left="-1"/>
        <w:spacing w:after="0" w:line="360" w:lineRule="auto"/>
        <w:rPr>
          <w:rFonts w:ascii="宋体" w:hAnsi="宋体" w:cs="宋体"/>
          <w:color w:val="auto"/>
          <w:sz w:val="24"/>
          <w:szCs w:val="24"/>
          <w:highlight w:val="none"/>
        </w:rPr>
      </w:pPr>
      <w:r>
        <w:rPr>
          <w:rFonts w:hint="eastAsia" w:ascii="宋体" w:hAnsi="宋体" w:cs="宋体"/>
          <w:b/>
          <w:bCs/>
          <w:color w:val="auto"/>
          <w:sz w:val="24"/>
          <w:szCs w:val="24"/>
          <w:highlight w:val="none"/>
        </w:rPr>
        <w:t xml:space="preserve">招标编号：</w:t>
      </w:r>
      <w:r>
        <w:rPr>
          <w:rFonts w:hint="eastAsia" w:ascii="宋体" w:hAnsi="宋体" w:cs="宋体"/>
          <w:color w:val="auto"/>
          <w:sz w:val="24"/>
          <w:szCs w:val="24"/>
          <w:highlight w:val="none"/>
        </w:rPr>
        <w:t xml:space="preserve">JSZC-320507-SZJN-G2026-0003</w:t>
      </w:r>
      <w:r>
        <w:rPr>
          <w:color w:val="auto"/>
          <w:highlight w:val="none"/>
        </w:rPr>
      </w:r>
      <w:r/>
    </w:p>
    <w:p>
      <w:pPr>
        <w:numPr>
          <w:ilvl w:val="0"/>
          <w:numId w:val="11"/>
        </w:numPr>
        <w:ind w:left="-1"/>
        <w:spacing w:after="0"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lang w:val="zh-CN"/>
        </w:rPr>
        <w:t xml:space="preserve">采购方式：</w:t>
      </w:r>
      <w:r>
        <w:rPr>
          <w:rFonts w:hint="eastAsia" w:ascii="宋体" w:hAnsi="宋体" w:cs="宋体"/>
          <w:color w:val="auto"/>
          <w:sz w:val="24"/>
          <w:szCs w:val="24"/>
          <w:highlight w:val="none"/>
        </w:rPr>
        <w:t xml:space="preserve">公开招标</w:t>
      </w:r>
      <w:r>
        <w:rPr>
          <w:color w:val="auto"/>
          <w:highlight w:val="none"/>
        </w:rPr>
      </w:r>
      <w:r/>
    </w:p>
    <w:p>
      <w:pPr>
        <w:numPr>
          <w:ilvl w:val="0"/>
          <w:numId w:val="11"/>
        </w:numPr>
        <w:ind w:left="-1"/>
        <w:spacing w:after="0"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lang w:val="zh-CN"/>
        </w:rPr>
        <w:t xml:space="preserve">项目名称：</w:t>
      </w:r>
      <w:r>
        <w:rPr>
          <w:rFonts w:hint="eastAsia" w:ascii="宋体" w:hAnsi="宋体" w:cs="宋体"/>
          <w:color w:val="auto"/>
          <w:sz w:val="24"/>
          <w:szCs w:val="24"/>
          <w:highlight w:val="none"/>
          <w:lang w:val="zh-CN"/>
        </w:rPr>
        <w:t xml:space="preserve">2026年实验室仪器购置</w:t>
      </w:r>
      <w:r>
        <w:rPr>
          <w:color w:val="auto"/>
          <w:highlight w:val="none"/>
        </w:rPr>
      </w:r>
      <w:r/>
    </w:p>
    <w:p>
      <w:pPr>
        <w:numPr>
          <w:ilvl w:val="0"/>
          <w:numId w:val="11"/>
        </w:numPr>
        <w:ind w:left="-1"/>
        <w:spacing w:after="0"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采购需求：</w:t>
      </w:r>
      <w:r>
        <w:rPr>
          <w:color w:val="auto"/>
          <w:highlight w:val="none"/>
        </w:rPr>
      </w:r>
      <w:r/>
    </w:p>
    <w:p>
      <w:pPr>
        <w:pStyle w:val="778"/>
        <w:numPr>
          <w:ilvl w:val="0"/>
          <w:numId w:val="12"/>
        </w:numPr>
        <w:spacing w:after="0"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招标清单</w:t>
      </w:r>
      <w:r>
        <w:rPr>
          <w:color w:val="auto"/>
          <w:highlight w:val="none"/>
        </w:rPr>
      </w:r>
      <w:r/>
    </w:p>
    <w:tbl>
      <w:tblPr>
        <w:tblW w:w="97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1136"/>
        <w:gridCol w:w="4589"/>
        <w:gridCol w:w="1125"/>
        <w:gridCol w:w="2865"/>
      </w:tblGrid>
      <w:tr>
        <w:trPr>
          <w:trHeight w:val="454"/>
        </w:trPr>
        <w:tc>
          <w:tcPr>
            <w:tcMar>
              <w:left w:w="15" w:type="dxa"/>
              <w:top w:w="15" w:type="dxa"/>
              <w:right w:w="15" w:type="dxa"/>
            </w:tcMar>
            <w:tcW w:w="1136" w:type="dxa"/>
            <w:vAlign w:val="center"/>
            <w:textDirection w:val="lrTb"/>
            <w:noWrap w:val="false"/>
          </w:tcPr>
          <w:p>
            <w:pPr>
              <w:jc w:val="center"/>
              <w:spacing w:after="0" w:line="24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序号</w:t>
            </w:r>
            <w:r>
              <w:rPr>
                <w:color w:val="auto"/>
                <w:highlight w:val="none"/>
              </w:rPr>
            </w:r>
            <w:r/>
          </w:p>
        </w:tc>
        <w:tc>
          <w:tcPr>
            <w:tcMar>
              <w:left w:w="15" w:type="dxa"/>
              <w:top w:w="15" w:type="dxa"/>
              <w:right w:w="15" w:type="dxa"/>
            </w:tcMar>
            <w:tcW w:w="4589" w:type="dxa"/>
            <w:vAlign w:val="center"/>
            <w:textDirection w:val="lrTb"/>
            <w:noWrap w:val="false"/>
          </w:tcPr>
          <w:p>
            <w:pPr>
              <w:jc w:val="center"/>
              <w:spacing w:after="0" w:line="24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仪器</w:t>
            </w:r>
            <w:r>
              <w:rPr>
                <w:color w:val="auto"/>
                <w:highlight w:val="none"/>
              </w:rPr>
            </w:r>
            <w:r/>
          </w:p>
        </w:tc>
        <w:tc>
          <w:tcPr>
            <w:tcMar>
              <w:left w:w="15" w:type="dxa"/>
              <w:top w:w="15" w:type="dxa"/>
              <w:right w:w="15" w:type="dxa"/>
            </w:tcMar>
            <w:tcW w:w="1125" w:type="dxa"/>
            <w:vAlign w:val="center"/>
            <w:textDirection w:val="lrTb"/>
            <w:noWrap w:val="false"/>
          </w:tcPr>
          <w:p>
            <w:pPr>
              <w:jc w:val="center"/>
              <w:spacing w:after="0" w:line="24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数量</w:t>
            </w:r>
            <w:r>
              <w:rPr>
                <w:color w:val="auto"/>
                <w:highlight w:val="none"/>
              </w:rPr>
            </w:r>
            <w:r/>
          </w:p>
        </w:tc>
        <w:tc>
          <w:tcPr>
            <w:tcMar>
              <w:left w:w="15" w:type="dxa"/>
              <w:top w:w="15" w:type="dxa"/>
              <w:right w:w="15" w:type="dxa"/>
            </w:tcMar>
            <w:tcW w:w="2865" w:type="dxa"/>
            <w:vAlign w:val="center"/>
            <w:textDirection w:val="lrTb"/>
            <w:noWrap w:val="false"/>
          </w:tcPr>
          <w:p>
            <w:pPr>
              <w:jc w:val="center"/>
              <w:spacing w:after="0" w:line="24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备注</w:t>
            </w:r>
            <w:r>
              <w:rPr>
                <w:color w:val="auto"/>
                <w:highlight w:val="none"/>
              </w:rPr>
            </w:r>
            <w:r/>
          </w:p>
        </w:tc>
      </w:tr>
      <w:tr>
        <w:trPr>
          <w:trHeight w:val="454"/>
        </w:trPr>
        <w:tc>
          <w:tcPr>
            <w:tcMar>
              <w:left w:w="15" w:type="dxa"/>
              <w:top w:w="15" w:type="dxa"/>
              <w:right w:w="15" w:type="dxa"/>
            </w:tcMar>
            <w:tcW w:w="1136" w:type="dxa"/>
            <w:vAlign w:val="center"/>
            <w:textDirection w:val="lrTb"/>
            <w:noWrap w:val="false"/>
          </w:tcPr>
          <w:p>
            <w:pPr>
              <w:jc w:val="center"/>
              <w:spacing w:after="0" w:line="24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color w:val="auto"/>
                <w:highlight w:val="none"/>
              </w:rPr>
            </w:r>
            <w:r/>
          </w:p>
        </w:tc>
        <w:tc>
          <w:tcPr>
            <w:tcMar>
              <w:left w:w="15" w:type="dxa"/>
              <w:top w:w="15" w:type="dxa"/>
              <w:right w:w="15" w:type="dxa"/>
            </w:tcMar>
            <w:tcW w:w="4589" w:type="dxa"/>
            <w:vAlign w:val="center"/>
            <w:textDirection w:val="lrTb"/>
            <w:noWrap w:val="false"/>
          </w:tcPr>
          <w:p>
            <w:pPr>
              <w:jc w:val="center"/>
              <w:spacing w:after="0" w:line="24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原子吸收分光光度计</w:t>
            </w:r>
            <w:r>
              <w:rPr>
                <w:color w:val="auto"/>
                <w:highlight w:val="none"/>
              </w:rPr>
            </w:r>
            <w:r/>
          </w:p>
        </w:tc>
        <w:tc>
          <w:tcPr>
            <w:tcMar>
              <w:left w:w="15" w:type="dxa"/>
              <w:top w:w="15" w:type="dxa"/>
              <w:right w:w="15" w:type="dxa"/>
            </w:tcMar>
            <w:tcW w:w="1125" w:type="dxa"/>
            <w:vAlign w:val="center"/>
            <w:textDirection w:val="lrTb"/>
            <w:noWrap w:val="false"/>
          </w:tcPr>
          <w:p>
            <w:pPr>
              <w:jc w:val="center"/>
              <w:spacing w:after="0" w:line="24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1套</w:t>
            </w:r>
            <w:r>
              <w:rPr>
                <w:color w:val="auto"/>
                <w:highlight w:val="none"/>
              </w:rPr>
            </w:r>
            <w:r/>
          </w:p>
        </w:tc>
        <w:tc>
          <w:tcPr>
            <w:tcMar>
              <w:left w:w="15" w:type="dxa"/>
              <w:top w:w="15" w:type="dxa"/>
              <w:right w:w="15" w:type="dxa"/>
            </w:tcMar>
            <w:tcW w:w="2865" w:type="dxa"/>
            <w:vAlign w:val="center"/>
            <w:textDirection w:val="lrTb"/>
            <w:noWrap w:val="false"/>
          </w:tcPr>
          <w:p>
            <w:pPr>
              <w:jc w:val="center"/>
              <w:spacing w:after="0" w:line="24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本项目核心产品</w:t>
            </w:r>
            <w:r>
              <w:rPr>
                <w:color w:val="auto"/>
                <w:highlight w:val="none"/>
              </w:rPr>
            </w:r>
            <w:r/>
          </w:p>
        </w:tc>
      </w:tr>
      <w:tr>
        <w:trPr>
          <w:trHeight w:val="454"/>
        </w:trPr>
        <w:tc>
          <w:tcPr>
            <w:tcMar>
              <w:left w:w="15" w:type="dxa"/>
              <w:top w:w="15" w:type="dxa"/>
              <w:right w:w="15" w:type="dxa"/>
            </w:tcMar>
            <w:tcW w:w="1136" w:type="dxa"/>
            <w:vAlign w:val="center"/>
            <w:textDirection w:val="lrTb"/>
            <w:noWrap w:val="false"/>
          </w:tcPr>
          <w:p>
            <w:pPr>
              <w:jc w:val="center"/>
              <w:spacing w:after="0" w:line="24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color w:val="auto"/>
                <w:highlight w:val="none"/>
              </w:rPr>
            </w:r>
            <w:r/>
          </w:p>
        </w:tc>
        <w:tc>
          <w:tcPr>
            <w:tcMar>
              <w:left w:w="15" w:type="dxa"/>
              <w:top w:w="15" w:type="dxa"/>
              <w:right w:w="15" w:type="dxa"/>
            </w:tcMar>
            <w:tcW w:w="4589" w:type="dxa"/>
            <w:vAlign w:val="center"/>
            <w:textDirection w:val="lrTb"/>
            <w:noWrap w:val="false"/>
          </w:tcPr>
          <w:p>
            <w:pPr>
              <w:jc w:val="center"/>
              <w:spacing w:after="0" w:line="24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生物显微镜</w:t>
            </w:r>
            <w:r>
              <w:rPr>
                <w:color w:val="auto"/>
                <w:highlight w:val="none"/>
              </w:rPr>
            </w:r>
            <w:r/>
          </w:p>
        </w:tc>
        <w:tc>
          <w:tcPr>
            <w:tcMar>
              <w:left w:w="15" w:type="dxa"/>
              <w:top w:w="15" w:type="dxa"/>
              <w:right w:w="15" w:type="dxa"/>
            </w:tcMar>
            <w:tcW w:w="1125" w:type="dxa"/>
            <w:vAlign w:val="center"/>
            <w:textDirection w:val="lrTb"/>
            <w:noWrap w:val="false"/>
          </w:tcPr>
          <w:p>
            <w:pPr>
              <w:jc w:val="center"/>
              <w:spacing w:after="0" w:line="24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1套</w:t>
            </w:r>
            <w:r>
              <w:rPr>
                <w:color w:val="auto"/>
                <w:highlight w:val="none"/>
              </w:rPr>
            </w:r>
            <w:r/>
          </w:p>
        </w:tc>
        <w:tc>
          <w:tcPr>
            <w:tcMar>
              <w:left w:w="15" w:type="dxa"/>
              <w:top w:w="15" w:type="dxa"/>
              <w:right w:w="15" w:type="dxa"/>
            </w:tcMar>
            <w:tcW w:w="2865" w:type="dxa"/>
            <w:vAlign w:val="center"/>
            <w:textDirection w:val="lrTb"/>
            <w:noWrap w:val="false"/>
          </w:tcPr>
          <w:p>
            <w:pPr>
              <w:jc w:val="center"/>
              <w:spacing w:after="0" w:line="240" w:lineRule="auto"/>
              <w:widowControl/>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r>
      <w:tr>
        <w:trPr>
          <w:trHeight w:val="454"/>
        </w:trPr>
        <w:tc>
          <w:tcPr>
            <w:tcMar>
              <w:left w:w="15" w:type="dxa"/>
              <w:top w:w="15" w:type="dxa"/>
              <w:right w:w="15" w:type="dxa"/>
            </w:tcMar>
            <w:tcW w:w="1136" w:type="dxa"/>
            <w:vAlign w:val="center"/>
            <w:textDirection w:val="lrTb"/>
            <w:noWrap w:val="false"/>
          </w:tcPr>
          <w:p>
            <w:pPr>
              <w:jc w:val="center"/>
              <w:spacing w:after="0" w:line="24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rPr>
                <w:color w:val="auto"/>
                <w:highlight w:val="none"/>
              </w:rPr>
            </w:r>
            <w:r/>
          </w:p>
        </w:tc>
        <w:tc>
          <w:tcPr>
            <w:tcMar>
              <w:left w:w="15" w:type="dxa"/>
              <w:top w:w="15" w:type="dxa"/>
              <w:right w:w="15" w:type="dxa"/>
            </w:tcMar>
            <w:tcW w:w="4589" w:type="dxa"/>
            <w:vAlign w:val="center"/>
            <w:textDirection w:val="lrTb"/>
            <w:noWrap w:val="false"/>
          </w:tcPr>
          <w:p>
            <w:pPr>
              <w:jc w:val="center"/>
              <w:spacing w:after="0" w:line="24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电导率仪</w:t>
            </w:r>
            <w:r>
              <w:rPr>
                <w:color w:val="auto"/>
                <w:highlight w:val="none"/>
              </w:rPr>
            </w:r>
            <w:r/>
          </w:p>
        </w:tc>
        <w:tc>
          <w:tcPr>
            <w:tcMar>
              <w:left w:w="15" w:type="dxa"/>
              <w:top w:w="15" w:type="dxa"/>
              <w:right w:w="15" w:type="dxa"/>
            </w:tcMar>
            <w:tcW w:w="1125" w:type="dxa"/>
            <w:vAlign w:val="center"/>
            <w:textDirection w:val="lrTb"/>
            <w:noWrap w:val="false"/>
          </w:tcPr>
          <w:p>
            <w:pPr>
              <w:jc w:val="center"/>
              <w:spacing w:after="0" w:line="24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1套</w:t>
            </w:r>
            <w:r>
              <w:rPr>
                <w:color w:val="auto"/>
                <w:highlight w:val="none"/>
              </w:rPr>
            </w:r>
            <w:r/>
          </w:p>
        </w:tc>
        <w:tc>
          <w:tcPr>
            <w:tcMar>
              <w:left w:w="15" w:type="dxa"/>
              <w:top w:w="15" w:type="dxa"/>
              <w:right w:w="15" w:type="dxa"/>
            </w:tcMar>
            <w:tcW w:w="2865" w:type="dxa"/>
            <w:vAlign w:val="center"/>
            <w:textDirection w:val="lrTb"/>
            <w:noWrap w:val="false"/>
          </w:tcPr>
          <w:p>
            <w:pPr>
              <w:jc w:val="center"/>
              <w:spacing w:after="0" w:line="240" w:lineRule="auto"/>
              <w:widowControl/>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r>
      <w:tr>
        <w:trPr>
          <w:trHeight w:val="454"/>
        </w:trPr>
        <w:tc>
          <w:tcPr>
            <w:tcMar>
              <w:left w:w="15" w:type="dxa"/>
              <w:top w:w="15" w:type="dxa"/>
              <w:right w:w="15" w:type="dxa"/>
            </w:tcMar>
            <w:tcW w:w="1136" w:type="dxa"/>
            <w:vAlign w:val="center"/>
            <w:textDirection w:val="lrTb"/>
            <w:noWrap w:val="false"/>
          </w:tcPr>
          <w:p>
            <w:pPr>
              <w:jc w:val="center"/>
              <w:spacing w:after="0" w:line="24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rPr>
                <w:color w:val="auto"/>
                <w:highlight w:val="none"/>
              </w:rPr>
            </w:r>
            <w:r/>
          </w:p>
        </w:tc>
        <w:tc>
          <w:tcPr>
            <w:tcMar>
              <w:left w:w="15" w:type="dxa"/>
              <w:top w:w="15" w:type="dxa"/>
              <w:right w:w="15" w:type="dxa"/>
            </w:tcMar>
            <w:tcW w:w="4589" w:type="dxa"/>
            <w:vAlign w:val="center"/>
            <w:textDirection w:val="lrTb"/>
            <w:noWrap w:val="false"/>
          </w:tcPr>
          <w:p>
            <w:pPr>
              <w:jc w:val="center"/>
              <w:spacing w:after="0" w:line="24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纯水机</w:t>
            </w:r>
            <w:r>
              <w:rPr>
                <w:color w:val="auto"/>
                <w:highlight w:val="none"/>
              </w:rPr>
            </w:r>
            <w:r/>
          </w:p>
        </w:tc>
        <w:tc>
          <w:tcPr>
            <w:tcMar>
              <w:left w:w="15" w:type="dxa"/>
              <w:top w:w="15" w:type="dxa"/>
              <w:right w:w="15" w:type="dxa"/>
            </w:tcMar>
            <w:tcW w:w="1125" w:type="dxa"/>
            <w:vAlign w:val="center"/>
            <w:textDirection w:val="lrTb"/>
            <w:noWrap w:val="false"/>
          </w:tcPr>
          <w:p>
            <w:pPr>
              <w:jc w:val="center"/>
              <w:spacing w:after="0" w:line="24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1套</w:t>
            </w:r>
            <w:r>
              <w:rPr>
                <w:color w:val="auto"/>
                <w:highlight w:val="none"/>
              </w:rPr>
            </w:r>
            <w:r/>
          </w:p>
        </w:tc>
        <w:tc>
          <w:tcPr>
            <w:tcMar>
              <w:left w:w="15" w:type="dxa"/>
              <w:top w:w="15" w:type="dxa"/>
              <w:right w:w="15" w:type="dxa"/>
            </w:tcMar>
            <w:tcW w:w="2865" w:type="dxa"/>
            <w:vAlign w:val="center"/>
            <w:textDirection w:val="lrTb"/>
            <w:noWrap w:val="false"/>
          </w:tcPr>
          <w:p>
            <w:pPr>
              <w:jc w:val="center"/>
              <w:spacing w:after="0" w:line="240" w:lineRule="auto"/>
              <w:widowControl/>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r>
      <w:tr>
        <w:trPr>
          <w:trHeight w:val="454"/>
        </w:trPr>
        <w:tc>
          <w:tcPr>
            <w:tcMar>
              <w:left w:w="15" w:type="dxa"/>
              <w:top w:w="15" w:type="dxa"/>
              <w:right w:w="15" w:type="dxa"/>
            </w:tcMar>
            <w:tcW w:w="1136" w:type="dxa"/>
            <w:vAlign w:val="center"/>
            <w:textDirection w:val="lrTb"/>
            <w:noWrap w:val="false"/>
          </w:tcPr>
          <w:p>
            <w:pPr>
              <w:jc w:val="center"/>
              <w:spacing w:after="0" w:line="24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rPr>
                <w:color w:val="auto"/>
                <w:highlight w:val="none"/>
              </w:rPr>
            </w:r>
            <w:r/>
          </w:p>
        </w:tc>
        <w:tc>
          <w:tcPr>
            <w:tcMar>
              <w:left w:w="15" w:type="dxa"/>
              <w:top w:w="15" w:type="dxa"/>
              <w:right w:w="15" w:type="dxa"/>
            </w:tcMar>
            <w:tcW w:w="4589" w:type="dxa"/>
            <w:vAlign w:val="center"/>
            <w:textDirection w:val="lrTb"/>
            <w:noWrap w:val="false"/>
          </w:tcPr>
          <w:p>
            <w:pPr>
              <w:jc w:val="center"/>
              <w:spacing w:after="0" w:line="24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离子计</w:t>
            </w:r>
            <w:r>
              <w:rPr>
                <w:color w:val="auto"/>
                <w:highlight w:val="none"/>
              </w:rPr>
            </w:r>
            <w:r/>
          </w:p>
        </w:tc>
        <w:tc>
          <w:tcPr>
            <w:tcMar>
              <w:left w:w="15" w:type="dxa"/>
              <w:top w:w="15" w:type="dxa"/>
              <w:right w:w="15" w:type="dxa"/>
            </w:tcMar>
            <w:tcW w:w="1125" w:type="dxa"/>
            <w:vAlign w:val="center"/>
            <w:textDirection w:val="lrTb"/>
            <w:noWrap w:val="false"/>
          </w:tcPr>
          <w:p>
            <w:pPr>
              <w:jc w:val="center"/>
              <w:spacing w:after="0" w:line="24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1套</w:t>
            </w:r>
            <w:r>
              <w:rPr>
                <w:color w:val="auto"/>
                <w:highlight w:val="none"/>
              </w:rPr>
            </w:r>
            <w:r/>
          </w:p>
        </w:tc>
        <w:tc>
          <w:tcPr>
            <w:tcMar>
              <w:left w:w="15" w:type="dxa"/>
              <w:top w:w="15" w:type="dxa"/>
              <w:right w:w="15" w:type="dxa"/>
            </w:tcMar>
            <w:tcW w:w="2865" w:type="dxa"/>
            <w:vAlign w:val="center"/>
            <w:textDirection w:val="lrTb"/>
            <w:noWrap w:val="false"/>
          </w:tcPr>
          <w:p>
            <w:pPr>
              <w:jc w:val="center"/>
              <w:spacing w:after="0" w:line="240" w:lineRule="auto"/>
              <w:widowControl/>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r>
      <w:tr>
        <w:trPr>
          <w:trHeight w:val="454"/>
        </w:trPr>
        <w:tc>
          <w:tcPr>
            <w:tcMar>
              <w:left w:w="15" w:type="dxa"/>
              <w:top w:w="15" w:type="dxa"/>
              <w:right w:w="15" w:type="dxa"/>
            </w:tcMar>
            <w:tcW w:w="1136" w:type="dxa"/>
            <w:vAlign w:val="center"/>
            <w:textDirection w:val="lrTb"/>
            <w:noWrap w:val="false"/>
          </w:tcPr>
          <w:p>
            <w:pPr>
              <w:jc w:val="center"/>
              <w:spacing w:after="0" w:line="24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rPr>
                <w:color w:val="auto"/>
                <w:highlight w:val="none"/>
              </w:rPr>
            </w:r>
            <w:r/>
          </w:p>
        </w:tc>
        <w:tc>
          <w:tcPr>
            <w:tcMar>
              <w:left w:w="15" w:type="dxa"/>
              <w:top w:w="15" w:type="dxa"/>
              <w:right w:w="15" w:type="dxa"/>
            </w:tcMar>
            <w:tcW w:w="4589" w:type="dxa"/>
            <w:vAlign w:val="center"/>
            <w:textDirection w:val="lrTb"/>
            <w:noWrap w:val="false"/>
          </w:tcPr>
          <w:p>
            <w:pPr>
              <w:jc w:val="center"/>
              <w:spacing w:after="0" w:line="240" w:lineRule="auto"/>
              <w:widowControl/>
              <w:rPr>
                <w:rFonts w:ascii="宋体" w:hAnsi="宋体" w:cs="宋体"/>
                <w:color w:val="auto"/>
                <w:sz w:val="24"/>
                <w:szCs w:val="24"/>
                <w:highlight w:val="none"/>
              </w:rPr>
            </w:pPr>
            <w:r>
              <w:rPr>
                <w:rStyle w:val="1146"/>
                <w:rFonts w:hint="default" w:ascii="宋体" w:hAnsi="宋体" w:eastAsia="宋体" w:cs="宋体"/>
                <w:color w:val="auto"/>
                <w:sz w:val="24"/>
                <w:szCs w:val="24"/>
                <w:highlight w:val="none"/>
              </w:rPr>
              <w:t xml:space="preserve">数字</w:t>
            </w:r>
            <w:r>
              <w:rPr>
                <w:rStyle w:val="1147"/>
                <w:rFonts w:hint="default" w:ascii="宋体" w:hAnsi="宋体" w:eastAsia="宋体" w:cs="宋体"/>
                <w:color w:val="auto"/>
                <w:sz w:val="24"/>
                <w:szCs w:val="24"/>
                <w:highlight w:val="none"/>
              </w:rPr>
              <w:t xml:space="preserve">瓶口滴定器</w:t>
            </w:r>
            <w:r>
              <w:rPr>
                <w:color w:val="auto"/>
                <w:highlight w:val="none"/>
              </w:rPr>
            </w:r>
            <w:r/>
          </w:p>
        </w:tc>
        <w:tc>
          <w:tcPr>
            <w:tcMar>
              <w:left w:w="15" w:type="dxa"/>
              <w:top w:w="15" w:type="dxa"/>
              <w:right w:w="15" w:type="dxa"/>
            </w:tcMar>
            <w:tcW w:w="1125" w:type="dxa"/>
            <w:vAlign w:val="center"/>
            <w:textDirection w:val="lrTb"/>
            <w:noWrap w:val="false"/>
          </w:tcPr>
          <w:p>
            <w:pPr>
              <w:jc w:val="center"/>
              <w:spacing w:after="0" w:line="24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4套</w:t>
            </w:r>
            <w:r>
              <w:rPr>
                <w:color w:val="auto"/>
                <w:highlight w:val="none"/>
              </w:rPr>
            </w:r>
            <w:r/>
          </w:p>
        </w:tc>
        <w:tc>
          <w:tcPr>
            <w:tcMar>
              <w:left w:w="15" w:type="dxa"/>
              <w:top w:w="15" w:type="dxa"/>
              <w:right w:w="15" w:type="dxa"/>
            </w:tcMar>
            <w:tcW w:w="2865" w:type="dxa"/>
            <w:vAlign w:val="center"/>
            <w:textDirection w:val="lrTb"/>
            <w:noWrap w:val="false"/>
          </w:tcPr>
          <w:p>
            <w:pPr>
              <w:jc w:val="center"/>
              <w:spacing w:after="0" w:line="240" w:lineRule="auto"/>
              <w:widowControl/>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r>
      <w:tr>
        <w:trPr>
          <w:trHeight w:val="454"/>
        </w:trPr>
        <w:tc>
          <w:tcPr>
            <w:tcMar>
              <w:left w:w="15" w:type="dxa"/>
              <w:top w:w="15" w:type="dxa"/>
              <w:right w:w="15" w:type="dxa"/>
            </w:tcMar>
            <w:tcW w:w="1136" w:type="dxa"/>
            <w:vAlign w:val="center"/>
            <w:textDirection w:val="lrTb"/>
            <w:noWrap w:val="false"/>
          </w:tcPr>
          <w:p>
            <w:pPr>
              <w:jc w:val="center"/>
              <w:spacing w:after="0" w:line="24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7</w:t>
            </w:r>
            <w:r>
              <w:rPr>
                <w:color w:val="auto"/>
                <w:highlight w:val="none"/>
              </w:rPr>
            </w:r>
            <w:r/>
          </w:p>
        </w:tc>
        <w:tc>
          <w:tcPr>
            <w:tcMar>
              <w:left w:w="15" w:type="dxa"/>
              <w:top w:w="15" w:type="dxa"/>
              <w:right w:w="15" w:type="dxa"/>
            </w:tcMar>
            <w:tcW w:w="4589" w:type="dxa"/>
            <w:vAlign w:val="center"/>
            <w:textDirection w:val="lrTb"/>
            <w:noWrap w:val="false"/>
          </w:tcPr>
          <w:p>
            <w:pPr>
              <w:jc w:val="center"/>
              <w:spacing w:after="0" w:line="24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烟尘/气浓度测试仪</w:t>
            </w:r>
            <w:r>
              <w:rPr>
                <w:color w:val="auto"/>
                <w:highlight w:val="none"/>
              </w:rPr>
            </w:r>
            <w:r/>
          </w:p>
        </w:tc>
        <w:tc>
          <w:tcPr>
            <w:tcMar>
              <w:left w:w="15" w:type="dxa"/>
              <w:top w:w="15" w:type="dxa"/>
              <w:right w:w="15" w:type="dxa"/>
            </w:tcMar>
            <w:tcW w:w="1125" w:type="dxa"/>
            <w:vAlign w:val="center"/>
            <w:textDirection w:val="lrTb"/>
            <w:noWrap w:val="false"/>
          </w:tcPr>
          <w:p>
            <w:pPr>
              <w:jc w:val="center"/>
              <w:spacing w:after="0" w:line="24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1套</w:t>
            </w:r>
            <w:r>
              <w:rPr>
                <w:color w:val="auto"/>
                <w:highlight w:val="none"/>
              </w:rPr>
            </w:r>
            <w:r/>
          </w:p>
        </w:tc>
        <w:tc>
          <w:tcPr>
            <w:tcMar>
              <w:left w:w="15" w:type="dxa"/>
              <w:top w:w="15" w:type="dxa"/>
              <w:right w:w="15" w:type="dxa"/>
            </w:tcMar>
            <w:tcW w:w="2865" w:type="dxa"/>
            <w:vAlign w:val="center"/>
            <w:textDirection w:val="lrTb"/>
            <w:noWrap w:val="false"/>
          </w:tcPr>
          <w:p>
            <w:pPr>
              <w:jc w:val="center"/>
              <w:spacing w:after="0" w:line="24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本项目核心产品</w:t>
            </w:r>
            <w:r>
              <w:rPr>
                <w:color w:val="auto"/>
                <w:highlight w:val="none"/>
              </w:rPr>
            </w:r>
            <w:r/>
          </w:p>
        </w:tc>
      </w:tr>
      <w:tr>
        <w:trPr>
          <w:trHeight w:val="454"/>
        </w:trPr>
        <w:tc>
          <w:tcPr>
            <w:tcMar>
              <w:left w:w="15" w:type="dxa"/>
              <w:top w:w="15" w:type="dxa"/>
              <w:right w:w="15" w:type="dxa"/>
            </w:tcMar>
            <w:tcW w:w="1136" w:type="dxa"/>
            <w:vAlign w:val="center"/>
            <w:textDirection w:val="lrTb"/>
            <w:noWrap w:val="false"/>
          </w:tcPr>
          <w:p>
            <w:pPr>
              <w:jc w:val="center"/>
              <w:spacing w:after="0" w:line="24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8</w:t>
            </w:r>
            <w:r>
              <w:rPr>
                <w:color w:val="auto"/>
                <w:highlight w:val="none"/>
              </w:rPr>
            </w:r>
            <w:r/>
          </w:p>
        </w:tc>
        <w:tc>
          <w:tcPr>
            <w:tcMar>
              <w:left w:w="15" w:type="dxa"/>
              <w:top w:w="15" w:type="dxa"/>
              <w:right w:w="15" w:type="dxa"/>
            </w:tcMar>
            <w:tcW w:w="4589" w:type="dxa"/>
            <w:vAlign w:val="center"/>
            <w:textDirection w:val="lrTb"/>
            <w:noWrap w:val="false"/>
          </w:tcPr>
          <w:p>
            <w:pPr>
              <w:jc w:val="center"/>
              <w:spacing w:after="0" w:line="24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环境空气综合采样器</w:t>
            </w:r>
            <w:r>
              <w:rPr>
                <w:color w:val="auto"/>
                <w:highlight w:val="none"/>
              </w:rPr>
            </w:r>
            <w:r/>
          </w:p>
        </w:tc>
        <w:tc>
          <w:tcPr>
            <w:tcMar>
              <w:left w:w="15" w:type="dxa"/>
              <w:top w:w="15" w:type="dxa"/>
              <w:right w:w="15" w:type="dxa"/>
            </w:tcMar>
            <w:tcW w:w="1125" w:type="dxa"/>
            <w:vAlign w:val="center"/>
            <w:textDirection w:val="lrTb"/>
            <w:noWrap w:val="false"/>
          </w:tcPr>
          <w:p>
            <w:pPr>
              <w:jc w:val="center"/>
              <w:spacing w:after="0" w:line="24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4套</w:t>
            </w:r>
            <w:r>
              <w:rPr>
                <w:color w:val="auto"/>
                <w:highlight w:val="none"/>
              </w:rPr>
            </w:r>
            <w:r/>
          </w:p>
        </w:tc>
        <w:tc>
          <w:tcPr>
            <w:tcMar>
              <w:left w:w="15" w:type="dxa"/>
              <w:top w:w="15" w:type="dxa"/>
              <w:right w:w="15" w:type="dxa"/>
            </w:tcMar>
            <w:tcW w:w="2865" w:type="dxa"/>
            <w:vAlign w:val="center"/>
            <w:textDirection w:val="lrTb"/>
            <w:noWrap w:val="false"/>
          </w:tcPr>
          <w:p>
            <w:pPr>
              <w:jc w:val="center"/>
              <w:spacing w:after="0" w:line="240" w:lineRule="auto"/>
              <w:widowControl/>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r>
      <w:tr>
        <w:trPr>
          <w:trHeight w:val="454"/>
        </w:trPr>
        <w:tc>
          <w:tcPr>
            <w:tcMar>
              <w:left w:w="15" w:type="dxa"/>
              <w:top w:w="15" w:type="dxa"/>
              <w:right w:w="15" w:type="dxa"/>
            </w:tcMar>
            <w:tcW w:w="1136" w:type="dxa"/>
            <w:vAlign w:val="center"/>
            <w:textDirection w:val="lrTb"/>
            <w:noWrap w:val="false"/>
          </w:tcPr>
          <w:p>
            <w:pPr>
              <w:jc w:val="center"/>
              <w:spacing w:after="0" w:line="24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9</w:t>
            </w:r>
            <w:r>
              <w:rPr>
                <w:color w:val="auto"/>
                <w:highlight w:val="none"/>
              </w:rPr>
            </w:r>
            <w:r/>
          </w:p>
        </w:tc>
        <w:tc>
          <w:tcPr>
            <w:tcMar>
              <w:left w:w="15" w:type="dxa"/>
              <w:top w:w="15" w:type="dxa"/>
              <w:right w:w="15" w:type="dxa"/>
            </w:tcMar>
            <w:tcW w:w="4589" w:type="dxa"/>
            <w:vAlign w:val="center"/>
            <w:textDirection w:val="lrTb"/>
            <w:noWrap w:val="false"/>
          </w:tcPr>
          <w:p>
            <w:pPr>
              <w:jc w:val="center"/>
              <w:spacing w:after="0" w:line="24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智能双</w:t>
            </w:r>
            <w:r>
              <w:rPr>
                <w:rFonts w:hint="eastAsia" w:ascii="宋体" w:hAnsi="宋体" w:cs="宋体"/>
                <w:color w:val="auto"/>
                <w:sz w:val="24"/>
                <w:szCs w:val="24"/>
                <w:highlight w:val="none"/>
              </w:rPr>
              <w:t xml:space="preserve">路烟气采样器</w:t>
            </w:r>
            <w:r>
              <w:rPr>
                <w:color w:val="auto"/>
                <w:highlight w:val="none"/>
              </w:rPr>
            </w:r>
            <w:r/>
          </w:p>
        </w:tc>
        <w:tc>
          <w:tcPr>
            <w:tcMar>
              <w:left w:w="15" w:type="dxa"/>
              <w:top w:w="15" w:type="dxa"/>
              <w:right w:w="15" w:type="dxa"/>
            </w:tcMar>
            <w:tcW w:w="1125" w:type="dxa"/>
            <w:vAlign w:val="center"/>
            <w:textDirection w:val="lrTb"/>
            <w:noWrap w:val="false"/>
          </w:tcPr>
          <w:p>
            <w:pPr>
              <w:jc w:val="center"/>
              <w:spacing w:after="0" w:line="24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2套</w:t>
            </w:r>
            <w:r>
              <w:rPr>
                <w:color w:val="auto"/>
                <w:highlight w:val="none"/>
              </w:rPr>
            </w:r>
            <w:r/>
          </w:p>
        </w:tc>
        <w:tc>
          <w:tcPr>
            <w:tcMar>
              <w:left w:w="15" w:type="dxa"/>
              <w:top w:w="15" w:type="dxa"/>
              <w:right w:w="15" w:type="dxa"/>
            </w:tcMar>
            <w:tcW w:w="2865" w:type="dxa"/>
            <w:vAlign w:val="center"/>
            <w:textDirection w:val="lrTb"/>
            <w:noWrap w:val="false"/>
          </w:tcPr>
          <w:p>
            <w:pPr>
              <w:jc w:val="center"/>
              <w:spacing w:after="0" w:line="240" w:lineRule="auto"/>
              <w:widowControl/>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r>
      <w:tr>
        <w:trPr>
          <w:trHeight w:val="454"/>
        </w:trPr>
        <w:tc>
          <w:tcPr>
            <w:tcMar>
              <w:left w:w="15" w:type="dxa"/>
              <w:top w:w="15" w:type="dxa"/>
              <w:right w:w="15" w:type="dxa"/>
            </w:tcMar>
            <w:tcW w:w="1136" w:type="dxa"/>
            <w:vAlign w:val="center"/>
            <w:textDirection w:val="lrTb"/>
            <w:noWrap w:val="false"/>
          </w:tcPr>
          <w:p>
            <w:pPr>
              <w:jc w:val="center"/>
              <w:spacing w:after="0" w:line="24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10</w:t>
            </w:r>
            <w:r>
              <w:rPr>
                <w:color w:val="auto"/>
                <w:highlight w:val="none"/>
              </w:rPr>
            </w:r>
            <w:r/>
          </w:p>
        </w:tc>
        <w:tc>
          <w:tcPr>
            <w:tcMar>
              <w:left w:w="15" w:type="dxa"/>
              <w:top w:w="15" w:type="dxa"/>
              <w:right w:w="15" w:type="dxa"/>
            </w:tcMar>
            <w:tcW w:w="4589" w:type="dxa"/>
            <w:vAlign w:val="center"/>
            <w:textDirection w:val="lrTb"/>
            <w:noWrap w:val="false"/>
          </w:tcPr>
          <w:p>
            <w:pPr>
              <w:jc w:val="center"/>
              <w:spacing w:after="0" w:line="240" w:lineRule="auto"/>
              <w:widowControl/>
              <w:rPr>
                <w:rFonts w:ascii="宋体" w:hAnsi="宋体" w:cs="宋体"/>
                <w:color w:val="auto"/>
                <w:sz w:val="24"/>
                <w:szCs w:val="24"/>
                <w:highlight w:val="none"/>
              </w:rPr>
            </w:pPr>
            <w:r>
              <w:rPr>
                <w:rStyle w:val="1147"/>
                <w:rFonts w:hint="default" w:ascii="宋体" w:hAnsi="宋体" w:eastAsia="宋体" w:cs="宋体"/>
                <w:color w:val="auto"/>
                <w:sz w:val="24"/>
                <w:szCs w:val="24"/>
                <w:highlight w:val="none"/>
              </w:rPr>
              <w:t xml:space="preserve">环境气体应急</w:t>
            </w:r>
            <w:r>
              <w:rPr>
                <w:rStyle w:val="1146"/>
                <w:rFonts w:hint="default" w:ascii="宋体" w:hAnsi="宋体" w:eastAsia="宋体" w:cs="宋体"/>
                <w:color w:val="auto"/>
                <w:sz w:val="24"/>
                <w:szCs w:val="24"/>
                <w:highlight w:val="none"/>
              </w:rPr>
              <w:t xml:space="preserve">检</w:t>
            </w:r>
            <w:r>
              <w:rPr>
                <w:rStyle w:val="1147"/>
                <w:rFonts w:hint="default" w:ascii="宋体" w:hAnsi="宋体" w:eastAsia="宋体" w:cs="宋体"/>
                <w:color w:val="auto"/>
                <w:sz w:val="24"/>
                <w:szCs w:val="24"/>
                <w:highlight w:val="none"/>
              </w:rPr>
              <w:t xml:space="preserve">测仪</w:t>
            </w:r>
            <w:r>
              <w:rPr>
                <w:color w:val="auto"/>
                <w:highlight w:val="none"/>
              </w:rPr>
            </w:r>
            <w:r/>
          </w:p>
        </w:tc>
        <w:tc>
          <w:tcPr>
            <w:tcMar>
              <w:left w:w="15" w:type="dxa"/>
              <w:top w:w="15" w:type="dxa"/>
              <w:right w:w="15" w:type="dxa"/>
            </w:tcMar>
            <w:tcW w:w="1125" w:type="dxa"/>
            <w:vAlign w:val="center"/>
            <w:textDirection w:val="lrTb"/>
            <w:noWrap w:val="false"/>
          </w:tcPr>
          <w:p>
            <w:pPr>
              <w:jc w:val="center"/>
              <w:spacing w:after="0" w:line="24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1套</w:t>
            </w:r>
            <w:r>
              <w:rPr>
                <w:color w:val="auto"/>
                <w:highlight w:val="none"/>
              </w:rPr>
            </w:r>
            <w:r/>
          </w:p>
        </w:tc>
        <w:tc>
          <w:tcPr>
            <w:tcMar>
              <w:left w:w="15" w:type="dxa"/>
              <w:top w:w="15" w:type="dxa"/>
              <w:right w:w="15" w:type="dxa"/>
            </w:tcMar>
            <w:tcW w:w="2865" w:type="dxa"/>
            <w:vAlign w:val="center"/>
            <w:textDirection w:val="lrTb"/>
            <w:noWrap w:val="false"/>
          </w:tcPr>
          <w:p>
            <w:pPr>
              <w:jc w:val="center"/>
              <w:spacing w:after="0" w:line="240" w:lineRule="auto"/>
              <w:widowControl/>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r>
      <w:tr>
        <w:trPr>
          <w:trHeight w:val="454"/>
        </w:trPr>
        <w:tc>
          <w:tcPr>
            <w:tcMar>
              <w:left w:w="15" w:type="dxa"/>
              <w:top w:w="15" w:type="dxa"/>
              <w:right w:w="15" w:type="dxa"/>
            </w:tcMar>
            <w:tcW w:w="1136" w:type="dxa"/>
            <w:vAlign w:val="center"/>
            <w:textDirection w:val="lrTb"/>
            <w:noWrap w:val="false"/>
          </w:tcPr>
          <w:p>
            <w:pPr>
              <w:jc w:val="center"/>
              <w:spacing w:after="0" w:line="24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11</w:t>
            </w:r>
            <w:r>
              <w:rPr>
                <w:color w:val="auto"/>
                <w:highlight w:val="none"/>
              </w:rPr>
            </w:r>
            <w:r/>
          </w:p>
        </w:tc>
        <w:tc>
          <w:tcPr>
            <w:tcMar>
              <w:left w:w="15" w:type="dxa"/>
              <w:top w:w="15" w:type="dxa"/>
              <w:right w:w="15" w:type="dxa"/>
            </w:tcMar>
            <w:tcW w:w="4589" w:type="dxa"/>
            <w:vAlign w:val="center"/>
            <w:textDirection w:val="lrTb"/>
            <w:noWrap w:val="false"/>
          </w:tcPr>
          <w:p>
            <w:pPr>
              <w:jc w:val="center"/>
              <w:spacing w:after="0" w:line="24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便携式恶臭检测仪</w:t>
            </w:r>
            <w:r>
              <w:rPr>
                <w:color w:val="auto"/>
                <w:highlight w:val="none"/>
              </w:rPr>
            </w:r>
            <w:r/>
          </w:p>
        </w:tc>
        <w:tc>
          <w:tcPr>
            <w:tcMar>
              <w:left w:w="15" w:type="dxa"/>
              <w:top w:w="15" w:type="dxa"/>
              <w:right w:w="15" w:type="dxa"/>
            </w:tcMar>
            <w:tcW w:w="1125" w:type="dxa"/>
            <w:vAlign w:val="center"/>
            <w:textDirection w:val="lrTb"/>
            <w:noWrap w:val="false"/>
          </w:tcPr>
          <w:p>
            <w:pPr>
              <w:jc w:val="center"/>
              <w:spacing w:after="0" w:line="24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1套</w:t>
            </w:r>
            <w:r>
              <w:rPr>
                <w:color w:val="auto"/>
                <w:highlight w:val="none"/>
              </w:rPr>
            </w:r>
            <w:r/>
          </w:p>
        </w:tc>
        <w:tc>
          <w:tcPr>
            <w:tcMar>
              <w:left w:w="15" w:type="dxa"/>
              <w:top w:w="15" w:type="dxa"/>
              <w:right w:w="15" w:type="dxa"/>
            </w:tcMar>
            <w:tcW w:w="2865" w:type="dxa"/>
            <w:vAlign w:val="center"/>
            <w:textDirection w:val="lrTb"/>
            <w:noWrap w:val="false"/>
          </w:tcPr>
          <w:p>
            <w:pPr>
              <w:jc w:val="center"/>
              <w:spacing w:after="0" w:line="240" w:lineRule="auto"/>
              <w:widowControl/>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r>
      <w:tr>
        <w:trPr>
          <w:trHeight w:val="454"/>
        </w:trPr>
        <w:tc>
          <w:tcPr>
            <w:tcMar>
              <w:left w:w="15" w:type="dxa"/>
              <w:top w:w="15" w:type="dxa"/>
              <w:right w:w="15" w:type="dxa"/>
            </w:tcMar>
            <w:tcW w:w="1136" w:type="dxa"/>
            <w:vAlign w:val="center"/>
            <w:textDirection w:val="lrTb"/>
            <w:noWrap w:val="false"/>
          </w:tcPr>
          <w:p>
            <w:pPr>
              <w:jc w:val="center"/>
              <w:spacing w:after="0" w:line="24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12</w:t>
            </w:r>
            <w:r>
              <w:rPr>
                <w:color w:val="auto"/>
                <w:highlight w:val="none"/>
              </w:rPr>
            </w:r>
            <w:r/>
          </w:p>
        </w:tc>
        <w:tc>
          <w:tcPr>
            <w:tcMar>
              <w:left w:w="15" w:type="dxa"/>
              <w:top w:w="15" w:type="dxa"/>
              <w:right w:w="15" w:type="dxa"/>
            </w:tcMar>
            <w:tcW w:w="4589" w:type="dxa"/>
            <w:vAlign w:val="center"/>
            <w:textDirection w:val="lrTb"/>
            <w:noWrap w:val="false"/>
          </w:tcPr>
          <w:p>
            <w:pPr>
              <w:jc w:val="center"/>
              <w:spacing w:after="0" w:line="24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便携式多参数水质自动分析仪</w:t>
            </w:r>
            <w:r>
              <w:rPr>
                <w:color w:val="auto"/>
                <w:highlight w:val="none"/>
              </w:rPr>
            </w:r>
            <w:r/>
          </w:p>
        </w:tc>
        <w:tc>
          <w:tcPr>
            <w:tcMar>
              <w:left w:w="15" w:type="dxa"/>
              <w:top w:w="15" w:type="dxa"/>
              <w:right w:w="15" w:type="dxa"/>
            </w:tcMar>
            <w:tcW w:w="1125" w:type="dxa"/>
            <w:vAlign w:val="center"/>
            <w:textDirection w:val="lrTb"/>
            <w:noWrap w:val="false"/>
          </w:tcPr>
          <w:p>
            <w:pPr>
              <w:jc w:val="center"/>
              <w:spacing w:after="0" w:line="24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1套</w:t>
            </w:r>
            <w:r>
              <w:rPr>
                <w:color w:val="auto"/>
                <w:highlight w:val="none"/>
              </w:rPr>
            </w:r>
            <w:r/>
          </w:p>
        </w:tc>
        <w:tc>
          <w:tcPr>
            <w:tcMar>
              <w:left w:w="15" w:type="dxa"/>
              <w:top w:w="15" w:type="dxa"/>
              <w:right w:w="15" w:type="dxa"/>
            </w:tcMar>
            <w:tcW w:w="2865" w:type="dxa"/>
            <w:vAlign w:val="center"/>
            <w:textDirection w:val="lrTb"/>
            <w:noWrap w:val="false"/>
          </w:tcPr>
          <w:p>
            <w:pPr>
              <w:jc w:val="center"/>
              <w:spacing w:after="0" w:line="240" w:lineRule="auto"/>
              <w:widowControl/>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r>
      <w:tr>
        <w:trPr>
          <w:trHeight w:val="454"/>
        </w:trPr>
        <w:tc>
          <w:tcPr>
            <w:tcMar>
              <w:left w:w="15" w:type="dxa"/>
              <w:top w:w="15" w:type="dxa"/>
              <w:right w:w="15" w:type="dxa"/>
            </w:tcMar>
            <w:tcW w:w="1136" w:type="dxa"/>
            <w:vAlign w:val="center"/>
            <w:textDirection w:val="lrTb"/>
            <w:noWrap w:val="false"/>
          </w:tcPr>
          <w:p>
            <w:pPr>
              <w:jc w:val="center"/>
              <w:spacing w:after="0" w:line="24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13</w:t>
            </w:r>
            <w:r>
              <w:rPr>
                <w:color w:val="auto"/>
                <w:highlight w:val="none"/>
              </w:rPr>
            </w:r>
            <w:r/>
          </w:p>
        </w:tc>
        <w:tc>
          <w:tcPr>
            <w:tcMar>
              <w:left w:w="15" w:type="dxa"/>
              <w:top w:w="15" w:type="dxa"/>
              <w:right w:w="15" w:type="dxa"/>
            </w:tcMar>
            <w:tcW w:w="4589" w:type="dxa"/>
            <w:vAlign w:val="center"/>
            <w:textDirection w:val="lrTb"/>
            <w:noWrap w:val="false"/>
          </w:tcPr>
          <w:p>
            <w:pPr>
              <w:jc w:val="center"/>
              <w:spacing w:after="0" w:line="24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声级计</w:t>
            </w:r>
            <w:r>
              <w:rPr>
                <w:color w:val="auto"/>
                <w:highlight w:val="none"/>
              </w:rPr>
            </w:r>
            <w:r/>
          </w:p>
        </w:tc>
        <w:tc>
          <w:tcPr>
            <w:tcMar>
              <w:left w:w="15" w:type="dxa"/>
              <w:top w:w="15" w:type="dxa"/>
              <w:right w:w="15" w:type="dxa"/>
            </w:tcMar>
            <w:tcW w:w="1125" w:type="dxa"/>
            <w:vAlign w:val="center"/>
            <w:textDirection w:val="lrTb"/>
            <w:noWrap w:val="false"/>
          </w:tcPr>
          <w:p>
            <w:pPr>
              <w:jc w:val="center"/>
              <w:spacing w:after="0" w:line="24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1套</w:t>
            </w:r>
            <w:r>
              <w:rPr>
                <w:color w:val="auto"/>
                <w:highlight w:val="none"/>
              </w:rPr>
            </w:r>
            <w:r/>
          </w:p>
        </w:tc>
        <w:tc>
          <w:tcPr>
            <w:tcMar>
              <w:left w:w="15" w:type="dxa"/>
              <w:top w:w="15" w:type="dxa"/>
              <w:right w:w="15" w:type="dxa"/>
            </w:tcMar>
            <w:tcW w:w="2865" w:type="dxa"/>
            <w:vAlign w:val="center"/>
            <w:textDirection w:val="lrTb"/>
            <w:noWrap w:val="false"/>
          </w:tcPr>
          <w:p>
            <w:pPr>
              <w:jc w:val="center"/>
              <w:spacing w:after="0" w:line="240" w:lineRule="auto"/>
              <w:widowControl/>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r>
      <w:tr>
        <w:trPr>
          <w:trHeight w:val="454"/>
        </w:trPr>
        <w:tc>
          <w:tcPr>
            <w:tcMar>
              <w:left w:w="15" w:type="dxa"/>
              <w:top w:w="15" w:type="dxa"/>
              <w:right w:w="15" w:type="dxa"/>
            </w:tcMar>
            <w:tcW w:w="1136" w:type="dxa"/>
            <w:vAlign w:val="center"/>
            <w:textDirection w:val="lrTb"/>
            <w:noWrap w:val="false"/>
          </w:tcPr>
          <w:p>
            <w:pPr>
              <w:jc w:val="center"/>
              <w:spacing w:after="0" w:line="24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14</w:t>
            </w:r>
            <w:r>
              <w:rPr>
                <w:color w:val="auto"/>
                <w:highlight w:val="none"/>
              </w:rPr>
            </w:r>
            <w:r/>
          </w:p>
        </w:tc>
        <w:tc>
          <w:tcPr>
            <w:tcMar>
              <w:left w:w="15" w:type="dxa"/>
              <w:top w:w="15" w:type="dxa"/>
              <w:right w:w="15" w:type="dxa"/>
            </w:tcMar>
            <w:tcW w:w="4589" w:type="dxa"/>
            <w:vAlign w:val="center"/>
            <w:textDirection w:val="lrTb"/>
            <w:noWrap w:val="false"/>
          </w:tcPr>
          <w:p>
            <w:pPr>
              <w:jc w:val="center"/>
              <w:spacing w:after="0" w:line="240" w:lineRule="auto"/>
              <w:widowControl/>
              <w:rPr>
                <w:rFonts w:ascii="宋体" w:hAnsi="宋体" w:cs="宋体"/>
                <w:color w:val="auto"/>
                <w:sz w:val="24"/>
                <w:szCs w:val="24"/>
                <w:highlight w:val="none"/>
              </w:rPr>
            </w:pPr>
            <w:r>
              <w:rPr>
                <w:rStyle w:val="1146"/>
                <w:rFonts w:hint="default" w:ascii="宋体" w:hAnsi="宋体" w:eastAsia="宋体" w:cs="宋体"/>
                <w:color w:val="auto"/>
                <w:sz w:val="24"/>
                <w:szCs w:val="24"/>
                <w:highlight w:val="none"/>
              </w:rPr>
              <w:t xml:space="preserve">声</w:t>
            </w:r>
            <w:r>
              <w:rPr>
                <w:rStyle w:val="1147"/>
                <w:rFonts w:hint="default" w:ascii="宋体" w:hAnsi="宋体" w:eastAsia="宋体" w:cs="宋体"/>
                <w:color w:val="auto"/>
                <w:sz w:val="24"/>
                <w:szCs w:val="24"/>
                <w:highlight w:val="none"/>
              </w:rPr>
              <w:t xml:space="preserve">校准器</w:t>
            </w:r>
            <w:r>
              <w:rPr>
                <w:color w:val="auto"/>
                <w:highlight w:val="none"/>
              </w:rPr>
            </w:r>
            <w:r/>
          </w:p>
        </w:tc>
        <w:tc>
          <w:tcPr>
            <w:tcMar>
              <w:left w:w="15" w:type="dxa"/>
              <w:top w:w="15" w:type="dxa"/>
              <w:right w:w="15" w:type="dxa"/>
            </w:tcMar>
            <w:tcW w:w="1125" w:type="dxa"/>
            <w:vAlign w:val="center"/>
            <w:textDirection w:val="lrTb"/>
            <w:noWrap w:val="false"/>
          </w:tcPr>
          <w:p>
            <w:pPr>
              <w:jc w:val="center"/>
              <w:spacing w:after="0" w:line="24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1套</w:t>
            </w:r>
            <w:r>
              <w:rPr>
                <w:color w:val="auto"/>
                <w:highlight w:val="none"/>
              </w:rPr>
            </w:r>
            <w:r/>
          </w:p>
        </w:tc>
        <w:tc>
          <w:tcPr>
            <w:tcMar>
              <w:left w:w="15" w:type="dxa"/>
              <w:top w:w="15" w:type="dxa"/>
              <w:right w:w="15" w:type="dxa"/>
            </w:tcMar>
            <w:tcW w:w="2865" w:type="dxa"/>
            <w:vAlign w:val="center"/>
            <w:textDirection w:val="lrTb"/>
            <w:noWrap w:val="false"/>
          </w:tcPr>
          <w:p>
            <w:pPr>
              <w:jc w:val="center"/>
              <w:spacing w:after="0" w:line="240" w:lineRule="auto"/>
              <w:widowControl/>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r>
      <w:tr>
        <w:trPr>
          <w:trHeight w:val="454"/>
        </w:trPr>
        <w:tc>
          <w:tcPr>
            <w:tcMar>
              <w:left w:w="15" w:type="dxa"/>
              <w:top w:w="15" w:type="dxa"/>
              <w:right w:w="15" w:type="dxa"/>
            </w:tcMar>
            <w:tcW w:w="1136" w:type="dxa"/>
            <w:vAlign w:val="center"/>
            <w:textDirection w:val="lrTb"/>
            <w:noWrap w:val="false"/>
          </w:tcPr>
          <w:p>
            <w:pPr>
              <w:jc w:val="center"/>
              <w:spacing w:after="0" w:line="24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15</w:t>
            </w:r>
            <w:r>
              <w:rPr>
                <w:color w:val="auto"/>
                <w:highlight w:val="none"/>
              </w:rPr>
            </w:r>
            <w:r/>
          </w:p>
        </w:tc>
        <w:tc>
          <w:tcPr>
            <w:tcMar>
              <w:left w:w="15" w:type="dxa"/>
              <w:top w:w="15" w:type="dxa"/>
              <w:right w:w="15" w:type="dxa"/>
            </w:tcMar>
            <w:tcW w:w="4589" w:type="dxa"/>
            <w:vAlign w:val="center"/>
            <w:textDirection w:val="lrTb"/>
            <w:noWrap w:val="false"/>
          </w:tcPr>
          <w:p>
            <w:pPr>
              <w:jc w:val="center"/>
              <w:spacing w:after="0" w:line="24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便携式浊度计</w:t>
            </w:r>
            <w:r>
              <w:rPr>
                <w:color w:val="auto"/>
                <w:highlight w:val="none"/>
              </w:rPr>
            </w:r>
            <w:r/>
          </w:p>
        </w:tc>
        <w:tc>
          <w:tcPr>
            <w:tcMar>
              <w:left w:w="15" w:type="dxa"/>
              <w:top w:w="15" w:type="dxa"/>
              <w:right w:w="15" w:type="dxa"/>
            </w:tcMar>
            <w:tcW w:w="1125" w:type="dxa"/>
            <w:vAlign w:val="center"/>
            <w:textDirection w:val="lrTb"/>
            <w:noWrap w:val="false"/>
          </w:tcPr>
          <w:p>
            <w:pPr>
              <w:jc w:val="center"/>
              <w:spacing w:after="0" w:line="24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2套</w:t>
            </w:r>
            <w:r>
              <w:rPr>
                <w:color w:val="auto"/>
                <w:highlight w:val="none"/>
              </w:rPr>
            </w:r>
            <w:r/>
          </w:p>
        </w:tc>
        <w:tc>
          <w:tcPr>
            <w:tcMar>
              <w:left w:w="15" w:type="dxa"/>
              <w:top w:w="15" w:type="dxa"/>
              <w:right w:w="15" w:type="dxa"/>
            </w:tcMar>
            <w:tcW w:w="2865" w:type="dxa"/>
            <w:vAlign w:val="center"/>
            <w:textDirection w:val="lrTb"/>
            <w:noWrap w:val="false"/>
          </w:tcPr>
          <w:p>
            <w:pPr>
              <w:jc w:val="center"/>
              <w:spacing w:after="0" w:line="240" w:lineRule="auto"/>
              <w:widowControl/>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r>
      <w:tr>
        <w:trPr>
          <w:trHeight w:val="454"/>
        </w:trPr>
        <w:tc>
          <w:tcPr>
            <w:tcMar>
              <w:left w:w="15" w:type="dxa"/>
              <w:top w:w="15" w:type="dxa"/>
              <w:right w:w="15" w:type="dxa"/>
            </w:tcMar>
            <w:tcW w:w="1136" w:type="dxa"/>
            <w:vAlign w:val="center"/>
            <w:textDirection w:val="lrTb"/>
            <w:noWrap w:val="false"/>
          </w:tcPr>
          <w:p>
            <w:pPr>
              <w:jc w:val="center"/>
              <w:spacing w:after="0" w:line="24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16</w:t>
            </w:r>
            <w:r>
              <w:rPr>
                <w:color w:val="auto"/>
                <w:highlight w:val="none"/>
              </w:rPr>
            </w:r>
            <w:r/>
          </w:p>
        </w:tc>
        <w:tc>
          <w:tcPr>
            <w:tcMar>
              <w:left w:w="15" w:type="dxa"/>
              <w:top w:w="15" w:type="dxa"/>
              <w:right w:w="15" w:type="dxa"/>
            </w:tcMar>
            <w:tcW w:w="4589" w:type="dxa"/>
            <w:vAlign w:val="center"/>
            <w:textDirection w:val="lrTb"/>
            <w:noWrap w:val="false"/>
          </w:tcPr>
          <w:p>
            <w:pPr>
              <w:jc w:val="center"/>
              <w:spacing w:after="0" w:line="240" w:lineRule="auto"/>
              <w:widowControl/>
              <w:rPr>
                <w:rFonts w:ascii="宋体" w:hAnsi="宋体" w:cs="宋体"/>
                <w:color w:val="auto"/>
                <w:sz w:val="24"/>
                <w:szCs w:val="24"/>
                <w:highlight w:val="none"/>
              </w:rPr>
            </w:pPr>
            <w:r>
              <w:rPr>
                <w:rStyle w:val="1146"/>
                <w:rFonts w:hint="default" w:ascii="宋体" w:hAnsi="宋体" w:eastAsia="宋体" w:cs="宋体"/>
                <w:color w:val="auto"/>
                <w:sz w:val="24"/>
                <w:szCs w:val="24"/>
                <w:highlight w:val="none"/>
              </w:rPr>
              <w:t xml:space="preserve">户外</w:t>
            </w:r>
            <w:r>
              <w:rPr>
                <w:rStyle w:val="1147"/>
                <w:rFonts w:hint="default" w:ascii="宋体" w:hAnsi="宋体" w:eastAsia="宋体" w:cs="宋体"/>
                <w:color w:val="auto"/>
                <w:sz w:val="24"/>
                <w:szCs w:val="24"/>
                <w:highlight w:val="none"/>
              </w:rPr>
              <w:t xml:space="preserve">电源</w:t>
            </w:r>
            <w:r>
              <w:rPr>
                <w:color w:val="auto"/>
                <w:highlight w:val="none"/>
              </w:rPr>
            </w:r>
            <w:r/>
          </w:p>
        </w:tc>
        <w:tc>
          <w:tcPr>
            <w:tcMar>
              <w:left w:w="15" w:type="dxa"/>
              <w:top w:w="15" w:type="dxa"/>
              <w:right w:w="15" w:type="dxa"/>
            </w:tcMar>
            <w:tcW w:w="1125" w:type="dxa"/>
            <w:vAlign w:val="center"/>
            <w:textDirection w:val="lrTb"/>
            <w:noWrap w:val="false"/>
          </w:tcPr>
          <w:p>
            <w:pPr>
              <w:jc w:val="center"/>
              <w:spacing w:after="0" w:line="24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4套</w:t>
            </w:r>
            <w:r>
              <w:rPr>
                <w:color w:val="auto"/>
                <w:highlight w:val="none"/>
              </w:rPr>
            </w:r>
            <w:r/>
          </w:p>
        </w:tc>
        <w:tc>
          <w:tcPr>
            <w:tcMar>
              <w:left w:w="15" w:type="dxa"/>
              <w:top w:w="15" w:type="dxa"/>
              <w:right w:w="15" w:type="dxa"/>
            </w:tcMar>
            <w:tcW w:w="2865" w:type="dxa"/>
            <w:vAlign w:val="center"/>
            <w:textDirection w:val="lrTb"/>
            <w:noWrap w:val="false"/>
          </w:tcPr>
          <w:p>
            <w:pPr>
              <w:jc w:val="center"/>
              <w:spacing w:after="0" w:line="240" w:lineRule="auto"/>
              <w:widowControl/>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r>
    </w:tbl>
    <w:p>
      <w:pPr>
        <w:pStyle w:val="778"/>
        <w:numPr>
          <w:ilvl w:val="0"/>
          <w:numId w:val="12"/>
        </w:numPr>
        <w:spacing w:after="0"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详细技术参数、指标要求</w:t>
      </w:r>
      <w:r>
        <w:rPr>
          <w:color w:val="auto"/>
          <w:highlight w:val="none"/>
        </w:rPr>
      </w:r>
      <w:r/>
    </w:p>
    <w:tbl>
      <w:tblPr>
        <w:tblW w:w="970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614"/>
        <w:gridCol w:w="1281"/>
        <w:gridCol w:w="7814"/>
      </w:tblGrid>
      <w:tr>
        <w:trPr>
          <w:trHeight w:val="340"/>
        </w:trPr>
        <w:tc>
          <w:tcPr>
            <w:tcMar>
              <w:left w:w="15" w:type="dxa"/>
              <w:top w:w="15" w:type="dxa"/>
              <w:right w:w="15" w:type="dxa"/>
            </w:tcMar>
            <w:tcW w:w="614" w:type="dxa"/>
            <w:vAlign w:val="center"/>
            <w:textDirection w:val="lrTb"/>
            <w:noWrap w:val="false"/>
          </w:tcPr>
          <w:p>
            <w:pPr>
              <w:jc w:val="center"/>
              <w:spacing w:after="0" w:line="240" w:lineRule="auto"/>
              <w:widowControl/>
              <w:rPr>
                <w:rFonts w:ascii="宋体" w:hAnsi="宋体" w:cs="宋体"/>
                <w:color w:val="auto"/>
                <w:szCs w:val="21"/>
                <w:highlight w:val="none"/>
              </w:rPr>
            </w:pPr>
            <w:r>
              <w:rPr>
                <w:rFonts w:hint="eastAsia" w:ascii="宋体" w:hAnsi="宋体" w:cs="宋体"/>
                <w:color w:val="auto"/>
                <w:szCs w:val="21"/>
                <w:highlight w:val="none"/>
              </w:rPr>
              <w:t xml:space="preserve">序号</w:t>
            </w:r>
            <w:r>
              <w:rPr>
                <w:color w:val="auto"/>
                <w:highlight w:val="none"/>
              </w:rPr>
            </w:r>
            <w:r/>
          </w:p>
        </w:tc>
        <w:tc>
          <w:tcPr>
            <w:tcMar>
              <w:left w:w="15" w:type="dxa"/>
              <w:top w:w="15" w:type="dxa"/>
              <w:right w:w="15" w:type="dxa"/>
            </w:tcMar>
            <w:tcW w:w="1281" w:type="dxa"/>
            <w:vAlign w:val="center"/>
            <w:textDirection w:val="lrTb"/>
            <w:noWrap w:val="false"/>
          </w:tcPr>
          <w:p>
            <w:pPr>
              <w:jc w:val="center"/>
              <w:spacing w:after="0" w:line="240" w:lineRule="auto"/>
              <w:widowControl/>
              <w:rPr>
                <w:rFonts w:ascii="宋体" w:hAnsi="宋体" w:cs="宋体"/>
                <w:color w:val="auto"/>
                <w:szCs w:val="21"/>
                <w:highlight w:val="none"/>
              </w:rPr>
            </w:pPr>
            <w:r>
              <w:rPr>
                <w:rFonts w:hint="eastAsia" w:ascii="宋体" w:hAnsi="宋体" w:cs="宋体"/>
                <w:color w:val="auto"/>
                <w:szCs w:val="21"/>
                <w:highlight w:val="none"/>
              </w:rPr>
              <w:t xml:space="preserve">仪器</w:t>
            </w:r>
            <w:r>
              <w:rPr>
                <w:color w:val="auto"/>
                <w:highlight w:val="none"/>
              </w:rPr>
            </w:r>
            <w:r/>
          </w:p>
        </w:tc>
        <w:tc>
          <w:tcPr>
            <w:tcMar>
              <w:left w:w="15" w:type="dxa"/>
              <w:top w:w="15" w:type="dxa"/>
              <w:right w:w="15" w:type="dxa"/>
            </w:tcMar>
            <w:tcW w:w="7814" w:type="dxa"/>
            <w:vAlign w:val="center"/>
            <w:textDirection w:val="lrTb"/>
            <w:noWrap w:val="false"/>
          </w:tcPr>
          <w:p>
            <w:pPr>
              <w:jc w:val="center"/>
              <w:spacing w:after="0" w:line="240" w:lineRule="auto"/>
              <w:widowControl/>
              <w:rPr>
                <w:rFonts w:ascii="宋体" w:hAnsi="宋体" w:cs="宋体"/>
                <w:color w:val="auto"/>
                <w:szCs w:val="21"/>
                <w:highlight w:val="none"/>
              </w:rPr>
            </w:pPr>
            <w:r>
              <w:rPr>
                <w:rFonts w:hint="eastAsia" w:ascii="宋体" w:hAnsi="宋体" w:cs="宋体"/>
                <w:color w:val="auto"/>
                <w:szCs w:val="21"/>
                <w:highlight w:val="none"/>
              </w:rPr>
              <w:t xml:space="preserve">详细技术参数、指标要求</w:t>
            </w:r>
            <w:r>
              <w:rPr>
                <w:color w:val="auto"/>
                <w:highlight w:val="none"/>
              </w:rPr>
            </w:r>
            <w:r/>
          </w:p>
        </w:tc>
      </w:tr>
      <w:tr>
        <w:trPr>
          <w:trHeight w:val="340"/>
        </w:trPr>
        <w:tc>
          <w:tcPr>
            <w:tcMar>
              <w:left w:w="15" w:type="dxa"/>
              <w:top w:w="15" w:type="dxa"/>
              <w:right w:w="15" w:type="dxa"/>
            </w:tcMar>
            <w:tcW w:w="614" w:type="dxa"/>
            <w:vAlign w:val="center"/>
            <w:textDirection w:val="lrTb"/>
            <w:noWrap w:val="false"/>
          </w:tcPr>
          <w:p>
            <w:pPr>
              <w:jc w:val="center"/>
              <w:spacing w:after="0" w:line="240" w:lineRule="auto"/>
              <w:widowControl/>
              <w:rPr>
                <w:rFonts w:ascii="宋体" w:hAnsi="宋体" w:cs="宋体"/>
                <w:color w:val="auto"/>
                <w:szCs w:val="21"/>
                <w:highlight w:val="none"/>
              </w:rPr>
            </w:pPr>
            <w:r>
              <w:rPr>
                <w:rFonts w:hint="eastAsia" w:ascii="宋体" w:hAnsi="宋体" w:cs="宋体"/>
                <w:color w:val="auto"/>
                <w:szCs w:val="21"/>
                <w:highlight w:val="none"/>
              </w:rPr>
              <w:t xml:space="preserve">1</w:t>
            </w:r>
            <w:r>
              <w:rPr>
                <w:color w:val="auto"/>
                <w:highlight w:val="none"/>
              </w:rPr>
            </w:r>
            <w:r/>
          </w:p>
        </w:tc>
        <w:tc>
          <w:tcPr>
            <w:tcMar>
              <w:left w:w="15" w:type="dxa"/>
              <w:top w:w="15" w:type="dxa"/>
              <w:right w:w="15" w:type="dxa"/>
            </w:tcMar>
            <w:tcW w:w="1281" w:type="dxa"/>
            <w:vAlign w:val="center"/>
            <w:textDirection w:val="lrTb"/>
            <w:noWrap w:val="false"/>
          </w:tcPr>
          <w:p>
            <w:pPr>
              <w:jc w:val="center"/>
              <w:spacing w:after="0" w:line="240" w:lineRule="auto"/>
              <w:widowControl/>
              <w:rPr>
                <w:rFonts w:ascii="宋体" w:hAnsi="宋体" w:cs="宋体"/>
                <w:color w:val="auto"/>
                <w:szCs w:val="21"/>
                <w:highlight w:val="none"/>
              </w:rPr>
            </w:pPr>
            <w:r>
              <w:rPr>
                <w:rFonts w:hint="eastAsia" w:ascii="宋体" w:hAnsi="宋体" w:cs="宋体"/>
                <w:color w:val="auto"/>
                <w:szCs w:val="21"/>
                <w:highlight w:val="none"/>
              </w:rPr>
              <w:t xml:space="preserve">原子吸收分光光度计</w:t>
            </w:r>
            <w:r>
              <w:rPr>
                <w:color w:val="auto"/>
                <w:highlight w:val="none"/>
              </w:rPr>
            </w:r>
            <w:r/>
          </w:p>
        </w:tc>
        <w:tc>
          <w:tcPr>
            <w:tcMar>
              <w:left w:w="15" w:type="dxa"/>
              <w:top w:w="15" w:type="dxa"/>
              <w:right w:w="15" w:type="dxa"/>
            </w:tcMar>
            <w:tcW w:w="7814" w:type="dxa"/>
            <w:vAlign w:val="center"/>
            <w:textDirection w:val="lrTb"/>
            <w:noWrap w:val="false"/>
          </w:tcPr>
          <w:p>
            <w:pPr>
              <w:spacing w:after="0" w:line="240" w:lineRule="auto"/>
              <w:rPr>
                <w:rFonts w:ascii="宋体" w:hAnsi="宋体" w:cs="宋体"/>
                <w:b/>
                <w:bCs/>
                <w:color w:val="auto"/>
                <w:szCs w:val="21"/>
                <w:highlight w:val="none"/>
              </w:rPr>
            </w:pPr>
            <w:r>
              <w:rPr>
                <w:rFonts w:hint="eastAsia" w:ascii="宋体" w:hAnsi="宋体" w:cs="宋体"/>
                <w:b/>
                <w:bCs/>
                <w:color w:val="auto"/>
                <w:szCs w:val="21"/>
                <w:highlight w:val="none"/>
              </w:rPr>
              <w:t xml:space="preserve">1．用 途</w:t>
            </w:r>
            <w:r>
              <w:rPr>
                <w:color w:val="auto"/>
                <w:highlight w:val="none"/>
              </w:rPr>
            </w:r>
            <w:r/>
          </w:p>
          <w:p>
            <w:pPr>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用于环境水和土壤等样品中多种微量金属元素的定量分析。</w:t>
            </w:r>
            <w:r>
              <w:rPr>
                <w:color w:val="auto"/>
                <w:highlight w:val="none"/>
              </w:rPr>
            </w:r>
            <w:r/>
          </w:p>
          <w:p>
            <w:pPr>
              <w:spacing w:after="0" w:line="240" w:lineRule="auto"/>
              <w:rPr>
                <w:rFonts w:ascii="宋体" w:hAnsi="宋体" w:cs="宋体"/>
                <w:b/>
                <w:bCs/>
                <w:color w:val="auto"/>
                <w:szCs w:val="21"/>
                <w:highlight w:val="none"/>
              </w:rPr>
            </w:pPr>
            <w:r>
              <w:rPr>
                <w:rFonts w:hint="eastAsia" w:ascii="宋体" w:hAnsi="宋体" w:cs="宋体"/>
                <w:b/>
                <w:bCs/>
                <w:color w:val="auto"/>
                <w:szCs w:val="21"/>
                <w:highlight w:val="none"/>
              </w:rPr>
              <w:t xml:space="preserve">2. 工作条件</w:t>
            </w:r>
            <w:r>
              <w:rPr>
                <w:color w:val="auto"/>
                <w:highlight w:val="none"/>
              </w:rPr>
            </w:r>
            <w:r/>
          </w:p>
          <w:p>
            <w:pPr>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2.1</w:t>
            </w:r>
            <w:r>
              <w:rPr>
                <w:rFonts w:hint="eastAsia" w:ascii="宋体" w:hAnsi="宋体" w:cs="宋体"/>
                <w:color w:val="auto"/>
                <w:szCs w:val="21"/>
                <w:highlight w:val="none"/>
              </w:rPr>
              <w:tab/>
              <w:t xml:space="preserve">环境温度：</w:t>
            </w:r>
            <w:r>
              <w:rPr>
                <w:rFonts w:hint="eastAsia" w:ascii="宋体" w:hAnsi="宋体" w:cs="宋体"/>
                <w:color w:val="auto"/>
                <w:szCs w:val="21"/>
                <w:highlight w:val="none"/>
              </w:rPr>
              <w:tab/>
              <w:t xml:space="preserve">0-40℃</w:t>
            </w:r>
            <w:r>
              <w:rPr>
                <w:color w:val="auto"/>
                <w:highlight w:val="none"/>
              </w:rPr>
            </w:r>
            <w:r/>
          </w:p>
          <w:p>
            <w:pPr>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2.2</w:t>
            </w:r>
            <w:r>
              <w:rPr>
                <w:rFonts w:hint="eastAsia" w:ascii="宋体" w:hAnsi="宋体" w:cs="宋体"/>
                <w:color w:val="auto"/>
                <w:szCs w:val="21"/>
                <w:highlight w:val="none"/>
              </w:rPr>
              <w:tab/>
              <w:t xml:space="preserve">相对湿度：</w:t>
            </w:r>
            <w:r>
              <w:rPr>
                <w:rFonts w:hint="eastAsia" w:ascii="宋体" w:hAnsi="宋体" w:cs="宋体"/>
                <w:color w:val="auto"/>
                <w:szCs w:val="21"/>
                <w:highlight w:val="none"/>
              </w:rPr>
              <w:tab/>
              <w:t xml:space="preserve">20-80%</w:t>
            </w:r>
            <w:r>
              <w:rPr>
                <w:color w:val="auto"/>
                <w:highlight w:val="none"/>
              </w:rPr>
            </w:r>
            <w:r/>
          </w:p>
          <w:p>
            <w:pPr>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2.3</w:t>
            </w:r>
            <w:r>
              <w:rPr>
                <w:rFonts w:hint="eastAsia" w:ascii="宋体" w:hAnsi="宋体" w:cs="宋体"/>
                <w:color w:val="auto"/>
                <w:szCs w:val="21"/>
                <w:highlight w:val="none"/>
              </w:rPr>
              <w:tab/>
              <w:t xml:space="preserve">适用温度：</w:t>
            </w:r>
            <w:r>
              <w:rPr>
                <w:rFonts w:hint="eastAsia" w:ascii="宋体" w:hAnsi="宋体" w:cs="宋体"/>
                <w:color w:val="auto"/>
                <w:szCs w:val="21"/>
                <w:highlight w:val="none"/>
              </w:rPr>
              <w:tab/>
              <w:t xml:space="preserve">220V ( AC )， 50Hz</w:t>
            </w:r>
            <w:r>
              <w:rPr>
                <w:color w:val="auto"/>
                <w:highlight w:val="none"/>
              </w:rPr>
            </w:r>
            <w:r/>
          </w:p>
          <w:p>
            <w:pPr>
              <w:spacing w:after="0" w:line="240" w:lineRule="auto"/>
              <w:rPr>
                <w:rFonts w:ascii="宋体" w:hAnsi="宋体" w:cs="宋体"/>
                <w:b/>
                <w:bCs/>
                <w:color w:val="auto"/>
                <w:szCs w:val="21"/>
                <w:highlight w:val="none"/>
              </w:rPr>
            </w:pPr>
            <w:r>
              <w:rPr>
                <w:rFonts w:hint="eastAsia" w:ascii="宋体" w:hAnsi="宋体" w:cs="宋体"/>
                <w:b/>
                <w:bCs/>
                <w:color w:val="auto"/>
                <w:szCs w:val="21"/>
                <w:highlight w:val="none"/>
              </w:rPr>
              <w:t xml:space="preserve">3. 技术规格</w:t>
            </w:r>
            <w:r>
              <w:rPr>
                <w:color w:val="auto"/>
                <w:highlight w:val="none"/>
              </w:rPr>
            </w:r>
            <w:r/>
          </w:p>
          <w:p>
            <w:pPr>
              <w:spacing w:after="0" w:line="240" w:lineRule="auto"/>
              <w:rPr>
                <w:rFonts w:ascii="宋体" w:hAnsi="宋体" w:cs="宋体"/>
                <w:b/>
                <w:bCs/>
                <w:color w:val="auto"/>
                <w:szCs w:val="21"/>
                <w:highlight w:val="none"/>
              </w:rPr>
            </w:pPr>
            <w:r>
              <w:rPr>
                <w:rFonts w:hint="eastAsia" w:ascii="宋体" w:hAnsi="宋体" w:cs="宋体"/>
                <w:b/>
                <w:bCs/>
                <w:color w:val="auto"/>
                <w:szCs w:val="21"/>
                <w:highlight w:val="none"/>
              </w:rPr>
              <w:t xml:space="preserve">3.1 仪器主机：火焰原子吸收光谱仪，1套。</w:t>
            </w:r>
            <w:r>
              <w:rPr>
                <w:color w:val="auto"/>
                <w:highlight w:val="none"/>
              </w:rPr>
            </w:r>
            <w:r/>
          </w:p>
          <w:p>
            <w:pPr>
              <w:spacing w:after="0" w:line="240" w:lineRule="auto"/>
              <w:rPr>
                <w:rFonts w:ascii="宋体" w:hAnsi="宋体" w:cs="宋体"/>
                <w:color w:val="auto"/>
                <w:szCs w:val="21"/>
                <w:highlight w:val="none"/>
              </w:rPr>
            </w:pPr>
            <w:r>
              <w:rPr>
                <w:rFonts w:hint="eastAsia" w:ascii="宋体" w:hAnsi="宋体" w:cs="宋体"/>
                <w:b/>
                <w:bCs/>
                <w:color w:val="auto"/>
                <w:szCs w:val="21"/>
                <w:highlight w:val="none"/>
              </w:rPr>
              <w:t xml:space="preserve">3.2</w:t>
            </w:r>
            <w:r>
              <w:rPr>
                <w:rFonts w:hint="eastAsia" w:ascii="宋体" w:hAnsi="宋体" w:cs="宋体"/>
                <w:b/>
                <w:bCs/>
                <w:color w:val="auto"/>
                <w:szCs w:val="21"/>
                <w:highlight w:val="none"/>
              </w:rPr>
              <w:tab/>
              <w:t xml:space="preserve">光源</w:t>
            </w:r>
            <w:r>
              <w:rPr>
                <w:rFonts w:hint="eastAsia" w:ascii="宋体" w:hAnsi="宋体" w:cs="宋体"/>
                <w:color w:val="auto"/>
                <w:szCs w:val="21"/>
                <w:highlight w:val="none"/>
              </w:rPr>
              <w:tab/>
            </w:r>
            <w:r>
              <w:rPr>
                <w:rFonts w:hint="eastAsia" w:ascii="宋体" w:hAnsi="宋体" w:cs="宋体"/>
                <w:color w:val="auto"/>
                <w:szCs w:val="21"/>
                <w:highlight w:val="none"/>
              </w:rPr>
              <w:tab/>
            </w:r>
            <w:r>
              <w:rPr>
                <w:rFonts w:hint="eastAsia" w:ascii="宋体" w:hAnsi="宋体" w:cs="宋体"/>
                <w:color w:val="auto"/>
                <w:szCs w:val="21"/>
                <w:highlight w:val="none"/>
              </w:rPr>
              <w:tab/>
            </w:r>
            <w:r>
              <w:rPr>
                <w:rFonts w:hint="eastAsia" w:ascii="宋体" w:hAnsi="宋体" w:cs="宋体"/>
                <w:color w:val="auto"/>
                <w:szCs w:val="21"/>
                <w:highlight w:val="none"/>
              </w:rPr>
              <w:tab/>
              <w:t xml:space="preserve"> </w:t>
            </w:r>
            <w:r>
              <w:rPr>
                <w:color w:val="auto"/>
                <w:highlight w:val="none"/>
              </w:rPr>
            </w:r>
            <w:r/>
          </w:p>
          <w:p>
            <w:pPr>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3.2.1 </w:t>
            </w:r>
            <w:r>
              <w:rPr>
                <w:rFonts w:hint="eastAsia" w:ascii="宋体" w:hAnsi="宋体" w:cs="宋体"/>
                <w:b/>
                <w:bCs/>
                <w:color w:val="auto"/>
                <w:szCs w:val="21"/>
                <w:highlight w:val="none"/>
              </w:rPr>
              <w:t xml:space="preserve">★</w:t>
            </w:r>
            <w:r>
              <w:rPr>
                <w:rFonts w:hint="eastAsia" w:ascii="宋体" w:hAnsi="宋体" w:cs="宋体"/>
                <w:color w:val="auto"/>
                <w:szCs w:val="21"/>
                <w:highlight w:val="none"/>
              </w:rPr>
              <w:t xml:space="preserve">灯座 ：6灯座以上，配备6个独立电源，可同时点亮6支灯，自动选择并准直（提供同时点</w:t>
            </w:r>
            <w:r>
              <w:rPr>
                <w:rFonts w:hint="eastAsia" w:ascii="宋体" w:hAnsi="宋体" w:cs="宋体"/>
                <w:color w:val="auto"/>
                <w:szCs w:val="21"/>
                <w:highlight w:val="none"/>
              </w:rPr>
              <w:t xml:space="preserve">亮六灯</w:t>
            </w:r>
            <w:r>
              <w:rPr>
                <w:rFonts w:hint="eastAsia" w:ascii="宋体" w:hAnsi="宋体" w:cs="宋体"/>
                <w:color w:val="auto"/>
                <w:szCs w:val="21"/>
                <w:highlight w:val="none"/>
              </w:rPr>
              <w:t xml:space="preserve">的照片）；</w:t>
            </w:r>
            <w:r>
              <w:rPr>
                <w:color w:val="auto"/>
                <w:highlight w:val="none"/>
              </w:rPr>
            </w:r>
            <w:r/>
          </w:p>
          <w:p>
            <w:pPr>
              <w:spacing w:after="0" w:line="240" w:lineRule="auto"/>
              <w:rPr>
                <w:rFonts w:ascii="宋体" w:hAnsi="宋体" w:cs="宋体"/>
                <w:color w:val="auto"/>
                <w:szCs w:val="21"/>
                <w:highlight w:val="none"/>
              </w:rPr>
            </w:pPr>
            <w:r>
              <w:rPr>
                <w:rFonts w:hint="eastAsia" w:ascii="宋体" w:hAnsi="宋体" w:cs="宋体"/>
                <w:b/>
                <w:bCs/>
                <w:color w:val="auto"/>
                <w:szCs w:val="21"/>
                <w:highlight w:val="none"/>
              </w:rPr>
              <w:t xml:space="preserve">3.3</w:t>
            </w:r>
            <w:r>
              <w:rPr>
                <w:rFonts w:hint="eastAsia" w:ascii="宋体" w:hAnsi="宋体" w:cs="宋体"/>
                <w:b/>
                <w:bCs/>
                <w:color w:val="auto"/>
                <w:szCs w:val="21"/>
                <w:highlight w:val="none"/>
              </w:rPr>
              <w:tab/>
              <w:t xml:space="preserve">火焰主机光学系统</w:t>
            </w:r>
            <w:r>
              <w:rPr>
                <w:color w:val="auto"/>
                <w:highlight w:val="none"/>
              </w:rPr>
            </w:r>
            <w:r/>
          </w:p>
          <w:p>
            <w:pPr>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3.3.1 </w:t>
            </w:r>
            <w:r>
              <w:rPr>
                <w:rFonts w:hint="eastAsia" w:ascii="宋体" w:hAnsi="宋体" w:cs="宋体"/>
                <w:b/>
                <w:bCs/>
                <w:color w:val="auto"/>
                <w:szCs w:val="21"/>
                <w:highlight w:val="none"/>
              </w:rPr>
              <w:t xml:space="preserve">★</w:t>
            </w:r>
            <w:r>
              <w:rPr>
                <w:rFonts w:hint="eastAsia" w:ascii="宋体" w:hAnsi="宋体" w:cs="宋体"/>
                <w:color w:val="auto"/>
                <w:szCs w:val="21"/>
                <w:highlight w:val="none"/>
              </w:rPr>
              <w:t xml:space="preserve">光路：采用中阶梯光栅分光系统,光路双光束系统；</w:t>
            </w:r>
            <w:r>
              <w:rPr>
                <w:color w:val="auto"/>
                <w:highlight w:val="none"/>
              </w:rPr>
            </w:r>
            <w:r/>
          </w:p>
          <w:p>
            <w:pPr>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3.3.2   色散率：1.5nm/mm；</w:t>
            </w:r>
            <w:r>
              <w:rPr>
                <w:color w:val="auto"/>
                <w:highlight w:val="none"/>
              </w:rPr>
            </w:r>
            <w:r/>
          </w:p>
          <w:p>
            <w:pPr>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3.3.2</w:t>
            </w:r>
            <w:r>
              <w:rPr>
                <w:rFonts w:hint="eastAsia" w:ascii="宋体" w:hAnsi="宋体" w:cs="宋体"/>
                <w:color w:val="auto"/>
                <w:szCs w:val="21"/>
                <w:highlight w:val="none"/>
              </w:rPr>
              <w:tab/>
            </w:r>
            <w:r>
              <w:rPr>
                <w:rFonts w:hint="eastAsia" w:ascii="宋体" w:hAnsi="宋体" w:cs="宋体"/>
                <w:b/>
                <w:bCs/>
                <w:color w:val="auto"/>
                <w:szCs w:val="21"/>
                <w:highlight w:val="none"/>
              </w:rPr>
              <w:t xml:space="preserve">★</w:t>
            </w:r>
            <w:r>
              <w:rPr>
                <w:rFonts w:hint="eastAsia" w:ascii="宋体" w:hAnsi="宋体" w:cs="宋体"/>
                <w:color w:val="auto"/>
                <w:szCs w:val="21"/>
                <w:highlight w:val="none"/>
              </w:rPr>
              <w:t xml:space="preserve">波长：180－900nm，自动选择；</w:t>
            </w:r>
            <w:r>
              <w:rPr>
                <w:color w:val="auto"/>
                <w:highlight w:val="none"/>
              </w:rPr>
            </w:r>
            <w:r/>
          </w:p>
          <w:p>
            <w:pPr>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3.3.3   狭缝：0.2、0.5、1.0nm狭缝，自动选择；</w:t>
            </w:r>
            <w:r>
              <w:rPr>
                <w:color w:val="auto"/>
                <w:highlight w:val="none"/>
              </w:rPr>
            </w:r>
            <w:r/>
          </w:p>
          <w:p>
            <w:pPr>
              <w:spacing w:after="0" w:line="240" w:lineRule="auto"/>
              <w:rPr>
                <w:rFonts w:ascii="宋体" w:hAnsi="宋体" w:cs="宋体"/>
                <w:b/>
                <w:bCs/>
                <w:color w:val="auto"/>
                <w:szCs w:val="21"/>
                <w:highlight w:val="none"/>
              </w:rPr>
            </w:pPr>
            <w:r>
              <w:rPr>
                <w:rFonts w:hint="eastAsia" w:ascii="宋体" w:hAnsi="宋体" w:cs="宋体"/>
                <w:b/>
                <w:bCs/>
                <w:color w:val="auto"/>
                <w:szCs w:val="21"/>
                <w:highlight w:val="none"/>
              </w:rPr>
              <w:t xml:space="preserve">3.4</w:t>
            </w:r>
            <w:r>
              <w:rPr>
                <w:rFonts w:hint="eastAsia" w:ascii="宋体" w:hAnsi="宋体" w:cs="宋体"/>
                <w:b/>
                <w:bCs/>
                <w:color w:val="auto"/>
                <w:szCs w:val="21"/>
                <w:highlight w:val="none"/>
              </w:rPr>
              <w:tab/>
              <w:t xml:space="preserve">火焰系统</w:t>
            </w:r>
            <w:r>
              <w:rPr>
                <w:color w:val="auto"/>
                <w:highlight w:val="none"/>
              </w:rPr>
            </w:r>
            <w:r/>
          </w:p>
          <w:p>
            <w:pPr>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3.4.1</w:t>
            </w:r>
            <w:r>
              <w:rPr>
                <w:rFonts w:hint="eastAsia" w:ascii="宋体" w:hAnsi="宋体" w:cs="宋体"/>
                <w:color w:val="auto"/>
                <w:szCs w:val="21"/>
                <w:highlight w:val="none"/>
              </w:rPr>
              <w:tab/>
              <w:t xml:space="preserve">雾化室：耐酸耐碱材料雾化室，</w:t>
            </w:r>
            <w:r>
              <w:rPr>
                <w:rFonts w:hint="eastAsia" w:ascii="宋体" w:hAnsi="宋体" w:cs="宋体"/>
                <w:color w:val="auto"/>
                <w:szCs w:val="21"/>
                <w:highlight w:val="none"/>
              </w:rPr>
              <w:t xml:space="preserve">标配耐酸</w:t>
            </w:r>
            <w:r>
              <w:rPr>
                <w:rFonts w:hint="eastAsia" w:ascii="宋体" w:hAnsi="宋体" w:cs="宋体"/>
                <w:color w:val="auto"/>
                <w:szCs w:val="21"/>
                <w:highlight w:val="none"/>
              </w:rPr>
              <w:t xml:space="preserve">碱的撞击球与扰流器；</w:t>
            </w:r>
            <w:r>
              <w:rPr>
                <w:color w:val="auto"/>
                <w:highlight w:val="none"/>
              </w:rPr>
            </w:r>
            <w:r/>
          </w:p>
          <w:p>
            <w:pPr>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3.4.2</w:t>
            </w:r>
            <w:r>
              <w:rPr>
                <w:rFonts w:hint="eastAsia" w:ascii="宋体" w:hAnsi="宋体" w:cs="宋体"/>
                <w:color w:val="auto"/>
                <w:szCs w:val="21"/>
                <w:highlight w:val="none"/>
              </w:rPr>
              <w:tab/>
              <w:t xml:space="preserve">雾化器：Pt/Ir合金毛细管与四氟乙烯喷嘴雾化器；</w:t>
            </w:r>
            <w:r>
              <w:rPr>
                <w:color w:val="auto"/>
                <w:highlight w:val="none"/>
              </w:rPr>
            </w:r>
            <w:r/>
          </w:p>
          <w:p>
            <w:pPr>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3.4.3</w:t>
            </w:r>
            <w:r>
              <w:rPr>
                <w:rFonts w:hint="eastAsia" w:ascii="宋体" w:hAnsi="宋体" w:cs="宋体"/>
                <w:color w:val="auto"/>
                <w:szCs w:val="21"/>
                <w:highlight w:val="none"/>
              </w:rPr>
              <w:tab/>
            </w:r>
            <w:r>
              <w:rPr>
                <w:rFonts w:hint="eastAsia" w:ascii="宋体" w:hAnsi="宋体" w:cs="宋体"/>
                <w:b/>
                <w:bCs/>
                <w:color w:val="auto"/>
                <w:szCs w:val="21"/>
                <w:highlight w:val="none"/>
              </w:rPr>
              <w:t xml:space="preserve">★</w:t>
            </w:r>
            <w:r>
              <w:rPr>
                <w:rFonts w:hint="eastAsia" w:ascii="宋体" w:hAnsi="宋体" w:cs="宋体"/>
                <w:color w:val="auto"/>
                <w:szCs w:val="21"/>
                <w:highlight w:val="none"/>
              </w:rPr>
              <w:t xml:space="preserve">燃烧头：100mm</w:t>
            </w:r>
            <w:r>
              <w:rPr>
                <w:rFonts w:hint="eastAsia" w:ascii="宋体" w:hAnsi="宋体" w:cs="宋体"/>
                <w:color w:val="auto"/>
                <w:szCs w:val="21"/>
                <w:highlight w:val="none"/>
              </w:rPr>
              <w:t xml:space="preserve">全钛燃烧</w:t>
            </w:r>
            <w:r>
              <w:rPr>
                <w:rFonts w:hint="eastAsia" w:ascii="宋体" w:hAnsi="宋体" w:cs="宋体"/>
                <w:color w:val="auto"/>
                <w:szCs w:val="21"/>
                <w:highlight w:val="none"/>
              </w:rPr>
              <w:t xml:space="preserve">头，耐酸耐碱，燃烧头位置可计算机自动优化（提供软件截图）；</w:t>
            </w:r>
            <w:r>
              <w:rPr>
                <w:color w:val="auto"/>
                <w:highlight w:val="none"/>
              </w:rPr>
            </w:r>
            <w:r/>
          </w:p>
          <w:p>
            <w:pPr>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3.4.4</w:t>
            </w:r>
            <w:r>
              <w:rPr>
                <w:rFonts w:hint="eastAsia" w:ascii="宋体" w:hAnsi="宋体" w:cs="宋体"/>
                <w:color w:val="auto"/>
                <w:szCs w:val="21"/>
                <w:highlight w:val="none"/>
              </w:rPr>
              <w:tab/>
              <w:t xml:space="preserve">气体控制：燃气流量自动控制并优化；</w:t>
            </w:r>
            <w:r>
              <w:rPr>
                <w:color w:val="auto"/>
                <w:highlight w:val="none"/>
              </w:rPr>
            </w:r>
            <w:r/>
          </w:p>
          <w:p>
            <w:pPr>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3.4.5</w:t>
            </w:r>
            <w:r>
              <w:rPr>
                <w:rFonts w:hint="eastAsia" w:ascii="宋体" w:hAnsi="宋体" w:cs="宋体"/>
                <w:color w:val="auto"/>
                <w:szCs w:val="21"/>
                <w:highlight w:val="none"/>
              </w:rPr>
              <w:tab/>
              <w:t xml:space="preserve">安全监控系统：有火焰状态监控及防回火的安全连锁系统；</w:t>
            </w:r>
            <w:r>
              <w:rPr>
                <w:color w:val="auto"/>
                <w:highlight w:val="none"/>
              </w:rPr>
            </w:r>
            <w:r/>
          </w:p>
          <w:p>
            <w:pPr>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3.4.6</w:t>
            </w:r>
            <w:r>
              <w:rPr>
                <w:rFonts w:hint="eastAsia" w:ascii="宋体" w:hAnsi="宋体" w:cs="宋体"/>
                <w:color w:val="auto"/>
                <w:szCs w:val="21"/>
                <w:highlight w:val="none"/>
              </w:rPr>
              <w:tab/>
              <w:t xml:space="preserve">灵敏度：5mg/L Cu吸光度≥1.0A；</w:t>
            </w:r>
            <w:r>
              <w:rPr>
                <w:color w:val="auto"/>
                <w:highlight w:val="none"/>
              </w:rPr>
            </w:r>
            <w:r/>
          </w:p>
          <w:p>
            <w:pPr>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3.4.7</w:t>
            </w:r>
            <w:r>
              <w:rPr>
                <w:rFonts w:hint="eastAsia" w:ascii="宋体" w:hAnsi="宋体" w:cs="宋体"/>
                <w:color w:val="auto"/>
                <w:szCs w:val="21"/>
                <w:highlight w:val="none"/>
              </w:rPr>
              <w:tab/>
              <w:t xml:space="preserve">稳定性：火焰法 RSD ≤0.5%；</w:t>
            </w:r>
            <w:r>
              <w:rPr>
                <w:color w:val="auto"/>
                <w:highlight w:val="none"/>
              </w:rPr>
            </w:r>
            <w:r/>
          </w:p>
          <w:p>
            <w:pPr>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3.4.8 </w:t>
            </w:r>
            <w:r>
              <w:rPr>
                <w:rFonts w:hint="eastAsia" w:ascii="宋体" w:hAnsi="宋体" w:cs="宋体"/>
                <w:b/>
                <w:bCs/>
                <w:color w:val="auto"/>
                <w:szCs w:val="21"/>
                <w:highlight w:val="none"/>
              </w:rPr>
              <w:t xml:space="preserve">★</w:t>
            </w:r>
            <w:r>
              <w:rPr>
                <w:rFonts w:hint="eastAsia" w:ascii="宋体" w:hAnsi="宋体" w:cs="宋体"/>
                <w:color w:val="auto"/>
                <w:szCs w:val="21"/>
                <w:highlight w:val="none"/>
              </w:rPr>
              <w:t xml:space="preserve">背景校正：</w:t>
            </w:r>
            <w:r>
              <w:rPr>
                <w:rFonts w:hint="eastAsia" w:ascii="宋体" w:hAnsi="宋体" w:cs="宋体"/>
                <w:color w:val="auto"/>
                <w:szCs w:val="21"/>
                <w:highlight w:val="none"/>
              </w:rPr>
              <w:t xml:space="preserve">四线氘灯背景校正</w:t>
            </w:r>
            <w:r>
              <w:rPr>
                <w:rFonts w:hint="eastAsia" w:ascii="宋体" w:hAnsi="宋体" w:cs="宋体"/>
                <w:color w:val="auto"/>
                <w:szCs w:val="21"/>
                <w:highlight w:val="none"/>
              </w:rPr>
              <w:t xml:space="preserve">，可校正高达3A的背景，对2A的背景，误差小于2%，对1A的背景，误差小于1%。</w:t>
            </w:r>
            <w:r>
              <w:rPr>
                <w:color w:val="auto"/>
                <w:highlight w:val="none"/>
              </w:rPr>
            </w:r>
            <w:r/>
          </w:p>
          <w:p>
            <w:pPr>
              <w:spacing w:after="0" w:line="240" w:lineRule="auto"/>
              <w:rPr>
                <w:rFonts w:ascii="宋体" w:hAnsi="宋体" w:cs="宋体"/>
                <w:b/>
                <w:bCs/>
                <w:color w:val="auto"/>
                <w:szCs w:val="21"/>
                <w:highlight w:val="none"/>
              </w:rPr>
            </w:pPr>
            <w:r>
              <w:rPr>
                <w:rFonts w:hint="eastAsia" w:ascii="宋体" w:hAnsi="宋体" w:cs="宋体"/>
                <w:b/>
                <w:bCs/>
                <w:color w:val="auto"/>
                <w:szCs w:val="21"/>
                <w:highlight w:val="none"/>
              </w:rPr>
              <w:t xml:space="preserve">3.5配套数据处理和软件</w:t>
            </w:r>
            <w:r>
              <w:rPr>
                <w:color w:val="auto"/>
                <w:highlight w:val="none"/>
              </w:rPr>
            </w:r>
            <w:r/>
          </w:p>
          <w:p>
            <w:pPr>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3.5.1 积分方式：峰高、峰面积积分；</w:t>
            </w:r>
            <w:r>
              <w:rPr>
                <w:color w:val="auto"/>
                <w:highlight w:val="none"/>
              </w:rPr>
            </w:r>
            <w:r/>
          </w:p>
          <w:p>
            <w:pPr>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3.5.2 数据处理：改变曲线拟合方式后自动计算数据，并自动给出特征浓度。</w:t>
            </w:r>
            <w:r>
              <w:rPr>
                <w:color w:val="auto"/>
                <w:highlight w:val="none"/>
              </w:rPr>
            </w:r>
            <w:r/>
          </w:p>
          <w:p>
            <w:pPr>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3.5.3 软件：包括中文在内的9种语言软件。</w:t>
            </w:r>
            <w:r>
              <w:rPr>
                <w:color w:val="auto"/>
                <w:highlight w:val="none"/>
              </w:rPr>
            </w:r>
            <w:r/>
          </w:p>
          <w:p>
            <w:pPr>
              <w:spacing w:after="0" w:line="240" w:lineRule="auto"/>
              <w:rPr>
                <w:rFonts w:ascii="宋体" w:hAnsi="宋体" w:cs="宋体"/>
                <w:b/>
                <w:bCs/>
                <w:color w:val="auto"/>
                <w:szCs w:val="21"/>
                <w:highlight w:val="none"/>
              </w:rPr>
            </w:pPr>
            <w:r>
              <w:rPr>
                <w:rFonts w:hint="eastAsia" w:ascii="宋体" w:hAnsi="宋体" w:cs="宋体"/>
                <w:b/>
                <w:bCs/>
                <w:color w:val="auto"/>
                <w:szCs w:val="21"/>
                <w:highlight w:val="none"/>
              </w:rPr>
              <w:t xml:space="preserve">4．配置要求</w:t>
            </w:r>
            <w:r>
              <w:rPr>
                <w:color w:val="auto"/>
                <w:highlight w:val="none"/>
              </w:rPr>
            </w:r>
            <w:r/>
          </w:p>
          <w:p>
            <w:pPr>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4.1 单火焰原子吸收光谱仪主机一台（包括火焰原子化系统、进样系统、分光系统和检测系统组成，软件控制操作）；</w:t>
            </w:r>
            <w:r>
              <w:rPr>
                <w:color w:val="auto"/>
                <w:highlight w:val="none"/>
              </w:rPr>
            </w:r>
            <w:r/>
          </w:p>
          <w:p>
            <w:pPr>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4.2 空心阴极灯14支（铬、铜、镍*2、铅、锌、镉*2、铁、锰、钾、钠、钙、镁）；</w:t>
            </w:r>
            <w:r>
              <w:rPr>
                <w:color w:val="auto"/>
                <w:highlight w:val="none"/>
              </w:rPr>
            </w:r>
            <w:r/>
          </w:p>
          <w:p>
            <w:pPr>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4.3 静音无油空心压缩机1套；</w:t>
            </w:r>
            <w:r>
              <w:rPr>
                <w:color w:val="auto"/>
                <w:highlight w:val="none"/>
              </w:rPr>
            </w:r>
            <w:r/>
          </w:p>
          <w:p>
            <w:pPr>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4.4 数据输出系统1套；</w:t>
            </w:r>
            <w:r>
              <w:rPr>
                <w:color w:val="auto"/>
                <w:highlight w:val="none"/>
              </w:rPr>
            </w:r>
            <w:r/>
          </w:p>
          <w:p>
            <w:pPr>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4.5 配套稳压电源1套。</w:t>
            </w:r>
            <w:r>
              <w:rPr>
                <w:color w:val="auto"/>
                <w:highlight w:val="none"/>
              </w:rPr>
            </w:r>
            <w:r/>
          </w:p>
          <w:p>
            <w:pPr>
              <w:spacing w:after="0" w:line="240" w:lineRule="auto"/>
              <w:rPr>
                <w:rFonts w:ascii="宋体" w:hAnsi="宋体" w:cs="宋体"/>
                <w:b/>
                <w:bCs/>
                <w:color w:val="auto"/>
                <w:szCs w:val="21"/>
                <w:highlight w:val="none"/>
              </w:rPr>
            </w:pPr>
            <w:r>
              <w:rPr>
                <w:rFonts w:hint="eastAsia" w:ascii="宋体" w:hAnsi="宋体" w:cs="宋体"/>
                <w:b/>
                <w:bCs/>
                <w:color w:val="auto"/>
                <w:szCs w:val="21"/>
                <w:highlight w:val="none"/>
              </w:rPr>
              <w:t xml:space="preserve">5.技术及售后服务</w:t>
            </w:r>
            <w:r>
              <w:rPr>
                <w:color w:val="auto"/>
                <w:highlight w:val="none"/>
              </w:rPr>
            </w:r>
            <w:r/>
          </w:p>
          <w:p>
            <w:pPr>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5.1 供应商必需在采购人的实验室内安装调试仪器直至用户认可仪器无偏离技术性能为止。</w:t>
            </w:r>
            <w:r>
              <w:rPr>
                <w:color w:val="auto"/>
                <w:highlight w:val="none"/>
              </w:rPr>
            </w:r>
            <w:r/>
          </w:p>
        </w:tc>
      </w:tr>
      <w:tr>
        <w:trPr>
          <w:trHeight w:val="340"/>
        </w:trPr>
        <w:tc>
          <w:tcPr>
            <w:tcMar>
              <w:left w:w="15" w:type="dxa"/>
              <w:top w:w="15" w:type="dxa"/>
              <w:right w:w="15" w:type="dxa"/>
            </w:tcMar>
            <w:tcW w:w="614" w:type="dxa"/>
            <w:vAlign w:val="center"/>
            <w:textDirection w:val="lrTb"/>
            <w:noWrap w:val="false"/>
          </w:tcPr>
          <w:p>
            <w:pPr>
              <w:jc w:val="center"/>
              <w:spacing w:after="0" w:line="240" w:lineRule="auto"/>
              <w:widowControl/>
              <w:rPr>
                <w:rFonts w:ascii="宋体" w:hAnsi="宋体" w:cs="宋体"/>
                <w:color w:val="auto"/>
                <w:szCs w:val="21"/>
                <w:highlight w:val="none"/>
              </w:rPr>
            </w:pPr>
            <w:r>
              <w:rPr>
                <w:rFonts w:hint="eastAsia" w:ascii="宋体" w:hAnsi="宋体" w:cs="宋体"/>
                <w:color w:val="auto"/>
                <w:szCs w:val="21"/>
                <w:highlight w:val="none"/>
              </w:rPr>
              <w:t xml:space="preserve">2</w:t>
            </w:r>
            <w:r>
              <w:rPr>
                <w:color w:val="auto"/>
                <w:highlight w:val="none"/>
              </w:rPr>
            </w:r>
            <w:r/>
          </w:p>
        </w:tc>
        <w:tc>
          <w:tcPr>
            <w:tcMar>
              <w:left w:w="15" w:type="dxa"/>
              <w:top w:w="15" w:type="dxa"/>
              <w:right w:w="15" w:type="dxa"/>
            </w:tcMar>
            <w:tcW w:w="1281" w:type="dxa"/>
            <w:vAlign w:val="center"/>
            <w:textDirection w:val="lrTb"/>
            <w:noWrap w:val="false"/>
          </w:tcPr>
          <w:p>
            <w:pPr>
              <w:jc w:val="center"/>
              <w:spacing w:after="0" w:line="240" w:lineRule="auto"/>
              <w:widowControl/>
              <w:rPr>
                <w:rFonts w:ascii="宋体" w:hAnsi="宋体" w:cs="宋体"/>
                <w:color w:val="auto"/>
                <w:szCs w:val="21"/>
                <w:highlight w:val="none"/>
              </w:rPr>
            </w:pPr>
            <w:r>
              <w:rPr>
                <w:rFonts w:hint="eastAsia" w:ascii="宋体" w:hAnsi="宋体" w:cs="宋体"/>
                <w:color w:val="auto"/>
                <w:szCs w:val="21"/>
                <w:highlight w:val="none"/>
              </w:rPr>
              <w:t xml:space="preserve">生物显微镜</w:t>
            </w:r>
            <w:r>
              <w:rPr>
                <w:color w:val="auto"/>
                <w:highlight w:val="none"/>
              </w:rPr>
            </w:r>
            <w:r/>
          </w:p>
        </w:tc>
        <w:tc>
          <w:tcPr>
            <w:tcMar>
              <w:left w:w="15" w:type="dxa"/>
              <w:top w:w="15" w:type="dxa"/>
              <w:right w:w="15" w:type="dxa"/>
            </w:tcMar>
            <w:tcW w:w="7814" w:type="dxa"/>
            <w:vAlign w:val="center"/>
            <w:textDirection w:val="lrTb"/>
            <w:noWrap w:val="false"/>
          </w:tcPr>
          <w:p>
            <w:pPr>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UIS2无限远光学系统，一体化机身设计，合金机身，坚固稳定。人机工程学设计，方便长时间工作。</w:t>
            </w:r>
            <w:r>
              <w:rPr>
                <w:color w:val="auto"/>
                <w:highlight w:val="none"/>
              </w:rPr>
            </w:r>
            <w:r/>
          </w:p>
          <w:p>
            <w:pPr>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双目观察筒，视场数20mm。瞳距可调，调节范围48mm~75mm。</w:t>
            </w:r>
            <w:r>
              <w:rPr>
                <w:color w:val="auto"/>
                <w:highlight w:val="none"/>
              </w:rPr>
            </w:r>
            <w:r/>
          </w:p>
          <w:p>
            <w:pPr>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10X目镜，带屈光度调节，视场数20mm</w:t>
            </w:r>
            <w:r>
              <w:rPr>
                <w:color w:val="auto"/>
                <w:highlight w:val="none"/>
              </w:rPr>
            </w:r>
            <w:r/>
          </w:p>
          <w:p>
            <w:pPr>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平场消色差物镜，4X 数值孔径0.1工作距离27.8mm</w:t>
            </w:r>
            <w:r>
              <w:rPr>
                <w:color w:val="auto"/>
                <w:highlight w:val="none"/>
              </w:rPr>
            </w:r>
            <w:r/>
          </w:p>
          <w:p>
            <w:pPr>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             10X数值孔径0.25  工作距离8.0mm</w:t>
            </w:r>
            <w:r>
              <w:rPr>
                <w:color w:val="auto"/>
                <w:highlight w:val="none"/>
              </w:rPr>
            </w:r>
            <w:r/>
          </w:p>
          <w:p>
            <w:pPr>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             40X数值孔径0.65工作距离0.6mm</w:t>
            </w:r>
            <w:r>
              <w:rPr>
                <w:color w:val="auto"/>
                <w:highlight w:val="none"/>
              </w:rPr>
            </w:r>
            <w:r/>
          </w:p>
          <w:p>
            <w:pPr>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             100X数值孔径1.25工作距离0.13mm </w:t>
            </w:r>
            <w:r>
              <w:rPr>
                <w:color w:val="auto"/>
                <w:highlight w:val="none"/>
              </w:rPr>
            </w:r>
            <w:r/>
          </w:p>
          <w:p>
            <w:pPr>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内置白平衡滤色片</w:t>
            </w:r>
            <w:r>
              <w:rPr>
                <w:color w:val="auto"/>
                <w:highlight w:val="none"/>
              </w:rPr>
            </w:r>
            <w:r/>
          </w:p>
          <w:p>
            <w:pPr>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机械固定载物台，移动范围X轴向76mm×Y轴向52mm。</w:t>
            </w:r>
            <w:r>
              <w:rPr>
                <w:color w:val="auto"/>
                <w:highlight w:val="none"/>
              </w:rPr>
            </w:r>
            <w:r/>
          </w:p>
          <w:p>
            <w:pPr>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2.4W LED照明。</w:t>
            </w:r>
            <w:r>
              <w:rPr>
                <w:color w:val="auto"/>
                <w:highlight w:val="none"/>
              </w:rPr>
            </w:r>
            <w:r/>
          </w:p>
        </w:tc>
      </w:tr>
      <w:tr>
        <w:trPr>
          <w:trHeight w:val="340"/>
        </w:trPr>
        <w:tc>
          <w:tcPr>
            <w:tcMar>
              <w:left w:w="15" w:type="dxa"/>
              <w:top w:w="15" w:type="dxa"/>
              <w:right w:w="15" w:type="dxa"/>
            </w:tcMar>
            <w:tcW w:w="614" w:type="dxa"/>
            <w:vAlign w:val="center"/>
            <w:textDirection w:val="lrTb"/>
            <w:noWrap w:val="false"/>
          </w:tcPr>
          <w:p>
            <w:pPr>
              <w:jc w:val="center"/>
              <w:spacing w:after="0" w:line="240" w:lineRule="auto"/>
              <w:widowControl/>
              <w:rPr>
                <w:rFonts w:ascii="宋体" w:hAnsi="宋体" w:cs="宋体"/>
                <w:color w:val="auto"/>
                <w:szCs w:val="21"/>
                <w:highlight w:val="none"/>
              </w:rPr>
            </w:pPr>
            <w:r>
              <w:rPr>
                <w:rFonts w:hint="eastAsia" w:ascii="宋体" w:hAnsi="宋体" w:cs="宋体"/>
                <w:color w:val="auto"/>
                <w:szCs w:val="21"/>
                <w:highlight w:val="none"/>
              </w:rPr>
              <w:t xml:space="preserve">3</w:t>
            </w:r>
            <w:r>
              <w:rPr>
                <w:color w:val="auto"/>
                <w:highlight w:val="none"/>
              </w:rPr>
            </w:r>
            <w:r/>
          </w:p>
        </w:tc>
        <w:tc>
          <w:tcPr>
            <w:tcMar>
              <w:left w:w="15" w:type="dxa"/>
              <w:top w:w="15" w:type="dxa"/>
              <w:right w:w="15" w:type="dxa"/>
            </w:tcMar>
            <w:tcW w:w="1281" w:type="dxa"/>
            <w:vAlign w:val="center"/>
            <w:textDirection w:val="lrTb"/>
            <w:noWrap w:val="false"/>
          </w:tcPr>
          <w:p>
            <w:pPr>
              <w:jc w:val="center"/>
              <w:spacing w:after="0" w:line="240" w:lineRule="auto"/>
              <w:widowControl/>
              <w:rPr>
                <w:rFonts w:ascii="宋体" w:hAnsi="宋体" w:cs="宋体"/>
                <w:color w:val="auto"/>
                <w:szCs w:val="21"/>
                <w:highlight w:val="none"/>
              </w:rPr>
            </w:pPr>
            <w:r>
              <w:rPr>
                <w:rFonts w:hint="eastAsia" w:ascii="宋体" w:hAnsi="宋体" w:cs="宋体"/>
                <w:color w:val="auto"/>
                <w:szCs w:val="21"/>
                <w:highlight w:val="none"/>
              </w:rPr>
              <w:t xml:space="preserve">电导率仪</w:t>
            </w:r>
            <w:r>
              <w:rPr>
                <w:color w:val="auto"/>
                <w:highlight w:val="none"/>
              </w:rPr>
            </w:r>
            <w:r/>
          </w:p>
        </w:tc>
        <w:tc>
          <w:tcPr>
            <w:tcMar>
              <w:left w:w="15" w:type="dxa"/>
              <w:top w:w="15" w:type="dxa"/>
              <w:right w:w="15" w:type="dxa"/>
            </w:tcMar>
            <w:tcW w:w="7814" w:type="dxa"/>
            <w:vAlign w:val="center"/>
            <w:textDirection w:val="lrTb"/>
            <w:noWrap w:val="false"/>
          </w:tcPr>
          <w:p>
            <w:pPr>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1.主机：显示界面不低于6英寸高清液晶显示，按键操作，防护等级：IP54</w:t>
            </w:r>
            <w:r>
              <w:rPr>
                <w:color w:val="auto"/>
                <w:highlight w:val="none"/>
              </w:rPr>
            </w:r>
            <w:r/>
          </w:p>
          <w:p>
            <w:pPr>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2.量程：</w:t>
            </w:r>
            <w:r>
              <w:rPr>
                <w:color w:val="auto"/>
                <w:highlight w:val="none"/>
              </w:rPr>
            </w:r>
            <w:r/>
          </w:p>
          <w:p>
            <w:pPr>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电导率 ：0.00u S/cm~200 m S/cm；</w:t>
            </w:r>
            <w:r>
              <w:rPr>
                <w:color w:val="auto"/>
                <w:highlight w:val="none"/>
              </w:rPr>
            </w:r>
            <w:r/>
          </w:p>
          <w:p>
            <w:pPr>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最小分辨率：0.01uS/cm，根据量程自动切换</w:t>
            </w:r>
            <w:r>
              <w:rPr>
                <w:color w:val="auto"/>
                <w:highlight w:val="none"/>
              </w:rPr>
            </w:r>
            <w:r/>
          </w:p>
          <w:p>
            <w:pPr>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温度范围：(-5.0~110.0)°C</w:t>
            </w:r>
            <w:r>
              <w:rPr>
                <w:color w:val="auto"/>
                <w:highlight w:val="none"/>
              </w:rPr>
            </w:r>
            <w:r/>
          </w:p>
        </w:tc>
      </w:tr>
      <w:tr>
        <w:trPr>
          <w:trHeight w:val="340"/>
        </w:trPr>
        <w:tc>
          <w:tcPr>
            <w:tcMar>
              <w:left w:w="15" w:type="dxa"/>
              <w:top w:w="15" w:type="dxa"/>
              <w:right w:w="15" w:type="dxa"/>
            </w:tcMar>
            <w:tcW w:w="614" w:type="dxa"/>
            <w:vAlign w:val="center"/>
            <w:textDirection w:val="lrTb"/>
            <w:noWrap w:val="false"/>
          </w:tcPr>
          <w:p>
            <w:pPr>
              <w:jc w:val="center"/>
              <w:spacing w:after="0" w:line="240" w:lineRule="auto"/>
              <w:widowControl/>
              <w:rPr>
                <w:rFonts w:ascii="宋体" w:hAnsi="宋体" w:cs="宋体"/>
                <w:color w:val="auto"/>
                <w:szCs w:val="21"/>
                <w:highlight w:val="none"/>
              </w:rPr>
            </w:pPr>
            <w:r>
              <w:rPr>
                <w:rFonts w:hint="eastAsia" w:ascii="宋体" w:hAnsi="宋体" w:cs="宋体"/>
                <w:color w:val="auto"/>
                <w:szCs w:val="21"/>
                <w:highlight w:val="none"/>
              </w:rPr>
              <w:t xml:space="preserve">4</w:t>
            </w:r>
            <w:r>
              <w:rPr>
                <w:color w:val="auto"/>
                <w:highlight w:val="none"/>
              </w:rPr>
            </w:r>
            <w:r/>
          </w:p>
        </w:tc>
        <w:tc>
          <w:tcPr>
            <w:tcMar>
              <w:left w:w="15" w:type="dxa"/>
              <w:top w:w="15" w:type="dxa"/>
              <w:right w:w="15" w:type="dxa"/>
            </w:tcMar>
            <w:tcW w:w="1281" w:type="dxa"/>
            <w:vAlign w:val="center"/>
            <w:textDirection w:val="lrTb"/>
            <w:noWrap w:val="false"/>
          </w:tcPr>
          <w:p>
            <w:pPr>
              <w:jc w:val="center"/>
              <w:spacing w:after="0" w:line="240" w:lineRule="auto"/>
              <w:widowControl/>
              <w:rPr>
                <w:rFonts w:ascii="宋体" w:hAnsi="宋体" w:cs="宋体"/>
                <w:color w:val="auto"/>
                <w:szCs w:val="21"/>
                <w:highlight w:val="none"/>
              </w:rPr>
            </w:pPr>
            <w:r>
              <w:rPr>
                <w:rFonts w:hint="eastAsia" w:ascii="宋体" w:hAnsi="宋体" w:cs="宋体"/>
                <w:color w:val="auto"/>
                <w:szCs w:val="21"/>
                <w:highlight w:val="none"/>
              </w:rPr>
              <w:t xml:space="preserve">纯水机</w:t>
            </w:r>
            <w:r>
              <w:rPr>
                <w:color w:val="auto"/>
                <w:highlight w:val="none"/>
              </w:rPr>
            </w:r>
            <w:r/>
          </w:p>
        </w:tc>
        <w:tc>
          <w:tcPr>
            <w:tcMar>
              <w:left w:w="15" w:type="dxa"/>
              <w:top w:w="15" w:type="dxa"/>
              <w:right w:w="15" w:type="dxa"/>
            </w:tcMar>
            <w:tcW w:w="7814" w:type="dxa"/>
            <w:vAlign w:val="center"/>
            <w:textDirection w:val="lrTb"/>
            <w:noWrap w:val="false"/>
          </w:tcPr>
          <w:p>
            <w:pPr>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进水：自来水</w:t>
            </w:r>
            <w:r>
              <w:rPr>
                <w:color w:val="auto"/>
                <w:highlight w:val="none"/>
              </w:rPr>
            </w:r>
            <w:r/>
          </w:p>
          <w:p>
            <w:pPr>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电阻率：&gt;10MΩ-cm</w:t>
            </w:r>
            <w:r>
              <w:rPr>
                <w:color w:val="auto"/>
                <w:highlight w:val="none"/>
              </w:rPr>
            </w:r>
            <w:r/>
          </w:p>
          <w:p>
            <w:pPr>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电导率：&lt;0.1 μS/cm</w:t>
            </w:r>
            <w:r>
              <w:rPr>
                <w:color w:val="auto"/>
                <w:highlight w:val="none"/>
              </w:rPr>
            </w:r>
            <w:r/>
          </w:p>
          <w:p>
            <w:pPr>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有机物：&lt;50ppb</w:t>
            </w:r>
            <w:r>
              <w:rPr>
                <w:color w:val="auto"/>
                <w:highlight w:val="none"/>
              </w:rPr>
            </w:r>
            <w:r/>
          </w:p>
          <w:p>
            <w:pPr>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产水量:  每小时不低于8L</w:t>
            </w:r>
            <w:r>
              <w:rPr>
                <w:color w:val="auto"/>
                <w:highlight w:val="none"/>
              </w:rPr>
            </w:r>
            <w:r/>
          </w:p>
        </w:tc>
      </w:tr>
      <w:tr>
        <w:trPr>
          <w:trHeight w:val="340"/>
        </w:trPr>
        <w:tc>
          <w:tcPr>
            <w:tcMar>
              <w:left w:w="15" w:type="dxa"/>
              <w:top w:w="15" w:type="dxa"/>
              <w:right w:w="15" w:type="dxa"/>
            </w:tcMar>
            <w:tcW w:w="614" w:type="dxa"/>
            <w:vAlign w:val="center"/>
            <w:textDirection w:val="lrTb"/>
            <w:noWrap w:val="false"/>
          </w:tcPr>
          <w:p>
            <w:pPr>
              <w:jc w:val="center"/>
              <w:spacing w:after="0" w:line="240" w:lineRule="auto"/>
              <w:widowControl/>
              <w:rPr>
                <w:rFonts w:ascii="宋体" w:hAnsi="宋体" w:cs="宋体"/>
                <w:color w:val="auto"/>
                <w:szCs w:val="21"/>
                <w:highlight w:val="none"/>
              </w:rPr>
            </w:pPr>
            <w:r>
              <w:rPr>
                <w:rFonts w:hint="eastAsia" w:ascii="宋体" w:hAnsi="宋体" w:cs="宋体"/>
                <w:color w:val="auto"/>
                <w:szCs w:val="21"/>
                <w:highlight w:val="none"/>
              </w:rPr>
              <w:t xml:space="preserve">5</w:t>
            </w:r>
            <w:r>
              <w:rPr>
                <w:color w:val="auto"/>
                <w:highlight w:val="none"/>
              </w:rPr>
            </w:r>
            <w:r/>
          </w:p>
        </w:tc>
        <w:tc>
          <w:tcPr>
            <w:tcMar>
              <w:left w:w="15" w:type="dxa"/>
              <w:top w:w="15" w:type="dxa"/>
              <w:right w:w="15" w:type="dxa"/>
            </w:tcMar>
            <w:tcW w:w="1281" w:type="dxa"/>
            <w:vAlign w:val="center"/>
            <w:textDirection w:val="lrTb"/>
            <w:noWrap w:val="false"/>
          </w:tcPr>
          <w:p>
            <w:pPr>
              <w:jc w:val="center"/>
              <w:spacing w:after="0" w:line="240" w:lineRule="auto"/>
              <w:widowControl/>
              <w:rPr>
                <w:rFonts w:ascii="宋体" w:hAnsi="宋体" w:cs="宋体"/>
                <w:color w:val="auto"/>
                <w:szCs w:val="21"/>
                <w:highlight w:val="none"/>
              </w:rPr>
            </w:pPr>
            <w:r>
              <w:rPr>
                <w:rFonts w:hint="eastAsia" w:ascii="宋体" w:hAnsi="宋体" w:cs="宋体"/>
                <w:color w:val="auto"/>
                <w:szCs w:val="21"/>
                <w:highlight w:val="none"/>
              </w:rPr>
              <w:t xml:space="preserve">离子计</w:t>
            </w:r>
            <w:r>
              <w:rPr>
                <w:color w:val="auto"/>
                <w:highlight w:val="none"/>
              </w:rPr>
            </w:r>
            <w:r/>
          </w:p>
        </w:tc>
        <w:tc>
          <w:tcPr>
            <w:tcMar>
              <w:left w:w="15" w:type="dxa"/>
              <w:top w:w="15" w:type="dxa"/>
              <w:right w:w="15" w:type="dxa"/>
            </w:tcMar>
            <w:tcW w:w="7814" w:type="dxa"/>
            <w:vAlign w:val="center"/>
            <w:textDirection w:val="lrTb"/>
            <w:noWrap w:val="false"/>
          </w:tcPr>
          <w:p>
            <w:pPr>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1.主机：显示界面：中英文菜单，程序自由切换。测量模式：连续测量模式，自动读取测量模式</w:t>
            </w:r>
            <w:r>
              <w:rPr>
                <w:color w:val="auto"/>
                <w:highlight w:val="none"/>
              </w:rPr>
            </w:r>
            <w:r/>
          </w:p>
          <w:p>
            <w:pPr>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2.测量范围：0~20,000mg/L；</w:t>
            </w:r>
            <w:r>
              <w:rPr>
                <w:color w:val="auto"/>
                <w:highlight w:val="none"/>
              </w:rPr>
            </w:r>
            <w:r/>
          </w:p>
          <w:p>
            <w:pPr>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3.精度: ±5%或1mg/L取较大值</w:t>
            </w:r>
            <w:r>
              <w:rPr>
                <w:color w:val="auto"/>
                <w:highlight w:val="none"/>
              </w:rPr>
            </w:r>
            <w:r/>
          </w:p>
        </w:tc>
      </w:tr>
      <w:tr>
        <w:trPr>
          <w:trHeight w:val="340"/>
        </w:trPr>
        <w:tc>
          <w:tcPr>
            <w:tcMar>
              <w:left w:w="15" w:type="dxa"/>
              <w:top w:w="15" w:type="dxa"/>
              <w:right w:w="15" w:type="dxa"/>
            </w:tcMar>
            <w:tcW w:w="614" w:type="dxa"/>
            <w:vAlign w:val="center"/>
            <w:textDirection w:val="lrTb"/>
            <w:noWrap w:val="false"/>
          </w:tcPr>
          <w:p>
            <w:pPr>
              <w:jc w:val="center"/>
              <w:spacing w:after="0" w:line="240" w:lineRule="auto"/>
              <w:widowControl/>
              <w:rPr>
                <w:rFonts w:ascii="宋体" w:hAnsi="宋体" w:cs="宋体"/>
                <w:color w:val="auto"/>
                <w:szCs w:val="21"/>
                <w:highlight w:val="none"/>
              </w:rPr>
            </w:pPr>
            <w:r>
              <w:rPr>
                <w:rFonts w:hint="eastAsia" w:ascii="宋体" w:hAnsi="宋体" w:cs="宋体"/>
                <w:color w:val="auto"/>
                <w:szCs w:val="21"/>
                <w:highlight w:val="none"/>
              </w:rPr>
              <w:t xml:space="preserve">6</w:t>
            </w:r>
            <w:r>
              <w:rPr>
                <w:color w:val="auto"/>
                <w:highlight w:val="none"/>
              </w:rPr>
            </w:r>
            <w:r/>
          </w:p>
        </w:tc>
        <w:tc>
          <w:tcPr>
            <w:tcMar>
              <w:left w:w="15" w:type="dxa"/>
              <w:top w:w="15" w:type="dxa"/>
              <w:right w:w="15" w:type="dxa"/>
            </w:tcMar>
            <w:tcW w:w="1281" w:type="dxa"/>
            <w:vAlign w:val="center"/>
            <w:textDirection w:val="lrTb"/>
            <w:noWrap w:val="false"/>
          </w:tcPr>
          <w:p>
            <w:pPr>
              <w:jc w:val="center"/>
              <w:spacing w:after="0" w:line="240" w:lineRule="auto"/>
              <w:widowControl/>
              <w:rPr>
                <w:rFonts w:ascii="宋体" w:hAnsi="宋体" w:cs="宋体"/>
                <w:color w:val="auto"/>
                <w:szCs w:val="21"/>
                <w:highlight w:val="none"/>
              </w:rPr>
            </w:pPr>
            <w:r>
              <w:rPr>
                <w:rStyle w:val="1146"/>
                <w:rFonts w:hint="default" w:ascii="宋体" w:hAnsi="宋体" w:eastAsia="宋体" w:cs="宋体"/>
                <w:color w:val="auto"/>
                <w:sz w:val="21"/>
                <w:szCs w:val="21"/>
                <w:highlight w:val="none"/>
              </w:rPr>
              <w:t xml:space="preserve">数字</w:t>
            </w:r>
            <w:r>
              <w:rPr>
                <w:rStyle w:val="1147"/>
                <w:rFonts w:hint="default" w:ascii="宋体" w:hAnsi="宋体" w:eastAsia="宋体" w:cs="宋体"/>
                <w:color w:val="auto"/>
                <w:sz w:val="21"/>
                <w:szCs w:val="21"/>
                <w:highlight w:val="none"/>
              </w:rPr>
              <w:t xml:space="preserve">瓶口滴定器</w:t>
            </w:r>
            <w:r>
              <w:rPr>
                <w:color w:val="auto"/>
                <w:highlight w:val="none"/>
              </w:rPr>
            </w:r>
            <w:r/>
          </w:p>
        </w:tc>
        <w:tc>
          <w:tcPr>
            <w:tcMar>
              <w:left w:w="15" w:type="dxa"/>
              <w:top w:w="15" w:type="dxa"/>
              <w:right w:w="15" w:type="dxa"/>
            </w:tcMar>
            <w:tcW w:w="7814" w:type="dxa"/>
            <w:vAlign w:val="center"/>
            <w:textDirection w:val="lrTb"/>
            <w:noWrap w:val="false"/>
          </w:tcPr>
          <w:p>
            <w:pPr>
              <w:pStyle w:val="887"/>
              <w:numPr>
                <w:ilvl w:val="0"/>
                <w:numId w:val="13"/>
              </w:numPr>
              <w:ind w:left="0"/>
              <w:spacing w:after="0" w:line="240" w:lineRule="auto"/>
              <w:rPr>
                <w:rFonts w:eastAsia="宋体"/>
                <w:color w:val="auto"/>
                <w:sz w:val="21"/>
                <w:szCs w:val="21"/>
                <w:highlight w:val="none"/>
              </w:rPr>
            </w:pPr>
            <w:r>
              <w:rPr>
                <w:rFonts w:hint="eastAsia" w:eastAsia="宋体"/>
                <w:color w:val="auto"/>
                <w:sz w:val="21"/>
                <w:szCs w:val="21"/>
                <w:highlight w:val="none"/>
              </w:rPr>
              <w:t xml:space="preserve">量程 50ml</w:t>
            </w:r>
            <w:r>
              <w:rPr>
                <w:color w:val="auto"/>
                <w:highlight w:val="none"/>
              </w:rPr>
            </w:r>
            <w:r/>
          </w:p>
          <w:p>
            <w:pPr>
              <w:pStyle w:val="887"/>
              <w:numPr>
                <w:ilvl w:val="0"/>
                <w:numId w:val="13"/>
              </w:numPr>
              <w:ind w:left="0"/>
              <w:spacing w:after="0" w:line="240" w:lineRule="auto"/>
              <w:rPr>
                <w:rFonts w:eastAsia="宋体"/>
                <w:color w:val="auto"/>
                <w:sz w:val="21"/>
                <w:szCs w:val="21"/>
                <w:highlight w:val="none"/>
              </w:rPr>
            </w:pPr>
            <w:r>
              <w:rPr>
                <w:rFonts w:hint="eastAsia" w:eastAsia="宋体"/>
                <w:color w:val="auto"/>
                <w:sz w:val="21"/>
                <w:szCs w:val="21"/>
                <w:highlight w:val="none"/>
              </w:rPr>
              <w:t xml:space="preserve">准确度A≤± %0.06</w:t>
            </w:r>
            <w:r>
              <w:rPr>
                <w:color w:val="auto"/>
                <w:highlight w:val="none"/>
              </w:rPr>
            </w:r>
            <w:r/>
          </w:p>
          <w:p>
            <w:pPr>
              <w:pStyle w:val="887"/>
              <w:numPr>
                <w:ilvl w:val="0"/>
                <w:numId w:val="13"/>
              </w:numPr>
              <w:ind w:left="0"/>
              <w:spacing w:after="0" w:line="240" w:lineRule="auto"/>
              <w:rPr>
                <w:rFonts w:eastAsia="宋体"/>
                <w:color w:val="auto"/>
                <w:sz w:val="21"/>
                <w:szCs w:val="21"/>
                <w:highlight w:val="none"/>
              </w:rPr>
            </w:pPr>
            <w:r>
              <w:rPr>
                <w:rFonts w:hint="eastAsia" w:eastAsia="宋体"/>
                <w:color w:val="auto"/>
                <w:sz w:val="21"/>
                <w:szCs w:val="21"/>
                <w:highlight w:val="none"/>
              </w:rPr>
              <w:t xml:space="preserve">相对偏差CV≤± %0.02</w:t>
            </w:r>
            <w:r>
              <w:rPr>
                <w:color w:val="auto"/>
                <w:highlight w:val="none"/>
              </w:rPr>
            </w:r>
            <w:r/>
          </w:p>
        </w:tc>
      </w:tr>
      <w:tr>
        <w:trPr>
          <w:trHeight w:val="340"/>
        </w:trPr>
        <w:tc>
          <w:tcPr>
            <w:tcMar>
              <w:left w:w="15" w:type="dxa"/>
              <w:top w:w="15" w:type="dxa"/>
              <w:right w:w="15" w:type="dxa"/>
            </w:tcMar>
            <w:tcW w:w="614" w:type="dxa"/>
            <w:vAlign w:val="center"/>
            <w:textDirection w:val="lrTb"/>
            <w:noWrap w:val="false"/>
          </w:tcPr>
          <w:p>
            <w:pPr>
              <w:jc w:val="center"/>
              <w:spacing w:after="0" w:line="240" w:lineRule="auto"/>
              <w:widowControl/>
              <w:rPr>
                <w:rFonts w:ascii="宋体" w:hAnsi="宋体" w:cs="宋体"/>
                <w:color w:val="auto"/>
                <w:szCs w:val="21"/>
                <w:highlight w:val="none"/>
              </w:rPr>
            </w:pPr>
            <w:r>
              <w:rPr>
                <w:rFonts w:hint="eastAsia" w:ascii="宋体" w:hAnsi="宋体" w:cs="宋体"/>
                <w:color w:val="auto"/>
                <w:szCs w:val="21"/>
                <w:highlight w:val="none"/>
              </w:rPr>
              <w:t xml:space="preserve">7</w:t>
            </w:r>
            <w:r>
              <w:rPr>
                <w:color w:val="auto"/>
                <w:highlight w:val="none"/>
              </w:rPr>
            </w:r>
            <w:r/>
          </w:p>
        </w:tc>
        <w:tc>
          <w:tcPr>
            <w:tcMar>
              <w:left w:w="15" w:type="dxa"/>
              <w:top w:w="15" w:type="dxa"/>
              <w:right w:w="15" w:type="dxa"/>
            </w:tcMar>
            <w:tcW w:w="1281" w:type="dxa"/>
            <w:vAlign w:val="center"/>
            <w:textDirection w:val="lrTb"/>
            <w:noWrap w:val="false"/>
          </w:tcPr>
          <w:p>
            <w:pPr>
              <w:jc w:val="center"/>
              <w:spacing w:after="0" w:line="240" w:lineRule="auto"/>
              <w:widowControl/>
              <w:rPr>
                <w:rFonts w:ascii="宋体" w:hAnsi="宋体" w:cs="宋体"/>
                <w:color w:val="auto"/>
                <w:szCs w:val="21"/>
                <w:highlight w:val="none"/>
              </w:rPr>
            </w:pPr>
            <w:r>
              <w:rPr>
                <w:rFonts w:hint="eastAsia" w:ascii="宋体" w:hAnsi="宋体" w:cs="宋体"/>
                <w:color w:val="auto"/>
                <w:szCs w:val="21"/>
                <w:highlight w:val="none"/>
              </w:rPr>
              <w:t xml:space="preserve">烟尘/气浓度测试仪</w:t>
            </w:r>
            <w:r>
              <w:rPr>
                <w:color w:val="auto"/>
                <w:highlight w:val="none"/>
              </w:rPr>
            </w:r>
            <w:r/>
          </w:p>
        </w:tc>
        <w:tc>
          <w:tcPr>
            <w:tcMar>
              <w:left w:w="15" w:type="dxa"/>
              <w:top w:w="15" w:type="dxa"/>
              <w:right w:w="15" w:type="dxa"/>
            </w:tcMar>
            <w:tcW w:w="7814" w:type="dxa"/>
            <w:vAlign w:val="center"/>
            <w:textDirection w:val="lrTb"/>
            <w:noWrap w:val="false"/>
          </w:tcPr>
          <w:p>
            <w:pPr>
              <w:jc w:val="left"/>
              <w:spacing w:after="0" w:line="240" w:lineRule="auto"/>
              <w:widowControl/>
              <w:rPr>
                <w:color w:val="auto"/>
                <w:highlight w:val="none"/>
              </w:rPr>
            </w:pPr>
            <w:r>
              <w:rPr>
                <w:rFonts w:hint="eastAsia"/>
                <w:color w:val="auto"/>
                <w:highlight w:val="none"/>
              </w:rPr>
              <w:t xml:space="preserve">一、应用</w:t>
            </w:r>
            <w:r>
              <w:rPr>
                <w:color w:val="auto"/>
                <w:highlight w:val="none"/>
              </w:rPr>
            </w:r>
            <w:r/>
          </w:p>
          <w:p>
            <w:pPr>
              <w:pStyle w:val="778"/>
              <w:ind w:left="0"/>
              <w:spacing w:after="0" w:line="240" w:lineRule="auto"/>
              <w:rPr>
                <w:rFonts w:ascii="宋体" w:hAnsi="宋体" w:eastAsia="宋体" w:cs="宋体"/>
                <w:color w:val="auto"/>
                <w:highlight w:val="none"/>
              </w:rPr>
            </w:pPr>
            <w:r>
              <w:rPr>
                <w:color w:val="auto"/>
                <w:highlight w:val="none"/>
              </w:rPr>
              <w:t xml:space="preserve">用</w:t>
            </w:r>
            <w:r>
              <w:rPr>
                <w:rFonts w:hint="eastAsia" w:ascii="宋体" w:hAnsi="宋体" w:eastAsia="宋体" w:cs="宋体"/>
                <w:color w:val="auto"/>
                <w:highlight w:val="none"/>
              </w:rPr>
              <w:t xml:space="preserve">于测量固定污染源中颗粒物的浓度和烟气成份，</w:t>
            </w:r>
            <w:r>
              <w:rPr>
                <w:rFonts w:hint="eastAsia" w:ascii="宋体" w:hAnsi="宋体" w:eastAsia="宋体" w:cs="宋体"/>
                <w:color w:val="auto"/>
                <w:highlight w:val="none"/>
              </w:rPr>
              <w:t xml:space="preserve">监测仪集</w:t>
            </w:r>
            <w:r>
              <w:rPr>
                <w:rFonts w:hint="eastAsia" w:ascii="宋体" w:hAnsi="宋体" w:eastAsia="宋体" w:cs="宋体"/>
                <w:color w:val="auto"/>
                <w:highlight w:val="none"/>
              </w:rPr>
              <w:t xml:space="preserve">S型皮托管、烟温传感器、烟尘烟气采样管于一体，采用β射线吸收原理，实现固定污染源排气中颗粒物浓度现场监测。同时可测量烟道内的动压、静压、温度、含湿量、流速、风量、烟气浓度以及烟尘排放浓度、排放量。</w:t>
            </w:r>
            <w:r>
              <w:rPr>
                <w:color w:val="auto"/>
                <w:highlight w:val="none"/>
              </w:rPr>
            </w:r>
            <w:r/>
          </w:p>
          <w:p>
            <w:pPr>
              <w:spacing w:after="0" w:line="240" w:lineRule="auto"/>
              <w:rPr>
                <w:rFonts w:ascii="宋体" w:hAnsi="宋体" w:cs="宋体"/>
                <w:color w:val="auto"/>
                <w:highlight w:val="none"/>
              </w:rPr>
            </w:pPr>
            <w:r>
              <w:rPr>
                <w:rFonts w:hint="eastAsia" w:ascii="宋体" w:hAnsi="宋体" w:cs="宋体"/>
                <w:color w:val="auto"/>
                <w:highlight w:val="none"/>
              </w:rPr>
              <w:t xml:space="preserve">二、性能要求</w:t>
            </w:r>
            <w:r>
              <w:rPr>
                <w:color w:val="auto"/>
                <w:highlight w:val="none"/>
              </w:rPr>
            </w:r>
            <w:r/>
          </w:p>
          <w:p>
            <w:pPr>
              <w:pStyle w:val="778"/>
              <w:ind w:left="0"/>
              <w:spacing w:after="0" w:line="240" w:lineRule="auto"/>
              <w:rPr>
                <w:rFonts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b/>
                <w:bCs/>
                <w:color w:val="auto"/>
                <w:szCs w:val="21"/>
                <w:highlight w:val="none"/>
              </w:rPr>
              <w:t xml:space="preserve">★</w:t>
            </w:r>
            <w:r>
              <w:rPr>
                <w:rFonts w:hint="eastAsia" w:ascii="宋体" w:hAnsi="宋体" w:eastAsia="宋体" w:cs="宋体"/>
                <w:color w:val="auto"/>
                <w:highlight w:val="none"/>
              </w:rPr>
              <w:t xml:space="preserve">采用一体化设计，集烟尘采样泵、β射线烟尘检测单元、烟气采样泵、烟气预处理单元、烟气传感器、烟温传感器、湿度传感器、S型皮托管于一体，无需外接主机，即可实现烟尘烟气以及</w:t>
            </w:r>
            <w:r>
              <w:rPr>
                <w:rFonts w:hint="eastAsia" w:ascii="宋体" w:hAnsi="宋体" w:eastAsia="宋体" w:cs="宋体"/>
                <w:color w:val="auto"/>
                <w:highlight w:val="none"/>
              </w:rPr>
              <w:t xml:space="preserve">工况同测功能</w:t>
            </w:r>
            <w:r>
              <w:rPr>
                <w:rFonts w:hint="eastAsia" w:ascii="宋体" w:hAnsi="宋体" w:eastAsia="宋体" w:cs="宋体"/>
                <w:color w:val="auto"/>
                <w:highlight w:val="none"/>
              </w:rPr>
              <w:t xml:space="preserve">。（需提供实物照片作为证明材料）</w:t>
            </w:r>
            <w:r>
              <w:rPr>
                <w:color w:val="auto"/>
                <w:highlight w:val="none"/>
              </w:rPr>
            </w:r>
            <w:r/>
          </w:p>
          <w:p>
            <w:pPr>
              <w:pStyle w:val="778"/>
              <w:ind w:left="0"/>
              <w:spacing w:after="0" w:line="240" w:lineRule="auto"/>
              <w:rPr>
                <w:rFonts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b/>
                <w:bCs/>
                <w:color w:val="auto"/>
                <w:szCs w:val="21"/>
                <w:highlight w:val="none"/>
              </w:rPr>
              <w:t xml:space="preserve">★</w:t>
            </w:r>
            <w:r>
              <w:rPr>
                <w:rFonts w:hint="eastAsia" w:ascii="宋体" w:hAnsi="宋体" w:eastAsia="宋体" w:cs="宋体"/>
                <w:color w:val="auto"/>
                <w:highlight w:val="none"/>
              </w:rPr>
              <w:t xml:space="preserve">仪器拥有计量器具型式批准证书，并在证书上可同时显示烟气测量范围、烟尘浓度测量范围，以证明仪器可一体化直读烟气浓度以及烟尘排放浓度。（提供计量器具型式批准证书作为证明材料）</w:t>
            </w:r>
            <w:r>
              <w:rPr>
                <w:color w:val="auto"/>
                <w:highlight w:val="none"/>
              </w:rPr>
            </w:r>
            <w:r/>
          </w:p>
          <w:p>
            <w:pPr>
              <w:pStyle w:val="778"/>
              <w:ind w:left="0"/>
              <w:spacing w:after="0" w:line="240" w:lineRule="auto"/>
              <w:rPr>
                <w:rFonts w:ascii="宋体" w:hAnsi="宋体" w:eastAsia="宋体" w:cs="宋体"/>
                <w:color w:val="auto"/>
                <w:highlight w:val="none"/>
              </w:rPr>
            </w:pPr>
            <w:r>
              <w:rPr>
                <w:rFonts w:hint="eastAsia" w:ascii="宋体" w:hAnsi="宋体" w:eastAsia="宋体" w:cs="宋体"/>
                <w:color w:val="auto"/>
                <w:highlight w:val="none"/>
              </w:rPr>
              <w:t xml:space="preserve">3.采用低活度的14C β射线豁免源，衰变过程稳定，辐射剂量低，安全可靠。</w:t>
            </w:r>
            <w:r>
              <w:rPr>
                <w:color w:val="auto"/>
                <w:highlight w:val="none"/>
              </w:rPr>
            </w:r>
            <w:r/>
          </w:p>
          <w:p>
            <w:pPr>
              <w:pStyle w:val="778"/>
              <w:ind w:left="0"/>
              <w:spacing w:after="0" w:line="240" w:lineRule="auto"/>
              <w:rPr>
                <w:rFonts w:ascii="宋体" w:hAnsi="宋体" w:eastAsia="宋体" w:cs="宋体"/>
                <w:color w:val="auto"/>
                <w:highlight w:val="none"/>
              </w:rPr>
            </w:pPr>
            <w:r>
              <w:rPr>
                <w:rFonts w:hint="eastAsia" w:ascii="宋体" w:hAnsi="宋体" w:eastAsia="宋体" w:cs="宋体"/>
                <w:color w:val="auto"/>
                <w:highlight w:val="none"/>
              </w:rPr>
              <w:t xml:space="preserve">4.内置高效烟气预处理装置，应对高湿工况，可有效去除烟气水分，提高烟气检测精度。</w:t>
            </w:r>
            <w:r>
              <w:rPr>
                <w:color w:val="auto"/>
                <w:highlight w:val="none"/>
              </w:rPr>
            </w:r>
            <w:r/>
          </w:p>
          <w:p>
            <w:pPr>
              <w:pStyle w:val="778"/>
              <w:ind w:left="0"/>
              <w:spacing w:after="0" w:line="240" w:lineRule="auto"/>
              <w:rPr>
                <w:rFonts w:ascii="宋体" w:hAnsi="宋体" w:eastAsia="宋体" w:cs="宋体"/>
                <w:color w:val="auto"/>
                <w:highlight w:val="none"/>
              </w:rPr>
            </w:pPr>
            <w:r>
              <w:rPr>
                <w:rFonts w:hint="eastAsia" w:ascii="宋体" w:hAnsi="宋体" w:eastAsia="宋体" w:cs="宋体"/>
                <w:color w:val="auto"/>
                <w:highlight w:val="none"/>
              </w:rPr>
              <w:t xml:space="preserve">5.具有定时自动排水功能，可依据预设时间间隔，自动完成排水，无需人工干预。</w:t>
            </w:r>
            <w:r>
              <w:rPr>
                <w:color w:val="auto"/>
                <w:highlight w:val="none"/>
              </w:rPr>
            </w:r>
            <w:r/>
          </w:p>
          <w:p>
            <w:pPr>
              <w:pStyle w:val="778"/>
              <w:ind w:left="0"/>
              <w:spacing w:after="0" w:line="240" w:lineRule="auto"/>
              <w:rPr>
                <w:rFonts w:ascii="宋体" w:hAnsi="宋体" w:eastAsia="宋体" w:cs="宋体"/>
                <w:color w:val="auto"/>
                <w:highlight w:val="none"/>
              </w:rPr>
            </w:pPr>
            <w:r>
              <w:rPr>
                <w:rFonts w:hint="eastAsia" w:ascii="宋体" w:hAnsi="宋体" w:eastAsia="宋体" w:cs="宋体"/>
                <w:color w:val="auto"/>
                <w:highlight w:val="none"/>
              </w:rPr>
              <w:t xml:space="preserve">6.具有烟温、流速、压力、含湿量、含氧量全工况监测功能。</w:t>
            </w:r>
            <w:r>
              <w:rPr>
                <w:color w:val="auto"/>
                <w:highlight w:val="none"/>
              </w:rPr>
            </w:r>
            <w:r/>
          </w:p>
          <w:p>
            <w:pPr>
              <w:pStyle w:val="778"/>
              <w:ind w:left="0"/>
              <w:spacing w:after="0" w:line="240" w:lineRule="auto"/>
              <w:rPr>
                <w:rFonts w:ascii="宋体" w:hAnsi="宋体" w:eastAsia="宋体" w:cs="宋体"/>
                <w:color w:val="auto"/>
                <w:highlight w:val="none"/>
              </w:rPr>
            </w:pPr>
            <w:r>
              <w:rPr>
                <w:rFonts w:hint="eastAsia" w:ascii="宋体" w:hAnsi="宋体" w:eastAsia="宋体" w:cs="宋体"/>
                <w:color w:val="auto"/>
                <w:highlight w:val="none"/>
              </w:rPr>
              <w:t xml:space="preserve">7.配置不低于5英寸触摸手操器，可无线操控仪器，并且手操器需具备打印功能。</w:t>
            </w:r>
            <w:r>
              <w:rPr>
                <w:color w:val="auto"/>
                <w:highlight w:val="none"/>
              </w:rPr>
            </w:r>
            <w:r/>
          </w:p>
          <w:p>
            <w:pPr>
              <w:pStyle w:val="778"/>
              <w:ind w:left="0"/>
              <w:spacing w:after="0" w:line="240" w:lineRule="auto"/>
              <w:rPr>
                <w:rFonts w:ascii="宋体" w:hAnsi="宋体" w:eastAsia="宋体" w:cs="宋体"/>
                <w:color w:val="auto"/>
                <w:highlight w:val="none"/>
              </w:rPr>
            </w:pPr>
            <w:r>
              <w:rPr>
                <w:rFonts w:hint="eastAsia" w:ascii="宋体" w:hAnsi="宋体" w:eastAsia="宋体" w:cs="宋体"/>
                <w:color w:val="auto"/>
                <w:highlight w:val="none"/>
              </w:rPr>
              <w:t xml:space="preserve">8.</w:t>
            </w:r>
            <w:r>
              <w:rPr>
                <w:rFonts w:hint="eastAsia" w:ascii="宋体" w:hAnsi="宋体" w:eastAsia="宋体" w:cs="宋体"/>
                <w:b/>
                <w:bCs/>
                <w:color w:val="auto"/>
                <w:szCs w:val="21"/>
                <w:highlight w:val="none"/>
              </w:rPr>
              <w:t xml:space="preserve">★</w:t>
            </w:r>
            <w:r>
              <w:rPr>
                <w:rFonts w:hint="eastAsia" w:ascii="宋体" w:hAnsi="宋体" w:eastAsia="宋体" w:cs="宋体"/>
                <w:color w:val="auto"/>
                <w:highlight w:val="none"/>
              </w:rPr>
              <w:t xml:space="preserve">烟气分析具有烟道内</w:t>
            </w:r>
            <w:r>
              <w:rPr>
                <w:rFonts w:hint="eastAsia" w:ascii="宋体" w:hAnsi="宋体" w:eastAsia="宋体" w:cs="宋体"/>
                <w:color w:val="auto"/>
                <w:highlight w:val="none"/>
              </w:rPr>
              <w:t xml:space="preserve">校零及</w:t>
            </w:r>
            <w:r>
              <w:rPr>
                <w:rFonts w:hint="eastAsia" w:ascii="宋体" w:hAnsi="宋体" w:eastAsia="宋体" w:cs="宋体"/>
                <w:color w:val="auto"/>
                <w:highlight w:val="none"/>
              </w:rPr>
              <w:t xml:space="preserve">清洗功能，无需将取样管取出。</w:t>
            </w:r>
            <w:r>
              <w:rPr>
                <w:color w:val="auto"/>
                <w:highlight w:val="none"/>
              </w:rPr>
            </w:r>
            <w:r/>
          </w:p>
          <w:p>
            <w:pPr>
              <w:pStyle w:val="778"/>
              <w:ind w:left="0"/>
              <w:spacing w:after="0" w:line="240" w:lineRule="auto"/>
              <w:rPr>
                <w:rFonts w:ascii="宋体" w:hAnsi="宋体" w:eastAsia="宋体" w:cs="宋体"/>
                <w:color w:val="auto"/>
                <w:highlight w:val="none"/>
              </w:rPr>
            </w:pPr>
            <w:r>
              <w:rPr>
                <w:rFonts w:hint="eastAsia" w:ascii="宋体" w:hAnsi="宋体" w:eastAsia="宋体" w:cs="宋体"/>
                <w:color w:val="auto"/>
                <w:highlight w:val="none"/>
              </w:rPr>
              <w:t xml:space="preserve">9.测量数据自动生成二维码，</w:t>
            </w:r>
            <w:r>
              <w:rPr>
                <w:rFonts w:hint="eastAsia" w:ascii="宋体" w:hAnsi="宋体" w:eastAsia="宋体" w:cs="宋体"/>
                <w:color w:val="auto"/>
                <w:highlight w:val="none"/>
              </w:rPr>
              <w:t xml:space="preserve">扫码即</w:t>
            </w:r>
            <w:r>
              <w:rPr>
                <w:rFonts w:hint="eastAsia" w:ascii="宋体" w:hAnsi="宋体" w:eastAsia="宋体" w:cs="宋体"/>
                <w:color w:val="auto"/>
                <w:highlight w:val="none"/>
              </w:rPr>
              <w:t xml:space="preserve">可实现数据导出。</w:t>
            </w:r>
            <w:r>
              <w:rPr>
                <w:color w:val="auto"/>
                <w:highlight w:val="none"/>
              </w:rPr>
            </w:r>
            <w:r/>
          </w:p>
          <w:p>
            <w:pPr>
              <w:pStyle w:val="778"/>
              <w:ind w:left="0"/>
              <w:spacing w:after="0" w:line="240" w:lineRule="auto"/>
              <w:rPr>
                <w:rFonts w:ascii="宋体" w:hAnsi="宋体" w:eastAsia="宋体" w:cs="宋体"/>
                <w:color w:val="auto"/>
                <w:highlight w:val="none"/>
              </w:rPr>
            </w:pPr>
            <w:r>
              <w:rPr>
                <w:rFonts w:hint="eastAsia" w:ascii="宋体" w:hAnsi="宋体" w:eastAsia="宋体" w:cs="宋体"/>
                <w:color w:val="auto"/>
                <w:highlight w:val="none"/>
              </w:rPr>
              <w:t xml:space="preserve">10.</w:t>
            </w:r>
            <w:r>
              <w:rPr>
                <w:rFonts w:hint="eastAsia" w:ascii="宋体" w:hAnsi="宋体" w:eastAsia="宋体" w:cs="宋体"/>
                <w:b/>
                <w:bCs/>
                <w:color w:val="auto"/>
                <w:szCs w:val="21"/>
                <w:highlight w:val="none"/>
              </w:rPr>
              <w:t xml:space="preserve">★</w:t>
            </w:r>
            <w:r>
              <w:rPr>
                <w:rFonts w:hint="eastAsia" w:ascii="宋体" w:hAnsi="宋体" w:eastAsia="宋体" w:cs="宋体"/>
                <w:color w:val="auto"/>
                <w:highlight w:val="none"/>
              </w:rPr>
              <w:t xml:space="preserve">内置陀螺仪，具有角度检测功能，显示采样嘴偏离角度，确保采样精度。</w:t>
            </w:r>
            <w:r>
              <w:rPr>
                <w:color w:val="auto"/>
                <w:highlight w:val="none"/>
              </w:rPr>
            </w:r>
            <w:r/>
          </w:p>
          <w:p>
            <w:pPr>
              <w:pStyle w:val="778"/>
              <w:ind w:left="0"/>
              <w:spacing w:after="0" w:line="240" w:lineRule="auto"/>
              <w:rPr>
                <w:rFonts w:ascii="宋体" w:hAnsi="宋体" w:eastAsia="宋体" w:cs="宋体"/>
                <w:color w:val="auto"/>
                <w:highlight w:val="none"/>
              </w:rPr>
            </w:pPr>
            <w:r>
              <w:rPr>
                <w:rFonts w:hint="eastAsia" w:ascii="宋体" w:hAnsi="宋体" w:eastAsia="宋体" w:cs="宋体"/>
                <w:color w:val="auto"/>
                <w:highlight w:val="none"/>
              </w:rPr>
              <w:t xml:space="preserve">11.</w:t>
            </w:r>
            <w:r>
              <w:rPr>
                <w:rFonts w:hint="eastAsia" w:ascii="宋体" w:hAnsi="宋体" w:eastAsia="宋体" w:cs="宋体"/>
                <w:b/>
                <w:bCs/>
                <w:color w:val="auto"/>
                <w:szCs w:val="21"/>
                <w:highlight w:val="none"/>
              </w:rPr>
              <w:t xml:space="preserve">★</w:t>
            </w:r>
            <w:r>
              <w:rPr>
                <w:rFonts w:hint="eastAsia" w:ascii="宋体" w:hAnsi="宋体" w:eastAsia="宋体" w:cs="宋体"/>
                <w:color w:val="auto"/>
                <w:highlight w:val="none"/>
              </w:rPr>
              <w:t xml:space="preserve">滤带前后</w:t>
            </w:r>
            <w:r>
              <w:rPr>
                <w:rFonts w:hint="eastAsia" w:ascii="宋体" w:hAnsi="宋体" w:eastAsia="宋体" w:cs="宋体"/>
                <w:color w:val="auto"/>
                <w:highlight w:val="none"/>
              </w:rPr>
              <w:t xml:space="preserve">位双重加热，提升滤膜烘干效率，防止烟气冷凝对测量结果造成影响。</w:t>
            </w:r>
            <w:r>
              <w:rPr>
                <w:color w:val="auto"/>
                <w:highlight w:val="none"/>
              </w:rPr>
            </w:r>
            <w:r/>
          </w:p>
          <w:p>
            <w:pPr>
              <w:pStyle w:val="778"/>
              <w:ind w:left="0"/>
              <w:spacing w:after="0" w:line="240" w:lineRule="auto"/>
              <w:rPr>
                <w:rFonts w:ascii="宋体" w:hAnsi="宋体" w:eastAsia="宋体" w:cs="宋体"/>
                <w:color w:val="auto"/>
                <w:highlight w:val="none"/>
              </w:rPr>
            </w:pPr>
            <w:r>
              <w:rPr>
                <w:rFonts w:hint="eastAsia" w:ascii="宋体" w:hAnsi="宋体" w:eastAsia="宋体" w:cs="宋体"/>
                <w:color w:val="auto"/>
                <w:highlight w:val="none"/>
              </w:rPr>
              <w:t xml:space="preserve">12.取样管采用对接设计，可实现快速拆装，且可多角度转动，方便运输和使用。</w:t>
            </w:r>
            <w:r>
              <w:rPr>
                <w:color w:val="auto"/>
                <w:highlight w:val="none"/>
              </w:rPr>
            </w:r>
            <w:r/>
          </w:p>
          <w:p>
            <w:pPr>
              <w:pStyle w:val="778"/>
              <w:ind w:left="0"/>
              <w:spacing w:after="0" w:line="240" w:lineRule="auto"/>
              <w:rPr>
                <w:rFonts w:ascii="宋体" w:hAnsi="宋体" w:eastAsia="宋体" w:cs="宋体"/>
                <w:color w:val="auto"/>
                <w:highlight w:val="none"/>
              </w:rPr>
            </w:pPr>
            <w:r>
              <w:rPr>
                <w:rFonts w:hint="eastAsia" w:ascii="宋体" w:hAnsi="宋体" w:eastAsia="宋体" w:cs="宋体"/>
                <w:color w:val="auto"/>
                <w:highlight w:val="none"/>
              </w:rPr>
              <w:t xml:space="preserve">13.内置式皮托管，采用模块化设计，方便拆卸和维修。</w:t>
            </w:r>
            <w:r>
              <w:rPr>
                <w:color w:val="auto"/>
                <w:highlight w:val="none"/>
              </w:rPr>
            </w:r>
            <w:r/>
          </w:p>
          <w:p>
            <w:pPr>
              <w:pStyle w:val="778"/>
              <w:ind w:left="0"/>
              <w:spacing w:after="0" w:line="240" w:lineRule="auto"/>
              <w:rPr>
                <w:rFonts w:ascii="宋体" w:hAnsi="宋体" w:eastAsia="宋体" w:cs="宋体"/>
                <w:color w:val="auto"/>
                <w:highlight w:val="none"/>
              </w:rPr>
            </w:pPr>
            <w:r>
              <w:rPr>
                <w:rFonts w:hint="eastAsia" w:ascii="宋体" w:hAnsi="宋体" w:eastAsia="宋体" w:cs="宋体"/>
                <w:color w:val="auto"/>
                <w:highlight w:val="none"/>
              </w:rPr>
              <w:t xml:space="preserve">14.烟气采样管和过滤器内置，烟尘和烟气采样管路独立设计。</w:t>
            </w:r>
            <w:r>
              <w:rPr>
                <w:color w:val="auto"/>
                <w:highlight w:val="none"/>
              </w:rPr>
            </w:r>
            <w:r/>
          </w:p>
          <w:p>
            <w:pPr>
              <w:pStyle w:val="778"/>
              <w:ind w:left="0"/>
              <w:spacing w:after="0" w:line="240" w:lineRule="auto"/>
              <w:rPr>
                <w:rFonts w:ascii="宋体" w:hAnsi="宋体" w:eastAsia="宋体" w:cs="宋体"/>
                <w:color w:val="auto"/>
                <w:highlight w:val="none"/>
              </w:rPr>
            </w:pPr>
            <w:r>
              <w:rPr>
                <w:rFonts w:hint="eastAsia" w:ascii="宋体" w:hAnsi="宋体" w:eastAsia="宋体" w:cs="宋体"/>
                <w:color w:val="auto"/>
                <w:highlight w:val="none"/>
              </w:rPr>
              <w:t xml:space="preserve">15.取样管与主机之间的</w:t>
            </w:r>
            <w:r>
              <w:rPr>
                <w:rFonts w:hint="eastAsia" w:ascii="宋体" w:hAnsi="宋体" w:eastAsia="宋体" w:cs="宋体"/>
                <w:color w:val="auto"/>
                <w:highlight w:val="none"/>
              </w:rPr>
              <w:t xml:space="preserve">烟气管</w:t>
            </w:r>
            <w:r>
              <w:rPr>
                <w:rFonts w:hint="eastAsia" w:ascii="宋体" w:hAnsi="宋体" w:eastAsia="宋体" w:cs="宋体"/>
                <w:color w:val="auto"/>
                <w:highlight w:val="none"/>
              </w:rPr>
              <w:t xml:space="preserve">采用对接设计，无需外接管路，避免管路外接造成的烟气冷凝。</w:t>
            </w:r>
            <w:r>
              <w:rPr>
                <w:color w:val="auto"/>
                <w:highlight w:val="none"/>
              </w:rPr>
            </w:r>
            <w:r/>
          </w:p>
          <w:p>
            <w:pPr>
              <w:pStyle w:val="778"/>
              <w:ind w:left="0"/>
              <w:spacing w:after="0" w:line="240" w:lineRule="auto"/>
              <w:rPr>
                <w:rFonts w:ascii="宋体" w:hAnsi="宋体" w:eastAsia="宋体" w:cs="宋体"/>
                <w:color w:val="auto"/>
                <w:highlight w:val="none"/>
              </w:rPr>
            </w:pPr>
            <w:r>
              <w:rPr>
                <w:rFonts w:hint="eastAsia" w:ascii="宋体" w:hAnsi="宋体" w:eastAsia="宋体" w:cs="宋体"/>
                <w:color w:val="auto"/>
                <w:highlight w:val="none"/>
              </w:rPr>
              <w:t xml:space="preserve">16.内部集成</w:t>
            </w:r>
            <w:r>
              <w:rPr>
                <w:rFonts w:hint="eastAsia" w:ascii="宋体" w:hAnsi="宋体" w:eastAsia="宋体" w:cs="宋体"/>
                <w:color w:val="auto"/>
                <w:highlight w:val="none"/>
              </w:rPr>
              <w:t xml:space="preserve">阻容法湿度</w:t>
            </w:r>
            <w:r>
              <w:rPr>
                <w:rFonts w:hint="eastAsia" w:ascii="宋体" w:hAnsi="宋体" w:eastAsia="宋体" w:cs="宋体"/>
                <w:color w:val="auto"/>
                <w:highlight w:val="none"/>
              </w:rPr>
              <w:t xml:space="preserve">传感单元，可实时检测烟气含湿量。</w:t>
            </w:r>
            <w:r>
              <w:rPr>
                <w:color w:val="auto"/>
                <w:highlight w:val="none"/>
              </w:rPr>
            </w:r>
            <w:r/>
          </w:p>
          <w:p>
            <w:pPr>
              <w:spacing w:line="240" w:lineRule="auto"/>
              <w:rPr>
                <w:color w:val="auto"/>
                <w:highlight w:val="none"/>
              </w:rPr>
            </w:pPr>
            <w:r>
              <w:rPr>
                <w:rFonts w:hint="eastAsia"/>
                <w:color w:val="auto"/>
                <w:highlight w:val="none"/>
              </w:rPr>
              <w:t xml:space="preserve">三、</w:t>
            </w:r>
            <w:r>
              <w:rPr>
                <w:color w:val="auto"/>
                <w:highlight w:val="none"/>
              </w:rPr>
              <w:t xml:space="preserve">技术指标</w:t>
            </w:r>
            <w:r>
              <w:rPr>
                <w:color w:val="auto"/>
                <w:highlight w:val="none"/>
              </w:rPr>
            </w:r>
            <w:r/>
          </w:p>
          <w:tbl>
            <w:tblPr>
              <w:tblW w:w="7204" w:type="dxa"/>
              <w:tblInd w:w="32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695"/>
              <w:gridCol w:w="2235"/>
              <w:gridCol w:w="1322"/>
              <w:gridCol w:w="1944"/>
              <w:gridCol w:w="8"/>
            </w:tblGrid>
            <w:tr>
              <w:trPr>
                <w:gridAfter w:val="1"/>
                <w:trHeight w:val="283"/>
                <w:tblHeader/>
              </w:trPr>
              <w:tc>
                <w:tcPr>
                  <w:tcW w:w="1695" w:type="dxa"/>
                  <w:vAlign w:val="center"/>
                  <w:textDirection w:val="lrTb"/>
                  <w:noWrap w:val="false"/>
                </w:tcPr>
                <w:p>
                  <w:pPr>
                    <w:pStyle w:val="784"/>
                    <w:spacing w:after="0" w:line="240" w:lineRule="auto"/>
                    <w:rPr>
                      <w:rFonts w:ascii="宋体" w:hAnsi="宋体" w:cs="宋体"/>
                      <w:b w:val="0"/>
                      <w:bCs/>
                      <w:color w:val="auto"/>
                      <w:sz w:val="21"/>
                      <w:szCs w:val="21"/>
                      <w:highlight w:val="none"/>
                    </w:rPr>
                  </w:pPr>
                  <w:r>
                    <w:rPr>
                      <w:rFonts w:hint="eastAsia" w:ascii="宋体" w:hAnsi="宋体" w:cs="宋体"/>
                      <w:b w:val="0"/>
                      <w:bCs/>
                      <w:color w:val="auto"/>
                      <w:sz w:val="21"/>
                      <w:szCs w:val="21"/>
                      <w:highlight w:val="none"/>
                    </w:rPr>
                    <w:t xml:space="preserve">主要参数</w:t>
                  </w:r>
                  <w:r>
                    <w:rPr>
                      <w:color w:val="auto"/>
                      <w:highlight w:val="none"/>
                    </w:rPr>
                  </w:r>
                  <w:r/>
                </w:p>
              </w:tc>
              <w:tc>
                <w:tcPr>
                  <w:tcW w:w="2235" w:type="dxa"/>
                  <w:vAlign w:val="center"/>
                  <w:textDirection w:val="lrTb"/>
                  <w:noWrap w:val="false"/>
                </w:tcPr>
                <w:p>
                  <w:pPr>
                    <w:pStyle w:val="784"/>
                    <w:spacing w:after="0" w:line="240" w:lineRule="auto"/>
                    <w:rPr>
                      <w:rFonts w:ascii="宋体" w:hAnsi="宋体" w:cs="宋体"/>
                      <w:b w:val="0"/>
                      <w:bCs/>
                      <w:color w:val="auto"/>
                      <w:sz w:val="21"/>
                      <w:szCs w:val="21"/>
                      <w:highlight w:val="none"/>
                    </w:rPr>
                  </w:pPr>
                  <w:r>
                    <w:rPr>
                      <w:rFonts w:hint="eastAsia" w:ascii="宋体" w:hAnsi="宋体" w:cs="宋体"/>
                      <w:b w:val="0"/>
                      <w:bCs/>
                      <w:color w:val="auto"/>
                      <w:sz w:val="21"/>
                      <w:szCs w:val="21"/>
                      <w:highlight w:val="none"/>
                    </w:rPr>
                    <w:t xml:space="preserve">参数范围</w:t>
                  </w:r>
                  <w:r>
                    <w:rPr>
                      <w:color w:val="auto"/>
                      <w:highlight w:val="none"/>
                    </w:rPr>
                  </w:r>
                  <w:r/>
                </w:p>
              </w:tc>
              <w:tc>
                <w:tcPr>
                  <w:tcW w:w="1322" w:type="dxa"/>
                  <w:vAlign w:val="center"/>
                  <w:textDirection w:val="lrTb"/>
                  <w:noWrap w:val="false"/>
                </w:tcPr>
                <w:p>
                  <w:pPr>
                    <w:pStyle w:val="784"/>
                    <w:spacing w:after="0" w:line="240" w:lineRule="auto"/>
                    <w:rPr>
                      <w:rFonts w:ascii="宋体" w:hAnsi="宋体" w:cs="宋体"/>
                      <w:b w:val="0"/>
                      <w:bCs/>
                      <w:color w:val="auto"/>
                      <w:sz w:val="21"/>
                      <w:szCs w:val="21"/>
                      <w:highlight w:val="none"/>
                    </w:rPr>
                  </w:pPr>
                  <w:r>
                    <w:rPr>
                      <w:rFonts w:hint="eastAsia" w:ascii="宋体" w:hAnsi="宋体" w:cs="宋体"/>
                      <w:b w:val="0"/>
                      <w:bCs/>
                      <w:color w:val="auto"/>
                      <w:sz w:val="21"/>
                      <w:szCs w:val="21"/>
                      <w:highlight w:val="none"/>
                    </w:rPr>
                    <w:t xml:space="preserve">分辨率</w:t>
                  </w:r>
                  <w:r>
                    <w:rPr>
                      <w:color w:val="auto"/>
                      <w:highlight w:val="none"/>
                    </w:rPr>
                  </w:r>
                  <w:r/>
                </w:p>
              </w:tc>
              <w:tc>
                <w:tcPr>
                  <w:tcW w:w="1944" w:type="dxa"/>
                  <w:vAlign w:val="center"/>
                  <w:textDirection w:val="lrTb"/>
                  <w:noWrap w:val="false"/>
                </w:tcPr>
                <w:p>
                  <w:pPr>
                    <w:pStyle w:val="784"/>
                    <w:spacing w:after="0" w:line="240" w:lineRule="auto"/>
                    <w:rPr>
                      <w:rFonts w:ascii="宋体" w:hAnsi="宋体" w:cs="宋体"/>
                      <w:b w:val="0"/>
                      <w:bCs/>
                      <w:color w:val="auto"/>
                      <w:sz w:val="21"/>
                      <w:szCs w:val="21"/>
                      <w:highlight w:val="none"/>
                    </w:rPr>
                  </w:pPr>
                  <w:r>
                    <w:rPr>
                      <w:rFonts w:hint="eastAsia" w:ascii="宋体" w:hAnsi="宋体" w:cs="宋体"/>
                      <w:b w:val="0"/>
                      <w:bCs/>
                      <w:color w:val="auto"/>
                      <w:sz w:val="21"/>
                      <w:szCs w:val="21"/>
                      <w:highlight w:val="none"/>
                    </w:rPr>
                    <w:t xml:space="preserve">准确度</w:t>
                  </w:r>
                  <w:r>
                    <w:rPr>
                      <w:color w:val="auto"/>
                      <w:highlight w:val="none"/>
                    </w:rPr>
                  </w:r>
                  <w:r/>
                </w:p>
              </w:tc>
            </w:tr>
            <w:tr>
              <w:trPr>
                <w:gridAfter w:val="1"/>
                <w:trHeight w:val="283"/>
              </w:trPr>
              <w:tc>
                <w:tcPr>
                  <w:gridSpan w:val="4"/>
                  <w:tcW w:w="7196" w:type="dxa"/>
                  <w:vAlign w:val="center"/>
                  <w:textDirection w:val="lrTb"/>
                  <w:noWrap w:val="false"/>
                </w:tcPr>
                <w:p>
                  <w:pPr>
                    <w:pStyle w:val="805"/>
                    <w:spacing w:after="0" w:line="24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烟尘部分</w:t>
                  </w:r>
                  <w:r>
                    <w:rPr>
                      <w:color w:val="auto"/>
                      <w:highlight w:val="none"/>
                    </w:rPr>
                  </w:r>
                  <w:r/>
                </w:p>
              </w:tc>
            </w:tr>
            <w:tr>
              <w:trPr>
                <w:gridAfter w:val="1"/>
                <w:trHeight w:val="283"/>
              </w:trPr>
              <w:tc>
                <w:tcPr>
                  <w:tcW w:w="1695" w:type="dxa"/>
                  <w:vAlign w:val="center"/>
                  <w:textDirection w:val="lrTb"/>
                  <w:noWrap w:val="false"/>
                </w:tcPr>
                <w:p>
                  <w:pPr>
                    <w:pStyle w:val="805"/>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流量范围</w:t>
                  </w:r>
                  <w:r>
                    <w:rPr>
                      <w:color w:val="auto"/>
                      <w:highlight w:val="none"/>
                    </w:rPr>
                  </w:r>
                  <w:r/>
                </w:p>
              </w:tc>
              <w:tc>
                <w:tcPr>
                  <w:tcW w:w="2235" w:type="dxa"/>
                  <w:vAlign w:val="center"/>
                  <w:textDirection w:val="lrTb"/>
                  <w:noWrap w:val="false"/>
                </w:tcPr>
                <w:p>
                  <w:pPr>
                    <w:pStyle w:val="805"/>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（5～60)L/min</w:t>
                  </w:r>
                  <w:r>
                    <w:rPr>
                      <w:color w:val="auto"/>
                      <w:highlight w:val="none"/>
                    </w:rPr>
                  </w:r>
                  <w:r/>
                </w:p>
              </w:tc>
              <w:tc>
                <w:tcPr>
                  <w:tcW w:w="1322" w:type="dxa"/>
                  <w:vAlign w:val="center"/>
                  <w:textDirection w:val="lrTb"/>
                  <w:noWrap w:val="false"/>
                </w:tcPr>
                <w:p>
                  <w:pPr>
                    <w:pStyle w:val="805"/>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0.1L/min</w:t>
                  </w:r>
                  <w:r>
                    <w:rPr>
                      <w:color w:val="auto"/>
                      <w:highlight w:val="none"/>
                    </w:rPr>
                  </w:r>
                  <w:r/>
                </w:p>
              </w:tc>
              <w:tc>
                <w:tcPr>
                  <w:tcW w:w="1944" w:type="dxa"/>
                  <w:vAlign w:val="center"/>
                  <w:textDirection w:val="lrTb"/>
                  <w:noWrap w:val="false"/>
                </w:tcPr>
                <w:p>
                  <w:pPr>
                    <w:pStyle w:val="805"/>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不超过±2.5%</w:t>
                  </w:r>
                  <w:r>
                    <w:rPr>
                      <w:color w:val="auto"/>
                      <w:highlight w:val="none"/>
                    </w:rPr>
                  </w:r>
                  <w:r/>
                </w:p>
              </w:tc>
            </w:tr>
            <w:tr>
              <w:trPr>
                <w:gridAfter w:val="1"/>
                <w:trHeight w:val="283"/>
              </w:trPr>
              <w:tc>
                <w:tcPr>
                  <w:tcW w:w="1695" w:type="dxa"/>
                  <w:vAlign w:val="center"/>
                  <w:textDirection w:val="lrTb"/>
                  <w:noWrap w:val="false"/>
                </w:tcPr>
                <w:p>
                  <w:pPr>
                    <w:pStyle w:val="805"/>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浓度范围</w:t>
                  </w:r>
                  <w:r>
                    <w:rPr>
                      <w:color w:val="auto"/>
                      <w:highlight w:val="none"/>
                    </w:rPr>
                  </w:r>
                  <w:r/>
                </w:p>
              </w:tc>
              <w:tc>
                <w:tcPr>
                  <w:tcW w:w="2235" w:type="dxa"/>
                  <w:vAlign w:val="center"/>
                  <w:textDirection w:val="lrTb"/>
                  <w:noWrap w:val="false"/>
                </w:tcPr>
                <w:p>
                  <w:pPr>
                    <w:pStyle w:val="805"/>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（0～50)mg/m3</w:t>
                  </w:r>
                  <w:r>
                    <w:rPr>
                      <w:color w:val="auto"/>
                      <w:highlight w:val="none"/>
                    </w:rPr>
                  </w:r>
                  <w:r/>
                </w:p>
              </w:tc>
              <w:tc>
                <w:tcPr>
                  <w:tcW w:w="1322" w:type="dxa"/>
                  <w:vAlign w:val="center"/>
                  <w:textDirection w:val="lrTb"/>
                  <w:noWrap w:val="false"/>
                </w:tcPr>
                <w:p>
                  <w:pPr>
                    <w:pStyle w:val="805"/>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0.01mg/m3</w:t>
                  </w:r>
                  <w:r>
                    <w:rPr>
                      <w:color w:val="auto"/>
                      <w:highlight w:val="none"/>
                    </w:rPr>
                  </w:r>
                  <w:r/>
                </w:p>
              </w:tc>
              <w:tc>
                <w:tcPr>
                  <w:tcW w:w="1944" w:type="dxa"/>
                  <w:vAlign w:val="center"/>
                  <w:textDirection w:val="lrTb"/>
                  <w:noWrap w:val="false"/>
                </w:tcPr>
                <w:p>
                  <w:pPr>
                    <w:pStyle w:val="805"/>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不超过±20%</w:t>
                  </w:r>
                  <w:r>
                    <w:rPr>
                      <w:color w:val="auto"/>
                      <w:highlight w:val="none"/>
                    </w:rPr>
                  </w:r>
                  <w:r/>
                </w:p>
              </w:tc>
            </w:tr>
            <w:tr>
              <w:trPr>
                <w:gridAfter w:val="1"/>
                <w:trHeight w:val="283"/>
              </w:trPr>
              <w:tc>
                <w:tcPr>
                  <w:tcW w:w="1695" w:type="dxa"/>
                  <w:vAlign w:val="center"/>
                  <w:textDirection w:val="lrTb"/>
                  <w:noWrap w:val="false"/>
                </w:tcPr>
                <w:p>
                  <w:pPr>
                    <w:pStyle w:val="805"/>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取样</w:t>
                  </w:r>
                  <w:r>
                    <w:rPr>
                      <w:rFonts w:hint="eastAsia" w:ascii="宋体" w:hAnsi="宋体" w:cs="宋体"/>
                      <w:color w:val="auto"/>
                      <w:sz w:val="21"/>
                      <w:szCs w:val="21"/>
                      <w:highlight w:val="none"/>
                    </w:rPr>
                    <w:t xml:space="preserve">管伴热</w:t>
                  </w:r>
                  <w:r>
                    <w:rPr>
                      <w:rFonts w:hint="eastAsia" w:ascii="宋体" w:hAnsi="宋体" w:cs="宋体"/>
                      <w:color w:val="auto"/>
                      <w:sz w:val="21"/>
                      <w:szCs w:val="21"/>
                      <w:highlight w:val="none"/>
                    </w:rPr>
                    <w:t xml:space="preserve">温度</w:t>
                  </w:r>
                  <w:r>
                    <w:rPr>
                      <w:color w:val="auto"/>
                      <w:highlight w:val="none"/>
                    </w:rPr>
                  </w:r>
                  <w:r/>
                </w:p>
              </w:tc>
              <w:tc>
                <w:tcPr>
                  <w:tcW w:w="2235" w:type="dxa"/>
                  <w:vAlign w:val="center"/>
                  <w:textDirection w:val="lrTb"/>
                  <w:noWrap w:val="false"/>
                </w:tcPr>
                <w:p>
                  <w:pPr>
                    <w:pStyle w:val="805"/>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105℃（100℃~160℃可设）</w:t>
                  </w:r>
                  <w:r>
                    <w:rPr>
                      <w:color w:val="auto"/>
                      <w:highlight w:val="none"/>
                    </w:rPr>
                  </w:r>
                  <w:r/>
                </w:p>
              </w:tc>
              <w:tc>
                <w:tcPr>
                  <w:tcW w:w="1322" w:type="dxa"/>
                  <w:vAlign w:val="center"/>
                  <w:textDirection w:val="lrTb"/>
                  <w:noWrap w:val="false"/>
                </w:tcPr>
                <w:p>
                  <w:pPr>
                    <w:pStyle w:val="805"/>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rPr>
                      <w:color w:val="auto"/>
                      <w:highlight w:val="none"/>
                    </w:rPr>
                  </w:r>
                  <w:r/>
                </w:p>
              </w:tc>
              <w:tc>
                <w:tcPr>
                  <w:tcW w:w="1944" w:type="dxa"/>
                  <w:vAlign w:val="center"/>
                  <w:textDirection w:val="lrTb"/>
                  <w:noWrap w:val="false"/>
                </w:tcPr>
                <w:p>
                  <w:pPr>
                    <w:pStyle w:val="805"/>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不超过±10℃</w:t>
                  </w:r>
                  <w:r>
                    <w:rPr>
                      <w:color w:val="auto"/>
                      <w:highlight w:val="none"/>
                    </w:rPr>
                  </w:r>
                  <w:r/>
                </w:p>
              </w:tc>
            </w:tr>
            <w:tr>
              <w:trPr>
                <w:gridAfter w:val="1"/>
                <w:trHeight w:val="283"/>
              </w:trPr>
              <w:tc>
                <w:tcPr>
                  <w:tcW w:w="1695" w:type="dxa"/>
                  <w:vAlign w:val="center"/>
                  <w:textDirection w:val="lrTb"/>
                  <w:noWrap w:val="false"/>
                </w:tcPr>
                <w:p>
                  <w:pPr>
                    <w:pStyle w:val="805"/>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滤膜加热温度</w:t>
                  </w:r>
                  <w:r>
                    <w:rPr>
                      <w:color w:val="auto"/>
                      <w:highlight w:val="none"/>
                    </w:rPr>
                  </w:r>
                  <w:r/>
                </w:p>
              </w:tc>
              <w:tc>
                <w:tcPr>
                  <w:tcW w:w="2235" w:type="dxa"/>
                  <w:vAlign w:val="center"/>
                  <w:textDirection w:val="lrTb"/>
                  <w:noWrap w:val="false"/>
                </w:tcPr>
                <w:p>
                  <w:pPr>
                    <w:pStyle w:val="805"/>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105℃（100℃~160℃可设）</w:t>
                  </w:r>
                  <w:r>
                    <w:rPr>
                      <w:color w:val="auto"/>
                      <w:highlight w:val="none"/>
                    </w:rPr>
                  </w:r>
                  <w:r/>
                </w:p>
              </w:tc>
              <w:tc>
                <w:tcPr>
                  <w:tcW w:w="1322" w:type="dxa"/>
                  <w:vAlign w:val="center"/>
                  <w:textDirection w:val="lrTb"/>
                  <w:noWrap w:val="false"/>
                </w:tcPr>
                <w:p>
                  <w:pPr>
                    <w:pStyle w:val="805"/>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rPr>
                      <w:color w:val="auto"/>
                      <w:highlight w:val="none"/>
                    </w:rPr>
                  </w:r>
                  <w:r/>
                </w:p>
              </w:tc>
              <w:tc>
                <w:tcPr>
                  <w:tcW w:w="1944" w:type="dxa"/>
                  <w:vAlign w:val="center"/>
                  <w:textDirection w:val="lrTb"/>
                  <w:noWrap w:val="false"/>
                </w:tcPr>
                <w:p>
                  <w:pPr>
                    <w:pStyle w:val="805"/>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不超过±5℃</w:t>
                  </w:r>
                  <w:r>
                    <w:rPr>
                      <w:color w:val="auto"/>
                      <w:highlight w:val="none"/>
                    </w:rPr>
                  </w:r>
                  <w:r/>
                </w:p>
              </w:tc>
            </w:tr>
            <w:tr>
              <w:trPr>
                <w:trHeight w:val="283"/>
              </w:trPr>
              <w:tc>
                <w:tcPr>
                  <w:tcW w:w="1695" w:type="dxa"/>
                  <w:vAlign w:val="center"/>
                  <w:textDirection w:val="lrTb"/>
                  <w:noWrap w:val="false"/>
                </w:tcPr>
                <w:p>
                  <w:pPr>
                    <w:pStyle w:val="805"/>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烟气动压</w:t>
                  </w:r>
                  <w:r>
                    <w:rPr>
                      <w:color w:val="auto"/>
                      <w:highlight w:val="none"/>
                    </w:rPr>
                  </w:r>
                  <w:r/>
                </w:p>
              </w:tc>
              <w:tc>
                <w:tcPr>
                  <w:tcW w:w="2235" w:type="dxa"/>
                  <w:vAlign w:val="center"/>
                  <w:textDirection w:val="lrTb"/>
                  <w:noWrap w:val="false"/>
                </w:tcPr>
                <w:p>
                  <w:pPr>
                    <w:pStyle w:val="805"/>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（0～2000)Pa</w:t>
                  </w:r>
                  <w:r>
                    <w:rPr>
                      <w:color w:val="auto"/>
                      <w:highlight w:val="none"/>
                    </w:rPr>
                  </w:r>
                  <w:r/>
                </w:p>
              </w:tc>
              <w:tc>
                <w:tcPr>
                  <w:tcW w:w="1322" w:type="dxa"/>
                  <w:vAlign w:val="center"/>
                  <w:textDirection w:val="lrTb"/>
                  <w:noWrap w:val="false"/>
                </w:tcPr>
                <w:p>
                  <w:pPr>
                    <w:pStyle w:val="805"/>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1Pa</w:t>
                  </w:r>
                  <w:r>
                    <w:rPr>
                      <w:color w:val="auto"/>
                      <w:highlight w:val="none"/>
                    </w:rPr>
                  </w:r>
                  <w:r/>
                </w:p>
              </w:tc>
              <w:tc>
                <w:tcPr>
                  <w:gridSpan w:val="2"/>
                  <w:tcW w:w="1952" w:type="dxa"/>
                  <w:vAlign w:val="center"/>
                  <w:textDirection w:val="lrTb"/>
                  <w:noWrap w:val="false"/>
                </w:tcPr>
                <w:p>
                  <w:pPr>
                    <w:pStyle w:val="805"/>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不超过±1%FS</w:t>
                  </w:r>
                  <w:r>
                    <w:rPr>
                      <w:color w:val="auto"/>
                      <w:highlight w:val="none"/>
                    </w:rPr>
                  </w:r>
                  <w:r/>
                </w:p>
              </w:tc>
            </w:tr>
            <w:tr>
              <w:trPr>
                <w:trHeight w:val="283"/>
              </w:trPr>
              <w:tc>
                <w:tcPr>
                  <w:tcW w:w="1695" w:type="dxa"/>
                  <w:vAlign w:val="center"/>
                  <w:textDirection w:val="lrTb"/>
                  <w:noWrap w:val="false"/>
                </w:tcPr>
                <w:p>
                  <w:pPr>
                    <w:pStyle w:val="805"/>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烟气静压</w:t>
                  </w:r>
                  <w:r>
                    <w:rPr>
                      <w:color w:val="auto"/>
                      <w:highlight w:val="none"/>
                    </w:rPr>
                  </w:r>
                  <w:r/>
                </w:p>
              </w:tc>
              <w:tc>
                <w:tcPr>
                  <w:tcW w:w="2235" w:type="dxa"/>
                  <w:vAlign w:val="center"/>
                  <w:textDirection w:val="lrTb"/>
                  <w:noWrap w:val="false"/>
                </w:tcPr>
                <w:p>
                  <w:pPr>
                    <w:pStyle w:val="805"/>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（-30～+30)kPa</w:t>
                  </w:r>
                  <w:r>
                    <w:rPr>
                      <w:color w:val="auto"/>
                      <w:highlight w:val="none"/>
                    </w:rPr>
                  </w:r>
                  <w:r/>
                </w:p>
              </w:tc>
              <w:tc>
                <w:tcPr>
                  <w:tcW w:w="1322" w:type="dxa"/>
                  <w:vAlign w:val="center"/>
                  <w:textDirection w:val="lrTb"/>
                  <w:noWrap w:val="false"/>
                </w:tcPr>
                <w:p>
                  <w:pPr>
                    <w:pStyle w:val="805"/>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0.01kPa</w:t>
                  </w:r>
                  <w:r>
                    <w:rPr>
                      <w:color w:val="auto"/>
                      <w:highlight w:val="none"/>
                    </w:rPr>
                  </w:r>
                  <w:r/>
                </w:p>
              </w:tc>
              <w:tc>
                <w:tcPr>
                  <w:gridSpan w:val="2"/>
                  <w:tcW w:w="1952" w:type="dxa"/>
                  <w:vAlign w:val="center"/>
                  <w:textDirection w:val="lrTb"/>
                  <w:noWrap w:val="false"/>
                </w:tcPr>
                <w:p>
                  <w:pPr>
                    <w:pStyle w:val="805"/>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不超过±1%FS</w:t>
                  </w:r>
                  <w:r>
                    <w:rPr>
                      <w:color w:val="auto"/>
                      <w:highlight w:val="none"/>
                    </w:rPr>
                  </w:r>
                  <w:r/>
                </w:p>
              </w:tc>
            </w:tr>
            <w:tr>
              <w:trPr>
                <w:trHeight w:val="283"/>
              </w:trPr>
              <w:tc>
                <w:tcPr>
                  <w:tcW w:w="1695" w:type="dxa"/>
                  <w:vAlign w:val="center"/>
                  <w:textDirection w:val="lrTb"/>
                  <w:noWrap w:val="false"/>
                </w:tcPr>
                <w:p>
                  <w:pPr>
                    <w:pStyle w:val="805"/>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大气压</w:t>
                  </w:r>
                  <w:r>
                    <w:rPr>
                      <w:color w:val="auto"/>
                      <w:highlight w:val="none"/>
                    </w:rPr>
                  </w:r>
                  <w:r/>
                </w:p>
              </w:tc>
              <w:tc>
                <w:tcPr>
                  <w:tcW w:w="2235" w:type="dxa"/>
                  <w:vAlign w:val="center"/>
                  <w:textDirection w:val="lrTb"/>
                  <w:noWrap w:val="false"/>
                </w:tcPr>
                <w:p>
                  <w:pPr>
                    <w:pStyle w:val="805"/>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（50～130）kPa</w:t>
                  </w:r>
                  <w:r>
                    <w:rPr>
                      <w:color w:val="auto"/>
                      <w:highlight w:val="none"/>
                    </w:rPr>
                  </w:r>
                  <w:r/>
                </w:p>
              </w:tc>
              <w:tc>
                <w:tcPr>
                  <w:tcW w:w="1322" w:type="dxa"/>
                  <w:vAlign w:val="center"/>
                  <w:textDirection w:val="lrTb"/>
                  <w:noWrap w:val="false"/>
                </w:tcPr>
                <w:p>
                  <w:pPr>
                    <w:pStyle w:val="805"/>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0.01kPa</w:t>
                  </w:r>
                  <w:r>
                    <w:rPr>
                      <w:color w:val="auto"/>
                      <w:highlight w:val="none"/>
                    </w:rPr>
                  </w:r>
                  <w:r/>
                </w:p>
              </w:tc>
              <w:tc>
                <w:tcPr>
                  <w:gridSpan w:val="2"/>
                  <w:tcW w:w="1952" w:type="dxa"/>
                  <w:vAlign w:val="center"/>
                  <w:textDirection w:val="lrTb"/>
                  <w:noWrap w:val="false"/>
                </w:tcPr>
                <w:p>
                  <w:pPr>
                    <w:pStyle w:val="805"/>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不超过±500Pa</w:t>
                  </w:r>
                  <w:r>
                    <w:rPr>
                      <w:color w:val="auto"/>
                      <w:highlight w:val="none"/>
                    </w:rPr>
                  </w:r>
                  <w:r/>
                </w:p>
              </w:tc>
            </w:tr>
            <w:tr>
              <w:trPr>
                <w:trHeight w:val="283"/>
              </w:trPr>
              <w:tc>
                <w:tcPr>
                  <w:tcW w:w="1695" w:type="dxa"/>
                  <w:vAlign w:val="center"/>
                  <w:textDirection w:val="lrTb"/>
                  <w:noWrap w:val="false"/>
                </w:tcPr>
                <w:p>
                  <w:pPr>
                    <w:pStyle w:val="805"/>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流量计前温度</w:t>
                  </w:r>
                  <w:r>
                    <w:rPr>
                      <w:color w:val="auto"/>
                      <w:highlight w:val="none"/>
                    </w:rPr>
                  </w:r>
                  <w:r/>
                </w:p>
              </w:tc>
              <w:tc>
                <w:tcPr>
                  <w:tcW w:w="2235" w:type="dxa"/>
                  <w:vAlign w:val="center"/>
                  <w:textDirection w:val="lrTb"/>
                  <w:noWrap w:val="false"/>
                </w:tcPr>
                <w:p>
                  <w:pPr>
                    <w:pStyle w:val="805"/>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(-55～125)℃</w:t>
                  </w:r>
                  <w:r>
                    <w:rPr>
                      <w:color w:val="auto"/>
                      <w:highlight w:val="none"/>
                    </w:rPr>
                  </w:r>
                  <w:r/>
                </w:p>
              </w:tc>
              <w:tc>
                <w:tcPr>
                  <w:tcW w:w="1322" w:type="dxa"/>
                  <w:vAlign w:val="center"/>
                  <w:textDirection w:val="lrTb"/>
                  <w:noWrap w:val="false"/>
                </w:tcPr>
                <w:p>
                  <w:pPr>
                    <w:pStyle w:val="805"/>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0.1℃</w:t>
                  </w:r>
                  <w:r>
                    <w:rPr>
                      <w:color w:val="auto"/>
                      <w:highlight w:val="none"/>
                    </w:rPr>
                  </w:r>
                  <w:r/>
                </w:p>
              </w:tc>
              <w:tc>
                <w:tcPr>
                  <w:gridSpan w:val="2"/>
                  <w:tcW w:w="1952" w:type="dxa"/>
                  <w:vAlign w:val="center"/>
                  <w:textDirection w:val="lrTb"/>
                  <w:noWrap w:val="false"/>
                </w:tcPr>
                <w:p>
                  <w:pPr>
                    <w:pStyle w:val="805"/>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不超过±2.5℃</w:t>
                  </w:r>
                  <w:r>
                    <w:rPr>
                      <w:color w:val="auto"/>
                      <w:highlight w:val="none"/>
                    </w:rPr>
                  </w:r>
                  <w:r/>
                </w:p>
              </w:tc>
            </w:tr>
            <w:tr>
              <w:trPr>
                <w:trHeight w:val="283"/>
              </w:trPr>
              <w:tc>
                <w:tcPr>
                  <w:tcW w:w="1695" w:type="dxa"/>
                  <w:vAlign w:val="center"/>
                  <w:textDirection w:val="lrTb"/>
                  <w:noWrap w:val="false"/>
                </w:tcPr>
                <w:p>
                  <w:pPr>
                    <w:pStyle w:val="805"/>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烟气温度</w:t>
                  </w:r>
                  <w:r>
                    <w:rPr>
                      <w:color w:val="auto"/>
                      <w:highlight w:val="none"/>
                    </w:rPr>
                  </w:r>
                  <w:r/>
                </w:p>
              </w:tc>
              <w:tc>
                <w:tcPr>
                  <w:tcW w:w="2235" w:type="dxa"/>
                  <w:vAlign w:val="center"/>
                  <w:textDirection w:val="lrTb"/>
                  <w:noWrap w:val="false"/>
                </w:tcPr>
                <w:p>
                  <w:pPr>
                    <w:pStyle w:val="805"/>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(0～500)℃</w:t>
                  </w:r>
                  <w:r>
                    <w:rPr>
                      <w:color w:val="auto"/>
                      <w:highlight w:val="none"/>
                    </w:rPr>
                  </w:r>
                  <w:r/>
                </w:p>
              </w:tc>
              <w:tc>
                <w:tcPr>
                  <w:tcW w:w="1322" w:type="dxa"/>
                  <w:vAlign w:val="center"/>
                  <w:textDirection w:val="lrTb"/>
                  <w:noWrap w:val="false"/>
                </w:tcPr>
                <w:p>
                  <w:pPr>
                    <w:pStyle w:val="805"/>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0.1℃</w:t>
                  </w:r>
                  <w:r>
                    <w:rPr>
                      <w:color w:val="auto"/>
                      <w:highlight w:val="none"/>
                    </w:rPr>
                  </w:r>
                  <w:r/>
                </w:p>
              </w:tc>
              <w:tc>
                <w:tcPr>
                  <w:gridSpan w:val="2"/>
                  <w:tcW w:w="1952" w:type="dxa"/>
                  <w:vAlign w:val="center"/>
                  <w:textDirection w:val="lrTb"/>
                  <w:noWrap w:val="false"/>
                </w:tcPr>
                <w:p>
                  <w:pPr>
                    <w:pStyle w:val="805"/>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不超过±3%</w:t>
                  </w:r>
                  <w:r>
                    <w:rPr>
                      <w:color w:val="auto"/>
                      <w:highlight w:val="none"/>
                    </w:rPr>
                  </w:r>
                  <w:r/>
                </w:p>
              </w:tc>
            </w:tr>
            <w:tr>
              <w:trPr>
                <w:trHeight w:val="283"/>
              </w:trPr>
              <w:tc>
                <w:tcPr>
                  <w:tcW w:w="1695" w:type="dxa"/>
                  <w:vAlign w:val="center"/>
                  <w:textDirection w:val="lrTb"/>
                  <w:noWrap w:val="false"/>
                </w:tcPr>
                <w:p>
                  <w:pPr>
                    <w:pStyle w:val="805"/>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等速采样流速</w:t>
                  </w:r>
                  <w:r>
                    <w:rPr>
                      <w:color w:val="auto"/>
                      <w:highlight w:val="none"/>
                    </w:rPr>
                  </w:r>
                  <w:r/>
                </w:p>
              </w:tc>
              <w:tc>
                <w:tcPr>
                  <w:tcW w:w="2235" w:type="dxa"/>
                  <w:vAlign w:val="center"/>
                  <w:textDirection w:val="lrTb"/>
                  <w:noWrap w:val="false"/>
                </w:tcPr>
                <w:p>
                  <w:pPr>
                    <w:pStyle w:val="805"/>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（5～45)m/s</w:t>
                  </w:r>
                  <w:r>
                    <w:rPr>
                      <w:color w:val="auto"/>
                      <w:highlight w:val="none"/>
                    </w:rPr>
                  </w:r>
                  <w:r/>
                </w:p>
              </w:tc>
              <w:tc>
                <w:tcPr>
                  <w:tcW w:w="1322" w:type="dxa"/>
                  <w:vAlign w:val="center"/>
                  <w:textDirection w:val="lrTb"/>
                  <w:noWrap w:val="false"/>
                </w:tcPr>
                <w:p>
                  <w:pPr>
                    <w:pStyle w:val="805"/>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0.1 m/s</w:t>
                  </w:r>
                  <w:r>
                    <w:rPr>
                      <w:color w:val="auto"/>
                      <w:highlight w:val="none"/>
                    </w:rPr>
                  </w:r>
                  <w:r/>
                </w:p>
              </w:tc>
              <w:tc>
                <w:tcPr>
                  <w:gridSpan w:val="2"/>
                  <w:tcW w:w="1952" w:type="dxa"/>
                  <w:vAlign w:val="center"/>
                  <w:textDirection w:val="lrTb"/>
                  <w:noWrap w:val="false"/>
                </w:tcPr>
                <w:p>
                  <w:pPr>
                    <w:pStyle w:val="805"/>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不超过±5%</w:t>
                  </w:r>
                  <w:r>
                    <w:rPr>
                      <w:color w:val="auto"/>
                      <w:highlight w:val="none"/>
                    </w:rPr>
                  </w:r>
                  <w:r/>
                </w:p>
              </w:tc>
            </w:tr>
            <w:tr>
              <w:trPr>
                <w:trHeight w:val="283"/>
              </w:trPr>
              <w:tc>
                <w:tcPr>
                  <w:tcW w:w="1695" w:type="dxa"/>
                  <w:vAlign w:val="center"/>
                  <w:textDirection w:val="lrTb"/>
                  <w:noWrap w:val="false"/>
                </w:tcPr>
                <w:p>
                  <w:pPr>
                    <w:pStyle w:val="805"/>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含湿量</w:t>
                  </w:r>
                  <w:r>
                    <w:rPr>
                      <w:color w:val="auto"/>
                      <w:highlight w:val="none"/>
                    </w:rPr>
                  </w:r>
                  <w:r/>
                </w:p>
              </w:tc>
              <w:tc>
                <w:tcPr>
                  <w:tcW w:w="2235" w:type="dxa"/>
                  <w:vAlign w:val="center"/>
                  <w:textDirection w:val="lrTb"/>
                  <w:noWrap w:val="false"/>
                </w:tcPr>
                <w:p>
                  <w:pPr>
                    <w:pStyle w:val="805"/>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（0～40)%</w:t>
                  </w:r>
                  <w:r>
                    <w:rPr>
                      <w:color w:val="auto"/>
                      <w:highlight w:val="none"/>
                    </w:rPr>
                  </w:r>
                  <w:r/>
                </w:p>
              </w:tc>
              <w:tc>
                <w:tcPr>
                  <w:tcW w:w="1322" w:type="dxa"/>
                  <w:vAlign w:val="center"/>
                  <w:textDirection w:val="lrTb"/>
                  <w:noWrap w:val="false"/>
                </w:tcPr>
                <w:p>
                  <w:pPr>
                    <w:pStyle w:val="805"/>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0.01%</w:t>
                  </w:r>
                  <w:r>
                    <w:rPr>
                      <w:color w:val="auto"/>
                      <w:highlight w:val="none"/>
                    </w:rPr>
                  </w:r>
                  <w:r/>
                </w:p>
              </w:tc>
              <w:tc>
                <w:tcPr>
                  <w:gridSpan w:val="2"/>
                  <w:tcW w:w="1952" w:type="dxa"/>
                  <w:vAlign w:val="center"/>
                  <w:textDirection w:val="lrTb"/>
                  <w:noWrap w:val="false"/>
                </w:tcPr>
                <w:p>
                  <w:pPr>
                    <w:jc w:val="center"/>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≤5%，绝对误差不超过±0.75%；</w:t>
                  </w:r>
                  <w:r>
                    <w:rPr>
                      <w:color w:val="auto"/>
                      <w:highlight w:val="none"/>
                    </w:rPr>
                  </w:r>
                  <w:r/>
                </w:p>
                <w:p>
                  <w:pPr>
                    <w:pStyle w:val="805"/>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＞5%，相对误差不超过±15%</w:t>
                  </w:r>
                  <w:r>
                    <w:rPr>
                      <w:color w:val="auto"/>
                      <w:highlight w:val="none"/>
                    </w:rPr>
                  </w:r>
                  <w:r/>
                </w:p>
              </w:tc>
            </w:tr>
            <w:tr>
              <w:trPr>
                <w:gridAfter w:val="1"/>
                <w:trHeight w:val="283"/>
              </w:trPr>
              <w:tc>
                <w:tcPr>
                  <w:tcW w:w="1695" w:type="dxa"/>
                  <w:vAlign w:val="center"/>
                  <w:textDirection w:val="lrTb"/>
                  <w:noWrap w:val="false"/>
                </w:tcPr>
                <w:p>
                  <w:pPr>
                    <w:pStyle w:val="805"/>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测孔直径</w:t>
                  </w:r>
                  <w:r>
                    <w:rPr>
                      <w:rFonts w:hint="eastAsia" w:ascii="宋体" w:hAnsi="宋体" w:cs="宋体"/>
                      <w:color w:val="auto"/>
                      <w:sz w:val="21"/>
                      <w:szCs w:val="21"/>
                      <w:highlight w:val="none"/>
                    </w:rPr>
                    <w:t xml:space="preserve">要求</w:t>
                  </w:r>
                  <w:r>
                    <w:rPr>
                      <w:color w:val="auto"/>
                      <w:highlight w:val="none"/>
                    </w:rPr>
                  </w:r>
                  <w:r/>
                </w:p>
              </w:tc>
              <w:tc>
                <w:tcPr>
                  <w:gridSpan w:val="3"/>
                  <w:tcW w:w="5501" w:type="dxa"/>
                  <w:vAlign w:val="center"/>
                  <w:textDirection w:val="lrTb"/>
                  <w:noWrap w:val="false"/>
                </w:tcPr>
                <w:p>
                  <w:pPr>
                    <w:pStyle w:val="805"/>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≥φ60mm</w:t>
                  </w:r>
                  <w:r>
                    <w:rPr>
                      <w:color w:val="auto"/>
                      <w:highlight w:val="none"/>
                    </w:rPr>
                  </w:r>
                  <w:r/>
                </w:p>
              </w:tc>
            </w:tr>
            <w:tr>
              <w:trPr>
                <w:gridAfter w:val="1"/>
                <w:trHeight w:val="283"/>
              </w:trPr>
              <w:tc>
                <w:tcPr>
                  <w:tcW w:w="1695" w:type="dxa"/>
                  <w:vAlign w:val="center"/>
                  <w:textDirection w:val="lrTb"/>
                  <w:noWrap w:val="false"/>
                </w:tcPr>
                <w:p>
                  <w:pPr>
                    <w:pStyle w:val="805"/>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采样嘴型号</w:t>
                  </w:r>
                  <w:r>
                    <w:rPr>
                      <w:color w:val="auto"/>
                      <w:highlight w:val="none"/>
                    </w:rPr>
                  </w:r>
                  <w:r/>
                </w:p>
              </w:tc>
              <w:tc>
                <w:tcPr>
                  <w:gridSpan w:val="3"/>
                  <w:tcW w:w="5501" w:type="dxa"/>
                  <w:vAlign w:val="center"/>
                  <w:textDirection w:val="lrTb"/>
                  <w:noWrap w:val="false"/>
                </w:tcPr>
                <w:p>
                  <w:pPr>
                    <w:pStyle w:val="805"/>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φ4.5、φ6、φ7、φ8、φ10、φ12</w:t>
                  </w:r>
                  <w:r>
                    <w:rPr>
                      <w:color w:val="auto"/>
                      <w:highlight w:val="none"/>
                    </w:rPr>
                  </w:r>
                  <w:r/>
                </w:p>
              </w:tc>
            </w:tr>
            <w:tr>
              <w:trPr>
                <w:gridAfter w:val="1"/>
                <w:trHeight w:val="283"/>
              </w:trPr>
              <w:tc>
                <w:tcPr>
                  <w:tcW w:w="1695" w:type="dxa"/>
                  <w:vAlign w:val="center"/>
                  <w:textDirection w:val="lrTb"/>
                  <w:noWrap w:val="false"/>
                </w:tcPr>
                <w:p>
                  <w:pPr>
                    <w:pStyle w:val="805"/>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取样管长度</w:t>
                  </w:r>
                  <w:r>
                    <w:rPr>
                      <w:color w:val="auto"/>
                      <w:highlight w:val="none"/>
                    </w:rPr>
                  </w:r>
                  <w:r/>
                </w:p>
              </w:tc>
              <w:tc>
                <w:tcPr>
                  <w:gridSpan w:val="3"/>
                  <w:tcW w:w="5501" w:type="dxa"/>
                  <w:vAlign w:val="center"/>
                  <w:textDirection w:val="lrTb"/>
                  <w:noWrap w:val="false"/>
                </w:tcPr>
                <w:p>
                  <w:pPr>
                    <w:pStyle w:val="805"/>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总长1.5m，有效长度1.3m</w:t>
                  </w:r>
                  <w:r>
                    <w:rPr>
                      <w:color w:val="auto"/>
                      <w:highlight w:val="none"/>
                    </w:rPr>
                  </w:r>
                  <w:r/>
                </w:p>
              </w:tc>
            </w:tr>
            <w:tr>
              <w:trPr>
                <w:gridAfter w:val="1"/>
                <w:trHeight w:val="283"/>
              </w:trPr>
              <w:tc>
                <w:tcPr>
                  <w:tcW w:w="1695" w:type="dxa"/>
                  <w:vAlign w:val="center"/>
                  <w:textDirection w:val="lrTb"/>
                  <w:noWrap w:val="false"/>
                </w:tcPr>
                <w:p>
                  <w:pPr>
                    <w:pStyle w:val="805"/>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皮托管系数</w:t>
                  </w:r>
                  <w:r>
                    <w:rPr>
                      <w:color w:val="auto"/>
                      <w:highlight w:val="none"/>
                    </w:rPr>
                  </w:r>
                  <w:r/>
                </w:p>
              </w:tc>
              <w:tc>
                <w:tcPr>
                  <w:gridSpan w:val="3"/>
                  <w:tcW w:w="5501" w:type="dxa"/>
                  <w:vAlign w:val="center"/>
                  <w:textDirection w:val="lrTb"/>
                  <w:noWrap w:val="false"/>
                </w:tcPr>
                <w:p>
                  <w:pPr>
                    <w:pStyle w:val="805"/>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0.84±0.01</w:t>
                  </w:r>
                  <w:r>
                    <w:rPr>
                      <w:color w:val="auto"/>
                      <w:highlight w:val="none"/>
                    </w:rPr>
                  </w:r>
                  <w:r/>
                </w:p>
              </w:tc>
            </w:tr>
            <w:tr>
              <w:trPr>
                <w:gridAfter w:val="1"/>
                <w:trHeight w:val="283"/>
              </w:trPr>
              <w:tc>
                <w:tcPr>
                  <w:tcW w:w="1695" w:type="dxa"/>
                  <w:vAlign w:val="center"/>
                  <w:textDirection w:val="lrTb"/>
                  <w:noWrap w:val="false"/>
                </w:tcPr>
                <w:p>
                  <w:pPr>
                    <w:pStyle w:val="805"/>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滤带规格</w:t>
                  </w:r>
                  <w:r>
                    <w:rPr>
                      <w:color w:val="auto"/>
                      <w:highlight w:val="none"/>
                    </w:rPr>
                  </w:r>
                  <w:r/>
                </w:p>
              </w:tc>
              <w:tc>
                <w:tcPr>
                  <w:gridSpan w:val="3"/>
                  <w:tcW w:w="5501" w:type="dxa"/>
                  <w:vAlign w:val="center"/>
                  <w:textDirection w:val="lrTb"/>
                  <w:noWrap w:val="false"/>
                </w:tcPr>
                <w:p>
                  <w:pPr>
                    <w:pStyle w:val="805"/>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宽30mm，长3.5m</w:t>
                  </w:r>
                  <w:r>
                    <w:rPr>
                      <w:color w:val="auto"/>
                      <w:highlight w:val="none"/>
                    </w:rPr>
                  </w:r>
                  <w:r/>
                </w:p>
              </w:tc>
            </w:tr>
            <w:tr>
              <w:trPr>
                <w:gridAfter w:val="1"/>
                <w:trHeight w:val="283"/>
              </w:trPr>
              <w:tc>
                <w:tcPr>
                  <w:tcW w:w="1695" w:type="dxa"/>
                  <w:vAlign w:val="center"/>
                  <w:textDirection w:val="lrTb"/>
                  <w:noWrap w:val="false"/>
                </w:tcPr>
                <w:p>
                  <w:pPr>
                    <w:pStyle w:val="805"/>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校准方式</w:t>
                  </w:r>
                  <w:r>
                    <w:rPr>
                      <w:color w:val="auto"/>
                      <w:highlight w:val="none"/>
                    </w:rPr>
                  </w:r>
                  <w:r/>
                </w:p>
              </w:tc>
              <w:tc>
                <w:tcPr>
                  <w:gridSpan w:val="3"/>
                  <w:tcW w:w="5501" w:type="dxa"/>
                  <w:vAlign w:val="center"/>
                  <w:textDirection w:val="lrTb"/>
                  <w:noWrap w:val="false"/>
                </w:tcPr>
                <w:p>
                  <w:pPr>
                    <w:pStyle w:val="805"/>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标准膜校准</w:t>
                  </w:r>
                  <w:r>
                    <w:rPr>
                      <w:color w:val="auto"/>
                      <w:highlight w:val="none"/>
                    </w:rPr>
                  </w:r>
                  <w:r/>
                </w:p>
              </w:tc>
            </w:tr>
          </w:tbl>
          <w:p>
            <w:pPr>
              <w:spacing w:after="0" w:line="240" w:lineRule="auto"/>
              <w:rPr>
                <w:color w:val="auto"/>
                <w:highlight w:val="none"/>
              </w:rPr>
            </w:pPr>
            <w:r>
              <w:rPr>
                <w:rFonts w:hint="eastAsia"/>
                <w:color w:val="auto"/>
                <w:highlight w:val="none"/>
              </w:rPr>
              <w:t xml:space="preserve">四、标准配置</w:t>
            </w:r>
            <w:r>
              <w:rPr>
                <w:color w:val="auto"/>
                <w:highlight w:val="none"/>
              </w:rPr>
            </w:r>
            <w:r/>
          </w:p>
          <w:p>
            <w:pPr>
              <w:pStyle w:val="778"/>
              <w:ind w:left="0"/>
              <w:spacing w:after="0" w:line="240" w:lineRule="auto"/>
              <w:rPr>
                <w:color w:val="auto"/>
                <w:highlight w:val="none"/>
              </w:rPr>
            </w:pPr>
            <w:r>
              <w:rPr>
                <w:rFonts w:hint="eastAsia" w:ascii="Calibri" w:hAnsi="Calibri" w:eastAsia="宋体" w:cs="Times New Roman"/>
                <w:color w:val="auto"/>
                <w:highlight w:val="none"/>
              </w:rPr>
              <w:t xml:space="preserve">主机、取样管、仪器专用包、电源适配器、手操器、三脚架</w:t>
            </w:r>
            <w:r>
              <w:rPr>
                <w:color w:val="auto"/>
                <w:highlight w:val="none"/>
              </w:rPr>
            </w:r>
            <w:r/>
          </w:p>
        </w:tc>
      </w:tr>
      <w:tr>
        <w:trPr>
          <w:trHeight w:val="340"/>
        </w:trPr>
        <w:tc>
          <w:tcPr>
            <w:tcMar>
              <w:left w:w="15" w:type="dxa"/>
              <w:top w:w="15" w:type="dxa"/>
              <w:right w:w="15" w:type="dxa"/>
            </w:tcMar>
            <w:tcW w:w="614" w:type="dxa"/>
            <w:vAlign w:val="center"/>
            <w:textDirection w:val="lrTb"/>
            <w:noWrap w:val="false"/>
          </w:tcPr>
          <w:p>
            <w:pPr>
              <w:jc w:val="center"/>
              <w:spacing w:after="0" w:line="240" w:lineRule="auto"/>
              <w:widowControl/>
              <w:rPr>
                <w:rFonts w:ascii="宋体" w:hAnsi="宋体" w:cs="宋体"/>
                <w:color w:val="auto"/>
                <w:szCs w:val="21"/>
                <w:highlight w:val="none"/>
              </w:rPr>
            </w:pPr>
            <w:r>
              <w:rPr>
                <w:rFonts w:hint="eastAsia" w:ascii="宋体" w:hAnsi="宋体" w:cs="宋体"/>
                <w:color w:val="auto"/>
                <w:szCs w:val="21"/>
                <w:highlight w:val="none"/>
              </w:rPr>
              <w:t xml:space="preserve">8</w:t>
            </w:r>
            <w:r>
              <w:rPr>
                <w:color w:val="auto"/>
                <w:highlight w:val="none"/>
              </w:rPr>
            </w:r>
            <w:r/>
          </w:p>
        </w:tc>
        <w:tc>
          <w:tcPr>
            <w:tcMar>
              <w:left w:w="15" w:type="dxa"/>
              <w:top w:w="15" w:type="dxa"/>
              <w:right w:w="15" w:type="dxa"/>
            </w:tcMar>
            <w:tcW w:w="1281" w:type="dxa"/>
            <w:vAlign w:val="center"/>
            <w:textDirection w:val="lrTb"/>
            <w:noWrap w:val="false"/>
          </w:tcPr>
          <w:p>
            <w:pPr>
              <w:jc w:val="center"/>
              <w:spacing w:after="0" w:line="240" w:lineRule="auto"/>
              <w:widowControl/>
              <w:rPr>
                <w:rFonts w:ascii="宋体" w:hAnsi="宋体" w:cs="宋体"/>
                <w:color w:val="auto"/>
                <w:szCs w:val="21"/>
                <w:highlight w:val="none"/>
              </w:rPr>
            </w:pPr>
            <w:r>
              <w:rPr>
                <w:rFonts w:hint="eastAsia" w:ascii="宋体" w:hAnsi="宋体" w:cs="宋体"/>
                <w:color w:val="auto"/>
                <w:szCs w:val="21"/>
                <w:highlight w:val="none"/>
              </w:rPr>
              <w:t xml:space="preserve">环境空气综合采样器</w:t>
            </w:r>
            <w:r>
              <w:rPr>
                <w:color w:val="auto"/>
                <w:highlight w:val="none"/>
              </w:rPr>
            </w:r>
            <w:r/>
          </w:p>
        </w:tc>
        <w:tc>
          <w:tcPr>
            <w:tcMar>
              <w:left w:w="15" w:type="dxa"/>
              <w:top w:w="15" w:type="dxa"/>
              <w:right w:w="15" w:type="dxa"/>
            </w:tcMar>
            <w:tcW w:w="7814" w:type="dxa"/>
            <w:vAlign w:val="center"/>
            <w:textDirection w:val="lrTb"/>
            <w:noWrap w:val="false"/>
          </w:tcPr>
          <w:p>
            <w:pPr>
              <w:jc w:val="left"/>
              <w:spacing w:after="0" w:line="240" w:lineRule="auto"/>
              <w:widowControl/>
              <w:rPr>
                <w:color w:val="auto"/>
                <w:highlight w:val="none"/>
              </w:rPr>
            </w:pPr>
            <w:r>
              <w:rPr>
                <w:rFonts w:hint="eastAsia"/>
                <w:color w:val="auto"/>
                <w:highlight w:val="none"/>
              </w:rPr>
              <w:t xml:space="preserve">一、基本需求</w:t>
            </w:r>
            <w:r>
              <w:rPr>
                <w:color w:val="auto"/>
                <w:highlight w:val="none"/>
              </w:rPr>
            </w:r>
            <w:r/>
          </w:p>
          <w:p>
            <w:pPr>
              <w:jc w:val="left"/>
              <w:spacing w:after="0" w:line="240" w:lineRule="auto"/>
              <w:widowControl/>
              <w:rPr>
                <w:color w:val="auto"/>
                <w:highlight w:val="none"/>
              </w:rPr>
            </w:pPr>
            <w:r>
              <w:rPr>
                <w:rFonts w:hint="eastAsia"/>
                <w:color w:val="auto"/>
                <w:highlight w:val="none"/>
              </w:rPr>
              <w:t xml:space="preserve">应用滤膜称重法捕集环境大气中的总悬浮微粒</w:t>
            </w:r>
            <w:r>
              <w:rPr>
                <w:rFonts w:hint="eastAsia"/>
                <w:color w:val="auto"/>
                <w:highlight w:val="none"/>
              </w:rPr>
              <w:t xml:space="preserve">(TSP)</w:t>
            </w:r>
            <w:r>
              <w:rPr>
                <w:rFonts w:hint="eastAsia"/>
                <w:color w:val="auto"/>
                <w:highlight w:val="none"/>
              </w:rPr>
              <w:t xml:space="preserve">和</w:t>
            </w:r>
            <w:r>
              <w:rPr>
                <w:rFonts w:hint="eastAsia"/>
                <w:color w:val="auto"/>
                <w:highlight w:val="none"/>
              </w:rPr>
              <w:t xml:space="preserve">可</w:t>
            </w:r>
            <w:r>
              <w:rPr>
                <w:rFonts w:hint="eastAsia"/>
                <w:color w:val="auto"/>
                <w:highlight w:val="none"/>
              </w:rPr>
              <w:t xml:space="preserve">吸入微粒</w:t>
            </w:r>
            <w:r>
              <w:rPr>
                <w:rFonts w:hint="eastAsia"/>
                <w:color w:val="auto"/>
                <w:highlight w:val="none"/>
              </w:rPr>
              <w:t xml:space="preserve">(PM10</w:t>
            </w:r>
            <w:r>
              <w:rPr>
                <w:rFonts w:hint="eastAsia"/>
                <w:color w:val="auto"/>
                <w:highlight w:val="none"/>
              </w:rPr>
              <w:t xml:space="preserve">、</w:t>
            </w:r>
            <w:r>
              <w:rPr>
                <w:rFonts w:hint="eastAsia"/>
                <w:color w:val="auto"/>
                <w:highlight w:val="none"/>
              </w:rPr>
              <w:t xml:space="preserve">PM2.5)</w:t>
            </w:r>
            <w:r>
              <w:rPr>
                <w:rFonts w:hint="eastAsia"/>
                <w:color w:val="auto"/>
                <w:highlight w:val="none"/>
              </w:rPr>
              <w:t xml:space="preserve">或细颗粒物；用溶液吸收法采集环境大气、室内空气中各种污染性气体成份</w:t>
            </w:r>
            <w:r>
              <w:rPr>
                <w:rFonts w:hint="eastAsia"/>
                <w:color w:val="auto"/>
                <w:highlight w:val="none"/>
              </w:rPr>
              <w:t xml:space="preserve">(SO2</w:t>
            </w:r>
            <w:r>
              <w:rPr>
                <w:rFonts w:hint="eastAsia"/>
                <w:color w:val="auto"/>
                <w:highlight w:val="none"/>
              </w:rPr>
              <w:t xml:space="preserve">、</w:t>
            </w:r>
            <w:r>
              <w:rPr>
                <w:rFonts w:hint="eastAsia"/>
                <w:color w:val="auto"/>
                <w:highlight w:val="none"/>
              </w:rPr>
              <w:t xml:space="preserve">NOx</w:t>
            </w:r>
            <w:r>
              <w:rPr>
                <w:rFonts w:hint="eastAsia"/>
                <w:color w:val="auto"/>
                <w:highlight w:val="none"/>
              </w:rPr>
              <w:t xml:space="preserve">等</w:t>
            </w:r>
            <w:r>
              <w:rPr>
                <w:rFonts w:hint="eastAsia"/>
                <w:color w:val="auto"/>
                <w:highlight w:val="none"/>
              </w:rPr>
              <w:t xml:space="preserve">)</w:t>
            </w:r>
            <w:r>
              <w:rPr>
                <w:rFonts w:hint="eastAsia"/>
                <w:color w:val="auto"/>
                <w:highlight w:val="none"/>
              </w:rPr>
              <w:t xml:space="preserve">；也可应用于环境空气中</w:t>
            </w:r>
            <w:r>
              <w:rPr>
                <w:rFonts w:hint="eastAsia"/>
                <w:color w:val="auto"/>
                <w:highlight w:val="none"/>
              </w:rPr>
              <w:t xml:space="preserve">VOCs</w:t>
            </w:r>
            <w:r>
              <w:rPr>
                <w:rFonts w:hint="eastAsia"/>
                <w:color w:val="auto"/>
                <w:highlight w:val="none"/>
              </w:rPr>
              <w:t xml:space="preserve">（苯系物）的采样。</w:t>
            </w:r>
            <w:r>
              <w:rPr>
                <w:color w:val="auto"/>
                <w:highlight w:val="none"/>
              </w:rPr>
            </w:r>
            <w:r/>
          </w:p>
          <w:p>
            <w:pPr>
              <w:jc w:val="left"/>
              <w:spacing w:after="0" w:line="240" w:lineRule="auto"/>
              <w:widowControl/>
              <w:rPr>
                <w:color w:val="auto"/>
                <w:highlight w:val="none"/>
              </w:rPr>
            </w:pPr>
            <w:r>
              <w:rPr>
                <w:rFonts w:hint="eastAsia"/>
                <w:color w:val="auto"/>
                <w:highlight w:val="none"/>
              </w:rPr>
              <w:t xml:space="preserve">二、性能要求</w:t>
            </w:r>
            <w:r>
              <w:rPr>
                <w:color w:val="auto"/>
                <w:highlight w:val="none"/>
              </w:rPr>
            </w:r>
            <w:r/>
          </w:p>
          <w:p>
            <w:pPr>
              <w:jc w:val="left"/>
              <w:spacing w:after="0" w:line="240" w:lineRule="auto"/>
              <w:widowControl/>
              <w:rPr>
                <w:color w:val="auto"/>
                <w:highlight w:val="none"/>
              </w:rPr>
            </w:pPr>
            <w:r>
              <w:rPr>
                <w:rFonts w:hint="eastAsia" w:ascii="宋体" w:hAnsi="宋体" w:cs="宋体"/>
                <w:color w:val="auto"/>
                <w:highlight w:val="none"/>
              </w:rPr>
              <w:t xml:space="preserve">★</w:t>
            </w:r>
            <w:r>
              <w:rPr>
                <w:rFonts w:hint="eastAsia"/>
                <w:color w:val="auto"/>
                <w:highlight w:val="none"/>
              </w:rPr>
              <w:t xml:space="preserve">1.</w:t>
            </w:r>
            <w:r>
              <w:rPr>
                <w:rFonts w:hint="eastAsia"/>
                <w:color w:val="auto"/>
                <w:highlight w:val="none"/>
              </w:rPr>
              <w:t xml:space="preserve">一</w:t>
            </w:r>
            <w:r>
              <w:rPr>
                <w:rFonts w:hint="eastAsia"/>
                <w:color w:val="auto"/>
                <w:highlight w:val="none"/>
              </w:rPr>
              <w:t xml:space="preserve">机多用，具有</w:t>
            </w:r>
            <w:r>
              <w:rPr>
                <w:rFonts w:hint="eastAsia"/>
                <w:color w:val="auto"/>
                <w:highlight w:val="none"/>
              </w:rPr>
              <w:t xml:space="preserve">5</w:t>
            </w:r>
            <w:r>
              <w:rPr>
                <w:rFonts w:hint="eastAsia"/>
                <w:color w:val="auto"/>
                <w:highlight w:val="none"/>
              </w:rPr>
              <w:t xml:space="preserve">气路同时采样功能，每路采样流量分别设置并独自</w:t>
            </w:r>
            <w:r>
              <w:rPr>
                <w:rFonts w:hint="eastAsia"/>
                <w:color w:val="auto"/>
                <w:highlight w:val="none"/>
              </w:rPr>
              <w:t xml:space="preserve">恒</w:t>
            </w:r>
            <w:r>
              <w:rPr>
                <w:rFonts w:hint="eastAsia"/>
                <w:color w:val="auto"/>
                <w:highlight w:val="none"/>
              </w:rPr>
              <w:t xml:space="preserve">流控制。可同时作为四路环境空气采样器、无组织</w:t>
            </w:r>
            <w:r>
              <w:rPr>
                <w:rFonts w:hint="eastAsia"/>
                <w:color w:val="auto"/>
                <w:highlight w:val="none"/>
              </w:rPr>
              <w:t xml:space="preserve">VOCs</w:t>
            </w:r>
            <w:r>
              <w:rPr>
                <w:rFonts w:hint="eastAsia"/>
                <w:color w:val="auto"/>
                <w:highlight w:val="none"/>
              </w:rPr>
              <w:t xml:space="preserve">采样器和</w:t>
            </w:r>
            <w:r>
              <w:rPr>
                <w:rFonts w:hint="eastAsia"/>
                <w:color w:val="auto"/>
                <w:highlight w:val="none"/>
              </w:rPr>
              <w:t xml:space="preserve">TSP/PM10/</w:t>
            </w:r>
            <w:r>
              <w:rPr>
                <w:rFonts w:hint="eastAsia"/>
                <w:color w:val="auto"/>
                <w:highlight w:val="none"/>
              </w:rPr>
              <w:t xml:space="preserve">颗粒物采样器；也可设置任意单路采样。</w:t>
            </w:r>
            <w:r>
              <w:rPr>
                <w:color w:val="auto"/>
                <w:highlight w:val="none"/>
              </w:rPr>
            </w:r>
            <w:r/>
          </w:p>
          <w:p>
            <w:pPr>
              <w:jc w:val="left"/>
              <w:spacing w:after="0" w:line="240" w:lineRule="auto"/>
              <w:widowControl/>
              <w:rPr>
                <w:color w:val="auto"/>
                <w:highlight w:val="none"/>
              </w:rPr>
            </w:pPr>
            <w:r>
              <w:rPr>
                <w:rFonts w:hint="eastAsia"/>
                <w:color w:val="auto"/>
                <w:highlight w:val="none"/>
              </w:rPr>
              <w:t xml:space="preserve">2.</w:t>
            </w:r>
            <w:r>
              <w:rPr>
                <w:rFonts w:hint="eastAsia"/>
                <w:color w:val="auto"/>
                <w:highlight w:val="none"/>
              </w:rPr>
              <w:t xml:space="preserve">采样流量可自动控制，并且需采用高精度、耐腐蚀电子流量计，满足恶劣工况下的正常采样。</w:t>
            </w:r>
            <w:r>
              <w:rPr>
                <w:color w:val="auto"/>
                <w:highlight w:val="none"/>
              </w:rPr>
            </w:r>
            <w:r/>
          </w:p>
          <w:p>
            <w:pPr>
              <w:jc w:val="left"/>
              <w:spacing w:after="0" w:line="240" w:lineRule="auto"/>
              <w:widowControl/>
              <w:rPr>
                <w:color w:val="auto"/>
                <w:highlight w:val="none"/>
              </w:rPr>
            </w:pPr>
            <w:r>
              <w:rPr>
                <w:rFonts w:hint="eastAsia"/>
                <w:color w:val="auto"/>
                <w:highlight w:val="none"/>
              </w:rPr>
              <w:t xml:space="preserve">3.</w:t>
            </w:r>
            <w:r>
              <w:rPr>
                <w:rFonts w:hint="eastAsia"/>
                <w:color w:val="auto"/>
                <w:highlight w:val="none"/>
              </w:rPr>
              <w:t xml:space="preserve">可自动补偿因为电压波动和阻力、温度变化引起的流量变化。</w:t>
            </w:r>
            <w:r>
              <w:rPr>
                <w:color w:val="auto"/>
                <w:highlight w:val="none"/>
              </w:rPr>
            </w:r>
            <w:r/>
          </w:p>
          <w:p>
            <w:pPr>
              <w:jc w:val="left"/>
              <w:spacing w:after="0" w:line="240" w:lineRule="auto"/>
              <w:widowControl/>
              <w:rPr>
                <w:color w:val="auto"/>
                <w:highlight w:val="none"/>
              </w:rPr>
            </w:pPr>
            <w:r>
              <w:rPr>
                <w:rFonts w:hint="eastAsia"/>
                <w:color w:val="auto"/>
                <w:highlight w:val="none"/>
              </w:rPr>
              <w:t xml:space="preserve">4..</w:t>
            </w:r>
            <w:r>
              <w:rPr>
                <w:rFonts w:hint="eastAsia"/>
                <w:color w:val="auto"/>
                <w:highlight w:val="none"/>
              </w:rPr>
              <w:t xml:space="preserve">一</w:t>
            </w:r>
            <w:r>
              <w:rPr>
                <w:rFonts w:hint="eastAsia"/>
                <w:color w:val="auto"/>
                <w:highlight w:val="none"/>
              </w:rPr>
              <w:t xml:space="preserve">体式恒温箱设计，可内置</w:t>
            </w:r>
            <w:r>
              <w:rPr>
                <w:rFonts w:hint="eastAsia"/>
                <w:color w:val="auto"/>
                <w:highlight w:val="none"/>
              </w:rPr>
              <w:t xml:space="preserve">4</w:t>
            </w:r>
            <w:r>
              <w:rPr>
                <w:rFonts w:hint="eastAsia"/>
                <w:color w:val="auto"/>
                <w:highlight w:val="none"/>
              </w:rPr>
              <w:t xml:space="preserve">个吸收瓶。</w:t>
            </w:r>
            <w:r>
              <w:rPr>
                <w:color w:val="auto"/>
                <w:highlight w:val="none"/>
              </w:rPr>
            </w:r>
            <w:r/>
          </w:p>
          <w:p>
            <w:pPr>
              <w:jc w:val="left"/>
              <w:spacing w:after="0" w:line="240" w:lineRule="auto"/>
              <w:widowControl/>
              <w:rPr>
                <w:color w:val="auto"/>
                <w:highlight w:val="none"/>
              </w:rPr>
            </w:pPr>
            <w:r>
              <w:rPr>
                <w:rFonts w:hint="eastAsia"/>
                <w:color w:val="auto"/>
                <w:highlight w:val="none"/>
              </w:rPr>
              <w:t xml:space="preserve">5.</w:t>
            </w:r>
            <w:r>
              <w:rPr>
                <w:rFonts w:hint="eastAsia"/>
                <w:color w:val="auto"/>
                <w:highlight w:val="none"/>
              </w:rPr>
              <w:t xml:space="preserve">采样过程停电自动保存工作数据，来电后可恢复采样。</w:t>
            </w:r>
            <w:r>
              <w:rPr>
                <w:rFonts w:hint="eastAsia"/>
                <w:color w:val="auto"/>
                <w:highlight w:val="none"/>
              </w:rPr>
              <w:t xml:space="preserve"> </w:t>
            </w:r>
            <w:r>
              <w:rPr>
                <w:color w:val="auto"/>
                <w:highlight w:val="none"/>
              </w:rPr>
            </w:r>
            <w:r/>
          </w:p>
          <w:p>
            <w:pPr>
              <w:jc w:val="left"/>
              <w:spacing w:after="0" w:line="240" w:lineRule="auto"/>
              <w:widowControl/>
              <w:rPr>
                <w:color w:val="auto"/>
                <w:highlight w:val="none"/>
              </w:rPr>
            </w:pPr>
            <w:r>
              <w:rPr>
                <w:rFonts w:hint="eastAsia"/>
                <w:color w:val="auto"/>
                <w:highlight w:val="none"/>
              </w:rPr>
              <w:t xml:space="preserve">6.</w:t>
            </w:r>
            <w:r>
              <w:rPr>
                <w:rFonts w:hint="eastAsia"/>
                <w:color w:val="auto"/>
                <w:highlight w:val="none"/>
              </w:rPr>
              <w:t xml:space="preserve">精密芯泵，耐腐蚀，低噪音，连续运转免维护，且具有过载保护功能。</w:t>
            </w:r>
            <w:r>
              <w:rPr>
                <w:color w:val="auto"/>
                <w:highlight w:val="none"/>
              </w:rPr>
            </w:r>
            <w:r/>
          </w:p>
          <w:p>
            <w:pPr>
              <w:jc w:val="left"/>
              <w:spacing w:after="0" w:line="240" w:lineRule="auto"/>
              <w:widowControl/>
              <w:rPr>
                <w:color w:val="auto"/>
                <w:highlight w:val="none"/>
              </w:rPr>
            </w:pPr>
            <w:r>
              <w:rPr>
                <w:rFonts w:hint="eastAsia"/>
                <w:color w:val="auto"/>
                <w:highlight w:val="none"/>
              </w:rPr>
              <w:t xml:space="preserve">7.</w:t>
            </w:r>
            <w:r>
              <w:rPr>
                <w:rFonts w:hint="eastAsia"/>
                <w:color w:val="auto"/>
                <w:highlight w:val="none"/>
              </w:rPr>
              <w:t xml:space="preserve">可以实现即时采样、定时采样、间隔采样等多种采样模式。</w:t>
            </w:r>
            <w:r>
              <w:rPr>
                <w:color w:val="auto"/>
                <w:highlight w:val="none"/>
              </w:rPr>
            </w:r>
            <w:r/>
          </w:p>
          <w:p>
            <w:pPr>
              <w:jc w:val="left"/>
              <w:spacing w:after="0" w:line="240" w:lineRule="auto"/>
              <w:widowControl/>
              <w:rPr>
                <w:color w:val="auto"/>
                <w:highlight w:val="none"/>
              </w:rPr>
            </w:pPr>
            <w:r>
              <w:rPr>
                <w:rFonts w:hint="eastAsia"/>
                <w:color w:val="auto"/>
                <w:highlight w:val="none"/>
              </w:rPr>
              <w:t xml:space="preserve">8.</w:t>
            </w:r>
            <w:r>
              <w:rPr>
                <w:rFonts w:hint="eastAsia"/>
                <w:color w:val="auto"/>
                <w:highlight w:val="none"/>
              </w:rPr>
              <w:t xml:space="preserve">拥有智能化软件流量标定功能。</w:t>
            </w:r>
            <w:r>
              <w:rPr>
                <w:color w:val="auto"/>
                <w:highlight w:val="none"/>
              </w:rPr>
            </w:r>
            <w:r/>
          </w:p>
          <w:p>
            <w:pPr>
              <w:jc w:val="left"/>
              <w:spacing w:after="0" w:line="240" w:lineRule="auto"/>
              <w:widowControl/>
              <w:rPr>
                <w:color w:val="auto"/>
                <w:highlight w:val="none"/>
              </w:rPr>
            </w:pPr>
            <w:r>
              <w:rPr>
                <w:rFonts w:hint="eastAsia"/>
                <w:color w:val="auto"/>
                <w:highlight w:val="none"/>
              </w:rPr>
              <w:t xml:space="preserve">9.</w:t>
            </w:r>
            <w:r>
              <w:rPr>
                <w:rFonts w:hint="eastAsia"/>
                <w:color w:val="auto"/>
                <w:highlight w:val="none"/>
              </w:rPr>
              <w:t xml:space="preserve">内置锂电池和充电管理模块，具备交流、直流双供电功能。</w:t>
            </w:r>
            <w:r>
              <w:rPr>
                <w:color w:val="auto"/>
                <w:highlight w:val="none"/>
              </w:rPr>
            </w:r>
            <w:r/>
          </w:p>
          <w:p>
            <w:pPr>
              <w:jc w:val="left"/>
              <w:spacing w:after="0" w:line="240" w:lineRule="auto"/>
              <w:widowControl/>
              <w:rPr>
                <w:color w:val="auto"/>
                <w:highlight w:val="none"/>
              </w:rPr>
            </w:pPr>
            <w:r>
              <w:rPr>
                <w:rFonts w:hint="eastAsia"/>
                <w:color w:val="auto"/>
                <w:highlight w:val="none"/>
              </w:rPr>
              <w:t xml:space="preserve">10.</w:t>
            </w:r>
            <w:r>
              <w:rPr>
                <w:rFonts w:hint="eastAsia"/>
                <w:color w:val="auto"/>
                <w:highlight w:val="none"/>
              </w:rPr>
              <w:t xml:space="preserve">预留物联网模块接口，可拓展联网功能。</w:t>
            </w:r>
            <w:r>
              <w:rPr>
                <w:color w:val="auto"/>
                <w:highlight w:val="none"/>
              </w:rPr>
            </w:r>
            <w:r/>
          </w:p>
          <w:p>
            <w:pPr>
              <w:jc w:val="left"/>
              <w:spacing w:after="0" w:line="240" w:lineRule="auto"/>
              <w:widowControl/>
              <w:rPr>
                <w:color w:val="auto"/>
                <w:highlight w:val="none"/>
              </w:rPr>
            </w:pPr>
            <w:r>
              <w:rPr>
                <w:rFonts w:hint="eastAsia"/>
                <w:color w:val="auto"/>
                <w:highlight w:val="none"/>
              </w:rPr>
              <w:t xml:space="preserve">11.</w:t>
            </w:r>
            <w:r>
              <w:rPr>
                <w:rFonts w:hint="eastAsia"/>
                <w:color w:val="auto"/>
                <w:highlight w:val="none"/>
              </w:rPr>
              <w:t xml:space="preserve">外挂折叠支撑架。</w:t>
            </w:r>
            <w:r>
              <w:rPr>
                <w:color w:val="auto"/>
                <w:highlight w:val="none"/>
              </w:rPr>
            </w:r>
            <w:r/>
          </w:p>
          <w:p>
            <w:pPr>
              <w:jc w:val="left"/>
              <w:spacing w:after="0" w:line="240" w:lineRule="auto"/>
              <w:widowControl/>
              <w:rPr>
                <w:color w:val="auto"/>
                <w:highlight w:val="none"/>
              </w:rPr>
            </w:pPr>
            <w:r>
              <w:rPr>
                <w:rFonts w:hint="eastAsia"/>
                <w:color w:val="auto"/>
                <w:highlight w:val="none"/>
              </w:rPr>
              <w:t xml:space="preserve">三、技术指标</w:t>
            </w:r>
            <w:r>
              <w:rPr>
                <w:color w:val="auto"/>
                <w:highlight w:val="none"/>
              </w:rPr>
            </w:r>
            <w:r/>
          </w:p>
          <w:tbl>
            <w:tblPr>
              <w:tblW w:w="742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81"/>
              <w:gridCol w:w="2625"/>
              <w:gridCol w:w="1435"/>
              <w:gridCol w:w="1880"/>
            </w:tblGrid>
            <w:tr>
              <w:trPr>
                <w:trHeight w:val="340"/>
              </w:trPr>
              <w:tc>
                <w:tcPr>
                  <w:gridSpan w:val="4"/>
                  <w:tcBorders>
                    <w:right w:val="single" w:color="auto" w:sz="4" w:space="0"/>
                  </w:tcBorders>
                  <w:tcW w:w="7421" w:type="dxa"/>
                  <w:vAlign w:val="center"/>
                  <w:textDirection w:val="lrTb"/>
                  <w:noWrap w:val="false"/>
                </w:tcPr>
                <w:p>
                  <w:pPr>
                    <w:ind w:right="-108"/>
                    <w:jc w:val="center"/>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主机技术指标</w:t>
                  </w:r>
                  <w:r>
                    <w:rPr>
                      <w:color w:val="auto"/>
                      <w:highlight w:val="none"/>
                    </w:rPr>
                  </w:r>
                  <w:r/>
                </w:p>
              </w:tc>
            </w:tr>
            <w:tr>
              <w:trPr>
                <w:trHeight w:val="340"/>
              </w:trPr>
              <w:tc>
                <w:tcPr>
                  <w:tcBorders>
                    <w:right w:val="single" w:color="auto" w:sz="4" w:space="0"/>
                  </w:tcBorders>
                  <w:tcW w:w="1481" w:type="dxa"/>
                  <w:vAlign w:val="center"/>
                  <w:textDirection w:val="lrTb"/>
                  <w:noWrap w:val="false"/>
                </w:tcPr>
                <w:p>
                  <w:pPr>
                    <w:ind w:right="-108"/>
                    <w:jc w:val="center"/>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主要参数</w:t>
                  </w:r>
                  <w:r>
                    <w:rPr>
                      <w:color w:val="auto"/>
                      <w:highlight w:val="none"/>
                    </w:rPr>
                  </w:r>
                  <w:r/>
                </w:p>
              </w:tc>
              <w:tc>
                <w:tcPr>
                  <w:tcBorders>
                    <w:left w:val="single" w:color="auto" w:sz="4" w:space="0"/>
                    <w:right w:val="single" w:color="auto" w:sz="4" w:space="0"/>
                  </w:tcBorders>
                  <w:tcW w:w="2625" w:type="dxa"/>
                  <w:vAlign w:val="center"/>
                  <w:textDirection w:val="lrTb"/>
                  <w:noWrap w:val="false"/>
                </w:tcPr>
                <w:p>
                  <w:pPr>
                    <w:ind w:right="-108"/>
                    <w:jc w:val="center"/>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参数范围</w:t>
                  </w:r>
                  <w:r>
                    <w:rPr>
                      <w:color w:val="auto"/>
                      <w:highlight w:val="none"/>
                    </w:rPr>
                  </w:r>
                  <w:r/>
                </w:p>
              </w:tc>
              <w:tc>
                <w:tcPr>
                  <w:tcBorders>
                    <w:left w:val="single" w:color="auto" w:sz="4" w:space="0"/>
                    <w:right w:val="single" w:color="auto" w:sz="4" w:space="0"/>
                  </w:tcBorders>
                  <w:tcW w:w="1435" w:type="dxa"/>
                  <w:vAlign w:val="center"/>
                  <w:textDirection w:val="lrTb"/>
                  <w:noWrap w:val="false"/>
                </w:tcPr>
                <w:p>
                  <w:pPr>
                    <w:ind w:right="-108"/>
                    <w:jc w:val="center"/>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分辨率</w:t>
                  </w:r>
                  <w:r>
                    <w:rPr>
                      <w:color w:val="auto"/>
                      <w:highlight w:val="none"/>
                    </w:rPr>
                  </w:r>
                  <w:r/>
                </w:p>
              </w:tc>
              <w:tc>
                <w:tcPr>
                  <w:tcBorders>
                    <w:left w:val="single" w:color="auto" w:sz="4" w:space="0"/>
                    <w:right w:val="single" w:color="auto" w:sz="4" w:space="0"/>
                  </w:tcBorders>
                  <w:tcW w:w="1880" w:type="dxa"/>
                  <w:vAlign w:val="center"/>
                  <w:textDirection w:val="lrTb"/>
                  <w:noWrap w:val="false"/>
                </w:tcPr>
                <w:p>
                  <w:pPr>
                    <w:ind w:right="-108"/>
                    <w:jc w:val="center"/>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准确度</w:t>
                  </w:r>
                  <w:r>
                    <w:rPr>
                      <w:color w:val="auto"/>
                      <w:highlight w:val="none"/>
                    </w:rPr>
                  </w:r>
                  <w:r/>
                </w:p>
              </w:tc>
            </w:tr>
            <w:tr>
              <w:trPr>
                <w:trHeight w:val="340"/>
              </w:trPr>
              <w:tc>
                <w:tcPr>
                  <w:tcBorders>
                    <w:right w:val="single" w:color="auto" w:sz="4" w:space="0"/>
                  </w:tcBorders>
                  <w:tcW w:w="1481" w:type="dxa"/>
                  <w:vAlign w:val="center"/>
                  <w:textDirection w:val="lrTb"/>
                  <w:noWrap w:val="false"/>
                </w:tcPr>
                <w:p>
                  <w:pPr>
                    <w:ind w:right="-108"/>
                    <w:spacing w:after="0" w:line="240" w:lineRule="auto"/>
                    <w:rPr>
                      <w:rFonts w:ascii="宋体" w:hAnsi="宋体" w:cs="宋体"/>
                      <w:color w:val="auto"/>
                      <w:szCs w:val="21"/>
                      <w:highlight w:val="none"/>
                    </w:rPr>
                  </w:pPr>
                  <w:r>
                    <w:rPr>
                      <w:rFonts w:hint="eastAsia" w:ascii="宋体" w:hAnsi="宋体" w:cs="宋体"/>
                      <w:color w:val="auto"/>
                      <w:highlight w:val="none"/>
                    </w:rPr>
                    <w:t xml:space="preserve">★</w:t>
                  </w:r>
                  <w:r>
                    <w:rPr>
                      <w:rFonts w:hint="eastAsia" w:ascii="宋体" w:hAnsi="宋体" w:cs="宋体"/>
                      <w:color w:val="auto"/>
                      <w:szCs w:val="21"/>
                      <w:highlight w:val="none"/>
                    </w:rPr>
                    <w:t xml:space="preserve">颗粒物采样流量</w:t>
                  </w:r>
                  <w:r>
                    <w:rPr>
                      <w:color w:val="auto"/>
                      <w:highlight w:val="none"/>
                    </w:rPr>
                  </w:r>
                  <w:r/>
                </w:p>
              </w:tc>
              <w:tc>
                <w:tcPr>
                  <w:tcBorders>
                    <w:left w:val="single" w:color="auto" w:sz="4" w:space="0"/>
                    <w:right w:val="single" w:color="auto" w:sz="4" w:space="0"/>
                  </w:tcBorders>
                  <w:tcW w:w="2625" w:type="dxa"/>
                  <w:vAlign w:val="center"/>
                  <w:textDirection w:val="lrTb"/>
                  <w:noWrap w:val="false"/>
                </w:tcPr>
                <w:p>
                  <w:pPr>
                    <w:ind w:right="-108"/>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最大空载流量150L/min，工作点流量可定制</w:t>
                  </w:r>
                  <w:r>
                    <w:rPr>
                      <w:color w:val="auto"/>
                      <w:highlight w:val="none"/>
                    </w:rPr>
                  </w:r>
                  <w:r/>
                </w:p>
              </w:tc>
              <w:tc>
                <w:tcPr>
                  <w:tcBorders>
                    <w:left w:val="single" w:color="auto" w:sz="4" w:space="0"/>
                    <w:right w:val="single" w:color="auto" w:sz="4" w:space="0"/>
                  </w:tcBorders>
                  <w:tcW w:w="1435" w:type="dxa"/>
                  <w:vAlign w:val="center"/>
                  <w:textDirection w:val="lrTb"/>
                  <w:noWrap w:val="false"/>
                </w:tcPr>
                <w:p>
                  <w:pPr>
                    <w:ind w:right="-108"/>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0.1L/min</w:t>
                  </w:r>
                  <w:r>
                    <w:rPr>
                      <w:color w:val="auto"/>
                      <w:highlight w:val="none"/>
                    </w:rPr>
                  </w:r>
                  <w:r/>
                </w:p>
              </w:tc>
              <w:tc>
                <w:tcPr>
                  <w:tcBorders>
                    <w:left w:val="single" w:color="auto" w:sz="4" w:space="0"/>
                    <w:right w:val="single" w:color="auto" w:sz="4" w:space="0"/>
                  </w:tcBorders>
                  <w:tcW w:w="1880" w:type="dxa"/>
                  <w:vAlign w:val="center"/>
                  <w:textDirection w:val="lrTb"/>
                  <w:noWrap w:val="false"/>
                </w:tcPr>
                <w:p>
                  <w:pPr>
                    <w:ind w:right="-108"/>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不超过±5%</w:t>
                  </w:r>
                  <w:r>
                    <w:rPr>
                      <w:color w:val="auto"/>
                      <w:highlight w:val="none"/>
                    </w:rPr>
                  </w:r>
                  <w:r/>
                </w:p>
              </w:tc>
            </w:tr>
            <w:tr>
              <w:trPr>
                <w:trHeight w:val="340"/>
              </w:trPr>
              <w:tc>
                <w:tcPr>
                  <w:tcBorders>
                    <w:right w:val="single" w:color="auto" w:sz="4" w:space="0"/>
                  </w:tcBorders>
                  <w:tcW w:w="1481" w:type="dxa"/>
                  <w:vAlign w:val="center"/>
                  <w:textDirection w:val="lrTb"/>
                  <w:noWrap w:val="false"/>
                </w:tcPr>
                <w:p>
                  <w:pPr>
                    <w:ind w:right="-108"/>
                    <w:spacing w:after="0" w:line="240" w:lineRule="auto"/>
                    <w:rPr>
                      <w:rFonts w:ascii="宋体" w:hAnsi="宋体" w:cs="宋体"/>
                      <w:color w:val="auto"/>
                      <w:szCs w:val="21"/>
                      <w:highlight w:val="none"/>
                    </w:rPr>
                  </w:pPr>
                  <w:r>
                    <w:rPr>
                      <w:rFonts w:hint="eastAsia" w:ascii="宋体" w:hAnsi="宋体" w:cs="宋体"/>
                      <w:color w:val="auto"/>
                      <w:highlight w:val="none"/>
                    </w:rPr>
                    <w:t xml:space="preserve">★</w:t>
                  </w:r>
                  <w:r>
                    <w:rPr>
                      <w:rFonts w:hint="eastAsia" w:ascii="宋体" w:hAnsi="宋体" w:cs="宋体"/>
                      <w:color w:val="auto"/>
                      <w:szCs w:val="21"/>
                      <w:highlight w:val="none"/>
                    </w:rPr>
                    <w:t xml:space="preserve">大气采样流量</w:t>
                  </w:r>
                  <w:r>
                    <w:rPr>
                      <w:color w:val="auto"/>
                      <w:highlight w:val="none"/>
                    </w:rPr>
                  </w:r>
                  <w:r/>
                </w:p>
              </w:tc>
              <w:tc>
                <w:tcPr>
                  <w:tcBorders>
                    <w:left w:val="single" w:color="auto" w:sz="4" w:space="0"/>
                    <w:right w:val="single" w:color="auto" w:sz="4" w:space="0"/>
                  </w:tcBorders>
                  <w:tcW w:w="2625" w:type="dxa"/>
                  <w:vAlign w:val="center"/>
                  <w:textDirection w:val="lrTb"/>
                  <w:noWrap w:val="false"/>
                </w:tcPr>
                <w:p>
                  <w:pPr>
                    <w:ind w:right="-108"/>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标配</w:t>
                  </w:r>
                  <w:r>
                    <w:rPr>
                      <w:rFonts w:hint="eastAsia" w:ascii="宋体" w:hAnsi="宋体" w:cs="宋体"/>
                      <w:color w:val="auto"/>
                      <w:szCs w:val="21"/>
                      <w:highlight w:val="none"/>
                    </w:rPr>
                    <w:t xml:space="preserve">(0～1.0）L/min</w:t>
                  </w:r>
                  <w:r>
                    <w:rPr>
                      <w:color w:val="auto"/>
                      <w:highlight w:val="none"/>
                    </w:rPr>
                  </w:r>
                  <w:r/>
                </w:p>
                <w:p>
                  <w:pPr>
                    <w:ind w:right="-108"/>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C/D路可定制（10～200）mL/min</w:t>
                  </w:r>
                  <w:r>
                    <w:rPr>
                      <w:color w:val="auto"/>
                      <w:highlight w:val="none"/>
                    </w:rPr>
                  </w:r>
                  <w:r/>
                </w:p>
              </w:tc>
              <w:tc>
                <w:tcPr>
                  <w:tcBorders>
                    <w:left w:val="single" w:color="auto" w:sz="4" w:space="0"/>
                    <w:right w:val="single" w:color="auto" w:sz="4" w:space="0"/>
                  </w:tcBorders>
                  <w:tcW w:w="1435" w:type="dxa"/>
                  <w:vAlign w:val="center"/>
                  <w:textDirection w:val="lrTb"/>
                  <w:noWrap w:val="false"/>
                </w:tcPr>
                <w:p>
                  <w:pPr>
                    <w:ind w:right="-108"/>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0.01L/min</w:t>
                  </w:r>
                  <w:r>
                    <w:rPr>
                      <w:color w:val="auto"/>
                      <w:highlight w:val="none"/>
                    </w:rPr>
                  </w:r>
                  <w:r/>
                </w:p>
              </w:tc>
              <w:tc>
                <w:tcPr>
                  <w:tcBorders>
                    <w:left w:val="single" w:color="auto" w:sz="4" w:space="0"/>
                    <w:right w:val="single" w:color="auto" w:sz="4" w:space="0"/>
                  </w:tcBorders>
                  <w:tcW w:w="1880" w:type="dxa"/>
                  <w:vAlign w:val="center"/>
                  <w:textDirection w:val="lrTb"/>
                  <w:noWrap w:val="false"/>
                </w:tcPr>
                <w:p>
                  <w:pPr>
                    <w:ind w:right="-108"/>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不超过±5%</w:t>
                  </w:r>
                  <w:r>
                    <w:rPr>
                      <w:color w:val="auto"/>
                      <w:highlight w:val="none"/>
                    </w:rPr>
                  </w:r>
                  <w:r/>
                </w:p>
              </w:tc>
            </w:tr>
            <w:tr>
              <w:trPr>
                <w:trHeight w:val="340"/>
              </w:trPr>
              <w:tc>
                <w:tcPr>
                  <w:tcBorders>
                    <w:right w:val="single" w:color="auto" w:sz="4" w:space="0"/>
                  </w:tcBorders>
                  <w:tcW w:w="1481" w:type="dxa"/>
                  <w:vAlign w:val="center"/>
                  <w:textDirection w:val="lrTb"/>
                  <w:noWrap w:val="false"/>
                </w:tcPr>
                <w:p>
                  <w:pPr>
                    <w:ind w:right="-108"/>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采样时间</w:t>
                  </w:r>
                  <w:r>
                    <w:rPr>
                      <w:color w:val="auto"/>
                      <w:highlight w:val="none"/>
                    </w:rPr>
                  </w:r>
                  <w:r/>
                </w:p>
              </w:tc>
              <w:tc>
                <w:tcPr>
                  <w:tcBorders>
                    <w:left w:val="single" w:color="auto" w:sz="4" w:space="0"/>
                    <w:right w:val="single" w:color="auto" w:sz="4" w:space="0"/>
                  </w:tcBorders>
                  <w:tcW w:w="2625" w:type="dxa"/>
                  <w:vAlign w:val="center"/>
                  <w:textDirection w:val="lrTb"/>
                  <w:noWrap w:val="false"/>
                </w:tcPr>
                <w:p>
                  <w:pPr>
                    <w:ind w:right="-108"/>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99h59min内任意设置</w:t>
                  </w:r>
                  <w:r>
                    <w:rPr>
                      <w:color w:val="auto"/>
                      <w:highlight w:val="none"/>
                    </w:rPr>
                  </w:r>
                  <w:r/>
                </w:p>
              </w:tc>
              <w:tc>
                <w:tcPr>
                  <w:tcBorders>
                    <w:left w:val="single" w:color="auto" w:sz="4" w:space="0"/>
                    <w:right w:val="single" w:color="auto" w:sz="4" w:space="0"/>
                  </w:tcBorders>
                  <w:tcW w:w="1435" w:type="dxa"/>
                  <w:vAlign w:val="center"/>
                  <w:textDirection w:val="lrTb"/>
                  <w:noWrap w:val="false"/>
                </w:tcPr>
                <w:p>
                  <w:pPr>
                    <w:ind w:right="-108"/>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1min</w:t>
                  </w:r>
                  <w:r>
                    <w:rPr>
                      <w:color w:val="auto"/>
                      <w:highlight w:val="none"/>
                    </w:rPr>
                  </w:r>
                  <w:r/>
                </w:p>
              </w:tc>
              <w:tc>
                <w:tcPr>
                  <w:tcBorders>
                    <w:left w:val="single" w:color="auto" w:sz="4" w:space="0"/>
                    <w:right w:val="single" w:color="auto" w:sz="4" w:space="0"/>
                  </w:tcBorders>
                  <w:tcW w:w="1880" w:type="dxa"/>
                  <w:vAlign w:val="center"/>
                  <w:textDirection w:val="lrTb"/>
                  <w:noWrap w:val="false"/>
                </w:tcPr>
                <w:p>
                  <w:pPr>
                    <w:ind w:right="-108"/>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20min计时误差不超过±1s</w:t>
                  </w:r>
                  <w:r>
                    <w:rPr>
                      <w:color w:val="auto"/>
                      <w:highlight w:val="none"/>
                    </w:rPr>
                  </w:r>
                  <w:r/>
                </w:p>
              </w:tc>
            </w:tr>
            <w:tr>
              <w:trPr>
                <w:trHeight w:val="340"/>
              </w:trPr>
              <w:tc>
                <w:tcPr>
                  <w:tcBorders>
                    <w:right w:val="single" w:color="auto" w:sz="4" w:space="0"/>
                  </w:tcBorders>
                  <w:tcW w:w="1481" w:type="dxa"/>
                  <w:vAlign w:val="center"/>
                  <w:textDirection w:val="lrTb"/>
                  <w:noWrap w:val="false"/>
                </w:tcPr>
                <w:p>
                  <w:pPr>
                    <w:ind w:right="-108"/>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流量计前温度</w:t>
                  </w:r>
                  <w:r>
                    <w:rPr>
                      <w:color w:val="auto"/>
                      <w:highlight w:val="none"/>
                    </w:rPr>
                  </w:r>
                  <w:r/>
                </w:p>
              </w:tc>
              <w:tc>
                <w:tcPr>
                  <w:tcBorders>
                    <w:left w:val="single" w:color="auto" w:sz="4" w:space="0"/>
                    <w:right w:val="single" w:color="auto" w:sz="4" w:space="0"/>
                  </w:tcBorders>
                  <w:tcW w:w="2625" w:type="dxa"/>
                  <w:vAlign w:val="center"/>
                  <w:textDirection w:val="lrTb"/>
                  <w:noWrap w:val="false"/>
                </w:tcPr>
                <w:p>
                  <w:pPr>
                    <w:ind w:right="-108"/>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（-30~99）℃</w:t>
                  </w:r>
                  <w:r>
                    <w:rPr>
                      <w:color w:val="auto"/>
                      <w:highlight w:val="none"/>
                    </w:rPr>
                  </w:r>
                  <w:r/>
                </w:p>
              </w:tc>
              <w:tc>
                <w:tcPr>
                  <w:tcBorders>
                    <w:left w:val="single" w:color="auto" w:sz="4" w:space="0"/>
                    <w:right w:val="single" w:color="auto" w:sz="4" w:space="0"/>
                  </w:tcBorders>
                  <w:tcW w:w="1435" w:type="dxa"/>
                  <w:vAlign w:val="center"/>
                  <w:textDirection w:val="lrTb"/>
                  <w:noWrap w:val="false"/>
                </w:tcPr>
                <w:p>
                  <w:pPr>
                    <w:ind w:right="-108"/>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0.1℃</w:t>
                  </w:r>
                  <w:r>
                    <w:rPr>
                      <w:color w:val="auto"/>
                      <w:highlight w:val="none"/>
                    </w:rPr>
                  </w:r>
                  <w:r/>
                </w:p>
              </w:tc>
              <w:tc>
                <w:tcPr>
                  <w:tcBorders>
                    <w:left w:val="single" w:color="auto" w:sz="4" w:space="0"/>
                    <w:right w:val="single" w:color="auto" w:sz="4" w:space="0"/>
                  </w:tcBorders>
                  <w:tcW w:w="1880" w:type="dxa"/>
                  <w:vAlign w:val="center"/>
                  <w:textDirection w:val="lrTb"/>
                  <w:noWrap w:val="false"/>
                </w:tcPr>
                <w:p>
                  <w:pPr>
                    <w:ind w:right="-108"/>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不超过±2.5℃</w:t>
                  </w:r>
                  <w:r>
                    <w:rPr>
                      <w:color w:val="auto"/>
                      <w:highlight w:val="none"/>
                    </w:rPr>
                  </w:r>
                  <w:r/>
                </w:p>
              </w:tc>
            </w:tr>
            <w:tr>
              <w:trPr>
                <w:trHeight w:val="340"/>
              </w:trPr>
              <w:tc>
                <w:tcPr>
                  <w:tcBorders>
                    <w:right w:val="single" w:color="auto" w:sz="4" w:space="0"/>
                  </w:tcBorders>
                  <w:tcW w:w="1481" w:type="dxa"/>
                  <w:vAlign w:val="center"/>
                  <w:textDirection w:val="lrTb"/>
                  <w:noWrap w:val="false"/>
                </w:tcPr>
                <w:p>
                  <w:pPr>
                    <w:ind w:right="-108"/>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流量计前压力</w:t>
                  </w:r>
                  <w:r>
                    <w:rPr>
                      <w:color w:val="auto"/>
                      <w:highlight w:val="none"/>
                    </w:rPr>
                  </w:r>
                  <w:r/>
                </w:p>
              </w:tc>
              <w:tc>
                <w:tcPr>
                  <w:tcBorders>
                    <w:left w:val="single" w:color="auto" w:sz="4" w:space="0"/>
                    <w:right w:val="single" w:color="auto" w:sz="4" w:space="0"/>
                  </w:tcBorders>
                  <w:tcW w:w="2625" w:type="dxa"/>
                  <w:vAlign w:val="center"/>
                  <w:textDirection w:val="lrTb"/>
                  <w:noWrap w:val="false"/>
                </w:tcPr>
                <w:p>
                  <w:pPr>
                    <w:ind w:right="-108"/>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（-45~0）kPa</w:t>
                  </w:r>
                  <w:r>
                    <w:rPr>
                      <w:color w:val="auto"/>
                      <w:highlight w:val="none"/>
                    </w:rPr>
                  </w:r>
                  <w:r/>
                </w:p>
              </w:tc>
              <w:tc>
                <w:tcPr>
                  <w:tcBorders>
                    <w:left w:val="single" w:color="auto" w:sz="4" w:space="0"/>
                    <w:right w:val="single" w:color="auto" w:sz="4" w:space="0"/>
                  </w:tcBorders>
                  <w:tcW w:w="1435" w:type="dxa"/>
                  <w:vAlign w:val="center"/>
                  <w:textDirection w:val="lrTb"/>
                  <w:noWrap w:val="false"/>
                </w:tcPr>
                <w:p>
                  <w:pPr>
                    <w:ind w:right="-108"/>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0.01kPa</w:t>
                  </w:r>
                  <w:r>
                    <w:rPr>
                      <w:color w:val="auto"/>
                      <w:highlight w:val="none"/>
                    </w:rPr>
                  </w:r>
                  <w:r/>
                </w:p>
              </w:tc>
              <w:tc>
                <w:tcPr>
                  <w:tcBorders>
                    <w:left w:val="single" w:color="auto" w:sz="4" w:space="0"/>
                    <w:right w:val="single" w:color="auto" w:sz="4" w:space="0"/>
                  </w:tcBorders>
                  <w:tcW w:w="1880" w:type="dxa"/>
                  <w:vAlign w:val="center"/>
                  <w:textDirection w:val="lrTb"/>
                  <w:noWrap w:val="false"/>
                </w:tcPr>
                <w:p>
                  <w:pPr>
                    <w:ind w:right="-108"/>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不超过±2.5%</w:t>
                  </w:r>
                  <w:r>
                    <w:rPr>
                      <w:color w:val="auto"/>
                      <w:highlight w:val="none"/>
                    </w:rPr>
                  </w:r>
                  <w:r/>
                </w:p>
              </w:tc>
            </w:tr>
            <w:tr>
              <w:trPr>
                <w:trHeight w:val="340"/>
              </w:trPr>
              <w:tc>
                <w:tcPr>
                  <w:tcBorders>
                    <w:right w:val="single" w:color="auto" w:sz="4" w:space="0"/>
                  </w:tcBorders>
                  <w:tcW w:w="1481" w:type="dxa"/>
                  <w:vAlign w:val="center"/>
                  <w:textDirection w:val="lrTb"/>
                  <w:noWrap w:val="false"/>
                </w:tcPr>
                <w:p>
                  <w:pPr>
                    <w:ind w:right="-108"/>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流量重复性</w:t>
                  </w:r>
                  <w:r>
                    <w:rPr>
                      <w:color w:val="auto"/>
                      <w:highlight w:val="none"/>
                    </w:rPr>
                  </w:r>
                  <w:r/>
                </w:p>
              </w:tc>
              <w:tc>
                <w:tcPr>
                  <w:tcBorders>
                    <w:left w:val="single" w:color="auto" w:sz="4" w:space="0"/>
                    <w:right w:val="single" w:color="auto" w:sz="4" w:space="0"/>
                  </w:tcBorders>
                  <w:tcW w:w="2625" w:type="dxa"/>
                  <w:vAlign w:val="center"/>
                  <w:textDirection w:val="lrTb"/>
                  <w:noWrap w:val="false"/>
                </w:tcPr>
                <w:p>
                  <w:pPr>
                    <w:ind w:right="-108"/>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w:t>
                  </w:r>
                  <w:r>
                    <w:rPr>
                      <w:color w:val="auto"/>
                      <w:highlight w:val="none"/>
                    </w:rPr>
                  </w:r>
                  <w:r/>
                </w:p>
              </w:tc>
              <w:tc>
                <w:tcPr>
                  <w:tcBorders>
                    <w:left w:val="single" w:color="auto" w:sz="4" w:space="0"/>
                    <w:right w:val="single" w:color="auto" w:sz="4" w:space="0"/>
                  </w:tcBorders>
                  <w:tcW w:w="1435" w:type="dxa"/>
                  <w:vAlign w:val="center"/>
                  <w:textDirection w:val="lrTb"/>
                  <w:noWrap w:val="false"/>
                </w:tcPr>
                <w:p>
                  <w:pPr>
                    <w:ind w:right="-108"/>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w:t>
                  </w:r>
                  <w:r>
                    <w:rPr>
                      <w:color w:val="auto"/>
                      <w:highlight w:val="none"/>
                    </w:rPr>
                  </w:r>
                  <w:r/>
                </w:p>
              </w:tc>
              <w:tc>
                <w:tcPr>
                  <w:tcBorders>
                    <w:left w:val="single" w:color="auto" w:sz="4" w:space="0"/>
                    <w:right w:val="single" w:color="auto" w:sz="4" w:space="0"/>
                  </w:tcBorders>
                  <w:tcW w:w="1880" w:type="dxa"/>
                  <w:vAlign w:val="center"/>
                  <w:textDirection w:val="lrTb"/>
                  <w:noWrap w:val="false"/>
                </w:tcPr>
                <w:p>
                  <w:pPr>
                    <w:ind w:right="-108"/>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不超过2%</w:t>
                  </w:r>
                  <w:r>
                    <w:rPr>
                      <w:color w:val="auto"/>
                      <w:highlight w:val="none"/>
                    </w:rPr>
                  </w:r>
                  <w:r/>
                </w:p>
              </w:tc>
            </w:tr>
            <w:tr>
              <w:trPr>
                <w:trHeight w:val="340"/>
              </w:trPr>
              <w:tc>
                <w:tcPr>
                  <w:tcBorders>
                    <w:right w:val="single" w:color="auto" w:sz="4" w:space="0"/>
                  </w:tcBorders>
                  <w:tcW w:w="1481" w:type="dxa"/>
                  <w:vAlign w:val="center"/>
                  <w:textDirection w:val="lrTb"/>
                  <w:noWrap w:val="false"/>
                </w:tcPr>
                <w:p>
                  <w:pPr>
                    <w:ind w:right="-108"/>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流量稳定性</w:t>
                  </w:r>
                  <w:r>
                    <w:rPr>
                      <w:color w:val="auto"/>
                      <w:highlight w:val="none"/>
                    </w:rPr>
                  </w:r>
                  <w:r/>
                </w:p>
              </w:tc>
              <w:tc>
                <w:tcPr>
                  <w:tcBorders>
                    <w:left w:val="single" w:color="auto" w:sz="4" w:space="0"/>
                    <w:right w:val="single" w:color="auto" w:sz="4" w:space="0"/>
                  </w:tcBorders>
                  <w:tcW w:w="2625" w:type="dxa"/>
                  <w:vAlign w:val="center"/>
                  <w:textDirection w:val="lrTb"/>
                  <w:noWrap w:val="false"/>
                </w:tcPr>
                <w:p>
                  <w:pPr>
                    <w:ind w:right="-108"/>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w:t>
                  </w:r>
                  <w:r>
                    <w:rPr>
                      <w:color w:val="auto"/>
                      <w:highlight w:val="none"/>
                    </w:rPr>
                  </w:r>
                  <w:r/>
                </w:p>
              </w:tc>
              <w:tc>
                <w:tcPr>
                  <w:tcBorders>
                    <w:left w:val="single" w:color="auto" w:sz="4" w:space="0"/>
                    <w:right w:val="single" w:color="auto" w:sz="4" w:space="0"/>
                  </w:tcBorders>
                  <w:tcW w:w="1435" w:type="dxa"/>
                  <w:vAlign w:val="center"/>
                  <w:textDirection w:val="lrTb"/>
                  <w:noWrap w:val="false"/>
                </w:tcPr>
                <w:p>
                  <w:pPr>
                    <w:ind w:right="-108"/>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w:t>
                  </w:r>
                  <w:r>
                    <w:rPr>
                      <w:color w:val="auto"/>
                      <w:highlight w:val="none"/>
                    </w:rPr>
                  </w:r>
                  <w:r/>
                </w:p>
              </w:tc>
              <w:tc>
                <w:tcPr>
                  <w:tcBorders>
                    <w:left w:val="single" w:color="auto" w:sz="4" w:space="0"/>
                    <w:right w:val="single" w:color="auto" w:sz="4" w:space="0"/>
                  </w:tcBorders>
                  <w:tcW w:w="1880" w:type="dxa"/>
                  <w:vAlign w:val="center"/>
                  <w:textDirection w:val="lrTb"/>
                  <w:noWrap w:val="false"/>
                </w:tcPr>
                <w:p>
                  <w:pPr>
                    <w:ind w:right="-108"/>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不超过5%</w:t>
                  </w:r>
                  <w:r>
                    <w:rPr>
                      <w:color w:val="auto"/>
                      <w:highlight w:val="none"/>
                    </w:rPr>
                  </w:r>
                  <w:r/>
                </w:p>
              </w:tc>
            </w:tr>
            <w:tr>
              <w:trPr>
                <w:trHeight w:val="340"/>
              </w:trPr>
              <w:tc>
                <w:tcPr>
                  <w:tcBorders>
                    <w:right w:val="single" w:color="auto" w:sz="4" w:space="0"/>
                  </w:tcBorders>
                  <w:tcW w:w="1481" w:type="dxa"/>
                  <w:vAlign w:val="center"/>
                  <w:textDirection w:val="lrTb"/>
                  <w:noWrap w:val="false"/>
                </w:tcPr>
                <w:p>
                  <w:pPr>
                    <w:ind w:right="-108"/>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恒温控制</w:t>
                  </w:r>
                  <w:r>
                    <w:rPr>
                      <w:color w:val="auto"/>
                      <w:highlight w:val="none"/>
                    </w:rPr>
                  </w:r>
                  <w:r/>
                </w:p>
              </w:tc>
              <w:tc>
                <w:tcPr>
                  <w:tcBorders>
                    <w:left w:val="single" w:color="auto" w:sz="4" w:space="0"/>
                    <w:right w:val="single" w:color="auto" w:sz="4" w:space="0"/>
                  </w:tcBorders>
                  <w:tcW w:w="2625" w:type="dxa"/>
                  <w:vAlign w:val="center"/>
                  <w:textDirection w:val="lrTb"/>
                  <w:noWrap w:val="false"/>
                </w:tcPr>
                <w:p>
                  <w:pPr>
                    <w:ind w:right="-108"/>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（15~30）℃</w:t>
                  </w:r>
                  <w:r>
                    <w:rPr>
                      <w:color w:val="auto"/>
                      <w:highlight w:val="none"/>
                    </w:rPr>
                  </w:r>
                  <w:r/>
                </w:p>
              </w:tc>
              <w:tc>
                <w:tcPr>
                  <w:tcBorders>
                    <w:left w:val="single" w:color="auto" w:sz="4" w:space="0"/>
                    <w:right w:val="single" w:color="auto" w:sz="4" w:space="0"/>
                  </w:tcBorders>
                  <w:tcW w:w="1435" w:type="dxa"/>
                  <w:vAlign w:val="center"/>
                  <w:textDirection w:val="lrTb"/>
                  <w:noWrap w:val="false"/>
                </w:tcPr>
                <w:p>
                  <w:pPr>
                    <w:ind w:right="-108"/>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0.1℃</w:t>
                  </w:r>
                  <w:r>
                    <w:rPr>
                      <w:color w:val="auto"/>
                      <w:highlight w:val="none"/>
                    </w:rPr>
                  </w:r>
                  <w:r/>
                </w:p>
              </w:tc>
              <w:tc>
                <w:tcPr>
                  <w:tcBorders>
                    <w:left w:val="single" w:color="auto" w:sz="4" w:space="0"/>
                    <w:right w:val="single" w:color="auto" w:sz="4" w:space="0"/>
                  </w:tcBorders>
                  <w:tcW w:w="1880" w:type="dxa"/>
                  <w:vAlign w:val="center"/>
                  <w:textDirection w:val="lrTb"/>
                  <w:noWrap w:val="false"/>
                </w:tcPr>
                <w:p>
                  <w:pPr>
                    <w:ind w:right="-108"/>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不超过±2℃</w:t>
                  </w:r>
                  <w:r>
                    <w:rPr>
                      <w:color w:val="auto"/>
                      <w:highlight w:val="none"/>
                    </w:rPr>
                  </w:r>
                  <w:r/>
                </w:p>
              </w:tc>
            </w:tr>
            <w:tr>
              <w:trPr>
                <w:trHeight w:val="340"/>
              </w:trPr>
              <w:tc>
                <w:tcPr>
                  <w:tcBorders>
                    <w:right w:val="single" w:color="auto" w:sz="4" w:space="0"/>
                  </w:tcBorders>
                  <w:tcW w:w="1481" w:type="dxa"/>
                  <w:vAlign w:val="center"/>
                  <w:textDirection w:val="lrTb"/>
                  <w:noWrap w:val="false"/>
                </w:tcPr>
                <w:p>
                  <w:pPr>
                    <w:ind w:right="-108"/>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大气压</w:t>
                  </w:r>
                  <w:r>
                    <w:rPr>
                      <w:color w:val="auto"/>
                      <w:highlight w:val="none"/>
                    </w:rPr>
                  </w:r>
                  <w:r/>
                </w:p>
              </w:tc>
              <w:tc>
                <w:tcPr>
                  <w:tcBorders>
                    <w:left w:val="single" w:color="auto" w:sz="4" w:space="0"/>
                    <w:right w:val="single" w:color="auto" w:sz="4" w:space="0"/>
                  </w:tcBorders>
                  <w:tcW w:w="2625" w:type="dxa"/>
                  <w:vAlign w:val="center"/>
                  <w:textDirection w:val="lrTb"/>
                  <w:noWrap w:val="false"/>
                </w:tcPr>
                <w:p>
                  <w:pPr>
                    <w:ind w:right="-108"/>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（50~130）kPa</w:t>
                  </w:r>
                  <w:r>
                    <w:rPr>
                      <w:color w:val="auto"/>
                      <w:highlight w:val="none"/>
                    </w:rPr>
                  </w:r>
                  <w:r/>
                </w:p>
              </w:tc>
              <w:tc>
                <w:tcPr>
                  <w:tcBorders>
                    <w:left w:val="single" w:color="auto" w:sz="4" w:space="0"/>
                    <w:right w:val="single" w:color="auto" w:sz="4" w:space="0"/>
                  </w:tcBorders>
                  <w:tcW w:w="1435" w:type="dxa"/>
                  <w:vAlign w:val="center"/>
                  <w:textDirection w:val="lrTb"/>
                  <w:noWrap w:val="false"/>
                </w:tcPr>
                <w:p>
                  <w:pPr>
                    <w:ind w:right="-108"/>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0.01kPa</w:t>
                  </w:r>
                  <w:r>
                    <w:rPr>
                      <w:color w:val="auto"/>
                      <w:highlight w:val="none"/>
                    </w:rPr>
                  </w:r>
                  <w:r/>
                </w:p>
              </w:tc>
              <w:tc>
                <w:tcPr>
                  <w:tcBorders>
                    <w:left w:val="single" w:color="auto" w:sz="4" w:space="0"/>
                    <w:right w:val="single" w:color="auto" w:sz="4" w:space="0"/>
                  </w:tcBorders>
                  <w:tcW w:w="1880" w:type="dxa"/>
                  <w:vAlign w:val="center"/>
                  <w:textDirection w:val="lrTb"/>
                  <w:noWrap w:val="false"/>
                </w:tcPr>
                <w:p>
                  <w:pPr>
                    <w:ind w:right="-108"/>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不超过±500Pa</w:t>
                  </w:r>
                  <w:r>
                    <w:rPr>
                      <w:color w:val="auto"/>
                      <w:highlight w:val="none"/>
                    </w:rPr>
                  </w:r>
                  <w:r/>
                </w:p>
              </w:tc>
            </w:tr>
            <w:tr>
              <w:trPr>
                <w:trHeight w:val="340"/>
              </w:trPr>
              <w:tc>
                <w:tcPr>
                  <w:tcBorders>
                    <w:right w:val="single" w:color="auto" w:sz="4" w:space="0"/>
                  </w:tcBorders>
                  <w:tcW w:w="1481" w:type="dxa"/>
                  <w:vAlign w:val="center"/>
                  <w:textDirection w:val="lrTb"/>
                  <w:noWrap w:val="false"/>
                </w:tcPr>
                <w:p>
                  <w:pPr>
                    <w:ind w:right="-108"/>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负载能力</w:t>
                  </w:r>
                  <w:r>
                    <w:rPr>
                      <w:color w:val="auto"/>
                      <w:highlight w:val="none"/>
                    </w:rPr>
                  </w:r>
                  <w:r/>
                </w:p>
              </w:tc>
              <w:tc>
                <w:tcPr>
                  <w:gridSpan w:val="3"/>
                  <w:tcBorders>
                    <w:left w:val="single" w:color="auto" w:sz="4" w:space="0"/>
                    <w:right w:val="single" w:color="auto" w:sz="4" w:space="0"/>
                  </w:tcBorders>
                  <w:tcW w:w="5940" w:type="dxa"/>
                  <w:vAlign w:val="center"/>
                  <w:textDirection w:val="lrTb"/>
                  <w:noWrap w:val="false"/>
                </w:tcPr>
                <w:p>
                  <w:pPr>
                    <w:ind w:right="-108"/>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100L/min流量时，可克服阻力6kPa</w:t>
                  </w:r>
                  <w:r>
                    <w:rPr>
                      <w:color w:val="auto"/>
                      <w:highlight w:val="none"/>
                    </w:rPr>
                  </w:r>
                  <w:r/>
                </w:p>
              </w:tc>
            </w:tr>
            <w:tr>
              <w:trPr>
                <w:trHeight w:val="340"/>
              </w:trPr>
              <w:tc>
                <w:tcPr>
                  <w:tcBorders>
                    <w:right w:val="single" w:color="auto" w:sz="4" w:space="0"/>
                  </w:tcBorders>
                  <w:tcW w:w="1481" w:type="dxa"/>
                  <w:vAlign w:val="center"/>
                  <w:textDirection w:val="lrTb"/>
                  <w:noWrap w:val="false"/>
                </w:tcPr>
                <w:p>
                  <w:pPr>
                    <w:ind w:right="-108"/>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数据存储</w:t>
                  </w:r>
                  <w:r>
                    <w:rPr>
                      <w:color w:val="auto"/>
                      <w:highlight w:val="none"/>
                    </w:rPr>
                  </w:r>
                  <w:r/>
                </w:p>
              </w:tc>
              <w:tc>
                <w:tcPr>
                  <w:gridSpan w:val="3"/>
                  <w:tcBorders>
                    <w:left w:val="single" w:color="auto" w:sz="4" w:space="0"/>
                    <w:right w:val="single" w:color="auto" w:sz="4" w:space="0"/>
                  </w:tcBorders>
                  <w:tcW w:w="5940" w:type="dxa"/>
                  <w:vAlign w:val="center"/>
                  <w:textDirection w:val="lrTb"/>
                  <w:noWrap w:val="false"/>
                </w:tcPr>
                <w:p>
                  <w:pPr>
                    <w:ind w:right="-108"/>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9999组</w:t>
                  </w:r>
                  <w:r>
                    <w:rPr>
                      <w:color w:val="auto"/>
                      <w:highlight w:val="none"/>
                    </w:rPr>
                  </w:r>
                  <w:r/>
                </w:p>
              </w:tc>
            </w:tr>
            <w:tr>
              <w:trPr>
                <w:trHeight w:val="340"/>
              </w:trPr>
              <w:tc>
                <w:tcPr>
                  <w:tcBorders>
                    <w:right w:val="single" w:color="auto" w:sz="4" w:space="0"/>
                  </w:tcBorders>
                  <w:tcW w:w="1481" w:type="dxa"/>
                  <w:vAlign w:val="center"/>
                  <w:textDirection w:val="lrTb"/>
                  <w:noWrap w:val="false"/>
                </w:tcPr>
                <w:p>
                  <w:pPr>
                    <w:ind w:right="-108"/>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工作电源</w:t>
                  </w:r>
                  <w:r>
                    <w:rPr>
                      <w:color w:val="auto"/>
                      <w:highlight w:val="none"/>
                    </w:rPr>
                  </w:r>
                  <w:r/>
                </w:p>
              </w:tc>
              <w:tc>
                <w:tcPr>
                  <w:gridSpan w:val="3"/>
                  <w:tcBorders>
                    <w:left w:val="single" w:color="auto" w:sz="4" w:space="0"/>
                    <w:right w:val="single" w:color="auto" w:sz="4" w:space="0"/>
                  </w:tcBorders>
                  <w:tcW w:w="5940" w:type="dxa"/>
                  <w:vAlign w:val="center"/>
                  <w:textDirection w:val="lrTb"/>
                  <w:noWrap w:val="false"/>
                </w:tcPr>
                <w:p>
                  <w:pPr>
                    <w:ind w:right="-108"/>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内置锂电池（11.1V/15.6Ah）或外接AC 220V 50Hz交流电源</w:t>
                  </w:r>
                  <w:r>
                    <w:rPr>
                      <w:color w:val="auto"/>
                      <w:highlight w:val="none"/>
                    </w:rPr>
                  </w:r>
                  <w:r/>
                </w:p>
              </w:tc>
            </w:tr>
            <w:tr>
              <w:trPr>
                <w:trHeight w:val="340"/>
              </w:trPr>
              <w:tc>
                <w:tcPr>
                  <w:tcBorders>
                    <w:right w:val="single" w:color="auto" w:sz="4" w:space="0"/>
                  </w:tcBorders>
                  <w:tcW w:w="1481" w:type="dxa"/>
                  <w:vAlign w:val="center"/>
                  <w:textDirection w:val="lrTb"/>
                  <w:noWrap w:val="false"/>
                </w:tcPr>
                <w:p>
                  <w:pPr>
                    <w:ind w:right="-108"/>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工作时间</w:t>
                  </w:r>
                  <w:r>
                    <w:rPr>
                      <w:color w:val="auto"/>
                      <w:highlight w:val="none"/>
                    </w:rPr>
                  </w:r>
                  <w:r/>
                </w:p>
              </w:tc>
              <w:tc>
                <w:tcPr>
                  <w:gridSpan w:val="3"/>
                  <w:tcBorders>
                    <w:left w:val="single" w:color="auto" w:sz="4" w:space="0"/>
                    <w:right w:val="single" w:color="auto" w:sz="4" w:space="0"/>
                  </w:tcBorders>
                  <w:tcW w:w="5940" w:type="dxa"/>
                  <w:vAlign w:val="center"/>
                  <w:textDirection w:val="lrTb"/>
                  <w:noWrap w:val="false"/>
                </w:tcPr>
                <w:p>
                  <w:pPr>
                    <w:ind w:right="-108"/>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不低于5小时（负载-2.5kPa 流量100L/min）</w:t>
                  </w:r>
                  <w:r>
                    <w:rPr>
                      <w:color w:val="auto"/>
                      <w:highlight w:val="none"/>
                    </w:rPr>
                  </w:r>
                  <w:r/>
                </w:p>
              </w:tc>
            </w:tr>
          </w:tbl>
          <w:p>
            <w:pPr>
              <w:pStyle w:val="778"/>
              <w:ind w:left="0"/>
              <w:spacing w:after="0" w:line="240" w:lineRule="auto"/>
              <w:rPr>
                <w:color w:val="auto"/>
                <w:highlight w:val="none"/>
              </w:rPr>
            </w:pPr>
            <w:r>
              <w:rPr>
                <w:rFonts w:hint="eastAsia"/>
                <w:color w:val="auto"/>
                <w:highlight w:val="none"/>
              </w:rPr>
              <w:t xml:space="preserve">四、配置：</w:t>
            </w:r>
            <w:r>
              <w:rPr>
                <w:color w:val="auto"/>
                <w:highlight w:val="none"/>
              </w:rPr>
            </w:r>
            <w:r/>
          </w:p>
          <w:p>
            <w:pPr>
              <w:pStyle w:val="778"/>
              <w:ind w:left="0"/>
              <w:spacing w:after="0" w:line="240" w:lineRule="auto"/>
              <w:rPr>
                <w:color w:val="auto"/>
                <w:highlight w:val="none"/>
              </w:rPr>
            </w:pPr>
            <w:r>
              <w:rPr>
                <w:rFonts w:hint="eastAsia"/>
                <w:color w:val="auto"/>
                <w:highlight w:val="none"/>
              </w:rPr>
              <w:t xml:space="preserve">主机、采样头、三角支架、防倒吸干燥筒、挂架</w:t>
            </w:r>
            <w:r>
              <w:rPr>
                <w:color w:val="auto"/>
                <w:highlight w:val="none"/>
              </w:rPr>
            </w:r>
            <w:r/>
          </w:p>
        </w:tc>
      </w:tr>
      <w:tr>
        <w:trPr>
          <w:trHeight w:val="340"/>
        </w:trPr>
        <w:tc>
          <w:tcPr>
            <w:tcMar>
              <w:left w:w="15" w:type="dxa"/>
              <w:top w:w="15" w:type="dxa"/>
              <w:right w:w="15" w:type="dxa"/>
            </w:tcMar>
            <w:tcW w:w="614" w:type="dxa"/>
            <w:vAlign w:val="center"/>
            <w:textDirection w:val="lrTb"/>
            <w:noWrap w:val="false"/>
          </w:tcPr>
          <w:p>
            <w:pPr>
              <w:jc w:val="center"/>
              <w:spacing w:after="0" w:line="240" w:lineRule="auto"/>
              <w:widowControl/>
              <w:rPr>
                <w:rFonts w:ascii="宋体" w:hAnsi="宋体" w:cs="宋体"/>
                <w:color w:val="auto"/>
                <w:szCs w:val="21"/>
                <w:highlight w:val="none"/>
              </w:rPr>
            </w:pPr>
            <w:r>
              <w:rPr>
                <w:rFonts w:hint="eastAsia" w:ascii="宋体" w:hAnsi="宋体" w:cs="宋体"/>
                <w:color w:val="auto"/>
                <w:szCs w:val="21"/>
                <w:highlight w:val="none"/>
              </w:rPr>
              <w:t xml:space="preserve">9</w:t>
            </w:r>
            <w:r>
              <w:rPr>
                <w:color w:val="auto"/>
                <w:highlight w:val="none"/>
              </w:rPr>
            </w:r>
            <w:r/>
          </w:p>
        </w:tc>
        <w:tc>
          <w:tcPr>
            <w:tcMar>
              <w:left w:w="15" w:type="dxa"/>
              <w:top w:w="15" w:type="dxa"/>
              <w:right w:w="15" w:type="dxa"/>
            </w:tcMar>
            <w:tcW w:w="1281" w:type="dxa"/>
            <w:vAlign w:val="center"/>
            <w:textDirection w:val="lrTb"/>
            <w:noWrap w:val="false"/>
          </w:tcPr>
          <w:p>
            <w:pPr>
              <w:jc w:val="center"/>
              <w:spacing w:after="0" w:line="240" w:lineRule="auto"/>
              <w:widowControl/>
              <w:rPr>
                <w:rFonts w:ascii="宋体" w:hAnsi="宋体" w:cs="宋体"/>
                <w:color w:val="auto"/>
                <w:szCs w:val="21"/>
                <w:highlight w:val="none"/>
              </w:rPr>
            </w:pPr>
            <w:r>
              <w:rPr>
                <w:rFonts w:hint="eastAsia" w:ascii="宋体" w:hAnsi="宋体" w:cs="宋体"/>
                <w:color w:val="auto"/>
                <w:szCs w:val="21"/>
                <w:highlight w:val="none"/>
              </w:rPr>
              <w:t xml:space="preserve">智能双</w:t>
            </w:r>
            <w:r>
              <w:rPr>
                <w:rFonts w:hint="eastAsia" w:ascii="宋体" w:hAnsi="宋体" w:cs="宋体"/>
                <w:color w:val="auto"/>
                <w:szCs w:val="21"/>
                <w:highlight w:val="none"/>
              </w:rPr>
              <w:t xml:space="preserve">路烟气采样器</w:t>
            </w:r>
            <w:r>
              <w:rPr>
                <w:color w:val="auto"/>
                <w:highlight w:val="none"/>
              </w:rPr>
            </w:r>
            <w:r/>
          </w:p>
        </w:tc>
        <w:tc>
          <w:tcPr>
            <w:tcMar>
              <w:left w:w="15" w:type="dxa"/>
              <w:top w:w="15" w:type="dxa"/>
              <w:right w:w="15" w:type="dxa"/>
            </w:tcMar>
            <w:tcW w:w="7814" w:type="dxa"/>
            <w:vAlign w:val="center"/>
            <w:textDirection w:val="lrTb"/>
            <w:noWrap w:val="false"/>
          </w:tcPr>
          <w:p>
            <w:pPr>
              <w:jc w:val="left"/>
              <w:spacing w:after="0" w:line="240" w:lineRule="auto"/>
              <w:widowControl/>
              <w:rPr>
                <w:rFonts w:ascii="宋体" w:hAnsi="宋体" w:cs="宋体"/>
                <w:color w:val="auto"/>
                <w:highlight w:val="none"/>
              </w:rPr>
            </w:pPr>
            <w:r>
              <w:rPr>
                <w:rFonts w:hint="eastAsia" w:ascii="宋体" w:hAnsi="宋体" w:cs="宋体"/>
                <w:color w:val="auto"/>
                <w:highlight w:val="none"/>
              </w:rPr>
              <w:t xml:space="preserve">1、执行标准 </w:t>
            </w:r>
            <w:r>
              <w:rPr>
                <w:color w:val="auto"/>
                <w:highlight w:val="none"/>
              </w:rPr>
            </w:r>
            <w:r/>
          </w:p>
          <w:p>
            <w:pPr>
              <w:jc w:val="left"/>
              <w:spacing w:after="0" w:line="240" w:lineRule="auto"/>
              <w:widowControl/>
              <w:rPr>
                <w:rFonts w:ascii="宋体" w:hAnsi="宋体" w:cs="宋体"/>
                <w:color w:val="auto"/>
                <w:highlight w:val="none"/>
              </w:rPr>
            </w:pPr>
            <w:r>
              <w:rPr>
                <w:rFonts w:hint="eastAsia" w:ascii="宋体" w:hAnsi="宋体" w:cs="宋体"/>
                <w:color w:val="auto"/>
                <w:highlight w:val="none"/>
              </w:rPr>
              <w:t xml:space="preserve">1.1 GB/T16157-1996 固定污染源排气中</w:t>
            </w:r>
            <w:r>
              <w:rPr>
                <w:rFonts w:hint="eastAsia" w:ascii="宋体" w:hAnsi="宋体" w:cs="宋体"/>
                <w:color w:val="auto"/>
                <w:highlight w:val="none"/>
              </w:rPr>
              <w:t xml:space="preserve">颗粒物颗粒物</w:t>
            </w:r>
            <w:r>
              <w:rPr>
                <w:rFonts w:hint="eastAsia" w:ascii="宋体" w:hAnsi="宋体" w:cs="宋体"/>
                <w:color w:val="auto"/>
                <w:highlight w:val="none"/>
              </w:rPr>
              <w:t xml:space="preserve">的测定和气态污染物采样方法</w:t>
            </w:r>
            <w:r>
              <w:rPr>
                <w:color w:val="auto"/>
                <w:highlight w:val="none"/>
              </w:rPr>
            </w:r>
            <w:r/>
          </w:p>
          <w:p>
            <w:pPr>
              <w:jc w:val="left"/>
              <w:spacing w:after="0" w:line="240" w:lineRule="auto"/>
              <w:widowControl/>
              <w:rPr>
                <w:rFonts w:ascii="宋体" w:hAnsi="宋体" w:cs="宋体"/>
                <w:color w:val="auto"/>
                <w:highlight w:val="none"/>
              </w:rPr>
            </w:pPr>
            <w:r>
              <w:rPr>
                <w:rFonts w:hint="eastAsia" w:ascii="宋体" w:hAnsi="宋体" w:cs="宋体"/>
                <w:color w:val="auto"/>
                <w:highlight w:val="none"/>
              </w:rPr>
              <w:t xml:space="preserve">1.2 HJ/T 47-1999   《烟气采样器技术条件》</w:t>
            </w:r>
            <w:r>
              <w:rPr>
                <w:color w:val="auto"/>
                <w:highlight w:val="none"/>
              </w:rPr>
            </w:r>
            <w:r/>
          </w:p>
          <w:p>
            <w:pPr>
              <w:jc w:val="left"/>
              <w:spacing w:after="0" w:line="240" w:lineRule="auto"/>
              <w:widowControl/>
              <w:rPr>
                <w:rFonts w:ascii="宋体" w:hAnsi="宋体" w:cs="宋体"/>
                <w:color w:val="auto"/>
                <w:highlight w:val="none"/>
              </w:rPr>
            </w:pPr>
            <w:r>
              <w:rPr>
                <w:rFonts w:hint="eastAsia" w:ascii="宋体" w:hAnsi="宋体" w:cs="宋体"/>
                <w:color w:val="auto"/>
                <w:highlight w:val="none"/>
              </w:rPr>
              <w:t xml:space="preserve">1.3 HJ/T 397-2007  《固定源废气监测技术规范》</w:t>
            </w:r>
            <w:r>
              <w:rPr>
                <w:color w:val="auto"/>
                <w:highlight w:val="none"/>
              </w:rPr>
            </w:r>
            <w:r/>
          </w:p>
          <w:p>
            <w:pPr>
              <w:jc w:val="left"/>
              <w:spacing w:after="0" w:line="240" w:lineRule="auto"/>
              <w:widowControl/>
              <w:rPr>
                <w:rFonts w:ascii="宋体" w:hAnsi="宋体" w:cs="宋体"/>
                <w:color w:val="auto"/>
                <w:highlight w:val="none"/>
              </w:rPr>
            </w:pPr>
            <w:r>
              <w:rPr>
                <w:rFonts w:hint="eastAsia" w:ascii="宋体" w:hAnsi="宋体" w:cs="宋体"/>
                <w:color w:val="auto"/>
                <w:highlight w:val="none"/>
              </w:rPr>
              <w:t xml:space="preserve">2、性能要求 </w:t>
            </w:r>
            <w:r>
              <w:rPr>
                <w:color w:val="auto"/>
                <w:highlight w:val="none"/>
              </w:rPr>
            </w:r>
            <w:r/>
          </w:p>
          <w:p>
            <w:pPr>
              <w:jc w:val="left"/>
              <w:spacing w:after="0" w:line="240" w:lineRule="auto"/>
              <w:widowControl/>
              <w:rPr>
                <w:rFonts w:ascii="宋体" w:hAnsi="宋体" w:cs="宋体"/>
                <w:color w:val="auto"/>
                <w:highlight w:val="none"/>
              </w:rPr>
            </w:pPr>
            <w:r>
              <w:rPr>
                <w:rFonts w:hint="eastAsia" w:ascii="宋体" w:hAnsi="宋体" w:cs="宋体"/>
                <w:color w:val="auto"/>
                <w:highlight w:val="none"/>
              </w:rPr>
              <w:t xml:space="preserve">2.1溶液吸收法采集工业废气，可以测量烟气温度、流速、风量；</w:t>
            </w:r>
            <w:r>
              <w:rPr>
                <w:color w:val="auto"/>
                <w:highlight w:val="none"/>
              </w:rPr>
            </w:r>
            <w:r/>
          </w:p>
          <w:p>
            <w:pPr>
              <w:jc w:val="left"/>
              <w:spacing w:after="0" w:line="240" w:lineRule="auto"/>
              <w:widowControl/>
              <w:rPr>
                <w:rFonts w:ascii="宋体" w:hAnsi="宋体" w:cs="宋体"/>
                <w:color w:val="auto"/>
                <w:highlight w:val="none"/>
              </w:rPr>
            </w:pPr>
            <w:r>
              <w:rPr>
                <w:rFonts w:hint="eastAsia" w:ascii="宋体" w:hAnsi="宋体" w:cs="宋体"/>
                <w:color w:val="auto"/>
                <w:highlight w:val="none"/>
              </w:rPr>
              <w:t xml:space="preserve">★2.2内置充电锂电池，本身可以可给主机供电；同时主机具有24V直流电输出接口，可以直接给烟气加热采样管供电；低电量时自动报警，提醒用户及时切换电源。</w:t>
            </w:r>
            <w:r>
              <w:rPr>
                <w:color w:val="auto"/>
                <w:highlight w:val="none"/>
              </w:rPr>
            </w:r>
            <w:r/>
          </w:p>
          <w:p>
            <w:pPr>
              <w:jc w:val="left"/>
              <w:spacing w:after="0" w:line="240" w:lineRule="auto"/>
              <w:widowControl/>
              <w:rPr>
                <w:rFonts w:ascii="宋体" w:hAnsi="宋体" w:cs="宋体"/>
                <w:color w:val="auto"/>
                <w:highlight w:val="none"/>
              </w:rPr>
            </w:pPr>
            <w:r>
              <w:rPr>
                <w:rFonts w:hint="eastAsia" w:ascii="宋体" w:hAnsi="宋体" w:cs="宋体"/>
                <w:color w:val="auto"/>
                <w:highlight w:val="none"/>
              </w:rPr>
              <w:t xml:space="preserve">★2.3烟气多功能预处理器：烟气加热采样管与皮托管</w:t>
            </w:r>
            <w:r>
              <w:rPr>
                <w:rFonts w:hint="eastAsia" w:ascii="宋体" w:hAnsi="宋体" w:cs="宋体"/>
                <w:color w:val="auto"/>
                <w:highlight w:val="none"/>
              </w:rPr>
              <w:t xml:space="preserve">一</w:t>
            </w:r>
            <w:r>
              <w:rPr>
                <w:rFonts w:hint="eastAsia" w:ascii="宋体" w:hAnsi="宋体" w:cs="宋体"/>
                <w:color w:val="auto"/>
                <w:highlight w:val="none"/>
              </w:rPr>
              <w:t xml:space="preserve">体式设计，用于对烟道内的烟气进行滤尘、加热处理，以及采样。</w:t>
            </w:r>
            <w:r>
              <w:rPr>
                <w:color w:val="auto"/>
                <w:highlight w:val="none"/>
              </w:rPr>
            </w:r>
            <w:r/>
          </w:p>
          <w:p>
            <w:pPr>
              <w:jc w:val="left"/>
              <w:spacing w:after="0" w:line="240" w:lineRule="auto"/>
              <w:widowControl/>
              <w:rPr>
                <w:rFonts w:ascii="宋体" w:hAnsi="宋体" w:cs="宋体"/>
                <w:color w:val="auto"/>
                <w:highlight w:val="none"/>
              </w:rPr>
            </w:pPr>
            <w:r>
              <w:rPr>
                <w:rFonts w:hint="eastAsia" w:ascii="宋体" w:hAnsi="宋体" w:cs="宋体"/>
                <w:color w:val="auto"/>
                <w:highlight w:val="none"/>
              </w:rPr>
              <w:t xml:space="preserve">2.4配有</w:t>
            </w:r>
            <w:r>
              <w:rPr>
                <w:rFonts w:hint="eastAsia" w:ascii="宋体" w:hAnsi="宋体" w:cs="宋体"/>
                <w:color w:val="auto"/>
                <w:highlight w:val="none"/>
              </w:rPr>
              <w:t xml:space="preserve">阻容法含湿量</w:t>
            </w:r>
            <w:r>
              <w:rPr>
                <w:rFonts w:hint="eastAsia" w:ascii="宋体" w:hAnsi="宋体" w:cs="宋体"/>
                <w:color w:val="auto"/>
                <w:highlight w:val="none"/>
              </w:rPr>
              <w:t xml:space="preserve">检测器接口，可以与</w:t>
            </w:r>
            <w:r>
              <w:rPr>
                <w:rFonts w:hint="eastAsia" w:ascii="宋体" w:hAnsi="宋体" w:cs="宋体"/>
                <w:color w:val="auto"/>
                <w:highlight w:val="none"/>
              </w:rPr>
              <w:t xml:space="preserve">阻容法含湿量</w:t>
            </w:r>
            <w:r>
              <w:rPr>
                <w:rFonts w:hint="eastAsia" w:ascii="宋体" w:hAnsi="宋体" w:cs="宋体"/>
                <w:color w:val="auto"/>
                <w:highlight w:val="none"/>
              </w:rPr>
              <w:t xml:space="preserve">检测器连接，测量烟气含湿量参数。</w:t>
            </w:r>
            <w:r>
              <w:rPr>
                <w:color w:val="auto"/>
                <w:highlight w:val="none"/>
              </w:rPr>
            </w:r>
            <w:r/>
          </w:p>
          <w:p>
            <w:pPr>
              <w:jc w:val="left"/>
              <w:spacing w:after="0" w:line="240" w:lineRule="auto"/>
              <w:widowControl/>
              <w:rPr>
                <w:rFonts w:ascii="宋体" w:hAnsi="宋体" w:cs="宋体"/>
                <w:color w:val="auto"/>
                <w:highlight w:val="none"/>
              </w:rPr>
            </w:pPr>
            <w:r>
              <w:rPr>
                <w:rFonts w:hint="eastAsia" w:ascii="宋体" w:hAnsi="宋体" w:cs="宋体"/>
                <w:color w:val="auto"/>
                <w:highlight w:val="none"/>
              </w:rPr>
              <w:t xml:space="preserve">★2.5采用优质电机，无刷容积式</w:t>
            </w:r>
            <w:r>
              <w:rPr>
                <w:rFonts w:hint="eastAsia" w:ascii="宋体" w:hAnsi="宋体" w:cs="宋体"/>
                <w:color w:val="auto"/>
                <w:highlight w:val="none"/>
              </w:rPr>
              <w:t xml:space="preserve">旋片泵</w:t>
            </w:r>
            <w:r>
              <w:rPr>
                <w:rFonts w:hint="eastAsia" w:ascii="宋体" w:hAnsi="宋体" w:cs="宋体"/>
                <w:color w:val="auto"/>
                <w:highlight w:val="none"/>
              </w:rPr>
              <w:t xml:space="preserve">。</w:t>
            </w:r>
            <w:r>
              <w:rPr>
                <w:color w:val="auto"/>
                <w:highlight w:val="none"/>
              </w:rPr>
            </w:r>
            <w:r/>
          </w:p>
          <w:p>
            <w:pPr>
              <w:jc w:val="left"/>
              <w:spacing w:after="0" w:line="240" w:lineRule="auto"/>
              <w:widowControl/>
              <w:rPr>
                <w:rFonts w:ascii="宋体" w:hAnsi="宋体" w:cs="宋体"/>
                <w:color w:val="auto"/>
                <w:highlight w:val="none"/>
              </w:rPr>
            </w:pPr>
            <w:r>
              <w:rPr>
                <w:rFonts w:hint="eastAsia" w:ascii="宋体" w:hAnsi="宋体" w:cs="宋体"/>
                <w:color w:val="auto"/>
                <w:highlight w:val="none"/>
              </w:rPr>
              <w:t xml:space="preserve">2.6高精度电子流量计控制，实时监测计温、计压，自动调节流量。</w:t>
            </w:r>
            <w:r>
              <w:rPr>
                <w:color w:val="auto"/>
                <w:highlight w:val="none"/>
              </w:rPr>
            </w:r>
            <w:r/>
          </w:p>
          <w:p>
            <w:pPr>
              <w:jc w:val="left"/>
              <w:spacing w:after="0" w:line="240" w:lineRule="auto"/>
              <w:widowControl/>
              <w:rPr>
                <w:rFonts w:ascii="宋体" w:hAnsi="宋体" w:cs="宋体"/>
                <w:color w:val="auto"/>
                <w:highlight w:val="none"/>
              </w:rPr>
            </w:pPr>
            <w:r>
              <w:rPr>
                <w:rFonts w:hint="eastAsia" w:ascii="宋体" w:hAnsi="宋体" w:cs="宋体"/>
                <w:color w:val="auto"/>
                <w:highlight w:val="none"/>
              </w:rPr>
              <w:t xml:space="preserve">2.7多重采样模式，双路采样流量、开始时刻、采样时间可分别控制。</w:t>
            </w:r>
            <w:r>
              <w:rPr>
                <w:color w:val="auto"/>
                <w:highlight w:val="none"/>
              </w:rPr>
            </w:r>
            <w:r/>
          </w:p>
          <w:p>
            <w:pPr>
              <w:jc w:val="left"/>
              <w:spacing w:after="0" w:line="240" w:lineRule="auto"/>
              <w:widowControl/>
              <w:rPr>
                <w:rFonts w:ascii="宋体" w:hAnsi="宋体" w:cs="宋体"/>
                <w:color w:val="auto"/>
                <w:highlight w:val="none"/>
              </w:rPr>
            </w:pPr>
            <w:r>
              <w:rPr>
                <w:rFonts w:hint="eastAsia" w:ascii="宋体" w:hAnsi="宋体" w:cs="宋体"/>
                <w:color w:val="auto"/>
                <w:highlight w:val="none"/>
              </w:rPr>
              <w:t xml:space="preserve">2.8自动累计采样体积，根据大气压、温度自动换算标</w:t>
            </w:r>
            <w:r>
              <w:rPr>
                <w:rFonts w:hint="eastAsia" w:ascii="宋体" w:hAnsi="宋体" w:cs="宋体"/>
                <w:color w:val="auto"/>
                <w:highlight w:val="none"/>
              </w:rPr>
              <w:t xml:space="preserve">况</w:t>
            </w:r>
            <w:r>
              <w:rPr>
                <w:rFonts w:hint="eastAsia" w:ascii="宋体" w:hAnsi="宋体" w:cs="宋体"/>
                <w:color w:val="auto"/>
                <w:highlight w:val="none"/>
              </w:rPr>
              <w:t xml:space="preserve">采样体积。</w:t>
            </w:r>
            <w:r>
              <w:rPr>
                <w:color w:val="auto"/>
                <w:highlight w:val="none"/>
              </w:rPr>
            </w:r>
            <w:r/>
          </w:p>
          <w:p>
            <w:pPr>
              <w:jc w:val="left"/>
              <w:spacing w:after="0" w:line="240" w:lineRule="auto"/>
              <w:widowControl/>
              <w:rPr>
                <w:rFonts w:ascii="宋体" w:hAnsi="宋体" w:cs="宋体"/>
                <w:color w:val="auto"/>
                <w:highlight w:val="none"/>
              </w:rPr>
            </w:pPr>
            <w:r>
              <w:rPr>
                <w:rFonts w:hint="eastAsia" w:ascii="宋体" w:hAnsi="宋体" w:cs="宋体"/>
                <w:color w:val="auto"/>
                <w:highlight w:val="none"/>
              </w:rPr>
              <w:t xml:space="preserve">2.9采样过程中停电，自动记忆保存运行采样数据，来电自动恢复停电时的采样。</w:t>
            </w:r>
            <w:r>
              <w:rPr>
                <w:color w:val="auto"/>
                <w:highlight w:val="none"/>
              </w:rPr>
            </w:r>
            <w:r/>
          </w:p>
          <w:p>
            <w:pPr>
              <w:jc w:val="left"/>
              <w:spacing w:after="0" w:line="240" w:lineRule="auto"/>
              <w:widowControl/>
              <w:rPr>
                <w:rFonts w:ascii="宋体" w:hAnsi="宋体" w:cs="宋体"/>
                <w:color w:val="auto"/>
                <w:highlight w:val="none"/>
              </w:rPr>
            </w:pPr>
            <w:r>
              <w:rPr>
                <w:rFonts w:hint="eastAsia" w:ascii="宋体" w:hAnsi="宋体" w:cs="宋体"/>
                <w:color w:val="auto"/>
                <w:highlight w:val="none"/>
              </w:rPr>
              <w:t xml:space="preserve">2.10</w:t>
            </w:r>
            <w:r>
              <w:rPr>
                <w:rFonts w:hint="eastAsia" w:ascii="宋体" w:hAnsi="宋体" w:cs="宋体"/>
                <w:color w:val="auto"/>
                <w:highlight w:val="none"/>
              </w:rPr>
              <w:t xml:space="preserve">宽温型</w:t>
            </w:r>
            <w:r>
              <w:rPr>
                <w:rFonts w:hint="eastAsia" w:ascii="宋体" w:hAnsi="宋体" w:cs="宋体"/>
                <w:color w:val="auto"/>
                <w:highlight w:val="none"/>
              </w:rPr>
              <w:t xml:space="preserve">显示屏，适用于户外低温、低暗环境下使用。</w:t>
            </w:r>
            <w:r>
              <w:rPr>
                <w:color w:val="auto"/>
                <w:highlight w:val="none"/>
              </w:rPr>
            </w:r>
            <w:r/>
          </w:p>
          <w:p>
            <w:pPr>
              <w:jc w:val="left"/>
              <w:spacing w:after="0" w:line="240" w:lineRule="auto"/>
              <w:widowControl/>
              <w:rPr>
                <w:rFonts w:ascii="宋体" w:hAnsi="宋体" w:cs="宋体"/>
                <w:color w:val="auto"/>
                <w:highlight w:val="none"/>
              </w:rPr>
            </w:pPr>
            <w:r>
              <w:rPr>
                <w:rFonts w:hint="eastAsia" w:ascii="宋体" w:hAnsi="宋体" w:cs="宋体"/>
                <w:color w:val="auto"/>
                <w:highlight w:val="none"/>
              </w:rPr>
              <w:t xml:space="preserve">2.11内置电子标签，实现仪器出入库等智能化维护管理。</w:t>
            </w:r>
            <w:r>
              <w:rPr>
                <w:color w:val="auto"/>
                <w:highlight w:val="none"/>
              </w:rPr>
            </w:r>
            <w:r/>
          </w:p>
          <w:p>
            <w:pPr>
              <w:jc w:val="left"/>
              <w:spacing w:after="0" w:line="240" w:lineRule="auto"/>
              <w:widowControl/>
              <w:rPr>
                <w:rFonts w:ascii="宋体" w:hAnsi="宋体" w:cs="宋体"/>
                <w:color w:val="auto"/>
                <w:highlight w:val="none"/>
              </w:rPr>
            </w:pPr>
            <w:r>
              <w:rPr>
                <w:rFonts w:hint="eastAsia" w:ascii="宋体" w:hAnsi="宋体" w:cs="宋体"/>
                <w:color w:val="auto"/>
                <w:highlight w:val="none"/>
              </w:rPr>
              <w:t xml:space="preserve">3、 技术指标 </w:t>
            </w:r>
            <w:r>
              <w:rPr>
                <w:color w:val="auto"/>
                <w:highlight w:val="none"/>
              </w:rPr>
            </w:r>
            <w:r/>
          </w:p>
          <w:tbl>
            <w:tblPr>
              <w:tblW w:w="7335" w:type="dxa"/>
              <w:tblInd w:w="22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85"/>
              <w:gridCol w:w="2535"/>
              <w:gridCol w:w="1200"/>
              <w:gridCol w:w="2415"/>
            </w:tblGrid>
            <w:tr>
              <w:trPr>
                <w:trHeight w:val="340"/>
              </w:trPr>
              <w:tc>
                <w:tcPr>
                  <w:shd w:val="clear" w:color="auto" w:fill="ffffff"/>
                  <w:tcBorders>
                    <w:right w:val="single" w:color="auto" w:sz="4" w:space="0"/>
                  </w:tcBorders>
                  <w:tcW w:w="1185" w:type="dxa"/>
                  <w:vAlign w:val="center"/>
                  <w:textDirection w:val="lrTb"/>
                  <w:noWrap w:val="false"/>
                </w:tcPr>
                <w:p>
                  <w:pPr>
                    <w:spacing w:after="0" w:line="240" w:lineRule="auto"/>
                    <w:widowControl/>
                    <w:rPr>
                      <w:rFonts w:ascii="宋体" w:hAnsi="宋体" w:cs="宋体"/>
                      <w:color w:val="auto"/>
                      <w:szCs w:val="21"/>
                      <w:highlight w:val="none"/>
                    </w:rPr>
                  </w:pPr>
                  <w:r>
                    <w:rPr>
                      <w:rFonts w:hint="eastAsia" w:ascii="宋体" w:hAnsi="宋体" w:cs="宋体"/>
                      <w:color w:val="auto"/>
                      <w:szCs w:val="21"/>
                      <w:highlight w:val="none"/>
                      <w:lang w:eastAsia="en-US" w:bidi="en-US"/>
                    </w:rPr>
                    <w:t xml:space="preserve">主要参数</w:t>
                  </w:r>
                  <w:r>
                    <w:rPr>
                      <w:color w:val="auto"/>
                      <w:highlight w:val="none"/>
                    </w:rPr>
                  </w:r>
                  <w:r/>
                </w:p>
              </w:tc>
              <w:tc>
                <w:tcPr>
                  <w:shd w:val="clear" w:color="auto" w:fill="ffffff"/>
                  <w:tcBorders>
                    <w:left w:val="single" w:color="auto" w:sz="4" w:space="0"/>
                    <w:right w:val="single" w:color="auto" w:sz="4" w:space="0"/>
                  </w:tcBorders>
                  <w:tcW w:w="2535" w:type="dxa"/>
                  <w:vAlign w:val="center"/>
                  <w:textDirection w:val="lrTb"/>
                  <w:noWrap w:val="false"/>
                </w:tcPr>
                <w:p>
                  <w:pPr>
                    <w:spacing w:after="0" w:line="240" w:lineRule="auto"/>
                    <w:widowControl/>
                    <w:rPr>
                      <w:rFonts w:ascii="宋体" w:hAnsi="宋体" w:cs="宋体"/>
                      <w:color w:val="auto"/>
                      <w:szCs w:val="21"/>
                      <w:highlight w:val="none"/>
                    </w:rPr>
                  </w:pPr>
                  <w:r>
                    <w:rPr>
                      <w:rFonts w:hint="eastAsia" w:ascii="宋体" w:hAnsi="宋体" w:cs="宋体"/>
                      <w:color w:val="auto"/>
                      <w:szCs w:val="21"/>
                      <w:highlight w:val="none"/>
                      <w:lang w:eastAsia="en-US" w:bidi="en-US"/>
                    </w:rPr>
                    <w:t xml:space="preserve">参数范围</w:t>
                  </w:r>
                  <w:r>
                    <w:rPr>
                      <w:color w:val="auto"/>
                      <w:highlight w:val="none"/>
                    </w:rPr>
                  </w:r>
                  <w:r/>
                </w:p>
              </w:tc>
              <w:tc>
                <w:tcPr>
                  <w:shd w:val="clear" w:color="auto" w:fill="ffffff"/>
                  <w:tcBorders>
                    <w:left w:val="single" w:color="auto" w:sz="4" w:space="0"/>
                    <w:right w:val="single" w:color="auto" w:sz="4" w:space="0"/>
                  </w:tcBorders>
                  <w:tcW w:w="1200" w:type="dxa"/>
                  <w:vAlign w:val="center"/>
                  <w:textDirection w:val="lrTb"/>
                  <w:noWrap w:val="false"/>
                </w:tcPr>
                <w:p>
                  <w:pPr>
                    <w:spacing w:after="0" w:line="240" w:lineRule="auto"/>
                    <w:widowControl/>
                    <w:rPr>
                      <w:rFonts w:ascii="宋体" w:hAnsi="宋体" w:cs="宋体"/>
                      <w:color w:val="auto"/>
                      <w:szCs w:val="21"/>
                      <w:highlight w:val="none"/>
                    </w:rPr>
                  </w:pPr>
                  <w:r>
                    <w:rPr>
                      <w:rFonts w:hint="eastAsia" w:ascii="宋体" w:hAnsi="宋体" w:cs="宋体"/>
                      <w:color w:val="auto"/>
                      <w:szCs w:val="21"/>
                      <w:highlight w:val="none"/>
                      <w:lang w:eastAsia="en-US" w:bidi="en-US"/>
                    </w:rPr>
                    <w:t xml:space="preserve">分辨率</w:t>
                  </w:r>
                  <w:r>
                    <w:rPr>
                      <w:color w:val="auto"/>
                      <w:highlight w:val="none"/>
                    </w:rPr>
                  </w:r>
                  <w:r/>
                </w:p>
              </w:tc>
              <w:tc>
                <w:tcPr>
                  <w:shd w:val="clear" w:color="auto" w:fill="ffffff"/>
                  <w:tcBorders>
                    <w:left w:val="single" w:color="auto" w:sz="4" w:space="0"/>
                    <w:right w:val="single" w:color="auto" w:sz="4" w:space="0"/>
                  </w:tcBorders>
                  <w:tcW w:w="2415" w:type="dxa"/>
                  <w:vAlign w:val="center"/>
                  <w:textDirection w:val="lrTb"/>
                  <w:noWrap w:val="false"/>
                </w:tcPr>
                <w:p>
                  <w:pPr>
                    <w:spacing w:after="0" w:line="240" w:lineRule="auto"/>
                    <w:widowControl/>
                    <w:rPr>
                      <w:rFonts w:ascii="宋体" w:hAnsi="宋体" w:cs="宋体"/>
                      <w:color w:val="auto"/>
                      <w:szCs w:val="21"/>
                      <w:highlight w:val="none"/>
                    </w:rPr>
                  </w:pPr>
                  <w:r>
                    <w:rPr>
                      <w:rFonts w:hint="eastAsia" w:ascii="宋体" w:hAnsi="宋体" w:cs="宋体"/>
                      <w:color w:val="auto"/>
                      <w:szCs w:val="21"/>
                      <w:highlight w:val="none"/>
                      <w:lang w:eastAsia="en-US" w:bidi="en-US"/>
                    </w:rPr>
                    <w:t xml:space="preserve">准确度</w:t>
                  </w:r>
                  <w:r>
                    <w:rPr>
                      <w:color w:val="auto"/>
                      <w:highlight w:val="none"/>
                    </w:rPr>
                  </w:r>
                  <w:r/>
                </w:p>
              </w:tc>
            </w:tr>
            <w:tr>
              <w:trPr>
                <w:trHeight w:val="340"/>
              </w:trPr>
              <w:tc>
                <w:tcPr>
                  <w:tcBorders>
                    <w:right w:val="single" w:color="auto" w:sz="4" w:space="0"/>
                  </w:tcBorders>
                  <w:tcW w:w="1185" w:type="dxa"/>
                  <w:vAlign w:val="center"/>
                  <w:textDirection w:val="lrTb"/>
                  <w:noWrap w:val="false"/>
                </w:tcPr>
                <w:p>
                  <w:pPr>
                    <w:spacing w:after="0" w:line="240" w:lineRule="auto"/>
                    <w:widowControl/>
                    <w:rPr>
                      <w:rFonts w:ascii="宋体" w:hAnsi="宋体" w:cs="宋体"/>
                      <w:color w:val="auto"/>
                      <w:szCs w:val="21"/>
                      <w:highlight w:val="none"/>
                    </w:rPr>
                  </w:pPr>
                  <w:r>
                    <w:rPr>
                      <w:rFonts w:hint="eastAsia" w:ascii="宋体" w:hAnsi="宋体" w:cs="宋体"/>
                      <w:color w:val="auto"/>
                      <w:szCs w:val="21"/>
                      <w:highlight w:val="none"/>
                      <w:lang w:eastAsia="en-US" w:bidi="en-US"/>
                    </w:rPr>
                    <w:t xml:space="preserve">双路采样流量</w:t>
                  </w:r>
                  <w:r>
                    <w:rPr>
                      <w:color w:val="auto"/>
                      <w:highlight w:val="none"/>
                    </w:rPr>
                  </w:r>
                  <w:r/>
                </w:p>
              </w:tc>
              <w:tc>
                <w:tcPr>
                  <w:tcBorders>
                    <w:left w:val="single" w:color="auto" w:sz="4" w:space="0"/>
                    <w:right w:val="single" w:color="auto" w:sz="4" w:space="0"/>
                  </w:tcBorders>
                  <w:tcW w:w="2535" w:type="dxa"/>
                  <w:vAlign w:val="center"/>
                  <w:textDirection w:val="lrTb"/>
                  <w:noWrap w:val="false"/>
                </w:tcPr>
                <w:p>
                  <w:pPr>
                    <w:spacing w:after="0" w:line="240" w:lineRule="auto"/>
                    <w:widowControl/>
                    <w:rPr>
                      <w:rFonts w:ascii="宋体" w:hAnsi="宋体" w:cs="宋体"/>
                      <w:color w:val="auto"/>
                      <w:szCs w:val="21"/>
                      <w:highlight w:val="none"/>
                    </w:rPr>
                  </w:pPr>
                  <w:r>
                    <w:rPr>
                      <w:rFonts w:hint="eastAsia" w:ascii="宋体" w:hAnsi="宋体" w:cs="宋体"/>
                      <w:color w:val="auto"/>
                      <w:szCs w:val="21"/>
                      <w:highlight w:val="none"/>
                      <w:lang w:eastAsia="en-US" w:bidi="en-US"/>
                    </w:rPr>
                    <w:t xml:space="preserve">(0.2 ～1.5)L/min</w:t>
                  </w:r>
                  <w:r>
                    <w:rPr>
                      <w:color w:val="auto"/>
                      <w:highlight w:val="none"/>
                    </w:rPr>
                  </w:r>
                  <w:r/>
                </w:p>
              </w:tc>
              <w:tc>
                <w:tcPr>
                  <w:tcBorders>
                    <w:left w:val="single" w:color="auto" w:sz="4" w:space="0"/>
                    <w:right w:val="single" w:color="auto" w:sz="4" w:space="0"/>
                  </w:tcBorders>
                  <w:tcW w:w="1200" w:type="dxa"/>
                  <w:vAlign w:val="center"/>
                  <w:textDirection w:val="lrTb"/>
                  <w:noWrap w:val="false"/>
                </w:tcPr>
                <w:p>
                  <w:pPr>
                    <w:spacing w:after="0" w:line="240" w:lineRule="auto"/>
                    <w:widowControl/>
                    <w:rPr>
                      <w:rFonts w:ascii="宋体" w:hAnsi="宋体" w:cs="宋体"/>
                      <w:color w:val="auto"/>
                      <w:szCs w:val="21"/>
                      <w:highlight w:val="none"/>
                    </w:rPr>
                  </w:pPr>
                  <w:r>
                    <w:rPr>
                      <w:rFonts w:hint="eastAsia" w:ascii="宋体" w:hAnsi="宋体" w:cs="宋体"/>
                      <w:color w:val="auto"/>
                      <w:szCs w:val="21"/>
                      <w:highlight w:val="none"/>
                      <w:lang w:eastAsia="en-US" w:bidi="en-US"/>
                    </w:rPr>
                    <w:t xml:space="preserve">0.01L/min</w:t>
                  </w:r>
                  <w:r>
                    <w:rPr>
                      <w:color w:val="auto"/>
                      <w:highlight w:val="none"/>
                    </w:rPr>
                  </w:r>
                  <w:r/>
                </w:p>
              </w:tc>
              <w:tc>
                <w:tcPr>
                  <w:tcBorders>
                    <w:left w:val="single" w:color="auto" w:sz="4" w:space="0"/>
                    <w:right w:val="single" w:color="auto" w:sz="4" w:space="0"/>
                  </w:tcBorders>
                  <w:tcW w:w="2415" w:type="dxa"/>
                  <w:vAlign w:val="center"/>
                  <w:textDirection w:val="lrTb"/>
                  <w:noWrap w:val="false"/>
                </w:tcPr>
                <w:p>
                  <w:pPr>
                    <w:spacing w:after="0" w:line="240" w:lineRule="auto"/>
                    <w:widowControl/>
                    <w:rPr>
                      <w:rFonts w:ascii="宋体" w:hAnsi="宋体" w:cs="宋体"/>
                      <w:color w:val="auto"/>
                      <w:szCs w:val="21"/>
                      <w:highlight w:val="none"/>
                    </w:rPr>
                  </w:pPr>
                  <w:r>
                    <w:rPr>
                      <w:rFonts w:hint="eastAsia" w:ascii="宋体" w:hAnsi="宋体" w:cs="宋体"/>
                      <w:color w:val="auto"/>
                      <w:szCs w:val="21"/>
                      <w:highlight w:val="none"/>
                      <w:lang w:bidi="en-US"/>
                    </w:rPr>
                    <w:t xml:space="preserve">优于±2.5%</w:t>
                  </w:r>
                  <w:r>
                    <w:rPr>
                      <w:color w:val="auto"/>
                      <w:highlight w:val="none"/>
                    </w:rPr>
                  </w:r>
                  <w:r/>
                </w:p>
                <w:p>
                  <w:pPr>
                    <w:spacing w:after="0" w:line="240" w:lineRule="auto"/>
                    <w:widowControl/>
                    <w:rPr>
                      <w:rFonts w:ascii="宋体" w:hAnsi="宋体" w:cs="宋体"/>
                      <w:color w:val="auto"/>
                      <w:szCs w:val="21"/>
                      <w:highlight w:val="none"/>
                    </w:rPr>
                  </w:pPr>
                  <w:r>
                    <w:rPr>
                      <w:rFonts w:hint="eastAsia" w:ascii="宋体" w:hAnsi="宋体" w:cs="宋体"/>
                      <w:color w:val="auto"/>
                      <w:szCs w:val="21"/>
                      <w:highlight w:val="none"/>
                      <w:lang w:bidi="en-US"/>
                    </w:rPr>
                    <w:t xml:space="preserve">流量稳定性≤±5.0%</w:t>
                  </w:r>
                  <w:r>
                    <w:rPr>
                      <w:color w:val="auto"/>
                      <w:highlight w:val="none"/>
                    </w:rPr>
                  </w:r>
                  <w:r/>
                </w:p>
                <w:p>
                  <w:pPr>
                    <w:spacing w:after="0" w:line="240" w:lineRule="auto"/>
                    <w:widowControl/>
                    <w:rPr>
                      <w:rFonts w:ascii="宋体" w:hAnsi="宋体" w:cs="宋体"/>
                      <w:color w:val="auto"/>
                      <w:szCs w:val="21"/>
                      <w:highlight w:val="none"/>
                    </w:rPr>
                  </w:pPr>
                  <w:r>
                    <w:rPr>
                      <w:rFonts w:hint="eastAsia" w:ascii="宋体" w:hAnsi="宋体" w:cs="宋体"/>
                      <w:color w:val="auto"/>
                      <w:szCs w:val="21"/>
                      <w:highlight w:val="none"/>
                      <w:lang w:bidi="en-US"/>
                    </w:rPr>
                    <w:t xml:space="preserve">流量重复性≤2.0%</w:t>
                  </w:r>
                  <w:r>
                    <w:rPr>
                      <w:color w:val="auto"/>
                      <w:highlight w:val="none"/>
                    </w:rPr>
                  </w:r>
                  <w:r/>
                </w:p>
              </w:tc>
            </w:tr>
            <w:tr>
              <w:trPr>
                <w:trHeight w:val="340"/>
              </w:trPr>
              <w:tc>
                <w:tcPr>
                  <w:tcBorders>
                    <w:right w:val="single" w:color="auto" w:sz="4" w:space="0"/>
                  </w:tcBorders>
                  <w:tcW w:w="1185" w:type="dxa"/>
                  <w:vAlign w:val="center"/>
                  <w:textDirection w:val="lrTb"/>
                  <w:noWrap w:val="false"/>
                </w:tcPr>
                <w:p>
                  <w:pPr>
                    <w:spacing w:after="0" w:line="240" w:lineRule="auto"/>
                    <w:widowControl/>
                    <w:rPr>
                      <w:rFonts w:ascii="宋体" w:hAnsi="宋体" w:cs="宋体"/>
                      <w:color w:val="auto"/>
                      <w:szCs w:val="21"/>
                      <w:highlight w:val="none"/>
                    </w:rPr>
                  </w:pPr>
                  <w:r>
                    <w:rPr>
                      <w:rFonts w:hint="eastAsia" w:ascii="宋体" w:hAnsi="宋体" w:cs="宋体"/>
                      <w:color w:val="auto"/>
                      <w:szCs w:val="21"/>
                      <w:highlight w:val="none"/>
                      <w:lang w:bidi="en-US"/>
                    </w:rPr>
                    <w:t xml:space="preserve">采样时间</w:t>
                  </w:r>
                  <w:r>
                    <w:rPr>
                      <w:color w:val="auto"/>
                      <w:highlight w:val="none"/>
                    </w:rPr>
                  </w:r>
                  <w:r/>
                </w:p>
              </w:tc>
              <w:tc>
                <w:tcPr>
                  <w:tcBorders>
                    <w:left w:val="single" w:color="auto" w:sz="4" w:space="0"/>
                    <w:right w:val="single" w:color="auto" w:sz="4" w:space="0"/>
                  </w:tcBorders>
                  <w:tcW w:w="2535" w:type="dxa"/>
                  <w:vAlign w:val="center"/>
                  <w:textDirection w:val="lrTb"/>
                  <w:noWrap w:val="false"/>
                </w:tcPr>
                <w:p>
                  <w:pPr>
                    <w:spacing w:after="0" w:line="240" w:lineRule="auto"/>
                    <w:widowControl/>
                    <w:rPr>
                      <w:rFonts w:ascii="宋体" w:hAnsi="宋体" w:cs="宋体"/>
                      <w:color w:val="auto"/>
                      <w:szCs w:val="21"/>
                      <w:highlight w:val="none"/>
                    </w:rPr>
                  </w:pPr>
                  <w:r>
                    <w:rPr>
                      <w:rFonts w:hint="eastAsia" w:ascii="宋体" w:hAnsi="宋体" w:cs="宋体"/>
                      <w:color w:val="auto"/>
                      <w:szCs w:val="21"/>
                      <w:highlight w:val="none"/>
                      <w:lang w:bidi="en-US"/>
                    </w:rPr>
                    <w:t xml:space="preserve">99小时59分内任意设置</w:t>
                  </w:r>
                  <w:r>
                    <w:rPr>
                      <w:color w:val="auto"/>
                      <w:highlight w:val="none"/>
                    </w:rPr>
                  </w:r>
                  <w:r/>
                </w:p>
              </w:tc>
              <w:tc>
                <w:tcPr>
                  <w:tcBorders>
                    <w:left w:val="single" w:color="auto" w:sz="4" w:space="0"/>
                    <w:right w:val="single" w:color="auto" w:sz="4" w:space="0"/>
                  </w:tcBorders>
                  <w:tcW w:w="1200" w:type="dxa"/>
                  <w:vAlign w:val="center"/>
                  <w:textDirection w:val="lrTb"/>
                  <w:noWrap w:val="false"/>
                </w:tcPr>
                <w:p>
                  <w:pPr>
                    <w:spacing w:after="0" w:line="240" w:lineRule="auto"/>
                    <w:widowControl/>
                    <w:rPr>
                      <w:rFonts w:ascii="宋体" w:hAnsi="宋体" w:cs="宋体"/>
                      <w:color w:val="auto"/>
                      <w:szCs w:val="21"/>
                      <w:highlight w:val="none"/>
                    </w:rPr>
                  </w:pPr>
                  <w:r>
                    <w:rPr>
                      <w:rFonts w:hint="eastAsia" w:ascii="宋体" w:hAnsi="宋体" w:cs="宋体"/>
                      <w:color w:val="auto"/>
                      <w:szCs w:val="21"/>
                      <w:highlight w:val="none"/>
                      <w:lang w:bidi="en-US"/>
                    </w:rPr>
                    <w:t xml:space="preserve">1min</w:t>
                  </w:r>
                  <w:r>
                    <w:rPr>
                      <w:color w:val="auto"/>
                      <w:highlight w:val="none"/>
                    </w:rPr>
                  </w:r>
                  <w:r/>
                </w:p>
              </w:tc>
              <w:tc>
                <w:tcPr>
                  <w:tcBorders>
                    <w:left w:val="single" w:color="auto" w:sz="4" w:space="0"/>
                    <w:right w:val="single" w:color="auto" w:sz="4" w:space="0"/>
                  </w:tcBorders>
                  <w:tcW w:w="2415" w:type="dxa"/>
                  <w:vAlign w:val="center"/>
                  <w:textDirection w:val="lrTb"/>
                  <w:noWrap w:val="false"/>
                </w:tcPr>
                <w:p>
                  <w:pPr>
                    <w:spacing w:after="0" w:line="240" w:lineRule="auto"/>
                    <w:widowControl/>
                    <w:rPr>
                      <w:rFonts w:ascii="宋体" w:hAnsi="宋体" w:cs="宋体"/>
                      <w:color w:val="auto"/>
                      <w:szCs w:val="21"/>
                      <w:highlight w:val="none"/>
                    </w:rPr>
                  </w:pPr>
                  <w:r>
                    <w:rPr>
                      <w:rFonts w:hint="eastAsia" w:ascii="宋体" w:hAnsi="宋体" w:cs="宋体"/>
                      <w:color w:val="auto"/>
                      <w:szCs w:val="21"/>
                      <w:highlight w:val="none"/>
                      <w:lang w:bidi="en-US"/>
                    </w:rPr>
                    <w:t xml:space="preserve">优于±0.1%</w:t>
                  </w:r>
                  <w:r>
                    <w:rPr>
                      <w:color w:val="auto"/>
                      <w:highlight w:val="none"/>
                    </w:rPr>
                  </w:r>
                  <w:r/>
                </w:p>
              </w:tc>
            </w:tr>
            <w:tr>
              <w:trPr>
                <w:trHeight w:val="340"/>
              </w:trPr>
              <w:tc>
                <w:tcPr>
                  <w:tcBorders>
                    <w:right w:val="single" w:color="auto" w:sz="4" w:space="0"/>
                  </w:tcBorders>
                  <w:tcW w:w="1185" w:type="dxa"/>
                  <w:vAlign w:val="center"/>
                  <w:textDirection w:val="lrTb"/>
                  <w:noWrap w:val="false"/>
                </w:tcPr>
                <w:p>
                  <w:pPr>
                    <w:spacing w:after="0" w:line="240" w:lineRule="auto"/>
                    <w:widowControl/>
                    <w:rPr>
                      <w:rFonts w:ascii="宋体" w:hAnsi="宋体" w:cs="宋体"/>
                      <w:color w:val="auto"/>
                      <w:szCs w:val="21"/>
                      <w:highlight w:val="none"/>
                    </w:rPr>
                  </w:pPr>
                  <w:r>
                    <w:rPr>
                      <w:rFonts w:hint="eastAsia" w:ascii="宋体" w:hAnsi="宋体" w:cs="宋体"/>
                      <w:color w:val="auto"/>
                      <w:szCs w:val="21"/>
                      <w:highlight w:val="none"/>
                      <w:lang w:bidi="en-US"/>
                    </w:rPr>
                    <w:t xml:space="preserve">采样次数</w:t>
                  </w:r>
                  <w:r>
                    <w:rPr>
                      <w:color w:val="auto"/>
                      <w:highlight w:val="none"/>
                    </w:rPr>
                  </w:r>
                  <w:r/>
                </w:p>
              </w:tc>
              <w:tc>
                <w:tcPr>
                  <w:gridSpan w:val="3"/>
                  <w:tcBorders>
                    <w:left w:val="single" w:color="auto" w:sz="4" w:space="0"/>
                    <w:right w:val="single" w:color="auto" w:sz="4" w:space="0"/>
                  </w:tcBorders>
                  <w:tcW w:w="6150" w:type="dxa"/>
                  <w:vAlign w:val="center"/>
                  <w:textDirection w:val="lrTb"/>
                  <w:noWrap w:val="false"/>
                </w:tcPr>
                <w:p>
                  <w:pPr>
                    <w:spacing w:after="0" w:line="240" w:lineRule="auto"/>
                    <w:widowControl/>
                    <w:rPr>
                      <w:rFonts w:ascii="宋体" w:hAnsi="宋体" w:cs="宋体"/>
                      <w:color w:val="auto"/>
                      <w:szCs w:val="21"/>
                      <w:highlight w:val="none"/>
                    </w:rPr>
                  </w:pPr>
                  <w:r>
                    <w:rPr>
                      <w:rFonts w:hint="eastAsia" w:ascii="宋体" w:hAnsi="宋体" w:cs="宋体"/>
                      <w:color w:val="auto"/>
                      <w:szCs w:val="21"/>
                      <w:highlight w:val="none"/>
                      <w:lang w:bidi="en-US"/>
                    </w:rPr>
                    <w:t xml:space="preserve">(1～99)次</w:t>
                  </w:r>
                  <w:r>
                    <w:rPr>
                      <w:color w:val="auto"/>
                      <w:highlight w:val="none"/>
                    </w:rPr>
                  </w:r>
                  <w:r/>
                </w:p>
              </w:tc>
            </w:tr>
            <w:tr>
              <w:trPr>
                <w:trHeight w:val="340"/>
              </w:trPr>
              <w:tc>
                <w:tcPr>
                  <w:tcBorders>
                    <w:right w:val="single" w:color="auto" w:sz="4" w:space="0"/>
                  </w:tcBorders>
                  <w:tcW w:w="1185" w:type="dxa"/>
                  <w:vAlign w:val="center"/>
                  <w:textDirection w:val="lrTb"/>
                  <w:noWrap w:val="false"/>
                </w:tcPr>
                <w:p>
                  <w:pPr>
                    <w:spacing w:after="0" w:line="240" w:lineRule="auto"/>
                    <w:widowControl/>
                    <w:rPr>
                      <w:rFonts w:ascii="宋体" w:hAnsi="宋体" w:cs="宋体"/>
                      <w:color w:val="auto"/>
                      <w:szCs w:val="21"/>
                      <w:highlight w:val="none"/>
                    </w:rPr>
                  </w:pPr>
                  <w:r>
                    <w:rPr>
                      <w:rFonts w:hint="eastAsia" w:ascii="宋体" w:hAnsi="宋体" w:cs="宋体"/>
                      <w:color w:val="auto"/>
                      <w:szCs w:val="21"/>
                      <w:highlight w:val="none"/>
                      <w:lang w:bidi="en-US"/>
                    </w:rPr>
                    <w:t xml:space="preserve">计前温度</w:t>
                  </w:r>
                  <w:r>
                    <w:rPr>
                      <w:color w:val="auto"/>
                      <w:highlight w:val="none"/>
                    </w:rPr>
                  </w:r>
                  <w:r/>
                </w:p>
              </w:tc>
              <w:tc>
                <w:tcPr>
                  <w:tcBorders>
                    <w:left w:val="single" w:color="auto" w:sz="4" w:space="0"/>
                    <w:right w:val="single" w:color="auto" w:sz="4" w:space="0"/>
                  </w:tcBorders>
                  <w:tcW w:w="2535" w:type="dxa"/>
                  <w:vAlign w:val="center"/>
                  <w:textDirection w:val="lrTb"/>
                  <w:noWrap w:val="false"/>
                </w:tcPr>
                <w:p>
                  <w:pPr>
                    <w:spacing w:after="0" w:line="240" w:lineRule="auto"/>
                    <w:widowControl/>
                    <w:rPr>
                      <w:rFonts w:ascii="宋体" w:hAnsi="宋体" w:cs="宋体"/>
                      <w:color w:val="auto"/>
                      <w:szCs w:val="21"/>
                      <w:highlight w:val="none"/>
                    </w:rPr>
                  </w:pPr>
                  <w:r>
                    <w:rPr>
                      <w:rFonts w:hint="eastAsia" w:ascii="宋体" w:hAnsi="宋体" w:cs="宋体"/>
                      <w:color w:val="auto"/>
                      <w:szCs w:val="21"/>
                      <w:highlight w:val="none"/>
                      <w:lang w:bidi="en-US"/>
                    </w:rPr>
                    <w:t xml:space="preserve">(－55～125)℃</w:t>
                  </w:r>
                  <w:r>
                    <w:rPr>
                      <w:color w:val="auto"/>
                      <w:highlight w:val="none"/>
                    </w:rPr>
                  </w:r>
                  <w:r/>
                </w:p>
              </w:tc>
              <w:tc>
                <w:tcPr>
                  <w:tcBorders>
                    <w:left w:val="single" w:color="auto" w:sz="4" w:space="0"/>
                    <w:right w:val="single" w:color="auto" w:sz="4" w:space="0"/>
                  </w:tcBorders>
                  <w:tcW w:w="1200" w:type="dxa"/>
                  <w:vAlign w:val="center"/>
                  <w:textDirection w:val="lrTb"/>
                  <w:noWrap w:val="false"/>
                </w:tcPr>
                <w:p>
                  <w:pPr>
                    <w:spacing w:after="0" w:line="240" w:lineRule="auto"/>
                    <w:widowControl/>
                    <w:rPr>
                      <w:rFonts w:ascii="宋体" w:hAnsi="宋体" w:cs="宋体"/>
                      <w:color w:val="auto"/>
                      <w:szCs w:val="21"/>
                      <w:highlight w:val="none"/>
                    </w:rPr>
                  </w:pPr>
                  <w:r>
                    <w:rPr>
                      <w:rFonts w:hint="eastAsia" w:ascii="宋体" w:hAnsi="宋体" w:cs="宋体"/>
                      <w:color w:val="auto"/>
                      <w:szCs w:val="21"/>
                      <w:highlight w:val="none"/>
                      <w:lang w:bidi="en-US"/>
                    </w:rPr>
                    <w:t xml:space="preserve">0.1℃</w:t>
                  </w:r>
                  <w:r>
                    <w:rPr>
                      <w:color w:val="auto"/>
                      <w:highlight w:val="none"/>
                    </w:rPr>
                  </w:r>
                  <w:r/>
                </w:p>
              </w:tc>
              <w:tc>
                <w:tcPr>
                  <w:tcBorders>
                    <w:left w:val="single" w:color="auto" w:sz="4" w:space="0"/>
                    <w:right w:val="single" w:color="auto" w:sz="4" w:space="0"/>
                  </w:tcBorders>
                  <w:tcW w:w="2415" w:type="dxa"/>
                  <w:vAlign w:val="center"/>
                  <w:textDirection w:val="lrTb"/>
                  <w:noWrap w:val="false"/>
                </w:tcPr>
                <w:p>
                  <w:pPr>
                    <w:spacing w:after="0" w:line="240" w:lineRule="auto"/>
                    <w:widowControl/>
                    <w:rPr>
                      <w:rFonts w:ascii="宋体" w:hAnsi="宋体" w:cs="宋体"/>
                      <w:color w:val="auto"/>
                      <w:szCs w:val="21"/>
                      <w:highlight w:val="none"/>
                    </w:rPr>
                  </w:pPr>
                  <w:r>
                    <w:rPr>
                      <w:rFonts w:hint="eastAsia" w:ascii="宋体" w:hAnsi="宋体" w:cs="宋体"/>
                      <w:color w:val="auto"/>
                      <w:szCs w:val="21"/>
                      <w:highlight w:val="none"/>
                      <w:lang w:bidi="en-US"/>
                    </w:rPr>
                    <w:t xml:space="preserve">优于±2.5℃</w:t>
                  </w:r>
                  <w:r>
                    <w:rPr>
                      <w:color w:val="auto"/>
                      <w:highlight w:val="none"/>
                    </w:rPr>
                  </w:r>
                  <w:r/>
                </w:p>
              </w:tc>
            </w:tr>
            <w:tr>
              <w:trPr>
                <w:trHeight w:val="340"/>
              </w:trPr>
              <w:tc>
                <w:tcPr>
                  <w:tcBorders>
                    <w:right w:val="single" w:color="auto" w:sz="4" w:space="0"/>
                  </w:tcBorders>
                  <w:tcW w:w="1185" w:type="dxa"/>
                  <w:vAlign w:val="center"/>
                  <w:textDirection w:val="lrTb"/>
                  <w:noWrap w:val="false"/>
                </w:tcPr>
                <w:p>
                  <w:pPr>
                    <w:spacing w:after="0" w:line="240" w:lineRule="auto"/>
                    <w:widowControl/>
                    <w:rPr>
                      <w:rFonts w:ascii="宋体" w:hAnsi="宋体" w:cs="宋体"/>
                      <w:color w:val="auto"/>
                      <w:szCs w:val="21"/>
                      <w:highlight w:val="none"/>
                    </w:rPr>
                  </w:pPr>
                  <w:r>
                    <w:rPr>
                      <w:rFonts w:hint="eastAsia" w:ascii="宋体" w:hAnsi="宋体" w:cs="宋体"/>
                      <w:color w:val="auto"/>
                      <w:szCs w:val="21"/>
                      <w:highlight w:val="none"/>
                      <w:lang w:bidi="en-US"/>
                    </w:rPr>
                    <w:t xml:space="preserve">计前压力</w:t>
                  </w:r>
                  <w:r>
                    <w:rPr>
                      <w:color w:val="auto"/>
                      <w:highlight w:val="none"/>
                    </w:rPr>
                  </w:r>
                  <w:r/>
                </w:p>
              </w:tc>
              <w:tc>
                <w:tcPr>
                  <w:tcBorders>
                    <w:left w:val="single" w:color="auto" w:sz="4" w:space="0"/>
                    <w:right w:val="single" w:color="auto" w:sz="4" w:space="0"/>
                  </w:tcBorders>
                  <w:tcW w:w="2535" w:type="dxa"/>
                  <w:vAlign w:val="center"/>
                  <w:textDirection w:val="lrTb"/>
                  <w:noWrap w:val="false"/>
                </w:tcPr>
                <w:p>
                  <w:pPr>
                    <w:spacing w:after="0" w:line="240" w:lineRule="auto"/>
                    <w:widowControl/>
                    <w:rPr>
                      <w:rFonts w:ascii="宋体" w:hAnsi="宋体" w:cs="宋体"/>
                      <w:color w:val="auto"/>
                      <w:szCs w:val="21"/>
                      <w:highlight w:val="none"/>
                    </w:rPr>
                  </w:pPr>
                  <w:r>
                    <w:rPr>
                      <w:rFonts w:hint="eastAsia" w:ascii="宋体" w:hAnsi="宋体" w:cs="宋体"/>
                      <w:color w:val="auto"/>
                      <w:szCs w:val="21"/>
                      <w:highlight w:val="none"/>
                      <w:lang w:bidi="en-US"/>
                    </w:rPr>
                    <w:t xml:space="preserve">(－25～0)kPa</w:t>
                  </w:r>
                  <w:r>
                    <w:rPr>
                      <w:color w:val="auto"/>
                      <w:highlight w:val="none"/>
                    </w:rPr>
                  </w:r>
                  <w:r/>
                </w:p>
              </w:tc>
              <w:tc>
                <w:tcPr>
                  <w:tcBorders>
                    <w:left w:val="single" w:color="auto" w:sz="4" w:space="0"/>
                    <w:right w:val="single" w:color="auto" w:sz="4" w:space="0"/>
                  </w:tcBorders>
                  <w:tcW w:w="1200" w:type="dxa"/>
                  <w:vAlign w:val="center"/>
                  <w:textDirection w:val="lrTb"/>
                  <w:noWrap w:val="false"/>
                </w:tcPr>
                <w:p>
                  <w:pPr>
                    <w:spacing w:after="0" w:line="240" w:lineRule="auto"/>
                    <w:widowControl/>
                    <w:rPr>
                      <w:rFonts w:ascii="宋体" w:hAnsi="宋体" w:cs="宋体"/>
                      <w:color w:val="auto"/>
                      <w:szCs w:val="21"/>
                      <w:highlight w:val="none"/>
                    </w:rPr>
                  </w:pPr>
                  <w:r>
                    <w:rPr>
                      <w:rFonts w:hint="eastAsia" w:ascii="宋体" w:hAnsi="宋体" w:cs="宋体"/>
                      <w:color w:val="auto"/>
                      <w:szCs w:val="21"/>
                      <w:highlight w:val="none"/>
                      <w:lang w:bidi="en-US"/>
                    </w:rPr>
                    <w:t xml:space="preserve">0.01kPa</w:t>
                  </w:r>
                  <w:r>
                    <w:rPr>
                      <w:color w:val="auto"/>
                      <w:highlight w:val="none"/>
                    </w:rPr>
                  </w:r>
                  <w:r/>
                </w:p>
              </w:tc>
              <w:tc>
                <w:tcPr>
                  <w:tcBorders>
                    <w:left w:val="single" w:color="auto" w:sz="4" w:space="0"/>
                    <w:right w:val="single" w:color="auto" w:sz="4" w:space="0"/>
                  </w:tcBorders>
                  <w:tcW w:w="2415" w:type="dxa"/>
                  <w:vAlign w:val="center"/>
                  <w:textDirection w:val="lrTb"/>
                  <w:noWrap w:val="false"/>
                </w:tcPr>
                <w:p>
                  <w:pPr>
                    <w:spacing w:after="0" w:line="240" w:lineRule="auto"/>
                    <w:widowControl/>
                    <w:rPr>
                      <w:rFonts w:ascii="宋体" w:hAnsi="宋体" w:cs="宋体"/>
                      <w:color w:val="auto"/>
                      <w:szCs w:val="21"/>
                      <w:highlight w:val="none"/>
                    </w:rPr>
                  </w:pPr>
                  <w:r>
                    <w:rPr>
                      <w:rFonts w:hint="eastAsia" w:ascii="宋体" w:hAnsi="宋体" w:cs="宋体"/>
                      <w:color w:val="auto"/>
                      <w:szCs w:val="21"/>
                      <w:highlight w:val="none"/>
                      <w:lang w:bidi="en-US"/>
                    </w:rPr>
                    <w:t xml:space="preserve">优于±2.5%</w:t>
                  </w:r>
                  <w:r>
                    <w:rPr>
                      <w:color w:val="auto"/>
                      <w:highlight w:val="none"/>
                    </w:rPr>
                  </w:r>
                  <w:r/>
                </w:p>
              </w:tc>
            </w:tr>
            <w:tr>
              <w:trPr>
                <w:trHeight w:val="340"/>
              </w:trPr>
              <w:tc>
                <w:tcPr>
                  <w:tcBorders>
                    <w:right w:val="single" w:color="auto" w:sz="4" w:space="0"/>
                  </w:tcBorders>
                  <w:tcW w:w="1185" w:type="dxa"/>
                  <w:vAlign w:val="center"/>
                  <w:textDirection w:val="lrTb"/>
                  <w:noWrap w:val="false"/>
                </w:tcPr>
                <w:p>
                  <w:pPr>
                    <w:spacing w:after="0" w:line="240" w:lineRule="auto"/>
                    <w:widowControl/>
                    <w:rPr>
                      <w:rFonts w:ascii="宋体" w:hAnsi="宋体" w:cs="宋体"/>
                      <w:color w:val="auto"/>
                      <w:szCs w:val="21"/>
                      <w:highlight w:val="none"/>
                    </w:rPr>
                  </w:pPr>
                  <w:r>
                    <w:rPr>
                      <w:rFonts w:hint="eastAsia" w:ascii="宋体" w:hAnsi="宋体" w:cs="宋体"/>
                      <w:color w:val="auto"/>
                      <w:szCs w:val="21"/>
                      <w:highlight w:val="none"/>
                      <w:lang w:bidi="en-US"/>
                    </w:rPr>
                    <w:t xml:space="preserve">大气压</w:t>
                  </w:r>
                  <w:r>
                    <w:rPr>
                      <w:color w:val="auto"/>
                      <w:highlight w:val="none"/>
                    </w:rPr>
                  </w:r>
                  <w:r/>
                </w:p>
              </w:tc>
              <w:tc>
                <w:tcPr>
                  <w:tcBorders>
                    <w:left w:val="single" w:color="auto" w:sz="4" w:space="0"/>
                    <w:right w:val="single" w:color="auto" w:sz="4" w:space="0"/>
                  </w:tcBorders>
                  <w:tcW w:w="2535" w:type="dxa"/>
                  <w:vAlign w:val="center"/>
                  <w:textDirection w:val="lrTb"/>
                  <w:noWrap w:val="false"/>
                </w:tcPr>
                <w:p>
                  <w:pPr>
                    <w:spacing w:after="0" w:line="240" w:lineRule="auto"/>
                    <w:widowControl/>
                    <w:rPr>
                      <w:rFonts w:ascii="宋体" w:hAnsi="宋体" w:cs="宋体"/>
                      <w:color w:val="auto"/>
                      <w:szCs w:val="21"/>
                      <w:highlight w:val="none"/>
                    </w:rPr>
                  </w:pPr>
                  <w:r>
                    <w:rPr>
                      <w:rFonts w:hint="eastAsia" w:ascii="宋体" w:hAnsi="宋体" w:cs="宋体"/>
                      <w:color w:val="auto"/>
                      <w:szCs w:val="21"/>
                      <w:highlight w:val="none"/>
                      <w:lang w:bidi="en-US"/>
                    </w:rPr>
                    <w:t xml:space="preserve">(50～130)kPa</w:t>
                  </w:r>
                  <w:r>
                    <w:rPr>
                      <w:color w:val="auto"/>
                      <w:highlight w:val="none"/>
                    </w:rPr>
                  </w:r>
                  <w:r/>
                </w:p>
              </w:tc>
              <w:tc>
                <w:tcPr>
                  <w:tcBorders>
                    <w:left w:val="single" w:color="auto" w:sz="4" w:space="0"/>
                    <w:right w:val="single" w:color="auto" w:sz="4" w:space="0"/>
                  </w:tcBorders>
                  <w:tcW w:w="1200" w:type="dxa"/>
                  <w:vAlign w:val="center"/>
                  <w:textDirection w:val="lrTb"/>
                  <w:noWrap w:val="false"/>
                </w:tcPr>
                <w:p>
                  <w:pPr>
                    <w:spacing w:after="0" w:line="240" w:lineRule="auto"/>
                    <w:widowControl/>
                    <w:rPr>
                      <w:rFonts w:ascii="宋体" w:hAnsi="宋体" w:cs="宋体"/>
                      <w:color w:val="auto"/>
                      <w:szCs w:val="21"/>
                      <w:highlight w:val="none"/>
                    </w:rPr>
                  </w:pPr>
                  <w:r>
                    <w:rPr>
                      <w:rFonts w:hint="eastAsia" w:ascii="宋体" w:hAnsi="宋体" w:cs="宋体"/>
                      <w:color w:val="auto"/>
                      <w:szCs w:val="21"/>
                      <w:highlight w:val="none"/>
                      <w:lang w:bidi="en-US"/>
                    </w:rPr>
                    <w:t xml:space="preserve">0.01kPa</w:t>
                  </w:r>
                  <w:r>
                    <w:rPr>
                      <w:color w:val="auto"/>
                      <w:highlight w:val="none"/>
                    </w:rPr>
                  </w:r>
                  <w:r/>
                </w:p>
              </w:tc>
              <w:tc>
                <w:tcPr>
                  <w:tcBorders>
                    <w:left w:val="single" w:color="auto" w:sz="4" w:space="0"/>
                    <w:right w:val="single" w:color="auto" w:sz="4" w:space="0"/>
                  </w:tcBorders>
                  <w:tcW w:w="2415" w:type="dxa"/>
                  <w:vAlign w:val="center"/>
                  <w:textDirection w:val="lrTb"/>
                  <w:noWrap w:val="false"/>
                </w:tcPr>
                <w:p>
                  <w:pPr>
                    <w:spacing w:after="0" w:line="240" w:lineRule="auto"/>
                    <w:widowControl/>
                    <w:rPr>
                      <w:rFonts w:ascii="宋体" w:hAnsi="宋体" w:cs="宋体"/>
                      <w:color w:val="auto"/>
                      <w:szCs w:val="21"/>
                      <w:highlight w:val="none"/>
                    </w:rPr>
                  </w:pPr>
                  <w:r>
                    <w:rPr>
                      <w:rFonts w:hint="eastAsia" w:ascii="宋体" w:hAnsi="宋体" w:cs="宋体"/>
                      <w:color w:val="auto"/>
                      <w:szCs w:val="21"/>
                      <w:highlight w:val="none"/>
                      <w:lang w:bidi="en-US"/>
                    </w:rPr>
                    <w:t xml:space="preserve">优于±500Pa</w:t>
                  </w:r>
                  <w:r>
                    <w:rPr>
                      <w:color w:val="auto"/>
                      <w:highlight w:val="none"/>
                    </w:rPr>
                  </w:r>
                  <w:r/>
                </w:p>
              </w:tc>
            </w:tr>
            <w:tr>
              <w:trPr>
                <w:trHeight w:val="340"/>
              </w:trPr>
              <w:tc>
                <w:tcPr>
                  <w:tcBorders>
                    <w:right w:val="single" w:color="auto" w:sz="4" w:space="0"/>
                  </w:tcBorders>
                  <w:tcW w:w="1185" w:type="dxa"/>
                  <w:vAlign w:val="center"/>
                  <w:textDirection w:val="lrTb"/>
                  <w:noWrap w:val="false"/>
                </w:tcPr>
                <w:p>
                  <w:pPr>
                    <w:spacing w:after="0" w:line="240" w:lineRule="auto"/>
                    <w:widowControl/>
                    <w:rPr>
                      <w:rFonts w:ascii="宋体" w:hAnsi="宋体" w:cs="宋体"/>
                      <w:color w:val="auto"/>
                      <w:szCs w:val="21"/>
                      <w:highlight w:val="none"/>
                    </w:rPr>
                  </w:pPr>
                  <w:r>
                    <w:rPr>
                      <w:rFonts w:hint="eastAsia" w:ascii="宋体" w:hAnsi="宋体" w:cs="宋体"/>
                      <w:color w:val="auto"/>
                      <w:szCs w:val="21"/>
                      <w:highlight w:val="none"/>
                      <w:lang w:bidi="en-US"/>
                    </w:rPr>
                    <w:t xml:space="preserve">烟气动压</w:t>
                  </w:r>
                  <w:r>
                    <w:rPr>
                      <w:color w:val="auto"/>
                      <w:highlight w:val="none"/>
                    </w:rPr>
                  </w:r>
                  <w:r/>
                </w:p>
              </w:tc>
              <w:tc>
                <w:tcPr>
                  <w:tcBorders>
                    <w:left w:val="single" w:color="auto" w:sz="4" w:space="0"/>
                    <w:right w:val="single" w:color="auto" w:sz="4" w:space="0"/>
                  </w:tcBorders>
                  <w:tcW w:w="2535" w:type="dxa"/>
                  <w:vAlign w:val="center"/>
                  <w:textDirection w:val="lrTb"/>
                  <w:noWrap w:val="false"/>
                </w:tcPr>
                <w:p>
                  <w:pPr>
                    <w:spacing w:after="0" w:line="240" w:lineRule="auto"/>
                    <w:widowControl/>
                    <w:rPr>
                      <w:rFonts w:ascii="宋体" w:hAnsi="宋体" w:cs="宋体"/>
                      <w:color w:val="auto"/>
                      <w:szCs w:val="21"/>
                      <w:highlight w:val="none"/>
                    </w:rPr>
                  </w:pPr>
                  <w:r>
                    <w:rPr>
                      <w:rFonts w:hint="eastAsia" w:ascii="宋体" w:hAnsi="宋体" w:cs="宋体"/>
                      <w:color w:val="auto"/>
                      <w:szCs w:val="21"/>
                      <w:highlight w:val="none"/>
                      <w:lang w:bidi="en-US"/>
                    </w:rPr>
                    <w:t xml:space="preserve">(0～2000)Pa</w:t>
                  </w:r>
                  <w:r>
                    <w:rPr>
                      <w:color w:val="auto"/>
                      <w:highlight w:val="none"/>
                    </w:rPr>
                  </w:r>
                  <w:r/>
                </w:p>
              </w:tc>
              <w:tc>
                <w:tcPr>
                  <w:tcBorders>
                    <w:left w:val="single" w:color="auto" w:sz="4" w:space="0"/>
                    <w:right w:val="single" w:color="auto" w:sz="4" w:space="0"/>
                  </w:tcBorders>
                  <w:tcW w:w="1200" w:type="dxa"/>
                  <w:vAlign w:val="center"/>
                  <w:textDirection w:val="lrTb"/>
                  <w:noWrap w:val="false"/>
                </w:tcPr>
                <w:p>
                  <w:pPr>
                    <w:spacing w:after="0" w:line="240" w:lineRule="auto"/>
                    <w:widowControl/>
                    <w:rPr>
                      <w:rFonts w:ascii="宋体" w:hAnsi="宋体" w:cs="宋体"/>
                      <w:color w:val="auto"/>
                      <w:szCs w:val="21"/>
                      <w:highlight w:val="none"/>
                    </w:rPr>
                  </w:pPr>
                  <w:r>
                    <w:rPr>
                      <w:rFonts w:hint="eastAsia" w:ascii="宋体" w:hAnsi="宋体" w:cs="宋体"/>
                      <w:color w:val="auto"/>
                      <w:szCs w:val="21"/>
                      <w:highlight w:val="none"/>
                      <w:lang w:bidi="en-US"/>
                    </w:rPr>
                    <w:t xml:space="preserve">1Pa</w:t>
                  </w:r>
                  <w:r>
                    <w:rPr>
                      <w:color w:val="auto"/>
                      <w:highlight w:val="none"/>
                    </w:rPr>
                  </w:r>
                  <w:r/>
                </w:p>
              </w:tc>
              <w:tc>
                <w:tcPr>
                  <w:tcBorders>
                    <w:left w:val="single" w:color="auto" w:sz="4" w:space="0"/>
                    <w:right w:val="single" w:color="auto" w:sz="4" w:space="0"/>
                  </w:tcBorders>
                  <w:tcW w:w="2415" w:type="dxa"/>
                  <w:vAlign w:val="center"/>
                  <w:textDirection w:val="lrTb"/>
                  <w:noWrap w:val="false"/>
                </w:tcPr>
                <w:p>
                  <w:pPr>
                    <w:spacing w:after="0" w:line="240" w:lineRule="auto"/>
                    <w:widowControl/>
                    <w:rPr>
                      <w:rFonts w:ascii="宋体" w:hAnsi="宋体" w:cs="宋体"/>
                      <w:color w:val="auto"/>
                      <w:szCs w:val="21"/>
                      <w:highlight w:val="none"/>
                    </w:rPr>
                  </w:pPr>
                  <w:r>
                    <w:rPr>
                      <w:rFonts w:hint="eastAsia" w:ascii="宋体" w:hAnsi="宋体" w:cs="宋体"/>
                      <w:color w:val="auto"/>
                      <w:szCs w:val="21"/>
                      <w:highlight w:val="none"/>
                      <w:lang w:bidi="en-US"/>
                    </w:rPr>
                    <w:t xml:space="preserve">优于±1.0%FS</w:t>
                  </w:r>
                  <w:r>
                    <w:rPr>
                      <w:color w:val="auto"/>
                      <w:highlight w:val="none"/>
                    </w:rPr>
                  </w:r>
                  <w:r/>
                </w:p>
              </w:tc>
            </w:tr>
            <w:tr>
              <w:trPr>
                <w:trHeight w:val="340"/>
              </w:trPr>
              <w:tc>
                <w:tcPr>
                  <w:tcBorders>
                    <w:right w:val="single" w:color="auto" w:sz="4" w:space="0"/>
                  </w:tcBorders>
                  <w:tcW w:w="1185" w:type="dxa"/>
                  <w:vAlign w:val="center"/>
                  <w:textDirection w:val="lrTb"/>
                  <w:noWrap w:val="false"/>
                </w:tcPr>
                <w:p>
                  <w:pPr>
                    <w:spacing w:after="0" w:line="240" w:lineRule="auto"/>
                    <w:widowControl/>
                    <w:rPr>
                      <w:rFonts w:ascii="宋体" w:hAnsi="宋体" w:cs="宋体"/>
                      <w:color w:val="auto"/>
                      <w:szCs w:val="21"/>
                      <w:highlight w:val="none"/>
                    </w:rPr>
                  </w:pPr>
                  <w:r>
                    <w:rPr>
                      <w:rFonts w:hint="eastAsia" w:ascii="宋体" w:hAnsi="宋体" w:cs="宋体"/>
                      <w:color w:val="auto"/>
                      <w:szCs w:val="21"/>
                      <w:highlight w:val="none"/>
                      <w:lang w:bidi="en-US"/>
                    </w:rPr>
                    <w:t xml:space="preserve">烟气静压</w:t>
                  </w:r>
                  <w:r>
                    <w:rPr>
                      <w:color w:val="auto"/>
                      <w:highlight w:val="none"/>
                    </w:rPr>
                  </w:r>
                  <w:r/>
                </w:p>
              </w:tc>
              <w:tc>
                <w:tcPr>
                  <w:tcBorders>
                    <w:left w:val="single" w:color="auto" w:sz="4" w:space="0"/>
                    <w:right w:val="single" w:color="auto" w:sz="4" w:space="0"/>
                  </w:tcBorders>
                  <w:tcW w:w="2535" w:type="dxa"/>
                  <w:vAlign w:val="center"/>
                  <w:textDirection w:val="lrTb"/>
                  <w:noWrap w:val="false"/>
                </w:tcPr>
                <w:p>
                  <w:pPr>
                    <w:spacing w:after="0" w:line="240" w:lineRule="auto"/>
                    <w:widowControl/>
                    <w:rPr>
                      <w:rFonts w:ascii="宋体" w:hAnsi="宋体" w:cs="宋体"/>
                      <w:color w:val="auto"/>
                      <w:szCs w:val="21"/>
                      <w:highlight w:val="none"/>
                    </w:rPr>
                  </w:pPr>
                  <w:r>
                    <w:rPr>
                      <w:rFonts w:hint="eastAsia" w:ascii="宋体" w:hAnsi="宋体" w:cs="宋体"/>
                      <w:color w:val="auto"/>
                      <w:szCs w:val="21"/>
                      <w:highlight w:val="none"/>
                      <w:lang w:bidi="en-US"/>
                    </w:rPr>
                    <w:t xml:space="preserve">(-30～+30)kPa</w:t>
                  </w:r>
                  <w:r>
                    <w:rPr>
                      <w:color w:val="auto"/>
                      <w:highlight w:val="none"/>
                    </w:rPr>
                  </w:r>
                  <w:r/>
                </w:p>
              </w:tc>
              <w:tc>
                <w:tcPr>
                  <w:tcBorders>
                    <w:left w:val="single" w:color="auto" w:sz="4" w:space="0"/>
                    <w:right w:val="single" w:color="auto" w:sz="4" w:space="0"/>
                  </w:tcBorders>
                  <w:tcW w:w="1200" w:type="dxa"/>
                  <w:vAlign w:val="center"/>
                  <w:textDirection w:val="lrTb"/>
                  <w:noWrap w:val="false"/>
                </w:tcPr>
                <w:p>
                  <w:pPr>
                    <w:spacing w:after="0" w:line="240" w:lineRule="auto"/>
                    <w:widowControl/>
                    <w:rPr>
                      <w:rFonts w:ascii="宋体" w:hAnsi="宋体" w:cs="宋体"/>
                      <w:color w:val="auto"/>
                      <w:szCs w:val="21"/>
                      <w:highlight w:val="none"/>
                    </w:rPr>
                  </w:pPr>
                  <w:r>
                    <w:rPr>
                      <w:rFonts w:hint="eastAsia" w:ascii="宋体" w:hAnsi="宋体" w:cs="宋体"/>
                      <w:color w:val="auto"/>
                      <w:szCs w:val="21"/>
                      <w:highlight w:val="none"/>
                      <w:lang w:bidi="en-US"/>
                    </w:rPr>
                    <w:t xml:space="preserve">0.01kPa</w:t>
                  </w:r>
                  <w:r>
                    <w:rPr>
                      <w:color w:val="auto"/>
                      <w:highlight w:val="none"/>
                    </w:rPr>
                  </w:r>
                  <w:r/>
                </w:p>
              </w:tc>
              <w:tc>
                <w:tcPr>
                  <w:tcBorders>
                    <w:left w:val="single" w:color="auto" w:sz="4" w:space="0"/>
                    <w:right w:val="single" w:color="auto" w:sz="4" w:space="0"/>
                  </w:tcBorders>
                  <w:tcW w:w="2415" w:type="dxa"/>
                  <w:vAlign w:val="center"/>
                  <w:textDirection w:val="lrTb"/>
                  <w:noWrap w:val="false"/>
                </w:tcPr>
                <w:p>
                  <w:pPr>
                    <w:spacing w:after="0" w:line="240" w:lineRule="auto"/>
                    <w:widowControl/>
                    <w:rPr>
                      <w:rFonts w:ascii="宋体" w:hAnsi="宋体" w:cs="宋体"/>
                      <w:color w:val="auto"/>
                      <w:szCs w:val="21"/>
                      <w:highlight w:val="none"/>
                    </w:rPr>
                  </w:pPr>
                  <w:r>
                    <w:rPr>
                      <w:rFonts w:hint="eastAsia" w:ascii="宋体" w:hAnsi="宋体" w:cs="宋体"/>
                      <w:color w:val="auto"/>
                      <w:szCs w:val="21"/>
                      <w:highlight w:val="none"/>
                      <w:lang w:bidi="en-US"/>
                    </w:rPr>
                    <w:t xml:space="preserve">优于±1.0%FS</w:t>
                  </w:r>
                  <w:r>
                    <w:rPr>
                      <w:color w:val="auto"/>
                      <w:highlight w:val="none"/>
                    </w:rPr>
                  </w:r>
                  <w:r/>
                </w:p>
              </w:tc>
            </w:tr>
            <w:tr>
              <w:trPr>
                <w:trHeight w:val="340"/>
              </w:trPr>
              <w:tc>
                <w:tcPr>
                  <w:tcBorders>
                    <w:right w:val="single" w:color="auto" w:sz="4" w:space="0"/>
                  </w:tcBorders>
                  <w:tcW w:w="1185" w:type="dxa"/>
                  <w:vAlign w:val="center"/>
                  <w:textDirection w:val="lrTb"/>
                  <w:noWrap w:val="false"/>
                </w:tcPr>
                <w:p>
                  <w:pPr>
                    <w:spacing w:after="0" w:line="240" w:lineRule="auto"/>
                    <w:widowControl/>
                    <w:rPr>
                      <w:rFonts w:ascii="宋体" w:hAnsi="宋体" w:cs="宋体"/>
                      <w:color w:val="auto"/>
                      <w:szCs w:val="21"/>
                      <w:highlight w:val="none"/>
                    </w:rPr>
                  </w:pPr>
                  <w:r>
                    <w:rPr>
                      <w:rFonts w:hint="eastAsia" w:ascii="宋体" w:hAnsi="宋体" w:cs="宋体"/>
                      <w:color w:val="auto"/>
                      <w:szCs w:val="21"/>
                      <w:highlight w:val="none"/>
                      <w:lang w:bidi="en-US"/>
                    </w:rPr>
                    <w:t xml:space="preserve">烟气温度</w:t>
                  </w:r>
                  <w:r>
                    <w:rPr>
                      <w:color w:val="auto"/>
                      <w:highlight w:val="none"/>
                    </w:rPr>
                  </w:r>
                  <w:r/>
                </w:p>
              </w:tc>
              <w:tc>
                <w:tcPr>
                  <w:tcBorders>
                    <w:left w:val="single" w:color="auto" w:sz="4" w:space="0"/>
                    <w:right w:val="single" w:color="auto" w:sz="4" w:space="0"/>
                  </w:tcBorders>
                  <w:tcW w:w="2535" w:type="dxa"/>
                  <w:vAlign w:val="center"/>
                  <w:textDirection w:val="lrTb"/>
                  <w:noWrap w:val="false"/>
                </w:tcPr>
                <w:p>
                  <w:pPr>
                    <w:spacing w:after="0" w:line="240" w:lineRule="auto"/>
                    <w:widowControl/>
                    <w:rPr>
                      <w:rFonts w:ascii="宋体" w:hAnsi="宋体" w:cs="宋体"/>
                      <w:color w:val="auto"/>
                      <w:szCs w:val="21"/>
                      <w:highlight w:val="none"/>
                    </w:rPr>
                  </w:pPr>
                  <w:r>
                    <w:rPr>
                      <w:rFonts w:hint="eastAsia" w:ascii="宋体" w:hAnsi="宋体" w:cs="宋体"/>
                      <w:color w:val="auto"/>
                      <w:szCs w:val="21"/>
                      <w:highlight w:val="none"/>
                      <w:lang w:bidi="en-US"/>
                    </w:rPr>
                    <w:t xml:space="preserve">(0～500)℃</w:t>
                  </w:r>
                  <w:r>
                    <w:rPr>
                      <w:color w:val="auto"/>
                      <w:highlight w:val="none"/>
                    </w:rPr>
                  </w:r>
                  <w:r/>
                </w:p>
              </w:tc>
              <w:tc>
                <w:tcPr>
                  <w:tcBorders>
                    <w:left w:val="single" w:color="auto" w:sz="4" w:space="0"/>
                    <w:right w:val="single" w:color="auto" w:sz="4" w:space="0"/>
                  </w:tcBorders>
                  <w:tcW w:w="1200" w:type="dxa"/>
                  <w:vAlign w:val="center"/>
                  <w:textDirection w:val="lrTb"/>
                  <w:noWrap w:val="false"/>
                </w:tcPr>
                <w:p>
                  <w:pPr>
                    <w:spacing w:after="0" w:line="240" w:lineRule="auto"/>
                    <w:widowControl/>
                    <w:rPr>
                      <w:rFonts w:ascii="宋体" w:hAnsi="宋体" w:cs="宋体"/>
                      <w:color w:val="auto"/>
                      <w:szCs w:val="21"/>
                      <w:highlight w:val="none"/>
                    </w:rPr>
                  </w:pPr>
                  <w:r>
                    <w:rPr>
                      <w:rFonts w:hint="eastAsia" w:ascii="宋体" w:hAnsi="宋体" w:cs="宋体"/>
                      <w:color w:val="auto"/>
                      <w:szCs w:val="21"/>
                      <w:highlight w:val="none"/>
                      <w:lang w:bidi="en-US"/>
                    </w:rPr>
                    <w:t xml:space="preserve">0.1℃</w:t>
                  </w:r>
                  <w:r>
                    <w:rPr>
                      <w:color w:val="auto"/>
                      <w:highlight w:val="none"/>
                    </w:rPr>
                  </w:r>
                  <w:r/>
                </w:p>
              </w:tc>
              <w:tc>
                <w:tcPr>
                  <w:tcBorders>
                    <w:left w:val="single" w:color="auto" w:sz="4" w:space="0"/>
                    <w:right w:val="single" w:color="auto" w:sz="4" w:space="0"/>
                  </w:tcBorders>
                  <w:tcW w:w="2415" w:type="dxa"/>
                  <w:vAlign w:val="center"/>
                  <w:textDirection w:val="lrTb"/>
                  <w:noWrap w:val="false"/>
                </w:tcPr>
                <w:p>
                  <w:pPr>
                    <w:spacing w:after="0" w:line="240" w:lineRule="auto"/>
                    <w:widowControl/>
                    <w:rPr>
                      <w:rFonts w:ascii="宋体" w:hAnsi="宋体" w:cs="宋体"/>
                      <w:color w:val="auto"/>
                      <w:szCs w:val="21"/>
                      <w:highlight w:val="none"/>
                    </w:rPr>
                  </w:pPr>
                  <w:r>
                    <w:rPr>
                      <w:rFonts w:hint="eastAsia" w:ascii="宋体" w:hAnsi="宋体" w:cs="宋体"/>
                      <w:color w:val="auto"/>
                      <w:szCs w:val="21"/>
                      <w:highlight w:val="none"/>
                      <w:lang w:bidi="en-US"/>
                    </w:rPr>
                    <w:t xml:space="preserve">优于±3.0℃</w:t>
                  </w:r>
                  <w:r>
                    <w:rPr>
                      <w:color w:val="auto"/>
                      <w:highlight w:val="none"/>
                    </w:rPr>
                  </w:r>
                  <w:r/>
                </w:p>
              </w:tc>
            </w:tr>
            <w:tr>
              <w:trPr>
                <w:trHeight w:val="340"/>
              </w:trPr>
              <w:tc>
                <w:tcPr>
                  <w:tcBorders>
                    <w:right w:val="single" w:color="auto" w:sz="4" w:space="0"/>
                  </w:tcBorders>
                  <w:tcW w:w="1185" w:type="dxa"/>
                  <w:vAlign w:val="center"/>
                  <w:textDirection w:val="lrTb"/>
                  <w:noWrap w:val="false"/>
                </w:tcPr>
                <w:p>
                  <w:pPr>
                    <w:spacing w:after="0" w:line="240" w:lineRule="auto"/>
                    <w:widowControl/>
                    <w:rPr>
                      <w:rFonts w:ascii="宋体" w:hAnsi="宋体" w:cs="宋体"/>
                      <w:color w:val="auto"/>
                      <w:szCs w:val="21"/>
                      <w:highlight w:val="none"/>
                    </w:rPr>
                  </w:pPr>
                  <w:r>
                    <w:rPr>
                      <w:rFonts w:hint="eastAsia" w:ascii="宋体" w:hAnsi="宋体" w:cs="宋体"/>
                      <w:color w:val="auto"/>
                      <w:szCs w:val="21"/>
                      <w:highlight w:val="none"/>
                      <w:lang w:bidi="en-US"/>
                    </w:rPr>
                    <w:t xml:space="preserve">流速</w:t>
                  </w:r>
                  <w:r>
                    <w:rPr>
                      <w:color w:val="auto"/>
                      <w:highlight w:val="none"/>
                    </w:rPr>
                  </w:r>
                  <w:r/>
                </w:p>
              </w:tc>
              <w:tc>
                <w:tcPr>
                  <w:tcBorders>
                    <w:left w:val="single" w:color="auto" w:sz="4" w:space="0"/>
                    <w:right w:val="single" w:color="auto" w:sz="4" w:space="0"/>
                  </w:tcBorders>
                  <w:tcW w:w="2535" w:type="dxa"/>
                  <w:vAlign w:val="center"/>
                  <w:textDirection w:val="lrTb"/>
                  <w:noWrap w:val="false"/>
                </w:tcPr>
                <w:p>
                  <w:pPr>
                    <w:spacing w:after="0" w:line="240" w:lineRule="auto"/>
                    <w:widowControl/>
                    <w:rPr>
                      <w:rFonts w:ascii="宋体" w:hAnsi="宋体" w:cs="宋体"/>
                      <w:color w:val="auto"/>
                      <w:szCs w:val="21"/>
                      <w:highlight w:val="none"/>
                    </w:rPr>
                  </w:pPr>
                  <w:r>
                    <w:rPr>
                      <w:rFonts w:hint="eastAsia" w:ascii="宋体" w:hAnsi="宋体" w:cs="宋体"/>
                      <w:color w:val="auto"/>
                      <w:szCs w:val="21"/>
                      <w:highlight w:val="none"/>
                      <w:lang w:bidi="en-US"/>
                    </w:rPr>
                    <w:t xml:space="preserve">(5～45)m/s</w:t>
                  </w:r>
                  <w:r>
                    <w:rPr>
                      <w:color w:val="auto"/>
                      <w:highlight w:val="none"/>
                    </w:rPr>
                  </w:r>
                  <w:r/>
                </w:p>
              </w:tc>
              <w:tc>
                <w:tcPr>
                  <w:tcBorders>
                    <w:left w:val="single" w:color="auto" w:sz="4" w:space="0"/>
                    <w:right w:val="single" w:color="auto" w:sz="4" w:space="0"/>
                  </w:tcBorders>
                  <w:tcW w:w="1200" w:type="dxa"/>
                  <w:vAlign w:val="center"/>
                  <w:textDirection w:val="lrTb"/>
                  <w:noWrap w:val="false"/>
                </w:tcPr>
                <w:p>
                  <w:pPr>
                    <w:spacing w:after="0" w:line="240" w:lineRule="auto"/>
                    <w:widowControl/>
                    <w:rPr>
                      <w:rFonts w:ascii="宋体" w:hAnsi="宋体" w:cs="宋体"/>
                      <w:color w:val="auto"/>
                      <w:szCs w:val="21"/>
                      <w:highlight w:val="none"/>
                    </w:rPr>
                  </w:pPr>
                  <w:r>
                    <w:rPr>
                      <w:rFonts w:hint="eastAsia" w:ascii="宋体" w:hAnsi="宋体" w:cs="宋体"/>
                      <w:color w:val="auto"/>
                      <w:szCs w:val="21"/>
                      <w:highlight w:val="none"/>
                      <w:lang w:bidi="en-US"/>
                    </w:rPr>
                    <w:t xml:space="preserve">0.1m/s</w:t>
                  </w:r>
                  <w:r>
                    <w:rPr>
                      <w:color w:val="auto"/>
                      <w:highlight w:val="none"/>
                    </w:rPr>
                  </w:r>
                  <w:r/>
                </w:p>
              </w:tc>
              <w:tc>
                <w:tcPr>
                  <w:tcBorders>
                    <w:left w:val="single" w:color="auto" w:sz="4" w:space="0"/>
                    <w:right w:val="single" w:color="auto" w:sz="4" w:space="0"/>
                  </w:tcBorders>
                  <w:tcW w:w="2415" w:type="dxa"/>
                  <w:vAlign w:val="center"/>
                  <w:textDirection w:val="lrTb"/>
                  <w:noWrap w:val="false"/>
                </w:tcPr>
                <w:p>
                  <w:pPr>
                    <w:spacing w:after="0" w:line="240" w:lineRule="auto"/>
                    <w:widowControl/>
                    <w:rPr>
                      <w:rFonts w:ascii="宋体" w:hAnsi="宋体" w:cs="宋体"/>
                      <w:color w:val="auto"/>
                      <w:szCs w:val="21"/>
                      <w:highlight w:val="none"/>
                    </w:rPr>
                  </w:pPr>
                  <w:r>
                    <w:rPr>
                      <w:rFonts w:hint="eastAsia" w:ascii="宋体" w:hAnsi="宋体" w:cs="宋体"/>
                      <w:color w:val="auto"/>
                      <w:szCs w:val="21"/>
                      <w:highlight w:val="none"/>
                      <w:lang w:bidi="en-US"/>
                    </w:rPr>
                    <w:t xml:space="preserve">优于±5.0%</w:t>
                  </w:r>
                  <w:r>
                    <w:rPr>
                      <w:color w:val="auto"/>
                      <w:highlight w:val="none"/>
                    </w:rPr>
                  </w:r>
                  <w:r/>
                </w:p>
              </w:tc>
            </w:tr>
            <w:tr>
              <w:trPr>
                <w:trHeight w:val="340"/>
              </w:trPr>
              <w:tc>
                <w:tcPr>
                  <w:tcBorders>
                    <w:right w:val="single" w:color="auto" w:sz="4" w:space="0"/>
                  </w:tcBorders>
                  <w:tcW w:w="1185" w:type="dxa"/>
                  <w:vAlign w:val="center"/>
                  <w:textDirection w:val="lrTb"/>
                  <w:noWrap w:val="false"/>
                </w:tcPr>
                <w:p>
                  <w:pPr>
                    <w:spacing w:after="0" w:line="240" w:lineRule="auto"/>
                    <w:widowControl/>
                    <w:rPr>
                      <w:rFonts w:ascii="宋体" w:hAnsi="宋体" w:cs="宋体"/>
                      <w:color w:val="auto"/>
                      <w:szCs w:val="21"/>
                      <w:highlight w:val="none"/>
                    </w:rPr>
                  </w:pPr>
                  <w:r>
                    <w:rPr>
                      <w:rFonts w:hint="eastAsia" w:ascii="宋体" w:hAnsi="宋体" w:cs="宋体"/>
                      <w:color w:val="auto"/>
                      <w:szCs w:val="21"/>
                      <w:highlight w:val="none"/>
                      <w:lang w:bidi="en-US"/>
                    </w:rPr>
                    <w:t xml:space="preserve">仪器噪音</w:t>
                  </w:r>
                  <w:r>
                    <w:rPr>
                      <w:color w:val="auto"/>
                      <w:highlight w:val="none"/>
                    </w:rPr>
                  </w:r>
                  <w:r/>
                </w:p>
              </w:tc>
              <w:tc>
                <w:tcPr>
                  <w:gridSpan w:val="3"/>
                  <w:tcBorders>
                    <w:left w:val="single" w:color="auto" w:sz="4" w:space="0"/>
                    <w:right w:val="single" w:color="auto" w:sz="4" w:space="0"/>
                  </w:tcBorders>
                  <w:tcW w:w="6150" w:type="dxa"/>
                  <w:vAlign w:val="center"/>
                  <w:textDirection w:val="lrTb"/>
                  <w:noWrap w:val="false"/>
                </w:tcPr>
                <w:p>
                  <w:pPr>
                    <w:spacing w:after="0" w:line="240" w:lineRule="auto"/>
                    <w:widowControl/>
                    <w:rPr>
                      <w:rFonts w:ascii="宋体" w:hAnsi="宋体" w:cs="宋体"/>
                      <w:color w:val="auto"/>
                      <w:szCs w:val="21"/>
                      <w:highlight w:val="none"/>
                    </w:rPr>
                  </w:pPr>
                  <w:r>
                    <w:rPr>
                      <w:rFonts w:hint="eastAsia" w:ascii="宋体" w:hAnsi="宋体" w:cs="宋体"/>
                      <w:color w:val="auto"/>
                      <w:szCs w:val="21"/>
                      <w:highlight w:val="none"/>
                      <w:lang w:bidi="en-US"/>
                    </w:rPr>
                    <w:t xml:space="preserve">≤65dB(A)</w:t>
                  </w:r>
                  <w:r>
                    <w:rPr>
                      <w:color w:val="auto"/>
                      <w:highlight w:val="none"/>
                    </w:rPr>
                  </w:r>
                  <w:r/>
                </w:p>
              </w:tc>
            </w:tr>
            <w:tr>
              <w:trPr>
                <w:trHeight w:val="340"/>
              </w:trPr>
              <w:tc>
                <w:tcPr>
                  <w:tcBorders>
                    <w:right w:val="single" w:color="auto" w:sz="4" w:space="0"/>
                  </w:tcBorders>
                  <w:tcW w:w="1185" w:type="dxa"/>
                  <w:vAlign w:val="center"/>
                  <w:textDirection w:val="lrTb"/>
                  <w:noWrap w:val="false"/>
                </w:tcPr>
                <w:p>
                  <w:pPr>
                    <w:spacing w:after="0" w:line="240" w:lineRule="auto"/>
                    <w:widowControl/>
                    <w:rPr>
                      <w:rFonts w:ascii="宋体" w:hAnsi="宋体" w:cs="宋体"/>
                      <w:color w:val="auto"/>
                      <w:szCs w:val="21"/>
                      <w:highlight w:val="none"/>
                    </w:rPr>
                  </w:pPr>
                  <w:r>
                    <w:rPr>
                      <w:rFonts w:hint="eastAsia" w:ascii="宋体" w:hAnsi="宋体" w:cs="宋体"/>
                      <w:color w:val="auto"/>
                      <w:szCs w:val="21"/>
                      <w:highlight w:val="none"/>
                      <w:lang w:bidi="en-US"/>
                    </w:rPr>
                    <w:t xml:space="preserve">功    耗</w:t>
                  </w:r>
                  <w:r>
                    <w:rPr>
                      <w:color w:val="auto"/>
                      <w:highlight w:val="none"/>
                    </w:rPr>
                  </w:r>
                  <w:r/>
                </w:p>
              </w:tc>
              <w:tc>
                <w:tcPr>
                  <w:gridSpan w:val="3"/>
                  <w:tcBorders>
                    <w:left w:val="single" w:color="auto" w:sz="4" w:space="0"/>
                    <w:right w:val="single" w:color="auto" w:sz="4" w:space="0"/>
                  </w:tcBorders>
                  <w:tcW w:w="6150" w:type="dxa"/>
                  <w:vAlign w:val="center"/>
                  <w:textDirection w:val="lrTb"/>
                  <w:noWrap w:val="false"/>
                </w:tcPr>
                <w:p>
                  <w:pPr>
                    <w:spacing w:after="0" w:line="240" w:lineRule="auto"/>
                    <w:widowControl/>
                    <w:rPr>
                      <w:rFonts w:ascii="宋体" w:hAnsi="宋体" w:cs="宋体"/>
                      <w:color w:val="auto"/>
                      <w:szCs w:val="21"/>
                      <w:highlight w:val="none"/>
                    </w:rPr>
                  </w:pPr>
                  <w:r>
                    <w:rPr>
                      <w:rFonts w:hint="eastAsia" w:ascii="宋体" w:hAnsi="宋体" w:cs="宋体"/>
                      <w:color w:val="auto"/>
                      <w:szCs w:val="21"/>
                      <w:highlight w:val="none"/>
                      <w:lang w:bidi="en-US"/>
                    </w:rPr>
                    <w:t xml:space="preserve">＜20W</w:t>
                  </w:r>
                  <w:r>
                    <w:rPr>
                      <w:color w:val="auto"/>
                      <w:highlight w:val="none"/>
                    </w:rPr>
                  </w:r>
                  <w:r/>
                </w:p>
              </w:tc>
            </w:tr>
          </w:tbl>
          <w:p>
            <w:pPr>
              <w:pStyle w:val="778"/>
              <w:ind w:left="0"/>
              <w:rPr>
                <w:color w:val="auto"/>
                <w:highlight w:val="none"/>
              </w:rPr>
            </w:pPr>
            <w:r>
              <w:rPr>
                <w:rFonts w:hint="eastAsia" w:ascii="宋体" w:hAnsi="宋体" w:eastAsia="宋体" w:cs="宋体"/>
                <w:color w:val="auto"/>
                <w:highlight w:val="none"/>
              </w:rPr>
              <w:t xml:space="preserve">4、单台配置：主机一台、主机箱一个、</w:t>
            </w:r>
            <w:r>
              <w:rPr>
                <w:rFonts w:hint="eastAsia" w:ascii="宋体" w:hAnsi="宋体" w:eastAsia="宋体" w:cs="宋体"/>
                <w:color w:val="auto"/>
                <w:highlight w:val="none"/>
              </w:rPr>
              <w:t xml:space="preserve">一</w:t>
            </w:r>
            <w:r>
              <w:rPr>
                <w:rFonts w:hint="eastAsia" w:ascii="宋体" w:hAnsi="宋体" w:eastAsia="宋体" w:cs="宋体"/>
                <w:color w:val="auto"/>
                <w:highlight w:val="none"/>
              </w:rPr>
              <w:t xml:space="preserve">体式烟气多功能预处理器一支</w:t>
            </w:r>
            <w:r>
              <w:rPr>
                <w:color w:val="auto"/>
                <w:highlight w:val="none"/>
              </w:rPr>
            </w:r>
            <w:r/>
          </w:p>
        </w:tc>
      </w:tr>
      <w:tr>
        <w:trPr>
          <w:trHeight w:val="340"/>
        </w:trPr>
        <w:tc>
          <w:tcPr>
            <w:tcMar>
              <w:left w:w="15" w:type="dxa"/>
              <w:top w:w="15" w:type="dxa"/>
              <w:right w:w="15" w:type="dxa"/>
            </w:tcMar>
            <w:tcW w:w="614" w:type="dxa"/>
            <w:vAlign w:val="center"/>
            <w:textDirection w:val="lrTb"/>
            <w:noWrap w:val="false"/>
          </w:tcPr>
          <w:p>
            <w:pPr>
              <w:jc w:val="center"/>
              <w:spacing w:after="0" w:line="240" w:lineRule="auto"/>
              <w:widowControl/>
              <w:rPr>
                <w:rFonts w:ascii="宋体" w:hAnsi="宋体" w:cs="宋体"/>
                <w:color w:val="auto"/>
                <w:szCs w:val="21"/>
                <w:highlight w:val="none"/>
              </w:rPr>
            </w:pPr>
            <w:r>
              <w:rPr>
                <w:rFonts w:hint="eastAsia" w:ascii="宋体" w:hAnsi="宋体" w:cs="宋体"/>
                <w:color w:val="auto"/>
                <w:szCs w:val="21"/>
                <w:highlight w:val="none"/>
              </w:rPr>
              <w:t xml:space="preserve">10</w:t>
            </w:r>
            <w:r>
              <w:rPr>
                <w:color w:val="auto"/>
                <w:highlight w:val="none"/>
              </w:rPr>
            </w:r>
            <w:r/>
          </w:p>
        </w:tc>
        <w:tc>
          <w:tcPr>
            <w:tcMar>
              <w:left w:w="15" w:type="dxa"/>
              <w:top w:w="15" w:type="dxa"/>
              <w:right w:w="15" w:type="dxa"/>
            </w:tcMar>
            <w:tcW w:w="1281" w:type="dxa"/>
            <w:vAlign w:val="center"/>
            <w:textDirection w:val="lrTb"/>
            <w:noWrap w:val="false"/>
          </w:tcPr>
          <w:p>
            <w:pPr>
              <w:jc w:val="center"/>
              <w:spacing w:after="0" w:line="240" w:lineRule="auto"/>
              <w:widowControl/>
              <w:rPr>
                <w:rFonts w:ascii="宋体" w:hAnsi="宋体" w:cs="宋体"/>
                <w:color w:val="auto"/>
                <w:szCs w:val="21"/>
                <w:highlight w:val="none"/>
              </w:rPr>
            </w:pPr>
            <w:r>
              <w:rPr>
                <w:rStyle w:val="1147"/>
                <w:rFonts w:hint="default" w:ascii="宋体" w:hAnsi="宋体" w:eastAsia="宋体" w:cs="宋体"/>
                <w:color w:val="auto"/>
                <w:sz w:val="21"/>
                <w:szCs w:val="21"/>
                <w:highlight w:val="none"/>
              </w:rPr>
              <w:t xml:space="preserve">环境气体应急</w:t>
            </w:r>
            <w:r>
              <w:rPr>
                <w:rStyle w:val="1146"/>
                <w:rFonts w:hint="default" w:ascii="宋体" w:hAnsi="宋体" w:eastAsia="宋体" w:cs="宋体"/>
                <w:color w:val="auto"/>
                <w:sz w:val="21"/>
                <w:szCs w:val="21"/>
                <w:highlight w:val="none"/>
              </w:rPr>
              <w:t xml:space="preserve">检</w:t>
            </w:r>
            <w:r>
              <w:rPr>
                <w:rStyle w:val="1147"/>
                <w:rFonts w:hint="default" w:ascii="宋体" w:hAnsi="宋体" w:eastAsia="宋体" w:cs="宋体"/>
                <w:color w:val="auto"/>
                <w:sz w:val="21"/>
                <w:szCs w:val="21"/>
                <w:highlight w:val="none"/>
              </w:rPr>
              <w:t xml:space="preserve">测仪</w:t>
            </w:r>
            <w:r>
              <w:rPr>
                <w:color w:val="auto"/>
                <w:highlight w:val="none"/>
              </w:rPr>
            </w:r>
            <w:r/>
          </w:p>
        </w:tc>
        <w:tc>
          <w:tcPr>
            <w:tcMar>
              <w:left w:w="15" w:type="dxa"/>
              <w:top w:w="15" w:type="dxa"/>
              <w:right w:w="15" w:type="dxa"/>
            </w:tcMar>
            <w:tcW w:w="7814" w:type="dxa"/>
            <w:vAlign w:val="center"/>
            <w:textDirection w:val="lrTb"/>
            <w:noWrap w:val="false"/>
          </w:tcPr>
          <w:p>
            <w:pPr>
              <w:numPr>
                <w:ilvl w:val="0"/>
                <w:numId w:val="14"/>
              </w:numPr>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主要特点</w:t>
            </w:r>
            <w:r>
              <w:rPr>
                <w:color w:val="auto"/>
                <w:highlight w:val="none"/>
              </w:rPr>
            </w:r>
            <w:r/>
          </w:p>
          <w:p>
            <w:pPr>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1）仪器分体式设计，可通过手操器对主机进行控制</w:t>
            </w:r>
            <w:r>
              <w:rPr>
                <w:color w:val="auto"/>
                <w:highlight w:val="none"/>
              </w:rPr>
            </w:r>
            <w:r/>
          </w:p>
          <w:p>
            <w:pPr>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2）应对不同工况，智能显示终端与主机采用有线或无线双传输模式</w:t>
            </w:r>
            <w:r>
              <w:rPr>
                <w:color w:val="auto"/>
                <w:highlight w:val="none"/>
              </w:rPr>
            </w:r>
            <w:r/>
          </w:p>
          <w:p>
            <w:pPr>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3）★手操器内置打印硬件模块，可直接打印数据（提供图片证明）</w:t>
            </w:r>
            <w:r>
              <w:rPr>
                <w:color w:val="auto"/>
                <w:highlight w:val="none"/>
              </w:rPr>
            </w:r>
            <w:r/>
          </w:p>
          <w:p>
            <w:pPr>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4）★设备具备计量器具型式批准证书，应涵盖的气体项目包含：氧气（O2）、一氧化氮（NO）、二氧化氮（NO2）、硫化氢（H2S）、二氧化碳(CO2)、一氧化碳(CO)、</w:t>
            </w:r>
            <w:r>
              <w:rPr>
                <w:rFonts w:hint="eastAsia" w:ascii="宋体" w:hAnsi="宋体" w:cs="宋体"/>
                <w:color w:val="auto"/>
                <w:szCs w:val="21"/>
                <w:highlight w:val="none"/>
              </w:rPr>
              <w:t xml:space="preserve">甲烷（CH4）、二氧化硫(SO2)等常用气体。（提供证明文件）</w:t>
            </w:r>
            <w:r>
              <w:rPr>
                <w:color w:val="auto"/>
                <w:highlight w:val="none"/>
              </w:rPr>
            </w:r>
            <w:r/>
          </w:p>
          <w:p>
            <w:pPr>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5）气体模块之间为快接设计，无需手动拆卸螺丝进行连接，使用更便捷</w:t>
            </w:r>
            <w:r>
              <w:rPr>
                <w:color w:val="auto"/>
                <w:highlight w:val="none"/>
              </w:rPr>
            </w:r>
            <w:r/>
          </w:p>
          <w:p>
            <w:pPr>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6）配备人机工程学箱包，无需取出仪器即可快速开展检测工作</w:t>
            </w:r>
            <w:r>
              <w:rPr>
                <w:color w:val="auto"/>
                <w:highlight w:val="none"/>
              </w:rPr>
            </w:r>
            <w:r/>
          </w:p>
          <w:p>
            <w:pPr>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7）实时测量大气压、环境温度、环境相对湿度参数</w:t>
            </w:r>
            <w:r>
              <w:rPr>
                <w:color w:val="auto"/>
                <w:highlight w:val="none"/>
              </w:rPr>
            </w:r>
            <w:r/>
          </w:p>
          <w:p>
            <w:pPr>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8）可独立设置不同种类有毒有害气体的限值：TWA、STEL、MAC</w:t>
            </w:r>
            <w:r>
              <w:rPr>
                <w:color w:val="auto"/>
                <w:highlight w:val="none"/>
              </w:rPr>
            </w:r>
            <w:r/>
          </w:p>
          <w:p>
            <w:pPr>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9）仪器</w:t>
            </w:r>
            <w:r>
              <w:rPr>
                <w:rFonts w:hint="eastAsia" w:ascii="宋体" w:hAnsi="宋体" w:cs="宋体"/>
                <w:color w:val="auto"/>
                <w:szCs w:val="21"/>
                <w:highlight w:val="none"/>
              </w:rPr>
              <w:t xml:space="preserve">自带报警灯</w:t>
            </w:r>
            <w:r>
              <w:rPr>
                <w:rFonts w:hint="eastAsia" w:ascii="宋体" w:hAnsi="宋体" w:cs="宋体"/>
                <w:color w:val="auto"/>
                <w:szCs w:val="21"/>
                <w:highlight w:val="none"/>
              </w:rPr>
              <w:t xml:space="preserve">提示，在智能显示终端不在身边时，也可提醒气体浓度超标</w:t>
            </w:r>
            <w:r>
              <w:rPr>
                <w:color w:val="auto"/>
                <w:highlight w:val="none"/>
              </w:rPr>
            </w:r>
            <w:r/>
          </w:p>
          <w:p>
            <w:pPr>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10）主机重量不大于1.0kg（不含控制模块），轻便易携，适合野外工作</w:t>
            </w:r>
            <w:r>
              <w:rPr>
                <w:color w:val="auto"/>
                <w:highlight w:val="none"/>
              </w:rPr>
            </w:r>
            <w:r/>
          </w:p>
          <w:p>
            <w:pPr>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11）★防护等级不低于IP65（提供证书证明）</w:t>
            </w:r>
            <w:r>
              <w:rPr>
                <w:color w:val="auto"/>
                <w:highlight w:val="none"/>
              </w:rPr>
            </w:r>
            <w:r/>
          </w:p>
          <w:p>
            <w:pPr>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12）主机防爆等级不低于Ex d ib IIB T3 Gb</w:t>
            </w:r>
            <w:r>
              <w:rPr>
                <w:color w:val="auto"/>
                <w:highlight w:val="none"/>
              </w:rPr>
            </w:r>
            <w:r/>
          </w:p>
          <w:p>
            <w:pPr>
              <w:numPr>
                <w:ilvl w:val="0"/>
                <w:numId w:val="14"/>
              </w:numPr>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技术指标</w:t>
            </w:r>
            <w:r>
              <w:rPr>
                <w:color w:val="auto"/>
                <w:highlight w:val="none"/>
              </w:rPr>
            </w:r>
            <w:r/>
          </w:p>
          <w:p>
            <w:pPr>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主要参数</w:t>
            </w:r>
            <w:r>
              <w:rPr>
                <w:rFonts w:hint="eastAsia" w:ascii="宋体" w:hAnsi="宋体" w:cs="宋体"/>
                <w:color w:val="auto"/>
                <w:szCs w:val="21"/>
                <w:highlight w:val="none"/>
              </w:rPr>
              <w:tab/>
              <w:t xml:space="preserve">参数范围</w:t>
            </w:r>
            <w:r>
              <w:rPr>
                <w:color w:val="auto"/>
                <w:highlight w:val="none"/>
              </w:rPr>
            </w:r>
            <w:r/>
          </w:p>
          <w:p>
            <w:pPr>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数据存储</w:t>
            </w:r>
            <w:r>
              <w:rPr>
                <w:rFonts w:hint="eastAsia" w:ascii="宋体" w:hAnsi="宋体" w:cs="宋体"/>
                <w:color w:val="auto"/>
                <w:szCs w:val="21"/>
                <w:highlight w:val="none"/>
              </w:rPr>
              <w:tab/>
              <w:t xml:space="preserve">大于5000组</w:t>
            </w:r>
            <w:r>
              <w:rPr>
                <w:color w:val="auto"/>
                <w:highlight w:val="none"/>
              </w:rPr>
            </w:r>
            <w:r/>
          </w:p>
          <w:p>
            <w:pPr>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工作电源</w:t>
            </w:r>
            <w:r>
              <w:rPr>
                <w:rFonts w:hint="eastAsia" w:ascii="宋体" w:hAnsi="宋体" w:cs="宋体"/>
                <w:color w:val="auto"/>
                <w:szCs w:val="21"/>
                <w:highlight w:val="none"/>
              </w:rPr>
              <w:tab/>
              <w:t xml:space="preserve">内置锂电池(7.4V/3.5Ah)或外接5V/3.5A电源适配器</w:t>
            </w:r>
            <w:r>
              <w:rPr>
                <w:color w:val="auto"/>
                <w:highlight w:val="none"/>
              </w:rPr>
            </w:r>
            <w:r/>
          </w:p>
          <w:p>
            <w:pPr>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控制模块   （7.4V/6.8Ah）或5V/3.5A电源适配器</w:t>
            </w:r>
            <w:r>
              <w:rPr>
                <w:color w:val="auto"/>
                <w:highlight w:val="none"/>
              </w:rPr>
            </w:r>
            <w:r/>
          </w:p>
          <w:p>
            <w:pPr>
              <w:numPr>
                <w:ilvl w:val="0"/>
                <w:numId w:val="14"/>
              </w:numPr>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标准配置</w:t>
            </w:r>
            <w:r>
              <w:rPr>
                <w:color w:val="auto"/>
                <w:highlight w:val="none"/>
              </w:rPr>
            </w:r>
            <w:r/>
          </w:p>
          <w:p>
            <w:pPr>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主机、检测模块、平板手操器、充电器及充电线、仪器防护包 </w:t>
            </w:r>
            <w:r>
              <w:rPr>
                <w:color w:val="auto"/>
                <w:highlight w:val="none"/>
              </w:rPr>
            </w:r>
            <w:r/>
          </w:p>
          <w:p>
            <w:pPr>
              <w:numPr>
                <w:ilvl w:val="0"/>
                <w:numId w:val="14"/>
              </w:numPr>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执行标准</w:t>
            </w:r>
            <w:r>
              <w:rPr>
                <w:color w:val="auto"/>
                <w:highlight w:val="none"/>
              </w:rPr>
            </w:r>
            <w:r/>
          </w:p>
          <w:p>
            <w:pPr>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GB 12358-2006   作业场所环境气体检测报警仪通用技术要求</w:t>
            </w:r>
            <w:r>
              <w:rPr>
                <w:color w:val="auto"/>
                <w:highlight w:val="none"/>
              </w:rPr>
            </w:r>
            <w:r/>
          </w:p>
          <w:p>
            <w:pPr>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HJ 872-2017 环境空气、氯气等有毒有害气体的应急监测：电化学传感器法</w:t>
            </w:r>
            <w:r>
              <w:rPr>
                <w:color w:val="auto"/>
                <w:highlight w:val="none"/>
              </w:rPr>
            </w:r>
            <w:r/>
          </w:p>
          <w:p>
            <w:pPr>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JJG 551-2003     二氧化硫气体检测仪检定规程</w:t>
            </w:r>
            <w:r>
              <w:rPr>
                <w:color w:val="auto"/>
                <w:highlight w:val="none"/>
              </w:rPr>
            </w:r>
            <w:r/>
          </w:p>
          <w:p>
            <w:pPr>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JJG 635-2011     一氧化碳、二氧化碳红外气体分析器检定规程</w:t>
            </w:r>
            <w:r>
              <w:rPr>
                <w:color w:val="auto"/>
                <w:highlight w:val="none"/>
              </w:rPr>
            </w:r>
            <w:r/>
          </w:p>
          <w:p>
            <w:pPr>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JJG 693-2011     可燃性气体检测报警器检定规程</w:t>
            </w:r>
            <w:r>
              <w:rPr>
                <w:color w:val="auto"/>
                <w:highlight w:val="none"/>
              </w:rPr>
            </w:r>
            <w:r/>
          </w:p>
          <w:p>
            <w:pPr>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JJG 915-2008     一氧化碳检测报警器检定规程</w:t>
            </w:r>
            <w:r>
              <w:rPr>
                <w:color w:val="auto"/>
                <w:highlight w:val="none"/>
              </w:rPr>
            </w:r>
            <w:r/>
          </w:p>
        </w:tc>
      </w:tr>
      <w:tr>
        <w:trPr>
          <w:trHeight w:val="340"/>
        </w:trPr>
        <w:tc>
          <w:tcPr>
            <w:tcMar>
              <w:left w:w="15" w:type="dxa"/>
              <w:top w:w="15" w:type="dxa"/>
              <w:right w:w="15" w:type="dxa"/>
            </w:tcMar>
            <w:tcW w:w="614" w:type="dxa"/>
            <w:vAlign w:val="center"/>
            <w:textDirection w:val="lrTb"/>
            <w:noWrap w:val="false"/>
          </w:tcPr>
          <w:p>
            <w:pPr>
              <w:jc w:val="center"/>
              <w:spacing w:after="0" w:line="240" w:lineRule="auto"/>
              <w:widowControl/>
              <w:rPr>
                <w:rFonts w:ascii="宋体" w:hAnsi="宋体" w:cs="宋体"/>
                <w:color w:val="auto"/>
                <w:szCs w:val="21"/>
                <w:highlight w:val="none"/>
              </w:rPr>
            </w:pPr>
            <w:r>
              <w:rPr>
                <w:rFonts w:hint="eastAsia" w:ascii="宋体" w:hAnsi="宋体" w:cs="宋体"/>
                <w:color w:val="auto"/>
                <w:szCs w:val="21"/>
                <w:highlight w:val="none"/>
              </w:rPr>
              <w:t xml:space="preserve">11</w:t>
            </w:r>
            <w:r>
              <w:rPr>
                <w:color w:val="auto"/>
                <w:highlight w:val="none"/>
              </w:rPr>
            </w:r>
            <w:r/>
          </w:p>
        </w:tc>
        <w:tc>
          <w:tcPr>
            <w:tcMar>
              <w:left w:w="15" w:type="dxa"/>
              <w:top w:w="15" w:type="dxa"/>
              <w:right w:w="15" w:type="dxa"/>
            </w:tcMar>
            <w:tcW w:w="1281" w:type="dxa"/>
            <w:vAlign w:val="center"/>
            <w:textDirection w:val="lrTb"/>
            <w:noWrap w:val="false"/>
          </w:tcPr>
          <w:p>
            <w:pPr>
              <w:jc w:val="center"/>
              <w:spacing w:after="0" w:line="240" w:lineRule="auto"/>
              <w:widowControl/>
              <w:rPr>
                <w:rFonts w:ascii="宋体" w:hAnsi="宋体" w:cs="宋体"/>
                <w:color w:val="auto"/>
                <w:szCs w:val="21"/>
                <w:highlight w:val="none"/>
              </w:rPr>
            </w:pPr>
            <w:r>
              <w:rPr>
                <w:rFonts w:hint="eastAsia" w:ascii="宋体" w:hAnsi="宋体" w:cs="宋体"/>
                <w:color w:val="auto"/>
                <w:szCs w:val="21"/>
                <w:highlight w:val="none"/>
              </w:rPr>
              <w:t xml:space="preserve">便携式恶臭检测仪</w:t>
            </w:r>
            <w:r>
              <w:rPr>
                <w:color w:val="auto"/>
                <w:highlight w:val="none"/>
              </w:rPr>
            </w:r>
            <w:r/>
          </w:p>
        </w:tc>
        <w:tc>
          <w:tcPr>
            <w:tcMar>
              <w:left w:w="15" w:type="dxa"/>
              <w:top w:w="15" w:type="dxa"/>
              <w:right w:w="15" w:type="dxa"/>
            </w:tcMar>
            <w:tcW w:w="7814" w:type="dxa"/>
            <w:vAlign w:val="center"/>
            <w:textDirection w:val="lrTb"/>
            <w:noWrap w:val="false"/>
          </w:tcPr>
          <w:p>
            <w:pPr>
              <w:spacing w:after="0" w:line="240" w:lineRule="auto"/>
              <w:rPr>
                <w:rFonts w:ascii="宋体" w:hAnsi="宋体" w:cs="宋体"/>
                <w:b/>
                <w:color w:val="auto"/>
                <w:szCs w:val="21"/>
                <w:highlight w:val="none"/>
              </w:rPr>
            </w:pPr>
            <w:r>
              <w:rPr>
                <w:rFonts w:hint="eastAsia" w:ascii="宋体" w:hAnsi="宋体" w:cs="宋体"/>
                <w:color w:val="auto"/>
                <w:szCs w:val="21"/>
                <w:highlight w:val="none"/>
              </w:rPr>
              <w:t xml:space="preserve">满足 GB14554 标准中的“8+1”种恶臭物质浓度检测，同时可监测其它恶臭气体</w:t>
            </w:r>
            <w:r>
              <w:rPr>
                <w:color w:val="auto"/>
                <w:highlight w:val="none"/>
              </w:rPr>
            </w:r>
            <w:r/>
          </w:p>
          <w:p>
            <w:pPr>
              <w:jc w:val="left"/>
              <w:spacing w:after="0" w:line="240" w:lineRule="auto"/>
              <w:rPr>
                <w:rFonts w:ascii="宋体" w:hAnsi="宋体" w:cs="宋体"/>
                <w:b/>
                <w:color w:val="auto"/>
                <w:szCs w:val="21"/>
                <w:highlight w:val="none"/>
              </w:rPr>
            </w:pPr>
            <w:r>
              <w:rPr>
                <w:rFonts w:hint="eastAsia" w:ascii="宋体" w:hAnsi="宋体" w:cs="宋体"/>
                <w:b/>
                <w:color w:val="auto"/>
                <w:szCs w:val="21"/>
                <w:highlight w:val="none"/>
              </w:rPr>
              <w:t xml:space="preserve">主要特点 </w:t>
            </w:r>
            <w:r>
              <w:rPr>
                <w:color w:val="auto"/>
                <w:highlight w:val="none"/>
              </w:rPr>
            </w:r>
            <w:r/>
          </w:p>
          <w:p>
            <w:pPr>
              <w:pStyle w:val="887"/>
              <w:numPr>
                <w:ilvl w:val="0"/>
                <w:numId w:val="15"/>
              </w:numPr>
              <w:ind w:left="0"/>
              <w:spacing w:after="0" w:line="240" w:lineRule="auto"/>
              <w:rPr>
                <w:rFonts w:eastAsia="宋体"/>
                <w:color w:val="auto"/>
                <w:sz w:val="21"/>
                <w:szCs w:val="21"/>
                <w:highlight w:val="none"/>
              </w:rPr>
            </w:pPr>
            <w:r>
              <w:rPr>
                <w:rFonts w:hint="eastAsia" w:eastAsia="宋体"/>
                <w:color w:val="auto"/>
                <w:sz w:val="21"/>
                <w:szCs w:val="21"/>
                <w:highlight w:val="none"/>
                <w:lang w:eastAsia="zh-CN"/>
              </w:rPr>
              <w:t xml:space="preserve">可用于车载监测、</w:t>
            </w:r>
            <w:r>
              <w:rPr>
                <w:rFonts w:hint="eastAsia" w:eastAsia="宋体"/>
                <w:color w:val="auto"/>
                <w:sz w:val="21"/>
                <w:szCs w:val="21"/>
                <w:highlight w:val="none"/>
                <w:lang w:eastAsia="zh-CN"/>
              </w:rPr>
              <w:t xml:space="preserve">走航及</w:t>
            </w:r>
            <w:r>
              <w:rPr>
                <w:rFonts w:hint="eastAsia" w:eastAsia="宋体"/>
                <w:color w:val="auto"/>
                <w:sz w:val="21"/>
                <w:szCs w:val="21"/>
                <w:highlight w:val="none"/>
                <w:lang w:eastAsia="zh-CN"/>
              </w:rPr>
              <w:t xml:space="preserve">应急等多种工作模式，实现对空气质量的监控、追踪及溯源</w:t>
            </w:r>
            <w:r>
              <w:rPr>
                <w:color w:val="auto"/>
                <w:highlight w:val="none"/>
              </w:rPr>
            </w:r>
            <w:r/>
          </w:p>
          <w:p>
            <w:pPr>
              <w:pStyle w:val="887"/>
              <w:numPr>
                <w:ilvl w:val="0"/>
                <w:numId w:val="15"/>
              </w:numPr>
              <w:ind w:left="0"/>
              <w:spacing w:after="0" w:line="240" w:lineRule="auto"/>
              <w:rPr>
                <w:rFonts w:eastAsia="宋体"/>
                <w:color w:val="auto"/>
                <w:sz w:val="21"/>
                <w:szCs w:val="21"/>
                <w:highlight w:val="none"/>
              </w:rPr>
            </w:pPr>
            <w:r>
              <w:rPr>
                <w:rFonts w:hint="eastAsia" w:eastAsia="宋体"/>
                <w:color w:val="auto"/>
                <w:sz w:val="21"/>
                <w:szCs w:val="21"/>
                <w:highlight w:val="none"/>
                <w:lang w:eastAsia="zh-CN"/>
              </w:rPr>
              <w:t xml:space="preserve">仪器采用便携式设计，方便移动，可完成现场应急检测、户外检测等需要</w:t>
            </w:r>
            <w:r>
              <w:rPr>
                <w:color w:val="auto"/>
                <w:highlight w:val="none"/>
              </w:rPr>
            </w:r>
            <w:r/>
          </w:p>
          <w:p>
            <w:pPr>
              <w:pStyle w:val="887"/>
              <w:numPr>
                <w:ilvl w:val="0"/>
                <w:numId w:val="15"/>
              </w:numPr>
              <w:ind w:left="0"/>
              <w:spacing w:after="0" w:line="240" w:lineRule="auto"/>
              <w:rPr>
                <w:rFonts w:eastAsia="宋体"/>
                <w:color w:val="auto"/>
                <w:sz w:val="21"/>
                <w:szCs w:val="21"/>
                <w:highlight w:val="none"/>
              </w:rPr>
            </w:pPr>
            <w:r>
              <w:rPr>
                <w:rFonts w:hint="eastAsia" w:eastAsia="宋体"/>
                <w:color w:val="auto"/>
                <w:sz w:val="21"/>
                <w:szCs w:val="21"/>
                <w:highlight w:val="none"/>
                <w:lang w:eastAsia="zh-CN"/>
              </w:rPr>
              <w:t xml:space="preserve">采用工业级数据传输模块，数据传输稳定可靠，4G、RS485、RS232等多样的通信方式</w:t>
            </w:r>
            <w:r>
              <w:rPr>
                <w:color w:val="auto"/>
                <w:highlight w:val="none"/>
              </w:rPr>
            </w:r>
            <w:r/>
          </w:p>
          <w:p>
            <w:pPr>
              <w:pStyle w:val="887"/>
              <w:numPr>
                <w:ilvl w:val="0"/>
                <w:numId w:val="15"/>
              </w:numPr>
              <w:ind w:left="0"/>
              <w:spacing w:after="0" w:line="240" w:lineRule="auto"/>
              <w:rPr>
                <w:rFonts w:eastAsia="宋体"/>
                <w:color w:val="auto"/>
                <w:sz w:val="21"/>
                <w:szCs w:val="21"/>
                <w:highlight w:val="none"/>
              </w:rPr>
            </w:pPr>
            <w:r>
              <w:rPr>
                <w:rFonts w:hint="eastAsia" w:eastAsia="宋体"/>
                <w:color w:val="auto"/>
                <w:sz w:val="21"/>
                <w:szCs w:val="21"/>
                <w:highlight w:val="none"/>
                <w:lang w:eastAsia="zh-CN"/>
              </w:rPr>
              <w:t xml:space="preserve">支持多种查看方式，本地实时查看读取数据、历史数据，检测数据可通过USB导出</w:t>
            </w:r>
            <w:r>
              <w:rPr>
                <w:color w:val="auto"/>
                <w:highlight w:val="none"/>
              </w:rPr>
            </w:r>
            <w:r/>
          </w:p>
          <w:p>
            <w:pPr>
              <w:pStyle w:val="887"/>
              <w:numPr>
                <w:ilvl w:val="0"/>
                <w:numId w:val="15"/>
              </w:numPr>
              <w:ind w:left="0"/>
              <w:spacing w:after="0" w:line="240" w:lineRule="auto"/>
              <w:rPr>
                <w:rFonts w:eastAsia="宋体"/>
                <w:color w:val="auto"/>
                <w:sz w:val="21"/>
                <w:szCs w:val="21"/>
                <w:highlight w:val="none"/>
              </w:rPr>
            </w:pPr>
            <w:r>
              <w:rPr>
                <w:rFonts w:hint="eastAsia" w:eastAsia="宋体"/>
                <w:color w:val="auto"/>
                <w:sz w:val="21"/>
                <w:szCs w:val="21"/>
                <w:highlight w:val="none"/>
                <w:lang w:eastAsia="zh-CN"/>
              </w:rPr>
              <w:t xml:space="preserve">有效</w:t>
            </w:r>
            <w:r>
              <w:rPr>
                <w:rFonts w:hint="eastAsia" w:eastAsia="宋体"/>
                <w:color w:val="auto"/>
                <w:sz w:val="21"/>
                <w:szCs w:val="21"/>
                <w:highlight w:val="none"/>
                <w:lang w:eastAsia="zh-CN"/>
              </w:rPr>
              <w:t xml:space="preserve">过滤样气中</w:t>
            </w:r>
            <w:r>
              <w:rPr>
                <w:rFonts w:hint="eastAsia" w:eastAsia="宋体"/>
                <w:color w:val="auto"/>
                <w:sz w:val="21"/>
                <w:szCs w:val="21"/>
                <w:highlight w:val="none"/>
                <w:lang w:eastAsia="zh-CN"/>
              </w:rPr>
              <w:t xml:space="preserve">的油气、水汽、粉尘等杂质的预处理设计</w:t>
            </w:r>
            <w:r>
              <w:rPr>
                <w:color w:val="auto"/>
                <w:highlight w:val="none"/>
              </w:rPr>
            </w:r>
            <w:r/>
          </w:p>
          <w:p>
            <w:pPr>
              <w:pStyle w:val="887"/>
              <w:numPr>
                <w:ilvl w:val="0"/>
                <w:numId w:val="15"/>
              </w:numPr>
              <w:ind w:left="0"/>
              <w:spacing w:after="0" w:line="240" w:lineRule="auto"/>
              <w:rPr>
                <w:rFonts w:eastAsia="宋体"/>
                <w:color w:val="auto"/>
                <w:sz w:val="21"/>
                <w:szCs w:val="21"/>
                <w:highlight w:val="none"/>
              </w:rPr>
            </w:pPr>
            <w:r>
              <w:rPr>
                <w:rFonts w:hint="eastAsia" w:eastAsia="宋体"/>
                <w:color w:val="auto"/>
                <w:sz w:val="21"/>
                <w:szCs w:val="21"/>
                <w:highlight w:val="none"/>
                <w:lang w:eastAsia="zh-CN"/>
              </w:rPr>
              <w:t xml:space="preserve">仪器内置温湿度补偿修正算法，消除温湿度变化对测量数据的影响</w:t>
            </w:r>
            <w:r>
              <w:rPr>
                <w:color w:val="auto"/>
                <w:highlight w:val="none"/>
              </w:rPr>
            </w:r>
            <w:r/>
          </w:p>
          <w:p>
            <w:pPr>
              <w:pStyle w:val="887"/>
              <w:numPr>
                <w:ilvl w:val="0"/>
                <w:numId w:val="15"/>
              </w:numPr>
              <w:ind w:left="0"/>
              <w:spacing w:after="0" w:line="240" w:lineRule="auto"/>
              <w:rPr>
                <w:rFonts w:eastAsia="宋体"/>
                <w:color w:val="auto"/>
                <w:sz w:val="21"/>
                <w:szCs w:val="21"/>
                <w:highlight w:val="none"/>
              </w:rPr>
            </w:pPr>
            <w:r>
              <w:rPr>
                <w:rFonts w:hint="eastAsia" w:eastAsia="宋体"/>
                <w:color w:val="auto"/>
                <w:sz w:val="21"/>
                <w:szCs w:val="21"/>
                <w:highlight w:val="none"/>
                <w:lang w:eastAsia="zh-CN"/>
              </w:rPr>
              <w:t xml:space="preserve">内置蓝牙模块</w:t>
            </w:r>
            <w:r>
              <w:rPr>
                <w:rFonts w:hint="eastAsia" w:eastAsia="宋体"/>
                <w:color w:val="auto"/>
                <w:sz w:val="21"/>
                <w:szCs w:val="21"/>
                <w:highlight w:val="none"/>
                <w:lang w:eastAsia="zh-CN"/>
              </w:rPr>
              <w:t xml:space="preserve">，可连接</w:t>
            </w:r>
            <w:r>
              <w:rPr>
                <w:rFonts w:hint="eastAsia" w:eastAsia="宋体"/>
                <w:color w:val="auto"/>
                <w:sz w:val="21"/>
                <w:szCs w:val="21"/>
                <w:highlight w:val="none"/>
                <w:lang w:eastAsia="zh-CN"/>
              </w:rPr>
              <w:t xml:space="preserve">便携式蓝牙打印机</w:t>
            </w:r>
            <w:r>
              <w:rPr>
                <w:rFonts w:hint="eastAsia" w:eastAsia="宋体"/>
                <w:color w:val="auto"/>
                <w:sz w:val="21"/>
                <w:szCs w:val="21"/>
                <w:highlight w:val="none"/>
                <w:lang w:eastAsia="zh-CN"/>
              </w:rPr>
              <w:t xml:space="preserve">轻松掌握实时数据</w:t>
            </w:r>
            <w:r>
              <w:rPr>
                <w:color w:val="auto"/>
                <w:highlight w:val="none"/>
              </w:rPr>
            </w:r>
            <w:r/>
          </w:p>
          <w:p>
            <w:pPr>
              <w:pStyle w:val="887"/>
              <w:numPr>
                <w:ilvl w:val="0"/>
                <w:numId w:val="15"/>
              </w:numPr>
              <w:ind w:left="0"/>
              <w:spacing w:after="0" w:line="240" w:lineRule="auto"/>
              <w:rPr>
                <w:rFonts w:eastAsia="宋体"/>
                <w:color w:val="auto"/>
                <w:sz w:val="21"/>
                <w:szCs w:val="21"/>
                <w:highlight w:val="none"/>
              </w:rPr>
            </w:pPr>
            <w:r>
              <w:rPr>
                <w:rFonts w:hint="eastAsia" w:eastAsia="宋体"/>
                <w:color w:val="auto"/>
                <w:sz w:val="21"/>
                <w:szCs w:val="21"/>
                <w:highlight w:val="none"/>
              </w:rPr>
              <w:t xml:space="preserve">气体浓度单位nmol/mol、umol/mol、mg/m3能快速切换，自动换算</w:t>
            </w:r>
            <w:r>
              <w:rPr>
                <w:color w:val="auto"/>
                <w:highlight w:val="none"/>
              </w:rPr>
            </w:r>
            <w:r/>
          </w:p>
          <w:p>
            <w:pPr>
              <w:pStyle w:val="887"/>
              <w:numPr>
                <w:ilvl w:val="0"/>
                <w:numId w:val="15"/>
              </w:numPr>
              <w:ind w:left="0"/>
              <w:spacing w:after="0" w:line="240" w:lineRule="auto"/>
              <w:rPr>
                <w:rFonts w:eastAsia="宋体"/>
                <w:color w:val="auto"/>
                <w:sz w:val="21"/>
                <w:szCs w:val="21"/>
                <w:highlight w:val="none"/>
              </w:rPr>
            </w:pPr>
            <w:r>
              <w:rPr>
                <w:rFonts w:hint="eastAsia" w:eastAsia="宋体"/>
                <w:color w:val="auto"/>
                <w:sz w:val="21"/>
                <w:szCs w:val="21"/>
                <w:highlight w:val="none"/>
                <w:lang w:eastAsia="zh-CN"/>
              </w:rPr>
              <w:t xml:space="preserve">PP合金树脂外壳，耐高低温，耐磨耐腐蚀</w:t>
            </w:r>
            <w:r>
              <w:rPr>
                <w:color w:val="auto"/>
                <w:highlight w:val="none"/>
              </w:rPr>
            </w:r>
            <w:r/>
          </w:p>
          <w:p>
            <w:pPr>
              <w:pStyle w:val="887"/>
              <w:numPr>
                <w:ilvl w:val="0"/>
                <w:numId w:val="15"/>
              </w:numPr>
              <w:ind w:left="0"/>
              <w:spacing w:after="0" w:line="240" w:lineRule="auto"/>
              <w:rPr>
                <w:rFonts w:eastAsia="宋体"/>
                <w:color w:val="auto"/>
                <w:sz w:val="21"/>
                <w:szCs w:val="21"/>
                <w:highlight w:val="none"/>
              </w:rPr>
            </w:pPr>
            <w:r>
              <w:rPr>
                <w:rFonts w:hint="eastAsia" w:eastAsia="宋体"/>
                <w:color w:val="auto"/>
                <w:sz w:val="21"/>
                <w:szCs w:val="21"/>
                <w:highlight w:val="none"/>
                <w:lang w:eastAsia="zh-CN"/>
              </w:rPr>
              <w:t xml:space="preserve">配备不锈钢采样枪，可用于管道检测</w:t>
            </w:r>
            <w:r>
              <w:rPr>
                <w:color w:val="auto"/>
                <w:highlight w:val="none"/>
              </w:rPr>
            </w:r>
            <w:r/>
          </w:p>
          <w:p>
            <w:pPr>
              <w:pStyle w:val="887"/>
              <w:numPr>
                <w:ilvl w:val="0"/>
                <w:numId w:val="15"/>
              </w:numPr>
              <w:ind w:left="0"/>
              <w:spacing w:after="0" w:line="240" w:lineRule="auto"/>
              <w:rPr>
                <w:rFonts w:eastAsia="宋体"/>
                <w:color w:val="auto"/>
                <w:sz w:val="21"/>
                <w:szCs w:val="21"/>
                <w:highlight w:val="none"/>
              </w:rPr>
            </w:pPr>
            <w:r>
              <w:rPr>
                <w:rFonts w:hint="eastAsia" w:eastAsia="宋体"/>
                <w:color w:val="auto"/>
                <w:sz w:val="21"/>
                <w:szCs w:val="21"/>
                <w:highlight w:val="none"/>
              </w:rPr>
              <w:t xml:space="preserve">内置锂电池供电</w:t>
            </w:r>
            <w:r>
              <w:rPr>
                <w:color w:val="auto"/>
                <w:highlight w:val="none"/>
              </w:rPr>
            </w:r>
            <w:r/>
          </w:p>
          <w:p>
            <w:pPr>
              <w:pStyle w:val="887"/>
              <w:numPr>
                <w:ilvl w:val="0"/>
                <w:numId w:val="15"/>
              </w:numPr>
              <w:ind w:left="0"/>
              <w:spacing w:after="0" w:line="240" w:lineRule="auto"/>
              <w:rPr>
                <w:rFonts w:eastAsia="宋体"/>
                <w:color w:val="auto"/>
                <w:sz w:val="21"/>
                <w:szCs w:val="21"/>
                <w:highlight w:val="none"/>
              </w:rPr>
            </w:pPr>
            <w:r>
              <w:rPr>
                <w:rFonts w:hint="eastAsia" w:eastAsia="宋体"/>
                <w:color w:val="auto"/>
                <w:sz w:val="21"/>
                <w:szCs w:val="21"/>
                <w:highlight w:val="none"/>
                <w:lang w:eastAsia="zh-CN"/>
              </w:rPr>
              <w:t xml:space="preserve">配置彩色触摸显示屏，可现场直观动态显示各个检测数据、历史数据</w:t>
            </w:r>
            <w:r>
              <w:rPr>
                <w:color w:val="auto"/>
                <w:highlight w:val="none"/>
              </w:rPr>
            </w:r>
            <w:r/>
          </w:p>
          <w:p>
            <w:pPr>
              <w:jc w:val="left"/>
              <w:spacing w:after="0" w:line="240" w:lineRule="auto"/>
              <w:rPr>
                <w:rFonts w:ascii="宋体" w:hAnsi="宋体" w:cs="宋体"/>
                <w:b/>
                <w:color w:val="auto"/>
                <w:szCs w:val="21"/>
                <w:highlight w:val="none"/>
              </w:rPr>
            </w:pPr>
            <w:r>
              <w:rPr>
                <w:rFonts w:hint="eastAsia" w:ascii="宋体" w:hAnsi="宋体" w:cs="宋体"/>
                <w:b/>
                <w:color w:val="auto"/>
                <w:szCs w:val="21"/>
                <w:highlight w:val="none"/>
              </w:rPr>
              <w:t xml:space="preserve">技术指标 </w:t>
            </w:r>
            <w:r>
              <w:rPr>
                <w:color w:val="auto"/>
                <w:highlight w:val="none"/>
              </w:rPr>
            </w:r>
            <w:r/>
          </w:p>
          <w:tbl>
            <w:tblPr>
              <w:tblW w:w="6482"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753"/>
              <w:gridCol w:w="810"/>
              <w:gridCol w:w="2487"/>
              <w:gridCol w:w="1432"/>
            </w:tblGrid>
            <w:tr>
              <w:trPr>
                <w:trHeight w:val="57"/>
              </w:trPr>
              <w:tc>
                <w:tcPr>
                  <w:gridSpan w:val="4"/>
                  <w:tcBorders>
                    <w:top w:val="single" w:color="auto" w:sz="4" w:space="0"/>
                    <w:left w:val="single" w:color="auto" w:sz="4" w:space="0"/>
                    <w:bottom w:val="single" w:color="auto" w:sz="4" w:space="0"/>
                    <w:right w:val="single" w:color="auto" w:sz="4" w:space="0"/>
                  </w:tcBorders>
                  <w:tcW w:w="6482" w:type="dxa"/>
                  <w:vAlign w:val="center"/>
                  <w:textDirection w:val="lrTb"/>
                  <w:noWrap w:val="false"/>
                </w:tcPr>
                <w:p>
                  <w:pPr>
                    <w:jc w:val="center"/>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传感器技术参数</w:t>
                  </w:r>
                  <w:r>
                    <w:rPr>
                      <w:color w:val="auto"/>
                      <w:highlight w:val="none"/>
                    </w:rPr>
                  </w:r>
                  <w:r/>
                </w:p>
              </w:tc>
            </w:tr>
            <w:tr>
              <w:trPr>
                <w:trHeight w:val="57"/>
              </w:trPr>
              <w:tc>
                <w:tcPr>
                  <w:gridSpan w:val="2"/>
                  <w:tcBorders>
                    <w:top w:val="single" w:color="auto" w:sz="4" w:space="0"/>
                    <w:left w:val="single" w:color="auto" w:sz="4" w:space="0"/>
                    <w:bottom w:val="single" w:color="auto" w:sz="4" w:space="0"/>
                    <w:right w:val="single" w:color="auto" w:sz="4" w:space="0"/>
                  </w:tcBorders>
                  <w:tcW w:w="2563" w:type="dxa"/>
                  <w:vAlign w:val="center"/>
                  <w:textDirection w:val="lrTb"/>
                  <w:noWrap w:val="false"/>
                </w:tcPr>
                <w:p>
                  <w:pPr>
                    <w:jc w:val="center"/>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主要参数</w:t>
                  </w:r>
                  <w:r>
                    <w:rPr>
                      <w:color w:val="auto"/>
                      <w:highlight w:val="none"/>
                    </w:rPr>
                  </w:r>
                  <w:r/>
                </w:p>
              </w:tc>
              <w:tc>
                <w:tcPr>
                  <w:tcBorders>
                    <w:top w:val="single" w:color="auto" w:sz="4" w:space="0"/>
                    <w:left w:val="single" w:color="auto" w:sz="4" w:space="0"/>
                    <w:bottom w:val="single" w:color="auto" w:sz="4" w:space="0"/>
                    <w:right w:val="single" w:color="auto" w:sz="4" w:space="0"/>
                  </w:tcBorders>
                  <w:tcW w:w="2487" w:type="dxa"/>
                  <w:vAlign w:val="center"/>
                  <w:textDirection w:val="lrTb"/>
                  <w:noWrap w:val="false"/>
                </w:tcPr>
                <w:p>
                  <w:pPr>
                    <w:jc w:val="center"/>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参数范围</w:t>
                  </w:r>
                  <w:r>
                    <w:rPr>
                      <w:color w:val="auto"/>
                      <w:highlight w:val="none"/>
                    </w:rPr>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分辨率</w:t>
                  </w:r>
                  <w:r>
                    <w:rPr>
                      <w:color w:val="auto"/>
                      <w:highlight w:val="none"/>
                    </w:rPr>
                  </w:r>
                  <w:r/>
                </w:p>
              </w:tc>
            </w:tr>
            <w:tr>
              <w:trPr>
                <w:trHeight w:val="57"/>
              </w:trPr>
              <w:tc>
                <w:tcPr>
                  <w:tcBorders>
                    <w:top w:val="single" w:color="auto" w:sz="4" w:space="0"/>
                    <w:left w:val="single" w:color="auto" w:sz="4" w:space="0"/>
                    <w:bottom w:val="single" w:color="auto" w:sz="4" w:space="0"/>
                    <w:right w:val="single" w:color="auto" w:sz="4" w:space="0"/>
                  </w:tcBorders>
                  <w:tcW w:w="1753" w:type="dxa"/>
                  <w:vAlign w:val="center"/>
                  <w:textDirection w:val="lrTb"/>
                  <w:noWrap w:val="false"/>
                </w:tcPr>
                <w:p>
                  <w:pPr>
                    <w:jc w:val="center"/>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臭气浓度</w:t>
                  </w:r>
                  <w:r>
                    <w:rPr>
                      <w:color w:val="auto"/>
                      <w:highlight w:val="none"/>
                    </w:rPr>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OU</w:t>
                  </w:r>
                  <w:r>
                    <w:rPr>
                      <w:color w:val="auto"/>
                      <w:highlight w:val="none"/>
                    </w:rPr>
                  </w:r>
                  <w:r/>
                </w:p>
              </w:tc>
              <w:tc>
                <w:tcPr>
                  <w:tcBorders>
                    <w:top w:val="single" w:color="auto" w:sz="4" w:space="0"/>
                    <w:left w:val="single" w:color="auto" w:sz="4" w:space="0"/>
                    <w:bottom w:val="single" w:color="auto" w:sz="4" w:space="0"/>
                    <w:right w:val="single" w:color="auto" w:sz="4" w:space="0"/>
                  </w:tcBorders>
                  <w:tcW w:w="2487" w:type="dxa"/>
                  <w:vAlign w:val="center"/>
                  <w:textDirection w:val="lrTb"/>
                  <w:noWrap w:val="false"/>
                </w:tcPr>
                <w:p>
                  <w:pPr>
                    <w:jc w:val="center"/>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0~500</w:t>
                  </w:r>
                  <w:r>
                    <w:rPr>
                      <w:color w:val="auto"/>
                      <w:highlight w:val="none"/>
                    </w:rPr>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1</w:t>
                  </w:r>
                  <w:r>
                    <w:rPr>
                      <w:color w:val="auto"/>
                      <w:highlight w:val="none"/>
                    </w:rPr>
                  </w:r>
                  <w:r/>
                </w:p>
              </w:tc>
            </w:tr>
            <w:tr>
              <w:trPr>
                <w:trHeight w:val="57"/>
              </w:trPr>
              <w:tc>
                <w:tcPr>
                  <w:tcBorders>
                    <w:top w:val="single" w:color="auto" w:sz="4" w:space="0"/>
                    <w:left w:val="single" w:color="auto" w:sz="4" w:space="0"/>
                    <w:bottom w:val="single" w:color="auto" w:sz="4" w:space="0"/>
                    <w:right w:val="single" w:color="auto" w:sz="4" w:space="0"/>
                  </w:tcBorders>
                  <w:tcW w:w="1753" w:type="dxa"/>
                  <w:vAlign w:val="center"/>
                  <w:textDirection w:val="lrTb"/>
                  <w:noWrap w:val="false"/>
                </w:tcPr>
                <w:p>
                  <w:pPr>
                    <w:jc w:val="center"/>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氨气</w:t>
                  </w:r>
                  <w:r>
                    <w:rPr>
                      <w:color w:val="auto"/>
                      <w:highlight w:val="none"/>
                    </w:rPr>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NH</w:t>
                  </w:r>
                  <w:r>
                    <w:rPr>
                      <w:rFonts w:hint="eastAsia" w:ascii="宋体" w:hAnsi="宋体" w:cs="宋体"/>
                      <w:color w:val="auto"/>
                      <w:szCs w:val="21"/>
                      <w:highlight w:val="none"/>
                      <w:vertAlign w:val="subscript"/>
                    </w:rPr>
                    <w:t xml:space="preserve">3</w:t>
                  </w:r>
                  <w:r>
                    <w:rPr>
                      <w:color w:val="auto"/>
                      <w:highlight w:val="none"/>
                    </w:rPr>
                  </w:r>
                  <w:r/>
                </w:p>
              </w:tc>
              <w:tc>
                <w:tcPr>
                  <w:tcBorders>
                    <w:top w:val="single" w:color="auto" w:sz="4" w:space="0"/>
                    <w:left w:val="single" w:color="auto" w:sz="4" w:space="0"/>
                    <w:bottom w:val="single" w:color="auto" w:sz="4" w:space="0"/>
                    <w:right w:val="single" w:color="auto" w:sz="4" w:space="0"/>
                  </w:tcBorders>
                  <w:tcW w:w="2487" w:type="dxa"/>
                  <w:vAlign w:val="center"/>
                  <w:textDirection w:val="lrTb"/>
                  <w:noWrap w:val="false"/>
                </w:tcPr>
                <w:p>
                  <w:pPr>
                    <w:jc w:val="center"/>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（0~10）ppm</w:t>
                  </w:r>
                  <w:r>
                    <w:rPr>
                      <w:color w:val="auto"/>
                      <w:highlight w:val="none"/>
                    </w:rPr>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0.01ppm</w:t>
                  </w:r>
                  <w:r>
                    <w:rPr>
                      <w:color w:val="auto"/>
                      <w:highlight w:val="none"/>
                    </w:rPr>
                  </w:r>
                  <w:r/>
                </w:p>
              </w:tc>
            </w:tr>
            <w:tr>
              <w:trPr>
                <w:trHeight w:val="57"/>
              </w:trPr>
              <w:tc>
                <w:tcPr>
                  <w:tcBorders>
                    <w:top w:val="single" w:color="auto" w:sz="4" w:space="0"/>
                    <w:left w:val="single" w:color="auto" w:sz="4" w:space="0"/>
                    <w:bottom w:val="single" w:color="auto" w:sz="4" w:space="0"/>
                    <w:right w:val="single" w:color="auto" w:sz="4" w:space="0"/>
                  </w:tcBorders>
                  <w:tcW w:w="1753" w:type="dxa"/>
                  <w:vAlign w:val="center"/>
                  <w:textDirection w:val="lrTb"/>
                  <w:noWrap w:val="false"/>
                </w:tcPr>
                <w:p>
                  <w:pPr>
                    <w:jc w:val="center"/>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三甲胺</w:t>
                  </w:r>
                  <w:r>
                    <w:rPr>
                      <w:color w:val="auto"/>
                      <w:highlight w:val="none"/>
                    </w:rPr>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C</w:t>
                  </w:r>
                  <w:r>
                    <w:rPr>
                      <w:rFonts w:hint="eastAsia" w:ascii="宋体" w:hAnsi="宋体" w:cs="宋体"/>
                      <w:color w:val="auto"/>
                      <w:szCs w:val="21"/>
                      <w:highlight w:val="none"/>
                      <w:vertAlign w:val="subscript"/>
                    </w:rPr>
                    <w:t xml:space="preserve">3</w:t>
                  </w:r>
                  <w:r>
                    <w:rPr>
                      <w:rFonts w:hint="eastAsia" w:ascii="宋体" w:hAnsi="宋体" w:cs="宋体"/>
                      <w:color w:val="auto"/>
                      <w:szCs w:val="21"/>
                      <w:highlight w:val="none"/>
                    </w:rPr>
                    <w:t xml:space="preserve">H</w:t>
                  </w:r>
                  <w:r>
                    <w:rPr>
                      <w:rFonts w:hint="eastAsia" w:ascii="宋体" w:hAnsi="宋体" w:cs="宋体"/>
                      <w:color w:val="auto"/>
                      <w:szCs w:val="21"/>
                      <w:highlight w:val="none"/>
                      <w:vertAlign w:val="subscript"/>
                    </w:rPr>
                    <w:t xml:space="preserve">9</w:t>
                  </w:r>
                  <w:r>
                    <w:rPr>
                      <w:rFonts w:hint="eastAsia" w:ascii="宋体" w:hAnsi="宋体" w:cs="宋体"/>
                      <w:color w:val="auto"/>
                      <w:szCs w:val="21"/>
                      <w:highlight w:val="none"/>
                    </w:rPr>
                    <w:t xml:space="preserve">N</w:t>
                  </w:r>
                  <w:r>
                    <w:rPr>
                      <w:color w:val="auto"/>
                      <w:highlight w:val="none"/>
                    </w:rPr>
                  </w:r>
                  <w:r/>
                </w:p>
              </w:tc>
              <w:tc>
                <w:tcPr>
                  <w:tcBorders>
                    <w:top w:val="single" w:color="auto" w:sz="4" w:space="0"/>
                    <w:left w:val="single" w:color="auto" w:sz="4" w:space="0"/>
                    <w:bottom w:val="single" w:color="auto" w:sz="4" w:space="0"/>
                    <w:right w:val="single" w:color="auto" w:sz="4" w:space="0"/>
                  </w:tcBorders>
                  <w:tcW w:w="2487" w:type="dxa"/>
                  <w:vAlign w:val="center"/>
                  <w:textDirection w:val="lrTb"/>
                  <w:noWrap w:val="false"/>
                </w:tcPr>
                <w:p>
                  <w:pPr>
                    <w:jc w:val="center"/>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（0~10）ppm</w:t>
                  </w:r>
                  <w:r>
                    <w:rPr>
                      <w:color w:val="auto"/>
                      <w:highlight w:val="none"/>
                    </w:rPr>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0.01ppm</w:t>
                  </w:r>
                  <w:r>
                    <w:rPr>
                      <w:color w:val="auto"/>
                      <w:highlight w:val="none"/>
                    </w:rPr>
                  </w:r>
                  <w:r/>
                </w:p>
              </w:tc>
            </w:tr>
            <w:tr>
              <w:trPr>
                <w:trHeight w:val="57"/>
              </w:trPr>
              <w:tc>
                <w:tcPr>
                  <w:tcBorders>
                    <w:top w:val="single" w:color="auto" w:sz="4" w:space="0"/>
                    <w:left w:val="single" w:color="auto" w:sz="4" w:space="0"/>
                    <w:bottom w:val="single" w:color="auto" w:sz="4" w:space="0"/>
                    <w:right w:val="single" w:color="auto" w:sz="4" w:space="0"/>
                  </w:tcBorders>
                  <w:tcW w:w="1753" w:type="dxa"/>
                  <w:vAlign w:val="center"/>
                  <w:textDirection w:val="lrTb"/>
                  <w:noWrap w:val="false"/>
                </w:tcPr>
                <w:p>
                  <w:pPr>
                    <w:jc w:val="center"/>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硫化氢</w:t>
                  </w:r>
                  <w:r>
                    <w:rPr>
                      <w:color w:val="auto"/>
                      <w:highlight w:val="none"/>
                    </w:rPr>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H</w:t>
                  </w:r>
                  <w:r>
                    <w:rPr>
                      <w:rFonts w:hint="eastAsia" w:ascii="宋体" w:hAnsi="宋体" w:cs="宋体"/>
                      <w:color w:val="auto"/>
                      <w:szCs w:val="21"/>
                      <w:highlight w:val="none"/>
                      <w:vertAlign w:val="subscript"/>
                    </w:rPr>
                    <w:t xml:space="preserve">2</w:t>
                  </w:r>
                  <w:r>
                    <w:rPr>
                      <w:rFonts w:hint="eastAsia" w:ascii="宋体" w:hAnsi="宋体" w:cs="宋体"/>
                      <w:color w:val="auto"/>
                      <w:szCs w:val="21"/>
                      <w:highlight w:val="none"/>
                    </w:rPr>
                    <w:t xml:space="preserve">S</w:t>
                  </w:r>
                  <w:r>
                    <w:rPr>
                      <w:color w:val="auto"/>
                      <w:highlight w:val="none"/>
                    </w:rPr>
                  </w:r>
                  <w:r/>
                </w:p>
              </w:tc>
              <w:tc>
                <w:tcPr>
                  <w:tcBorders>
                    <w:top w:val="single" w:color="auto" w:sz="4" w:space="0"/>
                    <w:left w:val="single" w:color="auto" w:sz="4" w:space="0"/>
                    <w:bottom w:val="single" w:color="auto" w:sz="4" w:space="0"/>
                    <w:right w:val="single" w:color="auto" w:sz="4" w:space="0"/>
                  </w:tcBorders>
                  <w:tcW w:w="2487" w:type="dxa"/>
                  <w:vAlign w:val="center"/>
                  <w:textDirection w:val="lrTb"/>
                  <w:noWrap w:val="false"/>
                </w:tcPr>
                <w:p>
                  <w:pPr>
                    <w:jc w:val="center"/>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（0~10）ppm</w:t>
                  </w:r>
                  <w:r>
                    <w:rPr>
                      <w:color w:val="auto"/>
                      <w:highlight w:val="none"/>
                    </w:rPr>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0.01ppm</w:t>
                  </w:r>
                  <w:r>
                    <w:rPr>
                      <w:color w:val="auto"/>
                      <w:highlight w:val="none"/>
                    </w:rPr>
                  </w:r>
                  <w:r/>
                </w:p>
              </w:tc>
            </w:tr>
            <w:tr>
              <w:trPr>
                <w:trHeight w:val="57"/>
              </w:trPr>
              <w:tc>
                <w:tcPr>
                  <w:tcBorders>
                    <w:top w:val="single" w:color="auto" w:sz="4" w:space="0"/>
                    <w:left w:val="single" w:color="auto" w:sz="4" w:space="0"/>
                    <w:bottom w:val="single" w:color="auto" w:sz="4" w:space="0"/>
                    <w:right w:val="single" w:color="auto" w:sz="4" w:space="0"/>
                  </w:tcBorders>
                  <w:tcW w:w="1753" w:type="dxa"/>
                  <w:vAlign w:val="center"/>
                  <w:textDirection w:val="lrTb"/>
                  <w:noWrap w:val="false"/>
                </w:tcPr>
                <w:p>
                  <w:pPr>
                    <w:jc w:val="center"/>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甲硫醇</w:t>
                  </w:r>
                  <w:r>
                    <w:rPr>
                      <w:color w:val="auto"/>
                      <w:highlight w:val="none"/>
                    </w:rPr>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CH</w:t>
                  </w:r>
                  <w:r>
                    <w:rPr>
                      <w:rFonts w:hint="eastAsia" w:ascii="宋体" w:hAnsi="宋体" w:cs="宋体"/>
                      <w:color w:val="auto"/>
                      <w:szCs w:val="21"/>
                      <w:highlight w:val="none"/>
                      <w:vertAlign w:val="subscript"/>
                    </w:rPr>
                    <w:t xml:space="preserve">4</w:t>
                  </w:r>
                  <w:r>
                    <w:rPr>
                      <w:rFonts w:hint="eastAsia" w:ascii="宋体" w:hAnsi="宋体" w:cs="宋体"/>
                      <w:color w:val="auto"/>
                      <w:szCs w:val="21"/>
                      <w:highlight w:val="none"/>
                    </w:rPr>
                    <w:t xml:space="preserve">S</w:t>
                  </w:r>
                  <w:r>
                    <w:rPr>
                      <w:color w:val="auto"/>
                      <w:highlight w:val="none"/>
                    </w:rPr>
                  </w:r>
                  <w:r/>
                </w:p>
              </w:tc>
              <w:tc>
                <w:tcPr>
                  <w:tcBorders>
                    <w:top w:val="single" w:color="auto" w:sz="4" w:space="0"/>
                    <w:left w:val="single" w:color="auto" w:sz="4" w:space="0"/>
                    <w:bottom w:val="single" w:color="auto" w:sz="4" w:space="0"/>
                    <w:right w:val="single" w:color="auto" w:sz="4" w:space="0"/>
                  </w:tcBorders>
                  <w:tcW w:w="2487" w:type="dxa"/>
                  <w:vAlign w:val="center"/>
                  <w:textDirection w:val="lrTb"/>
                  <w:noWrap w:val="false"/>
                </w:tcPr>
                <w:p>
                  <w:pPr>
                    <w:jc w:val="center"/>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（0~10）ppm</w:t>
                  </w:r>
                  <w:r>
                    <w:rPr>
                      <w:color w:val="auto"/>
                      <w:highlight w:val="none"/>
                    </w:rPr>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0.01ppm</w:t>
                  </w:r>
                  <w:r>
                    <w:rPr>
                      <w:color w:val="auto"/>
                      <w:highlight w:val="none"/>
                    </w:rPr>
                  </w:r>
                  <w:r/>
                </w:p>
              </w:tc>
            </w:tr>
            <w:tr>
              <w:trPr>
                <w:trHeight w:val="57"/>
              </w:trPr>
              <w:tc>
                <w:tcPr>
                  <w:tcBorders>
                    <w:top w:val="single" w:color="auto" w:sz="4" w:space="0"/>
                    <w:left w:val="single" w:color="auto" w:sz="4" w:space="0"/>
                    <w:bottom w:val="single" w:color="auto" w:sz="4" w:space="0"/>
                    <w:right w:val="single" w:color="auto" w:sz="4" w:space="0"/>
                  </w:tcBorders>
                  <w:tcW w:w="1753" w:type="dxa"/>
                  <w:vAlign w:val="center"/>
                  <w:textDirection w:val="lrTb"/>
                  <w:noWrap w:val="false"/>
                </w:tcPr>
                <w:p>
                  <w:pPr>
                    <w:jc w:val="center"/>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甲硫醚</w:t>
                  </w:r>
                  <w:r>
                    <w:rPr>
                      <w:color w:val="auto"/>
                      <w:highlight w:val="none"/>
                    </w:rPr>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C</w:t>
                  </w:r>
                  <w:r>
                    <w:rPr>
                      <w:rFonts w:hint="eastAsia" w:ascii="宋体" w:hAnsi="宋体" w:cs="宋体"/>
                      <w:color w:val="auto"/>
                      <w:szCs w:val="21"/>
                      <w:highlight w:val="none"/>
                      <w:vertAlign w:val="subscript"/>
                    </w:rPr>
                    <w:t xml:space="preserve">2</w:t>
                  </w:r>
                  <w:r>
                    <w:rPr>
                      <w:rFonts w:hint="eastAsia" w:ascii="宋体" w:hAnsi="宋体" w:cs="宋体"/>
                      <w:color w:val="auto"/>
                      <w:szCs w:val="21"/>
                      <w:highlight w:val="none"/>
                    </w:rPr>
                    <w:t xml:space="preserve">SH</w:t>
                  </w:r>
                  <w:r>
                    <w:rPr>
                      <w:rFonts w:hint="eastAsia" w:ascii="宋体" w:hAnsi="宋体" w:cs="宋体"/>
                      <w:color w:val="auto"/>
                      <w:szCs w:val="21"/>
                      <w:highlight w:val="none"/>
                      <w:vertAlign w:val="subscript"/>
                    </w:rPr>
                    <w:t xml:space="preserve">6</w:t>
                  </w:r>
                  <w:r>
                    <w:rPr>
                      <w:color w:val="auto"/>
                      <w:highlight w:val="none"/>
                    </w:rPr>
                  </w:r>
                  <w:r/>
                </w:p>
              </w:tc>
              <w:tc>
                <w:tcPr>
                  <w:tcBorders>
                    <w:top w:val="single" w:color="auto" w:sz="4" w:space="0"/>
                    <w:left w:val="single" w:color="auto" w:sz="4" w:space="0"/>
                    <w:bottom w:val="single" w:color="auto" w:sz="4" w:space="0"/>
                    <w:right w:val="single" w:color="auto" w:sz="4" w:space="0"/>
                  </w:tcBorders>
                  <w:tcW w:w="2487" w:type="dxa"/>
                  <w:vAlign w:val="center"/>
                  <w:textDirection w:val="lrTb"/>
                  <w:noWrap w:val="false"/>
                </w:tcPr>
                <w:p>
                  <w:pPr>
                    <w:jc w:val="center"/>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（0~10）ppm</w:t>
                  </w:r>
                  <w:r>
                    <w:rPr>
                      <w:color w:val="auto"/>
                      <w:highlight w:val="none"/>
                    </w:rPr>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0.01ppm</w:t>
                  </w:r>
                  <w:r>
                    <w:rPr>
                      <w:color w:val="auto"/>
                      <w:highlight w:val="none"/>
                    </w:rPr>
                  </w:r>
                  <w:r/>
                </w:p>
              </w:tc>
            </w:tr>
            <w:tr>
              <w:trPr>
                <w:trHeight w:val="57"/>
              </w:trPr>
              <w:tc>
                <w:tcPr>
                  <w:tcBorders>
                    <w:top w:val="single" w:color="auto" w:sz="4" w:space="0"/>
                    <w:left w:val="single" w:color="auto" w:sz="4" w:space="0"/>
                    <w:bottom w:val="single" w:color="auto" w:sz="4" w:space="0"/>
                    <w:right w:val="single" w:color="auto" w:sz="4" w:space="0"/>
                  </w:tcBorders>
                  <w:tcW w:w="1753" w:type="dxa"/>
                  <w:vAlign w:val="center"/>
                  <w:textDirection w:val="lrTb"/>
                  <w:noWrap w:val="false"/>
                </w:tcPr>
                <w:p>
                  <w:pPr>
                    <w:jc w:val="center"/>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二甲二硫醚</w:t>
                  </w:r>
                  <w:r>
                    <w:rPr>
                      <w:color w:val="auto"/>
                      <w:highlight w:val="none"/>
                    </w:rPr>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C</w:t>
                  </w:r>
                  <w:r>
                    <w:rPr>
                      <w:rFonts w:hint="eastAsia" w:ascii="宋体" w:hAnsi="宋体" w:cs="宋体"/>
                      <w:color w:val="auto"/>
                      <w:szCs w:val="21"/>
                      <w:highlight w:val="none"/>
                      <w:vertAlign w:val="subscript"/>
                    </w:rPr>
                    <w:t xml:space="preserve">2</w:t>
                  </w:r>
                  <w:r>
                    <w:rPr>
                      <w:rFonts w:hint="eastAsia" w:ascii="宋体" w:hAnsi="宋体" w:cs="宋体"/>
                      <w:color w:val="auto"/>
                      <w:szCs w:val="21"/>
                      <w:highlight w:val="none"/>
                    </w:rPr>
                    <w:t xml:space="preserve">H</w:t>
                  </w:r>
                  <w:r>
                    <w:rPr>
                      <w:rFonts w:hint="eastAsia" w:ascii="宋体" w:hAnsi="宋体" w:cs="宋体"/>
                      <w:color w:val="auto"/>
                      <w:szCs w:val="21"/>
                      <w:highlight w:val="none"/>
                      <w:vertAlign w:val="subscript"/>
                    </w:rPr>
                    <w:t xml:space="preserve">6</w:t>
                  </w:r>
                  <w:r>
                    <w:rPr>
                      <w:rFonts w:hint="eastAsia" w:ascii="宋体" w:hAnsi="宋体" w:cs="宋体"/>
                      <w:color w:val="auto"/>
                      <w:szCs w:val="21"/>
                      <w:highlight w:val="none"/>
                    </w:rPr>
                    <w:t xml:space="preserve">S</w:t>
                  </w:r>
                  <w:r>
                    <w:rPr>
                      <w:rFonts w:hint="eastAsia" w:ascii="宋体" w:hAnsi="宋体" w:cs="宋体"/>
                      <w:color w:val="auto"/>
                      <w:szCs w:val="21"/>
                      <w:highlight w:val="none"/>
                      <w:vertAlign w:val="subscript"/>
                    </w:rPr>
                    <w:t xml:space="preserve">2</w:t>
                  </w:r>
                  <w:r>
                    <w:rPr>
                      <w:color w:val="auto"/>
                      <w:highlight w:val="none"/>
                    </w:rPr>
                  </w:r>
                  <w:r/>
                </w:p>
              </w:tc>
              <w:tc>
                <w:tcPr>
                  <w:tcBorders>
                    <w:top w:val="single" w:color="auto" w:sz="4" w:space="0"/>
                    <w:left w:val="single" w:color="auto" w:sz="4" w:space="0"/>
                    <w:bottom w:val="single" w:color="auto" w:sz="4" w:space="0"/>
                    <w:right w:val="single" w:color="auto" w:sz="4" w:space="0"/>
                  </w:tcBorders>
                  <w:tcW w:w="2487" w:type="dxa"/>
                  <w:vAlign w:val="center"/>
                  <w:textDirection w:val="lrTb"/>
                  <w:noWrap w:val="false"/>
                </w:tcPr>
                <w:p>
                  <w:pPr>
                    <w:jc w:val="center"/>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（0~10）ppm</w:t>
                  </w:r>
                  <w:r>
                    <w:rPr>
                      <w:color w:val="auto"/>
                      <w:highlight w:val="none"/>
                    </w:rPr>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0.01ppm</w:t>
                  </w:r>
                  <w:r>
                    <w:rPr>
                      <w:color w:val="auto"/>
                      <w:highlight w:val="none"/>
                    </w:rPr>
                  </w:r>
                  <w:r/>
                </w:p>
              </w:tc>
            </w:tr>
            <w:tr>
              <w:trPr>
                <w:trHeight w:val="57"/>
              </w:trPr>
              <w:tc>
                <w:tcPr>
                  <w:tcBorders>
                    <w:top w:val="single" w:color="auto" w:sz="4" w:space="0"/>
                    <w:left w:val="single" w:color="auto" w:sz="4" w:space="0"/>
                    <w:bottom w:val="single" w:color="auto" w:sz="4" w:space="0"/>
                    <w:right w:val="single" w:color="auto" w:sz="4" w:space="0"/>
                  </w:tcBorders>
                  <w:tcW w:w="1753" w:type="dxa"/>
                  <w:vAlign w:val="center"/>
                  <w:textDirection w:val="lrTb"/>
                  <w:noWrap w:val="false"/>
                </w:tcPr>
                <w:p>
                  <w:pPr>
                    <w:jc w:val="center"/>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二硫化碳</w:t>
                  </w:r>
                  <w:r>
                    <w:rPr>
                      <w:color w:val="auto"/>
                      <w:highlight w:val="none"/>
                    </w:rPr>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CS</w:t>
                  </w:r>
                  <w:r>
                    <w:rPr>
                      <w:rFonts w:hint="eastAsia" w:ascii="宋体" w:hAnsi="宋体" w:cs="宋体"/>
                      <w:color w:val="auto"/>
                      <w:szCs w:val="21"/>
                      <w:highlight w:val="none"/>
                      <w:vertAlign w:val="subscript"/>
                    </w:rPr>
                    <w:t xml:space="preserve">2</w:t>
                  </w:r>
                  <w:r>
                    <w:rPr>
                      <w:color w:val="auto"/>
                      <w:highlight w:val="none"/>
                    </w:rPr>
                  </w:r>
                  <w:r/>
                </w:p>
              </w:tc>
              <w:tc>
                <w:tcPr>
                  <w:tcBorders>
                    <w:top w:val="single" w:color="auto" w:sz="4" w:space="0"/>
                    <w:left w:val="single" w:color="auto" w:sz="4" w:space="0"/>
                    <w:bottom w:val="single" w:color="auto" w:sz="4" w:space="0"/>
                    <w:right w:val="single" w:color="auto" w:sz="4" w:space="0"/>
                  </w:tcBorders>
                  <w:tcW w:w="2487" w:type="dxa"/>
                  <w:vAlign w:val="center"/>
                  <w:textDirection w:val="lrTb"/>
                  <w:noWrap w:val="false"/>
                </w:tcPr>
                <w:p>
                  <w:pPr>
                    <w:jc w:val="center"/>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（0~10）ppm</w:t>
                  </w:r>
                  <w:r>
                    <w:rPr>
                      <w:color w:val="auto"/>
                      <w:highlight w:val="none"/>
                    </w:rPr>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0.01ppm</w:t>
                  </w:r>
                  <w:r>
                    <w:rPr>
                      <w:color w:val="auto"/>
                      <w:highlight w:val="none"/>
                    </w:rPr>
                  </w:r>
                  <w:r/>
                </w:p>
              </w:tc>
            </w:tr>
            <w:tr>
              <w:trPr>
                <w:trHeight w:val="57"/>
              </w:trPr>
              <w:tc>
                <w:tcPr>
                  <w:tcBorders>
                    <w:top w:val="single" w:color="auto" w:sz="4" w:space="0"/>
                    <w:left w:val="single" w:color="auto" w:sz="4" w:space="0"/>
                    <w:bottom w:val="single" w:color="auto" w:sz="4" w:space="0"/>
                    <w:right w:val="single" w:color="auto" w:sz="4" w:space="0"/>
                  </w:tcBorders>
                  <w:tcW w:w="1753" w:type="dxa"/>
                  <w:vAlign w:val="center"/>
                  <w:textDirection w:val="lrTb"/>
                  <w:noWrap w:val="false"/>
                </w:tcPr>
                <w:p>
                  <w:pPr>
                    <w:jc w:val="center"/>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苯乙烯</w:t>
                  </w:r>
                  <w:r>
                    <w:rPr>
                      <w:color w:val="auto"/>
                      <w:highlight w:val="none"/>
                    </w:rPr>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C</w:t>
                  </w:r>
                  <w:r>
                    <w:rPr>
                      <w:rFonts w:hint="eastAsia" w:ascii="宋体" w:hAnsi="宋体" w:cs="宋体"/>
                      <w:color w:val="auto"/>
                      <w:szCs w:val="21"/>
                      <w:highlight w:val="none"/>
                      <w:vertAlign w:val="subscript"/>
                    </w:rPr>
                    <w:t xml:space="preserve">8</w:t>
                  </w:r>
                  <w:r>
                    <w:rPr>
                      <w:rFonts w:hint="eastAsia" w:ascii="宋体" w:hAnsi="宋体" w:cs="宋体"/>
                      <w:color w:val="auto"/>
                      <w:szCs w:val="21"/>
                      <w:highlight w:val="none"/>
                    </w:rPr>
                    <w:t xml:space="preserve">H</w:t>
                  </w:r>
                  <w:r>
                    <w:rPr>
                      <w:rFonts w:hint="eastAsia" w:ascii="宋体" w:hAnsi="宋体" w:cs="宋体"/>
                      <w:color w:val="auto"/>
                      <w:szCs w:val="21"/>
                      <w:highlight w:val="none"/>
                      <w:vertAlign w:val="subscript"/>
                    </w:rPr>
                    <w:t xml:space="preserve">8</w:t>
                  </w:r>
                  <w:r>
                    <w:rPr>
                      <w:color w:val="auto"/>
                      <w:highlight w:val="none"/>
                    </w:rPr>
                  </w:r>
                  <w:r/>
                </w:p>
              </w:tc>
              <w:tc>
                <w:tcPr>
                  <w:tcBorders>
                    <w:top w:val="single" w:color="auto" w:sz="4" w:space="0"/>
                    <w:left w:val="single" w:color="auto" w:sz="4" w:space="0"/>
                    <w:bottom w:val="single" w:color="auto" w:sz="4" w:space="0"/>
                    <w:right w:val="single" w:color="auto" w:sz="4" w:space="0"/>
                  </w:tcBorders>
                  <w:tcW w:w="2487" w:type="dxa"/>
                  <w:vAlign w:val="center"/>
                  <w:textDirection w:val="lrTb"/>
                  <w:noWrap w:val="false"/>
                </w:tcPr>
                <w:p>
                  <w:pPr>
                    <w:jc w:val="center"/>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（0~10）ppm</w:t>
                  </w:r>
                  <w:r>
                    <w:rPr>
                      <w:color w:val="auto"/>
                      <w:highlight w:val="none"/>
                    </w:rPr>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0.01ppm</w:t>
                  </w:r>
                  <w:r>
                    <w:rPr>
                      <w:color w:val="auto"/>
                      <w:highlight w:val="none"/>
                    </w:rPr>
                  </w:r>
                  <w:r/>
                </w:p>
              </w:tc>
            </w:tr>
            <w:tr>
              <w:trPr>
                <w:trHeight w:val="57"/>
              </w:trPr>
              <w:tc>
                <w:tcPr>
                  <w:tcBorders>
                    <w:top w:val="single" w:color="auto" w:sz="4" w:space="0"/>
                    <w:left w:val="single" w:color="auto" w:sz="4" w:space="0"/>
                    <w:bottom w:val="single" w:color="auto" w:sz="4" w:space="0"/>
                    <w:right w:val="single" w:color="auto" w:sz="4" w:space="0"/>
                  </w:tcBorders>
                  <w:tcW w:w="1753" w:type="dxa"/>
                  <w:vAlign w:val="center"/>
                  <w:textDirection w:val="lrTb"/>
                  <w:noWrap w:val="false"/>
                </w:tcPr>
                <w:p>
                  <w:pPr>
                    <w:jc w:val="center"/>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挥发性有机物</w:t>
                  </w:r>
                  <w:r>
                    <w:rPr>
                      <w:color w:val="auto"/>
                      <w:highlight w:val="none"/>
                    </w:rPr>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VOCs</w:t>
                  </w:r>
                  <w:r>
                    <w:rPr>
                      <w:color w:val="auto"/>
                      <w:highlight w:val="none"/>
                    </w:rPr>
                  </w:r>
                  <w:r/>
                </w:p>
              </w:tc>
              <w:tc>
                <w:tcPr>
                  <w:tcBorders>
                    <w:top w:val="single" w:color="auto" w:sz="4" w:space="0"/>
                    <w:left w:val="single" w:color="auto" w:sz="4" w:space="0"/>
                    <w:bottom w:val="single" w:color="auto" w:sz="4" w:space="0"/>
                    <w:right w:val="single" w:color="auto" w:sz="4" w:space="0"/>
                  </w:tcBorders>
                  <w:tcW w:w="2487" w:type="dxa"/>
                  <w:vAlign w:val="center"/>
                  <w:textDirection w:val="lrTb"/>
                  <w:noWrap w:val="false"/>
                </w:tcPr>
                <w:p>
                  <w:pPr>
                    <w:jc w:val="center"/>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（0~20）ppm</w:t>
                  </w:r>
                  <w:r>
                    <w:rPr>
                      <w:color w:val="auto"/>
                      <w:highlight w:val="none"/>
                    </w:rPr>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0.01ppm</w:t>
                  </w:r>
                  <w:r>
                    <w:rPr>
                      <w:color w:val="auto"/>
                      <w:highlight w:val="none"/>
                    </w:rPr>
                  </w:r>
                  <w:r/>
                </w:p>
              </w:tc>
            </w:tr>
          </w:tbl>
          <w:p>
            <w:pPr>
              <w:jc w:val="left"/>
              <w:spacing w:after="0" w:line="240" w:lineRule="auto"/>
              <w:rPr>
                <w:rFonts w:ascii="宋体" w:hAnsi="宋体" w:cs="宋体"/>
                <w:b/>
                <w:color w:val="auto"/>
                <w:szCs w:val="21"/>
                <w:highlight w:val="none"/>
              </w:rPr>
            </w:pPr>
            <w:r>
              <w:rPr>
                <w:rFonts w:hint="eastAsia" w:ascii="宋体" w:hAnsi="宋体" w:cs="宋体"/>
                <w:b/>
                <w:color w:val="auto"/>
                <w:szCs w:val="21"/>
                <w:highlight w:val="none"/>
              </w:rPr>
              <w:t xml:space="preserve">执行标准 </w:t>
            </w:r>
            <w:r>
              <w:rPr>
                <w:color w:val="auto"/>
                <w:highlight w:val="none"/>
              </w:rPr>
            </w:r>
            <w:r/>
          </w:p>
          <w:p>
            <w:pPr>
              <w:jc w:val="left"/>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GB14554-93  恶臭污染物排放标准</w:t>
            </w:r>
            <w:r>
              <w:rPr>
                <w:color w:val="auto"/>
                <w:highlight w:val="none"/>
              </w:rPr>
            </w:r>
            <w:r/>
          </w:p>
          <w:p>
            <w:pPr>
              <w:jc w:val="left"/>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GB/T 14675  空气质量 恶臭的测定 三点</w:t>
            </w:r>
            <w:r>
              <w:rPr>
                <w:rFonts w:hint="eastAsia" w:ascii="宋体" w:hAnsi="宋体" w:cs="宋体"/>
                <w:color w:val="auto"/>
                <w:szCs w:val="21"/>
                <w:highlight w:val="none"/>
              </w:rPr>
              <w:t xml:space="preserve">比较式臭袋法</w:t>
            </w:r>
            <w:r>
              <w:rPr>
                <w:color w:val="auto"/>
                <w:highlight w:val="none"/>
              </w:rPr>
            </w:r>
            <w:r/>
          </w:p>
          <w:p>
            <w:pPr>
              <w:jc w:val="left"/>
              <w:spacing w:after="0" w:line="240" w:lineRule="auto"/>
              <w:rPr>
                <w:rFonts w:ascii="宋体" w:hAnsi="宋体" w:cs="宋体"/>
                <w:b/>
                <w:color w:val="auto"/>
                <w:szCs w:val="21"/>
                <w:highlight w:val="none"/>
              </w:rPr>
            </w:pPr>
            <w:r>
              <w:rPr>
                <w:rFonts w:hint="eastAsia" w:ascii="宋体" w:hAnsi="宋体" w:cs="宋体"/>
                <w:color w:val="auto"/>
                <w:szCs w:val="21"/>
                <w:highlight w:val="none"/>
              </w:rPr>
              <w:t xml:space="preserve">HJ 905 恶臭污染环境监测技术规范</w:t>
            </w:r>
            <w:r>
              <w:rPr>
                <w:rFonts w:hint="eastAsia" w:ascii="宋体" w:hAnsi="宋体" w:cs="宋体"/>
                <w:b/>
                <w:color w:val="auto"/>
                <w:szCs w:val="21"/>
                <w:highlight w:val="none"/>
              </w:rPr>
              <w:t xml:space="preserve"> </w:t>
            </w:r>
            <w:r>
              <w:rPr>
                <w:color w:val="auto"/>
                <w:highlight w:val="none"/>
              </w:rPr>
            </w:r>
            <w:r/>
          </w:p>
          <w:p>
            <w:pPr>
              <w:jc w:val="left"/>
              <w:spacing w:after="0" w:line="240" w:lineRule="auto"/>
              <w:rPr>
                <w:rFonts w:ascii="宋体" w:hAnsi="宋体" w:cs="宋体"/>
                <w:b/>
                <w:color w:val="auto"/>
                <w:szCs w:val="21"/>
                <w:highlight w:val="none"/>
              </w:rPr>
            </w:pPr>
            <w:r>
              <w:rPr>
                <w:rFonts w:hint="eastAsia" w:ascii="宋体" w:hAnsi="宋体" w:cs="宋体"/>
                <w:b/>
                <w:color w:val="auto"/>
                <w:szCs w:val="21"/>
                <w:highlight w:val="none"/>
              </w:rPr>
              <w:t xml:space="preserve">配置 </w:t>
            </w:r>
            <w:r>
              <w:rPr>
                <w:color w:val="auto"/>
                <w:highlight w:val="none"/>
              </w:rPr>
            </w:r>
            <w:r/>
          </w:p>
          <w:p>
            <w:pPr>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主机、充电器、不锈钢采样枪、空气过滤器</w:t>
            </w:r>
            <w:r>
              <w:rPr>
                <w:color w:val="auto"/>
                <w:highlight w:val="none"/>
              </w:rPr>
            </w:r>
            <w:r/>
          </w:p>
        </w:tc>
      </w:tr>
      <w:tr>
        <w:trPr>
          <w:trHeight w:val="340"/>
        </w:trPr>
        <w:tc>
          <w:tcPr>
            <w:tcMar>
              <w:left w:w="15" w:type="dxa"/>
              <w:top w:w="15" w:type="dxa"/>
              <w:right w:w="15" w:type="dxa"/>
            </w:tcMar>
            <w:tcW w:w="614" w:type="dxa"/>
            <w:vAlign w:val="center"/>
            <w:textDirection w:val="lrTb"/>
            <w:noWrap w:val="false"/>
          </w:tcPr>
          <w:p>
            <w:pPr>
              <w:jc w:val="center"/>
              <w:spacing w:after="0" w:line="240" w:lineRule="auto"/>
              <w:widowControl/>
              <w:rPr>
                <w:rFonts w:ascii="宋体" w:hAnsi="宋体" w:cs="宋体"/>
                <w:color w:val="auto"/>
                <w:szCs w:val="21"/>
                <w:highlight w:val="none"/>
              </w:rPr>
            </w:pPr>
            <w:r>
              <w:rPr>
                <w:rFonts w:hint="eastAsia" w:ascii="宋体" w:hAnsi="宋体" w:cs="宋体"/>
                <w:color w:val="auto"/>
                <w:szCs w:val="21"/>
                <w:highlight w:val="none"/>
              </w:rPr>
              <w:t xml:space="preserve">12</w:t>
            </w:r>
            <w:r>
              <w:rPr>
                <w:color w:val="auto"/>
                <w:highlight w:val="none"/>
              </w:rPr>
            </w:r>
            <w:r/>
          </w:p>
        </w:tc>
        <w:tc>
          <w:tcPr>
            <w:tcMar>
              <w:left w:w="15" w:type="dxa"/>
              <w:top w:w="15" w:type="dxa"/>
              <w:right w:w="15" w:type="dxa"/>
            </w:tcMar>
            <w:tcW w:w="1281" w:type="dxa"/>
            <w:vAlign w:val="center"/>
            <w:textDirection w:val="lrTb"/>
            <w:noWrap w:val="false"/>
          </w:tcPr>
          <w:p>
            <w:pPr>
              <w:jc w:val="center"/>
              <w:spacing w:after="0" w:line="240" w:lineRule="auto"/>
              <w:widowControl/>
              <w:rPr>
                <w:rFonts w:ascii="宋体" w:hAnsi="宋体" w:cs="宋体"/>
                <w:color w:val="auto"/>
                <w:szCs w:val="21"/>
                <w:highlight w:val="none"/>
              </w:rPr>
            </w:pPr>
            <w:r>
              <w:rPr>
                <w:rFonts w:hint="eastAsia" w:ascii="宋体" w:hAnsi="宋体" w:cs="宋体"/>
                <w:color w:val="auto"/>
                <w:szCs w:val="21"/>
                <w:highlight w:val="none"/>
              </w:rPr>
              <w:t xml:space="preserve">便携式多参数水质自动分析仪</w:t>
            </w:r>
            <w:r>
              <w:rPr>
                <w:color w:val="auto"/>
                <w:highlight w:val="none"/>
              </w:rPr>
            </w:r>
            <w:r/>
          </w:p>
        </w:tc>
        <w:tc>
          <w:tcPr>
            <w:tcMar>
              <w:left w:w="15" w:type="dxa"/>
              <w:top w:w="15" w:type="dxa"/>
              <w:right w:w="15" w:type="dxa"/>
            </w:tcMar>
            <w:tcW w:w="7814" w:type="dxa"/>
            <w:vAlign w:val="center"/>
            <w:textDirection w:val="lrTb"/>
            <w:noWrap w:val="false"/>
          </w:tcPr>
          <w:p>
            <w:pPr>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可快速测定，COD高猛酸盐指数 氨氮 氰化物 总磷 六价铬 余氯</w:t>
            </w:r>
            <w:r>
              <w:rPr>
                <w:color w:val="auto"/>
                <w:highlight w:val="none"/>
              </w:rPr>
            </w:r>
            <w:r/>
          </w:p>
          <w:p>
            <w:pPr>
              <w:pStyle w:val="887"/>
              <w:numPr>
                <w:ilvl w:val="0"/>
                <w:numId w:val="16"/>
              </w:numPr>
              <w:ind w:left="0"/>
              <w:spacing w:after="0" w:line="240" w:lineRule="auto"/>
              <w:rPr>
                <w:rFonts w:eastAsia="宋体"/>
                <w:color w:val="auto"/>
                <w:sz w:val="21"/>
                <w:szCs w:val="21"/>
                <w:highlight w:val="none"/>
              </w:rPr>
            </w:pPr>
            <w:r>
              <w:rPr>
                <w:rFonts w:hint="eastAsia" w:eastAsia="宋体"/>
                <w:color w:val="auto"/>
                <w:sz w:val="21"/>
                <w:szCs w:val="21"/>
                <w:highlight w:val="none"/>
                <w:lang w:eastAsia="zh-CN"/>
              </w:rPr>
              <w:t xml:space="preserve">检测项目：COD、氨氮、总磷、总氮、氰化物六价铬、余氯、高锰酸盐指数</w:t>
            </w:r>
            <w:r>
              <w:rPr>
                <w:color w:val="auto"/>
                <w:highlight w:val="none"/>
              </w:rPr>
            </w:r>
            <w:r/>
          </w:p>
          <w:p>
            <w:pPr>
              <w:pStyle w:val="887"/>
              <w:numPr>
                <w:ilvl w:val="0"/>
                <w:numId w:val="16"/>
              </w:numPr>
              <w:ind w:left="0"/>
              <w:spacing w:after="0" w:line="240" w:lineRule="auto"/>
              <w:rPr>
                <w:rFonts w:eastAsia="宋体"/>
                <w:color w:val="auto"/>
                <w:sz w:val="21"/>
                <w:szCs w:val="21"/>
                <w:highlight w:val="none"/>
              </w:rPr>
            </w:pPr>
            <w:r>
              <w:rPr>
                <w:rFonts w:hint="eastAsia" w:eastAsia="宋体"/>
                <w:color w:val="auto"/>
                <w:sz w:val="21"/>
                <w:szCs w:val="21"/>
                <w:highlight w:val="none"/>
              </w:rPr>
              <w:t xml:space="preserve">测定误差：≤±5%</w:t>
            </w:r>
            <w:r>
              <w:rPr>
                <w:color w:val="auto"/>
                <w:highlight w:val="none"/>
              </w:rPr>
            </w:r>
            <w:r/>
          </w:p>
          <w:p>
            <w:pPr>
              <w:pStyle w:val="887"/>
              <w:numPr>
                <w:ilvl w:val="0"/>
                <w:numId w:val="16"/>
              </w:numPr>
              <w:ind w:left="0"/>
              <w:spacing w:after="0" w:line="240" w:lineRule="auto"/>
              <w:rPr>
                <w:rFonts w:eastAsia="宋体"/>
                <w:color w:val="auto"/>
                <w:sz w:val="21"/>
                <w:szCs w:val="21"/>
                <w:highlight w:val="none"/>
              </w:rPr>
            </w:pPr>
            <w:r>
              <w:rPr>
                <w:rFonts w:hint="eastAsia" w:eastAsia="宋体"/>
                <w:color w:val="auto"/>
                <w:sz w:val="21"/>
                <w:szCs w:val="21"/>
                <w:highlight w:val="none"/>
                <w:lang w:eastAsia="zh-CN"/>
              </w:rPr>
              <w:t xml:space="preserve">显示屏：不低于5寸工业级彩色触摸屏。</w:t>
            </w:r>
            <w:r>
              <w:rPr>
                <w:color w:val="auto"/>
                <w:highlight w:val="none"/>
              </w:rPr>
            </w:r>
            <w:r/>
          </w:p>
          <w:p>
            <w:pPr>
              <w:pStyle w:val="977"/>
              <w:numPr>
                <w:ilvl w:val="0"/>
                <w:numId w:val="16"/>
              </w:numPr>
              <w:ind w:left="0"/>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测定范围：</w:t>
            </w:r>
            <w:r>
              <w:rPr>
                <w:color w:val="auto"/>
                <w:highlight w:val="none"/>
              </w:rPr>
            </w:r>
            <w:r/>
          </w:p>
          <w:p>
            <w:pPr>
              <w:pStyle w:val="977"/>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COD:0~15000mg/L；       氨氮:0~50mg/L；       总磷:0~16mg/L；</w:t>
            </w:r>
            <w:r>
              <w:rPr>
                <w:color w:val="auto"/>
                <w:highlight w:val="none"/>
              </w:rPr>
            </w:r>
            <w:r/>
          </w:p>
          <w:p>
            <w:pPr>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CODmn:0~10mg/L； 六价铬0-5mg/L  余氯0-25mg/L  氰化物0-1mg/L</w:t>
            </w:r>
            <w:r>
              <w:rPr>
                <w:color w:val="auto"/>
                <w:highlight w:val="none"/>
              </w:rPr>
            </w:r>
            <w:r/>
          </w:p>
          <w:p>
            <w:pPr>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重复性误差：≤±3%</w:t>
            </w:r>
            <w:r>
              <w:rPr>
                <w:color w:val="auto"/>
                <w:highlight w:val="none"/>
              </w:rPr>
            </w:r>
            <w:r/>
          </w:p>
        </w:tc>
      </w:tr>
      <w:tr>
        <w:trPr>
          <w:trHeight w:val="340"/>
        </w:trPr>
        <w:tc>
          <w:tcPr>
            <w:tcMar>
              <w:left w:w="15" w:type="dxa"/>
              <w:top w:w="15" w:type="dxa"/>
              <w:right w:w="15" w:type="dxa"/>
            </w:tcMar>
            <w:tcW w:w="614" w:type="dxa"/>
            <w:vAlign w:val="center"/>
            <w:textDirection w:val="lrTb"/>
            <w:noWrap w:val="false"/>
          </w:tcPr>
          <w:p>
            <w:pPr>
              <w:jc w:val="center"/>
              <w:spacing w:after="0" w:line="240" w:lineRule="auto"/>
              <w:widowControl/>
              <w:rPr>
                <w:rFonts w:ascii="宋体" w:hAnsi="宋体" w:cs="宋体"/>
                <w:color w:val="auto"/>
                <w:szCs w:val="21"/>
                <w:highlight w:val="none"/>
              </w:rPr>
            </w:pPr>
            <w:r>
              <w:rPr>
                <w:rFonts w:hint="eastAsia" w:ascii="宋体" w:hAnsi="宋体" w:cs="宋体"/>
                <w:color w:val="auto"/>
                <w:szCs w:val="21"/>
                <w:highlight w:val="none"/>
              </w:rPr>
              <w:t xml:space="preserve">13</w:t>
            </w:r>
            <w:r>
              <w:rPr>
                <w:color w:val="auto"/>
                <w:highlight w:val="none"/>
              </w:rPr>
            </w:r>
            <w:r/>
          </w:p>
        </w:tc>
        <w:tc>
          <w:tcPr>
            <w:tcMar>
              <w:left w:w="15" w:type="dxa"/>
              <w:top w:w="15" w:type="dxa"/>
              <w:right w:w="15" w:type="dxa"/>
            </w:tcMar>
            <w:tcW w:w="1281" w:type="dxa"/>
            <w:vAlign w:val="center"/>
            <w:textDirection w:val="lrTb"/>
            <w:noWrap w:val="false"/>
          </w:tcPr>
          <w:p>
            <w:pPr>
              <w:jc w:val="center"/>
              <w:spacing w:after="0" w:line="240" w:lineRule="auto"/>
              <w:widowControl/>
              <w:rPr>
                <w:rFonts w:ascii="宋体" w:hAnsi="宋体" w:cs="宋体"/>
                <w:color w:val="auto"/>
                <w:szCs w:val="21"/>
                <w:highlight w:val="none"/>
              </w:rPr>
            </w:pPr>
            <w:r>
              <w:rPr>
                <w:rFonts w:hint="eastAsia" w:ascii="宋体" w:hAnsi="宋体" w:cs="宋体"/>
                <w:color w:val="auto"/>
                <w:szCs w:val="21"/>
                <w:highlight w:val="none"/>
              </w:rPr>
              <w:t xml:space="preserve">声级计</w:t>
            </w:r>
            <w:r>
              <w:rPr>
                <w:color w:val="auto"/>
                <w:highlight w:val="none"/>
              </w:rPr>
            </w:r>
            <w:r/>
          </w:p>
        </w:tc>
        <w:tc>
          <w:tcPr>
            <w:tcMar>
              <w:left w:w="15" w:type="dxa"/>
              <w:top w:w="15" w:type="dxa"/>
              <w:right w:w="15" w:type="dxa"/>
            </w:tcMar>
            <w:tcW w:w="7814" w:type="dxa"/>
            <w:vAlign w:val="center"/>
            <w:textDirection w:val="lrTb"/>
            <w:noWrap w:val="false"/>
          </w:tcPr>
          <w:p>
            <w:pPr>
              <w:numPr>
                <w:ilvl w:val="0"/>
                <w:numId w:val="17"/>
              </w:numPr>
              <w:ind w:left="0" w:firstLine="0"/>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频率范围：10 Hz～20 kHz；</w:t>
            </w:r>
            <w:r>
              <w:rPr>
                <w:color w:val="auto"/>
                <w:highlight w:val="none"/>
              </w:rPr>
            </w:r>
            <w:r/>
          </w:p>
          <w:p>
            <w:pPr>
              <w:numPr>
                <w:ilvl w:val="0"/>
                <w:numId w:val="17"/>
              </w:numPr>
              <w:ind w:left="0" w:firstLine="0"/>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测量范围：A计权声级20 dB～143 dB；</w:t>
            </w:r>
            <w:r>
              <w:rPr>
                <w:color w:val="auto"/>
                <w:highlight w:val="none"/>
              </w:rPr>
            </w:r>
            <w:r/>
          </w:p>
          <w:p>
            <w:pPr>
              <w:numPr>
                <w:ilvl w:val="0"/>
                <w:numId w:val="17"/>
              </w:numPr>
              <w:ind w:left="0" w:firstLine="0"/>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本机电噪声：小于10 dBA，15 dBC，20 dBZ；</w:t>
            </w:r>
            <w:r>
              <w:rPr>
                <w:color w:val="auto"/>
                <w:highlight w:val="none"/>
              </w:rPr>
            </w:r>
            <w:r/>
          </w:p>
          <w:p>
            <w:pPr>
              <w:numPr>
                <w:ilvl w:val="0"/>
                <w:numId w:val="17"/>
              </w:numPr>
              <w:ind w:left="0" w:firstLine="0"/>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时间计权：并行（同时）F、S、I；</w:t>
            </w:r>
            <w:r>
              <w:rPr>
                <w:color w:val="auto"/>
                <w:highlight w:val="none"/>
              </w:rPr>
            </w:r>
            <w:r/>
          </w:p>
          <w:p>
            <w:pPr>
              <w:numPr>
                <w:ilvl w:val="0"/>
                <w:numId w:val="17"/>
              </w:numPr>
              <w:ind w:left="0" w:firstLine="0"/>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频率计权：并行（同时）A、C、Z；</w:t>
            </w:r>
            <w:r>
              <w:rPr>
                <w:color w:val="auto"/>
                <w:highlight w:val="none"/>
              </w:rPr>
            </w:r>
            <w:r/>
          </w:p>
          <w:p>
            <w:pPr>
              <w:numPr>
                <w:ilvl w:val="0"/>
                <w:numId w:val="17"/>
              </w:numPr>
              <w:ind w:left="0" w:firstLine="0"/>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主要测量指标：Lxyp、Lxeq，T、Lxeq，t、Lxmax、Lxmin、LxN、SD、SEL等（x为A，C，Z，y为F，S，I，N为5，10，50，90，95）；</w:t>
            </w:r>
            <w:r>
              <w:rPr>
                <w:color w:val="auto"/>
                <w:highlight w:val="none"/>
              </w:rPr>
            </w:r>
            <w:r/>
          </w:p>
          <w:p>
            <w:pPr>
              <w:numPr>
                <w:ilvl w:val="0"/>
                <w:numId w:val="17"/>
              </w:numPr>
              <w:ind w:left="0" w:firstLine="0"/>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主要测量功能：总值积分、统计分析、24小时、1/1 OCT；</w:t>
            </w:r>
            <w:r>
              <w:rPr>
                <w:color w:val="auto"/>
                <w:highlight w:val="none"/>
              </w:rPr>
            </w:r>
            <w:r/>
          </w:p>
          <w:p>
            <w:pPr>
              <w:numPr>
                <w:ilvl w:val="0"/>
                <w:numId w:val="17"/>
              </w:numPr>
              <w:ind w:left="0" w:firstLine="0"/>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滤波器中心频率：16 Hz、31.5 Hz、63 Hz、125 Hz、250 Hz、500 Hz、1 kHz、2 kHz、4 kHz、8 kHz、16 kHz；</w:t>
            </w:r>
            <w:r>
              <w:rPr>
                <w:color w:val="auto"/>
                <w:highlight w:val="none"/>
              </w:rPr>
            </w:r>
            <w:r/>
          </w:p>
          <w:p>
            <w:pPr>
              <w:numPr>
                <w:ilvl w:val="0"/>
                <w:numId w:val="17"/>
              </w:numPr>
              <w:ind w:left="0" w:firstLine="0"/>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显示屏：不低于4英寸电容型触摸屏；</w:t>
            </w:r>
            <w:r>
              <w:rPr>
                <w:color w:val="auto"/>
                <w:highlight w:val="none"/>
              </w:rPr>
            </w:r>
            <w:r/>
          </w:p>
          <w:p>
            <w:pPr>
              <w:numPr>
                <w:ilvl w:val="0"/>
                <w:numId w:val="17"/>
              </w:numPr>
              <w:ind w:left="0" w:firstLine="0"/>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定位系统：内置北斗定位系统；</w:t>
            </w:r>
            <w:r>
              <w:rPr>
                <w:color w:val="auto"/>
                <w:highlight w:val="none"/>
              </w:rPr>
            </w:r>
            <w:r/>
          </w:p>
          <w:p>
            <w:pPr>
              <w:numPr>
                <w:ilvl w:val="0"/>
                <w:numId w:val="17"/>
              </w:numPr>
              <w:ind w:left="0" w:firstLine="0"/>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配置清单：整机1，风球1，打印终端。</w:t>
            </w:r>
            <w:r>
              <w:rPr>
                <w:color w:val="auto"/>
                <w:highlight w:val="none"/>
              </w:rPr>
            </w:r>
            <w:r/>
          </w:p>
        </w:tc>
      </w:tr>
      <w:tr>
        <w:trPr>
          <w:trHeight w:val="340"/>
        </w:trPr>
        <w:tc>
          <w:tcPr>
            <w:tcMar>
              <w:left w:w="15" w:type="dxa"/>
              <w:top w:w="15" w:type="dxa"/>
              <w:right w:w="15" w:type="dxa"/>
            </w:tcMar>
            <w:tcW w:w="614" w:type="dxa"/>
            <w:vAlign w:val="center"/>
            <w:textDirection w:val="lrTb"/>
            <w:noWrap w:val="false"/>
          </w:tcPr>
          <w:p>
            <w:pPr>
              <w:jc w:val="center"/>
              <w:spacing w:after="0" w:line="240" w:lineRule="auto"/>
              <w:widowControl/>
              <w:rPr>
                <w:rFonts w:ascii="宋体" w:hAnsi="宋体" w:cs="宋体"/>
                <w:color w:val="auto"/>
                <w:szCs w:val="21"/>
                <w:highlight w:val="none"/>
              </w:rPr>
            </w:pPr>
            <w:r>
              <w:rPr>
                <w:rFonts w:hint="eastAsia" w:ascii="宋体" w:hAnsi="宋体" w:cs="宋体"/>
                <w:color w:val="auto"/>
                <w:szCs w:val="21"/>
                <w:highlight w:val="none"/>
              </w:rPr>
              <w:t xml:space="preserve">14</w:t>
            </w:r>
            <w:r>
              <w:rPr>
                <w:color w:val="auto"/>
                <w:highlight w:val="none"/>
              </w:rPr>
            </w:r>
            <w:r/>
          </w:p>
        </w:tc>
        <w:tc>
          <w:tcPr>
            <w:tcMar>
              <w:left w:w="15" w:type="dxa"/>
              <w:top w:w="15" w:type="dxa"/>
              <w:right w:w="15" w:type="dxa"/>
            </w:tcMar>
            <w:tcW w:w="1281" w:type="dxa"/>
            <w:vAlign w:val="center"/>
            <w:textDirection w:val="lrTb"/>
            <w:noWrap w:val="false"/>
          </w:tcPr>
          <w:p>
            <w:pPr>
              <w:jc w:val="center"/>
              <w:spacing w:after="0" w:line="240" w:lineRule="auto"/>
              <w:widowControl/>
              <w:rPr>
                <w:rFonts w:ascii="宋体" w:hAnsi="宋体" w:cs="宋体"/>
                <w:color w:val="auto"/>
                <w:szCs w:val="21"/>
                <w:highlight w:val="none"/>
              </w:rPr>
            </w:pPr>
            <w:r>
              <w:rPr>
                <w:rStyle w:val="1146"/>
                <w:rFonts w:hint="default" w:ascii="宋体" w:hAnsi="宋体" w:eastAsia="宋体" w:cs="宋体"/>
                <w:color w:val="auto"/>
                <w:sz w:val="21"/>
                <w:szCs w:val="21"/>
                <w:highlight w:val="none"/>
              </w:rPr>
              <w:t xml:space="preserve">声</w:t>
            </w:r>
            <w:r>
              <w:rPr>
                <w:rStyle w:val="1147"/>
                <w:rFonts w:hint="default" w:ascii="宋体" w:hAnsi="宋体" w:eastAsia="宋体" w:cs="宋体"/>
                <w:color w:val="auto"/>
                <w:sz w:val="21"/>
                <w:szCs w:val="21"/>
                <w:highlight w:val="none"/>
              </w:rPr>
              <w:t xml:space="preserve">校准器</w:t>
            </w:r>
            <w:r>
              <w:rPr>
                <w:color w:val="auto"/>
                <w:highlight w:val="none"/>
              </w:rPr>
            </w:r>
            <w:r/>
          </w:p>
        </w:tc>
        <w:tc>
          <w:tcPr>
            <w:tcMar>
              <w:left w:w="15" w:type="dxa"/>
              <w:top w:w="15" w:type="dxa"/>
              <w:right w:w="15" w:type="dxa"/>
            </w:tcMar>
            <w:tcW w:w="7814" w:type="dxa"/>
            <w:vAlign w:val="center"/>
            <w:textDirection w:val="lrTb"/>
            <w:noWrap w:val="false"/>
          </w:tcPr>
          <w:p>
            <w:pPr>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符合标准：GB/T 15173-2010对1级声</w:t>
            </w:r>
            <w:r>
              <w:rPr>
                <w:rFonts w:hint="eastAsia" w:ascii="宋体" w:hAnsi="宋体" w:cs="宋体"/>
                <w:color w:val="auto"/>
                <w:szCs w:val="21"/>
                <w:highlight w:val="none"/>
              </w:rPr>
              <w:t xml:space="preserve">校准器</w:t>
            </w:r>
            <w:r>
              <w:rPr>
                <w:rFonts w:hint="eastAsia" w:ascii="宋体" w:hAnsi="宋体" w:cs="宋体"/>
                <w:color w:val="auto"/>
                <w:szCs w:val="21"/>
                <w:highlight w:val="none"/>
              </w:rPr>
              <w:t xml:space="preserve">的技术要求 </w:t>
            </w:r>
            <w:r>
              <w:rPr>
                <w:color w:val="auto"/>
                <w:highlight w:val="none"/>
              </w:rPr>
            </w:r>
            <w:r/>
          </w:p>
          <w:p>
            <w:pPr>
              <w:numPr>
                <w:ilvl w:val="0"/>
                <w:numId w:val="18"/>
              </w:numPr>
              <w:ind w:left="0"/>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声压级：114.0dB和94.0dB</w:t>
            </w:r>
            <w:r>
              <w:rPr>
                <w:color w:val="auto"/>
                <w:highlight w:val="none"/>
              </w:rPr>
            </w:r>
            <w:r/>
          </w:p>
          <w:p>
            <w:pPr>
              <w:numPr>
                <w:ilvl w:val="0"/>
                <w:numId w:val="18"/>
              </w:numPr>
              <w:ind w:left="0"/>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声压级准确度：±0.25 dB</w:t>
            </w:r>
            <w:r>
              <w:rPr>
                <w:color w:val="auto"/>
                <w:highlight w:val="none"/>
              </w:rPr>
            </w:r>
            <w:r/>
          </w:p>
          <w:p>
            <w:pPr>
              <w:numPr>
                <w:ilvl w:val="0"/>
                <w:numId w:val="18"/>
              </w:numPr>
              <w:ind w:left="0"/>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频率：1000.0Hz</w:t>
            </w:r>
            <w:r>
              <w:rPr>
                <w:color w:val="auto"/>
                <w:highlight w:val="none"/>
              </w:rPr>
            </w:r>
            <w:r/>
          </w:p>
          <w:p>
            <w:pPr>
              <w:numPr>
                <w:ilvl w:val="0"/>
                <w:numId w:val="18"/>
              </w:numPr>
              <w:ind w:left="0"/>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频率准确度：±1% Hz</w:t>
            </w:r>
            <w:r>
              <w:rPr>
                <w:color w:val="auto"/>
                <w:highlight w:val="none"/>
              </w:rPr>
            </w:r>
            <w:r/>
          </w:p>
          <w:p>
            <w:pPr>
              <w:numPr>
                <w:ilvl w:val="0"/>
                <w:numId w:val="18"/>
              </w:numPr>
              <w:ind w:left="0"/>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总失真：≤2.5 %</w:t>
            </w:r>
            <w:r>
              <w:rPr>
                <w:rFonts w:hint="eastAsia" w:ascii="宋体" w:hAnsi="宋体" w:cs="宋体"/>
                <w:color w:val="auto"/>
                <w:szCs w:val="21"/>
                <w:highlight w:val="none"/>
              </w:rPr>
              <w:tab/>
            </w:r>
            <w:r>
              <w:rPr>
                <w:color w:val="auto"/>
                <w:highlight w:val="none"/>
              </w:rPr>
            </w:r>
            <w:r/>
          </w:p>
          <w:p>
            <w:pPr>
              <w:numPr>
                <w:ilvl w:val="0"/>
                <w:numId w:val="18"/>
              </w:numPr>
              <w:ind w:left="0"/>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适用传声器尺寸：Φ23.77 mm（1"）、Φ12.7 mm（1/2"）、Φ6.35 mm（1/4"）</w:t>
            </w:r>
            <w:r>
              <w:rPr>
                <w:color w:val="auto"/>
                <w:highlight w:val="none"/>
              </w:rPr>
            </w:r>
            <w:r/>
          </w:p>
          <w:p>
            <w:pPr>
              <w:numPr>
                <w:ilvl w:val="0"/>
                <w:numId w:val="18"/>
              </w:numPr>
              <w:ind w:left="0"/>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温度范围：-10 ℃ ~ +50 ℃</w:t>
            </w:r>
            <w:r>
              <w:rPr>
                <w:color w:val="auto"/>
                <w:highlight w:val="none"/>
              </w:rPr>
            </w:r>
            <w:r/>
          </w:p>
          <w:p>
            <w:pPr>
              <w:numPr>
                <w:ilvl w:val="0"/>
                <w:numId w:val="18"/>
              </w:numPr>
              <w:ind w:left="0"/>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具有气压自动补偿功能</w:t>
            </w:r>
            <w:r>
              <w:rPr>
                <w:color w:val="auto"/>
                <w:highlight w:val="none"/>
              </w:rPr>
            </w:r>
            <w:r/>
          </w:p>
        </w:tc>
      </w:tr>
      <w:tr>
        <w:trPr>
          <w:trHeight w:val="340"/>
        </w:trPr>
        <w:tc>
          <w:tcPr>
            <w:tcMar>
              <w:left w:w="15" w:type="dxa"/>
              <w:top w:w="15" w:type="dxa"/>
              <w:right w:w="15" w:type="dxa"/>
            </w:tcMar>
            <w:tcW w:w="614" w:type="dxa"/>
            <w:vAlign w:val="center"/>
            <w:textDirection w:val="lrTb"/>
            <w:noWrap w:val="false"/>
          </w:tcPr>
          <w:p>
            <w:pPr>
              <w:jc w:val="center"/>
              <w:spacing w:after="0" w:line="240" w:lineRule="auto"/>
              <w:widowControl/>
              <w:rPr>
                <w:rFonts w:ascii="宋体" w:hAnsi="宋体" w:cs="宋体"/>
                <w:color w:val="auto"/>
                <w:szCs w:val="21"/>
                <w:highlight w:val="none"/>
              </w:rPr>
            </w:pPr>
            <w:r>
              <w:rPr>
                <w:rFonts w:hint="eastAsia" w:ascii="宋体" w:hAnsi="宋体" w:cs="宋体"/>
                <w:color w:val="auto"/>
                <w:szCs w:val="21"/>
                <w:highlight w:val="none"/>
              </w:rPr>
              <w:t xml:space="preserve">15</w:t>
            </w:r>
            <w:r>
              <w:rPr>
                <w:color w:val="auto"/>
                <w:highlight w:val="none"/>
              </w:rPr>
            </w:r>
            <w:r/>
          </w:p>
        </w:tc>
        <w:tc>
          <w:tcPr>
            <w:tcMar>
              <w:left w:w="15" w:type="dxa"/>
              <w:top w:w="15" w:type="dxa"/>
              <w:right w:w="15" w:type="dxa"/>
            </w:tcMar>
            <w:tcW w:w="1281" w:type="dxa"/>
            <w:vAlign w:val="center"/>
            <w:textDirection w:val="lrTb"/>
            <w:noWrap w:val="false"/>
          </w:tcPr>
          <w:p>
            <w:pPr>
              <w:jc w:val="center"/>
              <w:spacing w:after="0" w:line="240" w:lineRule="auto"/>
              <w:widowControl/>
              <w:rPr>
                <w:rFonts w:ascii="宋体" w:hAnsi="宋体" w:cs="宋体"/>
                <w:color w:val="auto"/>
                <w:szCs w:val="21"/>
                <w:highlight w:val="none"/>
              </w:rPr>
            </w:pPr>
            <w:r>
              <w:rPr>
                <w:rFonts w:hint="eastAsia" w:ascii="宋体" w:hAnsi="宋体" w:cs="宋体"/>
                <w:color w:val="auto"/>
                <w:szCs w:val="21"/>
                <w:highlight w:val="none"/>
              </w:rPr>
              <w:t xml:space="preserve">便携式浊度计</w:t>
            </w:r>
            <w:r>
              <w:rPr>
                <w:color w:val="auto"/>
                <w:highlight w:val="none"/>
              </w:rPr>
            </w:r>
            <w:r/>
          </w:p>
        </w:tc>
        <w:tc>
          <w:tcPr>
            <w:tcMar>
              <w:left w:w="15" w:type="dxa"/>
              <w:top w:w="15" w:type="dxa"/>
              <w:right w:w="15" w:type="dxa"/>
            </w:tcMar>
            <w:tcW w:w="7814" w:type="dxa"/>
            <w:vAlign w:val="center"/>
            <w:textDirection w:val="lrTb"/>
            <w:noWrap w:val="false"/>
          </w:tcPr>
          <w:p>
            <w:pPr>
              <w:spacing w:after="0" w:line="240" w:lineRule="auto"/>
              <w:rPr>
                <w:rFonts w:ascii="宋体" w:hAnsi="宋体" w:cs="宋体"/>
                <w:b/>
                <w:bCs/>
                <w:color w:val="auto"/>
                <w:spacing w:val="-2"/>
                <w:szCs w:val="21"/>
                <w:highlight w:val="none"/>
              </w:rPr>
            </w:pPr>
            <w:r>
              <w:rPr>
                <w:rFonts w:hint="eastAsia" w:ascii="宋体" w:hAnsi="宋体" w:cs="宋体"/>
                <w:b/>
                <w:bCs/>
                <w:color w:val="auto"/>
                <w:spacing w:val="-2"/>
                <w:szCs w:val="21"/>
                <w:highlight w:val="none"/>
              </w:rPr>
              <w:t xml:space="preserve">1、用途：</w:t>
            </w:r>
            <w:r>
              <w:rPr>
                <w:color w:val="auto"/>
                <w:highlight w:val="none"/>
              </w:rPr>
            </w:r>
            <w:r/>
          </w:p>
          <w:p>
            <w:pPr>
              <w:spacing w:after="0" w:line="240" w:lineRule="auto"/>
              <w:rPr>
                <w:rFonts w:ascii="宋体" w:hAnsi="宋体" w:cs="宋体"/>
                <w:color w:val="auto"/>
                <w:spacing w:val="-2"/>
                <w:szCs w:val="21"/>
                <w:highlight w:val="none"/>
              </w:rPr>
            </w:pPr>
            <w:r>
              <w:rPr>
                <w:rFonts w:hint="eastAsia" w:ascii="宋体" w:hAnsi="宋体" w:cs="宋体"/>
                <w:color w:val="auto"/>
                <w:szCs w:val="21"/>
                <w:highlight w:val="none"/>
              </w:rPr>
              <w:t xml:space="preserve">可用于野外测试、实验室的水质分析，可广泛应用于饮用水、废水、纯水、工业水及环境水的浊度值测量。</w:t>
            </w:r>
            <w:r>
              <w:rPr>
                <w:rFonts w:hint="eastAsia" w:ascii="宋体" w:hAnsi="宋体" w:cs="宋体"/>
                <w:color w:val="auto"/>
                <w:spacing w:val="-2"/>
                <w:szCs w:val="21"/>
                <w:highlight w:val="none"/>
              </w:rPr>
              <w:t xml:space="preserve"> </w:t>
            </w:r>
            <w:r>
              <w:rPr>
                <w:color w:val="auto"/>
                <w:highlight w:val="none"/>
              </w:rPr>
            </w:r>
            <w:r/>
          </w:p>
          <w:p>
            <w:pPr>
              <w:spacing w:after="0" w:line="240" w:lineRule="auto"/>
              <w:rPr>
                <w:rFonts w:ascii="宋体" w:hAnsi="宋体" w:cs="宋体"/>
                <w:b/>
                <w:bCs/>
                <w:color w:val="auto"/>
                <w:spacing w:val="-2"/>
                <w:szCs w:val="21"/>
                <w:highlight w:val="none"/>
              </w:rPr>
            </w:pPr>
            <w:r>
              <w:rPr>
                <w:rFonts w:hint="eastAsia" w:ascii="宋体" w:hAnsi="宋体" w:cs="宋体"/>
                <w:b/>
                <w:bCs/>
                <w:color w:val="auto"/>
                <w:spacing w:val="-2"/>
                <w:szCs w:val="21"/>
                <w:highlight w:val="none"/>
              </w:rPr>
              <w:t xml:space="preserve">2、工作条件：</w:t>
            </w:r>
            <w:r>
              <w:rPr>
                <w:color w:val="auto"/>
                <w:highlight w:val="none"/>
              </w:rPr>
            </w:r>
            <w:r/>
          </w:p>
          <w:p>
            <w:pPr>
              <w:spacing w:after="0" w:line="240" w:lineRule="auto"/>
              <w:rPr>
                <w:rFonts w:ascii="宋体" w:hAnsi="宋体" w:cs="宋体"/>
                <w:color w:val="auto"/>
                <w:spacing w:val="-2"/>
                <w:szCs w:val="21"/>
                <w:highlight w:val="none"/>
              </w:rPr>
            </w:pPr>
            <w:r>
              <w:rPr>
                <w:rFonts w:hint="eastAsia" w:ascii="宋体" w:hAnsi="宋体" w:cs="宋体"/>
                <w:color w:val="auto"/>
                <w:spacing w:val="-2"/>
                <w:szCs w:val="21"/>
                <w:highlight w:val="none"/>
              </w:rPr>
              <w:t xml:space="preserve">2.1</w:t>
            </w:r>
            <w:r>
              <w:rPr>
                <w:rFonts w:hint="eastAsia" w:ascii="宋体" w:hAnsi="宋体" w:cs="宋体"/>
                <w:color w:val="auto"/>
                <w:spacing w:val="-2"/>
                <w:szCs w:val="21"/>
                <w:highlight w:val="none"/>
              </w:rPr>
              <w:tab/>
              <w:t xml:space="preserve">电源要求：110~230 Vac，50/60 Hz (交流电或者USB+电源模块)；4节AA电池； </w:t>
            </w:r>
            <w:r>
              <w:rPr>
                <w:color w:val="auto"/>
                <w:highlight w:val="none"/>
              </w:rPr>
            </w:r>
            <w:r/>
          </w:p>
          <w:p>
            <w:pPr>
              <w:spacing w:after="0" w:line="240" w:lineRule="auto"/>
              <w:rPr>
                <w:rFonts w:ascii="宋体" w:hAnsi="宋体" w:cs="宋体"/>
                <w:color w:val="auto"/>
                <w:szCs w:val="21"/>
                <w:highlight w:val="none"/>
              </w:rPr>
            </w:pPr>
            <w:r>
              <w:rPr>
                <w:rFonts w:hint="eastAsia" w:ascii="宋体" w:hAnsi="宋体" w:cs="宋体"/>
                <w:color w:val="auto"/>
                <w:spacing w:val="-2"/>
                <w:szCs w:val="21"/>
                <w:highlight w:val="none"/>
              </w:rPr>
              <w:t xml:space="preserve">2.2</w:t>
            </w:r>
            <w:r>
              <w:rPr>
                <w:rFonts w:hint="eastAsia" w:ascii="宋体" w:hAnsi="宋体" w:cs="宋体"/>
                <w:color w:val="auto"/>
                <w:spacing w:val="-2"/>
                <w:szCs w:val="21"/>
                <w:highlight w:val="none"/>
              </w:rPr>
              <w:tab/>
            </w:r>
            <w:r>
              <w:rPr>
                <w:rFonts w:hint="eastAsia" w:ascii="宋体" w:hAnsi="宋体" w:cs="宋体"/>
                <w:color w:val="auto"/>
                <w:szCs w:val="21"/>
                <w:highlight w:val="none"/>
              </w:rPr>
              <w:t xml:space="preserve">操作温度：0~50℃</w:t>
            </w:r>
            <w:r>
              <w:rPr>
                <w:color w:val="auto"/>
                <w:highlight w:val="none"/>
              </w:rPr>
            </w:r>
            <w:r/>
          </w:p>
          <w:p>
            <w:pPr>
              <w:spacing w:after="0" w:line="240" w:lineRule="auto"/>
              <w:rPr>
                <w:rFonts w:ascii="宋体" w:hAnsi="宋体" w:cs="宋体"/>
                <w:color w:val="auto"/>
                <w:spacing w:val="-2"/>
                <w:szCs w:val="21"/>
                <w:highlight w:val="none"/>
              </w:rPr>
            </w:pPr>
            <w:r>
              <w:rPr>
                <w:rFonts w:hint="eastAsia" w:ascii="宋体" w:hAnsi="宋体" w:cs="宋体"/>
                <w:color w:val="auto"/>
                <w:spacing w:val="-2"/>
                <w:szCs w:val="21"/>
                <w:highlight w:val="none"/>
              </w:rPr>
              <w:t xml:space="preserve">2.3 湿度：非冷凝，0~90%（30℃），0~80%（40℃），0~70%（50℃）</w:t>
            </w:r>
            <w:r>
              <w:rPr>
                <w:color w:val="auto"/>
                <w:highlight w:val="none"/>
              </w:rPr>
            </w:r>
            <w:r/>
          </w:p>
          <w:p>
            <w:pPr>
              <w:spacing w:after="0" w:line="240" w:lineRule="auto"/>
              <w:rPr>
                <w:rFonts w:ascii="宋体" w:hAnsi="宋体" w:cs="宋体"/>
                <w:b/>
                <w:bCs/>
                <w:color w:val="auto"/>
                <w:spacing w:val="-2"/>
                <w:szCs w:val="21"/>
                <w:highlight w:val="none"/>
              </w:rPr>
            </w:pPr>
            <w:r>
              <w:rPr>
                <w:rFonts w:hint="eastAsia" w:ascii="宋体" w:hAnsi="宋体" w:cs="宋体"/>
                <w:b/>
                <w:bCs/>
                <w:color w:val="auto"/>
                <w:spacing w:val="-2"/>
                <w:szCs w:val="21"/>
                <w:highlight w:val="none"/>
              </w:rPr>
              <w:t xml:space="preserve">3、技术性能指标：</w:t>
            </w:r>
            <w:r>
              <w:rPr>
                <w:color w:val="auto"/>
                <w:highlight w:val="none"/>
              </w:rPr>
            </w:r>
            <w:r/>
          </w:p>
          <w:p>
            <w:pPr>
              <w:spacing w:after="0" w:line="240" w:lineRule="auto"/>
              <w:rPr>
                <w:rFonts w:ascii="宋体" w:hAnsi="宋体" w:cs="宋体"/>
                <w:color w:val="auto"/>
                <w:spacing w:val="-2"/>
                <w:szCs w:val="21"/>
                <w:highlight w:val="none"/>
              </w:rPr>
            </w:pPr>
            <w:r>
              <w:rPr>
                <w:rFonts w:hint="eastAsia" w:ascii="宋体" w:hAnsi="宋体" w:cs="宋体"/>
                <w:color w:val="auto"/>
                <w:spacing w:val="-2"/>
                <w:szCs w:val="21"/>
                <w:highlight w:val="none"/>
              </w:rPr>
              <w:t xml:space="preserve">3.1 符合标准：满足USEPA 方法180.1 的要求</w:t>
            </w:r>
            <w:r>
              <w:rPr>
                <w:color w:val="auto"/>
                <w:highlight w:val="none"/>
              </w:rPr>
            </w:r>
            <w:r/>
          </w:p>
          <w:p>
            <w:pPr>
              <w:spacing w:after="0" w:line="240" w:lineRule="auto"/>
              <w:rPr>
                <w:rFonts w:ascii="宋体" w:hAnsi="宋体" w:cs="宋体"/>
                <w:color w:val="auto"/>
                <w:spacing w:val="-2"/>
                <w:szCs w:val="21"/>
                <w:highlight w:val="none"/>
              </w:rPr>
            </w:pPr>
            <w:r>
              <w:rPr>
                <w:rFonts w:hint="eastAsia" w:ascii="宋体" w:hAnsi="宋体" w:cs="宋体"/>
                <w:color w:val="auto"/>
                <w:spacing w:val="-2"/>
                <w:szCs w:val="21"/>
                <w:highlight w:val="none"/>
              </w:rPr>
              <w:t xml:space="preserve">3.2 光源：钨灯</w:t>
            </w:r>
            <w:r>
              <w:rPr>
                <w:color w:val="auto"/>
                <w:highlight w:val="none"/>
              </w:rPr>
            </w:r>
            <w:r/>
          </w:p>
          <w:p>
            <w:pPr>
              <w:spacing w:after="0" w:line="240" w:lineRule="auto"/>
              <w:rPr>
                <w:rFonts w:ascii="宋体" w:hAnsi="宋体" w:cs="宋体"/>
                <w:color w:val="auto"/>
                <w:spacing w:val="-2"/>
                <w:szCs w:val="21"/>
                <w:highlight w:val="none"/>
              </w:rPr>
            </w:pPr>
            <w:r>
              <w:rPr>
                <w:rFonts w:hint="eastAsia" w:ascii="宋体" w:hAnsi="宋体" w:cs="宋体"/>
                <w:color w:val="auto"/>
                <w:spacing w:val="-2"/>
                <w:szCs w:val="21"/>
                <w:highlight w:val="none"/>
              </w:rPr>
              <w:t xml:space="preserve">3.3 检测器：硅光电检测器</w:t>
            </w:r>
            <w:r>
              <w:rPr>
                <w:color w:val="auto"/>
                <w:highlight w:val="none"/>
              </w:rPr>
            </w:r>
            <w:r/>
          </w:p>
          <w:p>
            <w:pPr>
              <w:spacing w:after="0" w:line="240" w:lineRule="auto"/>
              <w:rPr>
                <w:rFonts w:ascii="宋体" w:hAnsi="宋体" w:cs="宋体"/>
                <w:color w:val="auto"/>
                <w:spacing w:val="-2"/>
                <w:szCs w:val="21"/>
                <w:highlight w:val="none"/>
              </w:rPr>
            </w:pPr>
            <w:r>
              <w:rPr>
                <w:rFonts w:hint="eastAsia" w:ascii="宋体" w:hAnsi="宋体" w:cs="宋体"/>
                <w:color w:val="auto"/>
                <w:spacing w:val="-2"/>
                <w:szCs w:val="21"/>
                <w:highlight w:val="none"/>
              </w:rPr>
              <w:t xml:space="preserve">3.4测量范围：0~1000 NTU</w:t>
            </w:r>
            <w:r>
              <w:rPr>
                <w:color w:val="auto"/>
                <w:highlight w:val="none"/>
              </w:rPr>
            </w:r>
            <w:r/>
          </w:p>
          <w:p>
            <w:pPr>
              <w:spacing w:after="0" w:line="240" w:lineRule="auto"/>
              <w:rPr>
                <w:rFonts w:ascii="宋体" w:hAnsi="宋体" w:cs="宋体"/>
                <w:color w:val="auto"/>
                <w:spacing w:val="-2"/>
                <w:szCs w:val="21"/>
                <w:highlight w:val="none"/>
              </w:rPr>
            </w:pPr>
            <w:r>
              <w:rPr>
                <w:rFonts w:hint="eastAsia" w:ascii="宋体" w:hAnsi="宋体" w:cs="宋体"/>
                <w:color w:val="auto"/>
                <w:spacing w:val="-2"/>
                <w:szCs w:val="21"/>
                <w:highlight w:val="none"/>
              </w:rPr>
              <w:t xml:space="preserve">3.5准确度：读数的± 2%+杂散光</w:t>
            </w:r>
            <w:r>
              <w:rPr>
                <w:color w:val="auto"/>
                <w:highlight w:val="none"/>
              </w:rPr>
            </w:r>
            <w:r/>
          </w:p>
          <w:p>
            <w:pPr>
              <w:spacing w:after="0" w:line="240" w:lineRule="auto"/>
              <w:rPr>
                <w:rFonts w:ascii="宋体" w:hAnsi="宋体" w:cs="宋体"/>
                <w:color w:val="auto"/>
                <w:spacing w:val="-2"/>
                <w:szCs w:val="21"/>
                <w:highlight w:val="none"/>
              </w:rPr>
            </w:pPr>
            <w:r>
              <w:rPr>
                <w:rFonts w:hint="eastAsia" w:ascii="宋体" w:hAnsi="宋体" w:cs="宋体"/>
                <w:color w:val="auto"/>
                <w:spacing w:val="-2"/>
                <w:szCs w:val="21"/>
                <w:highlight w:val="none"/>
              </w:rPr>
              <w:t xml:space="preserve">3.6 可重复性：读数的± 1%或者0.01NTU，取大者</w:t>
            </w:r>
            <w:r>
              <w:rPr>
                <w:color w:val="auto"/>
                <w:highlight w:val="none"/>
              </w:rPr>
            </w:r>
            <w:r/>
          </w:p>
          <w:p>
            <w:pPr>
              <w:spacing w:after="0" w:line="240" w:lineRule="auto"/>
              <w:rPr>
                <w:rFonts w:ascii="宋体" w:hAnsi="宋体" w:cs="宋体"/>
                <w:color w:val="auto"/>
                <w:spacing w:val="-2"/>
                <w:szCs w:val="21"/>
                <w:highlight w:val="none"/>
              </w:rPr>
            </w:pPr>
            <w:r>
              <w:rPr>
                <w:rFonts w:hint="eastAsia" w:ascii="宋体" w:hAnsi="宋体" w:cs="宋体"/>
                <w:color w:val="auto"/>
                <w:spacing w:val="-2"/>
                <w:szCs w:val="21"/>
                <w:highlight w:val="none"/>
              </w:rPr>
              <w:t xml:space="preserve">3.7分辨率：在最低测量范围时为0.01NTU</w:t>
            </w:r>
            <w:r>
              <w:rPr>
                <w:color w:val="auto"/>
                <w:highlight w:val="none"/>
              </w:rPr>
            </w:r>
            <w:r/>
          </w:p>
          <w:p>
            <w:pPr>
              <w:spacing w:after="0" w:line="240" w:lineRule="auto"/>
              <w:rPr>
                <w:rFonts w:ascii="宋体" w:hAnsi="宋体" w:cs="宋体"/>
                <w:color w:val="auto"/>
                <w:spacing w:val="-2"/>
                <w:szCs w:val="21"/>
                <w:highlight w:val="none"/>
              </w:rPr>
            </w:pPr>
            <w:r>
              <w:rPr>
                <w:rFonts w:hint="eastAsia" w:ascii="宋体" w:hAnsi="宋体" w:cs="宋体"/>
                <w:color w:val="auto"/>
                <w:spacing w:val="-2"/>
                <w:szCs w:val="21"/>
                <w:highlight w:val="none"/>
              </w:rPr>
              <w:t xml:space="preserve">3.8杂散光：&lt;0.02NTU</w:t>
            </w:r>
            <w:r>
              <w:rPr>
                <w:color w:val="auto"/>
                <w:highlight w:val="none"/>
              </w:rPr>
            </w:r>
            <w:r/>
          </w:p>
          <w:p>
            <w:pPr>
              <w:spacing w:after="0" w:line="240" w:lineRule="auto"/>
              <w:rPr>
                <w:rFonts w:ascii="宋体" w:hAnsi="宋体" w:cs="宋体"/>
                <w:b/>
                <w:bCs/>
                <w:color w:val="auto"/>
                <w:spacing w:val="-2"/>
                <w:szCs w:val="21"/>
                <w:highlight w:val="none"/>
              </w:rPr>
            </w:pPr>
            <w:r>
              <w:rPr>
                <w:rFonts w:hint="eastAsia" w:ascii="宋体" w:hAnsi="宋体" w:cs="宋体"/>
                <w:b/>
                <w:bCs/>
                <w:color w:val="auto"/>
                <w:spacing w:val="-2"/>
                <w:szCs w:val="21"/>
                <w:highlight w:val="none"/>
              </w:rPr>
              <w:t xml:space="preserve">4、配置要求：</w:t>
            </w:r>
            <w:r>
              <w:rPr>
                <w:color w:val="auto"/>
                <w:highlight w:val="none"/>
              </w:rPr>
            </w:r>
            <w:r/>
          </w:p>
          <w:p>
            <w:pPr>
              <w:spacing w:after="0" w:line="240" w:lineRule="auto"/>
              <w:rPr>
                <w:rFonts w:ascii="宋体" w:hAnsi="宋体" w:cs="宋体"/>
                <w:bCs/>
                <w:color w:val="auto"/>
                <w:szCs w:val="21"/>
                <w:highlight w:val="none"/>
              </w:rPr>
            </w:pPr>
            <w:r>
              <w:rPr>
                <w:rFonts w:hint="eastAsia" w:ascii="宋体" w:hAnsi="宋体" w:cs="宋体"/>
                <w:bCs/>
                <w:color w:val="auto"/>
                <w:szCs w:val="21"/>
                <w:highlight w:val="none"/>
              </w:rPr>
              <w:t xml:space="preserve">4.1 基本配置：</w:t>
            </w:r>
            <w:r>
              <w:rPr>
                <w:color w:val="auto"/>
                <w:highlight w:val="none"/>
              </w:rPr>
            </w:r>
            <w:r/>
          </w:p>
          <w:p>
            <w:pPr>
              <w:spacing w:after="0" w:line="240" w:lineRule="auto"/>
              <w:rPr>
                <w:rFonts w:ascii="宋体" w:hAnsi="宋体" w:cs="宋体"/>
                <w:color w:val="auto"/>
                <w:szCs w:val="21"/>
                <w:highlight w:val="none"/>
              </w:rPr>
            </w:pPr>
            <w:r>
              <w:rPr>
                <w:rFonts w:hint="eastAsia" w:ascii="宋体" w:hAnsi="宋体" w:cs="宋体"/>
                <w:color w:val="auto"/>
                <w:spacing w:val="-2"/>
                <w:szCs w:val="21"/>
                <w:highlight w:val="none"/>
              </w:rPr>
              <w:t xml:space="preserve">便携式浊度仪主机，6个样品池、装在密封小瓶中的一级标准液、10NTU的一级验证标</w:t>
            </w:r>
            <w:r>
              <w:rPr>
                <w:rFonts w:hint="eastAsia" w:ascii="宋体" w:hAnsi="宋体" w:cs="宋体"/>
                <w:color w:val="auto"/>
                <w:spacing w:val="-2"/>
                <w:szCs w:val="21"/>
                <w:highlight w:val="none"/>
              </w:rPr>
              <w:t xml:space="preserve">准液、硅油、4节碱性电池、用户手册</w:t>
            </w:r>
            <w:r>
              <w:rPr>
                <w:color w:val="auto"/>
                <w:highlight w:val="none"/>
              </w:rPr>
            </w:r>
            <w:r/>
          </w:p>
        </w:tc>
      </w:tr>
      <w:tr>
        <w:trPr>
          <w:trHeight w:val="340"/>
        </w:trPr>
        <w:tc>
          <w:tcPr>
            <w:tcMar>
              <w:left w:w="15" w:type="dxa"/>
              <w:top w:w="15" w:type="dxa"/>
              <w:right w:w="15" w:type="dxa"/>
            </w:tcMar>
            <w:tcW w:w="614" w:type="dxa"/>
            <w:vAlign w:val="center"/>
            <w:textDirection w:val="lrTb"/>
            <w:noWrap w:val="false"/>
          </w:tcPr>
          <w:p>
            <w:pPr>
              <w:jc w:val="center"/>
              <w:spacing w:after="0" w:line="240" w:lineRule="auto"/>
              <w:widowControl/>
              <w:rPr>
                <w:rFonts w:ascii="宋体" w:hAnsi="宋体" w:cs="宋体"/>
                <w:color w:val="auto"/>
                <w:szCs w:val="21"/>
                <w:highlight w:val="none"/>
              </w:rPr>
            </w:pPr>
            <w:r>
              <w:rPr>
                <w:rFonts w:hint="eastAsia" w:ascii="宋体" w:hAnsi="宋体" w:cs="宋体"/>
                <w:color w:val="auto"/>
                <w:szCs w:val="21"/>
                <w:highlight w:val="none"/>
              </w:rPr>
              <w:t xml:space="preserve">16</w:t>
            </w:r>
            <w:r>
              <w:rPr>
                <w:color w:val="auto"/>
                <w:highlight w:val="none"/>
              </w:rPr>
            </w:r>
            <w:r/>
          </w:p>
        </w:tc>
        <w:tc>
          <w:tcPr>
            <w:tcMar>
              <w:left w:w="15" w:type="dxa"/>
              <w:top w:w="15" w:type="dxa"/>
              <w:right w:w="15" w:type="dxa"/>
            </w:tcMar>
            <w:tcW w:w="1281" w:type="dxa"/>
            <w:vAlign w:val="center"/>
            <w:textDirection w:val="lrTb"/>
            <w:noWrap w:val="false"/>
          </w:tcPr>
          <w:p>
            <w:pPr>
              <w:jc w:val="center"/>
              <w:spacing w:after="0" w:line="240" w:lineRule="auto"/>
              <w:widowControl/>
              <w:rPr>
                <w:rFonts w:ascii="宋体" w:hAnsi="宋体" w:cs="宋体"/>
                <w:color w:val="auto"/>
                <w:szCs w:val="21"/>
                <w:highlight w:val="none"/>
              </w:rPr>
            </w:pPr>
            <w:r>
              <w:rPr>
                <w:rStyle w:val="1146"/>
                <w:rFonts w:hint="default" w:ascii="宋体" w:hAnsi="宋体" w:eastAsia="宋体" w:cs="宋体"/>
                <w:color w:val="auto"/>
                <w:sz w:val="21"/>
                <w:szCs w:val="21"/>
                <w:highlight w:val="none"/>
              </w:rPr>
              <w:t xml:space="preserve">户外</w:t>
            </w:r>
            <w:r>
              <w:rPr>
                <w:rStyle w:val="1147"/>
                <w:rFonts w:hint="default" w:ascii="宋体" w:hAnsi="宋体" w:eastAsia="宋体" w:cs="宋体"/>
                <w:color w:val="auto"/>
                <w:sz w:val="21"/>
                <w:szCs w:val="21"/>
                <w:highlight w:val="none"/>
              </w:rPr>
              <w:t xml:space="preserve">电源</w:t>
            </w:r>
            <w:r>
              <w:rPr>
                <w:color w:val="auto"/>
                <w:highlight w:val="none"/>
              </w:rPr>
            </w:r>
            <w:r/>
          </w:p>
        </w:tc>
        <w:tc>
          <w:tcPr>
            <w:tcMar>
              <w:left w:w="15" w:type="dxa"/>
              <w:top w:w="15" w:type="dxa"/>
              <w:right w:w="15" w:type="dxa"/>
            </w:tcMar>
            <w:tcW w:w="7814" w:type="dxa"/>
            <w:vAlign w:val="center"/>
            <w:textDirection w:val="lrTb"/>
            <w:noWrap w:val="false"/>
          </w:tcPr>
          <w:p>
            <w:pPr>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电池容量≥1070Wh</w:t>
            </w:r>
            <w:r>
              <w:rPr>
                <w:color w:val="auto"/>
                <w:highlight w:val="none"/>
              </w:rPr>
            </w:r>
            <w:r/>
          </w:p>
          <w:p>
            <w:pPr>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额定功率≥1500W</w:t>
            </w:r>
            <w:r>
              <w:rPr>
                <w:color w:val="auto"/>
                <w:highlight w:val="none"/>
              </w:rPr>
            </w:r>
            <w:r/>
          </w:p>
          <w:p>
            <w:pPr>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重量≤15Kg</w:t>
            </w:r>
            <w:r>
              <w:rPr>
                <w:color w:val="auto"/>
                <w:highlight w:val="none"/>
              </w:rPr>
            </w:r>
            <w:r/>
          </w:p>
          <w:p>
            <w:pPr>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AC*2 输出：最大1500W</w:t>
            </w:r>
            <w:r>
              <w:rPr>
                <w:color w:val="auto"/>
                <w:highlight w:val="none"/>
              </w:rPr>
            </w:r>
            <w:r/>
          </w:p>
          <w:p>
            <w:pPr>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USB-A*1 输出： 18W Max</w:t>
            </w:r>
            <w:r>
              <w:rPr>
                <w:color w:val="auto"/>
                <w:highlight w:val="none"/>
              </w:rPr>
            </w:r>
            <w:r/>
          </w:p>
          <w:p>
            <w:pPr>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USB-C*2 输出：PD100W*1 </w:t>
            </w:r>
            <w:r>
              <w:rPr>
                <w:color w:val="auto"/>
                <w:highlight w:val="none"/>
              </w:rPr>
            </w:r>
            <w:r/>
          </w:p>
          <w:p>
            <w:pPr>
              <w:spacing w:after="0" w:line="240" w:lineRule="auto"/>
              <w:rPr>
                <w:rFonts w:ascii="宋体" w:hAnsi="宋体" w:cs="宋体"/>
                <w:color w:val="auto"/>
                <w:szCs w:val="21"/>
                <w:highlight w:val="none"/>
              </w:rPr>
            </w:pPr>
            <w:r>
              <w:rPr>
                <w:rFonts w:hint="eastAsia" w:ascii="宋体" w:hAnsi="宋体" w:cs="宋体"/>
                <w:color w:val="auto"/>
                <w:szCs w:val="21"/>
                <w:highlight w:val="none"/>
              </w:rPr>
              <w:t xml:space="preserve">车充输出：12V/10A 120W max</w:t>
            </w:r>
            <w:r>
              <w:rPr>
                <w:color w:val="auto"/>
                <w:highlight w:val="none"/>
              </w:rPr>
            </w:r>
            <w:r/>
          </w:p>
        </w:tc>
      </w:tr>
    </w:tbl>
    <w:p>
      <w:pPr>
        <w:pStyle w:val="778"/>
        <w:numPr>
          <w:ilvl w:val="0"/>
          <w:numId w:val="12"/>
        </w:numPr>
        <w:spacing w:after="0"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安装、验收、售后服务</w:t>
      </w:r>
      <w:r>
        <w:rPr>
          <w:color w:val="auto"/>
          <w:highlight w:val="none"/>
        </w:rPr>
      </w:r>
      <w:r/>
    </w:p>
    <w:p>
      <w:pPr>
        <w:ind w:firstLine="48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1、服务期限：</w:t>
      </w:r>
      <w:r>
        <w:rPr>
          <w:rFonts w:hint="eastAsia" w:ascii="宋体" w:hAnsi="宋体" w:cs="宋体"/>
          <w:color w:val="auto"/>
          <w:sz w:val="24"/>
          <w:highlight w:val="none"/>
        </w:rPr>
        <w:t xml:space="preserve">合同签订后30天内交付并安装调试完毕，整体免费质保期不低于一年</w:t>
      </w:r>
      <w:r>
        <w:rPr>
          <w:rFonts w:ascii="宋体" w:hAnsi="宋体" w:cs="宋体"/>
          <w:color w:val="auto"/>
          <w:sz w:val="24"/>
          <w:highlight w:val="none"/>
        </w:rPr>
        <w:t xml:space="preserve">。其中</w:t>
      </w:r>
      <w:r>
        <w:rPr>
          <w:rFonts w:hint="eastAsia" w:ascii="宋体" w:hAnsi="宋体" w:cs="宋体"/>
          <w:color w:val="auto"/>
          <w:sz w:val="24"/>
          <w:szCs w:val="24"/>
          <w:highlight w:val="none"/>
        </w:rPr>
        <w:t xml:space="preserve">原子吸收分光光度计</w:t>
      </w:r>
      <w:r>
        <w:rPr>
          <w:rFonts w:hint="eastAsia" w:ascii="宋体" w:hAnsi="宋体" w:cs="宋体"/>
          <w:color w:val="auto"/>
          <w:sz w:val="24"/>
          <w:szCs w:val="24"/>
          <w:highlight w:val="none"/>
        </w:rPr>
        <w:t xml:space="preserve">、纯水机</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rPr>
        <w:t xml:space="preserve">烟尘/气浓度测试仪</w:t>
      </w:r>
      <w:r>
        <w:rPr>
          <w:rFonts w:hint="eastAsia" w:ascii="宋体" w:hAnsi="宋体" w:cs="宋体"/>
          <w:color w:val="auto"/>
          <w:sz w:val="24"/>
          <w:szCs w:val="24"/>
          <w:highlight w:val="none"/>
        </w:rPr>
        <w:t xml:space="preserve">和</w:t>
      </w:r>
      <w:r>
        <w:rPr>
          <w:rStyle w:val="1147"/>
          <w:rFonts w:hint="default" w:ascii="宋体" w:hAnsi="宋体" w:eastAsia="宋体" w:cs="宋体"/>
          <w:color w:val="auto"/>
          <w:sz w:val="24"/>
          <w:szCs w:val="24"/>
          <w:highlight w:val="none"/>
        </w:rPr>
        <w:t xml:space="preserve">环境气体应急</w:t>
      </w:r>
      <w:r>
        <w:rPr>
          <w:rStyle w:val="1146"/>
          <w:rFonts w:hint="default" w:ascii="宋体" w:hAnsi="宋体" w:eastAsia="宋体" w:cs="宋体"/>
          <w:color w:val="auto"/>
          <w:sz w:val="24"/>
          <w:szCs w:val="24"/>
          <w:highlight w:val="none"/>
        </w:rPr>
        <w:t xml:space="preserve">检</w:t>
      </w:r>
      <w:r>
        <w:rPr>
          <w:rStyle w:val="1147"/>
          <w:rFonts w:hint="default" w:ascii="宋体" w:hAnsi="宋体" w:eastAsia="宋体" w:cs="宋体"/>
          <w:color w:val="auto"/>
          <w:sz w:val="24"/>
          <w:szCs w:val="24"/>
          <w:highlight w:val="none"/>
        </w:rPr>
        <w:t xml:space="preserve">测仪</w:t>
      </w:r>
      <w:r>
        <w:rPr>
          <w:rFonts w:hint="eastAsia" w:ascii="宋体" w:hAnsi="宋体" w:cs="宋体"/>
          <w:color w:val="auto"/>
          <w:sz w:val="24"/>
          <w:szCs w:val="24"/>
          <w:highlight w:val="none"/>
        </w:rPr>
        <w:t xml:space="preserve">质保期不低于2年</w:t>
      </w:r>
      <w:r>
        <w:rPr>
          <w:rFonts w:hint="eastAsia" w:ascii="宋体" w:hAnsi="宋体" w:cs="宋体"/>
          <w:color w:val="auto"/>
          <w:sz w:val="24"/>
          <w:szCs w:val="24"/>
          <w:highlight w:val="none"/>
        </w:rPr>
        <w:t xml:space="preserve">。</w:t>
      </w:r>
      <w:r>
        <w:rPr>
          <w:color w:val="auto"/>
          <w:highlight w:val="none"/>
        </w:rPr>
      </w:r>
      <w:r/>
    </w:p>
    <w:p>
      <w:pPr>
        <w:ind w:firstLine="48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2、项目交货地点：根据甲方要求送达指定地点。</w:t>
      </w:r>
      <w:r>
        <w:rPr>
          <w:color w:val="auto"/>
          <w:highlight w:val="none"/>
        </w:rPr>
      </w:r>
      <w:r/>
    </w:p>
    <w:p>
      <w:pPr>
        <w:ind w:firstLine="48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3、中标人应保证所供标的物是全新的，未使用过的、性能良好、符合环保的、 原装、原产、合法、正规途径的货物，并且是非长期积压的库存商品，完全符合采购设备规定的质量、规格和性能的要求，严禁提供假冒、伪劣或非正规途径之产品。产品配置必须原厂出厂时全部自带，所有设备外包装箱不得自行拆封，包装箱上所有标签等不得涂改或撕毁，除有特殊要求外，其余均为标准配置，否则采购人有权拒绝验收。中标人应保证其提供的标的物在正确安装、正常使用和保养条件下，在其标称的使用寿命期内应具有满意的性能。</w:t>
      </w:r>
      <w:r>
        <w:rPr>
          <w:color w:val="auto"/>
          <w:highlight w:val="none"/>
        </w:rPr>
      </w:r>
      <w:r/>
    </w:p>
    <w:p>
      <w:pPr>
        <w:ind w:firstLine="48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4、货物到达安装现场后，中标人和采购人共同打开包装验货检查货物数量。中标人应提供详细单据。如果货物质量或技术规格与合同不符，或货物有明显损坏，采购人有权提出索赔。只有经安装调试并且技术性能达到本招标文件所述的技术要求后，采购人才能接受全部货物。仪器设备不满足招标文件要求的，采购人有权解除合同并追究中标人法律责任。</w:t>
      </w:r>
      <w:r>
        <w:rPr>
          <w:color w:val="auto"/>
          <w:highlight w:val="none"/>
        </w:rPr>
      </w:r>
      <w:r/>
    </w:p>
    <w:p>
      <w:pPr>
        <w:ind w:firstLine="48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5、中标人负责供货、运输、安装调试，并确保涉及的平台运行正常。</w:t>
      </w:r>
      <w:r>
        <w:rPr>
          <w:color w:val="auto"/>
          <w:highlight w:val="none"/>
        </w:rPr>
      </w:r>
      <w:r/>
    </w:p>
    <w:p>
      <w:pPr>
        <w:ind w:firstLine="48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6、中标人在项目实施过程中，进场单位和人员的资质、资格符合国家、省、市有关规定。项目履约期间如由中标</w:t>
      </w:r>
      <w:r>
        <w:rPr>
          <w:rFonts w:ascii="宋体" w:hAnsi="宋体" w:cs="宋体"/>
          <w:color w:val="auto"/>
          <w:sz w:val="24"/>
          <w:highlight w:val="none"/>
        </w:rPr>
        <w:t xml:space="preserve">人原因</w:t>
      </w:r>
      <w:r>
        <w:rPr>
          <w:rFonts w:ascii="宋体" w:hAnsi="宋体" w:cs="宋体"/>
          <w:color w:val="auto"/>
          <w:sz w:val="24"/>
          <w:highlight w:val="none"/>
        </w:rPr>
        <w:t xml:space="preserve">造成的安全事故，均应由中标人负责，按有关规定处理善后事宜，并承担给采购人造成的损失。</w:t>
      </w:r>
      <w:r>
        <w:rPr>
          <w:color w:val="auto"/>
          <w:highlight w:val="none"/>
        </w:rPr>
      </w:r>
      <w:r/>
    </w:p>
    <w:p>
      <w:pPr>
        <w:ind w:firstLine="48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7、中标人应提供完备的技术资料、装箱单和合格证等，并派遣专业技术人员进行现场安装调试。验收合格条件如下：</w:t>
      </w:r>
      <w:r>
        <w:rPr>
          <w:color w:val="auto"/>
          <w:highlight w:val="none"/>
        </w:rPr>
      </w:r>
      <w:r/>
    </w:p>
    <w:p>
      <w:pPr>
        <w:ind w:firstLine="48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（1）设备技术参数与招标文件及采购合同一致，性能指标达到招标文件规定的标准。</w:t>
      </w:r>
      <w:r>
        <w:rPr>
          <w:color w:val="auto"/>
          <w:highlight w:val="none"/>
        </w:rPr>
      </w:r>
      <w:r/>
    </w:p>
    <w:p>
      <w:pPr>
        <w:ind w:firstLine="48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（2）货物技术资料、装箱单、合格证等资料齐全。</w:t>
      </w:r>
      <w:r>
        <w:rPr>
          <w:color w:val="auto"/>
          <w:highlight w:val="none"/>
        </w:rPr>
      </w:r>
      <w:r/>
    </w:p>
    <w:p>
      <w:pPr>
        <w:ind w:firstLine="48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（3）在系统试运行期间所出现的问题得到解决，并运行正常。</w:t>
      </w:r>
      <w:r>
        <w:rPr>
          <w:color w:val="auto"/>
          <w:highlight w:val="none"/>
        </w:rPr>
      </w:r>
      <w:r/>
    </w:p>
    <w:p>
      <w:pPr>
        <w:ind w:firstLine="48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（4）在规定时间内完成交货并验收，并经采购人确认。</w:t>
      </w:r>
      <w:r>
        <w:rPr>
          <w:color w:val="auto"/>
          <w:highlight w:val="none"/>
        </w:rPr>
      </w:r>
      <w:r/>
    </w:p>
    <w:p>
      <w:pPr>
        <w:ind w:firstLine="48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8、产品在安装调试并试运行符合要求后，采购人即可进行最终验收。验收期限为安装调试结束后三个月内。特殊情况需延长的，双方应特别约定。采购人和相关部门按照招标文</w:t>
      </w:r>
      <w:r>
        <w:rPr>
          <w:rFonts w:ascii="宋体" w:hAnsi="宋体" w:cs="宋体"/>
          <w:color w:val="auto"/>
          <w:sz w:val="24"/>
          <w:highlight w:val="none"/>
        </w:rPr>
        <w:t xml:space="preserve">件和投标文件承诺进行验收。招标文件没有规定和投标文件没有相应承诺的，按照下列原则进行验收：有国家标准的按照国家标准验收，没有国家标准的按行业标准验收，无行业标准的按地方或企业标准验收，中标人予以配合。涉及需要由质检或行业主管部门验收的项</w:t>
      </w:r>
      <w:r>
        <w:rPr>
          <w:rFonts w:ascii="宋体" w:hAnsi="宋体" w:cs="宋体"/>
          <w:color w:val="auto"/>
          <w:sz w:val="24"/>
          <w:highlight w:val="none"/>
        </w:rPr>
        <w:t xml:space="preserve">目，采购人须约请相关部门和专家参加项目验收。所有需要质检部门进行检测才能使用的设备，投标报价中必须包含首次检测费用。货物在验收时，投标人应提供发票、制造厂家出具的产品合格证书、装箱清单等，完税证明及商检证明（如有）等材料；提供有关货物的保养修理所需的各种随机工具及全部有关技术文件、操作使用说明书、质保书、保修证明、维护手册及技术性指导资料以及根据中国相关法律规定制造、销售报价货物（包括主要部件和材料）所必备的各种证书(如产品质量检验报告、适用性检测报告等）等文件和应由中标人提供的必要文件汇集成册交付采购人。</w:t>
      </w:r>
      <w:r>
        <w:rPr>
          <w:color w:val="auto"/>
          <w:highlight w:val="none"/>
        </w:rPr>
      </w:r>
      <w:r/>
    </w:p>
    <w:p>
      <w:pPr>
        <w:ind w:firstLine="48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9、中标人应为本项目配置项目负责人1名及充足的专业技术人员。并根据自身实际，配置售后服务人员，建立良好的售后服务体系。在质保期内，如货物出现质量问题，2小时响应，8小时内到达现场，48小时内解决问题。如果无法按照要求及时响应或解决问题，每次扣除3000元。中标人须设有7×24小时维修服务电话，负责解答用户在使用中遇到的问题，及时提出解决问题的建议和操作方法。</w:t>
      </w:r>
      <w:r>
        <w:rPr>
          <w:color w:val="auto"/>
          <w:highlight w:val="none"/>
        </w:rPr>
      </w:r>
      <w:r/>
    </w:p>
    <w:p>
      <w:pPr>
        <w:ind w:firstLine="48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10、免费技术培训：免费提供使用方技术人员的培训，包括设备的基本知识、使用方法、维护及保养技术的现场免费培训，直至其能熟练独立操作及日常维护与保养，简单故障诊断与排除。需进行厂家培训的品目，由中标人及时安排，一切费用包含在投标报价中。培训是否达到要求、效果须由采购人最终认定。</w:t>
      </w:r>
      <w:r>
        <w:rPr>
          <w:color w:val="auto"/>
          <w:highlight w:val="none"/>
        </w:rPr>
      </w:r>
      <w:r/>
    </w:p>
    <w:p>
      <w:pPr>
        <w:ind w:firstLine="48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11、软件升级：免费提供软件系统升级和网络传输软件更新服务。</w:t>
      </w:r>
      <w:r>
        <w:rPr>
          <w:color w:val="auto"/>
          <w:highlight w:val="none"/>
        </w:rPr>
      </w:r>
      <w:r/>
    </w:p>
    <w:p>
      <w:pPr>
        <w:ind w:firstLine="48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12、中标人必须接受采购人的监督，中标人对采购人提出的合理意见与建议必须采纳。验收合格后中标人提供免费质保服务及相应日常维护工作。</w:t>
      </w:r>
      <w:r>
        <w:rPr>
          <w:color w:val="auto"/>
          <w:highlight w:val="none"/>
        </w:rPr>
      </w:r>
      <w:r/>
    </w:p>
    <w:p>
      <w:pPr>
        <w:ind w:firstLine="48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13、质保期：</w:t>
      </w:r>
      <w:r>
        <w:rPr>
          <w:rFonts w:ascii="宋体" w:hAnsi="宋体" w:cs="宋体"/>
          <w:color w:val="auto"/>
          <w:sz w:val="24"/>
          <w:highlight w:val="none"/>
        </w:rPr>
        <w:t xml:space="preserve">自全部</w:t>
      </w:r>
      <w:r>
        <w:rPr>
          <w:rFonts w:ascii="宋体" w:hAnsi="宋体" w:cs="宋体"/>
          <w:color w:val="auto"/>
          <w:sz w:val="24"/>
          <w:highlight w:val="none"/>
        </w:rPr>
        <w:t xml:space="preserve">仪器验收合格起，本项目整体免费质保期不低于一年。</w:t>
      </w:r>
      <w:r>
        <w:rPr>
          <w:rFonts w:ascii="宋体" w:hAnsi="宋体" w:cs="宋体"/>
          <w:color w:val="auto"/>
          <w:sz w:val="24"/>
          <w:highlight w:val="none"/>
        </w:rPr>
        <w:t xml:space="preserve">其中</w:t>
      </w:r>
      <w:r>
        <w:rPr>
          <w:rFonts w:hint="eastAsia" w:ascii="宋体" w:hAnsi="宋体" w:cs="宋体"/>
          <w:color w:val="auto"/>
          <w:sz w:val="24"/>
          <w:szCs w:val="24"/>
          <w:highlight w:val="none"/>
        </w:rPr>
        <w:t xml:space="preserve">原子吸收分光光度计、纯水机、烟尘/气浓度测试仪和</w:t>
      </w:r>
      <w:r>
        <w:rPr>
          <w:rStyle w:val="1147"/>
          <w:rFonts w:hint="default" w:ascii="宋体" w:hAnsi="宋体" w:eastAsia="宋体" w:cs="宋体"/>
          <w:color w:val="auto"/>
          <w:sz w:val="24"/>
          <w:szCs w:val="24"/>
          <w:highlight w:val="none"/>
        </w:rPr>
        <w:t xml:space="preserve">环境气体应急</w:t>
      </w:r>
      <w:r>
        <w:rPr>
          <w:rStyle w:val="1146"/>
          <w:rFonts w:hint="default" w:ascii="宋体" w:hAnsi="宋体" w:eastAsia="宋体" w:cs="宋体"/>
          <w:color w:val="auto"/>
          <w:sz w:val="24"/>
          <w:szCs w:val="24"/>
          <w:highlight w:val="none"/>
        </w:rPr>
        <w:t xml:space="preserve">检</w:t>
      </w:r>
      <w:r>
        <w:rPr>
          <w:rStyle w:val="1147"/>
          <w:rFonts w:hint="default" w:ascii="宋体" w:hAnsi="宋体" w:eastAsia="宋体" w:cs="宋体"/>
          <w:color w:val="auto"/>
          <w:sz w:val="24"/>
          <w:szCs w:val="24"/>
          <w:highlight w:val="none"/>
        </w:rPr>
        <w:t xml:space="preserve">测仪</w:t>
      </w:r>
      <w:r>
        <w:rPr>
          <w:rFonts w:hint="eastAsia" w:ascii="宋体" w:hAnsi="宋体" w:cs="宋体"/>
          <w:color w:val="auto"/>
          <w:sz w:val="24"/>
          <w:szCs w:val="24"/>
          <w:highlight w:val="none"/>
        </w:rPr>
        <w:t xml:space="preserve">质保期不低于2年。</w:t>
      </w:r>
      <w:r>
        <w:rPr>
          <w:color w:val="auto"/>
          <w:highlight w:val="none"/>
        </w:rPr>
      </w:r>
      <w:r/>
    </w:p>
    <w:p>
      <w:pPr>
        <w:ind w:firstLine="48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在质保期内，应</w:t>
      </w:r>
      <w:r>
        <w:rPr>
          <w:rFonts w:ascii="宋体" w:hAnsi="宋体" w:cs="宋体"/>
          <w:color w:val="auto"/>
          <w:sz w:val="24"/>
          <w:highlight w:val="none"/>
        </w:rPr>
        <w:t xml:space="preserve">无偿并</w:t>
      </w:r>
      <w:r>
        <w:rPr>
          <w:rFonts w:ascii="宋体" w:hAnsi="宋体" w:cs="宋体"/>
          <w:color w:val="auto"/>
          <w:sz w:val="24"/>
          <w:highlight w:val="none"/>
        </w:rPr>
        <w:t xml:space="preserve">在3日内更换由于元器件缺陷及工艺等问题而发生故障的产品，并对因维修、保养，更换零部件</w:t>
      </w:r>
      <w:r>
        <w:rPr>
          <w:rFonts w:ascii="宋体" w:hAnsi="宋体" w:cs="宋体"/>
          <w:color w:val="auto"/>
          <w:sz w:val="24"/>
          <w:highlight w:val="none"/>
        </w:rPr>
        <w:t xml:space="preserve">、更换耗材</w:t>
      </w:r>
      <w:r>
        <w:rPr>
          <w:rFonts w:ascii="宋体" w:hAnsi="宋体" w:cs="宋体"/>
          <w:color w:val="auto"/>
          <w:sz w:val="24"/>
          <w:highlight w:val="none"/>
        </w:rPr>
        <w:t xml:space="preserve">等所发生的一切费用，均由中标人承担。在期间如发生影响运行的重大故障，质保期应为故障排除之日起重新计算。质保期满后，应提供优先的有偿售后服务及按不高于</w:t>
      </w:r>
      <w:r>
        <w:rPr>
          <w:rFonts w:hint="eastAsia" w:ascii="宋体" w:hAnsi="宋体" w:cs="宋体"/>
          <w:color w:val="auto"/>
          <w:sz w:val="24"/>
          <w:highlight w:val="none"/>
        </w:rPr>
        <w:t xml:space="preserve">行业均价及供应商承诺的价格</w:t>
      </w:r>
      <w:r>
        <w:rPr>
          <w:rFonts w:ascii="宋体" w:hAnsi="宋体" w:cs="宋体"/>
          <w:color w:val="auto"/>
          <w:sz w:val="24"/>
          <w:highlight w:val="none"/>
        </w:rPr>
        <w:t xml:space="preserve">供应原厂零配件等。软件终身免费升级、免费使用。</w:t>
      </w:r>
      <w:r>
        <w:rPr>
          <w:color w:val="auto"/>
          <w:highlight w:val="none"/>
        </w:rPr>
      </w:r>
      <w:r/>
    </w:p>
    <w:p>
      <w:pPr>
        <w:ind w:firstLine="48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14、在按上述供货范围提供设备的同时，须提供与之相应的、在采购文件中规定的伴随服务，包括：技术资料、安装、调试、现场试运行、技术支持、技术协助、技术培训等，以</w:t>
      </w:r>
      <w:r>
        <w:rPr>
          <w:rFonts w:ascii="宋体" w:hAnsi="宋体" w:cs="宋体"/>
          <w:color w:val="auto"/>
          <w:sz w:val="24"/>
          <w:highlight w:val="none"/>
        </w:rPr>
        <w:t xml:space="preserve">及在本采购文件中未提及的、隐含的其它必须由中标人提供的相关服务。</w:t>
      </w:r>
      <w:r>
        <w:rPr>
          <w:color w:val="auto"/>
          <w:highlight w:val="none"/>
        </w:rPr>
      </w:r>
      <w:r/>
    </w:p>
    <w:p>
      <w:pPr>
        <w:pStyle w:val="778"/>
        <w:numPr>
          <w:ilvl w:val="0"/>
          <w:numId w:val="12"/>
        </w:numPr>
        <w:spacing w:after="0"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综合说明</w:t>
      </w:r>
      <w:r>
        <w:rPr>
          <w:color w:val="auto"/>
          <w:highlight w:val="none"/>
        </w:rPr>
      </w:r>
      <w:r/>
    </w:p>
    <w:p>
      <w:pPr>
        <w:ind w:firstLine="48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1、本项目不接受进口产品投标。</w:t>
      </w:r>
      <w:r>
        <w:rPr>
          <w:color w:val="auto"/>
          <w:highlight w:val="none"/>
        </w:rPr>
      </w:r>
      <w:r/>
    </w:p>
    <w:p>
      <w:pPr>
        <w:ind w:firstLine="48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2、投标供应商中标后提供货物及配件均为按国家规格条例生产的合格正规产品、符合设计规范要求。</w:t>
      </w:r>
      <w:r>
        <w:rPr>
          <w:color w:val="auto"/>
          <w:highlight w:val="none"/>
        </w:rPr>
      </w:r>
      <w:r/>
    </w:p>
    <w:p>
      <w:pPr>
        <w:ind w:firstLine="48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中标人应能保证所提供货物涉及到的知识产权是合法取得，并享有完整的知识产权，不会因为采购人的使用而被责令停止使用、追偿或要求赔偿损失，如出现此情况，一切经济和法律责任均由中标人承担。中标人提供的所有货物必须为合格产品，质量符合国际或国家通用标准，如出现质量问题或系假冒伪劣产品，中标人负责包退、包换，发生的费用由中标人负责。</w:t>
      </w:r>
      <w:r>
        <w:rPr>
          <w:color w:val="auto"/>
          <w:highlight w:val="none"/>
        </w:rPr>
      </w:r>
      <w:r/>
    </w:p>
    <w:p>
      <w:pPr>
        <w:ind w:firstLine="48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4、中标人应当遵守保密原则，对因订立和执行本合同过程中所了解或知悉或获取的对方的一切信息、国家秘密、商业秘密和个人隐私予以保密，在本合同服务期内及本合同解除或终止后均不得向采购人以外的第三方提供保密信息，除非得到采购人的同意或者属于法律、行政法规允许的范围。</w:t>
      </w:r>
      <w:r>
        <w:rPr>
          <w:color w:val="auto"/>
          <w:highlight w:val="none"/>
        </w:rPr>
      </w:r>
      <w:r/>
    </w:p>
    <w:p>
      <w:pPr>
        <w:ind w:firstLine="48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5、本次投标报价应包括投标方提供全部产品、安装辅材及其备品备件和专用工具费用、税费、包装、运至最终目的地的运输、保险、现场安装调试、检测验收、技术支持与培训、质保和售后服务及相关劳务支出等履行本合同所发生的全部费用以及中标方的企业利润、税金和政策性文件规定及合同包含的所有风险、责任等各项应有费用。除非本合同另有约定或经双方协商同意，中标方不得再要求追加任何其他费用。同时，除本合同另有约定外，本合同价格在实施期间不因市场变化因素而变动。</w:t>
      </w:r>
      <w:r>
        <w:rPr>
          <w:color w:val="auto"/>
          <w:highlight w:val="none"/>
        </w:rPr>
      </w:r>
      <w:r/>
    </w:p>
    <w:p>
      <w:pPr>
        <w:ind w:firstLine="48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6、中标人将根据招标文件、投标文件的相关约定，承担合同责任，履行合同义务。</w:t>
      </w:r>
      <w:r>
        <w:rPr>
          <w:color w:val="auto"/>
          <w:highlight w:val="none"/>
        </w:rPr>
      </w:r>
      <w:r/>
    </w:p>
    <w:p>
      <w:pPr>
        <w:pStyle w:val="778"/>
        <w:numPr>
          <w:ilvl w:val="0"/>
          <w:numId w:val="12"/>
        </w:numPr>
        <w:spacing w:after="0"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其他有关说明：</w:t>
      </w:r>
      <w:r>
        <w:rPr>
          <w:color w:val="auto"/>
          <w:highlight w:val="none"/>
        </w:rPr>
      </w:r>
      <w:r/>
    </w:p>
    <w:p>
      <w:pPr>
        <w:ind w:firstLine="48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1、政府采购政策：</w:t>
      </w:r>
      <w:r>
        <w:rPr>
          <w:color w:val="auto"/>
          <w:highlight w:val="none"/>
        </w:rPr>
      </w:r>
      <w:r/>
    </w:p>
    <w:p>
      <w:pPr>
        <w:ind w:firstLine="48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1.1小、微企业</w:t>
      </w:r>
      <w:r>
        <w:rPr>
          <w:color w:val="auto"/>
          <w:highlight w:val="none"/>
        </w:rPr>
      </w:r>
      <w:r/>
    </w:p>
    <w:p>
      <w:pPr>
        <w:ind w:firstLine="48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根据《政府采购促进中小企业发展管理办法》（财库〔2020〕46号）、《关于做好政府采购支持企业发展有关事项的通知》（</w:t>
      </w:r>
      <w:r>
        <w:rPr>
          <w:rFonts w:ascii="宋体" w:hAnsi="宋体" w:cs="宋体"/>
          <w:color w:val="auto"/>
          <w:sz w:val="24"/>
          <w:highlight w:val="none"/>
        </w:rPr>
        <w:t xml:space="preserve">苏财购〔2020〕</w:t>
      </w:r>
      <w:r>
        <w:rPr>
          <w:rFonts w:ascii="宋体" w:hAnsi="宋体" w:cs="宋体"/>
          <w:color w:val="auto"/>
          <w:sz w:val="24"/>
          <w:highlight w:val="none"/>
        </w:rPr>
        <w:t xml:space="preserve">52号）及《关于印发&lt;苏州市政府采购促进中小企业发展实施意见&gt;的通知》（</w:t>
      </w:r>
      <w:r>
        <w:rPr>
          <w:rFonts w:ascii="宋体" w:hAnsi="宋体" w:cs="宋体"/>
          <w:color w:val="auto"/>
          <w:sz w:val="24"/>
          <w:highlight w:val="none"/>
        </w:rPr>
        <w:t xml:space="preserve">苏财购〔2023〕</w:t>
      </w:r>
      <w:r>
        <w:rPr>
          <w:rFonts w:ascii="宋体" w:hAnsi="宋体" w:cs="宋体"/>
          <w:color w:val="auto"/>
          <w:sz w:val="24"/>
          <w:highlight w:val="none"/>
        </w:rPr>
        <w:t xml:space="preserve">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ascii="宋体" w:hAnsi="宋体" w:cs="宋体"/>
          <w:b/>
          <w:color w:val="auto"/>
          <w:sz w:val="24"/>
          <w:highlight w:val="none"/>
        </w:rPr>
        <w:t xml:space="preserve">《中小企业声明函》中所填的行业应与本采购标的对应的中小企业划分标准所属行业一致，未提交声明函或所提交的声明函中行业与本采购标的对应的中小企业</w:t>
      </w:r>
      <w:r>
        <w:rPr>
          <w:rFonts w:ascii="宋体" w:hAnsi="宋体" w:cs="宋体"/>
          <w:b/>
          <w:color w:val="auto"/>
          <w:sz w:val="24"/>
          <w:highlight w:val="none"/>
        </w:rPr>
        <w:t xml:space="preserve">划分标准所属行业不一致不享受相关政策</w:t>
      </w:r>
      <w:r>
        <w:rPr>
          <w:rFonts w:ascii="宋体" w:hAnsi="宋体" w:cs="宋体"/>
          <w:color w:val="auto"/>
          <w:sz w:val="24"/>
          <w:highlight w:val="none"/>
        </w:rPr>
        <w:t xml:space="preserve">。</w:t>
      </w:r>
      <w:r>
        <w:rPr>
          <w:color w:val="auto"/>
          <w:highlight w:val="none"/>
        </w:rPr>
      </w:r>
      <w:r/>
    </w:p>
    <w:p>
      <w:pPr>
        <w:ind w:firstLine="48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rPr>
          <w:color w:val="auto"/>
          <w:highlight w:val="none"/>
        </w:rPr>
      </w:r>
      <w:r/>
    </w:p>
    <w:p>
      <w:pPr>
        <w:ind w:firstLine="482"/>
        <w:spacing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其中，供应商提供的货物既有中小企业制造货物，也有大型企业制造货物的，不享受中小企业扶持政策。</w:t>
      </w:r>
      <w:r>
        <w:rPr>
          <w:color w:val="auto"/>
          <w:highlight w:val="none"/>
        </w:rPr>
      </w:r>
      <w:r/>
    </w:p>
    <w:p>
      <w:pPr>
        <w:ind w:firstLine="482"/>
        <w:spacing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根据《政府采购促进中小企业发展管理办法》（财库〔2020〕46号）及《中小企业划型标准规定》（工信部联企业〔2011〕300号），本采购标的对应的中小企业划分标准所属行业为：工业</w:t>
      </w:r>
      <w:r>
        <w:rPr>
          <w:rFonts w:ascii="宋体" w:hAnsi="宋体" w:cs="宋体"/>
          <w:color w:val="auto"/>
          <w:sz w:val="24"/>
          <w:highlight w:val="none"/>
        </w:rPr>
        <w:t xml:space="preserve">。</w:t>
      </w:r>
      <w:r>
        <w:rPr>
          <w:color w:val="auto"/>
          <w:highlight w:val="none"/>
        </w:rPr>
      </w:r>
      <w:r/>
    </w:p>
    <w:p>
      <w:pPr>
        <w:ind w:firstLine="48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1.2残疾人福利性单位</w:t>
      </w:r>
      <w:r>
        <w:rPr>
          <w:color w:val="auto"/>
          <w:highlight w:val="none"/>
        </w:rPr>
      </w:r>
      <w:r/>
    </w:p>
    <w:p>
      <w:pPr>
        <w:ind w:firstLine="48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rPr>
          <w:color w:val="auto"/>
          <w:highlight w:val="none"/>
        </w:rPr>
      </w:r>
      <w:r/>
    </w:p>
    <w:p>
      <w:pPr>
        <w:ind w:firstLine="48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1.3监狱企业</w:t>
      </w:r>
      <w:r>
        <w:rPr>
          <w:color w:val="auto"/>
          <w:highlight w:val="none"/>
        </w:rPr>
      </w:r>
      <w:r/>
    </w:p>
    <w:p>
      <w:pPr>
        <w:ind w:firstLine="48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rPr>
          <w:color w:val="auto"/>
          <w:highlight w:val="none"/>
        </w:rPr>
      </w:r>
      <w:r/>
    </w:p>
    <w:p>
      <w:pPr>
        <w:ind w:firstLine="48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1.4绿色采购</w:t>
      </w:r>
      <w:r>
        <w:rPr>
          <w:rFonts w:ascii="宋体" w:hAnsi="宋体" w:cs="宋体"/>
          <w:b/>
          <w:color w:val="auto"/>
          <w:sz w:val="24"/>
          <w:highlight w:val="none"/>
        </w:rPr>
        <w:t xml:space="preserve">（本项目不涉及）</w:t>
      </w:r>
      <w:r>
        <w:rPr>
          <w:color w:val="auto"/>
          <w:highlight w:val="none"/>
        </w:rPr>
      </w:r>
      <w:r/>
    </w:p>
    <w:p>
      <w:pPr>
        <w:ind w:firstLine="480"/>
        <w:spacing w:after="0" w:line="360" w:lineRule="auto"/>
        <w:rPr>
          <w:rFonts w:ascii="宋体" w:hAnsi="宋体" w:cs="宋体"/>
          <w:b/>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根据《关于调整优化节能产品、环境标志产品政府采购执行机制的通知》（财库〔2019〕9号）等相关文件的规定，</w:t>
      </w:r>
      <w:r>
        <w:rPr>
          <w:rFonts w:ascii="宋体" w:hAnsi="宋体" w:cs="宋体"/>
          <w:b/>
          <w:color w:val="auto"/>
          <w:sz w:val="24"/>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rPr>
          <w:color w:val="auto"/>
          <w:highlight w:val="none"/>
        </w:rPr>
      </w:r>
      <w:r/>
    </w:p>
    <w:p>
      <w:pPr>
        <w:ind w:firstLine="480"/>
        <w:spacing w:after="0"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1.5对本国产品的支持政策</w:t>
      </w:r>
      <w:r>
        <w:rPr>
          <w:color w:val="auto"/>
          <w:highlight w:val="none"/>
        </w:rPr>
      </w:r>
      <w:r/>
    </w:p>
    <w:p>
      <w:pPr>
        <w:ind w:firstLine="420"/>
        <w:spacing w:line="360" w:lineRule="auto"/>
        <w:tabs>
          <w:tab w:val="left" w:pos="567" w:leader="none"/>
        </w:tabs>
        <w:rPr>
          <w:rFonts w:ascii="宋体" w:hAnsi="宋体"/>
          <w:color w:val="auto"/>
          <w:sz w:val="24"/>
          <w:szCs w:val="24"/>
          <w:highlight w:val="none"/>
        </w:rPr>
      </w:pPr>
      <w:r>
        <w:rPr>
          <w:rFonts w:hint="eastAsia" w:ascii="宋体" w:hAnsi="宋体"/>
          <w:color w:val="auto"/>
          <w:sz w:val="24"/>
          <w:szCs w:val="24"/>
          <w:highlight w:val="none"/>
        </w:rPr>
        <w:t xml:space="preserve">根据《国务院办公厅关于在政府采购中实施本国产品标准及相关政策的通知》（国办发〔2025〕34号）的相关规定，政府采购活动中既有本国产品又有非本国产品参与竞争的，</w:t>
      </w:r>
      <w:r>
        <w:rPr>
          <w:rFonts w:hint="eastAsia" w:ascii="宋体" w:hAnsi="宋体"/>
          <w:color w:val="auto"/>
          <w:sz w:val="24"/>
          <w:szCs w:val="24"/>
          <w:highlight w:val="none"/>
        </w:rPr>
        <w:t xml:space="preserve">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color w:val="auto"/>
          <w:highlight w:val="none"/>
        </w:rPr>
      </w:r>
      <w:r/>
    </w:p>
    <w:p>
      <w:pPr>
        <w:ind w:firstLine="422"/>
        <w:spacing w:line="360" w:lineRule="auto"/>
        <w:tabs>
          <w:tab w:val="left" w:pos="567" w:leader="none"/>
        </w:tabs>
        <w:rPr>
          <w:rFonts w:ascii="宋体" w:hAnsi="宋体"/>
          <w:color w:val="auto"/>
          <w:sz w:val="24"/>
          <w:szCs w:val="24"/>
          <w:highlight w:val="none"/>
        </w:rPr>
      </w:pPr>
      <w:r>
        <w:rPr>
          <w:rFonts w:hint="eastAsia"/>
          <w:b/>
          <w:color w:val="auto"/>
          <w:sz w:val="24"/>
          <w:szCs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color w:val="auto"/>
          <w:highlight w:val="none"/>
        </w:rPr>
      </w:r>
      <w:r/>
    </w:p>
    <w:p>
      <w:pPr>
        <w:ind w:firstLine="420"/>
        <w:spacing w:line="360" w:lineRule="auto"/>
        <w:tabs>
          <w:tab w:val="left" w:pos="567" w:leader="none"/>
        </w:tabs>
        <w:rPr>
          <w:rFonts w:ascii="宋体" w:hAnsi="宋体"/>
          <w:color w:val="auto"/>
          <w:sz w:val="24"/>
          <w:szCs w:val="24"/>
          <w:highlight w:val="none"/>
        </w:rPr>
      </w:pPr>
      <w:r>
        <w:rPr>
          <w:rFonts w:hint="eastAsia" w:ascii="宋体" w:hAnsi="宋体"/>
          <w:color w:val="auto"/>
          <w:sz w:val="24"/>
          <w:szCs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color w:val="auto"/>
          <w:highlight w:val="none"/>
        </w:rPr>
      </w:r>
      <w:r/>
    </w:p>
    <w:p>
      <w:pPr>
        <w:ind w:firstLine="420"/>
        <w:spacing w:line="360" w:lineRule="auto"/>
        <w:tabs>
          <w:tab w:val="left" w:pos="567" w:leader="none"/>
        </w:tabs>
        <w:rPr>
          <w:rFonts w:ascii="宋体" w:hAnsi="宋体"/>
          <w:color w:val="auto"/>
          <w:sz w:val="24"/>
          <w:szCs w:val="24"/>
          <w:highlight w:val="none"/>
        </w:rPr>
      </w:pPr>
      <w:r>
        <w:rPr>
          <w:rFonts w:hint="eastAsia" w:ascii="宋体" w:hAnsi="宋体"/>
          <w:color w:val="auto"/>
          <w:sz w:val="24"/>
          <w:szCs w:val="24"/>
          <w:highlight w:val="none"/>
        </w:rPr>
        <w:t xml:space="preserve">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rPr>
          <w:color w:val="auto"/>
          <w:highlight w:val="none"/>
        </w:rPr>
      </w:r>
      <w:r/>
    </w:p>
    <w:p>
      <w:pPr>
        <w:ind w:firstLine="48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2、关于对参与供应商信用记录的政府采购要求：</w:t>
      </w:r>
      <w:r>
        <w:rPr>
          <w:color w:val="auto"/>
          <w:highlight w:val="none"/>
        </w:rPr>
      </w:r>
      <w:r/>
    </w:p>
    <w:p>
      <w:pPr>
        <w:ind w:firstLine="48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2.1采购代理机构会在接收投标文件截止时间后，在信用中国等网站输入供应商全称或统一社会信用代码查询信用记录，并将查询结果递交评审小组。</w:t>
      </w:r>
      <w:r>
        <w:rPr>
          <w:color w:val="auto"/>
          <w:highlight w:val="none"/>
        </w:rPr>
      </w:r>
      <w:r/>
    </w:p>
    <w:p>
      <w:pPr>
        <w:ind w:firstLine="48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color w:val="auto"/>
          <w:highlight w:val="none"/>
        </w:rPr>
      </w:r>
      <w:r/>
    </w:p>
    <w:p>
      <w:pPr>
        <w:ind w:firstLine="48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rPr>
          <w:color w:val="auto"/>
          <w:highlight w:val="none"/>
        </w:rPr>
      </w:r>
      <w:r/>
    </w:p>
    <w:p>
      <w:pPr>
        <w:ind w:firstLine="48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2.3对存在失信信息的供应商，评审小组</w:t>
      </w:r>
      <w:r>
        <w:rPr>
          <w:rFonts w:hint="eastAsia" w:ascii="宋体" w:hAnsi="宋体" w:cs="宋体"/>
          <w:color w:val="auto"/>
          <w:sz w:val="24"/>
          <w:highlight w:val="none"/>
        </w:rPr>
        <w:t xml:space="preserve">签字确认</w:t>
      </w:r>
      <w:r>
        <w:rPr>
          <w:rFonts w:ascii="宋体" w:hAnsi="宋体" w:cs="宋体"/>
          <w:color w:val="auto"/>
          <w:sz w:val="24"/>
          <w:highlight w:val="none"/>
        </w:rPr>
        <w:t xml:space="preserve">。同时，采购代理机构工作人员应根据评审小组确认的失信信息，登录到相关来源网站页面进行复核并打印，作为证据留存。</w:t>
      </w:r>
      <w:r>
        <w:rPr>
          <w:color w:val="auto"/>
          <w:highlight w:val="none"/>
        </w:rPr>
      </w:r>
      <w:r/>
    </w:p>
    <w:p>
      <w:pPr>
        <w:spacing w:line="360" w:lineRule="auto"/>
        <w:rPr>
          <w:color w:val="auto"/>
          <w:highlight w:val="none"/>
        </w:rPr>
      </w:pPr>
      <w:r>
        <w:rPr>
          <w:rFonts w:ascii="宋体" w:hAnsi="宋体" w:cs="宋体"/>
          <w:b/>
          <w:color w:val="auto"/>
          <w:sz w:val="24"/>
          <w:highlight w:val="none"/>
        </w:rPr>
        <w:t xml:space="preserve">八、凡涉及招标文件的补充说明和修改，均以苏州市政府采购</w:t>
      </w:r>
      <w:r>
        <w:rPr>
          <w:rFonts w:ascii="宋体" w:hAnsi="宋体" w:cs="宋体"/>
          <w:b/>
          <w:color w:val="auto"/>
          <w:sz w:val="24"/>
          <w:highlight w:val="none"/>
        </w:rPr>
        <w:t xml:space="preserve">网最新</w:t>
      </w:r>
      <w:r>
        <w:rPr>
          <w:rFonts w:ascii="宋体" w:hAnsi="宋体" w:cs="宋体"/>
          <w:b/>
          <w:color w:val="auto"/>
          <w:sz w:val="24"/>
          <w:highlight w:val="none"/>
        </w:rPr>
        <w:t xml:space="preserve">信息为准。</w:t>
      </w:r>
      <w:r>
        <w:rPr>
          <w:color w:val="auto"/>
          <w:highlight w:val="none"/>
        </w:rPr>
      </w:r>
      <w:r/>
    </w:p>
    <w:p>
      <w:pPr>
        <w:pStyle w:val="778"/>
        <w:rPr>
          <w:color w:val="auto"/>
          <w:highlight w:val="none"/>
        </w:rPr>
      </w:pPr>
      <w:r>
        <w:rPr>
          <w:color w:val="auto"/>
          <w:highlight w:val="none"/>
        </w:rPr>
      </w:r>
      <w:r>
        <w:rPr>
          <w:color w:val="auto"/>
          <w:highlight w:val="none"/>
        </w:rPr>
      </w:r>
      <w:r/>
    </w:p>
    <w:p>
      <w:pPr>
        <w:numPr>
          <w:ilvl w:val="0"/>
          <w:numId w:val="19"/>
        </w:numPr>
        <w:jc w:val="center"/>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br w:type="page" w:clear="all"/>
      </w:r>
      <w:r>
        <w:rPr>
          <w:rFonts w:hint="eastAsia" w:ascii="宋体" w:hAnsi="宋体" w:cs="宋体"/>
          <w:b/>
          <w:bCs/>
          <w:color w:val="auto"/>
          <w:sz w:val="32"/>
          <w:szCs w:val="32"/>
          <w:highlight w:val="none"/>
        </w:rPr>
        <w:t xml:space="preserve"> 主要合同条款</w:t>
      </w:r>
      <w:r>
        <w:rPr>
          <w:color w:val="auto"/>
          <w:highlight w:val="none"/>
        </w:rPr>
      </w:r>
      <w:r/>
    </w:p>
    <w:p>
      <w:pPr>
        <w:rPr>
          <w:rFonts w:ascii="宋体" w:hAnsi="宋体" w:cs="宋体"/>
          <w:color w:val="auto"/>
          <w:sz w:val="24"/>
          <w:szCs w:val="20"/>
          <w:highlight w:val="none"/>
        </w:rPr>
      </w:pPr>
      <w:r>
        <w:rPr>
          <w:rFonts w:ascii="宋体" w:hAnsi="宋体" w:cs="宋体"/>
          <w:color w:val="auto"/>
          <w:sz w:val="24"/>
          <w:szCs w:val="20"/>
          <w:highlight w:val="none"/>
        </w:rPr>
      </w:r>
      <w:r>
        <w:rPr>
          <w:color w:val="auto"/>
          <w:highlight w:val="none"/>
        </w:rPr>
      </w:r>
      <w:r/>
    </w:p>
    <w:p>
      <w:pPr>
        <w:ind w:firstLine="482"/>
        <w:jc w:val="right"/>
        <w:spacing w:after="0" w:line="360" w:lineRule="auto"/>
        <w:rPr>
          <w:b/>
          <w:color w:val="auto"/>
          <w:sz w:val="24"/>
          <w:highlight w:val="none"/>
        </w:rPr>
      </w:pPr>
      <w:r>
        <w:rPr>
          <w:rFonts w:hint="eastAsia"/>
          <w:b/>
          <w:color w:val="auto"/>
          <w:sz w:val="24"/>
          <w:highlight w:val="none"/>
        </w:rPr>
        <w:t xml:space="preserve">合同</w:t>
      </w:r>
      <w:r>
        <w:rPr>
          <w:b/>
          <w:color w:val="auto"/>
          <w:sz w:val="24"/>
          <w:highlight w:val="none"/>
        </w:rPr>
        <w:t xml:space="preserve">编号：</w:t>
      </w:r>
      <w:r>
        <w:rPr>
          <w:color w:val="auto"/>
          <w:highlight w:val="none"/>
        </w:rPr>
      </w:r>
      <w:r/>
    </w:p>
    <w:p>
      <w:pPr>
        <w:ind w:firstLine="48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甲  方：</w:t>
      </w:r>
      <w:r>
        <w:rPr>
          <w:rFonts w:hint="eastAsia" w:ascii="宋体" w:hAnsi="宋体"/>
          <w:color w:val="auto"/>
          <w:sz w:val="24"/>
          <w:szCs w:val="24"/>
          <w:highlight w:val="none"/>
          <w:lang w:val="zh-CN"/>
        </w:rPr>
        <w:t xml:space="preserve">苏州市相城生态环境局</w:t>
      </w:r>
      <w:r>
        <w:rPr>
          <w:color w:val="auto"/>
          <w:highlight w:val="none"/>
        </w:rPr>
      </w:r>
      <w:r/>
    </w:p>
    <w:p>
      <w:pPr>
        <w:ind w:firstLine="48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联系人：</w:t>
      </w:r>
      <w:r>
        <w:rPr>
          <w:color w:val="auto"/>
          <w:highlight w:val="none"/>
        </w:rPr>
      </w:r>
      <w:r/>
    </w:p>
    <w:p>
      <w:pPr>
        <w:ind w:firstLine="48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地  址：</w:t>
      </w:r>
      <w:r>
        <w:rPr>
          <w:rFonts w:hint="eastAsia" w:ascii="宋体" w:hAnsi="宋体"/>
          <w:color w:val="auto"/>
          <w:sz w:val="24"/>
          <w:szCs w:val="24"/>
          <w:highlight w:val="none"/>
        </w:rPr>
        <w:t xml:space="preserve">苏州市相城区阳澄湖东路8号</w:t>
      </w:r>
      <w:r>
        <w:rPr>
          <w:color w:val="auto"/>
          <w:highlight w:val="none"/>
        </w:rPr>
      </w:r>
      <w:r/>
    </w:p>
    <w:p>
      <w:pPr>
        <w:ind w:firstLine="48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电  话：</w:t>
      </w:r>
      <w:r>
        <w:rPr>
          <w:color w:val="auto"/>
          <w:highlight w:val="none"/>
        </w:rPr>
      </w:r>
      <w:r/>
    </w:p>
    <w:p>
      <w:pPr>
        <w:ind w:firstLine="48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乙  方：</w:t>
      </w:r>
      <w:r>
        <w:rPr>
          <w:color w:val="auto"/>
          <w:highlight w:val="none"/>
        </w:rPr>
      </w:r>
      <w:r/>
    </w:p>
    <w:p>
      <w:pPr>
        <w:ind w:firstLine="48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联系人：</w:t>
      </w:r>
      <w:r>
        <w:rPr>
          <w:color w:val="auto"/>
          <w:highlight w:val="none"/>
        </w:rPr>
      </w:r>
      <w:r/>
    </w:p>
    <w:p>
      <w:pPr>
        <w:ind w:firstLine="48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地  址：</w:t>
      </w:r>
      <w:r>
        <w:rPr>
          <w:color w:val="auto"/>
          <w:highlight w:val="none"/>
        </w:rPr>
      </w:r>
      <w:r/>
    </w:p>
    <w:p>
      <w:pPr>
        <w:ind w:firstLine="48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电  话：</w:t>
      </w:r>
      <w:r>
        <w:rPr>
          <w:color w:val="auto"/>
          <w:highlight w:val="none"/>
        </w:rPr>
      </w:r>
      <w:r/>
    </w:p>
    <w:p>
      <w:pPr>
        <w:ind w:firstLine="480"/>
        <w:spacing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根据苏州市政府采购招标编号</w:t>
      </w:r>
      <w:r>
        <w:rPr>
          <w:rFonts w:hint="eastAsia" w:ascii="宋体" w:hAnsi="宋体" w:cs="宋体"/>
          <w:b/>
          <w:bCs/>
          <w:color w:val="auto"/>
          <w:sz w:val="24"/>
          <w:szCs w:val="24"/>
          <w:highlight w:val="none"/>
          <w:u w:val="single"/>
        </w:rPr>
        <w:t xml:space="preserve">          </w:t>
      </w:r>
      <w:r>
        <w:rPr>
          <w:rFonts w:hint="eastAsia" w:ascii="宋体" w:hAnsi="宋体" w:cs="宋体"/>
          <w:color w:val="auto"/>
          <w:sz w:val="24"/>
          <w:szCs w:val="24"/>
          <w:highlight w:val="none"/>
        </w:rPr>
        <w:t xml:space="preserve">号招标文件及该文件的响应文件和中标通知书，甲乙双方就此次中标的</w:t>
      </w:r>
      <w:r>
        <w:rPr>
          <w:rFonts w:hint="eastAsia" w:ascii="宋体" w:hAnsi="宋体" w:cs="宋体"/>
          <w:b/>
          <w:bCs/>
          <w:color w:val="auto"/>
          <w:sz w:val="24"/>
          <w:szCs w:val="24"/>
          <w:highlight w:val="none"/>
          <w:u w:val="single"/>
        </w:rPr>
        <w:t xml:space="preserve">             </w:t>
      </w:r>
      <w:r>
        <w:rPr>
          <w:rFonts w:hint="eastAsia" w:ascii="宋体" w:hAnsi="宋体" w:cs="宋体"/>
          <w:color w:val="auto"/>
          <w:sz w:val="24"/>
          <w:szCs w:val="24"/>
          <w:highlight w:val="none"/>
        </w:rPr>
        <w:t xml:space="preserve">项目事宜，签订本合同书，以</w:t>
      </w:r>
      <w:r>
        <w:rPr>
          <w:rFonts w:hint="eastAsia" w:ascii="宋体" w:hAnsi="宋体" w:cs="宋体"/>
          <w:color w:val="auto"/>
          <w:sz w:val="24"/>
          <w:szCs w:val="24"/>
          <w:highlight w:val="none"/>
        </w:rPr>
        <w:t xml:space="preserve">兹共同</w:t>
      </w:r>
      <w:r>
        <w:rPr>
          <w:rFonts w:hint="eastAsia" w:ascii="宋体" w:hAnsi="宋体" w:cs="宋体"/>
          <w:color w:val="auto"/>
          <w:sz w:val="24"/>
          <w:szCs w:val="24"/>
          <w:highlight w:val="none"/>
        </w:rPr>
        <w:t xml:space="preserve">遵守。</w:t>
      </w:r>
      <w:r>
        <w:rPr>
          <w:color w:val="auto"/>
          <w:highlight w:val="none"/>
        </w:rPr>
      </w:r>
      <w:r/>
    </w:p>
    <w:p>
      <w:pPr>
        <w:numPr>
          <w:ilvl w:val="0"/>
          <w:numId w:val="20"/>
        </w:numPr>
        <w:jc w:val="left"/>
        <w:spacing w:after="0"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合同内容</w:t>
      </w:r>
      <w:r>
        <w:rPr>
          <w:color w:val="auto"/>
          <w:highlight w:val="none"/>
        </w:rPr>
      </w:r>
      <w:r/>
    </w:p>
    <w:p>
      <w:pPr>
        <w:numPr>
          <w:ilvl w:val="0"/>
          <w:numId w:val="21"/>
        </w:numPr>
        <w:jc w:val="left"/>
        <w:spacing w:after="0"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合同标的物</w:t>
      </w:r>
      <w:r>
        <w:rPr>
          <w:color w:val="auto"/>
          <w:highlight w:val="none"/>
        </w:rPr>
      </w:r>
      <w:r/>
    </w:p>
    <w:tbl>
      <w:tblPr>
        <w:tblW w:w="100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61"/>
        <w:gridCol w:w="1448"/>
        <w:gridCol w:w="2393"/>
        <w:gridCol w:w="1024"/>
        <w:gridCol w:w="1499"/>
        <w:gridCol w:w="1595"/>
        <w:gridCol w:w="1215"/>
      </w:tblGrid>
      <w:tr>
        <w:trPr>
          <w:jc w:val="center"/>
        </w:trPr>
        <w:tc>
          <w:tcPr>
            <w:tcW w:w="861" w:type="dxa"/>
            <w:vAlign w:val="center"/>
            <w:textDirection w:val="lrTb"/>
            <w:noWrap w:val="false"/>
          </w:tcPr>
          <w:p>
            <w:pPr>
              <w:jc w:val="center"/>
              <w:spacing w:after="120" w:line="240" w:lineRule="auto"/>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序号</w:t>
            </w:r>
            <w:r>
              <w:rPr>
                <w:color w:val="auto"/>
                <w:highlight w:val="none"/>
              </w:rPr>
            </w:r>
            <w:r/>
          </w:p>
        </w:tc>
        <w:tc>
          <w:tcPr>
            <w:tcW w:w="1448" w:type="dxa"/>
            <w:vAlign w:val="center"/>
            <w:textDirection w:val="lrTb"/>
            <w:noWrap w:val="false"/>
          </w:tcPr>
          <w:p>
            <w:pPr>
              <w:jc w:val="center"/>
              <w:spacing w:after="120" w:line="240" w:lineRule="auto"/>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仪器名称</w:t>
            </w:r>
            <w:r>
              <w:rPr>
                <w:color w:val="auto"/>
                <w:highlight w:val="none"/>
              </w:rPr>
            </w:r>
            <w:r/>
          </w:p>
        </w:tc>
        <w:tc>
          <w:tcPr>
            <w:tcW w:w="2393" w:type="dxa"/>
            <w:vAlign w:val="center"/>
            <w:textDirection w:val="lrTb"/>
            <w:noWrap w:val="false"/>
          </w:tcPr>
          <w:p>
            <w:pPr>
              <w:jc w:val="center"/>
              <w:spacing w:after="120"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品牌、型号、规格</w:t>
            </w:r>
            <w:r>
              <w:rPr>
                <w:color w:val="auto"/>
                <w:highlight w:val="none"/>
              </w:rPr>
            </w:r>
            <w:r/>
          </w:p>
        </w:tc>
        <w:tc>
          <w:tcPr>
            <w:tcW w:w="1024" w:type="dxa"/>
            <w:vAlign w:val="center"/>
            <w:textDirection w:val="lrTb"/>
            <w:noWrap w:val="false"/>
          </w:tcPr>
          <w:p>
            <w:pPr>
              <w:jc w:val="center"/>
              <w:spacing w:after="120" w:line="240" w:lineRule="auto"/>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数量</w:t>
            </w:r>
            <w:r>
              <w:rPr>
                <w:color w:val="auto"/>
                <w:highlight w:val="none"/>
              </w:rPr>
            </w:r>
            <w:r/>
          </w:p>
        </w:tc>
        <w:tc>
          <w:tcPr>
            <w:tcW w:w="1499" w:type="dxa"/>
            <w:vAlign w:val="center"/>
            <w:textDirection w:val="lrTb"/>
            <w:noWrap w:val="false"/>
          </w:tcPr>
          <w:p>
            <w:pPr>
              <w:jc w:val="center"/>
              <w:spacing w:after="120"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单价（元）</w:t>
            </w:r>
            <w:r>
              <w:rPr>
                <w:color w:val="auto"/>
                <w:highlight w:val="none"/>
              </w:rPr>
            </w:r>
            <w:r/>
          </w:p>
        </w:tc>
        <w:tc>
          <w:tcPr>
            <w:tcW w:w="1595" w:type="dxa"/>
            <w:vAlign w:val="center"/>
            <w:textDirection w:val="lrTb"/>
            <w:noWrap w:val="false"/>
          </w:tcPr>
          <w:p>
            <w:pPr>
              <w:jc w:val="center"/>
              <w:spacing w:after="120"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总价（元）</w:t>
            </w:r>
            <w:r>
              <w:rPr>
                <w:color w:val="auto"/>
                <w:highlight w:val="none"/>
              </w:rPr>
            </w:r>
            <w:r/>
          </w:p>
        </w:tc>
        <w:tc>
          <w:tcPr>
            <w:tcW w:w="1215" w:type="dxa"/>
            <w:vAlign w:val="center"/>
            <w:textDirection w:val="lrTb"/>
            <w:noWrap w:val="false"/>
          </w:tcPr>
          <w:p>
            <w:pPr>
              <w:jc w:val="center"/>
              <w:spacing w:after="120"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备注</w:t>
            </w:r>
            <w:r>
              <w:rPr>
                <w:color w:val="auto"/>
                <w:highlight w:val="none"/>
              </w:rPr>
            </w:r>
            <w:r/>
          </w:p>
        </w:tc>
      </w:tr>
      <w:tr>
        <w:trPr>
          <w:jc w:val="center"/>
        </w:trPr>
        <w:tc>
          <w:tcPr>
            <w:tcW w:w="861" w:type="dxa"/>
            <w:vAlign w:val="center"/>
            <w:textDirection w:val="lrTb"/>
            <w:noWrap w:val="false"/>
          </w:tcPr>
          <w:p>
            <w:pPr>
              <w:jc w:val="center"/>
              <w:spacing w:after="120"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color w:val="auto"/>
                <w:highlight w:val="none"/>
              </w:rPr>
            </w:r>
            <w:r/>
          </w:p>
        </w:tc>
        <w:tc>
          <w:tcPr>
            <w:tcW w:w="1448" w:type="dxa"/>
            <w:vAlign w:val="center"/>
            <w:textDirection w:val="lrTb"/>
            <w:noWrap w:val="false"/>
          </w:tcPr>
          <w:p>
            <w:pPr>
              <w:jc w:val="center"/>
              <w:spacing w:after="120" w:line="240" w:lineRule="auto"/>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2393" w:type="dxa"/>
            <w:vAlign w:val="center"/>
            <w:textDirection w:val="lrTb"/>
            <w:noWrap w:val="false"/>
          </w:tcPr>
          <w:p>
            <w:pPr>
              <w:jc w:val="center"/>
              <w:spacing w:after="120" w:line="240" w:lineRule="auto"/>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024" w:type="dxa"/>
            <w:vAlign w:val="center"/>
            <w:textDirection w:val="lrTb"/>
            <w:noWrap w:val="false"/>
          </w:tcPr>
          <w:p>
            <w:pPr>
              <w:jc w:val="center"/>
              <w:spacing w:after="120" w:line="240" w:lineRule="auto"/>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499" w:type="dxa"/>
            <w:vAlign w:val="center"/>
            <w:textDirection w:val="lrTb"/>
            <w:noWrap w:val="false"/>
          </w:tcPr>
          <w:p>
            <w:pPr>
              <w:jc w:val="center"/>
              <w:spacing w:after="120" w:line="240" w:lineRule="auto"/>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595" w:type="dxa"/>
            <w:vAlign w:val="center"/>
            <w:textDirection w:val="lrTb"/>
            <w:noWrap w:val="false"/>
          </w:tcPr>
          <w:p>
            <w:pPr>
              <w:jc w:val="center"/>
              <w:spacing w:after="120" w:line="240" w:lineRule="auto"/>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215" w:type="dxa"/>
            <w:vAlign w:val="center"/>
            <w:textDirection w:val="lrTb"/>
            <w:noWrap w:val="false"/>
          </w:tcPr>
          <w:p>
            <w:pPr>
              <w:jc w:val="center"/>
              <w:spacing w:after="120" w:line="240" w:lineRule="auto"/>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r>
      <w:tr>
        <w:trPr>
          <w:jc w:val="center"/>
        </w:trPr>
        <w:tc>
          <w:tcPr>
            <w:tcW w:w="861" w:type="dxa"/>
            <w:vAlign w:val="center"/>
            <w:textDirection w:val="lrTb"/>
            <w:noWrap w:val="false"/>
          </w:tcPr>
          <w:p>
            <w:pPr>
              <w:jc w:val="center"/>
              <w:spacing w:after="120"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color w:val="auto"/>
                <w:highlight w:val="none"/>
              </w:rPr>
            </w:r>
            <w:r/>
          </w:p>
        </w:tc>
        <w:tc>
          <w:tcPr>
            <w:tcW w:w="1448" w:type="dxa"/>
            <w:vAlign w:val="center"/>
            <w:textDirection w:val="lrTb"/>
            <w:noWrap w:val="false"/>
          </w:tcPr>
          <w:p>
            <w:pPr>
              <w:jc w:val="center"/>
              <w:spacing w:after="120" w:line="240" w:lineRule="auto"/>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2393" w:type="dxa"/>
            <w:vAlign w:val="center"/>
            <w:textDirection w:val="lrTb"/>
            <w:noWrap w:val="false"/>
          </w:tcPr>
          <w:p>
            <w:pPr>
              <w:jc w:val="center"/>
              <w:spacing w:after="120" w:line="240" w:lineRule="auto"/>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024" w:type="dxa"/>
            <w:vAlign w:val="center"/>
            <w:textDirection w:val="lrTb"/>
            <w:noWrap w:val="false"/>
          </w:tcPr>
          <w:p>
            <w:pPr>
              <w:jc w:val="center"/>
              <w:spacing w:after="120" w:line="240" w:lineRule="auto"/>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499" w:type="dxa"/>
            <w:vAlign w:val="center"/>
            <w:textDirection w:val="lrTb"/>
            <w:noWrap w:val="false"/>
          </w:tcPr>
          <w:p>
            <w:pPr>
              <w:jc w:val="center"/>
              <w:spacing w:after="120" w:line="240" w:lineRule="auto"/>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595" w:type="dxa"/>
            <w:vAlign w:val="center"/>
            <w:textDirection w:val="lrTb"/>
            <w:noWrap w:val="false"/>
          </w:tcPr>
          <w:p>
            <w:pPr>
              <w:jc w:val="center"/>
              <w:spacing w:after="120" w:line="240" w:lineRule="auto"/>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215" w:type="dxa"/>
            <w:vAlign w:val="center"/>
            <w:textDirection w:val="lrTb"/>
            <w:noWrap w:val="false"/>
          </w:tcPr>
          <w:p>
            <w:pPr>
              <w:jc w:val="center"/>
              <w:spacing w:after="120" w:line="240" w:lineRule="auto"/>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r>
      <w:tr>
        <w:trPr>
          <w:jc w:val="center"/>
        </w:trPr>
        <w:tc>
          <w:tcPr>
            <w:tcW w:w="861" w:type="dxa"/>
            <w:vAlign w:val="center"/>
            <w:textDirection w:val="lrTb"/>
            <w:noWrap w:val="false"/>
          </w:tcPr>
          <w:p>
            <w:pPr>
              <w:jc w:val="center"/>
              <w:spacing w:after="120"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rPr>
                <w:color w:val="auto"/>
                <w:highlight w:val="none"/>
              </w:rPr>
            </w:r>
            <w:r/>
          </w:p>
        </w:tc>
        <w:tc>
          <w:tcPr>
            <w:tcW w:w="1448" w:type="dxa"/>
            <w:vAlign w:val="center"/>
            <w:textDirection w:val="lrTb"/>
            <w:noWrap w:val="false"/>
          </w:tcPr>
          <w:p>
            <w:pPr>
              <w:jc w:val="center"/>
              <w:spacing w:after="120" w:line="240" w:lineRule="auto"/>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2393" w:type="dxa"/>
            <w:vAlign w:val="center"/>
            <w:textDirection w:val="lrTb"/>
            <w:noWrap w:val="false"/>
          </w:tcPr>
          <w:p>
            <w:pPr>
              <w:jc w:val="center"/>
              <w:spacing w:after="120" w:line="240" w:lineRule="auto"/>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024" w:type="dxa"/>
            <w:vAlign w:val="center"/>
            <w:textDirection w:val="lrTb"/>
            <w:noWrap w:val="false"/>
          </w:tcPr>
          <w:p>
            <w:pPr>
              <w:jc w:val="center"/>
              <w:spacing w:after="120" w:line="240" w:lineRule="auto"/>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499" w:type="dxa"/>
            <w:vAlign w:val="center"/>
            <w:textDirection w:val="lrTb"/>
            <w:noWrap w:val="false"/>
          </w:tcPr>
          <w:p>
            <w:pPr>
              <w:jc w:val="center"/>
              <w:spacing w:after="120" w:line="240" w:lineRule="auto"/>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595" w:type="dxa"/>
            <w:vAlign w:val="center"/>
            <w:textDirection w:val="lrTb"/>
            <w:noWrap w:val="false"/>
          </w:tcPr>
          <w:p>
            <w:pPr>
              <w:jc w:val="center"/>
              <w:spacing w:after="120" w:line="240" w:lineRule="auto"/>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215" w:type="dxa"/>
            <w:vAlign w:val="center"/>
            <w:textDirection w:val="lrTb"/>
            <w:noWrap w:val="false"/>
          </w:tcPr>
          <w:p>
            <w:pPr>
              <w:jc w:val="center"/>
              <w:spacing w:after="120" w:line="240" w:lineRule="auto"/>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r>
      <w:tr>
        <w:trPr>
          <w:jc w:val="center"/>
        </w:trPr>
        <w:tc>
          <w:tcPr>
            <w:tcW w:w="861" w:type="dxa"/>
            <w:vAlign w:val="center"/>
            <w:textDirection w:val="lrTb"/>
            <w:noWrap w:val="false"/>
          </w:tcPr>
          <w:p>
            <w:pPr>
              <w:jc w:val="center"/>
              <w:spacing w:after="120"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rPr>
                <w:color w:val="auto"/>
                <w:highlight w:val="none"/>
              </w:rPr>
            </w:r>
            <w:r/>
          </w:p>
        </w:tc>
        <w:tc>
          <w:tcPr>
            <w:tcW w:w="1448" w:type="dxa"/>
            <w:vAlign w:val="center"/>
            <w:textDirection w:val="lrTb"/>
            <w:noWrap w:val="false"/>
          </w:tcPr>
          <w:p>
            <w:pPr>
              <w:jc w:val="center"/>
              <w:spacing w:after="120" w:line="240" w:lineRule="auto"/>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2393" w:type="dxa"/>
            <w:vAlign w:val="center"/>
            <w:textDirection w:val="lrTb"/>
            <w:noWrap w:val="false"/>
          </w:tcPr>
          <w:p>
            <w:pPr>
              <w:jc w:val="center"/>
              <w:spacing w:after="120" w:line="240" w:lineRule="auto"/>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024" w:type="dxa"/>
            <w:vAlign w:val="center"/>
            <w:textDirection w:val="lrTb"/>
            <w:noWrap w:val="false"/>
          </w:tcPr>
          <w:p>
            <w:pPr>
              <w:jc w:val="center"/>
              <w:spacing w:after="120" w:line="240" w:lineRule="auto"/>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499" w:type="dxa"/>
            <w:vAlign w:val="center"/>
            <w:textDirection w:val="lrTb"/>
            <w:noWrap w:val="false"/>
          </w:tcPr>
          <w:p>
            <w:pPr>
              <w:jc w:val="center"/>
              <w:spacing w:after="120" w:line="240" w:lineRule="auto"/>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595" w:type="dxa"/>
            <w:vAlign w:val="center"/>
            <w:textDirection w:val="lrTb"/>
            <w:noWrap w:val="false"/>
          </w:tcPr>
          <w:p>
            <w:pPr>
              <w:jc w:val="center"/>
              <w:spacing w:after="120" w:line="240" w:lineRule="auto"/>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215" w:type="dxa"/>
            <w:vAlign w:val="center"/>
            <w:textDirection w:val="lrTb"/>
            <w:noWrap w:val="false"/>
          </w:tcPr>
          <w:p>
            <w:pPr>
              <w:jc w:val="center"/>
              <w:spacing w:after="120" w:line="240" w:lineRule="auto"/>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r>
      <w:tr>
        <w:trPr>
          <w:jc w:val="center"/>
        </w:trPr>
        <w:tc>
          <w:tcPr>
            <w:tcW w:w="861" w:type="dxa"/>
            <w:vAlign w:val="center"/>
            <w:textDirection w:val="lrTb"/>
            <w:noWrap w:val="false"/>
          </w:tcPr>
          <w:p>
            <w:pPr>
              <w:jc w:val="center"/>
              <w:spacing w:after="120"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rPr>
                <w:color w:val="auto"/>
                <w:highlight w:val="none"/>
              </w:rPr>
            </w:r>
            <w:r/>
          </w:p>
        </w:tc>
        <w:tc>
          <w:tcPr>
            <w:tcW w:w="1448" w:type="dxa"/>
            <w:vAlign w:val="center"/>
            <w:textDirection w:val="lrTb"/>
            <w:noWrap w:val="false"/>
          </w:tcPr>
          <w:p>
            <w:pPr>
              <w:jc w:val="center"/>
              <w:spacing w:after="120" w:line="240" w:lineRule="auto"/>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2393" w:type="dxa"/>
            <w:vAlign w:val="center"/>
            <w:textDirection w:val="lrTb"/>
            <w:noWrap w:val="false"/>
          </w:tcPr>
          <w:p>
            <w:pPr>
              <w:jc w:val="center"/>
              <w:spacing w:after="120" w:line="240" w:lineRule="auto"/>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024" w:type="dxa"/>
            <w:vAlign w:val="center"/>
            <w:textDirection w:val="lrTb"/>
            <w:noWrap w:val="false"/>
          </w:tcPr>
          <w:p>
            <w:pPr>
              <w:jc w:val="center"/>
              <w:spacing w:after="120" w:line="240" w:lineRule="auto"/>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499" w:type="dxa"/>
            <w:vAlign w:val="center"/>
            <w:textDirection w:val="lrTb"/>
            <w:noWrap w:val="false"/>
          </w:tcPr>
          <w:p>
            <w:pPr>
              <w:jc w:val="center"/>
              <w:spacing w:after="120" w:line="240" w:lineRule="auto"/>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595" w:type="dxa"/>
            <w:vAlign w:val="center"/>
            <w:textDirection w:val="lrTb"/>
            <w:noWrap w:val="false"/>
          </w:tcPr>
          <w:p>
            <w:pPr>
              <w:jc w:val="center"/>
              <w:spacing w:after="120" w:line="240" w:lineRule="auto"/>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215" w:type="dxa"/>
            <w:vAlign w:val="center"/>
            <w:textDirection w:val="lrTb"/>
            <w:noWrap w:val="false"/>
          </w:tcPr>
          <w:p>
            <w:pPr>
              <w:jc w:val="center"/>
              <w:spacing w:after="120" w:line="240" w:lineRule="auto"/>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r>
      <w:tr>
        <w:trPr>
          <w:jc w:val="center"/>
        </w:trPr>
        <w:tc>
          <w:tcPr>
            <w:tcW w:w="861" w:type="dxa"/>
            <w:vAlign w:val="center"/>
            <w:textDirection w:val="lrTb"/>
            <w:noWrap w:val="false"/>
          </w:tcPr>
          <w:p>
            <w:pPr>
              <w:jc w:val="center"/>
              <w:spacing w:after="120" w:line="240" w:lineRule="auto"/>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总价</w:t>
            </w:r>
            <w:r>
              <w:rPr>
                <w:color w:val="auto"/>
                <w:highlight w:val="none"/>
              </w:rPr>
            </w:r>
            <w:r/>
          </w:p>
        </w:tc>
        <w:tc>
          <w:tcPr>
            <w:gridSpan w:val="6"/>
            <w:tcW w:w="9174" w:type="dxa"/>
            <w:vAlign w:val="center"/>
            <w:textDirection w:val="lrTb"/>
            <w:noWrap w:val="false"/>
          </w:tcPr>
          <w:p>
            <w:pPr>
              <w:jc w:val="center"/>
              <w:spacing w:after="120" w:line="240" w:lineRule="auto"/>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人民币（大写）（￥：）</w:t>
            </w:r>
            <w:r>
              <w:rPr>
                <w:color w:val="auto"/>
                <w:highlight w:val="none"/>
              </w:rPr>
            </w:r>
            <w:r/>
          </w:p>
        </w:tc>
      </w:tr>
    </w:tbl>
    <w:p>
      <w:pPr>
        <w:pStyle w:val="887"/>
        <w:numPr>
          <w:ilvl w:val="0"/>
          <w:numId w:val="21"/>
        </w:numPr>
        <w:jc w:val="left"/>
        <w:spacing w:after="0" w:line="360" w:lineRule="auto"/>
        <w:widowControl/>
        <w:rPr>
          <w:color w:val="auto"/>
          <w:szCs w:val="24"/>
          <w:highlight w:val="none"/>
        </w:rPr>
      </w:pPr>
      <w:r>
        <w:rPr>
          <w:rFonts w:hint="eastAsia"/>
          <w:color w:val="auto"/>
          <w:szCs w:val="24"/>
          <w:highlight w:val="none"/>
          <w:lang w:eastAsia="zh-CN"/>
        </w:rPr>
        <w:t xml:space="preserve">合同价格包括全部仪器设备、系统、及其备品、备件、专用工具费用，专利技术、包装、仓储、运输、安装调试、检测验收、技术培训、技术支持、售后服务、企业利润、税金、政策性文件规定及合同包含的所有风险、责任等各项应有费用。除本合同明确约定的费用外，甲方无需支付任何额外费用和承担任何额外义务。同时，除非合同条款中另有规定，否则，乙方所报价格在合同实施期间不因市场变化因素而变动，未经甲方书面确认，甲方不再另行支付其他任何费用。</w:t>
      </w:r>
      <w:r>
        <w:rPr>
          <w:color w:val="auto"/>
          <w:highlight w:val="none"/>
        </w:rPr>
      </w:r>
      <w:r/>
    </w:p>
    <w:p>
      <w:pPr>
        <w:numPr>
          <w:ilvl w:val="0"/>
          <w:numId w:val="21"/>
        </w:numPr>
        <w:jc w:val="left"/>
        <w:spacing w:after="0"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根据现行税法对甲方征收的与本合同有关的一切税费均由甲方承担；根据现行税法对</w:t>
      </w:r>
      <w:r>
        <w:rPr>
          <w:rFonts w:hint="eastAsia" w:ascii="宋体" w:hAnsi="宋体" w:cs="宋体"/>
          <w:color w:val="auto"/>
          <w:sz w:val="24"/>
          <w:szCs w:val="24"/>
          <w:highlight w:val="none"/>
        </w:rPr>
        <w:t xml:space="preserve">乙方征收</w:t>
      </w:r>
      <w:r>
        <w:rPr>
          <w:rFonts w:hint="eastAsia" w:ascii="宋体" w:hAnsi="宋体" w:cs="宋体"/>
          <w:color w:val="auto"/>
          <w:sz w:val="24"/>
          <w:szCs w:val="24"/>
          <w:highlight w:val="none"/>
        </w:rPr>
        <w:t xml:space="preserve">的与本合同有关的一切税费均由乙方承担。</w:t>
      </w:r>
      <w:r>
        <w:rPr>
          <w:color w:val="auto"/>
          <w:highlight w:val="none"/>
        </w:rPr>
      </w:r>
      <w:r/>
    </w:p>
    <w:p>
      <w:pPr>
        <w:numPr>
          <w:ilvl w:val="0"/>
          <w:numId w:val="21"/>
        </w:numPr>
        <w:jc w:val="left"/>
        <w:spacing w:after="0"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下列文件为本合同不可分割部分：</w:t>
      </w:r>
      <w:r>
        <w:rPr>
          <w:color w:val="auto"/>
          <w:highlight w:val="none"/>
        </w:rPr>
      </w:r>
      <w:r/>
    </w:p>
    <w:p>
      <w:pPr>
        <w:ind w:firstLine="480"/>
        <w:jc w:val="left"/>
        <w:spacing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①招标文件及其附件；</w:t>
      </w:r>
      <w:r>
        <w:rPr>
          <w:color w:val="auto"/>
          <w:highlight w:val="none"/>
        </w:rPr>
      </w:r>
      <w:r/>
    </w:p>
    <w:p>
      <w:pPr>
        <w:ind w:firstLine="480"/>
        <w:jc w:val="left"/>
        <w:spacing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②乙方的投标文件；</w:t>
      </w:r>
      <w:r>
        <w:rPr>
          <w:color w:val="auto"/>
          <w:highlight w:val="none"/>
        </w:rPr>
      </w:r>
      <w:r/>
    </w:p>
    <w:p>
      <w:pPr>
        <w:ind w:firstLine="480"/>
        <w:jc w:val="left"/>
        <w:spacing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③乙方在招投标过程中所作的其它承诺、声明、书面澄清等；</w:t>
      </w:r>
      <w:r>
        <w:rPr>
          <w:color w:val="auto"/>
          <w:highlight w:val="none"/>
        </w:rPr>
      </w:r>
      <w:r/>
    </w:p>
    <w:p>
      <w:pPr>
        <w:ind w:firstLine="480"/>
        <w:jc w:val="left"/>
        <w:spacing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④中标通知书；</w:t>
      </w:r>
      <w:r>
        <w:rPr>
          <w:color w:val="auto"/>
          <w:highlight w:val="none"/>
        </w:rPr>
      </w:r>
      <w:r/>
    </w:p>
    <w:p>
      <w:pPr>
        <w:ind w:firstLine="480"/>
        <w:jc w:val="left"/>
        <w:spacing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⑤本合同及其合同附件。</w:t>
      </w:r>
      <w:r>
        <w:rPr>
          <w:color w:val="auto"/>
          <w:highlight w:val="none"/>
        </w:rPr>
      </w:r>
      <w:r/>
    </w:p>
    <w:p>
      <w:pPr>
        <w:ind w:firstLine="480"/>
        <w:jc w:val="left"/>
        <w:spacing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以上与本合同具有同等法律效力；如上述文件之前内容不一致的，如是技术标准方面的，则以标准高者为准。如仍不明确或不一致，则以甲方的解释和澄清为准。</w:t>
      </w:r>
      <w:r>
        <w:rPr>
          <w:color w:val="auto"/>
          <w:highlight w:val="none"/>
        </w:rPr>
      </w:r>
      <w:r/>
    </w:p>
    <w:p>
      <w:pPr>
        <w:numPr>
          <w:ilvl w:val="0"/>
          <w:numId w:val="20"/>
        </w:numPr>
        <w:jc w:val="left"/>
        <w:spacing w:after="0" w:line="360" w:lineRule="auto"/>
        <w:rPr>
          <w:rFonts w:ascii="宋体" w:hAnsi="宋体" w:cs="宋体"/>
          <w:b/>
          <w:bCs/>
          <w:color w:val="auto"/>
          <w:sz w:val="24"/>
          <w:szCs w:val="24"/>
          <w:highlight w:val="none"/>
        </w:rPr>
      </w:pPr>
      <w:r>
        <w:rPr>
          <w:rFonts w:hint="eastAsia" w:ascii="宋体" w:hAnsi="宋体" w:cs="宋体"/>
          <w:b/>
          <w:color w:val="auto"/>
          <w:sz w:val="24"/>
          <w:szCs w:val="24"/>
          <w:highlight w:val="none"/>
        </w:rPr>
        <w:t xml:space="preserve">标的物交付</w:t>
      </w:r>
      <w:r>
        <w:rPr>
          <w:color w:val="auto"/>
          <w:highlight w:val="none"/>
        </w:rPr>
      </w:r>
      <w:r/>
    </w:p>
    <w:p>
      <w:pPr>
        <w:ind w:firstLine="480"/>
        <w:spacing w:after="0"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合同履约期限：合同签订后30天内交付并安装调试完毕</w:t>
      </w:r>
      <w:r>
        <w:rPr>
          <w:rFonts w:hint="eastAsia" w:ascii="宋体" w:hAnsi="宋体" w:cs="宋体"/>
          <w:color w:val="auto"/>
          <w:sz w:val="24"/>
          <w:highlight w:val="none"/>
        </w:rPr>
        <w:t xml:space="preserve">，整体免费质保期不低于一年</w:t>
      </w:r>
      <w:r>
        <w:rPr>
          <w:rFonts w:hint="eastAsia" w:ascii="宋体" w:hAnsi="宋体" w:cs="宋体"/>
          <w:color w:val="auto"/>
          <w:sz w:val="24"/>
          <w:szCs w:val="24"/>
          <w:highlight w:val="none"/>
        </w:rPr>
        <w:t xml:space="preserve">。</w:t>
      </w:r>
      <w:r>
        <w:rPr>
          <w:rFonts w:ascii="宋体" w:hAnsi="宋体" w:cs="宋体"/>
          <w:color w:val="auto"/>
          <w:sz w:val="24"/>
          <w:highlight w:val="none"/>
        </w:rPr>
        <w:t xml:space="preserve">其中</w:t>
      </w:r>
      <w:r>
        <w:rPr>
          <w:rFonts w:hint="eastAsia" w:ascii="宋体" w:hAnsi="宋体" w:cs="宋体"/>
          <w:color w:val="auto"/>
          <w:sz w:val="24"/>
          <w:szCs w:val="24"/>
          <w:highlight w:val="none"/>
        </w:rPr>
        <w:t xml:space="preserve">原子吸收分光光度计、纯水机、烟尘/气浓度测试仪和</w:t>
      </w:r>
      <w:r>
        <w:rPr>
          <w:rStyle w:val="1147"/>
          <w:rFonts w:hint="default" w:ascii="宋体" w:hAnsi="宋体" w:eastAsia="宋体" w:cs="宋体"/>
          <w:color w:val="auto"/>
          <w:sz w:val="24"/>
          <w:szCs w:val="24"/>
          <w:highlight w:val="none"/>
        </w:rPr>
        <w:t xml:space="preserve">环境气体应急</w:t>
      </w:r>
      <w:r>
        <w:rPr>
          <w:rStyle w:val="1146"/>
          <w:rFonts w:hint="default" w:ascii="宋体" w:hAnsi="宋体" w:eastAsia="宋体" w:cs="宋体"/>
          <w:color w:val="auto"/>
          <w:sz w:val="24"/>
          <w:szCs w:val="24"/>
          <w:highlight w:val="none"/>
        </w:rPr>
        <w:t xml:space="preserve">检</w:t>
      </w:r>
      <w:r>
        <w:rPr>
          <w:rStyle w:val="1147"/>
          <w:rFonts w:hint="default" w:ascii="宋体" w:hAnsi="宋体" w:eastAsia="宋体" w:cs="宋体"/>
          <w:color w:val="auto"/>
          <w:sz w:val="24"/>
          <w:szCs w:val="24"/>
          <w:highlight w:val="none"/>
        </w:rPr>
        <w:t xml:space="preserve">测仪</w:t>
      </w:r>
      <w:r>
        <w:rPr>
          <w:rFonts w:hint="eastAsia" w:ascii="宋体" w:hAnsi="宋体" w:cs="宋体"/>
          <w:color w:val="auto"/>
          <w:sz w:val="24"/>
          <w:szCs w:val="24"/>
          <w:highlight w:val="none"/>
        </w:rPr>
        <w:t xml:space="preserve">质保期不低于2年。</w:t>
      </w:r>
      <w:bookmarkStart w:id="28" w:name="_GoBack"/>
      <w:r>
        <w:rPr>
          <w:color w:val="auto"/>
          <w:highlight w:val="none"/>
        </w:rPr>
      </w:r>
      <w:bookmarkEnd w:id="28"/>
      <w:r>
        <w:rPr>
          <w:color w:val="auto"/>
          <w:highlight w:val="none"/>
        </w:rPr>
      </w:r>
      <w:r/>
    </w:p>
    <w:p>
      <w:pPr>
        <w:numPr>
          <w:ilvl w:val="0"/>
          <w:numId w:val="22"/>
        </w:numPr>
        <w:jc w:val="left"/>
        <w:spacing w:after="0"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履约地点：甲方指定地点。</w:t>
      </w:r>
      <w:r>
        <w:rPr>
          <w:color w:val="auto"/>
          <w:highlight w:val="none"/>
        </w:rPr>
      </w:r>
      <w:r/>
    </w:p>
    <w:p>
      <w:pPr>
        <w:numPr>
          <w:ilvl w:val="0"/>
          <w:numId w:val="22"/>
        </w:numPr>
        <w:jc w:val="left"/>
        <w:spacing w:after="0"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标的物的所有权自标的物交付时转移。</w:t>
      </w:r>
      <w:r>
        <w:rPr>
          <w:color w:val="auto"/>
          <w:highlight w:val="none"/>
        </w:rPr>
      </w:r>
      <w:r/>
    </w:p>
    <w:p>
      <w:pPr>
        <w:numPr>
          <w:ilvl w:val="0"/>
          <w:numId w:val="22"/>
        </w:numPr>
        <w:jc w:val="left"/>
        <w:spacing w:after="0"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包装运输：乙方应当按照约定的包装方式交付标的物。对包装方式没有约定或者约定不明确的，应当按照双方补充协议约定的方式包装，或者按照通用的方式包装，没有通用方式的，应当采取足以保护标的物的包装方式。</w:t>
      </w:r>
      <w:r>
        <w:rPr>
          <w:color w:val="auto"/>
          <w:highlight w:val="none"/>
        </w:rPr>
      </w:r>
      <w:r/>
    </w:p>
    <w:p>
      <w:pPr>
        <w:numPr>
          <w:ilvl w:val="0"/>
          <w:numId w:val="20"/>
        </w:numPr>
        <w:jc w:val="left"/>
        <w:spacing w:after="0"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质量要求</w:t>
      </w:r>
      <w:r>
        <w:rPr>
          <w:color w:val="auto"/>
          <w:highlight w:val="none"/>
        </w:rPr>
      </w:r>
      <w:r/>
    </w:p>
    <w:p>
      <w:pPr>
        <w:numPr>
          <w:ilvl w:val="0"/>
          <w:numId w:val="23"/>
        </w:numPr>
        <w:jc w:val="left"/>
        <w:spacing w:after="0"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乙方应保证其向甲方提供的设备是全新的、未使用过的，并且不是长期积压的库存商品，完全符合合同规定的质量、规格和性能的要求。乙方应保证其提供的设备在正确安装、正常使用和保养条件下，在其标称的使用寿命期内应具有良好的性能。在乙方承诺的质量保证期限内，乙方应对由于设计、工艺或材料的缺陷及伴随服务等非甲方原因而造成的任何不足或故障负责。质保期内设备出现质量问题的，乙方应负责包修、包退、包换，由此产生的一切费用均由乙方承担。</w:t>
      </w:r>
      <w:r>
        <w:rPr>
          <w:color w:val="auto"/>
          <w:highlight w:val="none"/>
        </w:rPr>
      </w:r>
      <w:r/>
    </w:p>
    <w:p>
      <w:pPr>
        <w:numPr>
          <w:ilvl w:val="0"/>
          <w:numId w:val="23"/>
        </w:numPr>
        <w:jc w:val="left"/>
        <w:spacing w:after="0"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乙方应按照本合同约定的质量标准提供合格的设备，如未约定质量标准的，应按照强制性国家标准履行;没有强制性国家标准的,按照推荐性国家标准履行;没有推荐性国家标准的,按照行业标准履行;没有国家标准、行业标准的,按照通常标准或者符合合同目的的特定标准履行；同时存在不同标准的，以最高标准为准。</w:t>
      </w:r>
      <w:r>
        <w:rPr>
          <w:color w:val="auto"/>
          <w:highlight w:val="none"/>
        </w:rPr>
      </w:r>
      <w:r/>
    </w:p>
    <w:p>
      <w:pPr>
        <w:numPr>
          <w:ilvl w:val="0"/>
          <w:numId w:val="23"/>
        </w:numPr>
        <w:jc w:val="left"/>
        <w:spacing w:after="0"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根据甲方按本合同约定的检验标准检验的结果或具有法定检验资质的第三方检验机构出具的检验结果，如果设备的数量、质量或规格与本合同约定不符或证实设备是有缺陷的，包括潜在缺陷或使用不符合要求的材料等，甲方有权通知乙方并提出索赔。</w:t>
      </w:r>
      <w:r>
        <w:rPr>
          <w:color w:val="auto"/>
          <w:highlight w:val="none"/>
        </w:rPr>
      </w:r>
      <w:r/>
    </w:p>
    <w:p>
      <w:pPr>
        <w:numPr>
          <w:ilvl w:val="0"/>
          <w:numId w:val="23"/>
        </w:numPr>
        <w:jc w:val="left"/>
        <w:spacing w:after="0"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乙方应保证对其提供的设备享有合法的权利和其他必要的授权，在其提供的设备、系统上不存在任何未曾向甲方书面披露的担保物权或其他权利负担，如抵押权、质押权、留置权、查封、转让限制等，不存在任何知识产权侵权行为。乙方应保证甲方在使用本合同项下设备、系统或其任何一部分时不受第三方提出侵犯其专利权、版权、商标权或其他权利主张。如甲方在使用乙方提供的设备构成上述侵权的，乙方应承担全部责任，并赔偿由此给甲方造成的一切直接、间接损失。</w:t>
      </w:r>
      <w:r>
        <w:rPr>
          <w:color w:val="auto"/>
          <w:highlight w:val="none"/>
        </w:rPr>
      </w:r>
      <w:r/>
    </w:p>
    <w:p>
      <w:pPr>
        <w:ind w:left="420"/>
        <w:jc w:val="left"/>
        <w:spacing w:after="0"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四、验收要求</w:t>
      </w:r>
      <w:r>
        <w:rPr>
          <w:color w:val="auto"/>
          <w:highlight w:val="none"/>
        </w:rPr>
      </w:r>
      <w:r/>
    </w:p>
    <w:p>
      <w:pPr>
        <w:numPr>
          <w:ilvl w:val="0"/>
          <w:numId w:val="24"/>
        </w:numPr>
        <w:jc w:val="left"/>
        <w:spacing w:after="0"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验收标准：乙方提供的货物必须符合我国最新颁布的与之相关的技术规范与标准，同时必须满足招标文件中所列规格、具体配置、技术条件及功能要求和乙方承诺的其它指标及其他内容。</w:t>
      </w:r>
      <w:r>
        <w:rPr>
          <w:color w:val="auto"/>
          <w:highlight w:val="none"/>
        </w:rPr>
      </w:r>
      <w:r/>
    </w:p>
    <w:p>
      <w:pPr>
        <w:numPr>
          <w:ilvl w:val="0"/>
          <w:numId w:val="24"/>
        </w:numPr>
        <w:jc w:val="left"/>
        <w:spacing w:after="0"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根据甲方验收结果，或者在质量保证期内，如果标的物的数量、质量或规格与合同不符或证实标的物是具有缺陷的，包括潜在缺陷或使用不符合要求的材料等，甲方应尽快以书面形式通知乙方并提出索赔。</w:t>
      </w:r>
      <w:r>
        <w:rPr>
          <w:color w:val="auto"/>
          <w:highlight w:val="none"/>
        </w:rPr>
      </w:r>
      <w:r/>
    </w:p>
    <w:p>
      <w:pPr>
        <w:numPr>
          <w:ilvl w:val="0"/>
          <w:numId w:val="24"/>
        </w:numPr>
        <w:jc w:val="left"/>
        <w:spacing w:after="0"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在交货时必须原包装现场拆封验收，由甲方以及乙方共同对标的物的质量、规格、性能、数量、外观、随机备件备品、装箱单、随机资料、包装等进行详细而全面的检验，并出具一份检验合格证明，合格检验证明作为甲方验收的依据，但不能作为有关标的物质量、规格、数量或性能的最终检验结果。</w:t>
      </w:r>
      <w:r>
        <w:rPr>
          <w:color w:val="auto"/>
          <w:highlight w:val="none"/>
        </w:rPr>
      </w:r>
      <w:r/>
    </w:p>
    <w:p>
      <w:pPr>
        <w:numPr>
          <w:ilvl w:val="0"/>
          <w:numId w:val="24"/>
        </w:numPr>
        <w:jc w:val="left"/>
        <w:spacing w:after="0"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验收期限在安装调试结束后三个月内进行。特殊情况需延长的，双方应特别约定。</w:t>
      </w:r>
      <w:r>
        <w:rPr>
          <w:color w:val="auto"/>
          <w:highlight w:val="none"/>
        </w:rPr>
      </w:r>
      <w:r/>
    </w:p>
    <w:p>
      <w:pPr>
        <w:numPr>
          <w:ilvl w:val="0"/>
          <w:numId w:val="24"/>
        </w:numPr>
        <w:jc w:val="left"/>
        <w:spacing w:after="0"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验收规范应由乙方在验收前两周提交给甲方，甲方可根据合同及技术规范书和有关规定进行修改和补充。验收规范需要由甲乙双方确认，确认后形成验收文件作为验收依据。</w:t>
      </w:r>
      <w:r>
        <w:rPr>
          <w:color w:val="auto"/>
          <w:highlight w:val="none"/>
        </w:rPr>
      </w:r>
      <w:r/>
    </w:p>
    <w:p>
      <w:pPr>
        <w:numPr>
          <w:ilvl w:val="0"/>
          <w:numId w:val="24"/>
        </w:numPr>
        <w:jc w:val="left"/>
        <w:spacing w:after="0"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验收结果经双方确认后，双方代表须按规定的验收项目对照本合同填好验收结果并签名盖章。</w:t>
      </w:r>
      <w:r>
        <w:rPr>
          <w:color w:val="auto"/>
          <w:highlight w:val="none"/>
        </w:rPr>
      </w:r>
      <w:r/>
    </w:p>
    <w:p>
      <w:pPr>
        <w:ind w:left="420"/>
        <w:jc w:val="left"/>
        <w:spacing w:after="0"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五、合同价款和支付</w:t>
      </w:r>
      <w:r>
        <w:rPr>
          <w:color w:val="auto"/>
          <w:highlight w:val="none"/>
        </w:rPr>
      </w:r>
      <w:r/>
    </w:p>
    <w:p>
      <w:pPr>
        <w:pStyle w:val="887"/>
        <w:numPr>
          <w:ilvl w:val="0"/>
          <w:numId w:val="25"/>
        </w:numPr>
        <w:jc w:val="left"/>
        <w:spacing w:after="0" w:line="360" w:lineRule="auto"/>
        <w:widowControl/>
        <w:rPr>
          <w:color w:val="auto"/>
          <w:szCs w:val="24"/>
          <w:highlight w:val="none"/>
        </w:rPr>
      </w:pPr>
      <w:r>
        <w:rPr>
          <w:rFonts w:hint="eastAsia"/>
          <w:color w:val="auto"/>
          <w:szCs w:val="24"/>
          <w:highlight w:val="none"/>
          <w:lang w:eastAsia="zh-CN"/>
        </w:rPr>
        <w:t xml:space="preserve">合同价格按此次中标价格执行，合同总金额（含税）为人民币</w:t>
      </w:r>
      <w:r>
        <w:rPr>
          <w:rFonts w:hint="eastAsia"/>
          <w:color w:val="auto"/>
          <w:szCs w:val="24"/>
          <w:highlight w:val="none"/>
          <w:u w:val="single"/>
          <w:lang w:eastAsia="zh-CN"/>
        </w:rPr>
        <w:t xml:space="preserve">             </w:t>
      </w:r>
      <w:r>
        <w:rPr>
          <w:rFonts w:hint="eastAsia"/>
          <w:color w:val="auto"/>
          <w:szCs w:val="24"/>
          <w:highlight w:val="none"/>
          <w:lang w:eastAsia="zh-CN"/>
        </w:rPr>
        <w:t xml:space="preserve">。</w:t>
      </w:r>
      <w:r>
        <w:rPr>
          <w:color w:val="auto"/>
          <w:highlight w:val="none"/>
        </w:rPr>
      </w:r>
      <w:r/>
    </w:p>
    <w:p>
      <w:pPr>
        <w:pStyle w:val="887"/>
        <w:numPr>
          <w:ilvl w:val="0"/>
          <w:numId w:val="25"/>
        </w:numPr>
        <w:jc w:val="left"/>
        <w:spacing w:after="0" w:line="360" w:lineRule="auto"/>
        <w:widowControl/>
        <w:rPr>
          <w:color w:val="auto"/>
          <w:szCs w:val="24"/>
          <w:highlight w:val="none"/>
        </w:rPr>
      </w:pPr>
      <w:r>
        <w:rPr>
          <w:rFonts w:hint="eastAsia"/>
          <w:color w:val="auto"/>
          <w:szCs w:val="24"/>
          <w:highlight w:val="none"/>
          <w:lang w:eastAsia="zh-CN"/>
        </w:rPr>
        <w:t xml:space="preserve">付款步骤：合同签订后，甲方向乙方支付合同总价款的50%作为预付款；乙方</w:t>
      </w:r>
      <w:r>
        <w:rPr>
          <w:rFonts w:hint="eastAsia"/>
          <w:color w:val="auto"/>
          <w:szCs w:val="24"/>
          <w:highlight w:val="none"/>
          <w:lang w:eastAsia="zh-CN"/>
        </w:rPr>
        <w:t xml:space="preserve">货到且安装</w:t>
      </w:r>
      <w:r>
        <w:rPr>
          <w:rFonts w:hint="eastAsia"/>
          <w:color w:val="auto"/>
          <w:szCs w:val="24"/>
          <w:highlight w:val="none"/>
          <w:lang w:eastAsia="zh-CN"/>
        </w:rPr>
        <w:t xml:space="preserve">调试完毕设备可正常运行且项目整体全部验收合格后，甲方向乙方支付至合同总价款的80%；</w:t>
      </w:r>
      <w:bookmarkStart w:id="29" w:name="OLE_LINK1"/>
      <w:r>
        <w:rPr>
          <w:rFonts w:hint="eastAsia"/>
          <w:color w:val="auto"/>
          <w:szCs w:val="24"/>
          <w:highlight w:val="none"/>
          <w:lang w:eastAsia="zh-CN"/>
        </w:rPr>
        <w:t xml:space="preserve">甲方于项目整体验收合格一年内无重大质量问题一次性付清剩余款项。</w:t>
      </w:r>
      <w:bookmarkEnd w:id="29"/>
      <w:r>
        <w:rPr>
          <w:color w:val="auto"/>
          <w:highlight w:val="none"/>
        </w:rPr>
      </w:r>
      <w:r/>
    </w:p>
    <w:p>
      <w:pPr>
        <w:pStyle w:val="887"/>
        <w:numPr>
          <w:ilvl w:val="0"/>
          <w:numId w:val="25"/>
        </w:numPr>
        <w:jc w:val="left"/>
        <w:spacing w:after="0" w:line="360" w:lineRule="auto"/>
        <w:widowControl/>
        <w:rPr>
          <w:color w:val="auto"/>
          <w:szCs w:val="24"/>
          <w:highlight w:val="none"/>
        </w:rPr>
      </w:pPr>
      <w:r>
        <w:rPr>
          <w:rFonts w:hint="eastAsia"/>
          <w:color w:val="auto"/>
          <w:szCs w:val="24"/>
          <w:highlight w:val="none"/>
          <w:lang w:eastAsia="zh-CN"/>
        </w:rPr>
        <w:t xml:space="preserve">乙方须按甲方要求提供合格的增值税发票，若因乙方原因未提供合格的增值税发票，甲方有权逾期付款且不承担任何责任。</w:t>
      </w:r>
      <w:r>
        <w:rPr>
          <w:color w:val="auto"/>
          <w:highlight w:val="none"/>
        </w:rPr>
      </w:r>
      <w:r/>
    </w:p>
    <w:p>
      <w:pPr>
        <w:pStyle w:val="887"/>
        <w:numPr>
          <w:ilvl w:val="0"/>
          <w:numId w:val="25"/>
        </w:numPr>
        <w:jc w:val="left"/>
        <w:spacing w:after="0" w:line="360" w:lineRule="auto"/>
        <w:widowControl/>
        <w:rPr>
          <w:color w:val="auto"/>
          <w:szCs w:val="24"/>
          <w:highlight w:val="none"/>
        </w:rPr>
      </w:pPr>
      <w:r>
        <w:rPr>
          <w:rFonts w:hint="eastAsia"/>
          <w:color w:val="auto"/>
          <w:szCs w:val="24"/>
          <w:highlight w:val="none"/>
          <w:lang w:eastAsia="zh-CN"/>
        </w:rPr>
        <w:t xml:space="preserve">乙方提请甲方付款结算时需提供以下资料：</w:t>
      </w:r>
      <w:r>
        <w:rPr>
          <w:color w:val="auto"/>
          <w:highlight w:val="none"/>
        </w:rPr>
      </w:r>
      <w:r/>
    </w:p>
    <w:p>
      <w:pPr>
        <w:numPr>
          <w:ilvl w:val="0"/>
          <w:numId w:val="27"/>
        </w:numPr>
        <w:ind w:firstLine="480"/>
        <w:jc w:val="left"/>
        <w:spacing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合法有效且符合甲方要求的发票；</w:t>
      </w:r>
      <w:r>
        <w:rPr>
          <w:color w:val="auto"/>
          <w:highlight w:val="none"/>
        </w:rPr>
      </w:r>
      <w:r/>
    </w:p>
    <w:p>
      <w:pPr>
        <w:numPr>
          <w:ilvl w:val="0"/>
          <w:numId w:val="27"/>
        </w:numPr>
        <w:ind w:firstLine="480"/>
        <w:jc w:val="left"/>
        <w:spacing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《江苏省政府采购履约验收书》；</w:t>
      </w:r>
      <w:r>
        <w:rPr>
          <w:color w:val="auto"/>
          <w:highlight w:val="none"/>
        </w:rPr>
      </w:r>
      <w:r/>
    </w:p>
    <w:p>
      <w:pPr>
        <w:numPr>
          <w:ilvl w:val="0"/>
          <w:numId w:val="27"/>
        </w:numPr>
        <w:ind w:firstLine="480"/>
        <w:jc w:val="left"/>
        <w:spacing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甲方要求的其他资料（如有）。</w:t>
      </w:r>
      <w:r>
        <w:rPr>
          <w:color w:val="auto"/>
          <w:highlight w:val="none"/>
        </w:rPr>
      </w:r>
      <w:r/>
    </w:p>
    <w:p>
      <w:pPr>
        <w:ind w:firstLine="480"/>
        <w:jc w:val="left"/>
        <w:spacing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若乙方未按约定提供上述资料的，甲方有权迟延付款且不承担逾期付款的违约责任。</w:t>
      </w:r>
      <w:r>
        <w:rPr>
          <w:color w:val="auto"/>
          <w:highlight w:val="none"/>
        </w:rPr>
      </w:r>
      <w:r/>
    </w:p>
    <w:p>
      <w:pPr>
        <w:pStyle w:val="887"/>
        <w:numPr>
          <w:ilvl w:val="0"/>
          <w:numId w:val="25"/>
        </w:numPr>
        <w:jc w:val="left"/>
        <w:spacing w:after="0" w:line="360" w:lineRule="auto"/>
        <w:widowControl/>
        <w:rPr>
          <w:color w:val="auto"/>
          <w:szCs w:val="24"/>
          <w:highlight w:val="none"/>
        </w:rPr>
      </w:pPr>
      <w:r>
        <w:rPr>
          <w:rFonts w:hint="eastAsia"/>
          <w:color w:val="auto"/>
          <w:szCs w:val="24"/>
          <w:highlight w:val="none"/>
          <w:lang w:eastAsia="zh-CN"/>
        </w:rPr>
        <w:t xml:space="preserve">付款方式：转账或数字人民币。</w:t>
      </w:r>
      <w:r>
        <w:rPr>
          <w:color w:val="auto"/>
          <w:highlight w:val="none"/>
        </w:rPr>
      </w:r>
      <w:r/>
    </w:p>
    <w:p>
      <w:pPr>
        <w:pStyle w:val="887"/>
        <w:numPr>
          <w:ilvl w:val="0"/>
          <w:numId w:val="25"/>
        </w:numPr>
        <w:jc w:val="left"/>
        <w:spacing w:after="0" w:line="360" w:lineRule="auto"/>
        <w:widowControl/>
        <w:rPr>
          <w:color w:val="auto"/>
          <w:szCs w:val="24"/>
          <w:highlight w:val="none"/>
        </w:rPr>
      </w:pPr>
      <w:r>
        <w:rPr>
          <w:rFonts w:hint="eastAsia"/>
          <w:color w:val="auto"/>
          <w:szCs w:val="24"/>
          <w:highlight w:val="none"/>
        </w:rPr>
        <w:t xml:space="preserve">乙方账户信息如下：</w:t>
      </w:r>
      <w:r>
        <w:rPr>
          <w:color w:val="auto"/>
          <w:highlight w:val="none"/>
        </w:rPr>
      </w:r>
      <w:r/>
    </w:p>
    <w:p>
      <w:pPr>
        <w:ind w:firstLine="480"/>
        <w:jc w:val="left"/>
        <w:spacing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户名：</w:t>
      </w:r>
      <w:r>
        <w:rPr>
          <w:color w:val="auto"/>
          <w:highlight w:val="none"/>
        </w:rPr>
      </w:r>
      <w:r/>
    </w:p>
    <w:p>
      <w:pPr>
        <w:ind w:firstLine="480"/>
        <w:jc w:val="left"/>
        <w:spacing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开户行：</w:t>
      </w:r>
      <w:r>
        <w:rPr>
          <w:color w:val="auto"/>
          <w:highlight w:val="none"/>
        </w:rPr>
      </w:r>
      <w:r/>
    </w:p>
    <w:p>
      <w:pPr>
        <w:ind w:firstLine="480"/>
        <w:jc w:val="left"/>
        <w:spacing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账号：</w:t>
      </w:r>
      <w:r>
        <w:rPr>
          <w:color w:val="auto"/>
          <w:highlight w:val="none"/>
        </w:rPr>
      </w:r>
      <w:r/>
    </w:p>
    <w:p>
      <w:pPr>
        <w:ind w:firstLine="480"/>
        <w:jc w:val="left"/>
        <w:spacing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数字人民币账户（</w:t>
      </w:r>
      <w:r>
        <w:rPr>
          <w:rFonts w:hint="eastAsia" w:ascii="宋体" w:hAnsi="宋体" w:cs="宋体"/>
          <w:color w:val="auto"/>
          <w:sz w:val="24"/>
          <w:szCs w:val="24"/>
          <w:highlight w:val="none"/>
        </w:rPr>
        <w:t xml:space="preserve">数币钱包</w:t>
      </w:r>
      <w:r>
        <w:rPr>
          <w:rFonts w:hint="eastAsia" w:ascii="宋体" w:hAnsi="宋体" w:cs="宋体"/>
          <w:color w:val="auto"/>
          <w:sz w:val="24"/>
          <w:szCs w:val="24"/>
          <w:highlight w:val="none"/>
        </w:rPr>
        <w:t xml:space="preserve">ID）：</w:t>
      </w:r>
      <w:r>
        <w:rPr>
          <w:color w:val="auto"/>
          <w:highlight w:val="none"/>
        </w:rPr>
      </w:r>
      <w:r/>
    </w:p>
    <w:p>
      <w:pPr>
        <w:ind w:left="420"/>
        <w:jc w:val="left"/>
        <w:spacing w:after="0"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六、双方的权利与义务</w:t>
      </w:r>
      <w:r>
        <w:rPr>
          <w:color w:val="auto"/>
          <w:highlight w:val="none"/>
        </w:rPr>
      </w:r>
      <w:r/>
    </w:p>
    <w:p>
      <w:pPr>
        <w:numPr>
          <w:ilvl w:val="0"/>
          <w:numId w:val="28"/>
        </w:numPr>
        <w:jc w:val="left"/>
        <w:spacing w:after="0"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乙方应当认真执行并按时完成项目工作，自觉接受甲方监督，乙方应当坚守工作范围的职责。</w:t>
      </w:r>
      <w:r>
        <w:rPr>
          <w:color w:val="auto"/>
          <w:highlight w:val="none"/>
        </w:rPr>
      </w:r>
      <w:r/>
    </w:p>
    <w:p>
      <w:pPr>
        <w:numPr>
          <w:ilvl w:val="0"/>
          <w:numId w:val="28"/>
        </w:numPr>
        <w:jc w:val="left"/>
        <w:spacing w:after="0"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乙方在项目实施过程中，必须按照招标文件要求及投标文件中的承诺配置本项目固定专业技术人员。在合同期内，乙方及其工作人员须服从甲方的一切规章制度及安排。未经甲方批准，不得随意更换项目组成员。如果甲方认为技术服务人员不具备本次服务工作所需的技术能力，有权随时要求乙方对该成员进行更换，且乙方须在接到甲方通知后15日内完成更换。项目实施人员在服务期间内出现的工伤及其他意外事故，均由乙方自行负责，甲方不承担任何责任，如因此导致甲方对外赔偿或导致甲方损失的，甲方有权向乙方追偿。</w:t>
      </w:r>
      <w:r>
        <w:rPr>
          <w:color w:val="auto"/>
          <w:highlight w:val="none"/>
        </w:rPr>
      </w:r>
      <w:r/>
    </w:p>
    <w:p>
      <w:pPr>
        <w:numPr>
          <w:ilvl w:val="0"/>
          <w:numId w:val="28"/>
        </w:numPr>
        <w:jc w:val="left"/>
        <w:spacing w:after="0"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乙方及其专业人员应当遵守保密原则，对因订立和执行本合同过程中所了解或知悉或获取的对方的一切信息、国家秘密、商业秘密和个人隐私以及合同成果予以保密，在本合同服务期内及本合同解除或终止后均不得向甲方以外的第三方提供保密信息，除非得到甲方的书面同意或者属于法律、行政法规允许的范围。同时，乙方须妥善保管甲方提供的资料。如因乙方原因丢失，应承</w:t>
      </w:r>
      <w:r>
        <w:rPr>
          <w:rFonts w:hint="eastAsia" w:ascii="宋体" w:hAnsi="宋体" w:cs="宋体"/>
          <w:color w:val="auto"/>
          <w:sz w:val="24"/>
          <w:szCs w:val="24"/>
          <w:highlight w:val="none"/>
        </w:rPr>
        <w:t xml:space="preserve">担一切</w:t>
      </w:r>
      <w:r>
        <w:rPr>
          <w:rFonts w:hint="eastAsia" w:ascii="宋体" w:hAnsi="宋体" w:cs="宋体"/>
          <w:color w:val="auto"/>
          <w:sz w:val="24"/>
          <w:szCs w:val="24"/>
          <w:highlight w:val="none"/>
        </w:rPr>
        <w:t xml:space="preserve">责任，包括但不限于赔偿甲方相关的经济损失。</w:t>
      </w:r>
      <w:r>
        <w:rPr>
          <w:color w:val="auto"/>
          <w:highlight w:val="none"/>
        </w:rPr>
      </w:r>
      <w:r/>
    </w:p>
    <w:p>
      <w:pPr>
        <w:numPr>
          <w:ilvl w:val="0"/>
          <w:numId w:val="28"/>
        </w:numPr>
        <w:jc w:val="left"/>
        <w:spacing w:after="0"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甲方提交给乙方使用的相关资料，其知识产权仍归甲方所有。乙方不得复制、使用及提供给第三方。乙方应保证所提供货物涉及到的知识产权是合法取得，并享有完整的知识产权，不会因为甲方的使用而被责令停止使用、追偿或要求赔偿损失，如出现此情况，一切经济和法律责任均由乙方承担。乙方应按招标书的有关规定提供合格货物及服务，质量符合国际或国家通用标准。</w:t>
      </w:r>
      <w:r>
        <w:rPr>
          <w:color w:val="auto"/>
          <w:highlight w:val="none"/>
        </w:rPr>
      </w:r>
      <w:r/>
    </w:p>
    <w:p>
      <w:pPr>
        <w:ind w:left="420"/>
        <w:jc w:val="left"/>
        <w:spacing w:after="0"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七、对标的物货物提出异议的时间和办法</w:t>
      </w:r>
      <w:r>
        <w:rPr>
          <w:color w:val="auto"/>
          <w:highlight w:val="none"/>
        </w:rPr>
      </w:r>
      <w:r/>
    </w:p>
    <w:p>
      <w:pPr>
        <w:numPr>
          <w:ilvl w:val="0"/>
          <w:numId w:val="29"/>
        </w:numPr>
        <w:jc w:val="left"/>
        <w:spacing w:after="0"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甲方在试运行后将标的物的数量或质量不符合约定的情况及处理方式通知乙方。</w:t>
      </w:r>
      <w:r>
        <w:rPr>
          <w:color w:val="auto"/>
          <w:highlight w:val="none"/>
        </w:rPr>
      </w:r>
      <w:r/>
    </w:p>
    <w:p>
      <w:pPr>
        <w:numPr>
          <w:ilvl w:val="0"/>
          <w:numId w:val="29"/>
        </w:numPr>
        <w:jc w:val="left"/>
        <w:spacing w:after="0"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如果甲方在试运行期满后既没有出具验收合格证明又未提出书面异议的，不得视为乙方所交标的物符合合同规定，不得视为自动验收通过，乙方仍须履行质量保证义务。</w:t>
      </w:r>
      <w:r>
        <w:rPr>
          <w:color w:val="auto"/>
          <w:highlight w:val="none"/>
        </w:rPr>
      </w:r>
      <w:r/>
    </w:p>
    <w:p>
      <w:pPr>
        <w:numPr>
          <w:ilvl w:val="0"/>
          <w:numId w:val="29"/>
        </w:numPr>
        <w:jc w:val="left"/>
        <w:spacing w:after="0"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乙方应在收到甲方异议后七日内负责解决问题，否则将视为默认甲方提出的异议和处理意见。</w:t>
      </w:r>
      <w:r>
        <w:rPr>
          <w:color w:val="auto"/>
          <w:highlight w:val="none"/>
        </w:rPr>
      </w:r>
      <w:r/>
    </w:p>
    <w:p>
      <w:pPr>
        <w:ind w:left="420"/>
        <w:jc w:val="left"/>
        <w:spacing w:after="0"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八、售后服务</w:t>
      </w:r>
      <w:r>
        <w:rPr>
          <w:color w:val="auto"/>
          <w:highlight w:val="none"/>
        </w:rPr>
      </w:r>
      <w:r/>
    </w:p>
    <w:p>
      <w:pPr>
        <w:numPr>
          <w:ilvl w:val="0"/>
          <w:numId w:val="30"/>
        </w:numPr>
        <w:jc w:val="left"/>
        <w:spacing w:after="0"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除特别约定外，合同条款中标的物的质量保证期和运维服务期均自标的物通过验收合格次日起计算，且免费质量保证</w:t>
      </w:r>
      <w:r>
        <w:rPr>
          <w:rFonts w:hint="eastAsia" w:ascii="宋体" w:hAnsi="宋体" w:cs="宋体"/>
          <w:color w:val="auto"/>
          <w:sz w:val="24"/>
          <w:szCs w:val="24"/>
          <w:highlight w:val="none"/>
        </w:rPr>
        <w:t xml:space="preserve">期按照</w:t>
      </w:r>
      <w:r>
        <w:rPr>
          <w:rFonts w:hint="eastAsia" w:ascii="宋体" w:hAnsi="宋体" w:cs="宋体"/>
          <w:color w:val="auto"/>
          <w:sz w:val="24"/>
          <w:szCs w:val="24"/>
          <w:highlight w:val="none"/>
        </w:rPr>
        <w:t xml:space="preserve">不低于招标文件要求及乙方承诺的期限执行。</w:t>
      </w:r>
      <w:r>
        <w:rPr>
          <w:color w:val="auto"/>
          <w:highlight w:val="none"/>
        </w:rPr>
      </w:r>
      <w:r/>
    </w:p>
    <w:p>
      <w:pPr>
        <w:numPr>
          <w:ilvl w:val="0"/>
          <w:numId w:val="30"/>
        </w:numPr>
        <w:jc w:val="left"/>
        <w:spacing w:after="0"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在质保期内，如货物出现质量问题，乙方须在2小时响应，8小时内到达现场，48小时内解决问题。如果无法按照要求及时响应或解决问题，每次扣除3000元，甲方有权直接在未支付的费用中扣除。乙方须设有7×24小时维修服务电话，负责解答甲方在使用中遇到的问题，及时提出解决问题的建议和操作方法。</w:t>
      </w:r>
      <w:r>
        <w:rPr>
          <w:color w:val="auto"/>
          <w:highlight w:val="none"/>
        </w:rPr>
      </w:r>
      <w:r/>
    </w:p>
    <w:p>
      <w:pPr>
        <w:pStyle w:val="887"/>
        <w:numPr>
          <w:ilvl w:val="0"/>
          <w:numId w:val="30"/>
        </w:numPr>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lang w:eastAsia="zh-CN"/>
        </w:rPr>
        <w:t xml:space="preserve">在质保期内，应</w:t>
      </w:r>
      <w:r>
        <w:rPr>
          <w:color w:val="auto"/>
          <w:highlight w:val="none"/>
          <w:lang w:eastAsia="zh-CN"/>
        </w:rPr>
        <w:t xml:space="preserve">无偿并</w:t>
      </w:r>
      <w:r>
        <w:rPr>
          <w:color w:val="auto"/>
          <w:highlight w:val="none"/>
          <w:lang w:eastAsia="zh-CN"/>
        </w:rPr>
        <w:t xml:space="preserve">在3日内更换由于元器件缺陷及工艺等问题而发生故障的产品，并由乙方</w:t>
      </w:r>
      <w:r>
        <w:rPr>
          <w:rFonts w:hint="eastAsia"/>
          <w:color w:val="auto"/>
          <w:highlight w:val="none"/>
          <w:lang w:eastAsia="zh-CN"/>
        </w:rPr>
        <w:t xml:space="preserve">免费进行</w:t>
      </w:r>
      <w:r>
        <w:rPr>
          <w:color w:val="auto"/>
          <w:highlight w:val="none"/>
          <w:lang w:eastAsia="zh-CN"/>
        </w:rPr>
        <w:t xml:space="preserve">维修、保养，更换零部件、更换耗材等。在期间如发生影响运行的重大故障，质保期应为故障排除之日起重新计算。质保期满后，应提供优先的有偿售后服务及按不高于</w:t>
      </w:r>
      <w:r>
        <w:rPr>
          <w:rFonts w:hint="eastAsia"/>
          <w:color w:val="auto"/>
          <w:highlight w:val="none"/>
          <w:lang w:eastAsia="zh-CN"/>
        </w:rPr>
        <w:t xml:space="preserve">行业均价及供应商承诺的价格</w:t>
      </w:r>
      <w:r>
        <w:rPr>
          <w:color w:val="auto"/>
          <w:highlight w:val="none"/>
          <w:lang w:eastAsia="zh-CN"/>
        </w:rPr>
        <w:t xml:space="preserve">供应原厂零配件等。</w:t>
      </w:r>
      <w:r>
        <w:rPr>
          <w:color w:val="auto"/>
          <w:highlight w:val="none"/>
        </w:rPr>
        <w:t xml:space="preserve">软件终身免费升级、免费使用。</w:t>
      </w:r>
      <w:r>
        <w:rPr>
          <w:color w:val="auto"/>
          <w:highlight w:val="none"/>
        </w:rPr>
      </w:r>
      <w:r/>
    </w:p>
    <w:p>
      <w:pPr>
        <w:numPr>
          <w:ilvl w:val="0"/>
          <w:numId w:val="30"/>
        </w:numPr>
        <w:jc w:val="left"/>
        <w:spacing w:after="0"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乙方未能按前述约定提供售后服务的，甲方有权自行聘请第三方进行维修，因此产生的费用由乙方承担，甲方有权直接从未支付的费用中扣除。未支付的费用不足以弥补甲方的实际损失的，乙方应予以补足。同时，乙方应向甲方支付本合同总金额20%的违约金，并赔偿甲方因此产生的全部损失。</w:t>
      </w:r>
      <w:r>
        <w:rPr>
          <w:color w:val="auto"/>
          <w:highlight w:val="none"/>
        </w:rPr>
      </w:r>
      <w:r/>
    </w:p>
    <w:p>
      <w:pPr>
        <w:numPr>
          <w:ilvl w:val="0"/>
          <w:numId w:val="30"/>
        </w:numPr>
        <w:jc w:val="left"/>
        <w:spacing w:after="0"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其它按乙方投标文件中承诺的等同或优于招标文件的要求执行。</w:t>
      </w:r>
      <w:r>
        <w:rPr>
          <w:color w:val="auto"/>
          <w:highlight w:val="none"/>
        </w:rPr>
      </w:r>
      <w:r/>
    </w:p>
    <w:p>
      <w:pPr>
        <w:ind w:left="420"/>
        <w:jc w:val="left"/>
        <w:spacing w:after="0"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九、违约责任 </w:t>
      </w:r>
      <w:r>
        <w:rPr>
          <w:color w:val="auto"/>
          <w:highlight w:val="none"/>
        </w:rPr>
      </w:r>
      <w:r/>
    </w:p>
    <w:p>
      <w:pPr>
        <w:numPr>
          <w:ilvl w:val="0"/>
          <w:numId w:val="31"/>
        </w:numPr>
        <w:jc w:val="left"/>
        <w:spacing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乙方不能交货（逾期超过十五天视为不能交货），或交货不合格或未按要求进行售后服务的，甲方有权要求乙方赔偿损失，并追究乙方合同总标的额百分之二十的违约金，且甲方有权解除合同。</w:t>
      </w:r>
      <w:r>
        <w:rPr>
          <w:color w:val="auto"/>
          <w:highlight w:val="none"/>
        </w:rPr>
      </w:r>
      <w:r/>
    </w:p>
    <w:p>
      <w:pPr>
        <w:numPr>
          <w:ilvl w:val="0"/>
          <w:numId w:val="31"/>
        </w:numPr>
        <w:jc w:val="left"/>
        <w:spacing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乙方逾期交货的，应在发货前与甲方和采购管理部门协商，甲方</w:t>
      </w:r>
      <w:r>
        <w:rPr>
          <w:rFonts w:hint="eastAsia" w:ascii="宋体" w:hAnsi="宋体" w:cs="宋体"/>
          <w:color w:val="auto"/>
          <w:sz w:val="24"/>
          <w:szCs w:val="24"/>
          <w:highlight w:val="none"/>
        </w:rPr>
        <w:t xml:space="preserve">仍需求</w:t>
      </w:r>
      <w:r>
        <w:rPr>
          <w:rFonts w:hint="eastAsia" w:ascii="宋体" w:hAnsi="宋体" w:cs="宋体"/>
          <w:color w:val="auto"/>
          <w:sz w:val="24"/>
          <w:szCs w:val="24"/>
          <w:highlight w:val="none"/>
        </w:rPr>
        <w:t xml:space="preserve">的，乙方应立即发货并应按照逾期交货部分货款的每天千分之五支付逾期交货违约金，同时承担甲方因此遭致的损失费用。</w:t>
      </w:r>
      <w:r>
        <w:rPr>
          <w:color w:val="auto"/>
          <w:highlight w:val="none"/>
        </w:rPr>
      </w:r>
      <w:r/>
    </w:p>
    <w:p>
      <w:pPr>
        <w:numPr>
          <w:ilvl w:val="0"/>
          <w:numId w:val="31"/>
        </w:numPr>
        <w:jc w:val="left"/>
        <w:spacing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政府采购合同的部分和全部都不得转让、分包，否则甲方有权要求乙方赔偿损失，并追究乙方合同总标的额百分之二十的违约金，且甲方有权解除合同。</w:t>
      </w:r>
      <w:r>
        <w:rPr>
          <w:color w:val="auto"/>
          <w:highlight w:val="none"/>
        </w:rPr>
      </w:r>
      <w:r/>
    </w:p>
    <w:p>
      <w:pPr>
        <w:numPr>
          <w:ilvl w:val="0"/>
          <w:numId w:val="31"/>
        </w:numPr>
        <w:jc w:val="left"/>
        <w:spacing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若乙方未遵守保密义务，出现泄漏甲方或第三方秘密的情形，甲方有权要求乙方赔偿损</w:t>
      </w:r>
      <w:r>
        <w:rPr>
          <w:rFonts w:hint="eastAsia" w:ascii="宋体" w:hAnsi="宋体" w:cs="宋体"/>
          <w:color w:val="auto"/>
          <w:sz w:val="24"/>
          <w:szCs w:val="24"/>
          <w:highlight w:val="none"/>
        </w:rPr>
        <w:t xml:space="preserve">失，并追究乙方合同总标的额百分之二十的违约金，且甲方有权解除合同。情节严重涉及违法犯罪的，依法移交司法机关处理。</w:t>
      </w:r>
      <w:r>
        <w:rPr>
          <w:color w:val="auto"/>
          <w:highlight w:val="none"/>
        </w:rPr>
      </w:r>
      <w:r/>
    </w:p>
    <w:p>
      <w:pPr>
        <w:numPr>
          <w:ilvl w:val="0"/>
          <w:numId w:val="31"/>
        </w:numPr>
        <w:jc w:val="left"/>
        <w:spacing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若因乙方侵犯第三方知识产权，发生第三方诉讼、社会舆论或甲方信誉受损等情形，甲方有权要求乙方赔偿损失，并追究乙方合同总标的额百分之二十的违约金，且甲方有权解除合同，情节严重的涉及违法犯罪的，依法移送司法机关处理。</w:t>
      </w:r>
      <w:r>
        <w:rPr>
          <w:color w:val="auto"/>
          <w:highlight w:val="none"/>
        </w:rPr>
      </w:r>
      <w:r/>
    </w:p>
    <w:p>
      <w:pPr>
        <w:numPr>
          <w:ilvl w:val="0"/>
          <w:numId w:val="31"/>
        </w:numPr>
        <w:jc w:val="left"/>
        <w:spacing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乙方在服务期内，若受到市场监督管理部门、生态环境主管部门以及行业协会通报批评或行政处罚的，甲方有权利视情况终止合同，并要求乙方赔偿甲方因此所遭受的损失。</w:t>
      </w:r>
      <w:r>
        <w:rPr>
          <w:color w:val="auto"/>
          <w:highlight w:val="none"/>
        </w:rPr>
      </w:r>
      <w:r/>
    </w:p>
    <w:p>
      <w:pPr>
        <w:numPr>
          <w:ilvl w:val="0"/>
          <w:numId w:val="31"/>
        </w:numPr>
        <w:jc w:val="left"/>
        <w:spacing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除违约金外，以上赔偿范围包括但不限于造成的甲方直接损失以及甲方因此合理维权而发生的差旅费、调查取证费、律师费、诉讼费、仲裁费、公告费、鉴定费、保全费、担保费用等。</w:t>
      </w:r>
      <w:r>
        <w:rPr>
          <w:color w:val="auto"/>
          <w:highlight w:val="none"/>
        </w:rPr>
      </w:r>
      <w:r/>
    </w:p>
    <w:p>
      <w:pPr>
        <w:ind w:left="420"/>
        <w:jc w:val="left"/>
        <w:spacing w:after="0"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十、不可抗力</w:t>
      </w:r>
      <w:r>
        <w:rPr>
          <w:color w:val="auto"/>
          <w:highlight w:val="none"/>
        </w:rPr>
      </w:r>
      <w:r/>
    </w:p>
    <w:p>
      <w:pPr>
        <w:numPr>
          <w:ilvl w:val="0"/>
          <w:numId w:val="32"/>
        </w:numPr>
        <w:jc w:val="left"/>
        <w:spacing w:after="0"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合同一方因不可抗力（或甲、乙双方不能控制的原因）不能履行合同的，根据不可抗力的影响，部分或者全部免除责任。但合同一方迟延履行后发生不可抗力的，不能免除责任。</w:t>
      </w:r>
      <w:r>
        <w:rPr>
          <w:color w:val="auto"/>
          <w:highlight w:val="none"/>
        </w:rPr>
      </w:r>
      <w:r/>
    </w:p>
    <w:p>
      <w:pPr>
        <w:numPr>
          <w:ilvl w:val="0"/>
          <w:numId w:val="32"/>
        </w:numPr>
        <w:jc w:val="left"/>
        <w:spacing w:after="0"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合同一方因不可抗力不能履行合同的，应当自不可抗力发生后3日内通知对方，以减轻可能给对方造成的损失，并应当在发出不可抗力通知后30日内提供书面证明。</w:t>
      </w:r>
      <w:r>
        <w:rPr>
          <w:color w:val="auto"/>
          <w:highlight w:val="none"/>
        </w:rPr>
      </w:r>
      <w:r/>
    </w:p>
    <w:p>
      <w:pPr>
        <w:ind w:left="420"/>
        <w:jc w:val="left"/>
        <w:spacing w:after="0"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十一、合同的解除和转让</w:t>
      </w:r>
      <w:r>
        <w:rPr>
          <w:color w:val="auto"/>
          <w:highlight w:val="none"/>
        </w:rPr>
      </w:r>
      <w:r/>
    </w:p>
    <w:p>
      <w:pPr>
        <w:numPr>
          <w:ilvl w:val="0"/>
          <w:numId w:val="33"/>
        </w:numPr>
        <w:jc w:val="left"/>
        <w:spacing w:after="0"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合同的解除</w:t>
      </w:r>
      <w:r>
        <w:rPr>
          <w:color w:val="auto"/>
          <w:highlight w:val="none"/>
        </w:rPr>
      </w:r>
      <w:r/>
    </w:p>
    <w:p>
      <w:pPr>
        <w:ind w:firstLine="480"/>
        <w:jc w:val="left"/>
        <w:spacing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（1）甲乙双方协商一致，可以解除本合同。</w:t>
      </w:r>
      <w:r>
        <w:rPr>
          <w:color w:val="auto"/>
          <w:highlight w:val="none"/>
        </w:rPr>
      </w:r>
      <w:r/>
    </w:p>
    <w:p>
      <w:pPr>
        <w:ind w:firstLine="480"/>
        <w:jc w:val="left"/>
        <w:spacing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（2）有下列情形之一，合同一方可以解除合同：</w:t>
      </w:r>
      <w:r>
        <w:rPr>
          <w:color w:val="auto"/>
          <w:highlight w:val="none"/>
        </w:rPr>
      </w:r>
      <w:r/>
    </w:p>
    <w:p>
      <w:pPr>
        <w:ind w:firstLine="480"/>
        <w:jc w:val="left"/>
        <w:spacing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①因不可抗力致使不能实现合同目的，未受不可抗力影响的一方有权解除合同；</w:t>
      </w:r>
      <w:r>
        <w:rPr>
          <w:color w:val="auto"/>
          <w:highlight w:val="none"/>
        </w:rPr>
      </w:r>
      <w:r/>
    </w:p>
    <w:p>
      <w:pPr>
        <w:ind w:firstLine="480"/>
        <w:jc w:val="left"/>
        <w:spacing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②因合同一方违约导致合同不能履行，另一方有权解除合同。</w:t>
      </w:r>
      <w:r>
        <w:rPr>
          <w:color w:val="auto"/>
          <w:highlight w:val="none"/>
        </w:rPr>
      </w:r>
      <w:r/>
    </w:p>
    <w:p>
      <w:pPr>
        <w:ind w:firstLine="480"/>
        <w:jc w:val="left"/>
        <w:spacing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（3）有权解除合同的一方，应当在违约事实或不可抗力发生之后三十天内书面通知对方以主张解除合同，合同在书面通知到达对方时解除。</w:t>
      </w:r>
      <w:r>
        <w:rPr>
          <w:color w:val="auto"/>
          <w:highlight w:val="none"/>
        </w:rPr>
      </w:r>
      <w:r/>
    </w:p>
    <w:p>
      <w:pPr>
        <w:numPr>
          <w:ilvl w:val="0"/>
          <w:numId w:val="33"/>
        </w:numPr>
        <w:jc w:val="left"/>
        <w:spacing w:after="0"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合同的转让：未经甲方书面同意，乙方不得转让本合同全部或部分权利与义务。</w:t>
      </w:r>
      <w:r>
        <w:rPr>
          <w:color w:val="auto"/>
          <w:highlight w:val="none"/>
        </w:rPr>
      </w:r>
      <w:r/>
    </w:p>
    <w:p>
      <w:pPr>
        <w:ind w:left="420"/>
        <w:jc w:val="left"/>
        <w:spacing w:after="0"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十二、合同的生效</w:t>
      </w:r>
      <w:r>
        <w:rPr>
          <w:color w:val="auto"/>
          <w:highlight w:val="none"/>
        </w:rPr>
      </w:r>
      <w:r/>
    </w:p>
    <w:p>
      <w:pPr>
        <w:numPr>
          <w:ilvl w:val="0"/>
          <w:numId w:val="34"/>
        </w:numPr>
        <w:jc w:val="left"/>
        <w:spacing w:after="0"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本合同经甲乙双方法定代表人或授权代表人签字盖章（公章或合同章）后生效，生效后的合同需进行网上公示。</w:t>
      </w:r>
      <w:r>
        <w:rPr>
          <w:color w:val="auto"/>
          <w:highlight w:val="none"/>
        </w:rPr>
      </w:r>
      <w:r/>
    </w:p>
    <w:p>
      <w:pPr>
        <w:ind w:left="420"/>
        <w:jc w:val="left"/>
        <w:spacing w:after="0"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十三、争议解决</w:t>
      </w:r>
      <w:r>
        <w:rPr>
          <w:color w:val="auto"/>
          <w:highlight w:val="none"/>
        </w:rPr>
      </w:r>
      <w:r/>
    </w:p>
    <w:p>
      <w:pPr>
        <w:numPr>
          <w:ilvl w:val="0"/>
          <w:numId w:val="35"/>
        </w:numPr>
        <w:jc w:val="left"/>
        <w:spacing w:after="0"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甲乙双方因履行本合同或与本合同相关的一切事项发生争议，应首先友好协商解决。协商不成的，任何一方有权向甲方所在地人民法院起诉。</w:t>
      </w:r>
      <w:r>
        <w:rPr>
          <w:color w:val="auto"/>
          <w:highlight w:val="none"/>
        </w:rPr>
      </w:r>
      <w:r/>
    </w:p>
    <w:p>
      <w:pPr>
        <w:ind w:left="420"/>
        <w:jc w:val="left"/>
        <w:spacing w:after="0"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十四、其他</w:t>
      </w:r>
      <w:r>
        <w:rPr>
          <w:color w:val="auto"/>
          <w:highlight w:val="none"/>
        </w:rPr>
      </w:r>
      <w:r/>
    </w:p>
    <w:p>
      <w:pPr>
        <w:numPr>
          <w:ilvl w:val="0"/>
          <w:numId w:val="36"/>
        </w:numPr>
        <w:jc w:val="left"/>
        <w:spacing w:after="0"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合同份数：本合同一式肆份，甲乙双方各执壹份，招标代理机构壹份，采购监督管理部门壹份，肆份具有同等法律效力。</w:t>
      </w:r>
      <w:r>
        <w:rPr>
          <w:color w:val="auto"/>
          <w:highlight w:val="none"/>
        </w:rPr>
      </w:r>
      <w:r/>
    </w:p>
    <w:p>
      <w:pPr>
        <w:numPr>
          <w:ilvl w:val="0"/>
          <w:numId w:val="36"/>
        </w:numPr>
        <w:jc w:val="left"/>
        <w:spacing w:after="0"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本合同未尽事宜应按《中华人民共和国民法典》《中华人民共和国政府采购法》以及其他相关法律、法规之规定解释，在执行过程中双方在不违背本合同和采购文件的原则下协商解决，协商结果以书面形式盖章记录在案，作为本合同的附件，与本合同具有同等法律效力，但须提交招标代理机构壹份备存。</w:t>
      </w:r>
      <w:r>
        <w:rPr>
          <w:color w:val="auto"/>
          <w:highlight w:val="none"/>
        </w:rPr>
      </w:r>
      <w:r/>
    </w:p>
    <w:p>
      <w:pPr>
        <w:numPr>
          <w:ilvl w:val="0"/>
          <w:numId w:val="36"/>
        </w:numPr>
        <w:jc w:val="left"/>
        <w:spacing w:after="0"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乙方所确认的联系人、联系方式及法律文书送达地址（本合同首部所载明的地址），如发生变更的，应当于变更之日起3日内书面通知甲方，未通知的由乙方自行承担送达不能等一切不利后果。</w:t>
      </w:r>
      <w:r>
        <w:rPr>
          <w:color w:val="auto"/>
          <w:highlight w:val="none"/>
        </w:rPr>
      </w:r>
      <w:r/>
    </w:p>
    <w:p>
      <w:pPr>
        <w:spacing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备注：合同条款内容将根据乙方承诺的实际服务内容进行调整。</w:t>
      </w:r>
      <w:r>
        <w:rPr>
          <w:color w:val="auto"/>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（以下无正文）</w:t>
      </w:r>
      <w:r>
        <w:rPr>
          <w:color w:val="auto"/>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p>
      <w:pPr>
        <w:jc w:val="left"/>
        <w:rPr>
          <w:rFonts w:ascii="宋体" w:hAnsi="宋体" w:cs="宋体"/>
          <w:color w:val="auto"/>
          <w:sz w:val="24"/>
          <w:szCs w:val="24"/>
          <w:highlight w:val="none"/>
        </w:rPr>
      </w:pPr>
      <w:r>
        <w:rPr>
          <w:rFonts w:hint="eastAsia" w:ascii="宋体" w:hAnsi="宋体" w:cs="宋体"/>
          <w:color w:val="auto"/>
          <w:sz w:val="24"/>
          <w:szCs w:val="24"/>
          <w:highlight w:val="none"/>
          <w:lang w:val="zh-CN" w:bidi="zh-CN"/>
        </w:rPr>
        <w:t xml:space="preserve">甲方：                                乙方：                    </w:t>
      </w:r>
      <w:r>
        <w:rPr>
          <w:color w:val="auto"/>
          <w:highlight w:val="none"/>
        </w:rPr>
      </w:r>
      <w:r/>
    </w:p>
    <w:p>
      <w:pPr>
        <w:jc w:val="lef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p>
      <w:pPr>
        <w:jc w:val="left"/>
        <w:rPr>
          <w:rFonts w:ascii="宋体" w:hAnsi="宋体" w:cs="宋体"/>
          <w:color w:val="auto"/>
          <w:sz w:val="24"/>
          <w:szCs w:val="24"/>
          <w:highlight w:val="none"/>
        </w:rPr>
      </w:pPr>
      <w:r>
        <w:rPr>
          <w:rFonts w:hint="eastAsia" w:ascii="宋体" w:hAnsi="宋体" w:cs="宋体"/>
          <w:color w:val="auto"/>
          <w:sz w:val="24"/>
          <w:szCs w:val="24"/>
          <w:highlight w:val="none"/>
          <w:lang w:val="zh-CN" w:bidi="zh-CN"/>
        </w:rPr>
        <w:t xml:space="preserve">法定代表人（授权代表）：              法定代表人（授权代表）：  </w:t>
      </w:r>
      <w:r>
        <w:rPr>
          <w:color w:val="auto"/>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p>
      <w:pPr>
        <w:rPr>
          <w:rFonts w:ascii="宋体" w:hAnsi="宋体" w:cs="宋体"/>
          <w:color w:val="auto"/>
          <w:sz w:val="24"/>
          <w:szCs w:val="20"/>
          <w:highlight w:val="none"/>
        </w:rPr>
      </w:pPr>
      <w:r>
        <w:rPr>
          <w:rFonts w:hint="eastAsia" w:ascii="宋体" w:hAnsi="宋体" w:cs="宋体"/>
          <w:color w:val="auto"/>
          <w:sz w:val="24"/>
          <w:szCs w:val="24"/>
          <w:highlight w:val="none"/>
          <w:lang w:val="zh-CN" w:bidi="zh-CN"/>
        </w:rPr>
        <w:t xml:space="preserve">签约日期：                            签约日期：       </w:t>
      </w:r>
      <w:r>
        <w:rPr>
          <w:color w:val="auto"/>
          <w:highlight w:val="none"/>
        </w:rPr>
      </w:r>
      <w:r/>
    </w:p>
    <w:p>
      <w:pPr>
        <w:rPr>
          <w:rFonts w:ascii="宋体" w:hAnsi="宋体" w:cs="宋体"/>
          <w:color w:val="auto"/>
          <w:sz w:val="24"/>
          <w:szCs w:val="20"/>
          <w:highlight w:val="none"/>
        </w:rPr>
      </w:pPr>
      <w:r>
        <w:rPr>
          <w:rFonts w:ascii="宋体" w:hAnsi="宋体" w:cs="宋体"/>
          <w:color w:val="auto"/>
          <w:sz w:val="24"/>
          <w:szCs w:val="20"/>
          <w:highlight w:val="none"/>
        </w:rPr>
      </w:r>
      <w:r>
        <w:rPr>
          <w:color w:val="auto"/>
          <w:highlight w:val="none"/>
        </w:rPr>
      </w:r>
      <w:r/>
    </w:p>
    <w:p>
      <w:pPr>
        <w:spacing w:line="288" w:lineRule="auto"/>
        <w:tabs>
          <w:tab w:val="left" w:pos="0" w:leader="none"/>
        </w:tabs>
        <w:rPr>
          <w:rFonts w:ascii="宋体" w:hAnsi="宋体"/>
          <w:color w:val="auto"/>
          <w:highlight w:val="none"/>
        </w:rPr>
      </w:pPr>
      <w:r>
        <w:rPr>
          <w:rFonts w:ascii="宋体" w:hAnsi="宋体"/>
          <w:color w:val="auto"/>
          <w:highlight w:val="none"/>
        </w:rPr>
      </w:r>
      <w:r>
        <w:rPr>
          <w:color w:val="auto"/>
          <w:highlight w:val="none"/>
        </w:rPr>
      </w:r>
      <w:r/>
    </w:p>
    <w:p>
      <w:pPr>
        <w:jc w:val="center"/>
        <w:spacing w:after="120" w:line="360" w:lineRule="auto"/>
        <w:rPr>
          <w:rFonts w:ascii="Times New Roman" w:hAnsi="Times New Roman"/>
          <w:b/>
          <w:bCs/>
          <w:color w:val="auto"/>
          <w:sz w:val="20"/>
          <w:szCs w:val="21"/>
          <w:highlight w:val="none"/>
        </w:rPr>
      </w:pPr>
      <w:r>
        <w:rPr>
          <w:rFonts w:ascii="宋体" w:hAnsi="宋体" w:cs="宋体"/>
          <w:b/>
          <w:bCs/>
          <w:color w:val="auto"/>
          <w:sz w:val="32"/>
          <w:szCs w:val="32"/>
          <w:highlight w:val="none"/>
        </w:rPr>
        <w:br w:type="page" w:clear="all"/>
      </w:r>
      <w:r>
        <w:rPr>
          <w:rFonts w:hint="eastAsia" w:ascii="宋体" w:hAnsi="宋体" w:cs="宋体"/>
          <w:b/>
          <w:bCs/>
          <w:color w:val="auto"/>
          <w:sz w:val="32"/>
          <w:szCs w:val="32"/>
          <w:highlight w:val="none"/>
          <w:lang w:val="zh-CN"/>
        </w:rPr>
        <w:t xml:space="preserve">第六章 评标方法、评分标准</w:t>
      </w:r>
      <w:r>
        <w:rPr>
          <w:color w:val="auto"/>
          <w:highlight w:val="none"/>
        </w:rPr>
      </w:r>
      <w:r/>
    </w:p>
    <w:p>
      <w:pPr>
        <w:spacing w:after="0" w:line="440" w:lineRule="exact"/>
        <w:rPr>
          <w:rFonts w:ascii="宋体" w:hAnsi="宋体" w:cs="宋体"/>
          <w:b/>
          <w:color w:val="auto"/>
          <w:sz w:val="24"/>
          <w:szCs w:val="24"/>
          <w:highlight w:val="none"/>
        </w:rPr>
      </w:pPr>
      <w:r>
        <w:rPr>
          <w:rFonts w:hint="eastAsia" w:ascii="宋体" w:hAnsi="宋体" w:cs="宋体"/>
          <w:b/>
          <w:color w:val="auto"/>
          <w:sz w:val="24"/>
          <w:highlight w:val="none"/>
        </w:rPr>
        <w:t xml:space="preserve">一、评标办法：</w:t>
      </w:r>
      <w:r>
        <w:rPr>
          <w:color w:val="auto"/>
          <w:highlight w:val="none"/>
        </w:rPr>
      </w:r>
      <w:r/>
    </w:p>
    <w:p>
      <w:pPr>
        <w:spacing w:after="0" w:line="440" w:lineRule="exact"/>
        <w:rPr>
          <w:rFonts w:ascii="宋体" w:hAnsi="宋体" w:cs="宋体"/>
          <w:color w:val="auto"/>
          <w:sz w:val="24"/>
          <w:highlight w:val="none"/>
        </w:rPr>
      </w:pPr>
      <w:r>
        <w:rPr>
          <w:rFonts w:hint="eastAsia" w:ascii="宋体" w:hAnsi="宋体" w:cs="宋体"/>
          <w:color w:val="auto"/>
          <w:sz w:val="24"/>
          <w:highlight w:val="none"/>
        </w:rPr>
        <w:t xml:space="preserve">1、评标方法采用综合评分法。即在满足招标文件实质性要求前提下，按照招标文件中规定的各项因素进行综合评审。评审因素及各比重根据具体评分内容为准。</w:t>
      </w:r>
      <w:r>
        <w:rPr>
          <w:color w:val="auto"/>
          <w:highlight w:val="none"/>
        </w:rPr>
      </w:r>
      <w:r/>
    </w:p>
    <w:p>
      <w:pPr>
        <w:spacing w:after="0" w:line="440" w:lineRule="exact"/>
        <w:rPr>
          <w:rFonts w:ascii="宋体" w:hAnsi="宋体" w:cs="宋体"/>
          <w:color w:val="auto"/>
          <w:sz w:val="24"/>
          <w:highlight w:val="none"/>
        </w:rPr>
      </w:pPr>
      <w:r>
        <w:rPr>
          <w:rFonts w:hint="eastAsia" w:ascii="宋体" w:hAnsi="宋体" w:cs="宋体"/>
          <w:color w:val="auto"/>
          <w:sz w:val="24"/>
          <w:highlight w:val="none"/>
        </w:rPr>
        <w:t xml:space="preserve">2、综合评分的主要因素为：价格、产品质量、售后服务、公司评价等对招标文件的响应程度，以及相应的商务标和技术标比重或者分值等。</w:t>
      </w:r>
      <w:r>
        <w:rPr>
          <w:color w:val="auto"/>
          <w:highlight w:val="none"/>
        </w:rPr>
      </w:r>
      <w:r/>
    </w:p>
    <w:p>
      <w:pPr>
        <w:spacing w:after="0" w:line="440" w:lineRule="exact"/>
        <w:rPr>
          <w:rFonts w:ascii="宋体" w:hAnsi="宋体" w:cs="宋体"/>
          <w:color w:val="auto"/>
          <w:sz w:val="24"/>
          <w:highlight w:val="none"/>
        </w:rPr>
      </w:pPr>
      <w:r>
        <w:rPr>
          <w:rFonts w:hint="eastAsia" w:ascii="宋体" w:hAnsi="宋体" w:cs="宋体"/>
          <w:color w:val="auto"/>
          <w:sz w:val="24"/>
          <w:highlight w:val="none"/>
        </w:rPr>
        <w:t xml:space="preserve">3、评标时，评标委员会分别对每个有效投标人的投标书（报价除外）进行评价、打分，按算术平均方法计算出每个投标人的得分；对评委的评分（除价格分外）进行统计汇总。</w:t>
      </w:r>
      <w:r>
        <w:rPr>
          <w:color w:val="auto"/>
          <w:highlight w:val="none"/>
        </w:rPr>
      </w:r>
      <w:r/>
    </w:p>
    <w:p>
      <w:pPr>
        <w:spacing w:after="0" w:line="440" w:lineRule="exact"/>
        <w:rPr>
          <w:rFonts w:ascii="宋体" w:hAnsi="宋体" w:cs="宋体"/>
          <w:color w:val="auto"/>
          <w:sz w:val="24"/>
          <w:highlight w:val="none"/>
        </w:rPr>
      </w:pPr>
      <w:r>
        <w:rPr>
          <w:rFonts w:hint="eastAsia" w:ascii="宋体" w:hAnsi="宋体" w:cs="宋体"/>
          <w:color w:val="auto"/>
          <w:sz w:val="24"/>
          <w:highlight w:val="none"/>
        </w:rPr>
        <w:t xml:space="preserve">报价得分直接计算取得，二者相加为投标人的总得分。</w:t>
      </w:r>
      <w:r>
        <w:rPr>
          <w:color w:val="auto"/>
          <w:highlight w:val="none"/>
        </w:rPr>
      </w:r>
      <w:r/>
    </w:p>
    <w:p>
      <w:pPr>
        <w:spacing w:after="0" w:line="440" w:lineRule="exact"/>
        <w:rPr>
          <w:rFonts w:ascii="宋体" w:hAnsi="宋体" w:cs="宋体"/>
          <w:color w:val="auto"/>
          <w:sz w:val="24"/>
          <w:highlight w:val="none"/>
        </w:rPr>
      </w:pPr>
      <w:r>
        <w:rPr>
          <w:rFonts w:hint="eastAsia" w:ascii="宋体" w:hAnsi="宋体" w:cs="宋体"/>
          <w:color w:val="auto"/>
          <w:sz w:val="24"/>
          <w:highlight w:val="none"/>
        </w:rPr>
        <w:t xml:space="preserve">4、中标原则：</w:t>
      </w:r>
      <w:bookmarkStart w:id="30" w:name="_Hlk60030734"/>
      <w:r>
        <w:rPr>
          <w:color w:val="auto"/>
          <w:highlight w:val="none"/>
        </w:rPr>
      </w:r>
      <w:bookmarkStart w:id="31" w:name="_Hlk60131119"/>
      <w:r>
        <w:rPr>
          <w:rFonts w:hint="eastAsia" w:ascii="宋体" w:hAnsi="宋体" w:cs="宋体"/>
          <w:color w:val="auto"/>
          <w:sz w:val="24"/>
          <w:highlight w:val="none"/>
        </w:rPr>
        <w:t xml:space="preserve">■根据委托代理协议内容，由采购人授权评审小组直接确定中标供应商。</w:t>
      </w:r>
      <w:r>
        <w:rPr>
          <w:rFonts w:hint="eastAsia" w:ascii="宋体" w:hAnsi="宋体" w:cs="宋体"/>
          <w:b/>
          <w:color w:val="auto"/>
          <w:sz w:val="24"/>
          <w:highlight w:val="none"/>
        </w:rPr>
        <w:t xml:space="preserve">本项目投标人的中标标段数为一个标段</w:t>
      </w:r>
      <w:r>
        <w:rPr>
          <w:rFonts w:hint="eastAsia" w:ascii="宋体" w:hAnsi="宋体" w:cs="宋体"/>
          <w:color w:val="auto"/>
          <w:sz w:val="24"/>
          <w:highlight w:val="none"/>
        </w:rPr>
        <w:t xml:space="preserve">。本项目根据评审，综合评审得分最高的作为本项目中标供应商。</w:t>
      </w:r>
      <w:r>
        <w:rPr>
          <w:color w:val="auto"/>
          <w:highlight w:val="none"/>
        </w:rPr>
      </w:r>
      <w:r/>
    </w:p>
    <w:p>
      <w:pPr>
        <w:spacing w:after="0" w:line="440" w:lineRule="exact"/>
        <w:tabs>
          <w:tab w:val="left" w:pos="851" w:leader="none"/>
        </w:tabs>
        <w:rPr>
          <w:rFonts w:ascii="宋体" w:hAnsi="宋体" w:cs="宋体"/>
          <w:bCs/>
          <w:color w:val="auto"/>
          <w:sz w:val="24"/>
          <w:szCs w:val="24"/>
          <w:highlight w:val="none"/>
        </w:rPr>
      </w:pPr>
      <w:r>
        <w:rPr>
          <w:rFonts w:ascii="宋体" w:hAnsi="宋体" w:cs="宋体"/>
          <w:bCs/>
          <w:color w:val="auto"/>
          <w:sz w:val="24"/>
          <w:szCs w:val="24"/>
          <w:highlight w:val="none"/>
        </w:rPr>
        <w:t xml:space="preserve">5</w:t>
      </w:r>
      <w:r>
        <w:rPr>
          <w:rFonts w:hint="eastAsia" w:ascii="宋体" w:hAnsi="宋体" w:cs="宋体"/>
          <w:bCs/>
          <w:color w:val="auto"/>
          <w:sz w:val="24"/>
          <w:szCs w:val="24"/>
          <w:highlight w:val="none"/>
        </w:rPr>
        <w:t xml:space="preserve">、针对中小企业、监狱企业、残疾人企业的评审：</w:t>
      </w:r>
      <w:r>
        <w:rPr>
          <w:color w:val="auto"/>
          <w:highlight w:val="none"/>
        </w:rPr>
      </w:r>
      <w:r/>
    </w:p>
    <w:p>
      <w:pPr>
        <w:spacing w:after="0" w:line="440" w:lineRule="exact"/>
        <w:tabs>
          <w:tab w:val="left" w:pos="851"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根据《政府采购促进中小企业发展管理办法》、《关于促进残疾人就业政府采购政策的通知》（财库〔2017〕141号）、《关于政府采购支持监狱企业发展有关问题的通知》（财库〔2014〕68号）及《关于进一步加大政府采购支持中小企业力度的通知》 （财库〔2022〕19号）等文件的精神，</w:t>
      </w:r>
      <w:r>
        <w:rPr>
          <w:rFonts w:hint="eastAsia" w:ascii="宋体" w:hAnsi="宋体" w:cs="宋体"/>
          <w:b/>
          <w:color w:val="auto"/>
          <w:sz w:val="24"/>
          <w:szCs w:val="24"/>
          <w:highlight w:val="none"/>
        </w:rPr>
        <w:t xml:space="preserve">因本项目为专门面向中小企业采购的项目，不再执行价格评审优惠的扶持政策。</w:t>
      </w:r>
      <w:r>
        <w:rPr>
          <w:rFonts w:hint="eastAsia" w:ascii="宋体" w:hAnsi="宋体" w:cs="宋体"/>
          <w:bCs/>
          <w:color w:val="auto"/>
          <w:sz w:val="24"/>
          <w:szCs w:val="24"/>
          <w:highlight w:val="none"/>
        </w:rPr>
        <w:t xml:space="preserve">供应商必须提供《中小企业声明函》；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政府采购法》第七十七条第一款的规定追究法律责任。在投标文件中未提供相关材料、资料的，不享受评审优惠政策。</w:t>
      </w:r>
      <w:r>
        <w:rPr>
          <w:color w:val="auto"/>
          <w:highlight w:val="none"/>
        </w:rPr>
      </w:r>
      <w:r/>
    </w:p>
    <w:p>
      <w:pPr>
        <w:spacing w:after="0" w:line="440" w:lineRule="exact"/>
        <w:tabs>
          <w:tab w:val="left" w:pos="851"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依据《政府采购促进中小企业发展管理办法》规定享受扶持政策获得政府采购合同的，小</w:t>
      </w:r>
      <w:r>
        <w:rPr>
          <w:rFonts w:hint="eastAsia" w:ascii="宋体" w:hAnsi="宋体" w:cs="宋体"/>
          <w:bCs/>
          <w:color w:val="auto"/>
          <w:sz w:val="24"/>
          <w:szCs w:val="24"/>
          <w:highlight w:val="none"/>
        </w:rPr>
        <w:t xml:space="preserve">微企业</w:t>
      </w:r>
      <w:r>
        <w:rPr>
          <w:rFonts w:hint="eastAsia" w:ascii="宋体" w:hAnsi="宋体" w:cs="宋体"/>
          <w:bCs/>
          <w:color w:val="auto"/>
          <w:sz w:val="24"/>
          <w:szCs w:val="24"/>
          <w:highlight w:val="none"/>
        </w:rPr>
        <w:t xml:space="preserve">不得将合同分包给大中型企业，中型企业不得将合同分包给大型企业。</w:t>
      </w:r>
      <w:r>
        <w:rPr>
          <w:color w:val="auto"/>
          <w:highlight w:val="none"/>
        </w:rPr>
      </w:r>
      <w:r/>
    </w:p>
    <w:p>
      <w:pPr>
        <w:spacing w:after="0" w:line="440" w:lineRule="exact"/>
        <w:tabs>
          <w:tab w:val="left" w:pos="851" w:leader="none"/>
        </w:tabs>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二、异常低价响应审查</w:t>
      </w:r>
      <w:r>
        <w:rPr>
          <w:color w:val="auto"/>
          <w:highlight w:val="none"/>
        </w:rPr>
      </w:r>
      <w:r/>
    </w:p>
    <w:p>
      <w:pPr>
        <w:spacing w:after="0" w:line="440" w:lineRule="exact"/>
        <w:tabs>
          <w:tab w:val="left" w:pos="851"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（一）政府采购评审中出现下列情形之一的，评审委员会应当启动异常低价投标（响应）审查程序：</w:t>
      </w:r>
      <w:r>
        <w:rPr>
          <w:color w:val="auto"/>
          <w:highlight w:val="none"/>
        </w:rPr>
      </w:r>
      <w:r/>
    </w:p>
    <w:p>
      <w:pPr>
        <w:spacing w:after="0" w:line="440" w:lineRule="exact"/>
        <w:tabs>
          <w:tab w:val="left" w:pos="851" w:leader="none"/>
        </w:tabs>
        <w:rPr>
          <w:rFonts w:ascii="宋体" w:hAnsi="宋体" w:cs="宋体"/>
          <w:bCs/>
          <w:color w:val="auto"/>
          <w:sz w:val="24"/>
          <w:szCs w:val="24"/>
          <w:highlight w:val="none"/>
        </w:rPr>
      </w:pPr>
      <w:r>
        <w:rPr>
          <w:rFonts w:ascii="宋体" w:hAnsi="宋体" w:cs="宋体"/>
          <w:bCs/>
          <w:color w:val="auto"/>
          <w:sz w:val="24"/>
          <w:szCs w:val="24"/>
          <w:highlight w:val="none"/>
        </w:rPr>
        <w:t xml:space="preserve">1.投标（响应）报价低于全部通过符合性审查供应商投标（响应）报价平均值50%的，即投标（响应）报价&lt;全部通过符合性审查供应商投标（响应）报价平均值×50%；</w:t>
      </w:r>
      <w:r>
        <w:rPr>
          <w:color w:val="auto"/>
          <w:highlight w:val="none"/>
        </w:rPr>
      </w:r>
      <w:r/>
    </w:p>
    <w:p>
      <w:pPr>
        <w:spacing w:after="0" w:line="440" w:lineRule="exact"/>
        <w:tabs>
          <w:tab w:val="left" w:pos="851" w:leader="none"/>
        </w:tabs>
        <w:rPr>
          <w:rFonts w:ascii="宋体" w:hAnsi="宋体" w:cs="宋体"/>
          <w:bCs/>
          <w:color w:val="auto"/>
          <w:sz w:val="24"/>
          <w:szCs w:val="24"/>
          <w:highlight w:val="none"/>
        </w:rPr>
      </w:pPr>
      <w:r>
        <w:rPr>
          <w:rFonts w:ascii="宋体" w:hAnsi="宋体" w:cs="宋体"/>
          <w:bCs/>
          <w:color w:val="auto"/>
          <w:sz w:val="24"/>
          <w:szCs w:val="24"/>
          <w:highlight w:val="none"/>
        </w:rPr>
        <w:t xml:space="preserve">2.投标（响应）报价低于通过符合性审查的次低报价供应商投标（响应）报价50%的，即投标（响应）报价&lt;通过符合性审查的次低报价供应商投标（响应）报价×50%；</w:t>
      </w:r>
      <w:r>
        <w:rPr>
          <w:color w:val="auto"/>
          <w:highlight w:val="none"/>
        </w:rPr>
      </w:r>
      <w:r/>
    </w:p>
    <w:p>
      <w:pPr>
        <w:spacing w:after="0" w:line="440" w:lineRule="exact"/>
        <w:tabs>
          <w:tab w:val="left" w:pos="851" w:leader="none"/>
        </w:tabs>
        <w:rPr>
          <w:rFonts w:ascii="宋体" w:hAnsi="宋体" w:cs="宋体"/>
          <w:bCs/>
          <w:color w:val="auto"/>
          <w:sz w:val="24"/>
          <w:szCs w:val="24"/>
          <w:highlight w:val="none"/>
        </w:rPr>
      </w:pPr>
      <w:r>
        <w:rPr>
          <w:rFonts w:ascii="宋体" w:hAnsi="宋体" w:cs="宋体"/>
          <w:bCs/>
          <w:color w:val="auto"/>
          <w:sz w:val="24"/>
          <w:szCs w:val="24"/>
          <w:highlight w:val="none"/>
        </w:rPr>
        <w:t xml:space="preserve">3.投标（响应）报价低于采购项目最高限价45%的，即投标（响应）报价&lt;采购项目最高限</w:t>
      </w:r>
      <w:r>
        <w:rPr>
          <w:rFonts w:ascii="宋体" w:hAnsi="宋体" w:cs="宋体"/>
          <w:bCs/>
          <w:color w:val="auto"/>
          <w:sz w:val="24"/>
          <w:szCs w:val="24"/>
          <w:highlight w:val="none"/>
        </w:rPr>
        <w:t xml:space="preserve">价×45%；</w:t>
      </w:r>
      <w:r>
        <w:rPr>
          <w:color w:val="auto"/>
          <w:highlight w:val="none"/>
        </w:rPr>
      </w:r>
      <w:r/>
    </w:p>
    <w:p>
      <w:pPr>
        <w:spacing w:after="0" w:line="440" w:lineRule="exact"/>
        <w:tabs>
          <w:tab w:val="left" w:pos="851"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4.评审委员会基于专业判断，认为供应商报价过低，有可能影响产品质量或者不能诚信履约的其他情形。</w:t>
      </w:r>
      <w:r>
        <w:rPr>
          <w:color w:val="auto"/>
          <w:highlight w:val="none"/>
        </w:rPr>
      </w:r>
      <w:r/>
    </w:p>
    <w:p>
      <w:pPr>
        <w:spacing w:after="0" w:line="440" w:lineRule="exact"/>
        <w:tabs>
          <w:tab w:val="left" w:pos="851"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（二）评审委员会启动异常低价投标（响应）审查后，属于前述第1项至第4项情形的，应当要求相关供应商在评审现场合理的时间内对投标（响应）价格</w:t>
      </w:r>
      <w:r>
        <w:rPr>
          <w:rFonts w:hint="eastAsia" w:ascii="宋体" w:hAnsi="宋体" w:cs="宋体"/>
          <w:bCs/>
          <w:color w:val="auto"/>
          <w:sz w:val="24"/>
          <w:szCs w:val="24"/>
          <w:highlight w:val="none"/>
        </w:rPr>
        <w:t xml:space="preserve">作出</w:t>
      </w:r>
      <w:r>
        <w:rPr>
          <w:rFonts w:hint="eastAsia" w:ascii="宋体" w:hAnsi="宋体" w:cs="宋体"/>
          <w:bCs/>
          <w:color w:val="auto"/>
          <w:sz w:val="24"/>
          <w:szCs w:val="24"/>
          <w:highlight w:val="none"/>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color w:val="auto"/>
          <w:highlight w:val="none"/>
        </w:rPr>
      </w:r>
      <w:r/>
    </w:p>
    <w:p>
      <w:pPr>
        <w:spacing w:after="0" w:line="440" w:lineRule="exact"/>
        <w:tabs>
          <w:tab w:val="left" w:pos="851"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color w:val="auto"/>
          <w:highlight w:val="none"/>
        </w:rPr>
      </w:r>
      <w:r/>
    </w:p>
    <w:p>
      <w:pPr>
        <w:spacing w:after="0" w:line="440" w:lineRule="exact"/>
        <w:tabs>
          <w:tab w:val="left" w:pos="851"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color w:val="auto"/>
          <w:highlight w:val="none"/>
        </w:rPr>
      </w:r>
      <w:r/>
    </w:p>
    <w:p>
      <w:pPr>
        <w:spacing w:after="0" w:line="440" w:lineRule="exact"/>
        <w:tabs>
          <w:tab w:val="left" w:pos="851"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color w:val="auto"/>
          <w:highlight w:val="none"/>
        </w:rPr>
      </w:r>
      <w:r/>
    </w:p>
    <w:p>
      <w:pPr>
        <w:spacing w:after="0" w:line="440" w:lineRule="exact"/>
        <w:tabs>
          <w:tab w:val="left" w:pos="851" w:leader="none"/>
        </w:tabs>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三、</w:t>
      </w:r>
      <w:r>
        <w:rPr>
          <w:rFonts w:hint="eastAsia" w:ascii="宋体" w:hAnsi="宋体" w:cs="宋体"/>
          <w:b/>
          <w:bCs/>
          <w:color w:val="auto"/>
          <w:sz w:val="24"/>
          <w:szCs w:val="24"/>
          <w:highlight w:val="none"/>
        </w:rPr>
        <w:t xml:space="preserve">评分标准：</w:t>
      </w:r>
      <w:bookmarkEnd w:id="30"/>
      <w:r>
        <w:rPr>
          <w:color w:val="auto"/>
          <w:highlight w:val="none"/>
        </w:rPr>
      </w:r>
      <w:bookmarkEnd w:id="31"/>
      <w:r>
        <w:rPr>
          <w:color w:val="auto"/>
          <w:highlight w:val="none"/>
        </w:rPr>
      </w:r>
      <w:r/>
    </w:p>
    <w:p>
      <w:pPr>
        <w:spacing w:after="0" w:line="440" w:lineRule="exact"/>
        <w:tabs>
          <w:tab w:val="left" w:pos="851" w:leader="none"/>
        </w:tabs>
        <w:rPr>
          <w:rFonts w:ascii="宋体" w:hAnsi="宋体" w:cs="宋体"/>
          <w:b/>
          <w:bCs/>
          <w:color w:val="auto"/>
          <w:sz w:val="24"/>
          <w:szCs w:val="24"/>
          <w:highlight w:val="none"/>
        </w:rPr>
      </w:pPr>
      <w:r>
        <w:rPr>
          <w:rFonts w:ascii="宋体" w:hAnsi="宋体" w:cs="宋体"/>
          <w:b/>
          <w:bCs/>
          <w:color w:val="auto"/>
          <w:sz w:val="24"/>
          <w:szCs w:val="24"/>
          <w:highlight w:val="none"/>
        </w:rPr>
        <w:t xml:space="preserve">（一）价格分（30分）</w:t>
      </w:r>
      <w:r>
        <w:rPr>
          <w:color w:val="auto"/>
          <w:highlight w:val="none"/>
        </w:rPr>
      </w:r>
      <w:r/>
    </w:p>
    <w:p>
      <w:pPr>
        <w:spacing w:after="0" w:line="440" w:lineRule="exact"/>
        <w:tabs>
          <w:tab w:val="left" w:pos="851" w:leader="none"/>
        </w:tabs>
        <w:rPr>
          <w:rFonts w:ascii="宋体" w:hAnsi="宋体" w:cs="宋体"/>
          <w:bCs/>
          <w:color w:val="auto"/>
          <w:sz w:val="24"/>
          <w:szCs w:val="24"/>
          <w:highlight w:val="none"/>
        </w:rPr>
      </w:pPr>
      <w:r>
        <w:rPr>
          <w:rFonts w:ascii="宋体" w:hAnsi="宋体" w:cs="宋体"/>
          <w:bCs/>
          <w:color w:val="auto"/>
          <w:sz w:val="24"/>
          <w:szCs w:val="24"/>
          <w:highlight w:val="none"/>
        </w:rPr>
        <w:t xml:space="preserve">1.投标报价不超过采购预算价格的，为有效投标报价。超出此范围的投标报价为无效投标报价。无效投标报价的投标文件不进行评审，也</w:t>
      </w:r>
      <w:r>
        <w:rPr>
          <w:rFonts w:ascii="宋体" w:hAnsi="宋体" w:cs="宋体"/>
          <w:bCs/>
          <w:color w:val="auto"/>
          <w:sz w:val="24"/>
          <w:szCs w:val="24"/>
          <w:highlight w:val="none"/>
        </w:rPr>
        <w:t xml:space="preserve">不</w:t>
      </w:r>
      <w:r>
        <w:rPr>
          <w:rFonts w:ascii="宋体" w:hAnsi="宋体" w:cs="宋体"/>
          <w:bCs/>
          <w:color w:val="auto"/>
          <w:sz w:val="24"/>
          <w:szCs w:val="24"/>
          <w:highlight w:val="none"/>
        </w:rPr>
        <w:t xml:space="preserve">得标。</w:t>
      </w:r>
      <w:r>
        <w:rPr>
          <w:color w:val="auto"/>
          <w:highlight w:val="none"/>
        </w:rPr>
      </w:r>
      <w:r/>
    </w:p>
    <w:p>
      <w:pPr>
        <w:spacing w:after="0" w:line="440" w:lineRule="exact"/>
        <w:tabs>
          <w:tab w:val="left" w:pos="851" w:leader="none"/>
        </w:tabs>
        <w:rPr>
          <w:rFonts w:ascii="宋体" w:hAnsi="宋体" w:cs="宋体"/>
          <w:bCs/>
          <w:color w:val="auto"/>
          <w:sz w:val="24"/>
          <w:szCs w:val="24"/>
          <w:highlight w:val="none"/>
        </w:rPr>
      </w:pPr>
      <w:r>
        <w:rPr>
          <w:rFonts w:ascii="宋体" w:hAnsi="宋体" w:cs="宋体"/>
          <w:bCs/>
          <w:color w:val="auto"/>
          <w:sz w:val="24"/>
          <w:szCs w:val="24"/>
          <w:highlight w:val="none"/>
        </w:rPr>
        <w:t xml:space="preserve">2.价格得分计算方法：根据各投标人通过符合性审查的有效投标报价中的最低价作为评标基准价，其价格分为最高分。</w:t>
      </w:r>
      <w:r>
        <w:rPr>
          <w:color w:val="auto"/>
          <w:highlight w:val="none"/>
        </w:rPr>
      </w:r>
      <w:r/>
    </w:p>
    <w:p>
      <w:pPr>
        <w:spacing w:after="0" w:line="440" w:lineRule="exact"/>
        <w:tabs>
          <w:tab w:val="left" w:pos="851" w:leader="none"/>
        </w:tabs>
        <w:rPr>
          <w:rFonts w:ascii="宋体" w:hAnsi="宋体" w:cs="宋体"/>
          <w:bCs/>
          <w:color w:val="auto"/>
          <w:sz w:val="24"/>
          <w:szCs w:val="24"/>
          <w:highlight w:val="none"/>
        </w:rPr>
      </w:pPr>
      <w:r>
        <w:rPr>
          <w:rFonts w:ascii="宋体" w:hAnsi="宋体" w:cs="宋体"/>
          <w:bCs/>
          <w:color w:val="auto"/>
          <w:sz w:val="24"/>
          <w:szCs w:val="24"/>
          <w:highlight w:val="none"/>
        </w:rPr>
        <w:t xml:space="preserve">3.其他投标人的价格</w:t>
      </w:r>
      <w:r>
        <w:rPr>
          <w:rFonts w:ascii="宋体" w:hAnsi="宋体" w:cs="宋体"/>
          <w:bCs/>
          <w:color w:val="auto"/>
          <w:sz w:val="24"/>
          <w:szCs w:val="24"/>
          <w:highlight w:val="none"/>
        </w:rPr>
        <w:t xml:space="preserve">分统一</w:t>
      </w:r>
      <w:r>
        <w:rPr>
          <w:rFonts w:ascii="宋体" w:hAnsi="宋体" w:cs="宋体"/>
          <w:bCs/>
          <w:color w:val="auto"/>
          <w:sz w:val="24"/>
          <w:szCs w:val="24"/>
          <w:highlight w:val="none"/>
        </w:rPr>
        <w:t xml:space="preserve">按照下列公式计算：</w:t>
      </w:r>
      <w:r>
        <w:rPr>
          <w:color w:val="auto"/>
          <w:highlight w:val="none"/>
        </w:rPr>
      </w:r>
      <w:r/>
    </w:p>
    <w:p>
      <w:pPr>
        <w:spacing w:after="0" w:line="440" w:lineRule="exact"/>
        <w:tabs>
          <w:tab w:val="left" w:pos="851" w:leader="none"/>
        </w:tabs>
        <w:rPr>
          <w:rFonts w:ascii="宋体" w:hAnsi="宋体" w:cs="宋体"/>
          <w:bCs/>
          <w:color w:val="auto"/>
          <w:sz w:val="24"/>
          <w:szCs w:val="24"/>
          <w:highlight w:val="none"/>
        </w:rPr>
      </w:pPr>
      <w:r>
        <w:rPr>
          <w:rFonts w:ascii="宋体" w:hAnsi="宋体" w:cs="宋体"/>
          <w:bCs/>
          <w:color w:val="auto"/>
          <w:sz w:val="24"/>
          <w:szCs w:val="24"/>
          <w:highlight w:val="none"/>
        </w:rPr>
        <w:t xml:space="preserve">投标报价得分=(评标基准价／投标报价)×</w:t>
      </w:r>
      <w:r>
        <w:rPr>
          <w:rFonts w:ascii="宋体" w:hAnsi="宋体" w:cs="宋体"/>
          <w:bCs/>
          <w:color w:val="auto"/>
          <w:sz w:val="24"/>
          <w:szCs w:val="24"/>
          <w:highlight w:val="none"/>
        </w:rPr>
        <w:t xml:space="preserve">价格权</w:t>
      </w:r>
      <w:r>
        <w:rPr>
          <w:rFonts w:ascii="宋体" w:hAnsi="宋体" w:cs="宋体"/>
          <w:bCs/>
          <w:color w:val="auto"/>
          <w:sz w:val="24"/>
          <w:szCs w:val="24"/>
          <w:highlight w:val="none"/>
        </w:rPr>
        <w:t xml:space="preserve">值（30%）×100，小数点后保留两位。</w:t>
      </w:r>
      <w:r>
        <w:rPr>
          <w:color w:val="auto"/>
          <w:highlight w:val="none"/>
        </w:rPr>
      </w:r>
      <w:r/>
    </w:p>
    <w:p>
      <w:pPr>
        <w:spacing w:after="0" w:line="440" w:lineRule="exact"/>
        <w:tabs>
          <w:tab w:val="left" w:pos="851" w:leader="none"/>
        </w:tabs>
        <w:rPr>
          <w:rFonts w:ascii="宋体" w:hAnsi="宋体" w:cs="宋体"/>
          <w:b/>
          <w:bCs/>
          <w:color w:val="auto"/>
          <w:sz w:val="24"/>
          <w:szCs w:val="24"/>
          <w:highlight w:val="none"/>
        </w:rPr>
      </w:pPr>
      <w:r>
        <w:rPr>
          <w:rFonts w:ascii="宋体" w:hAnsi="宋体" w:cs="宋体"/>
          <w:b/>
          <w:bCs/>
          <w:color w:val="auto"/>
          <w:sz w:val="24"/>
          <w:szCs w:val="24"/>
          <w:highlight w:val="none"/>
        </w:rPr>
        <w:t xml:space="preserve">（二）技术分值（45分）</w:t>
      </w:r>
      <w:r>
        <w:rPr>
          <w:color w:val="auto"/>
          <w:highlight w:val="none"/>
        </w:rPr>
      </w:r>
      <w:r/>
    </w:p>
    <w:p>
      <w:pPr>
        <w:spacing w:after="0" w:line="440" w:lineRule="exact"/>
        <w:tabs>
          <w:tab w:val="left" w:pos="851" w:leader="none"/>
        </w:tabs>
        <w:rPr>
          <w:rFonts w:ascii="宋体" w:hAnsi="宋体" w:cs="宋体"/>
          <w:bCs/>
          <w:color w:val="auto"/>
          <w:sz w:val="24"/>
          <w:szCs w:val="24"/>
          <w:highlight w:val="none"/>
        </w:rPr>
      </w:pPr>
      <w:r>
        <w:rPr>
          <w:rFonts w:ascii="宋体" w:hAnsi="宋体" w:cs="宋体"/>
          <w:bCs/>
          <w:color w:val="auto"/>
          <w:sz w:val="24"/>
          <w:szCs w:val="24"/>
          <w:highlight w:val="none"/>
        </w:rPr>
        <w:t xml:space="preserve">1.设备性能、配置情况（42分）</w:t>
      </w:r>
      <w:r>
        <w:rPr>
          <w:color w:val="auto"/>
          <w:highlight w:val="none"/>
        </w:rPr>
      </w:r>
      <w:r/>
    </w:p>
    <w:p>
      <w:pPr>
        <w:spacing w:after="0" w:line="440" w:lineRule="exact"/>
        <w:tabs>
          <w:tab w:val="left" w:pos="851" w:leader="none"/>
        </w:tabs>
        <w:rPr>
          <w:rFonts w:ascii="宋体" w:hAnsi="宋体" w:cs="宋体"/>
          <w:bCs/>
          <w:color w:val="auto"/>
          <w:sz w:val="24"/>
          <w:szCs w:val="24"/>
          <w:highlight w:val="none"/>
        </w:rPr>
      </w:pPr>
      <w:r>
        <w:rPr>
          <w:rFonts w:ascii="宋体" w:hAnsi="宋体" w:cs="宋体"/>
          <w:bCs/>
          <w:color w:val="auto"/>
          <w:sz w:val="24"/>
          <w:szCs w:val="24"/>
          <w:highlight w:val="none"/>
        </w:rPr>
        <w:t xml:space="preserve">根据所投仪器产品的技术指标、配置情况并结合技术参数偏离表进行评分。全部满足要求的得42分，带★为重点指标，每出一条负偏离扣2分，其他技术指标每出一条负偏离扣1分，扣完为止。技术参数要求中有要求提供相关证明材料的须按相应要求提供，否则视为负偏离；</w:t>
      </w:r>
      <w:r>
        <w:rPr>
          <w:rFonts w:ascii="宋体" w:hAnsi="宋体" w:cs="宋体"/>
          <w:bCs/>
          <w:color w:val="auto"/>
          <w:sz w:val="24"/>
          <w:szCs w:val="24"/>
          <w:highlight w:val="none"/>
        </w:rPr>
        <w:t xml:space="preserve">打“★”如未作特殊要求，需提供产品原厂彩页或</w:t>
      </w:r>
      <w:r>
        <w:rPr>
          <w:rFonts w:ascii="宋体" w:hAnsi="宋体" w:cs="宋体"/>
          <w:bCs/>
          <w:color w:val="auto"/>
          <w:sz w:val="24"/>
          <w:szCs w:val="24"/>
          <w:highlight w:val="none"/>
        </w:rPr>
        <w:t xml:space="preserve">官网截</w:t>
      </w:r>
      <w:r>
        <w:rPr>
          <w:rFonts w:ascii="宋体" w:hAnsi="宋体" w:cs="宋体"/>
          <w:bCs/>
          <w:color w:val="auto"/>
          <w:sz w:val="24"/>
          <w:szCs w:val="24"/>
          <w:highlight w:val="none"/>
        </w:rPr>
        <w:t xml:space="preserve">图或有效检测报告或其他原厂有效证明材料，否则视为负偏离。 </w:t>
      </w:r>
      <w:r>
        <w:rPr>
          <w:color w:val="auto"/>
          <w:highlight w:val="none"/>
        </w:rPr>
      </w:r>
      <w:r/>
    </w:p>
    <w:p>
      <w:pPr>
        <w:spacing w:after="0" w:line="440" w:lineRule="exact"/>
        <w:tabs>
          <w:tab w:val="left" w:pos="851" w:leader="none"/>
        </w:tabs>
        <w:rPr>
          <w:rFonts w:ascii="宋体" w:hAnsi="宋体" w:cs="宋体"/>
          <w:bCs/>
          <w:color w:val="auto"/>
          <w:sz w:val="24"/>
          <w:szCs w:val="24"/>
          <w:highlight w:val="none"/>
        </w:rPr>
      </w:pPr>
      <w:r>
        <w:rPr>
          <w:rFonts w:ascii="宋体" w:hAnsi="宋体" w:cs="宋体"/>
          <w:bCs/>
          <w:color w:val="auto"/>
          <w:sz w:val="24"/>
          <w:szCs w:val="24"/>
          <w:highlight w:val="none"/>
        </w:rPr>
        <w:t xml:space="preserve">2.产品选型（3分）</w:t>
      </w:r>
      <w:r>
        <w:rPr>
          <w:color w:val="auto"/>
          <w:highlight w:val="none"/>
        </w:rPr>
      </w:r>
      <w:r/>
    </w:p>
    <w:p>
      <w:pPr>
        <w:spacing w:after="0" w:line="440" w:lineRule="exact"/>
        <w:tabs>
          <w:tab w:val="left" w:pos="851" w:leader="none"/>
        </w:tabs>
        <w:rPr>
          <w:rFonts w:ascii="宋体" w:hAnsi="宋体" w:cs="宋体"/>
          <w:bCs/>
          <w:color w:val="auto"/>
          <w:sz w:val="24"/>
          <w:szCs w:val="24"/>
          <w:highlight w:val="none"/>
        </w:rPr>
      </w:pPr>
      <w:r>
        <w:rPr>
          <w:rFonts w:ascii="宋体" w:hAnsi="宋体" w:cs="宋体"/>
          <w:bCs/>
          <w:color w:val="auto"/>
          <w:sz w:val="24"/>
          <w:szCs w:val="24"/>
          <w:highlight w:val="none"/>
        </w:rPr>
        <w:t xml:space="preserve">根据投标人选型的设备仪器的先进性、可靠性、稳定性、成熟度进行综合评审，选型可靠，仪器应用广泛，成熟度高，贴合需求得3分；</w:t>
      </w:r>
      <w:r>
        <w:rPr>
          <w:rFonts w:ascii="宋体" w:hAnsi="宋体" w:cs="宋体"/>
          <w:bCs/>
          <w:color w:val="auto"/>
          <w:sz w:val="24"/>
          <w:szCs w:val="24"/>
          <w:highlight w:val="none"/>
        </w:rPr>
        <w:t xml:space="preserve">选型较</w:t>
      </w:r>
      <w:r>
        <w:rPr>
          <w:rFonts w:ascii="宋体" w:hAnsi="宋体" w:cs="宋体"/>
          <w:bCs/>
          <w:color w:val="auto"/>
          <w:sz w:val="24"/>
          <w:szCs w:val="24"/>
          <w:highlight w:val="none"/>
        </w:rPr>
        <w:t xml:space="preserve">可靠，仪器成熟度较高得2分；仪器基本成熟得1分。提供有效支撑材料，否则不得分。</w:t>
      </w:r>
      <w:r>
        <w:rPr>
          <w:color w:val="auto"/>
          <w:highlight w:val="none"/>
        </w:rPr>
      </w:r>
      <w:r/>
    </w:p>
    <w:p>
      <w:pPr>
        <w:spacing w:after="0" w:line="440" w:lineRule="exact"/>
        <w:tabs>
          <w:tab w:val="left" w:pos="851" w:leader="none"/>
        </w:tabs>
        <w:rPr>
          <w:rFonts w:ascii="宋体" w:hAnsi="宋体" w:cs="宋体"/>
          <w:b/>
          <w:bCs/>
          <w:color w:val="auto"/>
          <w:sz w:val="24"/>
          <w:szCs w:val="24"/>
          <w:highlight w:val="none"/>
        </w:rPr>
      </w:pPr>
      <w:r>
        <w:rPr>
          <w:rFonts w:ascii="宋体" w:hAnsi="宋体" w:cs="宋体"/>
          <w:b/>
          <w:bCs/>
          <w:color w:val="auto"/>
          <w:sz w:val="24"/>
          <w:szCs w:val="24"/>
          <w:highlight w:val="none"/>
        </w:rPr>
        <w:t xml:space="preserve">（三）实施进度、安装调试、售后服务方案（17分）</w:t>
      </w:r>
      <w:r>
        <w:rPr>
          <w:color w:val="auto"/>
          <w:highlight w:val="none"/>
        </w:rPr>
      </w:r>
      <w:r/>
    </w:p>
    <w:p>
      <w:pPr>
        <w:spacing w:after="0" w:line="440" w:lineRule="exact"/>
        <w:tabs>
          <w:tab w:val="left" w:pos="851" w:leader="none"/>
        </w:tabs>
        <w:rPr>
          <w:rFonts w:ascii="宋体" w:hAnsi="宋体" w:cs="宋体"/>
          <w:bCs/>
          <w:color w:val="auto"/>
          <w:sz w:val="24"/>
          <w:szCs w:val="24"/>
          <w:highlight w:val="none"/>
        </w:rPr>
      </w:pPr>
      <w:r>
        <w:rPr>
          <w:rFonts w:ascii="宋体" w:hAnsi="宋体" w:cs="宋体"/>
          <w:bCs/>
          <w:color w:val="auto"/>
          <w:sz w:val="24"/>
          <w:szCs w:val="24"/>
          <w:highlight w:val="none"/>
        </w:rPr>
        <w:t xml:space="preserve">1.针对本项目采购需求提供项目实施方案和进度计划内容。应包含但不限于项目进度实施计划、任务分工及人员安排、设备采购及运送计划、交货时间及地点、质量管理计划、验收计划、调试方案及操作规程和常见问题解决方案等内容。内容完整、详实可行的方案，有很强的针对性，得 3分；提供了常规、通用的方案，基本符合采购需求，得2分；方案有缺陷、不</w:t>
      </w:r>
      <w:r>
        <w:rPr>
          <w:rFonts w:hint="eastAsia" w:ascii="宋体" w:hAnsi="宋体" w:cs="宋体"/>
          <w:bCs/>
          <w:color w:val="auto"/>
          <w:sz w:val="24"/>
          <w:szCs w:val="24"/>
          <w:highlight w:val="none"/>
        </w:rPr>
        <w:t xml:space="preserve">太</w:t>
      </w:r>
      <w:r>
        <w:rPr>
          <w:rFonts w:ascii="宋体" w:hAnsi="宋体" w:cs="宋体"/>
          <w:bCs/>
          <w:color w:val="auto"/>
          <w:sz w:val="24"/>
          <w:szCs w:val="24"/>
          <w:highlight w:val="none"/>
        </w:rPr>
        <w:t xml:space="preserve">合理，得1分；未提供相应方案，得0分。</w:t>
      </w:r>
      <w:r>
        <w:rPr>
          <w:color w:val="auto"/>
          <w:highlight w:val="none"/>
        </w:rPr>
      </w:r>
      <w:r/>
    </w:p>
    <w:p>
      <w:pPr>
        <w:spacing w:after="0" w:line="440" w:lineRule="exact"/>
        <w:tabs>
          <w:tab w:val="left" w:pos="851" w:leader="none"/>
        </w:tabs>
        <w:rPr>
          <w:rFonts w:ascii="宋体" w:hAnsi="宋体" w:cs="宋体"/>
          <w:bCs/>
          <w:color w:val="auto"/>
          <w:sz w:val="24"/>
          <w:szCs w:val="24"/>
          <w:highlight w:val="none"/>
        </w:rPr>
      </w:pPr>
      <w:r>
        <w:rPr>
          <w:rFonts w:ascii="宋体" w:hAnsi="宋体" w:cs="宋体"/>
          <w:bCs/>
          <w:color w:val="auto"/>
          <w:sz w:val="24"/>
          <w:szCs w:val="24"/>
          <w:highlight w:val="none"/>
        </w:rPr>
        <w:t xml:space="preserve">2.针对本项目安装调试方案应包括但不限于安装调试进度计划、环境保障要求、设备拆箱要求及标准、设备安装步骤及检验标准、软件安装及使用、调试参数及验收标准和常见问题解决方案等内容。内容完整、详实可行的方案，有很强的针对性，得 3分；提供了常规、通用的方案，基本符合采购需求，得2分；方案有缺陷、不</w:t>
      </w:r>
      <w:r>
        <w:rPr>
          <w:rFonts w:hint="eastAsia" w:ascii="宋体" w:hAnsi="宋体" w:cs="宋体"/>
          <w:bCs/>
          <w:color w:val="auto"/>
          <w:sz w:val="24"/>
          <w:szCs w:val="24"/>
          <w:highlight w:val="none"/>
        </w:rPr>
        <w:t xml:space="preserve">太</w:t>
      </w:r>
      <w:r>
        <w:rPr>
          <w:rFonts w:ascii="宋体" w:hAnsi="宋体" w:cs="宋体"/>
          <w:bCs/>
          <w:color w:val="auto"/>
          <w:sz w:val="24"/>
          <w:szCs w:val="24"/>
          <w:highlight w:val="none"/>
        </w:rPr>
        <w:t xml:space="preserve">合理，得1分；未提供方案，得0分。</w:t>
      </w:r>
      <w:r>
        <w:rPr>
          <w:color w:val="auto"/>
          <w:highlight w:val="none"/>
        </w:rPr>
      </w:r>
      <w:r/>
    </w:p>
    <w:p>
      <w:pPr>
        <w:spacing w:after="0" w:line="440" w:lineRule="exact"/>
        <w:tabs>
          <w:tab w:val="left" w:pos="851" w:leader="none"/>
        </w:tabs>
        <w:rPr>
          <w:rFonts w:ascii="宋体" w:hAnsi="宋体" w:cs="宋体"/>
          <w:bCs/>
          <w:color w:val="auto"/>
          <w:sz w:val="24"/>
          <w:szCs w:val="24"/>
          <w:highlight w:val="none"/>
        </w:rPr>
      </w:pPr>
      <w:r>
        <w:rPr>
          <w:rFonts w:ascii="宋体" w:hAnsi="宋体" w:cs="宋体"/>
          <w:bCs/>
          <w:color w:val="auto"/>
          <w:sz w:val="24"/>
          <w:szCs w:val="24"/>
          <w:highlight w:val="none"/>
        </w:rPr>
        <w:t xml:space="preserve">3.技术培训方案内容应包括但不限于培训计划、培训人员数量、培训组织时间及地点、设备及软件的安装及操作、设备维护及故障排除等内容。内容完整、详实可行的方案，有很强的针对性，得3分；提供了常规、通用的方案，基本符合采购需求，得2分；方案有缺陷、不</w:t>
      </w:r>
      <w:r>
        <w:rPr>
          <w:rFonts w:hint="eastAsia" w:ascii="宋体" w:hAnsi="宋体" w:cs="宋体"/>
          <w:bCs/>
          <w:color w:val="auto"/>
          <w:sz w:val="24"/>
          <w:szCs w:val="24"/>
          <w:highlight w:val="none"/>
        </w:rPr>
        <w:t xml:space="preserve">太</w:t>
      </w:r>
      <w:r>
        <w:rPr>
          <w:rFonts w:ascii="宋体" w:hAnsi="宋体" w:cs="宋体"/>
          <w:bCs/>
          <w:color w:val="auto"/>
          <w:sz w:val="24"/>
          <w:szCs w:val="24"/>
          <w:highlight w:val="none"/>
        </w:rPr>
        <w:t xml:space="preserve">合理，得1分；未提供相应方案，得0分。</w:t>
      </w:r>
      <w:r>
        <w:rPr>
          <w:color w:val="auto"/>
          <w:highlight w:val="none"/>
        </w:rPr>
      </w:r>
      <w:r/>
    </w:p>
    <w:p>
      <w:pPr>
        <w:spacing w:after="0" w:line="440" w:lineRule="exact"/>
        <w:tabs>
          <w:tab w:val="left" w:pos="851" w:leader="none"/>
        </w:tabs>
        <w:rPr>
          <w:rFonts w:ascii="宋体" w:hAnsi="宋体" w:cs="宋体"/>
          <w:bCs/>
          <w:color w:val="auto"/>
          <w:sz w:val="24"/>
          <w:szCs w:val="24"/>
          <w:highlight w:val="none"/>
        </w:rPr>
      </w:pPr>
      <w:r>
        <w:rPr>
          <w:rFonts w:ascii="宋体" w:hAnsi="宋体" w:cs="宋体"/>
          <w:bCs/>
          <w:color w:val="auto"/>
          <w:sz w:val="24"/>
          <w:szCs w:val="24"/>
          <w:highlight w:val="none"/>
        </w:rPr>
        <w:t xml:space="preserve">4.售后服务方案应包括但不限于售后服务范围、售后服务机构及专业技术人员配置、售后服务响应及保障计划、售后服务承诺书和设备使用情况回访计划等内容。内容完整、详实可行的方案，有很强的针对性，得3分；提供了常规、通用的方案，基本符合采购需求，得2分；方案有缺陷、不</w:t>
      </w:r>
      <w:r>
        <w:rPr>
          <w:rFonts w:hint="eastAsia" w:ascii="宋体" w:hAnsi="宋体" w:cs="宋体"/>
          <w:bCs/>
          <w:color w:val="auto"/>
          <w:sz w:val="24"/>
          <w:szCs w:val="24"/>
          <w:highlight w:val="none"/>
        </w:rPr>
        <w:t xml:space="preserve">太</w:t>
      </w:r>
      <w:r>
        <w:rPr>
          <w:rFonts w:ascii="宋体" w:hAnsi="宋体" w:cs="宋体"/>
          <w:bCs/>
          <w:color w:val="auto"/>
          <w:sz w:val="24"/>
          <w:szCs w:val="24"/>
          <w:highlight w:val="none"/>
        </w:rPr>
        <w:t xml:space="preserve">合理，得1分；未提供相应方案，得0分。</w:t>
      </w:r>
      <w:r>
        <w:rPr>
          <w:color w:val="auto"/>
          <w:highlight w:val="none"/>
        </w:rPr>
      </w:r>
      <w:r/>
    </w:p>
    <w:p>
      <w:pPr>
        <w:spacing w:after="0" w:line="440" w:lineRule="exact"/>
        <w:tabs>
          <w:tab w:val="left" w:pos="851" w:leader="none"/>
        </w:tabs>
        <w:rPr>
          <w:rFonts w:ascii="宋体" w:hAnsi="宋体" w:cs="宋体"/>
          <w:bCs/>
          <w:color w:val="auto"/>
          <w:sz w:val="24"/>
          <w:szCs w:val="24"/>
          <w:highlight w:val="none"/>
        </w:rPr>
      </w:pPr>
      <w:r>
        <w:rPr>
          <w:rFonts w:ascii="宋体" w:hAnsi="宋体" w:cs="宋体"/>
          <w:bCs/>
          <w:color w:val="auto"/>
          <w:sz w:val="24"/>
          <w:szCs w:val="24"/>
          <w:highlight w:val="none"/>
        </w:rPr>
        <w:t xml:space="preserve">5.针对本项目质保期满后的售后服务项目和收费情况。内容完整、详实可行的方案，有很强的针对性，得3分；提供了常规、通用的方案，基本符合采购需求，得2分；方案有缺陷、不</w:t>
      </w:r>
      <w:r>
        <w:rPr>
          <w:rFonts w:hint="eastAsia" w:ascii="宋体" w:hAnsi="宋体" w:cs="宋体"/>
          <w:bCs/>
          <w:color w:val="auto"/>
          <w:sz w:val="24"/>
          <w:szCs w:val="24"/>
          <w:highlight w:val="none"/>
        </w:rPr>
        <w:t xml:space="preserve">太</w:t>
      </w:r>
      <w:r>
        <w:rPr>
          <w:rFonts w:ascii="宋体" w:hAnsi="宋体" w:cs="宋体"/>
          <w:bCs/>
          <w:color w:val="auto"/>
          <w:sz w:val="24"/>
          <w:szCs w:val="24"/>
          <w:highlight w:val="none"/>
        </w:rPr>
        <w:t xml:space="preserve">合理，得1分；未提供相应方案，得0分。</w:t>
      </w:r>
      <w:r>
        <w:rPr>
          <w:color w:val="auto"/>
          <w:highlight w:val="none"/>
        </w:rPr>
      </w:r>
      <w:r/>
    </w:p>
    <w:p>
      <w:pPr>
        <w:spacing w:after="0" w:line="440" w:lineRule="exact"/>
        <w:tabs>
          <w:tab w:val="left" w:pos="851" w:leader="none"/>
        </w:tabs>
        <w:rPr>
          <w:rFonts w:ascii="宋体" w:hAnsi="宋体" w:cs="宋体"/>
          <w:bCs/>
          <w:color w:val="auto"/>
          <w:sz w:val="24"/>
          <w:szCs w:val="24"/>
          <w:highlight w:val="none"/>
        </w:rPr>
      </w:pPr>
      <w:r>
        <w:rPr>
          <w:rFonts w:ascii="宋体" w:hAnsi="宋体" w:cs="宋体"/>
          <w:bCs/>
          <w:color w:val="auto"/>
          <w:sz w:val="24"/>
          <w:szCs w:val="24"/>
          <w:highlight w:val="none"/>
        </w:rPr>
        <w:t xml:space="preserve">6.根据各投标人针对本项目的其他优惠措施情况横向比较。优惠措施切实可行得2分；优惠措施不太可行得1分；未提供相应方案，得0分。</w:t>
      </w:r>
      <w:r>
        <w:rPr>
          <w:color w:val="auto"/>
          <w:highlight w:val="none"/>
        </w:rPr>
      </w:r>
      <w:r/>
    </w:p>
    <w:p>
      <w:pPr>
        <w:spacing w:after="0" w:line="440" w:lineRule="exact"/>
        <w:tabs>
          <w:tab w:val="left" w:pos="851" w:leader="none"/>
        </w:tabs>
        <w:rPr>
          <w:rFonts w:ascii="宋体" w:hAnsi="宋体" w:cs="宋体"/>
          <w:b/>
          <w:bCs/>
          <w:color w:val="auto"/>
          <w:sz w:val="24"/>
          <w:szCs w:val="24"/>
          <w:highlight w:val="none"/>
        </w:rPr>
      </w:pPr>
      <w:r>
        <w:rPr>
          <w:rFonts w:ascii="宋体" w:hAnsi="宋体" w:cs="宋体"/>
          <w:b/>
          <w:bCs/>
          <w:color w:val="auto"/>
          <w:sz w:val="24"/>
          <w:szCs w:val="24"/>
          <w:highlight w:val="none"/>
        </w:rPr>
        <w:t xml:space="preserve">（四）综合实力（8分）</w:t>
      </w:r>
      <w:r>
        <w:rPr>
          <w:color w:val="auto"/>
          <w:highlight w:val="none"/>
        </w:rPr>
      </w:r>
      <w:r/>
    </w:p>
    <w:p>
      <w:pPr>
        <w:spacing w:after="0" w:line="440" w:lineRule="exact"/>
        <w:tabs>
          <w:tab w:val="left" w:pos="851"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w:t>
      </w:r>
      <w:r>
        <w:rPr>
          <w:rFonts w:ascii="宋体" w:hAnsi="宋体" w:cs="宋体"/>
          <w:bCs/>
          <w:color w:val="auto"/>
          <w:sz w:val="24"/>
          <w:szCs w:val="24"/>
          <w:highlight w:val="none"/>
        </w:rPr>
        <w:t xml:space="preserve">.管理体系认证（3分）</w:t>
      </w:r>
      <w:r>
        <w:rPr>
          <w:color w:val="auto"/>
          <w:highlight w:val="none"/>
        </w:rPr>
      </w:r>
      <w:r/>
    </w:p>
    <w:p>
      <w:pPr>
        <w:spacing w:after="0" w:line="440" w:lineRule="exact"/>
        <w:tabs>
          <w:tab w:val="left" w:pos="851" w:leader="none"/>
        </w:tabs>
        <w:rPr>
          <w:rFonts w:ascii="宋体" w:hAnsi="宋体" w:cs="宋体"/>
          <w:bCs/>
          <w:color w:val="auto"/>
          <w:sz w:val="24"/>
          <w:szCs w:val="24"/>
          <w:highlight w:val="none"/>
        </w:rPr>
      </w:pPr>
      <w:r>
        <w:rPr>
          <w:rFonts w:ascii="宋体" w:hAnsi="宋体" w:cs="宋体"/>
          <w:bCs/>
          <w:color w:val="auto"/>
          <w:sz w:val="24"/>
          <w:szCs w:val="24"/>
          <w:highlight w:val="none"/>
        </w:rPr>
        <w:t xml:space="preserve">投标人具有有效的质量管理体系认证、环境管理体系认证、职业健康安全管理体系认证，每</w:t>
      </w:r>
      <w:r>
        <w:rPr>
          <w:rFonts w:ascii="宋体" w:hAnsi="宋体" w:cs="宋体"/>
          <w:bCs/>
          <w:color w:val="auto"/>
          <w:sz w:val="24"/>
          <w:szCs w:val="24"/>
          <w:highlight w:val="none"/>
        </w:rPr>
        <w:t xml:space="preserve">提供一个证书得1分，本项共3分。</w:t>
      </w:r>
      <w:r>
        <w:rPr>
          <w:rFonts w:hint="eastAsia" w:ascii="宋体" w:hAnsi="宋体" w:cs="宋体"/>
          <w:bCs/>
          <w:color w:val="auto"/>
          <w:sz w:val="24"/>
          <w:szCs w:val="24"/>
          <w:highlight w:val="none"/>
        </w:rPr>
        <w:t xml:space="preserve">提供证书复印件及在</w:t>
      </w:r>
      <w:r>
        <w:rPr>
          <w:rFonts w:ascii="宋体" w:hAnsi="宋体" w:cs="宋体"/>
          <w:bCs/>
          <w:color w:val="auto"/>
          <w:sz w:val="24"/>
          <w:szCs w:val="24"/>
          <w:highlight w:val="none"/>
        </w:rPr>
        <w:t xml:space="preserve">国家</w:t>
      </w:r>
      <w:r>
        <w:rPr>
          <w:rFonts w:hint="eastAsia" w:ascii="宋体" w:hAnsi="宋体" w:cs="宋体"/>
          <w:bCs/>
          <w:color w:val="auto"/>
          <w:sz w:val="24"/>
          <w:szCs w:val="24"/>
          <w:highlight w:val="none"/>
        </w:rPr>
        <w:t xml:space="preserve">认监委网站查询证书有效的截图证明，否则不得分。</w:t>
      </w:r>
      <w:r>
        <w:rPr>
          <w:color w:val="auto"/>
          <w:highlight w:val="none"/>
        </w:rPr>
      </w:r>
      <w:r/>
    </w:p>
    <w:p>
      <w:pPr>
        <w:spacing w:after="0" w:line="440" w:lineRule="exact"/>
        <w:tabs>
          <w:tab w:val="left" w:pos="851"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w:t>
      </w:r>
      <w:r>
        <w:rPr>
          <w:rFonts w:ascii="宋体" w:hAnsi="宋体" w:cs="宋体"/>
          <w:bCs/>
          <w:color w:val="auto"/>
          <w:sz w:val="24"/>
          <w:szCs w:val="24"/>
          <w:highlight w:val="none"/>
        </w:rPr>
        <w:t xml:space="preserve">.类似产品销售业绩（5分）</w:t>
      </w:r>
      <w:r>
        <w:rPr>
          <w:color w:val="auto"/>
          <w:highlight w:val="none"/>
        </w:rPr>
      </w:r>
      <w:r/>
    </w:p>
    <w:p>
      <w:pPr>
        <w:spacing w:after="0" w:line="440" w:lineRule="exact"/>
        <w:tabs>
          <w:tab w:val="left" w:pos="851" w:leader="none"/>
        </w:tabs>
        <w:rPr>
          <w:color w:val="auto"/>
          <w:sz w:val="24"/>
          <w:szCs w:val="24"/>
          <w:highlight w:val="none"/>
        </w:rPr>
      </w:pPr>
      <w:r>
        <w:rPr>
          <w:rFonts w:ascii="宋体" w:hAnsi="宋体" w:cs="宋体"/>
          <w:bCs/>
          <w:color w:val="auto"/>
          <w:sz w:val="24"/>
          <w:szCs w:val="24"/>
          <w:highlight w:val="none"/>
        </w:rPr>
        <w:t xml:space="preserve">202</w:t>
      </w:r>
      <w:r>
        <w:rPr>
          <w:rFonts w:hint="eastAsia" w:ascii="宋体" w:hAnsi="宋体" w:cs="宋体"/>
          <w:bCs/>
          <w:color w:val="auto"/>
          <w:sz w:val="24"/>
          <w:szCs w:val="24"/>
          <w:highlight w:val="none"/>
        </w:rPr>
        <w:t xml:space="preserve">3</w:t>
      </w:r>
      <w:r>
        <w:rPr>
          <w:rFonts w:ascii="宋体" w:hAnsi="宋体" w:cs="宋体"/>
          <w:bCs/>
          <w:color w:val="auto"/>
          <w:sz w:val="24"/>
          <w:szCs w:val="24"/>
          <w:highlight w:val="none"/>
        </w:rPr>
        <w:t xml:space="preserve">年1月1日以来</w:t>
      </w:r>
      <w:r>
        <w:rPr>
          <w:rFonts w:hint="eastAsia" w:ascii="宋体" w:hAnsi="宋体" w:cs="宋体"/>
          <w:bCs/>
          <w:color w:val="auto"/>
          <w:sz w:val="24"/>
          <w:szCs w:val="24"/>
          <w:highlight w:val="none"/>
        </w:rPr>
        <w:t xml:space="preserve">（以合同签订时间为准），</w:t>
      </w:r>
      <w:r>
        <w:rPr>
          <w:rFonts w:ascii="宋体" w:hAnsi="宋体" w:cs="宋体"/>
          <w:bCs/>
          <w:color w:val="auto"/>
          <w:sz w:val="24"/>
          <w:szCs w:val="24"/>
          <w:highlight w:val="none"/>
        </w:rPr>
        <w:t xml:space="preserve">投标人</w:t>
      </w:r>
      <w:r>
        <w:rPr>
          <w:rFonts w:hint="eastAsia" w:ascii="宋体" w:hAnsi="宋体" w:cs="宋体"/>
          <w:bCs/>
          <w:color w:val="auto"/>
          <w:sz w:val="24"/>
          <w:szCs w:val="24"/>
          <w:highlight w:val="none"/>
        </w:rPr>
        <w:t xml:space="preserve">具有</w:t>
      </w:r>
      <w:r>
        <w:rPr>
          <w:rFonts w:ascii="宋体" w:hAnsi="宋体" w:cs="宋体"/>
          <w:bCs/>
          <w:color w:val="auto"/>
          <w:sz w:val="24"/>
          <w:szCs w:val="24"/>
          <w:highlight w:val="none"/>
        </w:rPr>
        <w:t xml:space="preserve">销售过类似项目业绩的，每提供一个合同得1分，本项共5分。提供合同复印件作为有效证明文件，包含合同首页、标的内容页</w:t>
      </w:r>
      <w:r>
        <w:rPr>
          <w:rFonts w:hint="eastAsia" w:ascii="宋体" w:hAnsi="宋体" w:cs="宋体"/>
          <w:bCs/>
          <w:color w:val="auto"/>
          <w:sz w:val="24"/>
          <w:szCs w:val="24"/>
          <w:highlight w:val="none"/>
        </w:rPr>
        <w:t xml:space="preserve">、</w:t>
      </w:r>
      <w:r>
        <w:rPr>
          <w:rFonts w:ascii="宋体" w:hAnsi="宋体" w:cs="宋体"/>
          <w:bCs/>
          <w:color w:val="auto"/>
          <w:sz w:val="24"/>
          <w:szCs w:val="24"/>
          <w:highlight w:val="none"/>
        </w:rPr>
        <w:t xml:space="preserve">签字盖章</w:t>
      </w:r>
      <w:r>
        <w:rPr>
          <w:rFonts w:hint="eastAsia" w:ascii="宋体" w:hAnsi="宋体" w:cs="宋体"/>
          <w:bCs/>
          <w:color w:val="auto"/>
          <w:sz w:val="24"/>
          <w:szCs w:val="24"/>
          <w:highlight w:val="none"/>
        </w:rPr>
        <w:t xml:space="preserve">及签订日期</w:t>
      </w:r>
      <w:r>
        <w:rPr>
          <w:rFonts w:ascii="宋体" w:hAnsi="宋体" w:cs="宋体"/>
          <w:bCs/>
          <w:color w:val="auto"/>
          <w:sz w:val="24"/>
          <w:szCs w:val="24"/>
          <w:highlight w:val="none"/>
        </w:rPr>
        <w:t xml:space="preserve">所在页的复印件。不符合上述要求或未按要求提供有效证明文件的业绩在评审时将不</w:t>
      </w:r>
      <w:r>
        <w:rPr>
          <w:rFonts w:hint="eastAsia" w:ascii="宋体" w:hAnsi="宋体" w:cs="宋体"/>
          <w:bCs/>
          <w:color w:val="auto"/>
          <w:sz w:val="24"/>
          <w:szCs w:val="24"/>
          <w:highlight w:val="none"/>
        </w:rPr>
        <w:t xml:space="preserve">得分</w:t>
      </w:r>
      <w:r>
        <w:rPr>
          <w:rFonts w:ascii="宋体" w:hAnsi="宋体" w:cs="宋体"/>
          <w:bCs/>
          <w:color w:val="auto"/>
          <w:sz w:val="24"/>
          <w:szCs w:val="24"/>
          <w:highlight w:val="none"/>
        </w:rPr>
        <w:t xml:space="preserve">。</w:t>
      </w:r>
      <w:r>
        <w:rPr>
          <w:color w:val="auto"/>
          <w:highlight w:val="none"/>
        </w:rPr>
      </w:r>
      <w:r/>
    </w:p>
    <w:p>
      <w:pPr>
        <w:spacing w:before="240" w:after="240" w:line="360" w:lineRule="auto"/>
        <w:rPr>
          <w:color w:val="auto"/>
          <w:sz w:val="24"/>
          <w:szCs w:val="24"/>
          <w:highlight w:val="none"/>
        </w:rPr>
        <w:pBdr>
          <w:top w:val="none" w:color="000000" w:sz="0" w:space="0"/>
          <w:left w:val="none" w:color="000000" w:sz="0" w:space="0"/>
          <w:bottom w:val="none" w:color="000000" w:sz="0" w:space="0"/>
          <w:right w:val="none" w:color="000000" w:sz="0" w:space="0"/>
        </w:pBdr>
      </w:pPr>
      <w:r>
        <w:rPr>
          <w:rFonts w:eastAsia="Calibri" w:cs="Calibri"/>
          <w:color w:val="auto"/>
          <w:sz w:val="24"/>
          <w:szCs w:val="24"/>
          <w:highlight w:val="none"/>
        </w:rPr>
        <w:t xml:space="preserve"> </w:t>
      </w:r>
      <w:r>
        <w:rPr>
          <w:color w:val="auto"/>
          <w:highlight w:val="none"/>
        </w:rPr>
      </w:r>
      <w:r/>
    </w:p>
    <w:p>
      <w:pPr>
        <w:jc w:val="left"/>
        <w:spacing w:after="0" w:line="440" w:lineRule="exact"/>
        <w:widowControl/>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p>
      <w:pPr>
        <w:jc w:val="left"/>
        <w:spacing w:after="0" w:line="440" w:lineRule="exact"/>
        <w:widowControl/>
        <w:rPr>
          <w:b/>
          <w:bCs/>
          <w:color w:val="auto"/>
          <w:sz w:val="24"/>
          <w:szCs w:val="24"/>
          <w:highlight w:val="none"/>
        </w:rPr>
      </w:pPr>
      <w:r>
        <w:rPr>
          <w:rFonts w:hint="eastAsia" w:ascii="宋体" w:hAnsi="宋体" w:cs="宋体"/>
          <w:color w:val="auto"/>
          <w:sz w:val="24"/>
          <w:szCs w:val="24"/>
          <w:highlight w:val="none"/>
        </w:rPr>
        <w:t xml:space="preserve">注：针对评分标准中评分的每一条，投标人在投标文件中均应提供相关资料并做出相应说明供评委评判，不提供相关资料的视为不具备该项得分的条件。</w:t>
      </w:r>
      <w:r>
        <w:rPr>
          <w:color w:val="auto"/>
          <w:highlight w:val="none"/>
        </w:rPr>
      </w:r>
      <w:r/>
    </w:p>
    <w:sectPr>
      <w:headerReference w:type="default" r:id="rId9"/>
      <w:footerReference w:type="default" r:id="rId10"/>
      <w:footnotePr/>
      <w:endnotePr/>
      <w:type w:val="nextPage"/>
      <w:pgSz w:w="11906" w:h="16838" w:orient="portrait"/>
      <w:pgMar w:top="850" w:right="1134" w:bottom="850" w:left="1134" w:header="651" w:footer="15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Cambria">
    <w:panose1 w:val="02040503050406030204"/>
  </w:font>
  <w:font w:name="Tahoma">
    <w:panose1 w:val="020B0604030504040204"/>
  </w:font>
  <w:font w:name="方正仿宋简体">
    <w:panose1 w:val="020B0503020202020204"/>
  </w:font>
  <w:font w:name="Courier New">
    <w:panose1 w:val="02070309020205020404"/>
  </w:font>
  <w:font w:name="楷体_GB2312">
    <w:panose1 w:val="02010609060101010101"/>
  </w:font>
  <w:font w:name="仿宋_GB2312">
    <w:panose1 w:val="02010609060101010101"/>
  </w:font>
  <w:font w:name="Verdana">
    <w:panose1 w:val="020B0604030504040204"/>
  </w:font>
  <w:font w:name="黑体">
    <w:panose1 w:val="02010609060101010101"/>
  </w:font>
  <w:font w:name="方正大黑简体">
    <w:panose1 w:val="020B0503020202020204"/>
  </w:font>
  <w:font w:name="Calibri">
    <w:panose1 w:val="020F0502020204030204"/>
  </w:font>
  <w:font w:name="Arial Unicode MS">
    <w:panose1 w:val="020B0604020202020204"/>
  </w:font>
  <w:font w:name="长城仿宋">
    <w:panose1 w:val="020B0503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016376397"/>
      <w:rPr/>
    </w:sdtPr>
    <w:sdtContent>
      <w:p>
        <w:pPr>
          <w:pStyle w:val="793"/>
          <w:jc w:val="center"/>
        </w:pPr>
        <w:fldSimple w:instr="PAGE \* MERGEFORMAT">
          <w:r>
            <w:rPr>
              <w:lang w:val="zh-CN"/>
            </w:rPr>
            <w:t xml:space="preserve">1</w:t>
          </w:r>
        </w:fldSimple>
        <w:r>
          <w:rPr>
            <w:lang w:val="zh-CN"/>
          </w:rPr>
        </w:r>
        <w:r>
          <w:rPr>
            <w:lang w:val="zh-CN"/>
          </w:rPr>
        </w:r>
        <w:r/>
      </w:p>
    </w:sdtContent>
  </w:sdt>
  <w:p>
    <w:pPr>
      <w:pStyle w:val="79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pPr>
      <w:r>
        <w:separator/>
      </w:r>
      <w:r/>
    </w:p>
  </w:footnote>
  <w:footnote w:type="continuationSeparator" w:id="0">
    <w:p>
      <w:pPr>
        <w:spacing w:after="0"/>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jc w:val="both"/>
      <w:rPr>
        <w:u w:val="single"/>
      </w:rPr>
    </w:pPr>
    <w:r>
      <w:rPr>
        <w:rFonts w:hint="eastAsia"/>
        <w:u w:val="single"/>
      </w:rPr>
      <w:t xml:space="preserve">政府采购文件</w:t>
    </w:r>
    <w:r>
      <w:rPr>
        <w:rFonts w:hint="eastAsia"/>
        <w:u w:val="single"/>
      </w:rPr>
      <w:t xml:space="preserve">                                                          </w:t>
    </w:r>
    <w:r>
      <w:rPr>
        <w:rFonts w:hint="eastAsia"/>
        <w:u w:val="single"/>
      </w:rPr>
      <w:t xml:space="preserve">项目编号：</w:t>
    </w:r>
    <w:r>
      <w:rPr>
        <w:rFonts w:hint="eastAsia"/>
        <w:u w:val="single"/>
      </w:rPr>
      <w:t xml:space="preserve">JSZC-320507-SZJN-G2026-0003</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2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2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decimal"/>
      <w:isLgl w:val="false"/>
      <w:suff w:val="space"/>
      <w:lvlText w:val="%1.%2"/>
      <w:lvlJc w:val="left"/>
      <w:pPr>
        <w:ind w:left="0" w:firstLine="0"/>
      </w:pPr>
      <w:rPr>
        <w:rFonts w:hint="default"/>
      </w:rPr>
    </w:lvl>
    <w:lvl w:ilvl="2">
      <w:start w:val="1"/>
      <w:numFmt w:val="decimal"/>
      <w:isLgl w:val="false"/>
      <w:suff w:val="space"/>
      <w:lvlText w:val="%1.%2.%3"/>
      <w:lvlJc w:val="left"/>
      <w:pPr>
        <w:ind w:left="0" w:firstLine="0"/>
      </w:pPr>
      <w:rPr>
        <w:rFonts w:hint="default"/>
      </w:rPr>
    </w:lvl>
    <w:lvl w:ilvl="3">
      <w:start w:val="1"/>
      <w:numFmt w:val="decimal"/>
      <w:isLgl w:val="false"/>
      <w:suff w:val="space"/>
      <w:lvlText w:val="%1.%2.%3.%4"/>
      <w:lvlJc w:val="left"/>
      <w:pPr>
        <w:ind w:left="0" w:firstLine="0"/>
      </w:pPr>
      <w:rPr>
        <w:rFonts w:hint="default"/>
      </w:rPr>
    </w:lvl>
    <w:lvl w:ilvl="4">
      <w:start w:val="1"/>
      <w:numFmt w:val="decimal"/>
      <w:isLgl w:val="false"/>
      <w:suff w:val="space"/>
      <w:lvlText w:val="%1.%2.%3.%4.%5"/>
      <w:lvlJc w:val="left"/>
      <w:pPr>
        <w:ind w:left="0" w:firstLine="0"/>
      </w:pPr>
      <w:rPr>
        <w:rFonts w:hint="default"/>
      </w:rPr>
    </w:lvl>
    <w:lvl w:ilvl="5">
      <w:start w:val="1"/>
      <w:numFmt w:val="decimal"/>
      <w:isLgl w:val="false"/>
      <w:suff w:val="space"/>
      <w:lvlText w:val="%1.%2.%3.%4.%5.%6"/>
      <w:lvlJc w:val="left"/>
      <w:pPr>
        <w:ind w:left="0" w:firstLine="0"/>
      </w:pPr>
      <w:rPr>
        <w:rFonts w:hint="default"/>
      </w:rPr>
    </w:lvl>
    <w:lvl w:ilvl="6">
      <w:start w:val="1"/>
      <w:numFmt w:val="decimal"/>
      <w:isLgl w:val="false"/>
      <w:suff w:val="space"/>
      <w:lvlText w:val="%1.%2.%3.%4.%5.%6.%7"/>
      <w:lvlJc w:val="left"/>
      <w:pPr>
        <w:ind w:left="0" w:firstLine="0"/>
      </w:pPr>
      <w:rPr>
        <w:rFonts w:hint="default"/>
      </w:rPr>
    </w:lvl>
    <w:lvl w:ilvl="7">
      <w:start w:val="1"/>
      <w:numFmt w:val="decimal"/>
      <w:isLgl w:val="false"/>
      <w:suff w:val="space"/>
      <w:lvlText w:val="%1.%2.%3.%4.%5.%6.%7.%8"/>
      <w:lvlJc w:val="left"/>
      <w:pPr>
        <w:ind w:left="0" w:firstLine="0"/>
      </w:pPr>
      <w:rPr>
        <w:rFonts w:hint="default"/>
      </w:rPr>
    </w:lvl>
    <w:lvl w:ilvl="8">
      <w:start w:val="1"/>
      <w:numFmt w:val="decimal"/>
      <w:isLgl w:val="false"/>
      <w:suff w:val="space"/>
      <w:lvlText w:val="%1.%2.%3.%4.%5.%6.%7.%8.%9"/>
      <w:lvlJc w:val="left"/>
      <w:pPr>
        <w:ind w:left="0" w:firstLine="0"/>
      </w:pPr>
      <w:rPr>
        <w:rFonts w:hint="default"/>
      </w:rPr>
    </w:lvl>
  </w:abstractNum>
  <w:abstractNum w:abstractNumId="8">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42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
      <w:numFmt w:val="chineseCounting"/>
      <w:pStyle w:val="890"/>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42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42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upperLetter"/>
      <w:pStyle w:val="1033"/>
      <w:isLgl w:val="false"/>
      <w:suff w:val="tab"/>
      <w:lvlText w:val="%1、"/>
      <w:lvlJc w:val="left"/>
      <w:pPr>
        <w:ind w:left="360" w:hanging="360"/>
        <w:tabs>
          <w:tab w:val="left" w:pos="36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6">
    <w:multiLevelType w:val="hybridMultilevel"/>
    <w:lvl w:ilvl="0">
      <w:start w:val="1"/>
      <w:numFmt w:val="lowerLetter"/>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pStyle w:val="986"/>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7">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8">
    <w:multiLevelType w:val="hybridMultilevel"/>
    <w:lvl w:ilvl="0">
      <w:start w:val="1"/>
      <w:numFmt w:val="decimal"/>
      <w:isLgl w:val="false"/>
      <w:suff w:val="tab"/>
      <w:lvlText w:val="%1、"/>
      <w:lvlJc w:val="left"/>
      <w:pPr>
        <w:ind w:left="42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3"/>
      <w:numFmt w:val="japaneseCounting"/>
      <w:pStyle w:val="1000"/>
      <w:isLgl w:val="false"/>
      <w:suff w:val="tab"/>
      <w:lvlText w:val="第%1章"/>
      <w:lvlJc w:val="left"/>
      <w:pPr>
        <w:ind w:left="960" w:hanging="960"/>
        <w:tabs>
          <w:tab w:val="left" w:pos="96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1、"/>
      <w:lvlJc w:val="left"/>
      <w:pPr>
        <w:ind w:left="42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tab"/>
      <w:lvlText w:val="%1、"/>
      <w:lvlJc w:val="left"/>
      <w:pPr>
        <w:ind w:left="42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tab"/>
      <w:lvlText w:val="%1、"/>
      <w:lvlJc w:val="left"/>
      <w:pPr>
        <w:ind w:left="42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tab"/>
      <w:lvlText w:val="%1、"/>
      <w:lvlJc w:val="left"/>
      <w:pPr>
        <w:ind w:left="42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chineseCounting"/>
      <w:pStyle w:val="767"/>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tab"/>
      <w:lvlText w:val="%1、"/>
      <w:lvlJc w:val="left"/>
      <w:pPr>
        <w:ind w:left="42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isLgl w:val="false"/>
      <w:suff w:val="tab"/>
      <w:lvlText w:val="%1、"/>
      <w:lvlJc w:val="left"/>
      <w:pPr>
        <w:ind w:left="42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upperLetter"/>
      <w:pStyle w:val="1004"/>
      <w:isLgl w:val="false"/>
      <w:suff w:val="tab"/>
      <w:lvlText w:val="%1．"/>
      <w:lvlJc w:val="left"/>
      <w:pPr>
        <w:ind w:left="405" w:hanging="405"/>
        <w:tabs>
          <w:tab w:val="left" w:pos="405" w:leader="none"/>
        </w:tabs>
      </w:pPr>
      <w:rPr>
        <w:rFonts w:hint="eastAsia" w:ascii="Times New Roman"/>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4">
    <w:multiLevelType w:val="hybridMultilevel"/>
    <w:lvl w:ilvl="0">
      <w:start w:val="1"/>
      <w:numFmt w:val="decimal"/>
      <w:pStyle w:val="781"/>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isLgl w:val="false"/>
      <w:suff w:val="tab"/>
      <w:lvlText w:val="%1、"/>
      <w:lvlJc w:val="left"/>
      <w:pPr>
        <w:ind w:left="42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28"/>
  </w:num>
  <w:num w:numId="2">
    <w:abstractNumId w:val="34"/>
  </w:num>
  <w:num w:numId="3">
    <w:abstractNumId w:val="11"/>
    <w:lvlOverride w:ilvl="0">
      <w:startOverride w:val="2"/>
    </w:lvlOverride>
  </w:num>
  <w:num w:numId="4">
    <w:abstractNumId w:val="16"/>
  </w:num>
  <w:num w:numId="5">
    <w:abstractNumId w:val="20"/>
  </w:num>
  <w:num w:numId="6">
    <w:abstractNumId w:val="33"/>
  </w:num>
  <w:num w:numId="7">
    <w:abstractNumId w:val="15"/>
  </w:num>
  <w:num w:numId="8">
    <w:abstractNumId w:val="6"/>
  </w:num>
  <w:num w:numId="9">
    <w:abstractNumId w:val="21"/>
  </w:num>
  <w:num w:numId="10">
    <w:abstractNumId w:val="29"/>
  </w:num>
  <w:num w:numId="11">
    <w:abstractNumId w:val="12"/>
  </w:num>
  <w:num w:numId="12">
    <w:abstractNumId w:val="26"/>
  </w:num>
  <w:num w:numId="13">
    <w:abstractNumId w:val="17"/>
  </w:num>
  <w:num w:numId="14">
    <w:abstractNumId w:val="7"/>
  </w:num>
  <w:num w:numId="15">
    <w:abstractNumId w:val="22"/>
  </w:num>
  <w:num w:numId="16">
    <w:abstractNumId w:val="36"/>
  </w:num>
  <w:num w:numId="17">
    <w:abstractNumId w:val="8"/>
  </w:num>
  <w:num w:numId="18">
    <w:abstractNumId w:val="1"/>
  </w:num>
  <w:num w:numId="19">
    <w:abstractNumId w:val="0"/>
  </w:num>
  <w:num w:numId="20">
    <w:abstractNumId w:val="19"/>
  </w:num>
  <w:num w:numId="21">
    <w:abstractNumId w:val="27"/>
  </w:num>
  <w:num w:numId="22">
    <w:abstractNumId w:val="14"/>
  </w:num>
  <w:num w:numId="23">
    <w:abstractNumId w:val="23"/>
  </w:num>
  <w:num w:numId="24">
    <w:abstractNumId w:val="13"/>
  </w:num>
  <w:num w:numId="25">
    <w:abstractNumId w:val="24"/>
  </w:num>
  <w:num w:numId="26">
    <w:abstractNumId w:val="10"/>
  </w:num>
  <w:num w:numId="27">
    <w:abstractNumId w:val="4"/>
  </w:num>
  <w:num w:numId="28">
    <w:abstractNumId w:val="5"/>
  </w:num>
  <w:num w:numId="29">
    <w:abstractNumId w:val="9"/>
  </w:num>
  <w:num w:numId="30">
    <w:abstractNumId w:val="30"/>
  </w:num>
  <w:num w:numId="31">
    <w:abstractNumId w:val="2"/>
  </w:num>
  <w:num w:numId="32">
    <w:abstractNumId w:val="18"/>
  </w:num>
  <w:num w:numId="33">
    <w:abstractNumId w:val="3"/>
  </w:num>
  <w:num w:numId="34">
    <w:abstractNumId w:val="31"/>
  </w:num>
  <w:num w:numId="35">
    <w:abstractNumId w:val="35"/>
  </w:num>
  <w:num w:numId="36">
    <w:abstractNumId w:val="25"/>
  </w:num>
  <w:num w:numId="37">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45">
    <w:name w:val="Plain Table 1"/>
    <w:basedOn w:val="77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6">
    <w:name w:val="Plain Table 2"/>
    <w:basedOn w:val="77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7">
    <w:name w:val="Plain Table 3"/>
    <w:basedOn w:val="7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8">
    <w:name w:val="Plain Table 4"/>
    <w:basedOn w:val="7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9">
    <w:name w:val="Plain Table 5"/>
    <w:basedOn w:val="7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0">
    <w:name w:val="Grid Table 1 Light"/>
    <w:basedOn w:val="77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1">
    <w:name w:val="Grid Table 2"/>
    <w:basedOn w:val="77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2">
    <w:name w:val="Grid Table 3"/>
    <w:basedOn w:val="77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4"/>
    <w:basedOn w:val="77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name w:val="Grid Table 5 Dark"/>
    <w:basedOn w:val="7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5">
    <w:name w:val="Grid Table 6 Colorful"/>
    <w:basedOn w:val="77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6">
    <w:name w:val="Grid Table 7 Colorful"/>
    <w:basedOn w:val="77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7">
    <w:name w:val="List Table 1 Light"/>
    <w:basedOn w:val="77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8">
    <w:name w:val="List Table 2"/>
    <w:basedOn w:val="77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9">
    <w:name w:val="List Table 3"/>
    <w:basedOn w:val="77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0">
    <w:name w:val="List Table 4"/>
    <w:basedOn w:val="77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1">
    <w:name w:val="List Table 5 Dark"/>
    <w:basedOn w:val="77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6 Colorful"/>
    <w:basedOn w:val="77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3">
    <w:name w:val="List Table 7 Colorful"/>
    <w:basedOn w:val="77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64">
    <w:name w:val="TOC Heading"/>
    <w:uiPriority w:val="39"/>
    <w:unhideWhenUsed/>
  </w:style>
  <w:style w:type="paragraph" w:styleId="765" w:default="1">
    <w:name w:val="Normal"/>
    <w:next w:val="778"/>
    <w:qFormat/>
    <w:pPr>
      <w:jc w:val="both"/>
      <w:spacing w:after="160" w:line="278" w:lineRule="auto"/>
      <w:widowControl w:val="off"/>
    </w:pPr>
    <w:rPr>
      <w:rFonts w:ascii="Calibri" w:hAnsi="Calibri"/>
      <w:sz w:val="21"/>
      <w:szCs w:val="22"/>
    </w:rPr>
  </w:style>
  <w:style w:type="paragraph" w:styleId="766">
    <w:name w:val="Heading 1"/>
    <w:basedOn w:val="765"/>
    <w:next w:val="765"/>
    <w:link w:val="992"/>
    <w:uiPriority w:val="9"/>
    <w:qFormat/>
    <w:pPr>
      <w:keepLines/>
      <w:keepNext/>
      <w:spacing w:before="340" w:after="330" w:line="578" w:lineRule="auto"/>
      <w:outlineLvl w:val="0"/>
    </w:pPr>
    <w:rPr>
      <w:b/>
      <w:bCs/>
      <w:sz w:val="44"/>
      <w:szCs w:val="44"/>
    </w:rPr>
  </w:style>
  <w:style w:type="paragraph" w:styleId="767">
    <w:name w:val="Heading 2"/>
    <w:basedOn w:val="765"/>
    <w:next w:val="779"/>
    <w:link w:val="850"/>
    <w:qFormat/>
    <w:pPr>
      <w:numPr>
        <w:numId w:val="1"/>
      </w:numPr>
      <w:keepLines/>
      <w:keepNext/>
      <w:spacing w:before="260" w:after="260" w:line="413" w:lineRule="auto"/>
      <w:outlineLvl w:val="1"/>
    </w:pPr>
    <w:rPr>
      <w:rFonts w:ascii="Arial" w:hAnsi="Arial"/>
      <w:b/>
      <w:sz w:val="36"/>
    </w:rPr>
  </w:style>
  <w:style w:type="paragraph" w:styleId="768">
    <w:name w:val="Heading 3"/>
    <w:basedOn w:val="765"/>
    <w:next w:val="779"/>
    <w:link w:val="851"/>
    <w:qFormat/>
    <w:pPr>
      <w:keepLines/>
      <w:keepNext/>
      <w:spacing w:before="260" w:after="260" w:line="416" w:lineRule="auto"/>
      <w:outlineLvl w:val="2"/>
    </w:pPr>
    <w:rPr>
      <w:b/>
      <w:bCs/>
      <w:sz w:val="32"/>
      <w:szCs w:val="32"/>
    </w:rPr>
  </w:style>
  <w:style w:type="paragraph" w:styleId="769">
    <w:name w:val="Heading 4"/>
    <w:basedOn w:val="765"/>
    <w:next w:val="765"/>
    <w:link w:val="852"/>
    <w:uiPriority w:val="9"/>
    <w:qFormat/>
    <w:pPr>
      <w:keepLines/>
      <w:keepNext/>
      <w:spacing w:before="280" w:after="290" w:line="376" w:lineRule="auto"/>
      <w:outlineLvl w:val="3"/>
    </w:pPr>
    <w:rPr>
      <w:rFonts w:ascii="Arial" w:hAnsi="Arial" w:eastAsia="黑体"/>
      <w:b/>
      <w:bCs/>
      <w:sz w:val="28"/>
      <w:szCs w:val="28"/>
    </w:rPr>
  </w:style>
  <w:style w:type="paragraph" w:styleId="770">
    <w:name w:val="Heading 5"/>
    <w:basedOn w:val="765"/>
    <w:next w:val="765"/>
    <w:uiPriority w:val="9"/>
    <w:unhideWhenUsed/>
    <w:qFormat/>
    <w:pPr>
      <w:keepLines/>
      <w:keepNext/>
      <w:spacing w:before="320" w:after="200"/>
      <w:outlineLvl w:val="4"/>
    </w:pPr>
    <w:rPr>
      <w:rFonts w:ascii="Arial" w:hAnsi="Arial" w:eastAsia="Arial" w:cs="Arial"/>
      <w:b/>
      <w:bCs/>
      <w:sz w:val="24"/>
      <w:szCs w:val="24"/>
    </w:rPr>
  </w:style>
  <w:style w:type="paragraph" w:styleId="771">
    <w:name w:val="Heading 6"/>
    <w:basedOn w:val="765"/>
    <w:next w:val="765"/>
    <w:uiPriority w:val="9"/>
    <w:unhideWhenUsed/>
    <w:qFormat/>
    <w:pPr>
      <w:keepLines/>
      <w:keepNext/>
      <w:spacing w:before="320" w:after="200"/>
      <w:outlineLvl w:val="5"/>
    </w:pPr>
    <w:rPr>
      <w:rFonts w:ascii="Arial" w:hAnsi="Arial" w:eastAsia="Arial" w:cs="Arial"/>
      <w:b/>
      <w:bCs/>
      <w:sz w:val="22"/>
    </w:rPr>
  </w:style>
  <w:style w:type="paragraph" w:styleId="772">
    <w:name w:val="Heading 7"/>
    <w:basedOn w:val="765"/>
    <w:next w:val="765"/>
    <w:uiPriority w:val="9"/>
    <w:unhideWhenUsed/>
    <w:qFormat/>
    <w:pPr>
      <w:keepLines/>
      <w:keepNext/>
      <w:spacing w:before="320" w:after="200"/>
      <w:outlineLvl w:val="6"/>
    </w:pPr>
    <w:rPr>
      <w:rFonts w:ascii="Arial" w:hAnsi="Arial" w:eastAsia="Arial" w:cs="Arial"/>
      <w:b/>
      <w:bCs/>
      <w:i/>
      <w:iCs/>
      <w:sz w:val="22"/>
    </w:rPr>
  </w:style>
  <w:style w:type="paragraph" w:styleId="773">
    <w:name w:val="Heading 8"/>
    <w:basedOn w:val="765"/>
    <w:next w:val="765"/>
    <w:uiPriority w:val="9"/>
    <w:unhideWhenUsed/>
    <w:qFormat/>
    <w:pPr>
      <w:keepLines/>
      <w:keepNext/>
      <w:spacing w:before="320" w:after="200"/>
      <w:outlineLvl w:val="7"/>
    </w:pPr>
    <w:rPr>
      <w:rFonts w:ascii="Arial" w:hAnsi="Arial" w:eastAsia="Arial" w:cs="Arial"/>
      <w:i/>
      <w:iCs/>
      <w:sz w:val="22"/>
    </w:rPr>
  </w:style>
  <w:style w:type="paragraph" w:styleId="774">
    <w:name w:val="Heading 9"/>
    <w:basedOn w:val="765"/>
    <w:next w:val="765"/>
    <w:uiPriority w:val="9"/>
    <w:unhideWhenUsed/>
    <w:qFormat/>
    <w:pPr>
      <w:keepLines/>
      <w:keepNext/>
      <w:spacing w:before="320" w:after="200"/>
      <w:outlineLvl w:val="8"/>
    </w:pPr>
    <w:rPr>
      <w:rFonts w:ascii="Arial" w:hAnsi="Arial" w:eastAsia="Arial" w:cs="Arial"/>
      <w:i/>
      <w:iCs/>
      <w:szCs w:val="21"/>
    </w:rPr>
  </w:style>
  <w:style w:type="character" w:styleId="775" w:default="1">
    <w:name w:val="Default Paragraph Font"/>
    <w:uiPriority w:val="1"/>
    <w:semiHidden/>
    <w:unhideWhenUsed/>
  </w:style>
  <w:style w:type="table" w:styleId="776" w:default="1">
    <w:name w:val="Normal Table"/>
    <w:uiPriority w:val="99"/>
    <w:semiHidden/>
    <w:unhideWhenUsed/>
    <w:qFormat/>
    <w:tblPr>
      <w:tblInd w:w="0" w:type="dxa"/>
      <w:tblCellMar>
        <w:left w:w="108" w:type="dxa"/>
        <w:top w:w="0" w:type="dxa"/>
        <w:right w:w="108" w:type="dxa"/>
        <w:bottom w:w="0" w:type="dxa"/>
      </w:tblCellMar>
    </w:tblPr>
  </w:style>
  <w:style w:type="numbering" w:styleId="777" w:default="1">
    <w:name w:val="No List"/>
    <w:uiPriority w:val="99"/>
    <w:semiHidden/>
    <w:unhideWhenUsed/>
  </w:style>
  <w:style w:type="paragraph" w:styleId="778">
    <w:name w:val="Body Text Indent"/>
    <w:basedOn w:val="765"/>
    <w:next w:val="765"/>
    <w:link w:val="905"/>
    <w:uiPriority w:val="99"/>
    <w:unhideWhenUsed/>
    <w:qFormat/>
    <w:pPr>
      <w:ind w:left="420"/>
      <w:spacing w:after="120"/>
    </w:pPr>
    <w:rPr>
      <w:rFonts w:asciiTheme="minorHAnsi" w:hAnsiTheme="minorHAnsi" w:eastAsiaTheme="minorEastAsia" w:cstheme="minorBidi"/>
    </w:rPr>
  </w:style>
  <w:style w:type="paragraph" w:styleId="779">
    <w:name w:val="Normal Indent"/>
    <w:basedOn w:val="765"/>
    <w:next w:val="765"/>
    <w:uiPriority w:val="99"/>
    <w:qFormat/>
    <w:pPr>
      <w:ind w:firstLine="420"/>
      <w:jc w:val="left"/>
    </w:pPr>
    <w:rPr>
      <w:rFonts w:ascii="宋体" w:hAnsi="宋体" w:eastAsia="楷体_GB2312" w:cs="宋体"/>
      <w:sz w:val="24"/>
      <w:szCs w:val="20"/>
      <w:lang w:eastAsia="en-US"/>
    </w:rPr>
  </w:style>
  <w:style w:type="paragraph" w:styleId="780">
    <w:name w:val="toc 7"/>
    <w:basedOn w:val="766"/>
    <w:next w:val="765"/>
    <w:uiPriority w:val="39"/>
    <w:unhideWhenUsed/>
    <w:qFormat/>
    <w:pPr>
      <w:ind w:left="1701"/>
      <w:spacing w:after="57"/>
    </w:pPr>
  </w:style>
  <w:style w:type="paragraph" w:styleId="781">
    <w:name w:val="List Number"/>
    <w:basedOn w:val="765"/>
    <w:uiPriority w:val="99"/>
    <w:semiHidden/>
    <w:unhideWhenUsed/>
    <w:qFormat/>
    <w:pPr>
      <w:numPr>
        <w:numId w:val="2"/>
      </w:numPr>
    </w:pPr>
  </w:style>
  <w:style w:type="paragraph" w:styleId="782">
    <w:name w:val="Caption"/>
    <w:basedOn w:val="765"/>
    <w:next w:val="765"/>
    <w:uiPriority w:val="35"/>
    <w:semiHidden/>
    <w:unhideWhenUsed/>
    <w:qFormat/>
    <w:pPr>
      <w:spacing w:line="276" w:lineRule="auto"/>
    </w:pPr>
    <w:rPr>
      <w:b/>
      <w:bCs/>
      <w:color w:val="4472c4" w:themeColor="accent1"/>
      <w:sz w:val="18"/>
      <w:szCs w:val="18"/>
    </w:rPr>
  </w:style>
  <w:style w:type="paragraph" w:styleId="783">
    <w:name w:val="annotation text"/>
    <w:basedOn w:val="765"/>
    <w:link w:val="951"/>
    <w:uiPriority w:val="99"/>
    <w:unhideWhenUsed/>
    <w:qFormat/>
    <w:pPr>
      <w:jc w:val="left"/>
    </w:pPr>
    <w:rPr>
      <w:rFonts w:asciiTheme="minorHAnsi" w:hAnsiTheme="minorHAnsi" w:eastAsiaTheme="minorEastAsia" w:cstheme="minorBidi"/>
    </w:rPr>
  </w:style>
  <w:style w:type="paragraph" w:styleId="784">
    <w:name w:val="Body Text 3"/>
    <w:basedOn w:val="765"/>
    <w:uiPriority w:val="99"/>
    <w:unhideWhenUsed/>
    <w:qFormat/>
    <w:pPr>
      <w:jc w:val="center"/>
    </w:pPr>
    <w:rPr>
      <w:b/>
      <w:sz w:val="18"/>
      <w:szCs w:val="16"/>
    </w:rPr>
  </w:style>
  <w:style w:type="paragraph" w:styleId="785">
    <w:name w:val="Body Text"/>
    <w:basedOn w:val="765"/>
    <w:next w:val="765"/>
    <w:link w:val="848"/>
    <w:uiPriority w:val="99"/>
    <w:unhideWhenUsed/>
    <w:qFormat/>
    <w:pPr>
      <w:spacing w:after="120"/>
    </w:pPr>
    <w:rPr>
      <w:rFonts w:ascii="Times New Roman" w:hAnsi="Times New Roman"/>
      <w:sz w:val="20"/>
      <w:lang w:val="zh-CN"/>
    </w:rPr>
  </w:style>
  <w:style w:type="paragraph" w:styleId="786">
    <w:name w:val="List 2"/>
    <w:basedOn w:val="766"/>
    <w:next w:val="780"/>
    <w:qFormat/>
    <w:pPr>
      <w:ind w:left="100" w:firstLine="3640"/>
      <w:spacing w:before="0" w:after="0" w:line="240" w:lineRule="auto"/>
    </w:pPr>
  </w:style>
  <w:style w:type="paragraph" w:styleId="787">
    <w:name w:val="toc 5"/>
    <w:basedOn w:val="765"/>
    <w:next w:val="765"/>
    <w:uiPriority w:val="39"/>
    <w:unhideWhenUsed/>
    <w:qFormat/>
    <w:pPr>
      <w:ind w:left="1134"/>
      <w:spacing w:after="57"/>
    </w:pPr>
  </w:style>
  <w:style w:type="paragraph" w:styleId="788">
    <w:name w:val="toc 3"/>
    <w:basedOn w:val="765"/>
    <w:next w:val="765"/>
    <w:uiPriority w:val="39"/>
    <w:unhideWhenUsed/>
    <w:qFormat/>
    <w:pPr>
      <w:ind w:left="567"/>
      <w:spacing w:after="57"/>
    </w:pPr>
  </w:style>
  <w:style w:type="paragraph" w:styleId="789">
    <w:name w:val="Plain Text"/>
    <w:basedOn w:val="765"/>
    <w:link w:val="958"/>
    <w:qFormat/>
    <w:rPr>
      <w:rFonts w:hint="eastAsia" w:ascii="宋体" w:hAnsi="Courier New" w:eastAsia="楷体_GB2312" w:cs="宋体"/>
      <w:sz w:val="28"/>
      <w:szCs w:val="20"/>
      <w:lang w:eastAsia="en-US"/>
    </w:rPr>
  </w:style>
  <w:style w:type="paragraph" w:styleId="790">
    <w:name w:val="toc 8"/>
    <w:basedOn w:val="765"/>
    <w:next w:val="765"/>
    <w:uiPriority w:val="39"/>
    <w:unhideWhenUsed/>
    <w:qFormat/>
    <w:pPr>
      <w:ind w:left="1984"/>
      <w:spacing w:after="57"/>
    </w:pPr>
  </w:style>
  <w:style w:type="paragraph" w:styleId="791">
    <w:name w:val="endnote text"/>
    <w:basedOn w:val="765"/>
    <w:link w:val="893"/>
    <w:uiPriority w:val="99"/>
    <w:unhideWhenUsed/>
    <w:qFormat/>
    <w:rPr>
      <w:rFonts w:asciiTheme="minorHAnsi" w:hAnsiTheme="minorHAnsi" w:eastAsiaTheme="minorEastAsia" w:cstheme="minorBidi"/>
      <w:sz w:val="20"/>
    </w:rPr>
  </w:style>
  <w:style w:type="paragraph" w:styleId="792">
    <w:name w:val="Balloon Text"/>
    <w:basedOn w:val="765"/>
    <w:link w:val="942"/>
    <w:uiPriority w:val="99"/>
    <w:unhideWhenUsed/>
    <w:qFormat/>
    <w:rPr>
      <w:rFonts w:asciiTheme="minorHAnsi" w:hAnsiTheme="minorHAnsi" w:eastAsiaTheme="minorEastAsia" w:cstheme="minorBidi"/>
      <w:sz w:val="18"/>
      <w:szCs w:val="18"/>
    </w:rPr>
  </w:style>
  <w:style w:type="paragraph" w:styleId="793">
    <w:name w:val="Footer"/>
    <w:basedOn w:val="765"/>
    <w:link w:val="846"/>
    <w:uiPriority w:val="99"/>
    <w:unhideWhenUsed/>
    <w:qFormat/>
    <w:pPr>
      <w:jc w:val="left"/>
      <w:tabs>
        <w:tab w:val="center" w:pos="4153" w:leader="none"/>
        <w:tab w:val="right" w:pos="8306" w:leader="none"/>
      </w:tabs>
    </w:pPr>
    <w:rPr>
      <w:sz w:val="18"/>
      <w:szCs w:val="18"/>
    </w:rPr>
  </w:style>
  <w:style w:type="paragraph" w:styleId="794">
    <w:name w:val="envelope return"/>
    <w:basedOn w:val="765"/>
    <w:qFormat/>
    <w:rPr>
      <w:rFonts w:ascii="Arial" w:hAnsi="Arial"/>
    </w:rPr>
  </w:style>
  <w:style w:type="paragraph" w:styleId="795">
    <w:name w:val="Header"/>
    <w:basedOn w:val="765"/>
    <w:link w:val="845"/>
    <w:uiPriority w:val="99"/>
    <w:unhideWhenUsed/>
    <w:qFormat/>
    <w:pPr>
      <w:jc w:val="center"/>
      <w:tabs>
        <w:tab w:val="center" w:pos="4153" w:leader="none"/>
        <w:tab w:val="right" w:pos="8306" w:leader="none"/>
      </w:tabs>
    </w:pPr>
    <w:rPr>
      <w:sz w:val="18"/>
      <w:szCs w:val="18"/>
    </w:rPr>
  </w:style>
  <w:style w:type="paragraph" w:styleId="796">
    <w:name w:val="toc 1"/>
    <w:basedOn w:val="765"/>
    <w:next w:val="765"/>
    <w:uiPriority w:val="39"/>
    <w:unhideWhenUsed/>
    <w:qFormat/>
    <w:pPr>
      <w:spacing w:after="57"/>
    </w:pPr>
  </w:style>
  <w:style w:type="paragraph" w:styleId="797">
    <w:name w:val="toc 4"/>
    <w:basedOn w:val="765"/>
    <w:next w:val="765"/>
    <w:uiPriority w:val="39"/>
    <w:unhideWhenUsed/>
    <w:qFormat/>
    <w:pPr>
      <w:ind w:left="850"/>
      <w:spacing w:after="57"/>
    </w:pPr>
  </w:style>
  <w:style w:type="paragraph" w:styleId="798">
    <w:name w:val="Subtitle"/>
    <w:basedOn w:val="765"/>
    <w:next w:val="765"/>
    <w:link w:val="894"/>
    <w:uiPriority w:val="11"/>
    <w:qFormat/>
    <w:pPr>
      <w:spacing w:before="200" w:after="200"/>
    </w:pPr>
    <w:rPr>
      <w:rFonts w:asciiTheme="minorHAnsi" w:hAnsiTheme="minorHAnsi" w:eastAsiaTheme="minorEastAsia" w:cstheme="minorBidi"/>
      <w:sz w:val="24"/>
      <w:szCs w:val="24"/>
    </w:rPr>
  </w:style>
  <w:style w:type="paragraph" w:styleId="799">
    <w:name w:val="footnote text"/>
    <w:basedOn w:val="765"/>
    <w:link w:val="912"/>
    <w:uiPriority w:val="99"/>
    <w:unhideWhenUsed/>
    <w:qFormat/>
    <w:pPr>
      <w:spacing w:after="40"/>
    </w:pPr>
    <w:rPr>
      <w:rFonts w:asciiTheme="minorHAnsi" w:hAnsiTheme="minorHAnsi" w:eastAsiaTheme="minorEastAsia" w:cstheme="minorBidi"/>
      <w:sz w:val="18"/>
    </w:rPr>
  </w:style>
  <w:style w:type="paragraph" w:styleId="800">
    <w:name w:val="toc 6"/>
    <w:basedOn w:val="765"/>
    <w:next w:val="765"/>
    <w:uiPriority w:val="39"/>
    <w:unhideWhenUsed/>
    <w:qFormat/>
    <w:pPr>
      <w:ind w:left="1417"/>
      <w:spacing w:after="57"/>
    </w:pPr>
  </w:style>
  <w:style w:type="paragraph" w:styleId="801">
    <w:name w:val="Body Text Indent 3"/>
    <w:basedOn w:val="765"/>
    <w:link w:val="965"/>
    <w:qFormat/>
    <w:pPr>
      <w:ind w:firstLine="480"/>
      <w:jc w:val="left"/>
      <w:spacing w:line="440" w:lineRule="atLeast"/>
    </w:pPr>
    <w:rPr>
      <w:rFonts w:ascii="Times New Roman" w:hAnsi="Times New Roman"/>
      <w:sz w:val="24"/>
    </w:rPr>
  </w:style>
  <w:style w:type="paragraph" w:styleId="802">
    <w:name w:val="table of figures"/>
    <w:basedOn w:val="765"/>
    <w:next w:val="765"/>
    <w:uiPriority w:val="99"/>
    <w:unhideWhenUsed/>
    <w:qFormat/>
  </w:style>
  <w:style w:type="paragraph" w:styleId="803">
    <w:name w:val="toc 2"/>
    <w:basedOn w:val="765"/>
    <w:next w:val="765"/>
    <w:uiPriority w:val="39"/>
    <w:unhideWhenUsed/>
    <w:qFormat/>
    <w:pPr>
      <w:ind w:left="283"/>
      <w:spacing w:after="57"/>
    </w:pPr>
  </w:style>
  <w:style w:type="paragraph" w:styleId="804">
    <w:name w:val="toc 9"/>
    <w:basedOn w:val="765"/>
    <w:next w:val="765"/>
    <w:uiPriority w:val="39"/>
    <w:unhideWhenUsed/>
    <w:qFormat/>
    <w:pPr>
      <w:ind w:left="2268"/>
      <w:spacing w:after="57"/>
    </w:pPr>
  </w:style>
  <w:style w:type="paragraph" w:styleId="805">
    <w:name w:val="Body Text 2"/>
    <w:basedOn w:val="765"/>
    <w:uiPriority w:val="8"/>
    <w:unhideWhenUsed/>
    <w:qFormat/>
    <w:pPr>
      <w:jc w:val="center"/>
    </w:pPr>
    <w:rPr>
      <w:sz w:val="18"/>
    </w:rPr>
  </w:style>
  <w:style w:type="paragraph" w:styleId="806">
    <w:name w:val="Normal (Web)"/>
    <w:basedOn w:val="765"/>
    <w:next w:val="786"/>
    <w:uiPriority w:val="99"/>
    <w:qFormat/>
    <w:pPr>
      <w:ind w:left="15" w:right="15" w:firstLine="4608"/>
      <w:spacing w:before="60" w:after="60" w:line="312" w:lineRule="auto"/>
    </w:pPr>
  </w:style>
  <w:style w:type="paragraph" w:styleId="807">
    <w:name w:val="Title"/>
    <w:basedOn w:val="765"/>
    <w:next w:val="765"/>
    <w:link w:val="895"/>
    <w:uiPriority w:val="10"/>
    <w:qFormat/>
    <w:pPr>
      <w:contextualSpacing/>
      <w:spacing w:before="300" w:after="200"/>
    </w:pPr>
    <w:rPr>
      <w:rFonts w:asciiTheme="minorHAnsi" w:hAnsiTheme="minorHAnsi" w:eastAsiaTheme="minorEastAsia" w:cstheme="minorBidi"/>
      <w:sz w:val="48"/>
      <w:szCs w:val="48"/>
    </w:rPr>
  </w:style>
  <w:style w:type="paragraph" w:styleId="808">
    <w:name w:val="annotation subject"/>
    <w:basedOn w:val="783"/>
    <w:next w:val="783"/>
    <w:link w:val="950"/>
    <w:uiPriority w:val="99"/>
    <w:unhideWhenUsed/>
    <w:qFormat/>
    <w:rPr>
      <w:b/>
      <w:bCs/>
    </w:rPr>
  </w:style>
  <w:style w:type="paragraph" w:styleId="809">
    <w:name w:val="Body Text First Indent"/>
    <w:basedOn w:val="785"/>
    <w:link w:val="849"/>
    <w:unhideWhenUsed/>
    <w:qFormat/>
    <w:pPr>
      <w:ind w:firstLine="420"/>
    </w:pPr>
    <w:rPr>
      <w:rFonts w:ascii="Calibri" w:hAnsi="Calibri"/>
      <w:sz w:val="21"/>
      <w:lang w:val="en-US"/>
    </w:rPr>
  </w:style>
  <w:style w:type="paragraph" w:styleId="810">
    <w:name w:val="Body Text First Indent 2"/>
    <w:basedOn w:val="778"/>
    <w:next w:val="765"/>
    <w:link w:val="900"/>
    <w:uiPriority w:val="99"/>
    <w:unhideWhenUsed/>
    <w:qFormat/>
    <w:pPr>
      <w:ind w:firstLine="420"/>
    </w:pPr>
  </w:style>
  <w:style w:type="table" w:styleId="811">
    <w:name w:val="Table Grid"/>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2">
    <w:name w:val="endnote reference"/>
    <w:uiPriority w:val="99"/>
    <w:unhideWhenUsed/>
    <w:qFormat/>
    <w:rPr>
      <w:vertAlign w:val="superscript"/>
    </w:rPr>
  </w:style>
  <w:style w:type="character" w:styleId="813">
    <w:name w:val="page number"/>
    <w:uiPriority w:val="99"/>
    <w:qFormat/>
    <w:rPr>
      <w:rFonts w:cs="Times New Roman"/>
    </w:rPr>
  </w:style>
  <w:style w:type="character" w:styleId="814">
    <w:name w:val="Emphasis"/>
    <w:qFormat/>
    <w:rPr>
      <w:i/>
    </w:rPr>
  </w:style>
  <w:style w:type="character" w:styleId="815">
    <w:name w:val="Hyperlink"/>
    <w:uiPriority w:val="99"/>
    <w:unhideWhenUsed/>
    <w:qFormat/>
    <w:rPr>
      <w:color w:val="0000ff"/>
      <w:u w:val="single"/>
    </w:rPr>
  </w:style>
  <w:style w:type="character" w:styleId="816">
    <w:name w:val="annotation reference"/>
    <w:uiPriority w:val="99"/>
    <w:unhideWhenUsed/>
    <w:qFormat/>
    <w:rPr>
      <w:sz w:val="21"/>
      <w:szCs w:val="21"/>
    </w:rPr>
  </w:style>
  <w:style w:type="character" w:styleId="817">
    <w:name w:val="footnote reference"/>
    <w:uiPriority w:val="99"/>
    <w:unhideWhenUsed/>
    <w:qFormat/>
    <w:rPr>
      <w:vertAlign w:val="superscript"/>
    </w:rPr>
  </w:style>
  <w:style w:type="table" w:styleId="818" w:customStyle="1">
    <w:name w:val="无格式表格 11"/>
    <w:basedOn w:val="776"/>
    <w:uiPriority w:val="59"/>
    <w:qFormat/>
    <w:rPr>
      <w:rFonts w:ascii="Calibri" w:hAnsi="Calibri"/>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9" w:customStyle="1">
    <w:name w:val="无格式表格 21"/>
    <w:basedOn w:val="776"/>
    <w:uiPriority w:val="59"/>
    <w:qFormat/>
    <w:rPr>
      <w:rFonts w:ascii="Calibri" w:hAnsi="Calibri"/>
    </w:rPr>
    <w:tblPr>
      <w:tblInd w:w="0" w:type="dxa"/>
      <w:tblBorders>
        <w:top w:val="single" w:color="000000" w:sz="4" w:space="0"/>
        <w:bottom w:val="single" w:color="000000"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0" w:customStyle="1">
    <w:name w:val="无格式表格 31"/>
    <w:basedOn w:val="776"/>
    <w:uiPriority w:val="99"/>
    <w:qFormat/>
    <w:rPr>
      <w:rFonts w:ascii="Calibri" w:hAnsi="Calibri"/>
    </w:rPr>
    <w:tblPr>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1" w:customStyle="1">
    <w:name w:val="无格式表格 41"/>
    <w:basedOn w:val="776"/>
    <w:uiPriority w:val="99"/>
    <w:qFormat/>
    <w:rPr>
      <w:rFonts w:ascii="Calibri" w:hAnsi="Calibri"/>
    </w:rPr>
    <w:tblPr>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2" w:customStyle="1">
    <w:name w:val="无格式表格 51"/>
    <w:basedOn w:val="776"/>
    <w:uiPriority w:val="99"/>
    <w:qFormat/>
    <w:rPr>
      <w:rFonts w:ascii="Calibri" w:hAnsi="Calibri"/>
    </w:rPr>
    <w:tblPr>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3" w:customStyle="1">
    <w:name w:val="网格表 1 浅色1"/>
    <w:basedOn w:val="776"/>
    <w:uiPriority w:val="99"/>
    <w:qFormat/>
    <w:rPr>
      <w:rFonts w:ascii="Calibri" w:hAnsi="Calibri"/>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24" w:customStyle="1">
    <w:name w:val="网格表 21"/>
    <w:basedOn w:val="776"/>
    <w:uiPriority w:val="99"/>
    <w:qFormat/>
    <w:rPr>
      <w:rFonts w:ascii="Calibri" w:hAnsi="Calibri"/>
    </w:rPr>
    <w:tblPr>
      <w:tblInd w:w="0" w:type="dxa"/>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25" w:customStyle="1">
    <w:name w:val="网格表 31"/>
    <w:basedOn w:val="776"/>
    <w:uiPriority w:val="99"/>
    <w:qFormat/>
    <w:rPr>
      <w:rFonts w:ascii="Calibri" w:hAnsi="Calibri"/>
    </w:rPr>
    <w:tblPr>
      <w:tblInd w:w="0" w:type="dxa"/>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网格表 41"/>
    <w:basedOn w:val="776"/>
    <w:uiPriority w:val="59"/>
    <w:qFormat/>
    <w:rPr>
      <w:rFonts w:ascii="Calibri" w:hAnsi="Calibri"/>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7" w:customStyle="1">
    <w:name w:val="网格表 5 深色1"/>
    <w:basedOn w:val="776"/>
    <w:uiPriority w:val="99"/>
    <w:qFormat/>
    <w:rPr>
      <w:rFonts w:ascii="Calibri" w:hAnsi="Calibri"/>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8" w:customStyle="1">
    <w:name w:val="网格表 6 彩色1"/>
    <w:basedOn w:val="776"/>
    <w:uiPriority w:val="99"/>
    <w:qFormat/>
    <w:rPr>
      <w:rFonts w:ascii="Calibri" w:hAnsi="Calibri"/>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29" w:customStyle="1">
    <w:name w:val="网格表 7 彩色1"/>
    <w:basedOn w:val="776"/>
    <w:uiPriority w:val="99"/>
    <w:qFormat/>
    <w:rPr>
      <w:rFonts w:ascii="Calibri" w:hAnsi="Calibri"/>
    </w:rPr>
    <w:tblPr>
      <w:tblInd w:w="0" w:type="dxa"/>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30" w:customStyle="1">
    <w:name w:val="清单表 1 浅色1"/>
    <w:basedOn w:val="776"/>
    <w:uiPriority w:val="99"/>
    <w:qFormat/>
    <w:rPr>
      <w:rFonts w:ascii="Calibri" w:hAnsi="Calibri"/>
    </w:rPr>
    <w:tblPr>
      <w:tblInd w:w="0" w:type="dxa"/>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1" w:customStyle="1">
    <w:name w:val="清单表 21"/>
    <w:basedOn w:val="776"/>
    <w:uiPriority w:val="99"/>
    <w:qFormat/>
    <w:rPr>
      <w:rFonts w:ascii="Calibri" w:hAnsi="Calibri"/>
    </w:rPr>
    <w:tblPr>
      <w:tblInd w:w="0" w:type="dxa"/>
      <w:tblBorders>
        <w:top w:val="single" w:color="000000" w:sz="4" w:space="0"/>
        <w:bottom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32" w:customStyle="1">
    <w:name w:val="清单表 31"/>
    <w:basedOn w:val="776"/>
    <w:uiPriority w:val="99"/>
    <w:qFormat/>
    <w:rPr>
      <w:rFonts w:ascii="Calibri" w:hAnsi="Calibri"/>
    </w:rPr>
    <w:tblPr>
      <w:tblInd w:w="0" w:type="dxa"/>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3" w:customStyle="1">
    <w:name w:val="清单表 41"/>
    <w:basedOn w:val="776"/>
    <w:uiPriority w:val="99"/>
    <w:qFormat/>
    <w:rPr>
      <w:rFonts w:ascii="Calibri" w:hAnsi="Calibri"/>
    </w:rPr>
    <w:tblPr>
      <w:tblInd w:w="0" w:type="dxa"/>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4" w:customStyle="1">
    <w:name w:val="清单表 5 深色1"/>
    <w:basedOn w:val="776"/>
    <w:uiPriority w:val="99"/>
    <w:qFormat/>
    <w:rPr>
      <w:rFonts w:ascii="Calibri" w:hAnsi="Calibri"/>
    </w:rPr>
    <w:tblPr>
      <w:tblInd w:w="0" w:type="dxa"/>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35" w:customStyle="1">
    <w:name w:val="清单表 6 彩色1"/>
    <w:basedOn w:val="776"/>
    <w:uiPriority w:val="99"/>
    <w:qFormat/>
    <w:rPr>
      <w:rFonts w:ascii="Calibri" w:hAnsi="Calibri"/>
    </w:rPr>
    <w:tblPr>
      <w:tblInd w:w="0" w:type="dxa"/>
      <w:tblBorders>
        <w:top w:val="single" w:color="000000" w:sz="4" w:space="0"/>
        <w:bottom w:val="single" w:color="00000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36" w:customStyle="1">
    <w:name w:val="清单表 7 彩色1"/>
    <w:basedOn w:val="776"/>
    <w:uiPriority w:val="99"/>
    <w:qFormat/>
    <w:rPr>
      <w:rFonts w:ascii="Calibri" w:hAnsi="Calibri"/>
    </w:rPr>
    <w:tblPr>
      <w:tblInd w:w="0" w:type="dxa"/>
      <w:tblBorders>
        <w:right w:val="single" w:color="00000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837" w:customStyle="1">
    <w:name w:val="TOC 标题1"/>
    <w:uiPriority w:val="39"/>
    <w:unhideWhenUsed/>
    <w:qFormat/>
    <w:pPr>
      <w:spacing w:after="160" w:line="278" w:lineRule="auto"/>
    </w:pPr>
  </w:style>
  <w:style w:type="paragraph" w:styleId="838" w:customStyle="1">
    <w:name w:val="段"/>
    <w:next w:val="765"/>
    <w:qFormat/>
    <w:pPr>
      <w:ind w:firstLine="200"/>
      <w:jc w:val="both"/>
      <w:spacing w:after="160" w:line="278" w:lineRule="auto"/>
    </w:pPr>
    <w:rPr>
      <w:rFonts w:ascii="宋体" w:hAnsi="Calibri"/>
      <w:sz w:val="21"/>
    </w:rPr>
  </w:style>
  <w:style w:type="character" w:styleId="839" w:customStyle="1">
    <w:name w:val="Title Char"/>
    <w:basedOn w:val="775"/>
    <w:uiPriority w:val="10"/>
    <w:qFormat/>
    <w:rPr>
      <w:sz w:val="48"/>
      <w:szCs w:val="48"/>
    </w:rPr>
  </w:style>
  <w:style w:type="character" w:styleId="840" w:customStyle="1">
    <w:name w:val="Subtitle Char"/>
    <w:basedOn w:val="775"/>
    <w:uiPriority w:val="11"/>
    <w:qFormat/>
    <w:rPr>
      <w:sz w:val="24"/>
      <w:szCs w:val="24"/>
    </w:rPr>
  </w:style>
  <w:style w:type="character" w:styleId="841" w:customStyle="1">
    <w:name w:val="Quote Char"/>
    <w:uiPriority w:val="29"/>
    <w:qFormat/>
    <w:rPr>
      <w:i/>
    </w:rPr>
  </w:style>
  <w:style w:type="character" w:styleId="842" w:customStyle="1">
    <w:name w:val="Intense Quote Char"/>
    <w:uiPriority w:val="30"/>
    <w:qFormat/>
    <w:rPr>
      <w:i/>
    </w:rPr>
  </w:style>
  <w:style w:type="character" w:styleId="843" w:customStyle="1">
    <w:name w:val="Footnote Text Char"/>
    <w:uiPriority w:val="99"/>
    <w:qFormat/>
    <w:rPr>
      <w:sz w:val="18"/>
    </w:rPr>
  </w:style>
  <w:style w:type="character" w:styleId="844" w:customStyle="1">
    <w:name w:val="Endnote Text Char"/>
    <w:uiPriority w:val="99"/>
    <w:qFormat/>
    <w:rPr>
      <w:sz w:val="20"/>
    </w:rPr>
  </w:style>
  <w:style w:type="character" w:styleId="845" w:customStyle="1">
    <w:name w:val="页眉 Char"/>
    <w:basedOn w:val="775"/>
    <w:link w:val="795"/>
    <w:uiPriority w:val="99"/>
    <w:qFormat/>
    <w:rPr>
      <w:sz w:val="18"/>
      <w:szCs w:val="18"/>
    </w:rPr>
  </w:style>
  <w:style w:type="character" w:styleId="846" w:customStyle="1">
    <w:name w:val="页脚 Char"/>
    <w:basedOn w:val="775"/>
    <w:link w:val="793"/>
    <w:uiPriority w:val="99"/>
    <w:qFormat/>
    <w:rPr>
      <w:sz w:val="18"/>
      <w:szCs w:val="18"/>
    </w:rPr>
  </w:style>
  <w:style w:type="paragraph" w:styleId="847" w:customStyle="1">
    <w:name w:val="首行缩进"/>
    <w:basedOn w:val="765"/>
    <w:qFormat/>
    <w:pPr>
      <w:ind w:firstLine="480"/>
    </w:pPr>
    <w:rPr>
      <w:rFonts w:ascii="宋体" w:hAnsi="宋体" w:cs="宋体"/>
      <w:szCs w:val="20"/>
      <w:lang w:val="zh-CN" w:eastAsia="en-US"/>
    </w:rPr>
  </w:style>
  <w:style w:type="character" w:styleId="848" w:customStyle="1">
    <w:name w:val="正文文本 Char"/>
    <w:basedOn w:val="775"/>
    <w:link w:val="785"/>
    <w:qFormat/>
    <w:rPr>
      <w:rFonts w:ascii="Times New Roman" w:hAnsi="Times New Roman" w:eastAsia="宋体" w:cs="Times New Roman"/>
      <w:sz w:val="20"/>
      <w:lang w:val="zh-CN"/>
    </w:rPr>
  </w:style>
  <w:style w:type="character" w:styleId="849" w:customStyle="1">
    <w:name w:val="正文首行缩进 Char"/>
    <w:basedOn w:val="848"/>
    <w:link w:val="809"/>
    <w:qFormat/>
    <w:rPr>
      <w:rFonts w:ascii="Times New Roman" w:hAnsi="Times New Roman" w:eastAsia="宋体" w:cs="Times New Roman"/>
      <w:sz w:val="20"/>
      <w:lang w:val="zh-CN"/>
    </w:rPr>
  </w:style>
  <w:style w:type="character" w:styleId="850" w:customStyle="1">
    <w:name w:val="标题 2 Char"/>
    <w:basedOn w:val="775"/>
    <w:link w:val="767"/>
    <w:qFormat/>
    <w:rPr>
      <w:rFonts w:ascii="Arial" w:hAnsi="Arial" w:eastAsia="宋体" w:cs="Times New Roman"/>
      <w:b/>
      <w:sz w:val="36"/>
    </w:rPr>
  </w:style>
  <w:style w:type="character" w:styleId="851" w:customStyle="1">
    <w:name w:val="标题 3 Char"/>
    <w:basedOn w:val="775"/>
    <w:link w:val="768"/>
    <w:qFormat/>
    <w:rPr>
      <w:rFonts w:ascii="Calibri" w:hAnsi="Calibri" w:eastAsia="宋体" w:cs="Times New Roman"/>
      <w:b/>
      <w:bCs/>
      <w:sz w:val="32"/>
      <w:szCs w:val="32"/>
    </w:rPr>
  </w:style>
  <w:style w:type="character" w:styleId="852" w:customStyle="1">
    <w:name w:val="标题 4 Char"/>
    <w:basedOn w:val="775"/>
    <w:link w:val="769"/>
    <w:uiPriority w:val="9"/>
    <w:qFormat/>
    <w:rPr>
      <w:rFonts w:ascii="Arial" w:hAnsi="Arial" w:eastAsia="黑体" w:cs="Times New Roman"/>
      <w:b/>
      <w:bCs/>
      <w:sz w:val="28"/>
      <w:szCs w:val="28"/>
    </w:rPr>
  </w:style>
  <w:style w:type="character" w:styleId="853" w:customStyle="1">
    <w:name w:val="Header Char"/>
    <w:link w:val="854"/>
    <w:uiPriority w:val="99"/>
    <w:qFormat/>
  </w:style>
  <w:style w:type="paragraph" w:styleId="854" w:customStyle="1">
    <w:name w:val="页眉2"/>
    <w:basedOn w:val="765"/>
    <w:link w:val="853"/>
    <w:uiPriority w:val="99"/>
    <w:unhideWhenUsed/>
    <w:qFormat/>
    <w:pPr>
      <w:tabs>
        <w:tab w:val="center" w:pos="7143" w:leader="none"/>
        <w:tab w:val="right" w:pos="14287" w:leader="none"/>
      </w:tabs>
    </w:pPr>
    <w:rPr>
      <w:rFonts w:asciiTheme="minorHAnsi" w:hAnsiTheme="minorHAnsi" w:eastAsiaTheme="minorEastAsia" w:cstheme="minorBidi"/>
    </w:rPr>
  </w:style>
  <w:style w:type="character" w:styleId="855" w:customStyle="1">
    <w:name w:val="标题 5 字符"/>
    <w:link w:val="856"/>
    <w:qFormat/>
    <w:rPr>
      <w:rFonts w:ascii="Tahoma" w:hAnsi="Tahoma" w:eastAsia="宋体" w:cs="Times New Roman"/>
      <w:b/>
      <w:bCs/>
      <w:i/>
      <w:iCs/>
      <w:sz w:val="26"/>
      <w:szCs w:val="26"/>
      <w:lang w:eastAsia="en-US"/>
    </w:rPr>
  </w:style>
  <w:style w:type="paragraph" w:styleId="856" w:customStyle="1">
    <w:name w:val="标题 511"/>
    <w:basedOn w:val="765"/>
    <w:next w:val="765"/>
    <w:link w:val="855"/>
    <w:qFormat/>
    <w:pPr>
      <w:ind w:left="1008" w:hanging="1008"/>
      <w:spacing w:before="240" w:after="60"/>
      <w:tabs>
        <w:tab w:val="left" w:pos="1008" w:leader="none"/>
      </w:tabs>
      <w:outlineLvl w:val="4"/>
    </w:pPr>
    <w:rPr>
      <w:rFonts w:ascii="Tahoma" w:hAnsi="Tahoma"/>
      <w:b/>
      <w:bCs/>
      <w:i/>
      <w:iCs/>
      <w:sz w:val="26"/>
      <w:szCs w:val="26"/>
      <w:lang w:eastAsia="en-US"/>
    </w:rPr>
  </w:style>
  <w:style w:type="character" w:styleId="857" w:customStyle="1">
    <w:name w:val="文档结构图 字符"/>
    <w:link w:val="858"/>
    <w:qFormat/>
    <w:rPr>
      <w:rFonts w:ascii="Tahoma" w:hAnsi="Tahoma" w:eastAsia="宋体" w:cs="Times New Roman"/>
      <w:szCs w:val="24"/>
      <w:shd w:val="clear" w:color="auto" w:fill="000080"/>
      <w:lang w:eastAsia="en-US"/>
    </w:rPr>
  </w:style>
  <w:style w:type="paragraph" w:styleId="858" w:customStyle="1">
    <w:name w:val="文档结构图1"/>
    <w:basedOn w:val="765"/>
    <w:link w:val="857"/>
    <w:qFormat/>
    <w:pPr>
      <w:shd w:val="clear" w:color="auto" w:fill="000080"/>
    </w:pPr>
    <w:rPr>
      <w:rFonts w:ascii="Tahoma" w:hAnsi="Tahoma"/>
      <w:szCs w:val="24"/>
      <w:lang w:eastAsia="en-US"/>
    </w:rPr>
  </w:style>
  <w:style w:type="character" w:styleId="859" w:customStyle="1">
    <w:name w:val="10"/>
    <w:qFormat/>
    <w:rPr>
      <w:rFonts w:ascii="Tahoma" w:hAnsi="Tahoma" w:eastAsia="宋体" w:cs="Tahoma"/>
      <w:sz w:val="24"/>
      <w:szCs w:val="24"/>
    </w:rPr>
  </w:style>
  <w:style w:type="character" w:styleId="860" w:customStyle="1">
    <w:name w:val="Heading 7 Char"/>
    <w:link w:val="861"/>
    <w:uiPriority w:val="9"/>
    <w:qFormat/>
    <w:rPr>
      <w:rFonts w:ascii="Arial" w:hAnsi="Arial" w:eastAsia="Arial" w:cs="Arial"/>
      <w:b/>
      <w:bCs/>
      <w:i/>
      <w:iCs/>
      <w:sz w:val="22"/>
    </w:rPr>
  </w:style>
  <w:style w:type="paragraph" w:styleId="861" w:customStyle="1">
    <w:name w:val="标题 72"/>
    <w:basedOn w:val="765"/>
    <w:next w:val="765"/>
    <w:link w:val="860"/>
    <w:uiPriority w:val="9"/>
    <w:unhideWhenUsed/>
    <w:qFormat/>
    <w:pPr>
      <w:keepLines/>
      <w:keepNext/>
      <w:spacing w:before="320" w:after="200"/>
      <w:outlineLvl w:val="6"/>
    </w:pPr>
    <w:rPr>
      <w:rFonts w:ascii="Arial" w:hAnsi="Arial" w:eastAsia="Arial" w:cs="Arial"/>
      <w:b/>
      <w:bCs/>
      <w:i/>
      <w:iCs/>
      <w:sz w:val="22"/>
    </w:rPr>
  </w:style>
  <w:style w:type="character" w:styleId="862" w:customStyle="1">
    <w:name w:val="标题 9 字符"/>
    <w:link w:val="863"/>
    <w:qFormat/>
    <w:rPr>
      <w:rFonts w:ascii="Arial" w:hAnsi="Arial" w:eastAsia="宋体" w:cs="Times New Roman"/>
      <w:sz w:val="22"/>
      <w:lang w:eastAsia="en-US"/>
    </w:rPr>
  </w:style>
  <w:style w:type="paragraph" w:styleId="863" w:customStyle="1">
    <w:name w:val="标题 911"/>
    <w:basedOn w:val="765"/>
    <w:next w:val="765"/>
    <w:link w:val="862"/>
    <w:qFormat/>
    <w:pPr>
      <w:ind w:left="1584" w:hanging="1584"/>
      <w:spacing w:before="240" w:after="60"/>
      <w:tabs>
        <w:tab w:val="left" w:pos="1584" w:leader="none"/>
      </w:tabs>
      <w:outlineLvl w:val="8"/>
    </w:pPr>
    <w:rPr>
      <w:rFonts w:ascii="Arial" w:hAnsi="Arial"/>
      <w:sz w:val="22"/>
      <w:lang w:eastAsia="en-US"/>
    </w:rPr>
  </w:style>
  <w:style w:type="character" w:styleId="864" w:customStyle="1">
    <w:name w:val="正文缩进 字符"/>
    <w:link w:val="865"/>
    <w:uiPriority w:val="99"/>
    <w:qFormat/>
    <w:rPr>
      <w:rFonts w:ascii="Times New Roman" w:hAnsi="Times New Roman" w:eastAsia="楷体_GB2312" w:cs="Times New Roman"/>
      <w:sz w:val="24"/>
      <w:szCs w:val="20"/>
      <w:lang w:eastAsia="en-US"/>
    </w:rPr>
  </w:style>
  <w:style w:type="paragraph" w:styleId="865" w:customStyle="1">
    <w:name w:val="正文缩进11"/>
    <w:basedOn w:val="765"/>
    <w:link w:val="864"/>
    <w:uiPriority w:val="99"/>
    <w:qFormat/>
    <w:pPr>
      <w:ind w:firstLine="420"/>
      <w:jc w:val="left"/>
    </w:pPr>
    <w:rPr>
      <w:rFonts w:ascii="Times New Roman" w:hAnsi="Times New Roman" w:eastAsia="楷体_GB2312"/>
      <w:sz w:val="24"/>
      <w:szCs w:val="20"/>
      <w:lang w:eastAsia="en-US"/>
    </w:rPr>
  </w:style>
  <w:style w:type="character" w:styleId="866" w:customStyle="1">
    <w:name w:val="z-窗体底端 字符"/>
    <w:link w:val="867"/>
    <w:uiPriority w:val="99"/>
    <w:qFormat/>
    <w:rPr>
      <w:rFonts w:ascii="Arial" w:hAnsi="Arial" w:eastAsia="宋体" w:cs="Arial"/>
      <w:vanish/>
      <w:sz w:val="16"/>
      <w:szCs w:val="16"/>
    </w:rPr>
  </w:style>
  <w:style w:type="paragraph" w:styleId="867" w:customStyle="1">
    <w:name w:val="z-窗体底端1"/>
    <w:basedOn w:val="765"/>
    <w:next w:val="765"/>
    <w:link w:val="866"/>
    <w:uiPriority w:val="99"/>
    <w:unhideWhenUsed/>
    <w:qFormat/>
    <w:pPr>
      <w:jc w:val="center"/>
      <w:widowControl/>
      <w:pBdr>
        <w:top w:val="single" w:color="000000" w:sz="6" w:space="1"/>
      </w:pBdr>
    </w:pPr>
    <w:rPr>
      <w:rFonts w:ascii="Arial" w:hAnsi="Arial" w:cs="Arial"/>
      <w:vanish/>
      <w:sz w:val="16"/>
      <w:szCs w:val="16"/>
    </w:rPr>
  </w:style>
  <w:style w:type="character" w:styleId="868" w:customStyle="1">
    <w:name w:val="z-窗体顶端 Char1"/>
    <w:uiPriority w:val="99"/>
    <w:semiHidden/>
    <w:qFormat/>
    <w:rPr>
      <w:rFonts w:ascii="Arial" w:hAnsi="Arial" w:cs="Arial"/>
      <w:vanish/>
      <w:sz w:val="16"/>
      <w:szCs w:val="16"/>
    </w:rPr>
  </w:style>
  <w:style w:type="character" w:styleId="869" w:customStyle="1">
    <w:name w:val="纯文本 Char1"/>
    <w:qFormat/>
    <w:rPr>
      <w:rFonts w:ascii="宋体" w:hAnsi="Courier New" w:eastAsia="宋体"/>
      <w:sz w:val="21"/>
      <w:szCs w:val="21"/>
      <w:lang w:val="en-US" w:eastAsia="zh-CN" w:bidi="ar-SA"/>
    </w:rPr>
  </w:style>
  <w:style w:type="character" w:styleId="870" w:customStyle="1">
    <w:name w:val="批注文字 Char1"/>
    <w:qFormat/>
    <w:rPr>
      <w:rFonts w:ascii="Tahoma" w:hAnsi="Tahoma" w:eastAsia="宋体"/>
      <w:sz w:val="21"/>
      <w:szCs w:val="24"/>
    </w:rPr>
  </w:style>
  <w:style w:type="character" w:styleId="871" w:customStyle="1">
    <w:name w:val="标题 8 字符"/>
    <w:link w:val="872"/>
    <w:qFormat/>
    <w:rPr>
      <w:rFonts w:ascii="Tahoma" w:hAnsi="Tahoma" w:eastAsia="宋体" w:cs="Times New Roman"/>
      <w:i/>
      <w:iCs/>
      <w:sz w:val="24"/>
      <w:szCs w:val="24"/>
      <w:lang w:eastAsia="en-US"/>
    </w:rPr>
  </w:style>
  <w:style w:type="paragraph" w:styleId="872" w:customStyle="1">
    <w:name w:val="标题 81"/>
    <w:basedOn w:val="765"/>
    <w:next w:val="765"/>
    <w:link w:val="871"/>
    <w:qFormat/>
    <w:pPr>
      <w:ind w:left="1440" w:hanging="1440"/>
      <w:spacing w:before="240" w:after="60"/>
      <w:tabs>
        <w:tab w:val="left" w:pos="1440" w:leader="none"/>
      </w:tabs>
      <w:outlineLvl w:val="7"/>
    </w:pPr>
    <w:rPr>
      <w:rFonts w:ascii="Tahoma" w:hAnsi="Tahoma"/>
      <w:i/>
      <w:iCs/>
      <w:sz w:val="24"/>
      <w:szCs w:val="24"/>
      <w:lang w:eastAsia="en-US"/>
    </w:rPr>
  </w:style>
  <w:style w:type="character" w:styleId="873" w:customStyle="1">
    <w:name w:val="明显引用 Char"/>
    <w:link w:val="874"/>
    <w:uiPriority w:val="30"/>
    <w:qFormat/>
    <w:rPr>
      <w:i/>
      <w:shd w:val="clear" w:color="auto" w:fill="f2f2f2"/>
    </w:rPr>
  </w:style>
  <w:style w:type="paragraph" w:styleId="874">
    <w:name w:val="Intense Quote"/>
    <w:basedOn w:val="765"/>
    <w:next w:val="765"/>
    <w:link w:val="87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heme="minorHAnsi" w:hAnsiTheme="minorHAnsi" w:eastAsiaTheme="minorEastAsia" w:cstheme="minorBidi"/>
      <w:i/>
    </w:rPr>
  </w:style>
  <w:style w:type="character" w:styleId="875" w:customStyle="1">
    <w:name w:val="纯文本 字符"/>
    <w:link w:val="876"/>
    <w:qFormat/>
    <w:rPr>
      <w:rFonts w:ascii="宋体" w:hAnsi="Courier New" w:eastAsia="宋体" w:cs="Times New Roman"/>
      <w:szCs w:val="20"/>
      <w:lang w:eastAsia="en-US"/>
    </w:rPr>
  </w:style>
  <w:style w:type="paragraph" w:styleId="876" w:customStyle="1">
    <w:name w:val="纯文本11"/>
    <w:basedOn w:val="765"/>
    <w:link w:val="875"/>
    <w:qFormat/>
    <w:rPr>
      <w:rFonts w:ascii="宋体" w:hAnsi="Courier New"/>
      <w:szCs w:val="20"/>
      <w:lang w:eastAsia="en-US"/>
    </w:rPr>
  </w:style>
  <w:style w:type="character" w:styleId="877" w:customStyle="1">
    <w:name w:val="标题 字符"/>
    <w:link w:val="878"/>
    <w:qFormat/>
    <w:rPr>
      <w:rFonts w:ascii="Cambria" w:hAnsi="Cambria" w:eastAsia="宋体" w:cs="Times New Roman"/>
      <w:b/>
      <w:bCs/>
      <w:sz w:val="32"/>
      <w:szCs w:val="32"/>
      <w:lang w:eastAsia="en-US"/>
    </w:rPr>
  </w:style>
  <w:style w:type="paragraph" w:styleId="878" w:customStyle="1">
    <w:name w:val="标题1"/>
    <w:basedOn w:val="765"/>
    <w:next w:val="765"/>
    <w:link w:val="877"/>
    <w:qFormat/>
    <w:pPr>
      <w:jc w:val="center"/>
      <w:spacing w:before="240" w:after="60"/>
      <w:outlineLvl w:val="0"/>
    </w:pPr>
    <w:rPr>
      <w:rFonts w:ascii="Cambria" w:hAnsi="Cambria"/>
      <w:b/>
      <w:bCs/>
      <w:sz w:val="32"/>
      <w:szCs w:val="32"/>
      <w:lang w:eastAsia="en-US"/>
    </w:rPr>
  </w:style>
  <w:style w:type="character" w:styleId="879" w:customStyle="1">
    <w:name w:val="正文文本 2 字符"/>
    <w:link w:val="880"/>
    <w:qFormat/>
    <w:rPr>
      <w:rFonts w:ascii="仿宋_GB2312" w:hAnsi="宋体" w:eastAsia="仿宋_GB2312" w:cs="Times New Roman"/>
      <w:bCs/>
      <w:spacing w:val="20"/>
      <w:sz w:val="24"/>
      <w:szCs w:val="20"/>
      <w:lang w:eastAsia="en-US"/>
    </w:rPr>
  </w:style>
  <w:style w:type="paragraph" w:styleId="880" w:customStyle="1">
    <w:name w:val="正文文本 21"/>
    <w:basedOn w:val="765"/>
    <w:link w:val="879"/>
    <w:qFormat/>
    <w:rPr>
      <w:rFonts w:ascii="仿宋_GB2312" w:hAnsi="宋体" w:eastAsia="仿宋_GB2312"/>
      <w:bCs/>
      <w:spacing w:val="20"/>
      <w:sz w:val="24"/>
      <w:szCs w:val="20"/>
      <w:lang w:eastAsia="en-US"/>
    </w:rPr>
  </w:style>
  <w:style w:type="character" w:styleId="881" w:customStyle="1">
    <w:name w:val="Footer Char"/>
    <w:link w:val="882"/>
    <w:uiPriority w:val="99"/>
    <w:qFormat/>
  </w:style>
  <w:style w:type="paragraph" w:styleId="882" w:customStyle="1">
    <w:name w:val="页脚1"/>
    <w:basedOn w:val="765"/>
    <w:link w:val="881"/>
    <w:uiPriority w:val="99"/>
    <w:unhideWhenUsed/>
    <w:qFormat/>
    <w:pPr>
      <w:tabs>
        <w:tab w:val="center" w:pos="7143" w:leader="none"/>
        <w:tab w:val="right" w:pos="14287" w:leader="none"/>
      </w:tabs>
    </w:pPr>
    <w:rPr>
      <w:rFonts w:asciiTheme="minorHAnsi" w:hAnsiTheme="minorHAnsi" w:eastAsiaTheme="minorEastAsia" w:cstheme="minorBidi"/>
    </w:rPr>
  </w:style>
  <w:style w:type="character" w:styleId="883" w:customStyle="1">
    <w:name w:val="15"/>
    <w:qFormat/>
    <w:rPr>
      <w:rFonts w:ascii="Tahoma" w:hAnsi="Tahoma" w:eastAsia="宋体" w:cs="Tahoma"/>
      <w:sz w:val="24"/>
      <w:szCs w:val="24"/>
    </w:rPr>
  </w:style>
  <w:style w:type="character" w:styleId="884" w:customStyle="1">
    <w:name w:val="引用 Char"/>
    <w:link w:val="885"/>
    <w:uiPriority w:val="29"/>
    <w:qFormat/>
    <w:rPr>
      <w:i/>
    </w:rPr>
  </w:style>
  <w:style w:type="paragraph" w:styleId="885">
    <w:name w:val="Quote"/>
    <w:basedOn w:val="765"/>
    <w:next w:val="765"/>
    <w:link w:val="884"/>
    <w:uiPriority w:val="29"/>
    <w:qFormat/>
    <w:pPr>
      <w:ind w:left="720" w:right="720"/>
    </w:pPr>
    <w:rPr>
      <w:rFonts w:asciiTheme="minorHAnsi" w:hAnsiTheme="minorHAnsi" w:eastAsiaTheme="minorEastAsia" w:cstheme="minorBidi"/>
      <w:i/>
    </w:rPr>
  </w:style>
  <w:style w:type="character" w:styleId="886" w:customStyle="1">
    <w:name w:val="列出段落 Char"/>
    <w:link w:val="887"/>
    <w:uiPriority w:val="34"/>
    <w:qFormat/>
    <w:rPr>
      <w:rFonts w:ascii="宋体" w:hAnsi="宋体" w:cs="宋体"/>
      <w:sz w:val="24"/>
      <w:lang w:eastAsia="en-US"/>
    </w:rPr>
  </w:style>
  <w:style w:type="paragraph" w:styleId="887">
    <w:name w:val="List Paragraph"/>
    <w:basedOn w:val="765"/>
    <w:link w:val="886"/>
    <w:uiPriority w:val="34"/>
    <w:qFormat/>
    <w:pPr>
      <w:ind w:firstLine="420"/>
    </w:pPr>
    <w:rPr>
      <w:rFonts w:ascii="宋体" w:hAnsi="宋体" w:cs="宋体" w:eastAsiaTheme="minorEastAsia"/>
      <w:sz w:val="24"/>
      <w:lang w:eastAsia="en-US"/>
    </w:rPr>
  </w:style>
  <w:style w:type="character" w:styleId="888" w:customStyle="1">
    <w:name w:val="NormalCharacter"/>
    <w:semiHidden/>
    <w:qFormat/>
  </w:style>
  <w:style w:type="character" w:styleId="889" w:customStyle="1">
    <w:name w:val="标题 1 字符"/>
    <w:link w:val="890"/>
    <w:qFormat/>
    <w:rPr>
      <w:rFonts w:ascii="Tahoma" w:hAnsi="Tahoma" w:eastAsia="宋体" w:cs="Times New Roman"/>
      <w:sz w:val="28"/>
      <w:szCs w:val="24"/>
      <w:lang w:eastAsia="en-US"/>
    </w:rPr>
  </w:style>
  <w:style w:type="paragraph" w:styleId="890" w:customStyle="1">
    <w:name w:val="标题 111"/>
    <w:basedOn w:val="878"/>
    <w:next w:val="765"/>
    <w:link w:val="889"/>
    <w:qFormat/>
    <w:pPr>
      <w:numPr>
        <w:numId w:val="3"/>
      </w:numPr>
      <w:jc w:val="left"/>
      <w:keepNext/>
      <w:spacing w:line="300" w:lineRule="auto"/>
      <w:tabs>
        <w:tab w:val="left" w:pos="405" w:leader="none"/>
      </w:tabs>
    </w:pPr>
    <w:rPr>
      <w:rFonts w:ascii="Tahoma" w:hAnsi="Tahoma"/>
      <w:b w:val="0"/>
      <w:bCs w:val="0"/>
      <w:sz w:val="28"/>
      <w:szCs w:val="24"/>
    </w:rPr>
  </w:style>
  <w:style w:type="character" w:styleId="891" w:customStyle="1">
    <w:name w:val="Heading 3 Char"/>
    <w:link w:val="892"/>
    <w:uiPriority w:val="9"/>
    <w:qFormat/>
    <w:rPr>
      <w:rFonts w:ascii="Arial" w:hAnsi="Arial" w:eastAsia="Arial" w:cs="Arial"/>
      <w:sz w:val="30"/>
      <w:szCs w:val="30"/>
    </w:rPr>
  </w:style>
  <w:style w:type="paragraph" w:styleId="892" w:customStyle="1">
    <w:name w:val="标题 32"/>
    <w:basedOn w:val="765"/>
    <w:next w:val="765"/>
    <w:link w:val="891"/>
    <w:uiPriority w:val="9"/>
    <w:unhideWhenUsed/>
    <w:qFormat/>
    <w:pPr>
      <w:keepLines/>
      <w:keepNext/>
      <w:spacing w:before="320" w:after="200"/>
      <w:outlineLvl w:val="2"/>
    </w:pPr>
    <w:rPr>
      <w:rFonts w:ascii="Arial" w:hAnsi="Arial" w:eastAsia="Arial" w:cs="Arial"/>
      <w:sz w:val="30"/>
      <w:szCs w:val="30"/>
    </w:rPr>
  </w:style>
  <w:style w:type="character" w:styleId="893" w:customStyle="1">
    <w:name w:val="尾注文本 Char"/>
    <w:link w:val="791"/>
    <w:uiPriority w:val="99"/>
    <w:qFormat/>
    <w:rPr>
      <w:sz w:val="20"/>
    </w:rPr>
  </w:style>
  <w:style w:type="character" w:styleId="894" w:customStyle="1">
    <w:name w:val="副标题 Char"/>
    <w:link w:val="798"/>
    <w:uiPriority w:val="11"/>
    <w:qFormat/>
    <w:rPr>
      <w:sz w:val="24"/>
      <w:szCs w:val="24"/>
    </w:rPr>
  </w:style>
  <w:style w:type="character" w:styleId="895" w:customStyle="1">
    <w:name w:val="标题 Char"/>
    <w:link w:val="807"/>
    <w:uiPriority w:val="10"/>
    <w:qFormat/>
    <w:rPr>
      <w:sz w:val="48"/>
      <w:szCs w:val="48"/>
    </w:rPr>
  </w:style>
  <w:style w:type="character" w:styleId="896" w:customStyle="1">
    <w:name w:val="Heading 6 Char"/>
    <w:link w:val="897"/>
    <w:uiPriority w:val="9"/>
    <w:qFormat/>
    <w:rPr>
      <w:rFonts w:ascii="Arial" w:hAnsi="Arial" w:eastAsia="Arial" w:cs="Arial"/>
      <w:b/>
      <w:bCs/>
      <w:sz w:val="22"/>
    </w:rPr>
  </w:style>
  <w:style w:type="paragraph" w:styleId="897" w:customStyle="1">
    <w:name w:val="标题 61"/>
    <w:basedOn w:val="765"/>
    <w:next w:val="765"/>
    <w:link w:val="896"/>
    <w:uiPriority w:val="9"/>
    <w:unhideWhenUsed/>
    <w:qFormat/>
    <w:pPr>
      <w:keepLines/>
      <w:keepNext/>
      <w:spacing w:before="320" w:after="200"/>
      <w:outlineLvl w:val="5"/>
    </w:pPr>
    <w:rPr>
      <w:rFonts w:ascii="Arial" w:hAnsi="Arial" w:eastAsia="Arial" w:cs="Arial"/>
      <w:b/>
      <w:bCs/>
      <w:sz w:val="22"/>
    </w:rPr>
  </w:style>
  <w:style w:type="character" w:styleId="898" w:customStyle="1">
    <w:name w:val="默认段落字体1"/>
    <w:uiPriority w:val="1"/>
    <w:unhideWhenUsed/>
    <w:qFormat/>
  </w:style>
  <w:style w:type="character" w:styleId="899" w:customStyle="1">
    <w:name w:val="已访问的超链接1"/>
    <w:uiPriority w:val="99"/>
    <w:qFormat/>
    <w:rPr>
      <w:rFonts w:ascii="Tahoma" w:hAnsi="Tahoma" w:eastAsia="宋体"/>
      <w:color w:val="585858"/>
      <w:sz w:val="24"/>
      <w:u w:val="none"/>
    </w:rPr>
  </w:style>
  <w:style w:type="character" w:styleId="900" w:customStyle="1">
    <w:name w:val="正文首行缩进 2 Char"/>
    <w:link w:val="810"/>
    <w:uiPriority w:val="99"/>
    <w:qFormat/>
  </w:style>
  <w:style w:type="character" w:styleId="901" w:customStyle="1">
    <w:name w:val="批注框文本 字符"/>
    <w:link w:val="902"/>
    <w:uiPriority w:val="99"/>
    <w:qFormat/>
    <w:rPr>
      <w:rFonts w:ascii="Tahoma" w:hAnsi="Tahoma" w:eastAsia="宋体" w:cs="Times New Roman"/>
      <w:sz w:val="18"/>
      <w:szCs w:val="18"/>
    </w:rPr>
  </w:style>
  <w:style w:type="paragraph" w:styleId="902" w:customStyle="1">
    <w:name w:val="批注框文本1"/>
    <w:basedOn w:val="765"/>
    <w:link w:val="901"/>
    <w:uiPriority w:val="99"/>
    <w:qFormat/>
    <w:rPr>
      <w:rFonts w:ascii="Tahoma" w:hAnsi="Tahoma"/>
      <w:sz w:val="18"/>
      <w:szCs w:val="18"/>
    </w:rPr>
  </w:style>
  <w:style w:type="character" w:styleId="903" w:customStyle="1">
    <w:name w:val="HTML 预设格式 字符"/>
    <w:link w:val="904"/>
    <w:qFormat/>
    <w:rPr>
      <w:rFonts w:ascii="Arial Unicode MS" w:hAnsi="Arial Unicode MS" w:eastAsia="Arial Unicode MS" w:cs="Times New Roman"/>
      <w:sz w:val="24"/>
      <w:szCs w:val="20"/>
      <w:lang w:eastAsia="en-US"/>
    </w:rPr>
  </w:style>
  <w:style w:type="paragraph" w:styleId="904" w:customStyle="1">
    <w:name w:val="HTML 预设格式1"/>
    <w:basedOn w:val="765"/>
    <w:link w:val="903"/>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Unicode MS" w:hAnsi="Arial Unicode MS" w:eastAsia="Arial Unicode MS"/>
      <w:sz w:val="24"/>
      <w:szCs w:val="20"/>
      <w:lang w:eastAsia="en-US"/>
    </w:rPr>
  </w:style>
  <w:style w:type="character" w:styleId="905" w:customStyle="1">
    <w:name w:val="正文文本缩进 Char"/>
    <w:link w:val="778"/>
    <w:uiPriority w:val="99"/>
    <w:qFormat/>
  </w:style>
  <w:style w:type="character" w:styleId="906" w:customStyle="1">
    <w:name w:val="超链接1"/>
    <w:uiPriority w:val="99"/>
    <w:qFormat/>
    <w:rPr>
      <w:rFonts w:ascii="Tahoma" w:hAnsi="Tahoma" w:eastAsia="宋体"/>
      <w:color w:val="000000"/>
      <w:sz w:val="24"/>
      <w:u w:val="none"/>
    </w:rPr>
  </w:style>
  <w:style w:type="character" w:styleId="907" w:customStyle="1">
    <w:name w:val="Caption Char"/>
    <w:uiPriority w:val="99"/>
    <w:qFormat/>
  </w:style>
  <w:style w:type="character" w:styleId="908" w:customStyle="1">
    <w:name w:val="日期 字符"/>
    <w:link w:val="909"/>
    <w:qFormat/>
    <w:rPr>
      <w:rFonts w:ascii="宋体" w:hAnsi="宋体" w:eastAsia="楷体_GB2312" w:cs="Times New Roman"/>
      <w:sz w:val="24"/>
      <w:szCs w:val="20"/>
    </w:rPr>
  </w:style>
  <w:style w:type="paragraph" w:styleId="909" w:customStyle="1">
    <w:name w:val="日期1"/>
    <w:basedOn w:val="765"/>
    <w:next w:val="765"/>
    <w:link w:val="908"/>
    <w:qFormat/>
    <w:rPr>
      <w:rFonts w:ascii="宋体" w:hAnsi="宋体" w:eastAsia="楷体_GB2312"/>
      <w:sz w:val="24"/>
      <w:szCs w:val="20"/>
    </w:rPr>
  </w:style>
  <w:style w:type="character" w:styleId="910" w:customStyle="1">
    <w:name w:val="Heading 9 Char"/>
    <w:link w:val="911"/>
    <w:uiPriority w:val="9"/>
    <w:qFormat/>
    <w:rPr>
      <w:rFonts w:ascii="Arial" w:hAnsi="Arial" w:eastAsia="Arial" w:cs="Arial"/>
      <w:i/>
      <w:iCs/>
      <w:szCs w:val="21"/>
    </w:rPr>
  </w:style>
  <w:style w:type="paragraph" w:styleId="911" w:customStyle="1">
    <w:name w:val="标题 91"/>
    <w:basedOn w:val="765"/>
    <w:next w:val="765"/>
    <w:link w:val="910"/>
    <w:uiPriority w:val="9"/>
    <w:unhideWhenUsed/>
    <w:qFormat/>
    <w:pPr>
      <w:keepLines/>
      <w:keepNext/>
      <w:spacing w:before="320" w:after="200"/>
      <w:outlineLvl w:val="8"/>
    </w:pPr>
    <w:rPr>
      <w:rFonts w:ascii="Arial" w:hAnsi="Arial" w:eastAsia="Arial" w:cs="Arial"/>
      <w:i/>
      <w:iCs/>
      <w:szCs w:val="21"/>
    </w:rPr>
  </w:style>
  <w:style w:type="character" w:styleId="912" w:customStyle="1">
    <w:name w:val="脚注文本 Char"/>
    <w:link w:val="799"/>
    <w:uiPriority w:val="99"/>
    <w:qFormat/>
    <w:rPr>
      <w:sz w:val="18"/>
    </w:rPr>
  </w:style>
  <w:style w:type="character" w:styleId="913" w:customStyle="1">
    <w:name w:val="Heading 4 Char"/>
    <w:link w:val="914"/>
    <w:uiPriority w:val="9"/>
    <w:qFormat/>
    <w:rPr>
      <w:rFonts w:ascii="Arial" w:hAnsi="Arial" w:eastAsia="Arial" w:cs="Arial"/>
      <w:b/>
      <w:bCs/>
      <w:sz w:val="26"/>
      <w:szCs w:val="26"/>
    </w:rPr>
  </w:style>
  <w:style w:type="paragraph" w:styleId="914" w:customStyle="1">
    <w:name w:val="标题 41"/>
    <w:basedOn w:val="765"/>
    <w:next w:val="765"/>
    <w:link w:val="913"/>
    <w:uiPriority w:val="9"/>
    <w:unhideWhenUsed/>
    <w:qFormat/>
    <w:pPr>
      <w:keepLines/>
      <w:keepNext/>
      <w:spacing w:before="320" w:after="200"/>
      <w:outlineLvl w:val="3"/>
    </w:pPr>
    <w:rPr>
      <w:rFonts w:ascii="Arial" w:hAnsi="Arial" w:eastAsia="Arial" w:cs="Arial"/>
      <w:b/>
      <w:bCs/>
      <w:sz w:val="26"/>
      <w:szCs w:val="26"/>
    </w:rPr>
  </w:style>
  <w:style w:type="character" w:styleId="915" w:customStyle="1">
    <w:name w:val="正文文本缩进 2 字符"/>
    <w:link w:val="916"/>
    <w:qFormat/>
    <w:rPr>
      <w:rFonts w:ascii="宋体" w:hAnsi="宋体" w:eastAsia="宋体" w:cs="Times New Roman"/>
      <w:sz w:val="24"/>
      <w:szCs w:val="24"/>
    </w:rPr>
  </w:style>
  <w:style w:type="paragraph" w:styleId="916" w:customStyle="1">
    <w:name w:val="正文文本缩进 21"/>
    <w:basedOn w:val="765"/>
    <w:link w:val="915"/>
    <w:qFormat/>
    <w:pPr>
      <w:ind w:firstLine="540"/>
      <w:spacing w:line="360" w:lineRule="auto"/>
    </w:pPr>
    <w:rPr>
      <w:rFonts w:ascii="宋体" w:hAnsi="宋体"/>
      <w:sz w:val="24"/>
      <w:szCs w:val="24"/>
    </w:rPr>
  </w:style>
  <w:style w:type="character" w:styleId="917" w:customStyle="1">
    <w:name w:val="Heading 2 Char"/>
    <w:link w:val="918"/>
    <w:uiPriority w:val="9"/>
    <w:qFormat/>
    <w:rPr>
      <w:rFonts w:ascii="Arial" w:hAnsi="Arial" w:eastAsia="Arial" w:cs="Arial"/>
      <w:sz w:val="34"/>
    </w:rPr>
  </w:style>
  <w:style w:type="paragraph" w:styleId="918" w:customStyle="1">
    <w:name w:val="标题 22"/>
    <w:basedOn w:val="765"/>
    <w:next w:val="765"/>
    <w:link w:val="917"/>
    <w:uiPriority w:val="9"/>
    <w:unhideWhenUsed/>
    <w:qFormat/>
    <w:pPr>
      <w:keepLines/>
      <w:keepNext/>
      <w:spacing w:before="360" w:after="200"/>
      <w:outlineLvl w:val="1"/>
    </w:pPr>
    <w:rPr>
      <w:rFonts w:ascii="Arial" w:hAnsi="Arial" w:eastAsia="Arial" w:cs="Arial"/>
      <w:sz w:val="34"/>
    </w:rPr>
  </w:style>
  <w:style w:type="character" w:styleId="919" w:customStyle="1">
    <w:name w:val="批注引用1"/>
    <w:qFormat/>
    <w:rPr>
      <w:rFonts w:ascii="Tahoma" w:hAnsi="Tahoma" w:eastAsia="宋体"/>
      <w:sz w:val="21"/>
      <w:szCs w:val="21"/>
    </w:rPr>
  </w:style>
  <w:style w:type="character" w:styleId="920" w:customStyle="1">
    <w:name w:val="z-窗体顶端 字符"/>
    <w:link w:val="921"/>
    <w:uiPriority w:val="99"/>
    <w:qFormat/>
    <w:rPr>
      <w:rFonts w:ascii="Arial" w:hAnsi="Arial" w:eastAsia="宋体" w:cs="Arial"/>
      <w:vanish/>
      <w:sz w:val="16"/>
      <w:szCs w:val="16"/>
    </w:rPr>
  </w:style>
  <w:style w:type="paragraph" w:styleId="921" w:customStyle="1">
    <w:name w:val="z-窗体顶端1"/>
    <w:basedOn w:val="765"/>
    <w:next w:val="765"/>
    <w:link w:val="920"/>
    <w:uiPriority w:val="99"/>
    <w:unhideWhenUsed/>
    <w:qFormat/>
    <w:pPr>
      <w:jc w:val="center"/>
      <w:widowControl/>
      <w:pBdr>
        <w:bottom w:val="single" w:color="000000" w:sz="6" w:space="1"/>
      </w:pBdr>
    </w:pPr>
    <w:rPr>
      <w:rFonts w:ascii="Arial" w:hAnsi="Arial" w:cs="Arial"/>
      <w:vanish/>
      <w:sz w:val="16"/>
      <w:szCs w:val="16"/>
    </w:rPr>
  </w:style>
  <w:style w:type="character" w:styleId="922" w:customStyle="1">
    <w:name w:val="Plain Text Char Char"/>
    <w:link w:val="923"/>
    <w:qFormat/>
    <w:rPr>
      <w:rFonts w:ascii="宋体" w:hAnsi="Courier New" w:eastAsia="楷体_GB2312"/>
      <w:sz w:val="28"/>
    </w:rPr>
  </w:style>
  <w:style w:type="paragraph" w:styleId="923" w:customStyle="1">
    <w:name w:val="纯文本6"/>
    <w:basedOn w:val="765"/>
    <w:link w:val="922"/>
    <w:qFormat/>
    <w:rPr>
      <w:rFonts w:ascii="宋体" w:hAnsi="Courier New" w:eastAsia="楷体_GB2312" w:cstheme="minorBidi"/>
      <w:sz w:val="28"/>
    </w:rPr>
  </w:style>
  <w:style w:type="character" w:styleId="924" w:customStyle="1">
    <w:name w:val="标题 6 字符"/>
    <w:link w:val="925"/>
    <w:qFormat/>
    <w:rPr>
      <w:rFonts w:ascii="Tahoma" w:hAnsi="Tahoma" w:eastAsia="宋体" w:cs="Times New Roman"/>
      <w:b/>
      <w:bCs/>
      <w:sz w:val="22"/>
      <w:lang w:eastAsia="en-US"/>
    </w:rPr>
  </w:style>
  <w:style w:type="paragraph" w:styleId="925" w:customStyle="1">
    <w:name w:val="标题 611"/>
    <w:basedOn w:val="765"/>
    <w:next w:val="765"/>
    <w:link w:val="924"/>
    <w:qFormat/>
    <w:pPr>
      <w:ind w:left="1152" w:hanging="1152"/>
      <w:spacing w:before="240" w:after="60"/>
      <w:tabs>
        <w:tab w:val="left" w:pos="1152" w:leader="none"/>
      </w:tabs>
      <w:outlineLvl w:val="5"/>
    </w:pPr>
    <w:rPr>
      <w:rFonts w:ascii="Tahoma" w:hAnsi="Tahoma"/>
      <w:b/>
      <w:bCs/>
      <w:sz w:val="22"/>
      <w:lang w:eastAsia="en-US"/>
    </w:rPr>
  </w:style>
  <w:style w:type="character" w:styleId="926" w:customStyle="1">
    <w:name w:val="Heading 1 Char"/>
    <w:link w:val="927"/>
    <w:uiPriority w:val="9"/>
    <w:qFormat/>
    <w:rPr>
      <w:rFonts w:ascii="Arial" w:hAnsi="Arial" w:eastAsia="Arial" w:cs="Arial"/>
      <w:sz w:val="40"/>
      <w:szCs w:val="40"/>
    </w:rPr>
  </w:style>
  <w:style w:type="paragraph" w:styleId="927" w:customStyle="1">
    <w:name w:val="标题 11"/>
    <w:basedOn w:val="765"/>
    <w:next w:val="765"/>
    <w:link w:val="926"/>
    <w:uiPriority w:val="9"/>
    <w:qFormat/>
    <w:pPr>
      <w:keepLines/>
      <w:keepNext/>
      <w:spacing w:before="480" w:after="200"/>
      <w:outlineLvl w:val="0"/>
    </w:pPr>
    <w:rPr>
      <w:rFonts w:ascii="Arial" w:hAnsi="Arial" w:eastAsia="Arial" w:cs="Arial"/>
      <w:sz w:val="40"/>
      <w:szCs w:val="40"/>
    </w:rPr>
  </w:style>
  <w:style w:type="character" w:styleId="928" w:customStyle="1">
    <w:name w:val="批注主题 字符"/>
    <w:link w:val="929"/>
    <w:qFormat/>
    <w:rPr>
      <w:rFonts w:ascii="宋体" w:hAnsi="Courier New" w:eastAsia="宋体" w:cs="Times New Roman"/>
      <w:szCs w:val="24"/>
      <w:lang w:eastAsia="en-US"/>
    </w:rPr>
  </w:style>
  <w:style w:type="paragraph" w:styleId="929" w:customStyle="1">
    <w:name w:val="批注主题1"/>
    <w:basedOn w:val="930"/>
    <w:next w:val="930"/>
    <w:link w:val="928"/>
    <w:qFormat/>
    <w:rPr>
      <w:rFonts w:ascii="宋体" w:hAnsi="Courier New"/>
    </w:rPr>
  </w:style>
  <w:style w:type="paragraph" w:styleId="930" w:customStyle="1">
    <w:name w:val="批注文字1"/>
    <w:basedOn w:val="765"/>
    <w:link w:val="954"/>
    <w:qFormat/>
    <w:pPr>
      <w:jc w:val="left"/>
    </w:pPr>
    <w:rPr>
      <w:rFonts w:ascii="Times New Roman" w:hAnsi="Times New Roman"/>
      <w:szCs w:val="24"/>
      <w:lang w:eastAsia="en-US"/>
    </w:rPr>
  </w:style>
  <w:style w:type="character" w:styleId="931" w:customStyle="1">
    <w:name w:val="标题 7 字符"/>
    <w:link w:val="932"/>
    <w:qFormat/>
    <w:rPr>
      <w:rFonts w:ascii="Tahoma" w:hAnsi="Tahoma" w:eastAsia="宋体" w:cs="Times New Roman"/>
      <w:sz w:val="24"/>
      <w:szCs w:val="24"/>
      <w:lang w:eastAsia="en-US"/>
    </w:rPr>
  </w:style>
  <w:style w:type="paragraph" w:styleId="932" w:customStyle="1">
    <w:name w:val="标题 71"/>
    <w:basedOn w:val="765"/>
    <w:next w:val="765"/>
    <w:link w:val="931"/>
    <w:qFormat/>
    <w:pPr>
      <w:ind w:left="1296" w:hanging="1296"/>
      <w:spacing w:before="240" w:after="60"/>
      <w:tabs>
        <w:tab w:val="left" w:pos="1296" w:leader="none"/>
      </w:tabs>
      <w:outlineLvl w:val="6"/>
    </w:pPr>
    <w:rPr>
      <w:rFonts w:ascii="Tahoma" w:hAnsi="Tahoma"/>
      <w:sz w:val="24"/>
      <w:szCs w:val="24"/>
      <w:lang w:eastAsia="en-US"/>
    </w:rPr>
  </w:style>
  <w:style w:type="character" w:styleId="933" w:customStyle="1">
    <w:name w:val="正文缩进 Char1"/>
    <w:qFormat/>
    <w:rPr>
      <w:rFonts w:ascii="Tahoma" w:hAnsi="Tahoma" w:eastAsia="楷体_GB2312"/>
      <w:sz w:val="24"/>
      <w:lang w:val="en-US" w:eastAsia="zh-CN" w:bidi="ar-SA"/>
    </w:rPr>
  </w:style>
  <w:style w:type="character" w:styleId="934" w:customStyle="1">
    <w:name w:val="Heading 5 Char"/>
    <w:link w:val="935"/>
    <w:uiPriority w:val="9"/>
    <w:qFormat/>
    <w:rPr>
      <w:rFonts w:ascii="Arial" w:hAnsi="Arial" w:eastAsia="Arial" w:cs="Arial"/>
      <w:b/>
      <w:bCs/>
      <w:sz w:val="24"/>
      <w:szCs w:val="24"/>
    </w:rPr>
  </w:style>
  <w:style w:type="paragraph" w:styleId="935" w:customStyle="1">
    <w:name w:val="标题 51"/>
    <w:basedOn w:val="765"/>
    <w:next w:val="765"/>
    <w:link w:val="934"/>
    <w:uiPriority w:val="9"/>
    <w:unhideWhenUsed/>
    <w:qFormat/>
    <w:pPr>
      <w:keepLines/>
      <w:keepNext/>
      <w:spacing w:before="320" w:after="200"/>
      <w:outlineLvl w:val="4"/>
    </w:pPr>
    <w:rPr>
      <w:rFonts w:ascii="Arial" w:hAnsi="Arial" w:eastAsia="Arial" w:cs="Arial"/>
      <w:b/>
      <w:bCs/>
      <w:sz w:val="24"/>
      <w:szCs w:val="24"/>
    </w:rPr>
  </w:style>
  <w:style w:type="character" w:styleId="936" w:customStyle="1">
    <w:name w:val="Char Char11"/>
    <w:qFormat/>
    <w:rPr>
      <w:rFonts w:ascii="宋体" w:hAnsi="宋体" w:eastAsia="楷体_GB2312"/>
      <w:sz w:val="24"/>
      <w:lang w:val="en-US" w:eastAsia="zh-CN" w:bidi="ar-SA"/>
    </w:rPr>
  </w:style>
  <w:style w:type="character" w:styleId="937" w:customStyle="1">
    <w:name w:val="页眉 字符1"/>
    <w:uiPriority w:val="99"/>
    <w:qFormat/>
    <w:rPr>
      <w:sz w:val="18"/>
      <w:szCs w:val="18"/>
    </w:rPr>
  </w:style>
  <w:style w:type="character" w:styleId="938" w:customStyle="1">
    <w:name w:val="正文文本缩进 字符"/>
    <w:link w:val="939"/>
    <w:uiPriority w:val="99"/>
    <w:qFormat/>
    <w:rPr>
      <w:rFonts w:ascii="方正仿宋简体" w:hAnsi="创艺简仿宋" w:eastAsia="方正仿宋简体" w:cs="Times New Roman"/>
      <w:sz w:val="24"/>
      <w:szCs w:val="20"/>
      <w:lang w:eastAsia="en-US"/>
    </w:rPr>
  </w:style>
  <w:style w:type="paragraph" w:styleId="939" w:customStyle="1">
    <w:name w:val="正文文本缩进1"/>
    <w:basedOn w:val="765"/>
    <w:next w:val="940"/>
    <w:link w:val="938"/>
    <w:uiPriority w:val="99"/>
    <w:qFormat/>
    <w:pPr>
      <w:ind w:left="570"/>
      <w:spacing w:line="520" w:lineRule="exact"/>
    </w:pPr>
    <w:rPr>
      <w:rFonts w:ascii="方正仿宋简体" w:hAnsi="创艺简仿宋" w:eastAsia="方正仿宋简体"/>
      <w:sz w:val="24"/>
      <w:szCs w:val="20"/>
      <w:lang w:eastAsia="en-US"/>
    </w:rPr>
  </w:style>
  <w:style w:type="paragraph" w:styleId="940" w:customStyle="1">
    <w:name w:val="寄信人地址1"/>
    <w:basedOn w:val="765"/>
    <w:qFormat/>
    <w:rPr>
      <w:rFonts w:ascii="Arial" w:hAnsi="Arial"/>
    </w:rPr>
  </w:style>
  <w:style w:type="character" w:styleId="941" w:customStyle="1">
    <w:name w:val="强调1"/>
    <w:qFormat/>
    <w:rPr>
      <w:rFonts w:ascii="Tahoma" w:hAnsi="Tahoma" w:eastAsia="宋体"/>
      <w:sz w:val="24"/>
    </w:rPr>
  </w:style>
  <w:style w:type="character" w:styleId="942" w:customStyle="1">
    <w:name w:val="批注框文本 Char"/>
    <w:link w:val="792"/>
    <w:uiPriority w:val="99"/>
    <w:qFormat/>
    <w:rPr>
      <w:sz w:val="18"/>
      <w:szCs w:val="18"/>
    </w:rPr>
  </w:style>
  <w:style w:type="character" w:styleId="943" w:customStyle="1">
    <w:name w:val="要点1"/>
    <w:qFormat/>
    <w:rPr>
      <w:rFonts w:ascii="Calibri" w:hAnsi="Calibri" w:eastAsia="宋体" w:cs="Times New Roman"/>
      <w:b/>
    </w:rPr>
  </w:style>
  <w:style w:type="character" w:styleId="944" w:customStyle="1">
    <w:name w:val="页码1"/>
    <w:qFormat/>
  </w:style>
  <w:style w:type="character" w:styleId="945" w:customStyle="1">
    <w:name w:val="未处理的提及1"/>
    <w:uiPriority w:val="99"/>
    <w:unhideWhenUsed/>
    <w:qFormat/>
    <w:rPr>
      <w:color w:val="605e5c"/>
      <w:shd w:val="clear" w:color="auto" w:fill="e1dfdd"/>
    </w:rPr>
  </w:style>
  <w:style w:type="character" w:styleId="946" w:customStyle="1">
    <w:name w:val="脚注引用1"/>
    <w:semiHidden/>
    <w:qFormat/>
    <w:rPr>
      <w:rFonts w:ascii="Tahoma" w:hAnsi="Tahoma" w:eastAsia="宋体"/>
      <w:sz w:val="24"/>
      <w:vertAlign w:val="superscript"/>
    </w:rPr>
  </w:style>
  <w:style w:type="character" w:styleId="947" w:customStyle="1">
    <w:name w:val="z-窗体底端 Char1"/>
    <w:uiPriority w:val="99"/>
    <w:semiHidden/>
    <w:qFormat/>
    <w:rPr>
      <w:rFonts w:ascii="Arial" w:hAnsi="Arial" w:cs="Arial"/>
      <w:vanish/>
      <w:sz w:val="16"/>
      <w:szCs w:val="16"/>
    </w:rPr>
  </w:style>
  <w:style w:type="character" w:styleId="948" w:customStyle="1">
    <w:name w:val="Heading 8 Char"/>
    <w:link w:val="949"/>
    <w:uiPriority w:val="9"/>
    <w:qFormat/>
    <w:rPr>
      <w:rFonts w:ascii="Arial" w:hAnsi="Arial" w:eastAsia="Arial" w:cs="Arial"/>
      <w:i/>
      <w:iCs/>
      <w:sz w:val="22"/>
    </w:rPr>
  </w:style>
  <w:style w:type="paragraph" w:styleId="949" w:customStyle="1">
    <w:name w:val="标题 82"/>
    <w:basedOn w:val="765"/>
    <w:next w:val="765"/>
    <w:link w:val="948"/>
    <w:uiPriority w:val="9"/>
    <w:unhideWhenUsed/>
    <w:qFormat/>
    <w:pPr>
      <w:keepLines/>
      <w:keepNext/>
      <w:spacing w:before="320" w:after="200"/>
      <w:outlineLvl w:val="7"/>
    </w:pPr>
    <w:rPr>
      <w:rFonts w:ascii="Arial" w:hAnsi="Arial" w:eastAsia="Arial" w:cs="Arial"/>
      <w:i/>
      <w:iCs/>
      <w:sz w:val="22"/>
    </w:rPr>
  </w:style>
  <w:style w:type="character" w:styleId="950" w:customStyle="1">
    <w:name w:val="批注主题 Char"/>
    <w:link w:val="808"/>
    <w:uiPriority w:val="99"/>
    <w:qFormat/>
    <w:rPr>
      <w:b/>
      <w:bCs/>
    </w:rPr>
  </w:style>
  <w:style w:type="character" w:styleId="951" w:customStyle="1">
    <w:name w:val="批注文字 Char"/>
    <w:link w:val="783"/>
    <w:uiPriority w:val="99"/>
    <w:qFormat/>
  </w:style>
  <w:style w:type="character" w:styleId="952" w:customStyle="1">
    <w:name w:val="正文文本缩进 3 字符"/>
    <w:link w:val="953"/>
    <w:qFormat/>
    <w:rPr>
      <w:rFonts w:ascii="仿宋_GB2312" w:hAnsi="宋体" w:eastAsia="仿宋_GB2312" w:cs="宋体"/>
      <w:color w:val="ff0000"/>
      <w:sz w:val="24"/>
      <w:szCs w:val="20"/>
      <w:lang w:eastAsia="en-US"/>
    </w:rPr>
  </w:style>
  <w:style w:type="paragraph" w:styleId="953" w:customStyle="1">
    <w:name w:val="正文文本缩进 31"/>
    <w:basedOn w:val="765"/>
    <w:link w:val="952"/>
    <w:qFormat/>
    <w:pPr>
      <w:ind w:left="360"/>
      <w:spacing w:line="360" w:lineRule="auto"/>
    </w:pPr>
    <w:rPr>
      <w:rFonts w:ascii="仿宋_GB2312" w:hAnsi="宋体" w:eastAsia="仿宋_GB2312" w:cs="宋体"/>
      <w:color w:val="ff0000"/>
      <w:sz w:val="24"/>
      <w:szCs w:val="20"/>
      <w:lang w:eastAsia="en-US"/>
    </w:rPr>
  </w:style>
  <w:style w:type="character" w:styleId="954" w:customStyle="1">
    <w:name w:val="批注文字 字符"/>
    <w:link w:val="930"/>
    <w:qFormat/>
    <w:rPr>
      <w:rFonts w:ascii="Times New Roman" w:hAnsi="Times New Roman" w:eastAsia="宋体" w:cs="Times New Roman"/>
      <w:szCs w:val="24"/>
      <w:lang w:eastAsia="en-US"/>
    </w:rPr>
  </w:style>
  <w:style w:type="character" w:styleId="955" w:customStyle="1">
    <w:name w:val="正文文本首行缩进 2 字符"/>
    <w:link w:val="956"/>
    <w:qFormat/>
    <w:rPr>
      <w:lang w:eastAsia="en-US"/>
    </w:rPr>
  </w:style>
  <w:style w:type="paragraph" w:styleId="956" w:customStyle="1">
    <w:name w:val="正文首行缩进 21"/>
    <w:basedOn w:val="939"/>
    <w:link w:val="955"/>
    <w:qFormat/>
    <w:pPr>
      <w:ind w:firstLine="420"/>
    </w:pPr>
    <w:rPr>
      <w:rFonts w:asciiTheme="minorHAnsi" w:hAnsiTheme="minorHAnsi" w:eastAsiaTheme="minorEastAsia" w:cstheme="minorBidi"/>
      <w:sz w:val="21"/>
      <w:szCs w:val="22"/>
    </w:rPr>
  </w:style>
  <w:style w:type="character" w:styleId="957" w:customStyle="1">
    <w:name w:val="sub_title s0"/>
    <w:qFormat/>
  </w:style>
  <w:style w:type="character" w:styleId="958" w:customStyle="1">
    <w:name w:val="纯文本 Char"/>
    <w:basedOn w:val="775"/>
    <w:link w:val="789"/>
    <w:qFormat/>
    <w:rPr>
      <w:rFonts w:ascii="宋体" w:hAnsi="Courier New" w:eastAsia="楷体_GB2312" w:cs="宋体"/>
      <w:sz w:val="28"/>
      <w:szCs w:val="20"/>
      <w:lang w:eastAsia="en-US"/>
    </w:rPr>
  </w:style>
  <w:style w:type="character" w:styleId="959" w:customStyle="1">
    <w:name w:val="批注文字 字符2"/>
    <w:basedOn w:val="775"/>
    <w:uiPriority w:val="99"/>
    <w:semiHidden/>
    <w:qFormat/>
    <w:rPr>
      <w:rFonts w:ascii="Calibri" w:hAnsi="Calibri" w:eastAsia="宋体" w:cs="Times New Roman"/>
    </w:rPr>
  </w:style>
  <w:style w:type="character" w:styleId="960" w:customStyle="1">
    <w:name w:val="尾注文本 字符1"/>
    <w:basedOn w:val="775"/>
    <w:uiPriority w:val="99"/>
    <w:semiHidden/>
    <w:qFormat/>
    <w:rPr>
      <w:rFonts w:ascii="Calibri" w:hAnsi="Calibri" w:eastAsia="宋体" w:cs="Times New Roman"/>
    </w:rPr>
  </w:style>
  <w:style w:type="character" w:styleId="961" w:customStyle="1">
    <w:name w:val="批注框文本 字符2"/>
    <w:basedOn w:val="775"/>
    <w:uiPriority w:val="99"/>
    <w:semiHidden/>
    <w:qFormat/>
    <w:rPr>
      <w:rFonts w:ascii="Calibri" w:hAnsi="Calibri" w:eastAsia="宋体" w:cs="Times New Roman"/>
      <w:sz w:val="18"/>
      <w:szCs w:val="18"/>
    </w:rPr>
  </w:style>
  <w:style w:type="character" w:styleId="962" w:customStyle="1">
    <w:name w:val="标题 字符2"/>
    <w:basedOn w:val="775"/>
    <w:uiPriority w:val="10"/>
    <w:qFormat/>
    <w:rPr>
      <w:rFonts w:asciiTheme="majorHAnsi" w:hAnsiTheme="majorHAnsi" w:eastAsiaTheme="majorEastAsia" w:cstheme="majorBidi"/>
      <w:b/>
      <w:bCs/>
      <w:sz w:val="32"/>
      <w:szCs w:val="32"/>
    </w:rPr>
  </w:style>
  <w:style w:type="character" w:styleId="963" w:customStyle="1">
    <w:name w:val="批注主题 字符2"/>
    <w:basedOn w:val="959"/>
    <w:uiPriority w:val="99"/>
    <w:semiHidden/>
    <w:qFormat/>
    <w:rPr>
      <w:rFonts w:ascii="Calibri" w:hAnsi="Calibri" w:eastAsia="宋体" w:cs="Times New Roman"/>
      <w:b/>
      <w:bCs/>
    </w:rPr>
  </w:style>
  <w:style w:type="character" w:styleId="964" w:customStyle="1">
    <w:name w:val="正文文本缩进 字符2"/>
    <w:basedOn w:val="775"/>
    <w:uiPriority w:val="99"/>
    <w:semiHidden/>
    <w:qFormat/>
    <w:rPr>
      <w:rFonts w:ascii="Calibri" w:hAnsi="Calibri" w:eastAsia="宋体" w:cs="Times New Roman"/>
    </w:rPr>
  </w:style>
  <w:style w:type="character" w:styleId="965" w:customStyle="1">
    <w:name w:val="正文文本缩进 3 Char"/>
    <w:basedOn w:val="775"/>
    <w:link w:val="801"/>
    <w:qFormat/>
    <w:rPr>
      <w:rFonts w:ascii="Times New Roman" w:hAnsi="Times New Roman" w:eastAsia="宋体" w:cs="Times New Roman"/>
      <w:sz w:val="24"/>
    </w:rPr>
  </w:style>
  <w:style w:type="paragraph" w:styleId="966" w:customStyle="1">
    <w:name w:val="表格"/>
    <w:basedOn w:val="765"/>
    <w:qFormat/>
    <w:pPr>
      <w:spacing w:line="360" w:lineRule="auto"/>
      <w:widowControl/>
    </w:pPr>
    <w:rPr>
      <w:sz w:val="24"/>
      <w:szCs w:val="24"/>
    </w:rPr>
  </w:style>
  <w:style w:type="character" w:styleId="967" w:customStyle="1">
    <w:name w:val="z-窗体底端 字符1"/>
    <w:basedOn w:val="775"/>
    <w:uiPriority w:val="99"/>
    <w:semiHidden/>
    <w:qFormat/>
    <w:rPr>
      <w:rFonts w:ascii="Arial" w:hAnsi="Arial" w:eastAsia="宋体" w:cs="Arial"/>
      <w:vanish/>
      <w:sz w:val="16"/>
      <w:szCs w:val="16"/>
    </w:rPr>
  </w:style>
  <w:style w:type="paragraph" w:styleId="968" w:customStyle="1">
    <w:name w:val="_Style 12"/>
    <w:basedOn w:val="858"/>
    <w:qFormat/>
    <w:pPr>
      <w:spacing w:line="360" w:lineRule="auto"/>
    </w:pPr>
    <w:rPr>
      <w:szCs w:val="20"/>
    </w:rPr>
  </w:style>
  <w:style w:type="paragraph" w:styleId="969" w:customStyle="1">
    <w:name w:val="Char1 Char Char Char"/>
    <w:basedOn w:val="765"/>
    <w:qFormat/>
    <w:rPr>
      <w:rFonts w:ascii="宋体" w:hAnsi="宋体" w:cs="宋体"/>
      <w:sz w:val="24"/>
      <w:szCs w:val="20"/>
      <w:lang w:eastAsia="en-US"/>
    </w:rPr>
  </w:style>
  <w:style w:type="paragraph" w:styleId="970" w:customStyle="1">
    <w:name w:val="列出段落1"/>
    <w:basedOn w:val="765"/>
    <w:qFormat/>
    <w:pPr>
      <w:ind w:firstLine="420"/>
    </w:pPr>
    <w:rPr>
      <w:rFonts w:ascii="宋体" w:hAnsi="宋体" w:cs="宋体"/>
      <w:sz w:val="24"/>
      <w:szCs w:val="20"/>
      <w:lang w:eastAsia="en-US"/>
    </w:rPr>
  </w:style>
  <w:style w:type="character" w:styleId="971" w:customStyle="1">
    <w:name w:val="脚注文本 字符1"/>
    <w:basedOn w:val="775"/>
    <w:uiPriority w:val="99"/>
    <w:semiHidden/>
    <w:qFormat/>
    <w:rPr>
      <w:rFonts w:ascii="Calibri" w:hAnsi="Calibri" w:eastAsia="宋体" w:cs="Times New Roman"/>
      <w:sz w:val="18"/>
      <w:szCs w:val="18"/>
    </w:rPr>
  </w:style>
  <w:style w:type="character" w:styleId="972" w:customStyle="1">
    <w:name w:val="副标题 字符1"/>
    <w:basedOn w:val="775"/>
    <w:uiPriority w:val="11"/>
    <w:qFormat/>
    <w:rPr>
      <w:b/>
      <w:bCs/>
      <w:sz w:val="32"/>
      <w:szCs w:val="32"/>
    </w:rPr>
  </w:style>
  <w:style w:type="character" w:styleId="973" w:customStyle="1">
    <w:name w:val="正文文本首行缩进 2 字符2"/>
    <w:basedOn w:val="964"/>
    <w:uiPriority w:val="99"/>
    <w:semiHidden/>
    <w:qFormat/>
    <w:rPr>
      <w:rFonts w:ascii="Calibri" w:hAnsi="Calibri" w:eastAsia="宋体" w:cs="Times New Roman"/>
    </w:rPr>
  </w:style>
  <w:style w:type="paragraph" w:styleId="974" w:customStyle="1">
    <w:name w:val="用户2"/>
    <w:basedOn w:val="975"/>
    <w:qFormat/>
    <w:pPr>
      <w:keepLines/>
      <w:spacing w:before="260" w:after="260" w:line="416" w:lineRule="atLeast"/>
    </w:pPr>
    <w:rPr>
      <w:rFonts w:ascii="楷体_GB2312" w:hAnsi="Times New Roman" w:eastAsia="楷体_GB2312"/>
      <w:b w:val="0"/>
      <w:bCs w:val="0"/>
      <w:i w:val="0"/>
      <w:iCs w:val="0"/>
      <w:color w:val="000000"/>
      <w:sz w:val="30"/>
      <w:szCs w:val="20"/>
    </w:rPr>
  </w:style>
  <w:style w:type="paragraph" w:styleId="975" w:customStyle="1">
    <w:name w:val="标题 21"/>
    <w:basedOn w:val="765"/>
    <w:next w:val="765"/>
    <w:qFormat/>
    <w:pPr>
      <w:keepNext/>
      <w:spacing w:before="240" w:after="60"/>
      <w:outlineLvl w:val="1"/>
    </w:pPr>
    <w:rPr>
      <w:rFonts w:ascii="Arial" w:hAnsi="Arial"/>
      <w:b/>
      <w:bCs/>
      <w:i/>
      <w:iCs/>
      <w:sz w:val="28"/>
      <w:szCs w:val="28"/>
      <w:lang w:eastAsia="en-US"/>
    </w:rPr>
  </w:style>
  <w:style w:type="paragraph" w:styleId="976" w:customStyle="1">
    <w:name w:val="纯文本2"/>
    <w:basedOn w:val="765"/>
    <w:qFormat/>
    <w:rPr>
      <w:rFonts w:ascii="宋体" w:hAnsi="Courier New" w:cs="宋体"/>
      <w:sz w:val="26"/>
      <w:szCs w:val="20"/>
      <w:lang w:eastAsia="en-US"/>
    </w:rPr>
  </w:style>
  <w:style w:type="paragraph" w:styleId="977">
    <w:name w:val="No Spacing"/>
    <w:basedOn w:val="765"/>
    <w:uiPriority w:val="1"/>
    <w:qFormat/>
  </w:style>
  <w:style w:type="paragraph" w:styleId="978" w:customStyle="1">
    <w:name w:val="标题 31"/>
    <w:basedOn w:val="765"/>
    <w:next w:val="765"/>
    <w:qFormat/>
    <w:pPr>
      <w:ind w:left="720" w:hanging="720"/>
      <w:keepNext/>
      <w:spacing w:before="240" w:after="60"/>
      <w:tabs>
        <w:tab w:val="left" w:pos="720" w:leader="none"/>
      </w:tabs>
      <w:outlineLvl w:val="2"/>
    </w:pPr>
    <w:rPr>
      <w:rFonts w:ascii="Arial" w:hAnsi="Arial"/>
      <w:b/>
      <w:bCs/>
      <w:sz w:val="26"/>
      <w:szCs w:val="26"/>
      <w:lang w:eastAsia="en-US"/>
    </w:rPr>
  </w:style>
  <w:style w:type="paragraph" w:styleId="979" w:customStyle="1">
    <w:name w:val="普通正文"/>
    <w:basedOn w:val="765"/>
    <w:qFormat/>
    <w:pPr>
      <w:ind w:firstLine="480"/>
      <w:spacing w:before="120" w:after="120" w:line="360" w:lineRule="auto"/>
    </w:pPr>
    <w:rPr>
      <w:rFonts w:ascii="Arial" w:hAnsi="Arial"/>
      <w:sz w:val="24"/>
      <w:szCs w:val="24"/>
    </w:rPr>
  </w:style>
  <w:style w:type="paragraph" w:styleId="980" w:customStyle="1">
    <w:name w:val="Char Char4"/>
    <w:basedOn w:val="765"/>
    <w:qFormat/>
    <w:pPr>
      <w:jc w:val="left"/>
      <w:spacing w:line="240" w:lineRule="exact"/>
      <w:widowControl/>
    </w:pPr>
    <w:rPr>
      <w:rFonts w:ascii="Verdana" w:hAnsi="Verdana" w:cs="宋体"/>
      <w:sz w:val="20"/>
      <w:szCs w:val="20"/>
      <w:lang w:eastAsia="en-US"/>
    </w:rPr>
  </w:style>
  <w:style w:type="paragraph" w:styleId="981" w:customStyle="1">
    <w:name w:val="Table Paragraph"/>
    <w:basedOn w:val="765"/>
    <w:uiPriority w:val="1"/>
    <w:qFormat/>
    <w:pPr>
      <w:jc w:val="left"/>
    </w:pPr>
    <w:rPr>
      <w:rFonts w:ascii="宋体" w:hAnsi="宋体" w:cs="宋体"/>
      <w:sz w:val="22"/>
      <w:szCs w:val="21"/>
      <w:lang w:val="zh-CN" w:bidi="zh-CN"/>
    </w:rPr>
  </w:style>
  <w:style w:type="paragraph" w:styleId="982" w:customStyle="1">
    <w:name w:val="纯文本111"/>
    <w:basedOn w:val="765"/>
    <w:qFormat/>
    <w:rPr>
      <w:rFonts w:ascii="宋体" w:hAnsi="Courier New" w:eastAsia="楷体_GB2312"/>
      <w:sz w:val="28"/>
    </w:rPr>
  </w:style>
  <w:style w:type="paragraph" w:styleId="983" w:customStyle="1">
    <w:name w:val="目录 41"/>
    <w:basedOn w:val="765"/>
    <w:next w:val="765"/>
    <w:uiPriority w:val="39"/>
    <w:qFormat/>
    <w:pPr>
      <w:ind w:left="1260"/>
    </w:pPr>
    <w:rPr>
      <w:rFonts w:ascii="宋体" w:hAnsi="宋体" w:cs="宋体"/>
      <w:sz w:val="24"/>
      <w:szCs w:val="20"/>
      <w:lang w:eastAsia="en-US"/>
    </w:rPr>
  </w:style>
  <w:style w:type="paragraph" w:styleId="984" w:customStyle="1">
    <w:name w:val="目录 11"/>
    <w:basedOn w:val="765"/>
    <w:next w:val="765"/>
    <w:qFormat/>
    <w:pPr>
      <w:jc w:val="left"/>
    </w:pPr>
    <w:rPr>
      <w:rFonts w:ascii="宋体" w:hAnsi="宋体" w:eastAsia="楷体_GB2312" w:cs="宋体"/>
      <w:sz w:val="24"/>
      <w:szCs w:val="20"/>
      <w:lang w:eastAsia="en-US"/>
    </w:rPr>
  </w:style>
  <w:style w:type="paragraph" w:styleId="985" w:customStyle="1">
    <w:name w:val="页眉1"/>
    <w:basedOn w:val="765"/>
    <w:qFormat/>
    <w:pPr>
      <w:jc w:val="center"/>
      <w:tabs>
        <w:tab w:val="center" w:pos="4153" w:leader="none"/>
        <w:tab w:val="right" w:pos="8306" w:leader="none"/>
      </w:tabs>
    </w:pPr>
    <w:rPr>
      <w:rFonts w:ascii="Tahoma" w:hAnsi="Tahoma" w:eastAsia="楷体_GB2312"/>
      <w:sz w:val="18"/>
      <w:szCs w:val="20"/>
      <w:lang w:eastAsia="en-US"/>
    </w:rPr>
  </w:style>
  <w:style w:type="paragraph" w:styleId="986" w:customStyle="1">
    <w:name w:val="3级标题"/>
    <w:basedOn w:val="887"/>
    <w:qFormat/>
    <w:pPr>
      <w:numPr>
        <w:ilvl w:val="2"/>
        <w:numId w:val="4"/>
      </w:numPr>
      <w:contextualSpacing/>
      <w:jc w:val="left"/>
      <w:keepLines/>
      <w:spacing w:before="120" w:after="120" w:line="360" w:lineRule="auto"/>
      <w:outlineLvl w:val="2"/>
    </w:pPr>
    <w:rPr>
      <w:rFonts w:ascii="黑体" w:hAnsi="黑体"/>
      <w:sz w:val="32"/>
      <w:szCs w:val="36"/>
      <w:lang w:bidi="en-US"/>
    </w:rPr>
  </w:style>
  <w:style w:type="paragraph" w:styleId="987" w:customStyle="1">
    <w:name w:val="样式 首行缩进:  2 字符"/>
    <w:basedOn w:val="765"/>
    <w:qFormat/>
    <w:rPr>
      <w:rFonts w:ascii="宋体" w:hAnsi="宋体" w:cs="宋体"/>
      <w:sz w:val="28"/>
      <w:szCs w:val="20"/>
      <w:lang w:eastAsia="en-US"/>
    </w:rPr>
  </w:style>
  <w:style w:type="paragraph" w:styleId="988" w:customStyle="1">
    <w:name w:val="纯文本3"/>
    <w:basedOn w:val="765"/>
    <w:qFormat/>
    <w:rPr>
      <w:rFonts w:ascii="宋体" w:hAnsi="Courier New" w:eastAsia="楷体_GB2312" w:cs="宋体"/>
      <w:sz w:val="28"/>
      <w:szCs w:val="20"/>
      <w:lang w:eastAsia="en-US"/>
    </w:rPr>
  </w:style>
  <w:style w:type="paragraph" w:styleId="989" w:customStyle="1">
    <w:name w:val="纯文本4"/>
    <w:basedOn w:val="765"/>
    <w:qFormat/>
    <w:rPr>
      <w:rFonts w:ascii="宋体" w:hAnsi="Courier New" w:eastAsia="楷体_GB2312"/>
      <w:sz w:val="26"/>
      <w:szCs w:val="20"/>
    </w:rPr>
  </w:style>
  <w:style w:type="paragraph" w:styleId="990" w:customStyle="1">
    <w:name w:val="HPC正文"/>
    <w:basedOn w:val="765"/>
    <w:qFormat/>
    <w:pPr>
      <w:ind w:firstLine="424"/>
      <w:spacing w:line="360" w:lineRule="auto"/>
    </w:pPr>
    <w:rPr>
      <w:sz w:val="24"/>
      <w:szCs w:val="24"/>
    </w:rPr>
  </w:style>
  <w:style w:type="paragraph" w:styleId="991" w:customStyle="1">
    <w:name w:val="纯文本1"/>
    <w:basedOn w:val="765"/>
    <w:qFormat/>
    <w:rPr>
      <w:rFonts w:hint="eastAsia" w:ascii="宋体" w:hAnsi="Courier New" w:eastAsia="楷体_GB2312" w:cs="宋体"/>
      <w:sz w:val="28"/>
      <w:szCs w:val="20"/>
      <w:lang w:eastAsia="en-US"/>
    </w:rPr>
  </w:style>
  <w:style w:type="character" w:styleId="992" w:customStyle="1">
    <w:name w:val="标题 1 Char"/>
    <w:basedOn w:val="775"/>
    <w:link w:val="766"/>
    <w:uiPriority w:val="9"/>
    <w:qFormat/>
    <w:rPr>
      <w:rFonts w:ascii="Calibri" w:hAnsi="Calibri" w:eastAsia="宋体" w:cs="Times New Roman"/>
      <w:b/>
      <w:bCs/>
      <w:sz w:val="44"/>
      <w:szCs w:val="44"/>
    </w:rPr>
  </w:style>
  <w:style w:type="paragraph" w:styleId="993" w:customStyle="1">
    <w:name w:val="TOC 标题11"/>
    <w:uiPriority w:val="39"/>
    <w:qFormat/>
    <w:pPr>
      <w:spacing w:after="160" w:line="278" w:lineRule="auto"/>
    </w:pPr>
    <w:rPr>
      <w:rFonts w:ascii="Calibri" w:hAnsi="Calibri"/>
    </w:rPr>
  </w:style>
  <w:style w:type="paragraph" w:styleId="994" w:customStyle="1">
    <w:name w:val="正文首行缩进1"/>
    <w:basedOn w:val="995"/>
    <w:qFormat/>
    <w:pPr>
      <w:ind w:firstLine="420"/>
      <w:jc w:val="both"/>
      <w:spacing w:after="120"/>
    </w:pPr>
    <w:rPr>
      <w:rFonts w:ascii="Times New Roman" w:eastAsia="楷体_GB2312"/>
      <w:sz w:val="26"/>
    </w:rPr>
  </w:style>
  <w:style w:type="paragraph" w:styleId="995" w:customStyle="1">
    <w:name w:val="正文文本1"/>
    <w:basedOn w:val="765"/>
    <w:qFormat/>
    <w:pPr>
      <w:jc w:val="center"/>
    </w:pPr>
    <w:rPr>
      <w:rFonts w:ascii="方正大黑简体" w:hAnsi="Tahoma" w:eastAsia="方正大黑简体"/>
      <w:position w:val="6"/>
      <w:sz w:val="30"/>
      <w:szCs w:val="20"/>
      <w:lang w:eastAsia="en-US"/>
    </w:rPr>
  </w:style>
  <w:style w:type="paragraph" w:styleId="996" w:customStyle="1">
    <w:name w:val="目录 71"/>
    <w:basedOn w:val="765"/>
    <w:next w:val="765"/>
    <w:qFormat/>
    <w:pPr>
      <w:ind w:left="2520"/>
    </w:pPr>
    <w:rPr>
      <w:rFonts w:ascii="宋体" w:hAnsi="宋体" w:eastAsia="楷体_GB2312" w:cs="宋体"/>
      <w:sz w:val="26"/>
      <w:szCs w:val="20"/>
      <w:lang w:eastAsia="en-US"/>
    </w:rPr>
  </w:style>
  <w:style w:type="paragraph" w:styleId="997" w:customStyle="1">
    <w:name w:val="正文 New New"/>
    <w:qFormat/>
    <w:pPr>
      <w:jc w:val="both"/>
      <w:spacing w:after="160" w:line="278" w:lineRule="auto"/>
      <w:widowControl w:val="off"/>
    </w:pPr>
    <w:rPr>
      <w:rFonts w:ascii="Calibri" w:hAnsi="Calibri"/>
      <w:sz w:val="21"/>
      <w:szCs w:val="24"/>
    </w:rPr>
  </w:style>
  <w:style w:type="paragraph" w:styleId="998" w:customStyle="1">
    <w:name w:val="Andy_正文"/>
    <w:basedOn w:val="765"/>
    <w:qFormat/>
    <w:pPr>
      <w:ind w:firstLine="480"/>
    </w:pPr>
    <w:rPr>
      <w:rFonts w:cs="宋体"/>
      <w:sz w:val="24"/>
      <w:szCs w:val="24"/>
      <w:lang w:eastAsia="en-US"/>
    </w:rPr>
  </w:style>
  <w:style w:type="paragraph" w:styleId="999" w:customStyle="1">
    <w:name w:val="p17"/>
    <w:basedOn w:val="765"/>
    <w:qFormat/>
    <w:pPr>
      <w:ind w:left="420"/>
      <w:spacing w:after="120"/>
      <w:widowControl/>
    </w:pPr>
    <w:rPr>
      <w:rFonts w:ascii="宋体" w:hAnsi="宋体" w:cs="宋体"/>
      <w:sz w:val="28"/>
      <w:szCs w:val="28"/>
      <w:lang w:eastAsia="en-US"/>
    </w:rPr>
  </w:style>
  <w:style w:type="paragraph" w:styleId="1000" w:customStyle="1">
    <w:name w:val="Char Char Char Char Char Char Char Char Char Char"/>
    <w:basedOn w:val="765"/>
    <w:qFormat/>
    <w:pPr>
      <w:numPr>
        <w:numId w:val="5"/>
      </w:numPr>
    </w:pPr>
    <w:rPr>
      <w:rFonts w:ascii="宋体" w:hAnsi="宋体" w:cs="宋体"/>
      <w:sz w:val="24"/>
      <w:szCs w:val="20"/>
      <w:lang w:eastAsia="en-US"/>
    </w:rPr>
  </w:style>
  <w:style w:type="paragraph" w:styleId="1001" w:customStyle="1">
    <w:name w:val="纯文本5"/>
    <w:basedOn w:val="765"/>
    <w:qFormat/>
    <w:rPr>
      <w:rFonts w:ascii="宋体" w:hAnsi="Courier New" w:eastAsia="楷体_GB2312"/>
      <w:sz w:val="26"/>
      <w:szCs w:val="20"/>
    </w:rPr>
  </w:style>
  <w:style w:type="paragraph" w:styleId="1002" w:customStyle="1">
    <w:name w:val="Plain Text2"/>
    <w:basedOn w:val="765"/>
    <w:qFormat/>
    <w:rPr>
      <w:rFonts w:hint="eastAsia" w:ascii="宋体" w:hAnsi="Courier New" w:eastAsia="楷体_GB2312"/>
      <w:sz w:val="28"/>
    </w:rPr>
  </w:style>
  <w:style w:type="paragraph" w:styleId="1003" w:customStyle="1">
    <w:name w:val="普通(网站)1"/>
    <w:basedOn w:val="765"/>
    <w:qFormat/>
    <w:pPr>
      <w:jc w:val="left"/>
      <w:spacing w:before="100" w:beforeAutospacing="1" w:after="100" w:afterAutospacing="1"/>
    </w:pPr>
    <w:rPr>
      <w:rFonts w:ascii="宋体" w:hAnsi="宋体"/>
      <w:sz w:val="24"/>
      <w:szCs w:val="20"/>
    </w:rPr>
  </w:style>
  <w:style w:type="paragraph" w:styleId="1004" w:customStyle="1">
    <w:name w:val="标题 411"/>
    <w:basedOn w:val="765"/>
    <w:next w:val="765"/>
    <w:qFormat/>
    <w:pPr>
      <w:numPr>
        <w:numId w:val="6"/>
      </w:numPr>
      <w:ind w:hanging="720"/>
      <w:jc w:val="left"/>
      <w:keepNext/>
      <w:spacing w:line="360" w:lineRule="auto"/>
      <w:tabs>
        <w:tab w:val="left" w:pos="180" w:leader="none"/>
        <w:tab w:val="left" w:pos="3085" w:leader="none"/>
      </w:tabs>
      <w:outlineLvl w:val="3"/>
    </w:pPr>
    <w:rPr>
      <w:rFonts w:ascii="宋体" w:hAnsi="宋体"/>
      <w:b/>
      <w:bCs/>
      <w:sz w:val="24"/>
      <w:szCs w:val="20"/>
      <w:u w:val="single"/>
      <w:lang w:eastAsia="en-US"/>
    </w:rPr>
  </w:style>
  <w:style w:type="paragraph" w:styleId="1005" w:customStyle="1">
    <w:name w:val="Char Char1 Char Char Char Char Char Char Char"/>
    <w:basedOn w:val="765"/>
    <w:qFormat/>
    <w:rPr>
      <w:rFonts w:ascii="宋体" w:hAnsi="宋体" w:cs="宋体"/>
      <w:sz w:val="24"/>
      <w:szCs w:val="20"/>
      <w:lang w:eastAsia="en-US"/>
    </w:rPr>
  </w:style>
  <w:style w:type="paragraph" w:styleId="1006" w:customStyle="1">
    <w:name w:val="无间隔1"/>
    <w:basedOn w:val="765"/>
    <w:uiPriority w:val="1"/>
    <w:qFormat/>
    <w:pPr>
      <w:spacing w:before="260" w:after="260" w:line="360" w:lineRule="auto"/>
    </w:pPr>
    <w:rPr>
      <w:rFonts w:cs="宋体"/>
      <w:szCs w:val="21"/>
      <w:lang w:eastAsia="en-US"/>
    </w:rPr>
  </w:style>
  <w:style w:type="paragraph" w:styleId="1007" w:customStyle="1">
    <w:name w:val="纯文本12"/>
    <w:basedOn w:val="765"/>
    <w:qFormat/>
    <w:rPr>
      <w:rFonts w:ascii="宋体" w:hAnsi="Courier New" w:cs="宋体"/>
      <w:sz w:val="24"/>
      <w:szCs w:val="20"/>
      <w:lang w:eastAsia="en-US"/>
    </w:rPr>
  </w:style>
  <w:style w:type="paragraph" w:styleId="1008" w:customStyle="1">
    <w:name w:val="正文 New"/>
    <w:qFormat/>
    <w:pPr>
      <w:jc w:val="both"/>
      <w:spacing w:after="160" w:line="278" w:lineRule="auto"/>
      <w:widowControl w:val="off"/>
    </w:pPr>
    <w:rPr>
      <w:rFonts w:ascii="Calibri" w:hAnsi="Calibri"/>
      <w:sz w:val="21"/>
      <w:szCs w:val="24"/>
    </w:rPr>
  </w:style>
  <w:style w:type="paragraph" w:styleId="1009" w:customStyle="1">
    <w:name w:val="Default"/>
    <w:qFormat/>
    <w:pPr>
      <w:spacing w:after="160" w:line="278" w:lineRule="auto"/>
      <w:widowControl w:val="off"/>
    </w:pPr>
    <w:rPr>
      <w:rFonts w:ascii="Calibri" w:hAnsi="Calibri"/>
      <w:color w:val="000000"/>
      <w:sz w:val="24"/>
      <w:szCs w:val="24"/>
    </w:rPr>
  </w:style>
  <w:style w:type="paragraph" w:styleId="1010" w:customStyle="1">
    <w:name w:val="Blockquote"/>
    <w:basedOn w:val="765"/>
    <w:qFormat/>
    <w:pPr>
      <w:ind w:left="360" w:right="360"/>
      <w:jc w:val="left"/>
      <w:spacing w:before="100" w:after="100"/>
    </w:pPr>
    <w:rPr>
      <w:rFonts w:ascii="宋体" w:hAnsi="宋体" w:cs="宋体"/>
      <w:sz w:val="24"/>
      <w:szCs w:val="21"/>
      <w:lang w:eastAsia="en-US"/>
    </w:rPr>
  </w:style>
  <w:style w:type="paragraph" w:styleId="1011" w:customStyle="1">
    <w:name w:val="文档正文"/>
    <w:basedOn w:val="765"/>
    <w:qFormat/>
    <w:pPr>
      <w:ind w:firstLine="567"/>
      <w:spacing w:line="312" w:lineRule="atLeast"/>
    </w:pPr>
    <w:rPr>
      <w:rFonts w:ascii="长城仿宋" w:hAnsi="宋体" w:eastAsia="长城仿宋" w:cs="宋体"/>
      <w:sz w:val="28"/>
      <w:szCs w:val="20"/>
      <w:lang w:eastAsia="en-US"/>
    </w:rPr>
  </w:style>
  <w:style w:type="paragraph" w:styleId="1012" w:customStyle="1">
    <w:name w:val="页脚11"/>
    <w:basedOn w:val="765"/>
    <w:uiPriority w:val="99"/>
    <w:qFormat/>
    <w:pPr>
      <w:jc w:val="left"/>
      <w:tabs>
        <w:tab w:val="center" w:pos="4153" w:leader="none"/>
        <w:tab w:val="right" w:pos="8306" w:leader="none"/>
      </w:tabs>
    </w:pPr>
    <w:rPr>
      <w:rFonts w:ascii="Tahoma" w:hAnsi="Tahoma"/>
      <w:sz w:val="18"/>
      <w:szCs w:val="18"/>
      <w:lang w:eastAsia="en-US"/>
    </w:rPr>
  </w:style>
  <w:style w:type="character" w:styleId="1013" w:customStyle="1">
    <w:name w:val="z-窗体顶端 字符1"/>
    <w:basedOn w:val="775"/>
    <w:uiPriority w:val="99"/>
    <w:semiHidden/>
    <w:qFormat/>
    <w:rPr>
      <w:rFonts w:ascii="Arial" w:hAnsi="Arial" w:eastAsia="宋体" w:cs="Arial"/>
      <w:vanish/>
      <w:sz w:val="16"/>
      <w:szCs w:val="16"/>
    </w:rPr>
  </w:style>
  <w:style w:type="paragraph" w:styleId="1014" w:customStyle="1">
    <w:name w:val="目录 31"/>
    <w:basedOn w:val="765"/>
    <w:next w:val="765"/>
    <w:uiPriority w:val="39"/>
    <w:qFormat/>
    <w:pPr>
      <w:ind w:left="840"/>
    </w:pPr>
    <w:rPr>
      <w:rFonts w:ascii="宋体" w:hAnsi="宋体" w:cs="宋体"/>
      <w:sz w:val="24"/>
      <w:szCs w:val="20"/>
      <w:lang w:eastAsia="en-US"/>
    </w:rPr>
  </w:style>
  <w:style w:type="character" w:styleId="1015" w:customStyle="1">
    <w:name w:val="引用 字符1"/>
    <w:basedOn w:val="775"/>
    <w:uiPriority w:val="29"/>
    <w:qFormat/>
    <w:rPr>
      <w:rFonts w:ascii="Calibri" w:hAnsi="Calibri" w:eastAsia="宋体" w:cs="Times New Roman"/>
      <w:i/>
      <w:iCs/>
      <w:color w:val="404040" w:themeColor="text1" w:themeTint="BF"/>
    </w:rPr>
  </w:style>
  <w:style w:type="paragraph" w:styleId="1016" w:customStyle="1">
    <w:name w:val="p0"/>
    <w:basedOn w:val="765"/>
    <w:qFormat/>
    <w:pPr>
      <w:widowControl/>
    </w:pPr>
    <w:rPr>
      <w:rFonts w:ascii="宋体" w:hAnsi="宋体" w:cs="宋体"/>
      <w:sz w:val="24"/>
      <w:szCs w:val="21"/>
      <w:lang w:eastAsia="en-US"/>
    </w:rPr>
  </w:style>
  <w:style w:type="paragraph" w:styleId="1017" w:customStyle="1">
    <w:name w:val="修订1"/>
    <w:uiPriority w:val="99"/>
    <w:semiHidden/>
    <w:qFormat/>
    <w:pPr>
      <w:spacing w:after="160" w:line="278" w:lineRule="auto"/>
    </w:pPr>
    <w:rPr>
      <w:rFonts w:ascii="Calibri" w:hAnsi="Calibri" w:eastAsia="仿宋_GB2312"/>
      <w:sz w:val="28"/>
      <w:szCs w:val="24"/>
    </w:rPr>
  </w:style>
  <w:style w:type="character" w:styleId="1018" w:customStyle="1">
    <w:name w:val="明显引用 字符1"/>
    <w:basedOn w:val="775"/>
    <w:uiPriority w:val="30"/>
    <w:qFormat/>
    <w:rPr>
      <w:rFonts w:ascii="Calibri" w:hAnsi="Calibri" w:eastAsia="宋体" w:cs="Times New Roman"/>
      <w:i/>
      <w:iCs/>
      <w:color w:val="4472c4" w:themeColor="accent1"/>
    </w:rPr>
  </w:style>
  <w:style w:type="paragraph" w:styleId="1019" w:customStyle="1">
    <w:name w:val="Normal1"/>
    <w:basedOn w:val="765"/>
    <w:qFormat/>
    <w:rPr>
      <w:rFonts w:ascii="宋体" w:hAnsi="宋体" w:cs="宋体"/>
      <w:sz w:val="24"/>
      <w:szCs w:val="20"/>
      <w:lang w:eastAsia="en-US"/>
    </w:rPr>
  </w:style>
  <w:style w:type="paragraph" w:styleId="1020" w:customStyle="1">
    <w:name w:val="正文缩进1"/>
    <w:basedOn w:val="765"/>
    <w:qFormat/>
    <w:pPr>
      <w:ind w:firstLine="420"/>
    </w:pPr>
    <w:rPr>
      <w:rFonts w:ascii="宋体" w:hAnsi="宋体" w:cs="宋体"/>
      <w:sz w:val="24"/>
      <w:szCs w:val="20"/>
      <w:lang w:eastAsia="en-US"/>
    </w:rPr>
  </w:style>
  <w:style w:type="paragraph" w:styleId="1021" w:customStyle="1">
    <w:name w:val="p15"/>
    <w:basedOn w:val="765"/>
    <w:qFormat/>
    <w:pPr>
      <w:ind w:firstLine="420"/>
      <w:widowControl/>
    </w:pPr>
    <w:rPr>
      <w:rFonts w:ascii="宋体" w:hAnsi="宋体" w:cs="宋体"/>
      <w:sz w:val="24"/>
      <w:szCs w:val="21"/>
      <w:lang w:eastAsia="en-US"/>
    </w:rPr>
  </w:style>
  <w:style w:type="paragraph" w:styleId="1022" w:customStyle="1">
    <w:name w:val="Char"/>
    <w:basedOn w:val="765"/>
    <w:qFormat/>
    <w:rPr>
      <w:rFonts w:ascii="Tahoma" w:hAnsi="Tahoma" w:cs="宋体"/>
      <w:sz w:val="24"/>
      <w:szCs w:val="20"/>
      <w:lang w:eastAsia="en-US"/>
    </w:rPr>
  </w:style>
  <w:style w:type="paragraph" w:styleId="1023" w:customStyle="1">
    <w:name w:val="UserStyle_62"/>
    <w:basedOn w:val="765"/>
    <w:qFormat/>
    <w:pPr>
      <w:widowControl/>
    </w:pPr>
    <w:rPr>
      <w:rFonts w:ascii="宋体" w:hAnsi="Courier New" w:eastAsia="楷体_GB2312"/>
      <w:sz w:val="26"/>
      <w:szCs w:val="20"/>
    </w:rPr>
  </w:style>
  <w:style w:type="paragraph" w:styleId="1024" w:customStyle="1">
    <w:name w:val="Char Char Char"/>
    <w:basedOn w:val="765"/>
    <w:qFormat/>
    <w:rPr>
      <w:rFonts w:ascii="Tahoma" w:hAnsi="Tahoma" w:cs="宋体"/>
      <w:sz w:val="24"/>
      <w:szCs w:val="20"/>
      <w:lang w:eastAsia="en-US"/>
    </w:rPr>
  </w:style>
  <w:style w:type="paragraph" w:styleId="1025" w:customStyle="1">
    <w:name w:val="目录 21"/>
    <w:basedOn w:val="765"/>
    <w:next w:val="765"/>
    <w:uiPriority w:val="39"/>
    <w:qFormat/>
    <w:pPr>
      <w:ind w:left="420"/>
    </w:pPr>
    <w:rPr>
      <w:rFonts w:ascii="宋体" w:hAnsi="宋体" w:cs="宋体"/>
      <w:sz w:val="24"/>
      <w:szCs w:val="20"/>
      <w:lang w:eastAsia="en-US"/>
    </w:rPr>
  </w:style>
  <w:style w:type="paragraph" w:styleId="1026" w:customStyle="1">
    <w:name w:val="列出段落111"/>
    <w:basedOn w:val="765"/>
    <w:qFormat/>
    <w:pPr>
      <w:ind w:firstLine="420"/>
    </w:pPr>
    <w:rPr>
      <w:szCs w:val="20"/>
    </w:rPr>
  </w:style>
  <w:style w:type="paragraph" w:styleId="1027" w:customStyle="1">
    <w:name w:val="Plain Text1"/>
    <w:basedOn w:val="765"/>
    <w:qFormat/>
    <w:rPr>
      <w:rFonts w:hint="eastAsia" w:ascii="宋体" w:hAnsi="Courier New" w:eastAsia="楷体_GB2312" w:cs="宋体"/>
      <w:sz w:val="28"/>
      <w:szCs w:val="20"/>
      <w:lang w:eastAsia="en-US"/>
    </w:rPr>
  </w:style>
  <w:style w:type="paragraph" w:styleId="1028" w:customStyle="1">
    <w:name w:val="纯文本7"/>
    <w:basedOn w:val="765"/>
    <w:qFormat/>
    <w:rPr>
      <w:rFonts w:hint="eastAsia" w:ascii="宋体" w:hAnsi="Courier New" w:eastAsia="楷体_GB2312"/>
      <w:sz w:val="28"/>
      <w:szCs w:val="20"/>
    </w:rPr>
  </w:style>
  <w:style w:type="paragraph" w:styleId="1029" w:customStyle="1">
    <w:name w:val="[Normal]"/>
    <w:qFormat/>
    <w:pPr>
      <w:spacing w:after="160" w:line="278" w:lineRule="auto"/>
      <w:widowControl w:val="off"/>
    </w:pPr>
    <w:rPr>
      <w:rFonts w:ascii="宋体" w:hAnsi="宋体" w:cs="宋体"/>
      <w:sz w:val="24"/>
    </w:rPr>
  </w:style>
  <w:style w:type="paragraph" w:styleId="1030" w:customStyle="1">
    <w:name w:val="Date1"/>
    <w:basedOn w:val="765"/>
    <w:next w:val="765"/>
    <w:qFormat/>
    <w:rPr>
      <w:rFonts w:ascii="宋体" w:hAnsi="宋体" w:eastAsia="楷体_GB2312" w:cs="宋体"/>
      <w:sz w:val="24"/>
      <w:szCs w:val="20"/>
      <w:lang w:eastAsia="en-US"/>
    </w:rPr>
  </w:style>
  <w:style w:type="paragraph" w:styleId="1031" w:customStyle="1">
    <w:name w:val="题注1"/>
    <w:basedOn w:val="765"/>
    <w:next w:val="765"/>
    <w:uiPriority w:val="35"/>
    <w:unhideWhenUsed/>
    <w:qFormat/>
    <w:pPr>
      <w:spacing w:line="276" w:lineRule="auto"/>
    </w:pPr>
    <w:rPr>
      <w:b/>
      <w:bCs/>
      <w:color w:val="4f81bd"/>
      <w:sz w:val="18"/>
      <w:szCs w:val="18"/>
    </w:rPr>
  </w:style>
  <w:style w:type="paragraph" w:styleId="1032" w:customStyle="1">
    <w:name w:val="cucd-TB"/>
    <w:qFormat/>
    <w:pPr>
      <w:jc w:val="center"/>
      <w:spacing w:after="160" w:line="360" w:lineRule="auto"/>
    </w:pPr>
    <w:rPr>
      <w:rFonts w:ascii="Calibri" w:hAnsi="Calibri"/>
      <w:sz w:val="21"/>
      <w:szCs w:val="24"/>
    </w:rPr>
  </w:style>
  <w:style w:type="paragraph" w:styleId="1033" w:customStyle="1">
    <w:name w:val="Char1"/>
    <w:basedOn w:val="765"/>
    <w:qFormat/>
    <w:pPr>
      <w:numPr>
        <w:numId w:val="7"/>
      </w:numPr>
      <w:tabs>
        <w:tab w:val="left" w:pos="960" w:leader="none"/>
      </w:tabs>
    </w:pPr>
    <w:rPr>
      <w:rFonts w:ascii="宋体" w:hAnsi="宋体" w:cs="宋体"/>
      <w:sz w:val="24"/>
      <w:szCs w:val="20"/>
      <w:lang w:eastAsia="en-US"/>
    </w:rPr>
  </w:style>
  <w:style w:type="paragraph" w:styleId="1034" w:customStyle="1">
    <w:name w:val="reader-word-layer reader-word-s1-15"/>
    <w:basedOn w:val="765"/>
    <w:qFormat/>
    <w:pPr>
      <w:jc w:val="left"/>
      <w:spacing w:before="100" w:beforeAutospacing="1" w:after="100" w:afterAutospacing="1"/>
      <w:widowControl/>
    </w:pPr>
    <w:rPr>
      <w:rFonts w:ascii="宋体" w:hAnsi="宋体" w:cs="宋体"/>
      <w:sz w:val="24"/>
      <w:szCs w:val="20"/>
      <w:lang w:eastAsia="en-US"/>
    </w:rPr>
  </w:style>
  <w:style w:type="table" w:styleId="1035" w:customStyle="1">
    <w:name w:val="List Table 3 - Accent 6"/>
    <w:uiPriority w:val="99"/>
    <w:qFormat/>
    <w:rPr>
      <w:rFonts w:ascii="Calibri" w:hAnsi="Calibri"/>
    </w:rPr>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036" w:customStyle="1">
    <w:name w:val="Bordered"/>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037" w:customStyle="1">
    <w:name w:val="List Table 6 Colorful - Accent 5"/>
    <w:uiPriority w:val="99"/>
    <w:qFormat/>
    <w:rPr>
      <w:rFonts w:ascii="Calibri" w:hAnsi="Calibri"/>
    </w:rPr>
    <w:tblPr>
      <w:tblBorders>
        <w:top w:val="single" w:color="000000" w:sz="4" w:space="0"/>
        <w:bottom w:val="single" w:color="000000" w:sz="4" w:space="0"/>
      </w:tblBorders>
      <w:tblCellMar>
        <w:left w:w="0" w:type="dxa"/>
        <w:top w:w="0" w:type="dxa"/>
        <w:right w:w="0" w:type="dxa"/>
        <w:bottom w:w="0" w:type="dxa"/>
      </w:tblCellMar>
    </w:tblPr>
  </w:style>
  <w:style w:type="table" w:styleId="1038" w:customStyle="1">
    <w:name w:val="Grid Table 7 Colorful - Accent 3"/>
    <w:uiPriority w:val="99"/>
    <w:qFormat/>
    <w:rPr>
      <w:rFonts w:ascii="Calibri" w:hAnsi="Calibri"/>
    </w:rPr>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039" w:customStyle="1">
    <w:name w:val="Grid Table 7 Colorful - Accent 1"/>
    <w:uiPriority w:val="99"/>
    <w:qFormat/>
    <w:rPr>
      <w:rFonts w:ascii="Calibri" w:hAnsi="Calibri"/>
    </w:rPr>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040" w:customStyle="1">
    <w:name w:val="List Table 5 Dark - Accent 4"/>
    <w:uiPriority w:val="99"/>
    <w:qFormat/>
    <w:rPr>
      <w:rFonts w:ascii="Calibri" w:hAnsi="Calibri"/>
    </w:rPr>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style>
  <w:style w:type="table" w:styleId="1041" w:customStyle="1">
    <w:name w:val="List Table 4 - Accent 4"/>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042" w:customStyle="1">
    <w:name w:val="List Table 7 Colorful - Accent 2"/>
    <w:uiPriority w:val="99"/>
    <w:qFormat/>
    <w:rPr>
      <w:rFonts w:ascii="Calibri" w:hAnsi="Calibri"/>
    </w:rPr>
    <w:tblPr>
      <w:tblBorders>
        <w:right w:val="single" w:color="000000" w:sz="4" w:space="0"/>
      </w:tblBorders>
      <w:tblCellMar>
        <w:left w:w="0" w:type="dxa"/>
        <w:top w:w="0" w:type="dxa"/>
        <w:right w:w="0" w:type="dxa"/>
        <w:bottom w:w="0" w:type="dxa"/>
      </w:tblCellMar>
    </w:tblPr>
  </w:style>
  <w:style w:type="table" w:styleId="1043" w:customStyle="1">
    <w:name w:val="List Table 5 Dark - Accent 2"/>
    <w:uiPriority w:val="99"/>
    <w:qFormat/>
    <w:rPr>
      <w:rFonts w:ascii="Calibri" w:hAnsi="Calibri"/>
    </w:rPr>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style>
  <w:style w:type="table" w:styleId="1044" w:customStyle="1">
    <w:name w:val="Bordered - Accent 5"/>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045" w:customStyle="1">
    <w:name w:val="List Table 4 - Accent 3"/>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046" w:customStyle="1">
    <w:name w:val="Grid Table 6 Colorful - Accent 4"/>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047" w:customStyle="1">
    <w:name w:val="List Table 6 Colorful - Accent 1"/>
    <w:uiPriority w:val="99"/>
    <w:qFormat/>
    <w:rPr>
      <w:rFonts w:ascii="Calibri" w:hAnsi="Calibri"/>
    </w:rPr>
    <w:tblPr>
      <w:tblBorders>
        <w:top w:val="single" w:color="000000" w:sz="4" w:space="0"/>
        <w:bottom w:val="single" w:color="000000" w:sz="4" w:space="0"/>
      </w:tblBorders>
      <w:tblCellMar>
        <w:left w:w="0" w:type="dxa"/>
        <w:top w:w="0" w:type="dxa"/>
        <w:right w:w="0" w:type="dxa"/>
        <w:bottom w:w="0" w:type="dxa"/>
      </w:tblCellMar>
    </w:tblPr>
  </w:style>
  <w:style w:type="table" w:styleId="1048" w:customStyle="1">
    <w:name w:val="Bordered - Accent 4"/>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049" w:customStyle="1">
    <w:name w:val="Bordered &amp; Lined - Accent 4"/>
    <w:uiPriority w:val="99"/>
    <w:qFormat/>
    <w:rPr>
      <w:rFonts w:ascii="Calibri" w:hAnsi="Calibri"/>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050" w:customStyle="1">
    <w:name w:val="List Table 7 Colorful - Accent 3"/>
    <w:uiPriority w:val="99"/>
    <w:qFormat/>
    <w:rPr>
      <w:rFonts w:ascii="Calibri" w:hAnsi="Calibri"/>
    </w:rPr>
    <w:tblPr>
      <w:tblBorders>
        <w:right w:val="single" w:color="000000" w:sz="4" w:space="0"/>
      </w:tblBorders>
      <w:tblCellMar>
        <w:left w:w="0" w:type="dxa"/>
        <w:top w:w="0" w:type="dxa"/>
        <w:right w:w="0" w:type="dxa"/>
        <w:bottom w:w="0" w:type="dxa"/>
      </w:tblCellMar>
    </w:tblPr>
  </w:style>
  <w:style w:type="table" w:styleId="1051" w:customStyle="1">
    <w:name w:val="Bordered - Accent 1"/>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052" w:customStyle="1">
    <w:name w:val="Grid Table 5 Dark - Accent 2"/>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053" w:customStyle="1">
    <w:name w:val="Lined - Accent 5"/>
    <w:uiPriority w:val="99"/>
    <w:qFormat/>
    <w:rPr>
      <w:rFonts w:ascii="Calibri" w:hAnsi="Calibri"/>
      <w:color w:val="404040"/>
    </w:rPr>
    <w:tblPr>
      <w:tblCellMar>
        <w:left w:w="0" w:type="dxa"/>
        <w:top w:w="0" w:type="dxa"/>
        <w:right w:w="0" w:type="dxa"/>
        <w:bottom w:w="0" w:type="dxa"/>
      </w:tblCellMar>
    </w:tblPr>
  </w:style>
  <w:style w:type="table" w:styleId="1054" w:customStyle="1">
    <w:name w:val="List Table 1 Light - Accent 3"/>
    <w:uiPriority w:val="99"/>
    <w:qFormat/>
    <w:rPr>
      <w:rFonts w:ascii="Calibri" w:hAnsi="Calibri"/>
    </w:rPr>
    <w:tblPr>
      <w:tblCellMar>
        <w:left w:w="0" w:type="dxa"/>
        <w:top w:w="0" w:type="dxa"/>
        <w:right w:w="0" w:type="dxa"/>
        <w:bottom w:w="0" w:type="dxa"/>
      </w:tblCellMar>
    </w:tblPr>
  </w:style>
  <w:style w:type="table" w:styleId="1055" w:customStyle="1">
    <w:name w:val="Grid Table 7 Colorful - Accent 6"/>
    <w:uiPriority w:val="99"/>
    <w:qFormat/>
    <w:rPr>
      <w:rFonts w:ascii="Calibri" w:hAnsi="Calibri"/>
    </w:rPr>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056" w:customStyle="1">
    <w:name w:val="List Table 4 - Accent 2"/>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057" w:customStyle="1">
    <w:name w:val="Grid Table 6 Colorful - Accent 3"/>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058" w:customStyle="1">
    <w:name w:val="Grid Table 1 Light - Accent 4"/>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059" w:customStyle="1">
    <w:name w:val="List Table 4 - Accent 5"/>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060" w:customStyle="1">
    <w:name w:val="List Table 1 Light - Accent 2"/>
    <w:uiPriority w:val="99"/>
    <w:qFormat/>
    <w:rPr>
      <w:rFonts w:ascii="Calibri" w:hAnsi="Calibri"/>
    </w:rPr>
    <w:tblPr>
      <w:tblCellMar>
        <w:left w:w="0" w:type="dxa"/>
        <w:top w:w="0" w:type="dxa"/>
        <w:right w:w="0" w:type="dxa"/>
        <w:bottom w:w="0" w:type="dxa"/>
      </w:tblCellMar>
    </w:tblPr>
  </w:style>
  <w:style w:type="table" w:styleId="1061" w:customStyle="1">
    <w:name w:val="Grid Table 4 - Accent 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062" w:customStyle="1">
    <w:name w:val="Grid Table 5 Dark - Accent 6"/>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063" w:customStyle="1">
    <w:name w:val="Grid Table 5 Dark- Accent 4"/>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064" w:customStyle="1">
    <w:name w:val="Grid Table 6 Colorful - Accent 2"/>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065" w:customStyle="1">
    <w:name w:val="List Table 1 Light - Accent 5"/>
    <w:uiPriority w:val="99"/>
    <w:qFormat/>
    <w:rPr>
      <w:rFonts w:ascii="Calibri" w:hAnsi="Calibri"/>
    </w:rPr>
    <w:tblPr>
      <w:tblCellMar>
        <w:left w:w="0" w:type="dxa"/>
        <w:top w:w="0" w:type="dxa"/>
        <w:right w:w="0" w:type="dxa"/>
        <w:bottom w:w="0" w:type="dxa"/>
      </w:tblCellMar>
    </w:tblPr>
  </w:style>
  <w:style w:type="table" w:styleId="1066" w:customStyle="1">
    <w:name w:val="List Table 7 Colorful - Accent 1"/>
    <w:uiPriority w:val="99"/>
    <w:qFormat/>
    <w:rPr>
      <w:rFonts w:ascii="Calibri" w:hAnsi="Calibri"/>
    </w:rPr>
    <w:tblPr>
      <w:tblBorders>
        <w:right w:val="single" w:color="000000" w:sz="4" w:space="0"/>
      </w:tblBorders>
      <w:tblCellMar>
        <w:left w:w="0" w:type="dxa"/>
        <w:top w:w="0" w:type="dxa"/>
        <w:right w:w="0" w:type="dxa"/>
        <w:bottom w:w="0" w:type="dxa"/>
      </w:tblCellMar>
    </w:tblPr>
  </w:style>
  <w:style w:type="table" w:styleId="1067" w:customStyle="1">
    <w:name w:val="Grid Table 4 - Accent 5"/>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068" w:customStyle="1">
    <w:name w:val="Bordered &amp; Lined - Accent 2"/>
    <w:uiPriority w:val="99"/>
    <w:qFormat/>
    <w:rPr>
      <w:rFonts w:ascii="Calibri" w:hAnsi="Calibri"/>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069" w:customStyle="1">
    <w:name w:val="List Table 7 Colorful - Accent 4"/>
    <w:uiPriority w:val="99"/>
    <w:qFormat/>
    <w:rPr>
      <w:rFonts w:ascii="Calibri" w:hAnsi="Calibri"/>
    </w:rPr>
    <w:tblPr>
      <w:tblBorders>
        <w:right w:val="single" w:color="000000" w:sz="4" w:space="0"/>
      </w:tblBorders>
      <w:tblCellMar>
        <w:left w:w="0" w:type="dxa"/>
        <w:top w:w="0" w:type="dxa"/>
        <w:right w:w="0" w:type="dxa"/>
        <w:bottom w:w="0" w:type="dxa"/>
      </w:tblCellMar>
    </w:tblPr>
  </w:style>
  <w:style w:type="table" w:styleId="1070" w:customStyle="1">
    <w:name w:val="List Table 3 - Accent 1"/>
    <w:uiPriority w:val="99"/>
    <w:qFormat/>
    <w:rPr>
      <w:rFonts w:ascii="Calibri" w:hAnsi="Calibri"/>
    </w:rPr>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071" w:customStyle="1">
    <w:name w:val="List Table 2 - Accent 1"/>
    <w:uiPriority w:val="99"/>
    <w:qFormat/>
    <w:rPr>
      <w:rFonts w:ascii="Calibri" w:hAnsi="Calibri"/>
    </w:rPr>
    <w:tblPr>
      <w:tblBorders>
        <w:top w:val="single" w:color="000000" w:sz="4" w:space="0"/>
        <w:bottom w:val="single" w:color="000000" w:sz="4" w:space="0"/>
        <w:insideH w:val="single" w:color="000000" w:sz="4" w:space="0"/>
      </w:tblBorders>
      <w:tblCellMar>
        <w:left w:w="0" w:type="dxa"/>
        <w:top w:w="0" w:type="dxa"/>
        <w:right w:w="0" w:type="dxa"/>
        <w:bottom w:w="0" w:type="dxa"/>
      </w:tblCellMar>
    </w:tblPr>
  </w:style>
  <w:style w:type="table" w:styleId="1072" w:customStyle="1">
    <w:name w:val="Grid Table 5 Dark - Accent 5"/>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073" w:customStyle="1">
    <w:name w:val="Grid Table 3 - Accent 1"/>
    <w:uiPriority w:val="99"/>
    <w:qFormat/>
    <w:rPr>
      <w:rFonts w:ascii="Calibri" w:hAnsi="Calibri"/>
    </w:rPr>
    <w:tblPr>
      <w:tblBorders>
        <w:bottom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074" w:customStyle="1">
    <w:name w:val="Bordered &amp; Lined - Accent"/>
    <w:uiPriority w:val="99"/>
    <w:qFormat/>
    <w:rPr>
      <w:rFonts w:ascii="Calibri" w:hAnsi="Calibri"/>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075" w:customStyle="1">
    <w:name w:val="Bordered &amp; Lined - Accent 5"/>
    <w:uiPriority w:val="99"/>
    <w:qFormat/>
    <w:rPr>
      <w:rFonts w:ascii="Calibri" w:hAnsi="Calibri"/>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076" w:customStyle="1">
    <w:name w:val="Grid Table 3 - Accent 3"/>
    <w:uiPriority w:val="99"/>
    <w:qFormat/>
    <w:rPr>
      <w:rFonts w:ascii="Calibri" w:hAnsi="Calibri"/>
    </w:rPr>
    <w:tblPr>
      <w:tblBorders>
        <w:bottom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077" w:customStyle="1">
    <w:name w:val="Grid Table 6 Colorful - Accent 5"/>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078" w:customStyle="1">
    <w:name w:val="Grid Table 3 - Accent 2"/>
    <w:uiPriority w:val="99"/>
    <w:qFormat/>
    <w:rPr>
      <w:rFonts w:ascii="Calibri" w:hAnsi="Calibri"/>
    </w:rPr>
    <w:tblPr>
      <w:tblBorders>
        <w:bottom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079" w:customStyle="1">
    <w:name w:val="Grid Table 4 - Accent 4"/>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080" w:customStyle="1">
    <w:name w:val="Grid Table 1 Light - Accent 1"/>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081" w:customStyle="1">
    <w:name w:val="Grid Table 3 - Accent 6"/>
    <w:uiPriority w:val="99"/>
    <w:qFormat/>
    <w:rPr>
      <w:rFonts w:ascii="Calibri" w:hAnsi="Calibri"/>
    </w:rPr>
    <w:tblPr>
      <w:tblBorders>
        <w:bottom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082" w:customStyle="1">
    <w:name w:val="List Table 5 Dark - Accent 1"/>
    <w:uiPriority w:val="99"/>
    <w:qFormat/>
    <w:rPr>
      <w:rFonts w:ascii="Calibri" w:hAnsi="Calibri"/>
    </w:rPr>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style>
  <w:style w:type="table" w:styleId="1083" w:customStyle="1">
    <w:name w:val="Lined - Accent 6"/>
    <w:uiPriority w:val="99"/>
    <w:qFormat/>
    <w:rPr>
      <w:rFonts w:ascii="Calibri" w:hAnsi="Calibri"/>
      <w:color w:val="404040"/>
    </w:rPr>
    <w:tblPr>
      <w:tblCellMar>
        <w:left w:w="0" w:type="dxa"/>
        <w:top w:w="0" w:type="dxa"/>
        <w:right w:w="0" w:type="dxa"/>
        <w:bottom w:w="0" w:type="dxa"/>
      </w:tblCellMar>
    </w:tblPr>
  </w:style>
  <w:style w:type="table" w:styleId="1084" w:customStyle="1">
    <w:name w:val="Bordered &amp; Lined - Accent 6"/>
    <w:uiPriority w:val="99"/>
    <w:qFormat/>
    <w:rPr>
      <w:rFonts w:ascii="Calibri" w:hAnsi="Calibri"/>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085" w:customStyle="1">
    <w:name w:val="Grid Table 4 - Accent 2"/>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086" w:customStyle="1">
    <w:name w:val="List Table 7 Colorful - Accent 5"/>
    <w:uiPriority w:val="99"/>
    <w:qFormat/>
    <w:rPr>
      <w:rFonts w:ascii="Calibri" w:hAnsi="Calibri"/>
    </w:rPr>
    <w:tblPr>
      <w:tblBorders>
        <w:right w:val="single" w:color="000000" w:sz="4" w:space="0"/>
      </w:tblBorders>
      <w:tblCellMar>
        <w:left w:w="0" w:type="dxa"/>
        <w:top w:w="0" w:type="dxa"/>
        <w:right w:w="0" w:type="dxa"/>
        <w:bottom w:w="0" w:type="dxa"/>
      </w:tblCellMar>
    </w:tblPr>
  </w:style>
  <w:style w:type="table" w:styleId="1087" w:customStyle="1">
    <w:name w:val="Grid Table 4 - Accent 3"/>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088" w:customStyle="1">
    <w:name w:val="List Table 1 Light - Accent 1"/>
    <w:uiPriority w:val="99"/>
    <w:qFormat/>
    <w:rPr>
      <w:rFonts w:ascii="Calibri" w:hAnsi="Calibri"/>
    </w:rPr>
    <w:tblPr>
      <w:tblCellMar>
        <w:left w:w="0" w:type="dxa"/>
        <w:top w:w="0" w:type="dxa"/>
        <w:right w:w="0" w:type="dxa"/>
        <w:bottom w:w="0" w:type="dxa"/>
      </w:tblCellMar>
    </w:tblPr>
  </w:style>
  <w:style w:type="table" w:styleId="1089" w:customStyle="1">
    <w:name w:val="List Table 4 - Accent 1"/>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090" w:customStyle="1">
    <w:name w:val="Grid Table 5 Dark- Accent 1"/>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091" w:customStyle="1">
    <w:name w:val="Lined - Accent 2"/>
    <w:uiPriority w:val="99"/>
    <w:qFormat/>
    <w:rPr>
      <w:rFonts w:ascii="Calibri" w:hAnsi="Calibri"/>
      <w:color w:val="404040"/>
    </w:rPr>
    <w:tblPr>
      <w:tblCellMar>
        <w:left w:w="0" w:type="dxa"/>
        <w:top w:w="0" w:type="dxa"/>
        <w:right w:w="0" w:type="dxa"/>
        <w:bottom w:w="0" w:type="dxa"/>
      </w:tblCellMar>
    </w:tblPr>
  </w:style>
  <w:style w:type="table" w:styleId="1092" w:customStyle="1">
    <w:name w:val="List Table 3 - Accent 3"/>
    <w:uiPriority w:val="99"/>
    <w:qFormat/>
    <w:rPr>
      <w:rFonts w:ascii="Calibri" w:hAnsi="Calibri"/>
    </w:rPr>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093" w:customStyle="1">
    <w:name w:val="网格型1"/>
    <w:basedOn w:val="1094"/>
    <w:uiPriority w:val="99"/>
    <w:unhideWhenUsed/>
    <w:qFormat/>
    <w:pPr>
      <w:jc w:val="both"/>
      <w:widowControl w:val="off"/>
    </w:pPr>
    <w:rPr>
      <w:rFonts w:ascii="Times New Roman" w:hAnsi="Times New Roman"/>
    </w:rPr>
    <w:tblPr>
      <w:tblCellMar>
        <w:left w:w="0" w:type="dxa"/>
        <w:top w:w="0" w:type="dxa"/>
        <w:right w:w="0" w:type="dxa"/>
        <w:bottom w:w="0" w:type="dxa"/>
      </w:tblCellMar>
    </w:tblPr>
  </w:style>
  <w:style w:type="table" w:styleId="1094" w:customStyle="1">
    <w:name w:val="普通表格1"/>
    <w:uiPriority w:val="99"/>
    <w:unhideWhenUsed/>
    <w:qFormat/>
    <w:rPr>
      <w:rFonts w:ascii="Calibri" w:hAnsi="Calibri"/>
    </w:rPr>
    <w:tblPr>
      <w:tblCellMar>
        <w:left w:w="0" w:type="dxa"/>
        <w:top w:w="0" w:type="dxa"/>
        <w:right w:w="0" w:type="dxa"/>
        <w:bottom w:w="0" w:type="dxa"/>
      </w:tblCellMar>
    </w:tblPr>
  </w:style>
  <w:style w:type="table" w:styleId="1095" w:customStyle="1">
    <w:name w:val="Grid Table 2 - Accent 1"/>
    <w:uiPriority w:val="99"/>
    <w:qFormat/>
    <w:rPr>
      <w:rFonts w:ascii="Calibri" w:hAnsi="Calibri"/>
    </w:rPr>
    <w:tblPr>
      <w:tblBorders>
        <w:bottom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096" w:customStyle="1">
    <w:name w:val="Bordered - Accent 3"/>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097" w:customStyle="1">
    <w:name w:val="List Table 3 - Accent 5"/>
    <w:uiPriority w:val="99"/>
    <w:qFormat/>
    <w:rPr>
      <w:rFonts w:ascii="Calibri" w:hAnsi="Calibri"/>
    </w:rPr>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098" w:customStyle="1">
    <w:name w:val="List Table 3 - Accent 4"/>
    <w:uiPriority w:val="99"/>
    <w:qFormat/>
    <w:rPr>
      <w:rFonts w:ascii="Calibri" w:hAnsi="Calibri"/>
    </w:rPr>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099" w:customStyle="1">
    <w:name w:val="Grid Table 5 Dark - Accent 3"/>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100" w:customStyle="1">
    <w:name w:val="Bordered &amp; Lined - Accent 3"/>
    <w:uiPriority w:val="99"/>
    <w:qFormat/>
    <w:rPr>
      <w:rFonts w:ascii="Calibri" w:hAnsi="Calibri"/>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101" w:customStyle="1">
    <w:name w:val="List Table 1 Light - Accent 6"/>
    <w:uiPriority w:val="99"/>
    <w:qFormat/>
    <w:rPr>
      <w:rFonts w:ascii="Calibri" w:hAnsi="Calibri"/>
    </w:rPr>
    <w:tblPr>
      <w:tblCellMar>
        <w:left w:w="0" w:type="dxa"/>
        <w:top w:w="0" w:type="dxa"/>
        <w:right w:w="0" w:type="dxa"/>
        <w:bottom w:w="0" w:type="dxa"/>
      </w:tblCellMar>
    </w:tblPr>
  </w:style>
  <w:style w:type="table" w:styleId="1102" w:customStyle="1">
    <w:name w:val="List Table 5 Dark - Accent 5"/>
    <w:uiPriority w:val="99"/>
    <w:qFormat/>
    <w:rPr>
      <w:rFonts w:ascii="Calibri" w:hAnsi="Calibri"/>
    </w:rPr>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style>
  <w:style w:type="table" w:styleId="1103" w:customStyle="1">
    <w:name w:val="List Table 5 Dark - Accent 3"/>
    <w:uiPriority w:val="99"/>
    <w:qFormat/>
    <w:rPr>
      <w:rFonts w:ascii="Calibri" w:hAnsi="Calibri"/>
    </w:rPr>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style>
  <w:style w:type="table" w:styleId="1104" w:customStyle="1">
    <w:name w:val="Grid Table 7 Colorful - Accent 2"/>
    <w:uiPriority w:val="99"/>
    <w:qFormat/>
    <w:rPr>
      <w:rFonts w:ascii="Calibri" w:hAnsi="Calibri"/>
    </w:rPr>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105" w:customStyle="1">
    <w:name w:val="Grid Table 2 - Accent 3"/>
    <w:uiPriority w:val="99"/>
    <w:qFormat/>
    <w:rPr>
      <w:rFonts w:ascii="Calibri" w:hAnsi="Calibri"/>
    </w:rPr>
    <w:tblPr>
      <w:tblBorders>
        <w:bottom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106" w:customStyle="1">
    <w:name w:val="Bordered &amp; Lined - Accent 1"/>
    <w:uiPriority w:val="99"/>
    <w:qFormat/>
    <w:rPr>
      <w:rFonts w:ascii="Calibri" w:hAnsi="Calibri"/>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107" w:customStyle="1">
    <w:name w:val="Bordered - Accent 2"/>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108" w:customStyle="1">
    <w:name w:val="Grid Table 2 - Accent 2"/>
    <w:uiPriority w:val="99"/>
    <w:qFormat/>
    <w:rPr>
      <w:rFonts w:ascii="Calibri" w:hAnsi="Calibri"/>
    </w:rPr>
    <w:tblPr>
      <w:tblBorders>
        <w:bottom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109" w:customStyle="1">
    <w:name w:val="List Table 2 - Accent 5"/>
    <w:uiPriority w:val="99"/>
    <w:qFormat/>
    <w:rPr>
      <w:rFonts w:ascii="Calibri" w:hAnsi="Calibri"/>
    </w:rPr>
    <w:tblPr>
      <w:tblBorders>
        <w:top w:val="single" w:color="000000" w:sz="4" w:space="0"/>
        <w:bottom w:val="single" w:color="000000" w:sz="4" w:space="0"/>
        <w:insideH w:val="single" w:color="000000" w:sz="4" w:space="0"/>
      </w:tblBorders>
      <w:tblCellMar>
        <w:left w:w="0" w:type="dxa"/>
        <w:top w:w="0" w:type="dxa"/>
        <w:right w:w="0" w:type="dxa"/>
        <w:bottom w:w="0" w:type="dxa"/>
      </w:tblCellMar>
    </w:tblPr>
  </w:style>
  <w:style w:type="table" w:styleId="1110" w:customStyle="1">
    <w:name w:val="Grid Table 1 Light - Accent 3"/>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111" w:customStyle="1">
    <w:name w:val="Grid Table 4 - Accent 6"/>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112" w:customStyle="1">
    <w:name w:val="Lined - Accent 1"/>
    <w:uiPriority w:val="99"/>
    <w:qFormat/>
    <w:rPr>
      <w:rFonts w:ascii="Calibri" w:hAnsi="Calibri"/>
      <w:color w:val="404040"/>
    </w:rPr>
    <w:tblPr>
      <w:tblCellMar>
        <w:left w:w="0" w:type="dxa"/>
        <w:top w:w="0" w:type="dxa"/>
        <w:right w:w="0" w:type="dxa"/>
        <w:bottom w:w="0" w:type="dxa"/>
      </w:tblCellMar>
    </w:tblPr>
  </w:style>
  <w:style w:type="table" w:styleId="1113" w:customStyle="1">
    <w:name w:val="Grid Table 3 - Accent 4"/>
    <w:uiPriority w:val="99"/>
    <w:qFormat/>
    <w:rPr>
      <w:rFonts w:ascii="Calibri" w:hAnsi="Calibri"/>
    </w:rPr>
    <w:tblPr>
      <w:tblBorders>
        <w:bottom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114" w:customStyle="1">
    <w:name w:val="Grid Table 2 - Accent 4"/>
    <w:uiPriority w:val="99"/>
    <w:qFormat/>
    <w:rPr>
      <w:rFonts w:ascii="Calibri" w:hAnsi="Calibri"/>
    </w:rPr>
    <w:tblPr>
      <w:tblBorders>
        <w:bottom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115" w:customStyle="1">
    <w:name w:val="List Table 2 - Accent 2"/>
    <w:uiPriority w:val="99"/>
    <w:qFormat/>
    <w:rPr>
      <w:rFonts w:ascii="Calibri" w:hAnsi="Calibri"/>
    </w:rPr>
    <w:tblPr>
      <w:tblBorders>
        <w:top w:val="single" w:color="000000" w:sz="4" w:space="0"/>
        <w:bottom w:val="single" w:color="000000" w:sz="4" w:space="0"/>
        <w:insideH w:val="single" w:color="000000" w:sz="4" w:space="0"/>
      </w:tblBorders>
      <w:tblCellMar>
        <w:left w:w="0" w:type="dxa"/>
        <w:top w:w="0" w:type="dxa"/>
        <w:right w:w="0" w:type="dxa"/>
        <w:bottom w:w="0" w:type="dxa"/>
      </w:tblCellMar>
    </w:tblPr>
  </w:style>
  <w:style w:type="table" w:styleId="1116" w:customStyle="1">
    <w:name w:val="List Table 5 Dark - Accent 6"/>
    <w:uiPriority w:val="99"/>
    <w:qFormat/>
    <w:rPr>
      <w:rFonts w:ascii="Calibri" w:hAnsi="Calibri"/>
    </w:rPr>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style>
  <w:style w:type="table" w:styleId="1117" w:customStyle="1">
    <w:name w:val="Grid Table 7 Colorful - Accent 4"/>
    <w:uiPriority w:val="99"/>
    <w:qFormat/>
    <w:rPr>
      <w:rFonts w:ascii="Calibri" w:hAnsi="Calibri"/>
    </w:rPr>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118" w:customStyle="1">
    <w:name w:val="List Table 2 - Accent 3"/>
    <w:uiPriority w:val="99"/>
    <w:qFormat/>
    <w:rPr>
      <w:rFonts w:ascii="Calibri" w:hAnsi="Calibri"/>
    </w:rPr>
    <w:tblPr>
      <w:tblBorders>
        <w:top w:val="single" w:color="000000" w:sz="4" w:space="0"/>
        <w:bottom w:val="single" w:color="000000" w:sz="4" w:space="0"/>
        <w:insideH w:val="single" w:color="000000" w:sz="4" w:space="0"/>
      </w:tblBorders>
      <w:tblCellMar>
        <w:left w:w="0" w:type="dxa"/>
        <w:top w:w="0" w:type="dxa"/>
        <w:right w:w="0" w:type="dxa"/>
        <w:bottom w:w="0" w:type="dxa"/>
      </w:tblCellMar>
    </w:tblPr>
  </w:style>
  <w:style w:type="table" w:styleId="1119" w:customStyle="1">
    <w:name w:val="List Table 1 Light - Accent 4"/>
    <w:uiPriority w:val="99"/>
    <w:qFormat/>
    <w:rPr>
      <w:rFonts w:ascii="Calibri" w:hAnsi="Calibri"/>
    </w:rPr>
    <w:tblPr>
      <w:tblCellMar>
        <w:left w:w="0" w:type="dxa"/>
        <w:top w:w="0" w:type="dxa"/>
        <w:right w:w="0" w:type="dxa"/>
        <w:bottom w:w="0" w:type="dxa"/>
      </w:tblCellMar>
    </w:tblPr>
  </w:style>
  <w:style w:type="table" w:styleId="1120" w:customStyle="1">
    <w:name w:val="Table Grid Light"/>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121" w:customStyle="1">
    <w:name w:val="List Table 7 Colorful - Accent 6"/>
    <w:uiPriority w:val="99"/>
    <w:qFormat/>
    <w:rPr>
      <w:rFonts w:ascii="Calibri" w:hAnsi="Calibri"/>
    </w:rPr>
    <w:tblPr>
      <w:tblBorders>
        <w:right w:val="single" w:color="000000" w:sz="4" w:space="0"/>
      </w:tblBorders>
      <w:tblCellMar>
        <w:left w:w="0" w:type="dxa"/>
        <w:top w:w="0" w:type="dxa"/>
        <w:right w:w="0" w:type="dxa"/>
        <w:bottom w:w="0" w:type="dxa"/>
      </w:tblCellMar>
    </w:tblPr>
  </w:style>
  <w:style w:type="table" w:styleId="1122" w:customStyle="1">
    <w:name w:val="List Table 3 - Accent 2"/>
    <w:uiPriority w:val="99"/>
    <w:qFormat/>
    <w:rPr>
      <w:rFonts w:ascii="Calibri" w:hAnsi="Calibri"/>
    </w:rPr>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123" w:customStyle="1">
    <w:name w:val="Grid Table 1 Light - Accent 6"/>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124" w:customStyle="1">
    <w:name w:val="Grid Table 1 Light - Accent 5"/>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125" w:customStyle="1">
    <w:name w:val="List Table 2 - Accent 4"/>
    <w:uiPriority w:val="99"/>
    <w:qFormat/>
    <w:rPr>
      <w:rFonts w:ascii="Calibri" w:hAnsi="Calibri"/>
    </w:rPr>
    <w:tblPr>
      <w:tblBorders>
        <w:top w:val="single" w:color="000000" w:sz="4" w:space="0"/>
        <w:bottom w:val="single" w:color="000000" w:sz="4" w:space="0"/>
        <w:insideH w:val="single" w:color="000000" w:sz="4" w:space="0"/>
      </w:tblBorders>
      <w:tblCellMar>
        <w:left w:w="0" w:type="dxa"/>
        <w:top w:w="0" w:type="dxa"/>
        <w:right w:w="0" w:type="dxa"/>
        <w:bottom w:w="0" w:type="dxa"/>
      </w:tblCellMar>
    </w:tblPr>
  </w:style>
  <w:style w:type="table" w:styleId="1126" w:customStyle="1">
    <w:name w:val="List Table 6 Colorful - Accent 2"/>
    <w:uiPriority w:val="99"/>
    <w:qFormat/>
    <w:rPr>
      <w:rFonts w:ascii="Calibri" w:hAnsi="Calibri"/>
    </w:rPr>
    <w:tblPr>
      <w:tblBorders>
        <w:top w:val="single" w:color="000000" w:sz="4" w:space="0"/>
        <w:bottom w:val="single" w:color="000000" w:sz="4" w:space="0"/>
      </w:tblBorders>
      <w:tblCellMar>
        <w:left w:w="0" w:type="dxa"/>
        <w:top w:w="0" w:type="dxa"/>
        <w:right w:w="0" w:type="dxa"/>
        <w:bottom w:w="0" w:type="dxa"/>
      </w:tblCellMar>
    </w:tblPr>
  </w:style>
  <w:style w:type="table" w:styleId="1127" w:customStyle="1">
    <w:name w:val="Grid Table 6 Colorful - Accent 1"/>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128" w:customStyle="1">
    <w:name w:val="List Table 4 - Accent 6"/>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129" w:customStyle="1">
    <w:name w:val="Grid Table 2 - Accent 6"/>
    <w:uiPriority w:val="99"/>
    <w:qFormat/>
    <w:rPr>
      <w:rFonts w:ascii="Calibri" w:hAnsi="Calibri"/>
    </w:rPr>
    <w:tblPr>
      <w:tblBorders>
        <w:bottom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130" w:customStyle="1">
    <w:name w:val="Grid Table 1 Light - Accent 2"/>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131" w:customStyle="1">
    <w:name w:val="Grid Table 2 - Accent 5"/>
    <w:uiPriority w:val="99"/>
    <w:qFormat/>
    <w:rPr>
      <w:rFonts w:ascii="Calibri" w:hAnsi="Calibri"/>
    </w:rPr>
    <w:tblPr>
      <w:tblBorders>
        <w:bottom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132" w:customStyle="1">
    <w:name w:val="List Table 6 Colorful - Accent 4"/>
    <w:uiPriority w:val="99"/>
    <w:qFormat/>
    <w:rPr>
      <w:rFonts w:ascii="Calibri" w:hAnsi="Calibri"/>
    </w:rPr>
    <w:tblPr>
      <w:tblBorders>
        <w:top w:val="single" w:color="000000" w:sz="4" w:space="0"/>
        <w:bottom w:val="single" w:color="000000" w:sz="4" w:space="0"/>
      </w:tblBorders>
      <w:tblCellMar>
        <w:left w:w="0" w:type="dxa"/>
        <w:top w:w="0" w:type="dxa"/>
        <w:right w:w="0" w:type="dxa"/>
        <w:bottom w:w="0" w:type="dxa"/>
      </w:tblCellMar>
    </w:tblPr>
  </w:style>
  <w:style w:type="table" w:styleId="1133" w:customStyle="1">
    <w:name w:val="Lined - Accent"/>
    <w:uiPriority w:val="99"/>
    <w:qFormat/>
    <w:rPr>
      <w:rFonts w:ascii="Calibri" w:hAnsi="Calibri"/>
      <w:color w:val="404040"/>
    </w:rPr>
    <w:tblPr>
      <w:tblCellMar>
        <w:left w:w="0" w:type="dxa"/>
        <w:top w:w="0" w:type="dxa"/>
        <w:right w:w="0" w:type="dxa"/>
        <w:bottom w:w="0" w:type="dxa"/>
      </w:tblCellMar>
    </w:tblPr>
  </w:style>
  <w:style w:type="table" w:styleId="1134" w:customStyle="1">
    <w:name w:val="Grid Table 7 Colorful - Accent 5"/>
    <w:uiPriority w:val="99"/>
    <w:qFormat/>
    <w:rPr>
      <w:rFonts w:ascii="Calibri" w:hAnsi="Calibri"/>
    </w:rPr>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135" w:customStyle="1">
    <w:name w:val="Lined - Accent 4"/>
    <w:uiPriority w:val="99"/>
    <w:qFormat/>
    <w:rPr>
      <w:rFonts w:ascii="Calibri" w:hAnsi="Calibri"/>
      <w:color w:val="404040"/>
    </w:rPr>
    <w:tblPr>
      <w:tblCellMar>
        <w:left w:w="0" w:type="dxa"/>
        <w:top w:w="0" w:type="dxa"/>
        <w:right w:w="0" w:type="dxa"/>
        <w:bottom w:w="0" w:type="dxa"/>
      </w:tblCellMar>
    </w:tblPr>
  </w:style>
  <w:style w:type="table" w:styleId="1136" w:customStyle="1">
    <w:name w:val="Grid Table 6 Colorful - Accent 6"/>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137" w:customStyle="1">
    <w:name w:val="List Table 6 Colorful - Accent 6"/>
    <w:uiPriority w:val="99"/>
    <w:qFormat/>
    <w:rPr>
      <w:rFonts w:ascii="Calibri" w:hAnsi="Calibri"/>
    </w:rPr>
    <w:tblPr>
      <w:tblBorders>
        <w:top w:val="single" w:color="000000" w:sz="4" w:space="0"/>
        <w:bottom w:val="single" w:color="000000" w:sz="4" w:space="0"/>
      </w:tblBorders>
      <w:tblCellMar>
        <w:left w:w="0" w:type="dxa"/>
        <w:top w:w="0" w:type="dxa"/>
        <w:right w:w="0" w:type="dxa"/>
        <w:bottom w:w="0" w:type="dxa"/>
      </w:tblCellMar>
    </w:tblPr>
  </w:style>
  <w:style w:type="table" w:styleId="1138" w:customStyle="1">
    <w:name w:val="List Table 2 - Accent 6"/>
    <w:uiPriority w:val="99"/>
    <w:qFormat/>
    <w:rPr>
      <w:rFonts w:ascii="Calibri" w:hAnsi="Calibri"/>
    </w:rPr>
    <w:tblPr>
      <w:tblBorders>
        <w:top w:val="single" w:color="000000" w:sz="4" w:space="0"/>
        <w:bottom w:val="single" w:color="000000" w:sz="4" w:space="0"/>
        <w:insideH w:val="single" w:color="000000" w:sz="4" w:space="0"/>
      </w:tblBorders>
      <w:tblCellMar>
        <w:left w:w="0" w:type="dxa"/>
        <w:top w:w="0" w:type="dxa"/>
        <w:right w:w="0" w:type="dxa"/>
        <w:bottom w:w="0" w:type="dxa"/>
      </w:tblCellMar>
    </w:tblPr>
  </w:style>
  <w:style w:type="table" w:styleId="1139" w:customStyle="1">
    <w:name w:val="List Table 6 Colorful - Accent 3"/>
    <w:uiPriority w:val="99"/>
    <w:qFormat/>
    <w:rPr>
      <w:rFonts w:ascii="Calibri" w:hAnsi="Calibri"/>
    </w:rPr>
    <w:tblPr>
      <w:tblBorders>
        <w:top w:val="single" w:color="000000" w:sz="4" w:space="0"/>
        <w:bottom w:val="single" w:color="000000" w:sz="4" w:space="0"/>
      </w:tblBorders>
      <w:tblCellMar>
        <w:left w:w="0" w:type="dxa"/>
        <w:top w:w="0" w:type="dxa"/>
        <w:right w:w="0" w:type="dxa"/>
        <w:bottom w:w="0" w:type="dxa"/>
      </w:tblCellMar>
    </w:tblPr>
  </w:style>
  <w:style w:type="table" w:styleId="1140" w:customStyle="1">
    <w:name w:val="Bordered - Accent 6"/>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141" w:customStyle="1">
    <w:name w:val="Grid Table 3 - Accent 5"/>
    <w:uiPriority w:val="99"/>
    <w:qFormat/>
    <w:rPr>
      <w:rFonts w:ascii="Calibri" w:hAnsi="Calibri"/>
    </w:rPr>
    <w:tblPr>
      <w:tblBorders>
        <w:bottom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142" w:customStyle="1">
    <w:name w:val="Lined - Accent 3"/>
    <w:uiPriority w:val="99"/>
    <w:qFormat/>
    <w:rPr>
      <w:rFonts w:ascii="Calibri" w:hAnsi="Calibri"/>
      <w:color w:val="404040"/>
    </w:rPr>
    <w:tblPr>
      <w:tblCellMar>
        <w:left w:w="0" w:type="dxa"/>
        <w:top w:w="0" w:type="dxa"/>
        <w:right w:w="0" w:type="dxa"/>
        <w:bottom w:w="0" w:type="dxa"/>
      </w:tblCellMar>
    </w:tblPr>
  </w:style>
  <w:style w:type="paragraph" w:styleId="1143" w:customStyle="1">
    <w:name w:val="修订2"/>
    <w:hidden/>
    <w:uiPriority w:val="99"/>
    <w:semiHidden/>
    <w:qFormat/>
    <w:pPr>
      <w:spacing w:after="160" w:line="278" w:lineRule="auto"/>
    </w:pPr>
    <w:rPr>
      <w:rFonts w:ascii="Calibri" w:hAnsi="Calibri"/>
      <w:sz w:val="21"/>
      <w:szCs w:val="22"/>
    </w:rPr>
  </w:style>
  <w:style w:type="paragraph" w:styleId="1144" w:customStyle="1">
    <w:name w:val="修订3"/>
    <w:hidden/>
    <w:uiPriority w:val="99"/>
    <w:semiHidden/>
    <w:qFormat/>
    <w:pPr>
      <w:spacing w:after="160" w:line="278" w:lineRule="auto"/>
    </w:pPr>
    <w:rPr>
      <w:rFonts w:ascii="Calibri" w:hAnsi="Calibri"/>
      <w:sz w:val="21"/>
      <w:szCs w:val="22"/>
    </w:rPr>
  </w:style>
  <w:style w:type="paragraph" w:styleId="1145" w:customStyle="1">
    <w:name w:val="正文文本11"/>
    <w:basedOn w:val="765"/>
    <w:next w:val="765"/>
    <w:uiPriority w:val="99"/>
    <w:unhideWhenUsed/>
    <w:qFormat/>
    <w:pPr>
      <w:spacing w:after="120"/>
    </w:pPr>
    <w:rPr>
      <w:sz w:val="20"/>
      <w:lang w:val="zh-CN"/>
    </w:rPr>
  </w:style>
  <w:style w:type="character" w:styleId="1146" w:customStyle="1">
    <w:name w:val="font11"/>
    <w:basedOn w:val="775"/>
    <w:qFormat/>
    <w:rPr>
      <w:rFonts w:hint="eastAsia" w:ascii="等线" w:hAnsi="等线" w:eastAsia="等线" w:cs="等线"/>
      <w:color w:val="ff0000"/>
      <w:sz w:val="22"/>
      <w:szCs w:val="22"/>
      <w:u w:val="none"/>
    </w:rPr>
  </w:style>
  <w:style w:type="character" w:styleId="1147" w:customStyle="1">
    <w:name w:val="font01"/>
    <w:basedOn w:val="775"/>
    <w:qFormat/>
    <w:rPr>
      <w:rFonts w:hint="eastAsia" w:ascii="等线" w:hAnsi="等线" w:eastAsia="等线" w:cs="等线"/>
      <w:color w:val="000000"/>
      <w:sz w:val="22"/>
      <w:szCs w:val="22"/>
      <w:u w:val="none"/>
    </w:rPr>
  </w:style>
  <w:style w:type="paragraph" w:styleId="1148" w:customStyle="1">
    <w:name w:val="修订4"/>
    <w:hidden/>
    <w:uiPriority w:val="99"/>
    <w:unhideWhenUsed/>
    <w:rPr>
      <w:rFonts w:ascii="Calibri" w:hAnsi="Calibri"/>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275D86A8-B44F-4FFA-9C82-71877A7119F4}">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张伟</dc:creator>
  <cp:lastModifiedBy>张伟</cp:lastModifiedBy>
  <cp:revision>25</cp:revision>
  <dcterms:created xsi:type="dcterms:W3CDTF">2026-05-22T07:03:00Z</dcterms:created>
  <dcterms:modified xsi:type="dcterms:W3CDTF">2026-05-26T01:51:33Z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KSOTemplateDocerSaveRecord">
    <vt:lpwstr>eyJoZGlkIjoiZDBiNGVlYmMyMzkyYzdjYzJmZTY2NGJlMmYxMjczY2YiLCJ1c2VySWQiOiI1MDMyMTM0MjUifQ==</vt:lpwstr>
  </property>
  <property fmtid="{D5CDD505-2E9C-101B-9397-08002B2CF9AE}" pid="4" name="ICV">
    <vt:lpwstr>C0D34BAC9FD04794A3030594E377BE1E_13</vt:lpwstr>
  </property>
</Properties>
</file>