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ind w:firstLine="300"/>
        <w:spacing w:line="360" w:lineRule="auto"/>
        <w:rPr>
          <w:sz w:val="60"/>
          <w:szCs w:val="60"/>
        </w:rPr>
      </w:pPr>
      <w:r>
        <w:rPr>
          <w:sz w:val="60"/>
          <w:szCs w:val="60"/>
        </w:rPr>
      </w:r>
      <w:r/>
    </w:p>
    <w:p>
      <w:pPr>
        <w:pStyle w:val="864"/>
        <w:jc w:val="center"/>
        <w:rPr>
          <w:b/>
          <w:bCs/>
          <w:sz w:val="60"/>
          <w:szCs w:val="60"/>
        </w:rPr>
      </w:pPr>
      <w:r>
        <w:rPr>
          <w:b/>
          <w:bCs/>
          <w:sz w:val="60"/>
          <w:szCs w:val="60"/>
        </w:rPr>
        <w:t xml:space="preserve">常州市政府采购项目</w:t>
      </w:r>
      <w:r>
        <w:rPr>
          <w:b/>
          <w:bCs/>
          <w:sz w:val="60"/>
          <w:szCs w:val="60"/>
        </w:rPr>
      </w:r>
      <w:r/>
    </w:p>
    <w:p>
      <w:pPr>
        <w:pStyle w:val="864"/>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864"/>
        <w:jc w:val="center"/>
        <w:rPr>
          <w:b/>
          <w:bCs/>
          <w:sz w:val="60"/>
          <w:szCs w:val="60"/>
        </w:rPr>
      </w:pPr>
      <w:r>
        <w:rPr>
          <w:b/>
          <w:bCs/>
          <w:sz w:val="60"/>
          <w:szCs w:val="60"/>
        </w:rPr>
      </w:r>
      <w:r/>
    </w:p>
    <w:p>
      <w:pPr>
        <w:pStyle w:val="864"/>
        <w:jc w:val="center"/>
        <w:spacing w:line="360" w:lineRule="auto"/>
        <w:rPr>
          <w:rFonts w:hint="eastAsia" w:eastAsia="宋体"/>
          <w:sz w:val="60"/>
          <w:szCs w:val="60"/>
          <w:lang w:eastAsia="zh-CN"/>
        </w:rPr>
      </w:pPr>
      <w:r>
        <w:rPr>
          <w:rFonts w:hint="eastAsia" w:eastAsia="宋体"/>
          <w:sz w:val="60"/>
          <w:szCs w:val="60"/>
          <w:lang w:eastAsia="zh-CN"/>
        </w:rPr>
      </w:r>
      <w:r/>
    </w:p>
    <w:p>
      <w:pPr>
        <w:pStyle w:val="864"/>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常州市金坛区中医医院供应室医疗用品清洗消毒服务外包项目</w:t>
      </w:r>
      <w:r>
        <w:rPr>
          <w:rFonts w:hint="eastAsia"/>
          <w:bCs/>
          <w:sz w:val="36"/>
          <w:szCs w:val="36"/>
          <w:lang w:eastAsia="zh-CN"/>
        </w:rPr>
      </w:r>
      <w:r/>
    </w:p>
    <w:p>
      <w:pPr>
        <w:pStyle w:val="864"/>
        <w:ind w:left="2832" w:hanging="190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项目编号/包号：JSZC-320413-JTMS-G2026-0009</w:t>
      </w:r>
      <w:r>
        <w:rPr>
          <w:rFonts w:eastAsia="宋体"/>
          <w:bCs/>
          <w:sz w:val="36"/>
          <w:szCs w:val="36"/>
          <w:lang w:val="en-US" w:eastAsia="zh-CN"/>
        </w:rPr>
      </w:r>
      <w:r/>
    </w:p>
    <w:p>
      <w:pPr>
        <w:pStyle w:val="864"/>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常州市金坛区中医医院</w:t>
      </w:r>
      <w:r>
        <w:rPr>
          <w:bCs/>
          <w:sz w:val="36"/>
          <w:szCs w:val="36"/>
        </w:rPr>
      </w:r>
      <w:r/>
    </w:p>
    <w:p>
      <w:pPr>
        <w:pStyle w:val="86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864"/>
        <w:jc w:val="left"/>
        <w:widowControl/>
        <w:rPr>
          <w:b/>
          <w:bCs/>
          <w:sz w:val="44"/>
        </w:rPr>
      </w:pPr>
      <w:r>
        <w:rPr>
          <w:b/>
          <w:bCs/>
          <w:sz w:val="44"/>
        </w:rPr>
        <w:br w:type="page" w:clear="all"/>
      </w:r>
      <w:r>
        <w:rPr>
          <w:b/>
          <w:bCs/>
          <w:sz w:val="44"/>
        </w:rPr>
      </w:r>
      <w:r/>
    </w:p>
    <w:p>
      <w:pPr>
        <w:pStyle w:val="864"/>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864"/>
      </w:pPr>
      <w:r/>
      <w:r/>
    </w:p>
    <w:p>
      <w:pPr>
        <w:pStyle w:val="864"/>
      </w:pPr>
      <w:r/>
      <w:r/>
    </w:p>
    <w:p>
      <w:pPr>
        <w:pStyle w:val="864"/>
      </w:pPr>
      <w:r/>
      <w:r/>
    </w:p>
    <w:p>
      <w:pPr>
        <w:pStyle w:val="9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941"/>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941"/>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941"/>
          <w:rFonts w:ascii="Times New Roman" w:hAnsi="Times New Roman"/>
        </w:rPr>
        <w:t xml:space="preserve">第三章   资</w:t>
      </w:r>
      <w:bookmarkStart w:id="1" w:name="_Hlt100754117"/>
      <w:r>
        <w:rPr>
          <w:rStyle w:val="941"/>
          <w:rFonts w:ascii="Times New Roman" w:hAnsi="Times New Roman"/>
        </w:rPr>
        <w:t xml:space="preserve">格</w:t>
      </w:r>
      <w:bookmarkEnd w:id="1"/>
      <w:r>
        <w:rPr>
          <w:rStyle w:val="941"/>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941"/>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941"/>
          <w:rFonts w:ascii="Times New Roman" w:hAnsi="Times New Roman"/>
        </w:rPr>
        <w:t xml:space="preserve">第五章   采购</w:t>
      </w:r>
      <w:bookmarkStart w:id="2" w:name="_Hlt100754103"/>
      <w:r/>
      <w:bookmarkStart w:id="3" w:name="_Hlt100754102"/>
      <w:r>
        <w:rPr>
          <w:rStyle w:val="941"/>
          <w:rFonts w:ascii="Times New Roman" w:hAnsi="Times New Roman"/>
        </w:rPr>
        <w:t xml:space="preserve">需</w:t>
      </w:r>
      <w:bookmarkEnd w:id="2"/>
      <w:r/>
      <w:bookmarkEnd w:id="3"/>
      <w:r>
        <w:rPr>
          <w:rStyle w:val="941"/>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941"/>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941"/>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64"/>
        <w:jc w:val="center"/>
        <w:keepLines w:val="0"/>
        <w:keepNext w:val="0"/>
        <w:pageBreakBefore w:val="0"/>
        <w:spacing w:line="400" w:lineRule="exact"/>
        <w:widowControl w:val="off"/>
        <w:rPr>
          <w:color w:val="000000" w:themeColor="text1"/>
          <w:sz w:val="32"/>
          <w:szCs w:val="32"/>
        </w:rPr>
        <w:outlineLvl w:val="0"/>
      </w:pPr>
      <w:r>
        <w:rPr>
          <w:sz w:val="24"/>
        </w:rPr>
        <w:br w:type="page" w:clear="all"/>
      </w:r>
      <w:bookmarkStart w:id="4" w:name="_Toc99301419"/>
      <w:r>
        <w:rPr>
          <w:b/>
          <w:color w:val="000000" w:themeColor="text1"/>
          <w:sz w:val="36"/>
          <w:szCs w:val="36"/>
        </w:rPr>
        <w:t xml:space="preserve">第一章   投标邀请</w:t>
      </w:r>
      <w:bookmarkEnd w:id="4"/>
      <w:r>
        <w:rPr>
          <w:color w:val="000000" w:themeColor="text1"/>
        </w:rPr>
      </w:r>
      <w:r/>
    </w:p>
    <w:p>
      <w:pPr>
        <w:pStyle w:val="866"/>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5" w:name="_Toc35393621"/>
      <w:r>
        <w:rPr>
          <w:color w:val="000000" w:themeColor="text1"/>
        </w:rPr>
      </w:r>
      <w:bookmarkStart w:id="6" w:name="_Toc28359079"/>
      <w:r>
        <w:rPr>
          <w:color w:val="000000" w:themeColor="text1"/>
        </w:rPr>
      </w:r>
      <w:bookmarkStart w:id="7" w:name="_Toc35393790"/>
      <w:r>
        <w:rPr>
          <w:color w:val="000000" w:themeColor="text1"/>
        </w:rPr>
      </w:r>
      <w:bookmarkStart w:id="8" w:name="_Toc28359002"/>
      <w:r>
        <w:rPr>
          <w:color w:val="000000" w:themeColor="text1"/>
        </w:rPr>
      </w:r>
      <w:bookmarkStart w:id="9" w:name="_Hlk24379207"/>
      <w:r>
        <w:rPr>
          <w:rFonts w:hint="eastAsia" w:ascii="宋体" w:hAnsi="宋体" w:eastAsia="宋体" w:cs="宋体"/>
          <w:color w:val="000000" w:themeColor="text1"/>
          <w:sz w:val="24"/>
          <w:szCs w:val="24"/>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pStyle w:val="864"/>
        <w:ind w:left="0" w:firstLine="240"/>
        <w:pageBreakBefore w:val="0"/>
        <w:spacing w:line="36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rPr>
        <w:t xml:space="preserve">JSZC-320413-JTMS-G2026-0009</w:t>
      </w:r>
      <w:r>
        <w:rPr>
          <w:color w:val="000000" w:themeColor="text1"/>
        </w:rPr>
      </w:r>
      <w:r/>
    </w:p>
    <w:p>
      <w:pPr>
        <w:pStyle w:val="864"/>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常州市金坛区中医医院供应室医疗用品清洗消毒服务外包项目</w:t>
      </w:r>
      <w:r>
        <w:rPr>
          <w:color w:val="000000" w:themeColor="text1"/>
        </w:rPr>
      </w:r>
      <w:r/>
    </w:p>
    <w:p>
      <w:pPr>
        <w:pStyle w:val="864"/>
        <w:ind w:left="0" w:firstLine="240"/>
        <w:pageBreakBefore w:val="0"/>
        <w:spacing w:line="360" w:lineRule="exact"/>
        <w:rPr>
          <w:rFonts w:hint="eastAsia" w:ascii="宋体" w:hAnsi="宋体" w:eastAsia="宋体" w:cs="宋体"/>
          <w:color w:val="000000" w:themeColor="text1"/>
          <w:sz w:val="24"/>
          <w:szCs w:val="24"/>
        </w:rPr>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209万元</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项目最高限价（如有）：</w:t>
      </w:r>
      <w:r>
        <w:rPr>
          <w:rFonts w:hint="eastAsia" w:ascii="宋体" w:hAnsi="宋体" w:eastAsia="宋体" w:cs="宋体"/>
          <w:color w:val="000000" w:themeColor="text1"/>
          <w:sz w:val="24"/>
          <w:szCs w:val="24"/>
          <w:u w:val="single"/>
          <w:lang w:val="en-US" w:eastAsia="zh-CN"/>
        </w:rPr>
        <w:t xml:space="preserve">209万元</w:t>
      </w:r>
      <w:r>
        <w:rPr>
          <w:rFonts w:hint="eastAsia" w:ascii="宋体" w:hAnsi="宋体" w:eastAsia="宋体" w:cs="宋体"/>
          <w:color w:val="000000" w:themeColor="text1"/>
          <w:sz w:val="24"/>
          <w:szCs w:val="24"/>
          <w:u w:val="singl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color w:val="000000" w:themeColor="text1"/>
          <w:sz w:val="24"/>
          <w:szCs w:val="24"/>
          <w:lang w:eastAsia="zh-CN"/>
        </w:rPr>
        <w:t xml:space="preserve">。</w:t>
      </w:r>
      <w:r>
        <w:rPr>
          <w:color w:val="000000" w:themeColor="text1"/>
        </w:rPr>
      </w:r>
      <w:r/>
    </w:p>
    <w:p>
      <w:pPr>
        <w:pStyle w:val="864"/>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1370" w:type="dxa"/>
            <w:vAlign w:val="center"/>
            <w:textDirection w:val="lrTb"/>
            <w:noWrap w:val="false"/>
          </w:tcPr>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169" w:type="dxa"/>
            <w:vAlign w:val="center"/>
            <w:textDirection w:val="lrTb"/>
            <w:noWrap w:val="false"/>
          </w:tcPr>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481" w:type="dxa"/>
            <w:vAlign w:val="center"/>
            <w:textDirection w:val="lrTb"/>
            <w:noWrap w:val="false"/>
          </w:tcPr>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603" w:type="dxa"/>
            <w:vAlign w:val="center"/>
            <w:textDirection w:val="lrTb"/>
            <w:noWrap w:val="false"/>
          </w:tcPr>
          <w:p>
            <w:pPr>
              <w:pStyle w:val="864"/>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900"/>
        </w:trPr>
        <w:tc>
          <w:tcPr>
            <w:tcW w:w="375" w:type="dxa"/>
            <w:vAlign w:val="center"/>
            <w:textDirection w:val="lrTb"/>
            <w:noWrap w:val="false"/>
          </w:tcPr>
          <w:p>
            <w:pPr>
              <w:pStyle w:val="864"/>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1370" w:type="dxa"/>
            <w:vAlign w:val="center"/>
            <w:textDirection w:val="lrTb"/>
            <w:noWrap w:val="false"/>
          </w:tcPr>
          <w:p>
            <w:pPr>
              <w:pStyle w:val="864"/>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常州市金坛区中医医院供应室医疗用品清洗消毒服务外包项目</w:t>
            </w:r>
            <w:r>
              <w:rPr>
                <w:color w:val="000000" w:themeColor="text1"/>
              </w:rPr>
            </w:r>
            <w:r/>
          </w:p>
        </w:tc>
        <w:tc>
          <w:tcPr>
            <w:tcW w:w="1169" w:type="dxa"/>
            <w:vAlign w:val="center"/>
            <w:textDirection w:val="lrTb"/>
            <w:noWrap w:val="false"/>
          </w:tcPr>
          <w:p>
            <w:pPr>
              <w:pStyle w:val="864"/>
              <w:ind w:left="0"/>
              <w:jc w:val="center"/>
              <w:pageBreakBefore w:val="0"/>
              <w:spacing w:line="360" w:lineRule="exact"/>
              <w:rPr>
                <w:rFonts w:ascii="宋体" w:hAnsi="宋体" w:eastAsia="宋体" w:cs="宋体"/>
                <w:bCs/>
                <w:color w:val="000000" w:themeColor="text1"/>
                <w:sz w:val="24"/>
                <w:szCs w:val="24"/>
              </w:rPr>
            </w:pPr>
            <w:r>
              <w:rPr>
                <w:rFonts w:hint="eastAsia" w:ascii="宋体" w:hAnsi="宋体" w:eastAsia="宋体" w:cs="宋体"/>
                <w:color w:val="000000" w:themeColor="text1"/>
                <w:sz w:val="24"/>
                <w:szCs w:val="24"/>
                <w:u w:val="none"/>
                <w:lang w:val="en-US" w:eastAsia="zh-CN"/>
              </w:rPr>
              <w:t xml:space="preserve">209</w:t>
            </w:r>
            <w:r>
              <w:rPr>
                <w:color w:val="000000" w:themeColor="text1"/>
              </w:rPr>
            </w:r>
            <w:r/>
          </w:p>
        </w:tc>
        <w:tc>
          <w:tcPr>
            <w:tcW w:w="481" w:type="dxa"/>
            <w:vAlign w:val="center"/>
            <w:textDirection w:val="lrTb"/>
            <w:noWrap w:val="false"/>
          </w:tcPr>
          <w:p>
            <w:pPr>
              <w:pStyle w:val="864"/>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r/>
          </w:p>
        </w:tc>
        <w:tc>
          <w:tcPr>
            <w:tcW w:w="1603" w:type="dxa"/>
            <w:vAlign w:val="center"/>
            <w:textDirection w:val="lrTb"/>
            <w:noWrap w:val="false"/>
          </w:tcPr>
          <w:p>
            <w:pPr>
              <w:pStyle w:val="864"/>
              <w:ind w:left="0"/>
              <w:jc w:val="center"/>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864"/>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1年。</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10" w:name="_Toc28359003"/>
      <w:r>
        <w:rPr>
          <w:color w:val="000000" w:themeColor="text1"/>
        </w:rPr>
      </w:r>
      <w:bookmarkStart w:id="11" w:name="_Toc28359080"/>
      <w:r>
        <w:rPr>
          <w:color w:val="000000" w:themeColor="text1"/>
        </w:rPr>
      </w:r>
      <w:bookmarkStart w:id="12" w:name="_Toc35393622"/>
      <w:r>
        <w:rPr>
          <w:color w:val="000000" w:themeColor="text1"/>
        </w:rPr>
      </w:r>
      <w:bookmarkStart w:id="13" w:name="_Toc35393791"/>
      <w:r>
        <w:rPr>
          <w:rFonts w:hint="eastAsia" w:ascii="宋体" w:hAnsi="宋体" w:eastAsia="宋体" w:cs="宋体"/>
          <w:color w:val="000000" w:themeColor="text1"/>
          <w:sz w:val="24"/>
          <w:szCs w:val="24"/>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color w:val="000000" w:themeColor="text1"/>
        </w:rPr>
      </w:r>
      <w:bookmarkStart w:id="14" w:name="_Toc28359004"/>
      <w:r>
        <w:rPr>
          <w:color w:val="000000" w:themeColor="text1"/>
        </w:rPr>
      </w:r>
      <w:bookmarkStart w:id="15" w:name="_Toc28359081"/>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中小企业政策</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w:t>
      </w:r>
      <w:r>
        <w:rPr>
          <w:rFonts w:hint="eastAsia" w:ascii="宋体" w:hAnsi="宋体" w:eastAsia="宋体" w:cs="宋体"/>
          <w:color w:val="000000" w:themeColor="text1"/>
          <w:sz w:val="24"/>
          <w:szCs w:val="24"/>
        </w:rPr>
        <w:t xml:space="preserve"> □小微企业  采购。即：提供的货物全部由符合政策要求的中小/小微企业制造、服务全部由符合政策要求的中小/小微企业承接。</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w:t>
      </w:r>
      <w:r>
        <w:rPr>
          <w:rFonts w:hint="eastAsia" w:ascii="宋体" w:hAnsi="宋体" w:eastAsia="宋体" w:cs="宋体"/>
          <w:color w:val="000000" w:themeColor="text1"/>
          <w:sz w:val="24"/>
          <w:szCs w:val="24"/>
          <w:lang w:eastAsia="zh-CN"/>
        </w:rPr>
        <w:t xml:space="preserve">其他</w:t>
      </w:r>
      <w:r>
        <w:rPr>
          <w:rFonts w:hint="eastAsia" w:ascii="宋体" w:hAnsi="宋体" w:eastAsia="宋体" w:cs="宋体"/>
          <w:color w:val="000000" w:themeColor="text1"/>
          <w:sz w:val="24"/>
          <w:szCs w:val="24"/>
        </w:rPr>
        <w:t xml:space="preserve">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color w:val="000000" w:themeColor="text1"/>
        </w:rPr>
      </w:r>
      <w:r/>
    </w:p>
    <w:p>
      <w:pPr>
        <w:pStyle w:val="864"/>
        <w:ind w:left="0" w:firstLine="480"/>
        <w:pageBreakBefore w:val="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86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864"/>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4"/>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864"/>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3.3其他特定资格要求：</w:t>
      </w:r>
      <w:r>
        <w:rPr>
          <w:rFonts w:hint="eastAsia" w:ascii="宋体" w:hAnsi="宋体"/>
          <w:color w:val="000000" w:themeColor="text1"/>
          <w:sz w:val="24"/>
          <w:u w:val="single"/>
        </w:rPr>
        <w:t xml:space="preserve">供应商具有有效期内的医疗机构执业许可证（许可范围包含硬式器械清洗、消毒、干燥、检查、包装、灭菌等内容）</w:t>
      </w:r>
      <w:r>
        <w:rPr>
          <w:rFonts w:hint="eastAsia" w:ascii="宋体" w:hAnsi="宋体"/>
          <w:color w:val="000000" w:themeColor="text1"/>
          <w:sz w:val="24"/>
          <w:u w:val="single"/>
          <w:lang w:eastAsia="zh-CN"/>
        </w:rPr>
        <w:t xml:space="preserve">。</w:t>
      </w:r>
      <w:r>
        <w:rPr>
          <w:color w:val="000000" w:themeColor="text1"/>
        </w:rPr>
      </w:r>
      <w:r/>
    </w:p>
    <w:p>
      <w:pPr>
        <w:pStyle w:val="864"/>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lang w:val="en-US" w:eastAsia="zh-CN"/>
        </w:rPr>
      </w:r>
      <w:r>
        <w:rPr>
          <w:color w:val="000000" w:themeColor="text1"/>
        </w:rPr>
      </w:r>
      <w:r/>
    </w:p>
    <w:p>
      <w:pPr>
        <w:pStyle w:val="866"/>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End w:id="14"/>
      <w:r>
        <w:rPr>
          <w:color w:val="000000" w:themeColor="text1"/>
        </w:rPr>
      </w:r>
      <w:bookmarkEnd w:id="15"/>
      <w:r>
        <w:rPr>
          <w:color w:val="000000" w:themeColor="text1"/>
        </w:rPr>
      </w:r>
      <w:bookmarkStart w:id="16" w:name="_Toc35393623"/>
      <w:r>
        <w:rPr>
          <w:color w:val="000000" w:themeColor="text1"/>
        </w:rPr>
      </w:r>
      <w:bookmarkStart w:id="17" w:name="_Toc35393792"/>
      <w:r>
        <w:rPr>
          <w:rFonts w:hint="eastAsia" w:ascii="宋体" w:hAnsi="宋体" w:eastAsia="宋体" w:cs="宋体"/>
          <w:color w:val="000000" w:themeColor="text1"/>
          <w:sz w:val="24"/>
          <w:szCs w:val="24"/>
        </w:rPr>
        <w:t xml:space="preserve">三、获取招标文件</w:t>
      </w:r>
      <w:bookmarkEnd w:id="16"/>
      <w:r>
        <w:rPr>
          <w:color w:val="000000" w:themeColor="text1"/>
        </w:rPr>
      </w:r>
      <w:bookmarkEnd w:id="17"/>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w:t>
      </w:r>
      <w:r>
        <w:rPr>
          <w:rFonts w:hint="eastAsia" w:ascii="宋体" w:hAnsi="宋体" w:eastAsia="宋体" w:cs="宋体"/>
          <w:color w:val="000000" w:themeColor="text1"/>
          <w:sz w:val="24"/>
          <w:szCs w:val="24"/>
          <w:u w:val="single"/>
          <w:lang w:val="en-US" w:eastAsia="zh-CN" w:bidi="ar"/>
        </w:rPr>
        <w:t xml:space="preserve">5个工作日</w:t>
      </w:r>
      <w:r>
        <w:rPr>
          <w:rFonts w:hint="eastAsia" w:ascii="宋体" w:hAnsi="宋体" w:eastAsia="宋体" w:cs="宋体"/>
          <w:color w:val="000000" w:themeColor="text1"/>
          <w:sz w:val="24"/>
          <w:szCs w:val="24"/>
          <w:u w:val="single"/>
          <w:lang w:eastAsia="zh-CN" w:bidi="ar"/>
        </w:rPr>
        <w:t xml:space="preserve">。</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4.售价：0元。</w:t>
      </w:r>
      <w:r>
        <w:rPr>
          <w:color w:val="000000" w:themeColor="text1"/>
        </w:rPr>
      </w:r>
      <w:r/>
    </w:p>
    <w:p>
      <w:pPr>
        <w:pStyle w:val="866"/>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Start w:id="18" w:name="_Toc28359082"/>
      <w:r>
        <w:rPr>
          <w:color w:val="000000" w:themeColor="text1"/>
        </w:rPr>
      </w:r>
      <w:bookmarkStart w:id="19" w:name="_Toc28359005"/>
      <w:r>
        <w:rPr>
          <w:color w:val="000000" w:themeColor="text1"/>
        </w:rPr>
      </w:r>
      <w:bookmarkStart w:id="20" w:name="_Toc35393624"/>
      <w:r>
        <w:rPr>
          <w:color w:val="000000" w:themeColor="text1"/>
        </w:rPr>
      </w:r>
      <w:bookmarkStart w:id="21" w:name="_Toc35393793"/>
      <w:r>
        <w:rPr>
          <w:rFonts w:hint="eastAsia" w:ascii="宋体" w:hAnsi="宋体" w:eastAsia="宋体" w:cs="宋体"/>
          <w:color w:val="000000" w:themeColor="text1"/>
          <w:sz w:val="24"/>
          <w:szCs w:val="24"/>
        </w:rPr>
        <w:t xml:space="preserve">四、提交投标文件</w:t>
      </w:r>
      <w:bookmarkEnd w:id="18"/>
      <w:r>
        <w:rPr>
          <w:color w:val="000000" w:themeColor="text1"/>
        </w:rPr>
      </w:r>
      <w:bookmarkEnd w:id="19"/>
      <w:r>
        <w:rPr>
          <w:rFonts w:hint="eastAsia" w:ascii="宋体" w:hAnsi="宋体" w:eastAsia="宋体" w:cs="宋体"/>
          <w:color w:val="000000" w:themeColor="text1"/>
          <w:sz w:val="24"/>
          <w:szCs w:val="24"/>
        </w:rPr>
        <w:t xml:space="preserve">截止时间、开标时间和地点</w:t>
      </w:r>
      <w:bookmarkEnd w:id="20"/>
      <w:r>
        <w:rPr>
          <w:color w:val="000000" w:themeColor="text1"/>
        </w:rPr>
      </w:r>
      <w:bookmarkEnd w:id="21"/>
      <w:r>
        <w:rPr>
          <w:color w:val="000000" w:themeColor="text1"/>
        </w:rPr>
      </w:r>
      <w:r/>
    </w:p>
    <w:p>
      <w:pPr>
        <w:pStyle w:val="864"/>
        <w:ind w:left="0" w:firstLine="480"/>
        <w:pageBreakBefore w:val="0"/>
        <w:spacing w:line="360" w:lineRule="exact"/>
        <w:rPr>
          <w:rFonts w:hint="eastAsia" w:ascii="宋体" w:hAnsi="宋体" w:eastAsia="宋体" w:cs="宋体"/>
          <w:iCs/>
          <w:color w:val="000000" w:themeColor="text1"/>
          <w:sz w:val="24"/>
          <w:szCs w:val="24"/>
        </w:rPr>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2026年6月</w:t>
      </w:r>
      <w:r>
        <w:rPr>
          <w:rFonts w:hint="eastAsia" w:ascii="宋体" w:hAnsi="宋体" w:eastAsia="宋体" w:cs="宋体"/>
          <w:color w:val="000000" w:themeColor="text1"/>
          <w:sz w:val="24"/>
          <w:szCs w:val="24"/>
          <w:u w:val="single"/>
          <w:lang w:val="en-US" w:eastAsia="zh-CN" w:bidi="ar"/>
        </w:rPr>
        <w:t xml:space="preserve">17</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14</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30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866"/>
        <w:ind w:left="0" w:firstLine="480"/>
        <w:jc w:val="left"/>
        <w:pageBreakBefore w:val="0"/>
        <w:spacing w:before="0" w:line="360" w:lineRule="exact"/>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lang w:val="en-US" w:eastAsia="zh-CN" w:bidi="ar"/>
        </w:rPr>
        <w:t xml:space="preserve">2.地点：</w:t>
      </w:r>
      <w:bookmarkStart w:id="22" w:name="_Toc35393794"/>
      <w:r>
        <w:rPr>
          <w:color w:val="000000" w:themeColor="text1"/>
        </w:rPr>
      </w:r>
      <w:bookmarkStart w:id="23" w:name="_Toc28359007"/>
      <w:r>
        <w:rPr>
          <w:color w:val="000000" w:themeColor="text1"/>
        </w:rPr>
      </w:r>
      <w:bookmarkStart w:id="24" w:name="_Toc35393625"/>
      <w:r>
        <w:rPr>
          <w:color w:val="000000" w:themeColor="text1"/>
        </w:rPr>
      </w:r>
      <w:bookmarkStart w:id="25" w:name="_Toc28359084"/>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866"/>
        <w:ind w:left="0"/>
        <w:jc w:val="left"/>
        <w:pageBreakBefore w:val="0"/>
        <w:spacing w:before="0"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866"/>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26" w:name="_Toc35393626"/>
      <w:r>
        <w:rPr>
          <w:color w:val="000000" w:themeColor="text1"/>
        </w:rPr>
      </w:r>
      <w:bookmarkStart w:id="27" w:name="_Toc35393795"/>
      <w:r>
        <w:rPr>
          <w:rFonts w:hint="eastAsia" w:ascii="宋体" w:hAnsi="宋体" w:eastAsia="宋体" w:cs="宋体"/>
          <w:color w:val="000000" w:themeColor="text1"/>
          <w:sz w:val="24"/>
          <w:szCs w:val="24"/>
        </w:rPr>
        <w:t xml:space="preserve">六、其他补充事宜</w:t>
      </w:r>
      <w:bookmarkEnd w:id="26"/>
      <w:r>
        <w:rPr>
          <w:color w:val="000000" w:themeColor="text1"/>
        </w:rPr>
      </w:r>
      <w:bookmarkEnd w:id="27"/>
      <w:r>
        <w:rPr>
          <w:color w:val="000000" w:themeColor="text1"/>
        </w:rPr>
      </w:r>
      <w:r/>
    </w:p>
    <w:p>
      <w:pPr>
        <w:pStyle w:val="864"/>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2.1办理CA认证证书</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2.2注册</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2.3控件、客户端下载</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86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866"/>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864"/>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864"/>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常州市金坛区中医医院</w:t>
      </w:r>
      <w:r>
        <w:rPr>
          <w:rFonts w:hint="eastAsia" w:ascii="宋体" w:hAnsi="宋体" w:eastAsia="宋体" w:cs="宋体"/>
          <w:sz w:val="24"/>
          <w:szCs w:val="24"/>
          <w:u w:val="single"/>
          <w:lang w:eastAsia="zh-CN"/>
        </w:rPr>
      </w:r>
      <w:r/>
    </w:p>
    <w:p>
      <w:pPr>
        <w:pStyle w:val="864"/>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江苏省常州市金坛区南门大街16号</w:t>
      </w:r>
      <w:r>
        <w:rPr>
          <w:rFonts w:hint="eastAsia" w:ascii="宋体" w:hAnsi="宋体" w:eastAsia="宋体" w:cs="宋体"/>
          <w:sz w:val="24"/>
          <w:szCs w:val="24"/>
          <w:lang w:val="zh-TW" w:eastAsia="zh-CN"/>
        </w:rPr>
      </w:r>
      <w:r/>
    </w:p>
    <w:p>
      <w:pPr>
        <w:pStyle w:val="864"/>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0519-82101205</w:t>
      </w:r>
      <w:r>
        <w:rPr>
          <w:rFonts w:hint="eastAsia" w:ascii="宋体" w:hAnsi="宋体" w:eastAsia="宋体" w:cs="宋体"/>
          <w:sz w:val="24"/>
          <w:szCs w:val="24"/>
          <w:u w:val="single"/>
          <w:lang w:val="en-US" w:eastAsia="zh-CN"/>
        </w:rPr>
      </w:r>
      <w:r/>
    </w:p>
    <w:p>
      <w:pPr>
        <w:pStyle w:val="864"/>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864"/>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864"/>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864"/>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864"/>
        <w:ind w:left="0" w:firstLine="723"/>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904"/>
        <w:ind w:left="0" w:firstLine="72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904"/>
        <w:ind w:left="0" w:firstLine="72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864"/>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512937850"/>
      <w:r/>
      <w:bookmarkStart w:id="33" w:name="_Toc305158928"/>
      <w:r/>
      <w:bookmarkStart w:id="34" w:name="_Toc195842950"/>
      <w:r/>
      <w:bookmarkStart w:id="35" w:name="_Toc150774783"/>
      <w:r/>
      <w:bookmarkStart w:id="36" w:name="_Toc353873938"/>
      <w:r/>
      <w:bookmarkStart w:id="37" w:name="_Toc265228423"/>
      <w:r/>
      <w:bookmarkStart w:id="38" w:name="_Toc127151777"/>
      <w:r/>
      <w:bookmarkStart w:id="39" w:name="_Toc353825548"/>
      <w:r/>
      <w:bookmarkStart w:id="40" w:name="_Toc264969275"/>
      <w:r/>
      <w:bookmarkStart w:id="41" w:name="_Toc99301420"/>
      <w:r/>
      <w:bookmarkStart w:id="42" w:name="_Toc226965856"/>
      <w:r/>
      <w:bookmarkStart w:id="43" w:name="_Toc127161488"/>
      <w:r/>
      <w:bookmarkStart w:id="44" w:name="_Toc305158854"/>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866"/>
        <w:spacing w:before="0" w:line="240" w:lineRule="auto"/>
        <w:tabs>
          <w:tab w:val="center" w:pos="4592" w:leader="none"/>
          <w:tab w:val="left" w:pos="7860" w:leader="none"/>
        </w:tabs>
        <w:rPr>
          <w:b w:val="0"/>
          <w:sz w:val="28"/>
          <w:szCs w:val="28"/>
        </w:rPr>
      </w:pPr>
      <w:r/>
      <w:bookmarkStart w:id="45" w:name="_Toc150480757"/>
      <w:r/>
      <w:bookmarkStart w:id="46" w:name="_Toc226965792"/>
      <w:r/>
      <w:bookmarkStart w:id="47" w:name="_Toc127151720"/>
      <w:r/>
      <w:bookmarkStart w:id="48" w:name="_Toc164608633"/>
      <w:r/>
      <w:bookmarkStart w:id="49" w:name="_Toc127151519"/>
      <w:r/>
      <w:bookmarkStart w:id="50" w:name="_Toc226337215"/>
      <w:r/>
      <w:bookmarkStart w:id="51" w:name="_Toc164608788"/>
      <w:r/>
      <w:bookmarkStart w:id="52" w:name="_Toc151190146"/>
      <w:r/>
      <w:bookmarkStart w:id="53" w:name="_Toc151193617"/>
      <w:r/>
      <w:bookmarkStart w:id="54" w:name="_Toc151193833"/>
      <w:r/>
      <w:bookmarkStart w:id="55" w:name="_Toc149720812"/>
      <w:r/>
      <w:bookmarkStart w:id="56" w:name="_Toc195842884"/>
      <w:r/>
      <w:bookmarkStart w:id="57" w:name="_Toc150774724"/>
      <w:r/>
      <w:bookmarkStart w:id="58" w:name="_Toc164229360"/>
      <w:r/>
      <w:bookmarkStart w:id="59" w:name="_Toc150774619"/>
      <w:r/>
      <w:bookmarkStart w:id="60" w:name="_Toc151193907"/>
      <w:r/>
      <w:bookmarkStart w:id="61" w:name="_Toc164229214"/>
      <w:r/>
      <w:bookmarkStart w:id="62" w:name="_Toc151193689"/>
      <w:r/>
      <w:bookmarkStart w:id="63" w:name="_Toc520356144"/>
      <w:r/>
      <w:bookmarkStart w:id="64" w:name="_Toc127161433"/>
      <w:r/>
      <w:bookmarkStart w:id="65" w:name="_Toc142311021"/>
      <w:r/>
      <w:bookmarkStart w:id="66" w:name="_Toc151193761"/>
      <w:r/>
      <w:bookmarkStart w:id="67" w:name="_Toc150509270"/>
      <w:r/>
      <w:bookmarkStart w:id="68" w:name="_Toc164351613"/>
      <w:r/>
      <w:bookmarkStart w:id="69" w:name="_Toc226965709"/>
      <w:r/>
      <w:bookmarkStart w:id="70" w:name="_Toc226309763"/>
      <w:r>
        <w:rPr>
          <w:rFonts w:ascii="Times New Roman" w:hAnsi="Times New Roman" w:eastAsia="宋体"/>
          <w:sz w:val="28"/>
        </w:rPr>
        <w:t xml:space="preserve">投标人须知资料表</w:t>
      </w:r>
      <w:r>
        <w:rPr>
          <w:b w:val="0"/>
          <w:sz w:val="28"/>
          <w:szCs w:val="28"/>
        </w:rPr>
      </w:r>
      <w:r/>
    </w:p>
    <w:p>
      <w:pPr>
        <w:pStyle w:val="864"/>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864"/>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864"/>
              <w:jc w:val="center"/>
              <w:rPr>
                <w:b/>
                <w:bCs/>
                <w:sz w:val="24"/>
              </w:rPr>
            </w:pPr>
            <w:r>
              <w:rPr>
                <w:b/>
                <w:sz w:val="24"/>
              </w:rPr>
              <w:t xml:space="preserve">条款号</w:t>
            </w:r>
            <w:r>
              <w:rPr>
                <w:b/>
                <w:bCs/>
                <w:sz w:val="24"/>
              </w:rPr>
            </w:r>
            <w:r/>
          </w:p>
        </w:tc>
        <w:tc>
          <w:tcPr>
            <w:tcW w:w="1678" w:type="dxa"/>
            <w:vAlign w:val="center"/>
            <w:textDirection w:val="lrTb"/>
            <w:noWrap w:val="false"/>
          </w:tcPr>
          <w:p>
            <w:pPr>
              <w:pStyle w:val="864"/>
              <w:jc w:val="center"/>
              <w:rPr>
                <w:b/>
                <w:bCs/>
                <w:sz w:val="24"/>
              </w:rPr>
            </w:pPr>
            <w:r>
              <w:rPr>
                <w:b/>
                <w:bCs/>
                <w:sz w:val="24"/>
              </w:rPr>
              <w:t xml:space="preserve">条目</w:t>
            </w:r>
            <w:r>
              <w:rPr>
                <w:b/>
                <w:bCs/>
                <w:sz w:val="24"/>
              </w:rPr>
            </w:r>
            <w:r/>
          </w:p>
        </w:tc>
        <w:tc>
          <w:tcPr>
            <w:tcW w:w="7248" w:type="dxa"/>
            <w:vAlign w:val="center"/>
            <w:textDirection w:val="lrTb"/>
            <w:noWrap w:val="false"/>
          </w:tcPr>
          <w:p>
            <w:pPr>
              <w:pStyle w:val="864"/>
              <w:jc w:val="center"/>
              <w:rPr>
                <w:b/>
                <w:bCs/>
                <w:sz w:val="24"/>
              </w:rPr>
            </w:pPr>
            <w:r>
              <w:rPr>
                <w:b/>
                <w:bCs/>
                <w:sz w:val="24"/>
              </w:rPr>
              <w:t xml:space="preserve">内容</w:t>
            </w:r>
            <w:r>
              <w:rPr>
                <w:b/>
                <w:bCs/>
                <w:sz w:val="24"/>
              </w:rPr>
            </w:r>
            <w:r/>
          </w:p>
        </w:tc>
      </w:tr>
      <w:tr>
        <w:trPr>
          <w:trHeight w:val="526"/>
        </w:trPr>
        <w:tc>
          <w:tcPr>
            <w:tcW w:w="910" w:type="dxa"/>
            <w:vAlign w:val="center"/>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项目属性</w:t>
            </w:r>
            <w:r>
              <w:rPr>
                <w:sz w:val="24"/>
              </w:rPr>
            </w:r>
            <w:r/>
          </w:p>
        </w:tc>
        <w:tc>
          <w:tcPr>
            <w:tcW w:w="7248" w:type="dxa"/>
            <w:vAlign w:val="center"/>
            <w:textDirection w:val="lrTb"/>
            <w:noWrap w:val="false"/>
          </w:tcPr>
          <w:p>
            <w:pPr>
              <w:pStyle w:val="864"/>
              <w:jc w:val="left"/>
              <w:rPr>
                <w:rFonts w:hint="eastAsia" w:eastAsia="宋体"/>
                <w:sz w:val="24"/>
                <w:u w:val="single"/>
                <w:lang w:eastAsia="zh-CN"/>
              </w:rPr>
            </w:pPr>
            <w:r>
              <w:rPr>
                <w:sz w:val="24"/>
              </w:rPr>
              <w:t xml:space="preserve">项目属性：</w:t>
            </w:r>
            <w:r>
              <w:rPr>
                <w:rFonts w:hint="eastAsia"/>
                <w:sz w:val="24"/>
                <w:lang w:eastAsia="zh-CN"/>
              </w:rPr>
              <w:t xml:space="preserve">☑</w:t>
            </w:r>
            <w:r>
              <w:rPr>
                <w:rFonts w:hint="eastAsia"/>
                <w:sz w:val="24"/>
                <w:lang w:val="en-US" w:eastAsia="zh-CN"/>
              </w:rPr>
              <w:t xml:space="preserve">服务</w:t>
            </w:r>
            <w:r>
              <w:rPr>
                <w:rFonts w:hint="eastAsia" w:eastAsia="宋体"/>
                <w:sz w:val="24"/>
                <w:u w:val="single"/>
                <w:lang w:eastAsia="zh-CN"/>
              </w:rPr>
            </w:r>
            <w:r/>
          </w:p>
        </w:tc>
      </w:tr>
      <w:tr>
        <w:trPr>
          <w:trHeight w:val="436"/>
        </w:trPr>
        <w:tc>
          <w:tcPr>
            <w:tcW w:w="910" w:type="dxa"/>
            <w:vAlign w:val="center"/>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科研仪器设备</w:t>
            </w:r>
            <w:r>
              <w:rPr>
                <w:sz w:val="24"/>
              </w:rPr>
            </w:r>
            <w:r/>
          </w:p>
        </w:tc>
        <w:tc>
          <w:tcPr>
            <w:tcW w:w="7248" w:type="dxa"/>
            <w:vAlign w:val="center"/>
            <w:textDirection w:val="lrTb"/>
            <w:noWrap w:val="false"/>
          </w:tcPr>
          <w:p>
            <w:pPr>
              <w:pStyle w:val="864"/>
              <w:jc w:val="left"/>
              <w:rPr>
                <w:sz w:val="24"/>
              </w:rPr>
            </w:pPr>
            <w:r>
              <w:rPr>
                <w:sz w:val="24"/>
              </w:rPr>
              <w:t xml:space="preserve">是否属于科研仪器设备采购项目：</w:t>
            </w:r>
            <w:r>
              <w:rPr>
                <w:rFonts w:hint="eastAsia"/>
                <w:sz w:val="24"/>
                <w:lang w:eastAsia="zh-CN"/>
              </w:rPr>
              <w:t xml:space="preserve">☑</w:t>
            </w:r>
            <w:r>
              <w:rPr>
                <w:sz w:val="24"/>
              </w:rPr>
              <w:t xml:space="preserve">否</w:t>
            </w:r>
            <w:r>
              <w:rPr>
                <w:sz w:val="24"/>
              </w:rPr>
            </w:r>
            <w:r/>
          </w:p>
        </w:tc>
      </w:tr>
      <w:tr>
        <w:trPr>
          <w:trHeight w:val="511"/>
        </w:trPr>
        <w:tc>
          <w:tcPr>
            <w:tcW w:w="910" w:type="dxa"/>
            <w:vAlign w:val="center"/>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核心产品</w:t>
            </w:r>
            <w:r>
              <w:rPr>
                <w:sz w:val="24"/>
              </w:rPr>
            </w:r>
            <w:r/>
          </w:p>
        </w:tc>
        <w:tc>
          <w:tcPr>
            <w:tcW w:w="7248" w:type="dxa"/>
            <w:vAlign w:val="center"/>
            <w:textDirection w:val="lrTb"/>
            <w:noWrap w:val="false"/>
          </w:tcPr>
          <w:p>
            <w:pPr>
              <w:pStyle w:val="864"/>
              <w:jc w:val="left"/>
              <w:rPr>
                <w:sz w:val="24"/>
              </w:rPr>
            </w:pPr>
            <w:r>
              <w:rPr>
                <w:rFonts w:hint="eastAsia" w:eastAsia="宋体"/>
                <w:sz w:val="24"/>
                <w:lang w:eastAsia="zh-CN"/>
              </w:rPr>
              <w:t xml:space="preserve">☑</w:t>
            </w:r>
            <w:r>
              <w:rPr>
                <w:sz w:val="24"/>
              </w:rPr>
              <w:t xml:space="preserve">关于核心产品本项目</w:t>
            </w:r>
            <w:r>
              <w:rPr>
                <w:sz w:val="24"/>
                <w:u w:val="none"/>
              </w:rPr>
              <w:t xml:space="preserve">_</w:t>
            </w:r>
            <w:r>
              <w:rPr>
                <w:rFonts w:hint="eastAsia" w:ascii="Times New Roman" w:eastAsia="宋体"/>
                <w:sz w:val="24"/>
                <w:u w:val="none"/>
                <w:lang w:val="en-US" w:eastAsia="zh-CN"/>
              </w:rPr>
              <w:t xml:space="preserve">/</w:t>
            </w:r>
            <w:r>
              <w:rPr>
                <w:sz w:val="24"/>
                <w:u w:val="none"/>
              </w:rPr>
              <w:t xml:space="preserve">_</w:t>
            </w:r>
            <w:r>
              <w:rPr>
                <w:sz w:val="24"/>
              </w:rPr>
              <w:t xml:space="preserve">包不适用。</w:t>
            </w:r>
            <w:r>
              <w:rPr>
                <w:sz w:val="24"/>
              </w:rPr>
            </w:r>
            <w:r/>
          </w:p>
        </w:tc>
      </w:tr>
      <w:tr>
        <w:trPr>
          <w:trHeight w:val="860"/>
        </w:trPr>
        <w:tc>
          <w:tcPr>
            <w:tcW w:w="910" w:type="dxa"/>
            <w:vAlign w:val="center"/>
            <w:textDirection w:val="lrTb"/>
            <w:noWrap w:val="false"/>
          </w:tcPr>
          <w:p>
            <w:pPr>
              <w:pStyle w:val="904"/>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eastAsia="宋体"/>
                <w:sz w:val="24"/>
                <w:szCs w:val="24"/>
                <w:lang w:val="en-US" w:eastAsia="zh-CN"/>
              </w:rPr>
            </w:r>
            <w:r/>
          </w:p>
        </w:tc>
        <w:tc>
          <w:tcPr>
            <w:tcW w:w="1678" w:type="dxa"/>
            <w:vAlign w:val="center"/>
            <w:textDirection w:val="lrTb"/>
            <w:noWrap w:val="false"/>
          </w:tcPr>
          <w:p>
            <w:pPr>
              <w:pStyle w:val="864"/>
              <w:jc w:val="center"/>
              <w:spacing w:line="360" w:lineRule="exact"/>
              <w:rPr>
                <w:rFonts w:ascii="宋体" w:hAnsi="宋体"/>
                <w:sz w:val="24"/>
                <w:szCs w:val="24"/>
                <w:lang w:val="en-US" w:eastAsia="zh-CN" w:bidi="ar-SA"/>
              </w:rPr>
            </w:pPr>
            <w:r>
              <w:rPr>
                <w:rFonts w:ascii="宋体" w:hAnsi="宋体"/>
                <w:sz w:val="24"/>
              </w:rPr>
              <w:t xml:space="preserve">是否专门面向中小企业</w:t>
            </w:r>
            <w:r>
              <w:rPr>
                <w:rFonts w:ascii="宋体" w:hAnsi="宋体"/>
                <w:sz w:val="24"/>
                <w:szCs w:val="24"/>
                <w:lang w:val="en-US" w:eastAsia="zh-CN" w:bidi="ar-SA"/>
              </w:rPr>
            </w:r>
            <w:r/>
          </w:p>
        </w:tc>
        <w:tc>
          <w:tcPr>
            <w:tcW w:w="7248" w:type="dxa"/>
            <w:vAlign w:val="center"/>
            <w:textDirection w:val="lrTb"/>
            <w:noWrap w:val="false"/>
          </w:tcPr>
          <w:p>
            <w:pPr>
              <w:pStyle w:val="864"/>
              <w:jc w:val="left"/>
              <w:spacing w:line="360" w:lineRule="exact"/>
              <w:rPr>
                <w:rFonts w:ascii="宋体" w:hAnsi="宋体"/>
                <w:sz w:val="24"/>
              </w:rPr>
            </w:pPr>
            <w:r>
              <w:rPr>
                <w:rFonts w:ascii="Wingdings 2" w:hAnsi="Wingdings 2" w:eastAsia="Wingdings 2" w:cs="Wingdings 2"/>
                <w:sz w:val="24"/>
              </w:rPr>
              <w:t xml:space="preserve">R</w:t>
            </w:r>
            <w:r>
              <w:rPr>
                <w:rFonts w:hint="eastAsia" w:ascii="宋体" w:hAnsi="宋体"/>
                <w:sz w:val="24"/>
              </w:rPr>
              <w:t xml:space="preserve">本项目专门面向小微企业采购，在评审时不再对小微企业执行价格评审优惠政策。</w:t>
            </w:r>
            <w:r>
              <w:rPr>
                <w:rFonts w:ascii="宋体" w:hAnsi="宋体"/>
                <w:sz w:val="24"/>
              </w:rPr>
            </w:r>
            <w:r/>
          </w:p>
          <w:p>
            <w:pPr>
              <w:pStyle w:val="864"/>
              <w:jc w:val="left"/>
              <w:spacing w:line="360" w:lineRule="exact"/>
              <w:rPr>
                <w:rFonts w:ascii="宋体" w:hAnsi="宋体"/>
                <w:sz w:val="24"/>
                <w:szCs w:val="24"/>
                <w:lang w:val="en-US" w:eastAsia="zh-CN" w:bidi="ar-SA"/>
              </w:rPr>
            </w:pPr>
            <w:r>
              <w:rPr>
                <w:rFonts w:hint="eastAsia" w:eastAsia="宋体"/>
                <w:sz w:val="24"/>
                <w:lang w:eastAsia="zh-CN"/>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rPr>
                <w:rFonts w:ascii="宋体" w:hAnsi="宋体"/>
                <w:sz w:val="24"/>
                <w:szCs w:val="24"/>
                <w:lang w:val="en-US" w:eastAsia="zh-CN" w:bidi="ar-SA"/>
              </w:rPr>
            </w:r>
            <w:r/>
          </w:p>
        </w:tc>
      </w:tr>
      <w:tr>
        <w:trPr>
          <w:trHeight w:val="481"/>
        </w:trPr>
        <w:tc>
          <w:tcPr>
            <w:tcW w:w="910" w:type="dxa"/>
            <w:vAlign w:val="center"/>
            <w:vMerge w:val="restart"/>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现场考察</w:t>
            </w:r>
            <w:r>
              <w:rPr>
                <w:sz w:val="24"/>
              </w:rPr>
            </w:r>
            <w:r/>
          </w:p>
        </w:tc>
        <w:tc>
          <w:tcPr>
            <w:tcW w:w="7248" w:type="dxa"/>
            <w:vAlign w:val="center"/>
            <w:textDirection w:val="lrTb"/>
            <w:noWrap w:val="false"/>
          </w:tcPr>
          <w:p>
            <w:pPr>
              <w:pStyle w:val="864"/>
              <w:jc w:val="left"/>
              <w:rPr>
                <w:rFonts w:ascii="Times New Roman" w:hAnsi="Times New Roman"/>
                <w:sz w:val="24"/>
                <w:szCs w:val="24"/>
              </w:rPr>
            </w:pPr>
            <w:r>
              <w:rPr>
                <w:sz w:val="24"/>
              </w:rPr>
              <w:t xml:space="preserve">不组织</w:t>
            </w:r>
            <w:r>
              <w:rPr>
                <w:rFonts w:ascii="Times New Roman" w:hAnsi="Times New Roman"/>
                <w:sz w:val="24"/>
                <w:szCs w:val="24"/>
              </w:rPr>
            </w:r>
            <w:r/>
          </w:p>
        </w:tc>
      </w:tr>
      <w:tr>
        <w:trPr>
          <w:trHeight w:val="496"/>
        </w:trPr>
        <w:tc>
          <w:tcPr>
            <w:tcW w:w="910" w:type="dxa"/>
            <w:vAlign w:val="center"/>
            <w:vMerge w:val="continue"/>
            <w:textDirection w:val="lrTb"/>
            <w:noWrap w:val="false"/>
          </w:tcPr>
          <w:p>
            <w:pPr>
              <w:pStyle w:val="904"/>
              <w:jc w:val="center"/>
              <w:rPr>
                <w:rFonts w:ascii="Times New Roman" w:hAnsi="Times New Roman"/>
                <w:sz w:val="24"/>
                <w:szCs w:val="24"/>
              </w:rPr>
            </w:pPr>
            <w:r>
              <w:rPr>
                <w:rFonts w:ascii="Times New Roman" w:hAnsi="Times New Roman"/>
                <w:sz w:val="24"/>
                <w:szCs w:val="24"/>
              </w:rPr>
            </w:r>
            <w:r/>
          </w:p>
        </w:tc>
        <w:tc>
          <w:tcPr>
            <w:tcW w:w="1678" w:type="dxa"/>
            <w:vAlign w:val="center"/>
            <w:textDirection w:val="lrTb"/>
            <w:noWrap w:val="false"/>
          </w:tcPr>
          <w:p>
            <w:pPr>
              <w:pStyle w:val="864"/>
              <w:jc w:val="center"/>
              <w:rPr>
                <w:sz w:val="24"/>
              </w:rPr>
            </w:pPr>
            <w:r>
              <w:rPr>
                <w:sz w:val="24"/>
              </w:rPr>
              <w:t xml:space="preserve">开标前答疑会</w:t>
            </w:r>
            <w:r>
              <w:rPr>
                <w:sz w:val="24"/>
              </w:rPr>
            </w:r>
            <w:r/>
          </w:p>
        </w:tc>
        <w:tc>
          <w:tcPr>
            <w:tcW w:w="7248" w:type="dxa"/>
            <w:vAlign w:val="center"/>
            <w:textDirection w:val="lrTb"/>
            <w:noWrap w:val="false"/>
          </w:tcPr>
          <w:p>
            <w:pPr>
              <w:pStyle w:val="864"/>
              <w:jc w:val="left"/>
              <w:rPr>
                <w:rFonts w:eastAsia="宋体"/>
                <w:sz w:val="24"/>
                <w:lang w:val="en-US" w:eastAsia="zh-CN"/>
              </w:rPr>
            </w:pPr>
            <w:r>
              <w:rPr>
                <w:rFonts w:hint="eastAsia"/>
                <w:sz w:val="24"/>
                <w:lang w:eastAsia="zh-CN"/>
              </w:rPr>
              <w:t xml:space="preserve">☑</w:t>
            </w:r>
            <w:r>
              <w:rPr>
                <w:sz w:val="24"/>
              </w:rPr>
              <w:t xml:space="preserve">不召开</w:t>
            </w:r>
            <w:r>
              <w:rPr>
                <w:rFonts w:eastAsia="宋体"/>
                <w:sz w:val="24"/>
                <w:lang w:val="en-US" w:eastAsia="zh-CN"/>
              </w:rPr>
            </w:r>
            <w:r/>
          </w:p>
        </w:tc>
      </w:tr>
      <w:tr>
        <w:trPr>
          <w:trHeight w:val="471"/>
        </w:trPr>
        <w:tc>
          <w:tcPr>
            <w:tcW w:w="910" w:type="dxa"/>
            <w:vAlign w:val="center"/>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样品</w:t>
            </w:r>
            <w:r>
              <w:rPr>
                <w:sz w:val="24"/>
              </w:rPr>
            </w:r>
            <w:r/>
          </w:p>
        </w:tc>
        <w:tc>
          <w:tcPr>
            <w:tcW w:w="7248" w:type="dxa"/>
            <w:vAlign w:val="center"/>
            <w:textDirection w:val="lrTb"/>
            <w:noWrap w:val="false"/>
          </w:tcPr>
          <w:p>
            <w:pPr>
              <w:pStyle w:val="864"/>
              <w:jc w:val="left"/>
              <w:rPr>
                <w:sz w:val="24"/>
              </w:rPr>
            </w:pPr>
            <w:r>
              <w:rPr>
                <w:sz w:val="24"/>
              </w:rPr>
              <w:t xml:space="preserve">投标样品递交：</w:t>
            </w:r>
            <w:r>
              <w:rPr>
                <w:rFonts w:hint="eastAsia"/>
                <w:sz w:val="24"/>
                <w:lang w:val="en-US" w:eastAsia="zh-CN"/>
              </w:rPr>
              <w:t xml:space="preserve"> </w:t>
            </w:r>
            <w:r>
              <w:rPr>
                <w:rFonts w:hint="eastAsia"/>
                <w:sz w:val="24"/>
                <w:lang w:eastAsia="zh-CN"/>
              </w:rPr>
              <w:t xml:space="preserve">☑</w:t>
            </w:r>
            <w:r>
              <w:rPr>
                <w:sz w:val="24"/>
              </w:rPr>
              <w:t xml:space="preserve">不需要</w:t>
            </w:r>
            <w:r>
              <w:rPr>
                <w:sz w:val="24"/>
              </w:rPr>
            </w:r>
            <w:r/>
          </w:p>
        </w:tc>
      </w:tr>
      <w:tr>
        <w:trPr>
          <w:trHeight w:val="1681"/>
        </w:trPr>
        <w:tc>
          <w:tcPr>
            <w:tcW w:w="910" w:type="dxa"/>
            <w:vAlign w:val="center"/>
            <w:textDirection w:val="lrTb"/>
            <w:noWrap w:val="false"/>
          </w:tcPr>
          <w:p>
            <w:pPr>
              <w:pStyle w:val="90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678" w:type="dxa"/>
            <w:vAlign w:val="center"/>
            <w:textDirection w:val="lrTb"/>
            <w:noWrap w:val="false"/>
          </w:tcPr>
          <w:p>
            <w:pPr>
              <w:pStyle w:val="864"/>
              <w:jc w:val="center"/>
              <w:rPr>
                <w:sz w:val="24"/>
              </w:rPr>
            </w:pPr>
            <w:r>
              <w:rPr>
                <w:sz w:val="24"/>
              </w:rPr>
              <w:t xml:space="preserve">标的所属行业</w:t>
            </w:r>
            <w:r>
              <w:rPr>
                <w:sz w:val="24"/>
              </w:rPr>
            </w:r>
            <w:r/>
          </w:p>
        </w:tc>
        <w:tc>
          <w:tcPr>
            <w:tcW w:w="7248" w:type="dxa"/>
            <w:vAlign w:val="center"/>
            <w:textDirection w:val="lrTb"/>
            <w:noWrap w:val="false"/>
          </w:tcPr>
          <w:p>
            <w:pPr>
              <w:pStyle w:val="864"/>
              <w:jc w:val="left"/>
              <w:rPr>
                <w:sz w:val="24"/>
              </w:rPr>
            </w:pPr>
            <w:r>
              <w:rPr>
                <w:rFonts w:hint="eastAsia" w:ascii="宋体" w:hAnsi="宋体" w:eastAsia="宋体" w:cs="Times New Roman"/>
                <w:sz w:val="24"/>
                <w:lang w:val="zh-TW" w:eastAsia="zh-CN"/>
              </w:rPr>
              <w:t xml:space="preserve">本项目属于</w:t>
            </w:r>
            <w:r>
              <w:rPr>
                <w:rFonts w:hint="eastAsia" w:ascii="宋体" w:hAnsi="宋体" w:eastAsia="宋体" w:cs="Times New Roman"/>
                <w:b/>
                <w:bCs/>
                <w:color w:val="0000ff"/>
                <w:sz w:val="24"/>
                <w:u w:val="single"/>
                <w:lang w:val="en-US" w:eastAsia="zh-CN"/>
              </w:rPr>
              <w:t xml:space="preserve">服务</w:t>
            </w:r>
            <w:r>
              <w:rPr>
                <w:rFonts w:hint="eastAsia" w:ascii="宋体" w:hAnsi="宋体" w:eastAsia="宋体" w:cs="Times New Roman"/>
                <w:b/>
                <w:bCs/>
                <w:color w:val="0000ff"/>
                <w:sz w:val="24"/>
                <w:u w:val="single"/>
                <w:lang w:val="zh-TW" w:eastAsia="zh-CN"/>
              </w:rPr>
              <w:t xml:space="preserve">类</w:t>
            </w:r>
            <w:r>
              <w:rPr>
                <w:rFonts w:hint="eastAsia" w:ascii="宋体" w:hAnsi="宋体" w:eastAsia="宋体" w:cs="Times New Roman"/>
                <w:sz w:val="24"/>
                <w:lang w:val="zh-TW" w:eastAsia="zh-CN"/>
              </w:rPr>
              <w:t xml:space="preserve">，采购标的对应的中小企业划分标准所属行业：</w:t>
            </w:r>
            <w:r>
              <w:rPr>
                <w:rFonts w:hint="eastAsia" w:ascii="宋体" w:hAnsi="宋体" w:eastAsia="宋体" w:cs="Times New Roman"/>
                <w:b/>
                <w:bCs/>
                <w:color w:val="0000ff"/>
                <w:sz w:val="24"/>
                <w:u w:val="single"/>
                <w:lang w:val="en-US" w:eastAsia="zh-CN"/>
              </w:rPr>
              <w:t xml:space="preserve">其他未列明行业</w:t>
            </w:r>
            <w:r>
              <w:rPr>
                <w:rFonts w:hint="eastAsia" w:ascii="宋体" w:hAnsi="宋体"/>
                <w:sz w:val="24"/>
              </w:rPr>
              <w:t xml:space="preserve">（《关于印发中小企业划型标准规定的通知》工信部联企业</w:t>
            </w:r>
            <w:r>
              <w:rPr>
                <w:rFonts w:hint="eastAsia" w:ascii="宋体" w:hAnsi="宋体"/>
                <w:sz w:val="24"/>
                <w:lang w:eastAsia="zh-CN"/>
              </w:rPr>
              <w:t xml:space="preserve">〔2011〕300号</w:t>
            </w:r>
            <w:r>
              <w:rPr>
                <w:rFonts w:hint="eastAsia" w:ascii="宋体" w:hAnsi="宋体"/>
                <w:sz w:val="24"/>
              </w:rPr>
              <w:t xml:space="preserve">）。在填写时请正确选择中小企业声明函类型（货物、服务或工程），如填写错误或未填报则会导致资格审查不通过（专门面向中小企业采购）或报价不作相应扣除。</w:t>
            </w:r>
            <w:r>
              <w:rPr>
                <w:sz w:val="24"/>
              </w:rPr>
            </w:r>
            <w:r/>
          </w:p>
        </w:tc>
      </w:tr>
      <w:tr>
        <w:trPr>
          <w:trHeight w:val="1520"/>
        </w:trPr>
        <w:tc>
          <w:tcPr>
            <w:tcW w:w="910" w:type="dxa"/>
            <w:vAlign w:val="center"/>
            <w:textDirection w:val="lrTb"/>
            <w:noWrap w:val="false"/>
          </w:tcPr>
          <w:p>
            <w:pPr>
              <w:pStyle w:val="90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8</w:t>
            </w:r>
            <w:r>
              <w:rPr>
                <w:rFonts w:hint="eastAsia"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864"/>
              <w:jc w:val="left"/>
              <w:keepLines w:val="0"/>
              <w:keepNext w:val="0"/>
              <w:pageBreakBefore w:val="0"/>
              <w:spacing w:after="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8"/>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10" w:type="dxa"/>
            <w:vAlign w:val="center"/>
            <w:textDirection w:val="lrTb"/>
            <w:noWrap w:val="false"/>
          </w:tcPr>
          <w:p>
            <w:pPr>
              <w:pStyle w:val="90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sz w:val="24"/>
                <w:szCs w:val="24"/>
                <w:lang w:val="en-US" w:eastAsia="zh-CN" w:bidi="ar-SA"/>
              </w:rPr>
            </w:pPr>
            <w:r>
              <w:rPr>
                <w:rFonts w:hint="eastAsia"/>
                <w:sz w:val="24"/>
              </w:rPr>
              <w:t xml:space="preserve">投标报价</w:t>
            </w:r>
            <w:r>
              <w:rPr>
                <w:sz w:val="24"/>
                <w:szCs w:val="24"/>
                <w:lang w:val="en-US" w:eastAsia="zh-CN" w:bidi="ar-SA"/>
              </w:rPr>
            </w:r>
            <w:r/>
          </w:p>
        </w:tc>
        <w:tc>
          <w:tcPr>
            <w:tcW w:w="7248" w:type="dxa"/>
            <w:vAlign w:val="center"/>
            <w:textDirection w:val="lrTb"/>
            <w:noWrap w:val="false"/>
          </w:tcPr>
          <w:p>
            <w:pPr>
              <w:pStyle w:val="864"/>
              <w:jc w:val="left"/>
              <w:rPr>
                <w:sz w:val="24"/>
                <w:szCs w:val="24"/>
                <w:lang w:val="en-US" w:eastAsia="zh-CN" w:bidi="ar-SA"/>
              </w:rPr>
            </w:pPr>
            <w:r>
              <w:rPr>
                <w:rFonts w:hint="eastAsia"/>
                <w:sz w:val="24"/>
              </w:rPr>
              <w:t xml:space="preserve">投标报价的特殊规定：</w:t>
            </w:r>
            <w:r>
              <w:rPr>
                <w:rFonts w:hint="eastAsia"/>
                <w:sz w:val="24"/>
                <w:lang w:eastAsia="zh-CN"/>
              </w:rPr>
              <w:t xml:space="preserve">☑</w:t>
            </w:r>
            <w:r>
              <w:rPr>
                <w:sz w:val="24"/>
              </w:rPr>
              <w:t xml:space="preserve">无</w:t>
            </w:r>
            <w:r>
              <w:rPr>
                <w:sz w:val="24"/>
                <w:szCs w:val="24"/>
                <w:lang w:val="en-US" w:eastAsia="zh-CN" w:bidi="ar-SA"/>
              </w:rPr>
            </w:r>
            <w:r/>
          </w:p>
        </w:tc>
      </w:tr>
      <w:tr>
        <w:trPr>
          <w:trHeight w:val="430"/>
        </w:trPr>
        <w:tc>
          <w:tcPr>
            <w:tcW w:w="910" w:type="dxa"/>
            <w:vAlign w:val="center"/>
            <w:textDirection w:val="lrTb"/>
            <w:noWrap w:val="false"/>
          </w:tcPr>
          <w:p>
            <w:pPr>
              <w:pStyle w:val="90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10</w:t>
            </w:r>
            <w:r>
              <w:rPr>
                <w:rFonts w:hint="eastAsia"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rFonts w:hint="eastAsia"/>
                <w:sz w:val="24"/>
                <w:szCs w:val="24"/>
                <w:lang w:val="en-US" w:eastAsia="zh-CN" w:bidi="ar-SA"/>
              </w:rPr>
            </w:pPr>
            <w:r>
              <w:rPr>
                <w:rFonts w:hint="eastAsia"/>
                <w:sz w:val="24"/>
              </w:rPr>
              <w:t xml:space="preserve">投标保证金</w:t>
            </w:r>
            <w:r>
              <w:rPr>
                <w:rFonts w:hint="eastAsia"/>
                <w:sz w:val="24"/>
                <w:szCs w:val="24"/>
                <w:lang w:val="en-US" w:eastAsia="zh-CN" w:bidi="ar-SA"/>
              </w:rPr>
            </w:r>
            <w:r/>
          </w:p>
        </w:tc>
        <w:tc>
          <w:tcPr>
            <w:tcW w:w="7248" w:type="dxa"/>
            <w:vAlign w:val="center"/>
            <w:textDirection w:val="lrTb"/>
            <w:noWrap w:val="false"/>
          </w:tcPr>
          <w:p>
            <w:pPr>
              <w:pStyle w:val="864"/>
              <w:jc w:val="left"/>
              <w:rPr>
                <w:rFonts w:hint="eastAsia"/>
                <w:sz w:val="24"/>
                <w:szCs w:val="24"/>
                <w:lang w:val="en-US" w:eastAsia="zh-CN" w:bidi="ar-SA"/>
              </w:rPr>
            </w:pPr>
            <w:r>
              <w:rPr>
                <w:rFonts w:hint="eastAsia"/>
                <w:sz w:val="24"/>
              </w:rPr>
              <w:t xml:space="preserve">免收</w:t>
            </w:r>
            <w:r>
              <w:rPr>
                <w:rFonts w:hint="eastAsia"/>
                <w:sz w:val="24"/>
                <w:szCs w:val="24"/>
                <w:lang w:val="en-US" w:eastAsia="zh-CN" w:bidi="ar-SA"/>
              </w:rPr>
            </w:r>
            <w:r/>
          </w:p>
        </w:tc>
      </w:tr>
      <w:tr>
        <w:trPr>
          <w:trHeight w:val="430"/>
        </w:trPr>
        <w:tc>
          <w:tcPr>
            <w:tcW w:w="910" w:type="dxa"/>
            <w:vAlign w:val="center"/>
            <w:textDirection w:val="lrTb"/>
            <w:noWrap w:val="false"/>
          </w:tcPr>
          <w:p>
            <w:pPr>
              <w:pStyle w:val="90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rFonts w:eastAsia="宋体"/>
                <w:sz w:val="24"/>
                <w:lang w:val="en-US" w:eastAsia="zh-CN"/>
              </w:rPr>
            </w:pPr>
            <w:r>
              <w:rPr>
                <w:rFonts w:hint="eastAsia"/>
                <w:sz w:val="24"/>
                <w:highlight w:val="none"/>
                <w:lang w:val="en-US" w:eastAsia="zh-CN"/>
              </w:rPr>
              <w:t xml:space="preserve">履约保证金</w:t>
            </w:r>
            <w:r>
              <w:rPr>
                <w:rFonts w:eastAsia="宋体"/>
                <w:sz w:val="24"/>
                <w:lang w:val="en-US" w:eastAsia="zh-CN"/>
              </w:rPr>
            </w:r>
            <w:r/>
          </w:p>
        </w:tc>
        <w:tc>
          <w:tcPr>
            <w:tcW w:w="7248" w:type="dxa"/>
            <w:vAlign w:val="center"/>
            <w:textDirection w:val="lrTb"/>
            <w:noWrap w:val="false"/>
          </w:tcPr>
          <w:p>
            <w:pPr>
              <w:pStyle w:val="864"/>
              <w:jc w:val="left"/>
              <w:rPr>
                <w:rFonts w:hint="eastAsia"/>
                <w:sz w:val="24"/>
              </w:rPr>
            </w:pPr>
            <w:r>
              <w:rPr>
                <w:rFonts w:hint="eastAsia"/>
                <w:sz w:val="24"/>
              </w:rPr>
              <w:t xml:space="preserve">免收</w:t>
            </w:r>
            <w:r>
              <w:rPr>
                <w:rFonts w:hint="eastAsia"/>
                <w:sz w:val="24"/>
              </w:rPr>
            </w:r>
            <w:r/>
          </w:p>
        </w:tc>
      </w:tr>
      <w:tr>
        <w:trPr>
          <w:trHeight w:val="545"/>
        </w:trPr>
        <w:tc>
          <w:tcPr>
            <w:tcW w:w="910" w:type="dxa"/>
            <w:vAlign w:val="center"/>
            <w:textDirection w:val="lrTb"/>
            <w:noWrap w:val="false"/>
          </w:tcPr>
          <w:p>
            <w:pPr>
              <w:pStyle w:val="90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rFonts w:hint="eastAsia"/>
                <w:sz w:val="24"/>
                <w:szCs w:val="24"/>
                <w:lang w:val="en-US" w:eastAsia="zh-CN" w:bidi="ar-SA"/>
              </w:rPr>
            </w:pPr>
            <w:r>
              <w:rPr>
                <w:sz w:val="24"/>
              </w:rPr>
              <w:t xml:space="preserve">投标有效期</w:t>
            </w:r>
            <w:r>
              <w:rPr>
                <w:rFonts w:hint="eastAsia"/>
                <w:sz w:val="24"/>
                <w:szCs w:val="24"/>
                <w:lang w:val="en-US" w:eastAsia="zh-CN" w:bidi="ar-SA"/>
              </w:rPr>
            </w:r>
            <w:r/>
          </w:p>
        </w:tc>
        <w:tc>
          <w:tcPr>
            <w:tcW w:w="7248" w:type="dxa"/>
            <w:vAlign w:val="center"/>
            <w:textDirection w:val="lrTb"/>
            <w:noWrap w:val="false"/>
          </w:tcPr>
          <w:p>
            <w:pPr>
              <w:pStyle w:val="864"/>
              <w:jc w:val="left"/>
              <w:rPr>
                <w:rFonts w:hint="eastAsia"/>
                <w:sz w:val="24"/>
                <w:szCs w:val="24"/>
                <w:lang w:val="en-US" w:eastAsia="zh-CN" w:bidi="ar-SA"/>
              </w:rPr>
            </w:pPr>
            <w:r>
              <w:rPr>
                <w:sz w:val="24"/>
              </w:rPr>
              <w:t xml:space="preserve">自提交投标文件的截止之日起算</w:t>
            </w:r>
            <w:r>
              <w:rPr>
                <w:rFonts w:hint="eastAsia"/>
                <w:sz w:val="24"/>
                <w:u w:val="single"/>
                <w:lang w:val="en-US" w:eastAsia="zh-CN"/>
              </w:rPr>
              <w:t xml:space="preserve">120</w:t>
            </w:r>
            <w:r>
              <w:rPr>
                <w:sz w:val="24"/>
              </w:rPr>
              <w:t xml:space="preserve">日历天。</w:t>
            </w:r>
            <w:r>
              <w:rPr>
                <w:rFonts w:hint="eastAsia"/>
                <w:sz w:val="24"/>
                <w:szCs w:val="24"/>
                <w:lang w:val="en-US" w:eastAsia="zh-CN" w:bidi="ar-SA"/>
              </w:rPr>
            </w:r>
            <w:r/>
          </w:p>
        </w:tc>
      </w:tr>
      <w:tr>
        <w:trPr>
          <w:trHeight w:val="545"/>
        </w:trPr>
        <w:tc>
          <w:tcPr>
            <w:tcW w:w="910" w:type="dxa"/>
            <w:vAlign w:val="center"/>
            <w:textDirection w:val="lrTb"/>
            <w:noWrap w:val="false"/>
          </w:tcPr>
          <w:p>
            <w:pPr>
              <w:pStyle w:val="90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rFonts w:hint="eastAsia"/>
                <w:sz w:val="24"/>
                <w:szCs w:val="24"/>
                <w:lang w:val="en-US" w:eastAsia="zh-CN" w:bidi="ar-SA"/>
              </w:rPr>
            </w:pPr>
            <w:r>
              <w:rPr>
                <w:rFonts w:hint="eastAsia" w:ascii="Times New Roman" w:hAnsi="Times New Roman" w:eastAsia="宋体" w:cs="Times New Roman"/>
                <w:sz w:val="24"/>
                <w:lang w:eastAsia="zh-CN"/>
              </w:rPr>
              <w:t xml:space="preserve">投标文件</w:t>
            </w:r>
            <w:r>
              <w:rPr>
                <w:rFonts w:hint="eastAsia" w:ascii="Times New Roman" w:hAnsi="Times New Roman" w:eastAsia="宋体" w:cs="Times New Roman"/>
                <w:sz w:val="24"/>
              </w:rPr>
              <w:t xml:space="preserve">份数</w:t>
            </w:r>
            <w:r>
              <w:rPr>
                <w:rFonts w:hint="eastAsia"/>
                <w:sz w:val="24"/>
                <w:szCs w:val="24"/>
                <w:lang w:val="en-US" w:eastAsia="zh-CN" w:bidi="ar-SA"/>
              </w:rPr>
            </w:r>
            <w:r/>
          </w:p>
        </w:tc>
        <w:tc>
          <w:tcPr>
            <w:tcW w:w="7248" w:type="dxa"/>
            <w:vAlign w:val="center"/>
            <w:textDirection w:val="lrTb"/>
            <w:noWrap w:val="false"/>
          </w:tcPr>
          <w:p>
            <w:pPr>
              <w:pStyle w:val="864"/>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无需提供纸质</w:t>
            </w:r>
            <w:r>
              <w:rPr>
                <w:rFonts w:hint="eastAsia" w:ascii="Times New Roman" w:hAnsi="Times New Roman" w:eastAsia="宋体" w:cs="Times New Roman"/>
                <w:sz w:val="24"/>
                <w:lang w:eastAsia="zh-CN"/>
              </w:rPr>
              <w:t xml:space="preserve">投标文件</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864"/>
              <w:jc w:val="left"/>
              <w:rPr>
                <w:rFonts w:hint="eastAsia"/>
                <w:sz w:val="24"/>
                <w:szCs w:val="24"/>
                <w:lang w:val="en-US" w:eastAsia="zh-CN" w:bidi="ar-SA"/>
              </w:rPr>
            </w:pPr>
            <w:r>
              <w:rPr>
                <w:rFonts w:hint="eastAsia" w:ascii="Times New Roman" w:hAnsi="Times New Roman" w:eastAsia="宋体" w:cs="Times New Roman"/>
                <w:sz w:val="24"/>
                <w:lang w:eastAsia="zh-CN"/>
              </w:rPr>
              <w:t xml:space="preserve">中标供应商</w:t>
            </w:r>
            <w:r>
              <w:rPr>
                <w:rFonts w:hint="eastAsia" w:ascii="Times New Roman" w:hAnsi="Times New Roman" w:eastAsia="宋体" w:cs="Times New Roman"/>
                <w:sz w:val="24"/>
              </w:rPr>
              <w:t xml:space="preserve">在领取中标通知书前须向</w:t>
            </w:r>
            <w:r>
              <w:rPr>
                <w:rFonts w:hint="eastAsia" w:ascii="Times New Roman" w:hAnsi="Times New Roman" w:eastAsia="宋体" w:cs="Times New Roman"/>
                <w:sz w:val="24"/>
                <w:lang w:eastAsia="zh-CN"/>
              </w:rPr>
              <w:t xml:space="preserve">采购人</w:t>
            </w:r>
            <w:r>
              <w:rPr>
                <w:rFonts w:hint="eastAsia" w:ascii="Times New Roman" w:hAnsi="Times New Roman" w:eastAsia="宋体" w:cs="Times New Roman"/>
                <w:sz w:val="24"/>
              </w:rPr>
              <w:t xml:space="preserve">额外提供从电子化招投标系统打印出的与投标所报电子文件一致的纸质投标书</w:t>
            </w:r>
            <w:r>
              <w:rPr>
                <w:rFonts w:hint="eastAsia" w:ascii="Times New Roman" w:hAnsi="Times New Roman" w:eastAsia="宋体" w:cs="Times New Roman"/>
                <w:color w:val="0000ff"/>
                <w:sz w:val="24"/>
                <w:u w:val="single"/>
                <w:lang w:val="en-US" w:eastAsia="zh-CN"/>
              </w:rPr>
              <w:t xml:space="preserve"> 3 </w:t>
            </w:r>
            <w:r>
              <w:rPr>
                <w:rFonts w:hint="eastAsia" w:ascii="Times New Roman" w:hAnsi="Times New Roman" w:eastAsia="宋体" w:cs="Times New Roman"/>
                <w:sz w:val="24"/>
              </w:rPr>
              <w:t xml:space="preserve">份，并按要求签字盖章，纸质投标书需胶装。</w:t>
            </w:r>
            <w:r>
              <w:rPr>
                <w:rFonts w:hint="eastAsia"/>
                <w:sz w:val="24"/>
                <w:szCs w:val="24"/>
                <w:lang w:val="en-US" w:eastAsia="zh-CN" w:bidi="ar-SA"/>
              </w:rPr>
            </w:r>
            <w:r/>
          </w:p>
        </w:tc>
      </w:tr>
      <w:tr>
        <w:trPr>
          <w:trHeight w:val="545"/>
        </w:trPr>
        <w:tc>
          <w:tcPr>
            <w:tcW w:w="910" w:type="dxa"/>
            <w:vAlign w:val="center"/>
            <w:textDirection w:val="lrTb"/>
            <w:noWrap w:val="false"/>
          </w:tcPr>
          <w:p>
            <w:pPr>
              <w:pStyle w:val="90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sz w:val="24"/>
                <w:szCs w:val="24"/>
                <w:lang w:val="en-US" w:eastAsia="zh-CN" w:bidi="ar-SA"/>
              </w:rPr>
            </w:pPr>
            <w:r>
              <w:rPr>
                <w:sz w:val="24"/>
              </w:rPr>
              <w:t xml:space="preserve">解密地点</w:t>
            </w:r>
            <w:r>
              <w:rPr>
                <w:sz w:val="24"/>
                <w:szCs w:val="24"/>
                <w:lang w:val="en-US" w:eastAsia="zh-CN" w:bidi="ar-SA"/>
              </w:rPr>
            </w:r>
            <w:r/>
          </w:p>
        </w:tc>
        <w:tc>
          <w:tcPr>
            <w:tcW w:w="7248" w:type="dxa"/>
            <w:vAlign w:val="center"/>
            <w:textDirection w:val="lrTb"/>
            <w:noWrap w:val="false"/>
          </w:tcPr>
          <w:p>
            <w:pPr>
              <w:pStyle w:val="864"/>
              <w:jc w:val="left"/>
              <w:rPr>
                <w:sz w:val="24"/>
                <w:szCs w:val="24"/>
                <w:lang w:val="en-US" w:eastAsia="zh-CN" w:bidi="ar-SA"/>
              </w:rPr>
            </w:pPr>
            <w:r>
              <w:rPr>
                <w:sz w:val="24"/>
              </w:rPr>
              <w:t xml:space="preserve">地点：</w:t>
            </w:r>
            <w:r>
              <w:rPr>
                <w:rFonts w:hint="eastAsia"/>
                <w:sz w:val="24"/>
                <w:u w:val="single"/>
                <w:lang w:val="en-US" w:eastAsia="zh-CN"/>
              </w:rPr>
              <w:t xml:space="preserve">通过系统在线解密</w:t>
            </w:r>
            <w:r>
              <w:rPr>
                <w:sz w:val="24"/>
              </w:rPr>
              <w:t xml:space="preserve">。</w:t>
            </w:r>
            <w:r>
              <w:rPr>
                <w:sz w:val="24"/>
                <w:szCs w:val="24"/>
                <w:lang w:val="en-US" w:eastAsia="zh-CN" w:bidi="ar-SA"/>
              </w:rPr>
            </w:r>
            <w:r/>
          </w:p>
        </w:tc>
      </w:tr>
      <w:tr>
        <w:trPr>
          <w:trHeight w:val="545"/>
        </w:trPr>
        <w:tc>
          <w:tcPr>
            <w:tcW w:w="910" w:type="dxa"/>
            <w:vAlign w:val="center"/>
            <w:textDirection w:val="lrTb"/>
            <w:noWrap w:val="false"/>
          </w:tcPr>
          <w:p>
            <w:pPr>
              <w:pStyle w:val="90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678" w:type="dxa"/>
            <w:vAlign w:val="center"/>
            <w:textDirection w:val="lrTb"/>
            <w:noWrap w:val="false"/>
          </w:tcPr>
          <w:p>
            <w:pPr>
              <w:pStyle w:val="864"/>
              <w:jc w:val="center"/>
              <w:rPr>
                <w:sz w:val="24"/>
                <w:szCs w:val="24"/>
                <w:lang w:val="en-US" w:eastAsia="zh-CN" w:bidi="ar-SA"/>
              </w:rPr>
            </w:pPr>
            <w:r>
              <w:rPr>
                <w:sz w:val="24"/>
              </w:rPr>
              <w:t xml:space="preserve">分包</w:t>
            </w:r>
            <w:r>
              <w:rPr>
                <w:sz w:val="24"/>
                <w:szCs w:val="24"/>
                <w:lang w:val="en-US" w:eastAsia="zh-CN" w:bidi="ar-SA"/>
              </w:rPr>
            </w:r>
            <w:r/>
          </w:p>
        </w:tc>
        <w:tc>
          <w:tcPr>
            <w:tcW w:w="7248" w:type="dxa"/>
            <w:vAlign w:val="center"/>
            <w:textDirection w:val="lrTb"/>
            <w:noWrap w:val="false"/>
          </w:tcPr>
          <w:p>
            <w:pPr>
              <w:pStyle w:val="864"/>
              <w:jc w:val="left"/>
              <w:rPr>
                <w:sz w:val="24"/>
                <w:szCs w:val="24"/>
                <w:u w:val="single"/>
                <w:lang w:val="en-US" w:eastAsia="zh-CN" w:bidi="ar-SA"/>
              </w:rPr>
            </w:pPr>
            <w:r>
              <w:rPr>
                <w:sz w:val="24"/>
              </w:rPr>
              <w:t xml:space="preserve">本项目的非主体、非关键性工作是否允许分包： </w:t>
            </w:r>
            <w:r>
              <w:rPr>
                <w:rFonts w:hint="eastAsia"/>
                <w:sz w:val="24"/>
                <w:lang w:eastAsia="zh-CN"/>
              </w:rPr>
              <w:t xml:space="preserve">☑</w:t>
            </w:r>
            <w:r>
              <w:rPr>
                <w:sz w:val="24"/>
              </w:rPr>
              <w:t xml:space="preserve">不允许</w:t>
            </w:r>
            <w:r>
              <w:rPr>
                <w:sz w:val="24"/>
                <w:szCs w:val="24"/>
                <w:u w:val="single"/>
                <w:lang w:val="en-US" w:eastAsia="zh-CN" w:bidi="ar-SA"/>
              </w:rPr>
            </w:r>
            <w:r/>
          </w:p>
        </w:tc>
      </w:tr>
      <w:tr>
        <w:trPr>
          <w:trHeight w:val="545"/>
        </w:trPr>
        <w:tc>
          <w:tcPr>
            <w:tcW w:w="910" w:type="dxa"/>
            <w:vAlign w:val="center"/>
            <w:textDirection w:val="lrTb"/>
            <w:noWrap w:val="false"/>
          </w:tcPr>
          <w:p>
            <w:pPr>
              <w:pStyle w:val="904"/>
              <w:jc w:val="center"/>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16</w:t>
            </w:r>
            <w:r>
              <w:rPr>
                <w:rFonts w:ascii="Times New Roman" w:hAnsi="Times New Roman"/>
                <w:sz w:val="24"/>
                <w:szCs w:val="24"/>
                <w:lang w:val="en-US" w:eastAsia="zh-CN" w:bidi="ar-SA"/>
              </w:rPr>
            </w:r>
            <w:r/>
          </w:p>
        </w:tc>
        <w:tc>
          <w:tcPr>
            <w:tcW w:w="1678" w:type="dxa"/>
            <w:vAlign w:val="center"/>
            <w:textDirection w:val="lrTb"/>
            <w:noWrap w:val="false"/>
          </w:tcPr>
          <w:p>
            <w:pPr>
              <w:pStyle w:val="864"/>
              <w:jc w:val="center"/>
              <w:rPr>
                <w:sz w:val="24"/>
                <w:szCs w:val="24"/>
                <w:lang w:val="en-US" w:eastAsia="zh-CN" w:bidi="ar-SA"/>
              </w:rPr>
            </w:pPr>
            <w:r>
              <w:rPr>
                <w:sz w:val="24"/>
              </w:rPr>
              <w:t xml:space="preserve">询问</w:t>
            </w:r>
            <w:r>
              <w:rPr>
                <w:sz w:val="24"/>
                <w:szCs w:val="24"/>
                <w:lang w:val="en-US" w:eastAsia="zh-CN" w:bidi="ar-SA"/>
              </w:rPr>
            </w:r>
            <w:r/>
          </w:p>
        </w:tc>
        <w:tc>
          <w:tcPr>
            <w:tcW w:w="7248" w:type="dxa"/>
            <w:vAlign w:val="center"/>
            <w:textDirection w:val="lrTb"/>
            <w:noWrap w:val="false"/>
          </w:tcPr>
          <w:p>
            <w:pPr>
              <w:pStyle w:val="864"/>
              <w:jc w:val="left"/>
              <w:rPr>
                <w:rFonts w:hint="eastAsia"/>
                <w:sz w:val="24"/>
                <w:szCs w:val="24"/>
                <w:lang w:val="en-US" w:eastAsia="zh-CN" w:bidi="ar-SA"/>
              </w:rPr>
            </w:pPr>
            <w:r>
              <w:rPr>
                <w:rFonts w:hint="eastAsia"/>
                <w:sz w:val="24"/>
                <w:szCs w:val="24"/>
                <w:lang w:val="en-US" w:eastAsia="zh-CN" w:bidi="ar-SA"/>
              </w:rPr>
              <w:t xml:space="preserve">已登记参加本项目的投标人对招标文件如有疑问，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2026年6月1</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color w:val="0000ff"/>
                <w:sz w:val="24"/>
                <w:szCs w:val="24"/>
                <w:u w:val="single"/>
                <w:lang w:val="en-US" w:eastAsia="zh-CN" w:bidi="ar-SA"/>
              </w:rPr>
              <w:t xml:space="preserve">日17时00分前</w:t>
            </w:r>
            <w:r>
              <w:rPr>
                <w:rFonts w:hint="eastAsia" w:ascii="Times New Roman" w:hAnsi="Times New Roman" w:eastAsia="宋体" w:cs="Times New Roman"/>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sz w:val="24"/>
                <w:szCs w:val="24"/>
                <w:lang w:val="en-US" w:eastAsia="zh-CN" w:bidi="ar-SA"/>
              </w:rPr>
              <w:fldChar w:fldCharType="end"/>
            </w:r>
            <w:r>
              <w:rPr>
                <w:rFonts w:hint="eastAsia"/>
                <w:sz w:val="24"/>
                <w:szCs w:val="24"/>
                <w:lang w:val="en-US" w:eastAsia="zh-CN" w:bidi="ar-SA"/>
              </w:rPr>
            </w:r>
            <w:r/>
          </w:p>
          <w:p>
            <w:pPr>
              <w:pStyle w:val="864"/>
              <w:jc w:val="left"/>
              <w:rPr>
                <w:sz w:val="24"/>
                <w:szCs w:val="24"/>
                <w:lang w:val="en-US" w:eastAsia="zh-CN" w:bidi="ar-SA"/>
              </w:rPr>
            </w:pPr>
            <w:r>
              <w:rPr>
                <w:rFonts w:hint="eastAsia"/>
                <w:sz w:val="24"/>
                <w:szCs w:val="24"/>
                <w:lang w:val="en-US" w:eastAsia="zh-CN" w:bidi="ar-SA"/>
              </w:rPr>
              <w:t xml:space="preserve">未提出疑问将被视为完全认同招标文件，逾期将不接受其对采购文件的相关异议。如有变更，更正公告将在常州市政府采购网公布。</w:t>
            </w:r>
            <w:r>
              <w:rPr>
                <w:sz w:val="24"/>
                <w:szCs w:val="24"/>
                <w:lang w:val="en-US" w:eastAsia="zh-CN" w:bidi="ar-SA"/>
              </w:rPr>
            </w:r>
            <w:r/>
          </w:p>
        </w:tc>
      </w:tr>
      <w:tr>
        <w:trPr>
          <w:trHeight w:val="1420"/>
        </w:trPr>
        <w:tc>
          <w:tcPr>
            <w:tcW w:w="910" w:type="dxa"/>
            <w:vAlign w:val="center"/>
            <w:textDirection w:val="lrTb"/>
            <w:noWrap w:val="false"/>
          </w:tcPr>
          <w:p>
            <w:pPr>
              <w:pStyle w:val="904"/>
              <w:jc w:val="center"/>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17</w:t>
            </w:r>
            <w:r>
              <w:rPr>
                <w:rFonts w:ascii="Times New Roman" w:hAnsi="Times New Roman"/>
                <w:sz w:val="24"/>
                <w:szCs w:val="24"/>
                <w:lang w:val="en-US" w:eastAsia="zh-CN" w:bidi="ar-SA"/>
              </w:rPr>
            </w:r>
            <w:r/>
          </w:p>
        </w:tc>
        <w:tc>
          <w:tcPr>
            <w:tcW w:w="1678" w:type="dxa"/>
            <w:vAlign w:val="center"/>
            <w:textDirection w:val="lrTb"/>
            <w:noWrap w:val="false"/>
          </w:tcPr>
          <w:p>
            <w:pPr>
              <w:pStyle w:val="864"/>
              <w:jc w:val="center"/>
              <w:rPr>
                <w:sz w:val="24"/>
                <w:szCs w:val="24"/>
                <w:lang w:val="en-US" w:eastAsia="zh-CN" w:bidi="ar-SA"/>
              </w:rPr>
            </w:pPr>
            <w:r>
              <w:rPr>
                <w:sz w:val="24"/>
              </w:rPr>
              <w:t xml:space="preserve">联系方式</w:t>
            </w:r>
            <w:r>
              <w:rPr>
                <w:sz w:val="24"/>
                <w:szCs w:val="24"/>
                <w:lang w:val="en-US" w:eastAsia="zh-CN" w:bidi="ar-SA"/>
              </w:rPr>
            </w:r>
            <w:r/>
          </w:p>
        </w:tc>
        <w:tc>
          <w:tcPr>
            <w:tcW w:w="7248" w:type="dxa"/>
            <w:vAlign w:val="center"/>
            <w:textDirection w:val="lrTb"/>
            <w:noWrap w:val="false"/>
          </w:tcPr>
          <w:p>
            <w:pPr>
              <w:pStyle w:val="864"/>
              <w:jc w:val="left"/>
              <w:rPr>
                <w:sz w:val="24"/>
              </w:rPr>
            </w:pPr>
            <w:r>
              <w:rPr>
                <w:sz w:val="24"/>
              </w:rPr>
              <w:t xml:space="preserve">接收询问和质疑的联系方式：</w:t>
            </w:r>
            <w:r>
              <w:rPr>
                <w:sz w:val="24"/>
              </w:rPr>
            </w:r>
            <w:r/>
          </w:p>
          <w:p>
            <w:pPr>
              <w:pStyle w:val="864"/>
              <w:jc w:val="left"/>
              <w:rPr>
                <w:sz w:val="24"/>
              </w:rPr>
            </w:pPr>
            <w:r>
              <w:rPr>
                <w:sz w:val="24"/>
              </w:rPr>
              <w:t xml:space="preserve">联系部门：</w:t>
            </w:r>
            <w:r>
              <w:rPr>
                <w:rFonts w:hint="eastAsia"/>
                <w:sz w:val="24"/>
                <w:u w:val="single"/>
                <w:lang w:eastAsia="zh-CN"/>
              </w:rPr>
              <w:t xml:space="preserve">江苏铭硕全过程项目管理有限公司</w:t>
            </w:r>
            <w:r>
              <w:rPr>
                <w:sz w:val="24"/>
              </w:rPr>
              <w:t xml:space="preserve">；</w:t>
            </w:r>
            <w:r>
              <w:rPr>
                <w:sz w:val="24"/>
              </w:rPr>
            </w:r>
            <w:r/>
          </w:p>
          <w:p>
            <w:pPr>
              <w:pStyle w:val="864"/>
              <w:jc w:val="left"/>
              <w:rPr>
                <w:sz w:val="24"/>
              </w:rPr>
            </w:pPr>
            <w:r>
              <w:rPr>
                <w:sz w:val="24"/>
              </w:rPr>
              <w:t xml:space="preserve">联系电话：</w:t>
            </w:r>
            <w:r>
              <w:rPr>
                <w:rFonts w:hint="eastAsia"/>
                <w:sz w:val="24"/>
                <w:u w:val="single"/>
                <w:lang w:val="en-US" w:eastAsia="zh-CN"/>
              </w:rPr>
              <w:t xml:space="preserve">0519-82168969</w:t>
            </w:r>
            <w:r>
              <w:rPr>
                <w:sz w:val="24"/>
              </w:rPr>
              <w:t xml:space="preserve">；</w:t>
            </w:r>
            <w:r>
              <w:rPr>
                <w:sz w:val="24"/>
              </w:rPr>
            </w:r>
            <w:r/>
          </w:p>
          <w:p>
            <w:pPr>
              <w:pStyle w:val="864"/>
              <w:jc w:val="left"/>
              <w:rPr>
                <w:sz w:val="24"/>
                <w:szCs w:val="24"/>
                <w:lang w:val="en-US" w:eastAsia="zh-CN" w:bidi="ar-SA"/>
              </w:rPr>
            </w:pPr>
            <w:r>
              <w:rPr>
                <w:sz w:val="24"/>
              </w:rPr>
              <w:t xml:space="preserve">通讯地址：</w:t>
            </w:r>
            <w:r>
              <w:rPr>
                <w:rFonts w:hint="eastAsia"/>
                <w:sz w:val="24"/>
                <w:u w:val="single"/>
              </w:rPr>
              <w:t xml:space="preserve">常州市金坛区金鑫路165号中景商务楼A座8楼809室</w:t>
            </w:r>
            <w:r>
              <w:rPr>
                <w:sz w:val="24"/>
                <w:u w:val="single"/>
              </w:rPr>
              <w:t xml:space="preserve">。</w:t>
            </w:r>
            <w:r>
              <w:rPr>
                <w:sz w:val="24"/>
                <w:szCs w:val="24"/>
                <w:lang w:val="en-US" w:eastAsia="zh-CN" w:bidi="ar-SA"/>
              </w:rPr>
            </w:r>
            <w:r/>
          </w:p>
        </w:tc>
      </w:tr>
      <w:tr>
        <w:trPr>
          <w:trHeight w:val="1826"/>
        </w:trPr>
        <w:tc>
          <w:tcPr>
            <w:tcW w:w="910" w:type="dxa"/>
            <w:vAlign w:val="center"/>
            <w:textDirection w:val="lrTb"/>
            <w:noWrap w:val="false"/>
          </w:tcPr>
          <w:p>
            <w:pPr>
              <w:pStyle w:val="904"/>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18</w:t>
            </w:r>
            <w:r>
              <w:rPr>
                <w:rFonts w:ascii="Times New Roman" w:hAnsi="Times New Roman" w:eastAsia="宋体"/>
                <w:sz w:val="24"/>
                <w:szCs w:val="24"/>
                <w:lang w:val="en-US" w:eastAsia="zh-CN"/>
              </w:rPr>
            </w:r>
            <w:r/>
          </w:p>
        </w:tc>
        <w:tc>
          <w:tcPr>
            <w:tcW w:w="1678" w:type="dxa"/>
            <w:vAlign w:val="center"/>
            <w:textDirection w:val="lrTb"/>
            <w:noWrap w:val="false"/>
          </w:tcPr>
          <w:p>
            <w:pPr>
              <w:pStyle w:val="864"/>
              <w:jc w:val="center"/>
              <w:rPr>
                <w:sz w:val="24"/>
              </w:rPr>
            </w:pPr>
            <w:r>
              <w:rPr>
                <w:sz w:val="24"/>
              </w:rPr>
              <w:t xml:space="preserve">代理费</w:t>
            </w:r>
            <w:r>
              <w:rPr>
                <w:sz w:val="24"/>
              </w:rPr>
            </w:r>
            <w:r/>
          </w:p>
        </w:tc>
        <w:tc>
          <w:tcPr>
            <w:tcW w:w="7248" w:type="dxa"/>
            <w:vAlign w:val="center"/>
            <w:textDirection w:val="lrTb"/>
            <w:noWrap w:val="false"/>
          </w:tcPr>
          <w:p>
            <w:pPr>
              <w:pStyle w:val="864"/>
              <w:jc w:val="left"/>
              <w:rPr>
                <w:rFonts w:hint="eastAsia" w:eastAsia="宋体"/>
                <w:sz w:val="24"/>
                <w:lang w:eastAsia="zh-CN"/>
              </w:rPr>
            </w:pPr>
            <w:r>
              <w:rPr>
                <w:sz w:val="24"/>
              </w:rPr>
              <w:t xml:space="preserve">收费对象：</w:t>
            </w:r>
            <w:r>
              <w:rPr>
                <w:rFonts w:ascii="Wingdings 2" w:hAnsi="Wingdings 2" w:eastAsia="Wingdings 2" w:cs="Wingdings 2"/>
                <w:sz w:val="24"/>
              </w:rPr>
              <w:t xml:space="preserve">£</w:t>
            </w:r>
            <w:r>
              <w:rPr>
                <w:sz w:val="24"/>
              </w:rPr>
              <w:t xml:space="preserve">采购人</w:t>
            </w:r>
            <w:r>
              <w:rPr>
                <w:rFonts w:hint="eastAsia"/>
                <w:sz w:val="24"/>
                <w:lang w:val="en-US" w:eastAsia="zh-CN"/>
              </w:rPr>
              <w:t xml:space="preserve">    </w:t>
            </w:r>
            <w:r>
              <w:rPr>
                <w:rFonts w:ascii="Wingdings 2" w:hAnsi="Wingdings 2" w:eastAsia="Wingdings 2" w:cs="Wingdings 2"/>
                <w:sz w:val="24"/>
              </w:rPr>
              <w:t xml:space="preserve">R</w:t>
            </w:r>
            <w:r>
              <w:rPr>
                <w:rFonts w:hint="eastAsia"/>
                <w:sz w:val="24"/>
                <w:lang w:eastAsia="zh-CN"/>
              </w:rPr>
              <w:t xml:space="preserve">中标人</w:t>
            </w:r>
            <w:r>
              <w:rPr>
                <w:rFonts w:hint="eastAsia" w:eastAsia="宋体"/>
                <w:sz w:val="24"/>
                <w:lang w:eastAsia="zh-CN"/>
              </w:rPr>
            </w:r>
            <w:r/>
          </w:p>
          <w:p>
            <w:pPr>
              <w:pStyle w:val="864"/>
              <w:jc w:val="left"/>
              <w:rPr>
                <w:rFonts w:hint="eastAsia"/>
                <w:sz w:val="24"/>
                <w:u w:val="single"/>
                <w:lang w:val="en-US" w:eastAsia="zh-CN"/>
              </w:rPr>
            </w:pPr>
            <w:r>
              <w:rPr>
                <w:sz w:val="24"/>
              </w:rPr>
              <w:t xml:space="preserve">收费标准：</w:t>
            </w:r>
            <w:r>
              <w:rPr>
                <w:rFonts w:hint="eastAsia" w:ascii="宋体" w:hAnsi="宋体" w:eastAsia="宋体" w:cs="宋体"/>
                <w:sz w:val="24"/>
                <w:u w:val="single"/>
                <w:lang w:eastAsia="zh-CN"/>
              </w:rPr>
              <w:t xml:space="preserve">100万元以下</w:t>
            </w:r>
            <w:r>
              <w:rPr>
                <w:rFonts w:hint="eastAsia" w:ascii="宋体" w:hAnsi="宋体" w:eastAsia="宋体" w:cs="宋体"/>
                <w:sz w:val="24"/>
                <w:u w:val="single"/>
              </w:rPr>
              <w:t xml:space="preserve">中标</w:t>
            </w:r>
            <w:r>
              <w:rPr>
                <w:rFonts w:hint="eastAsia"/>
                <w:sz w:val="24"/>
                <w:u w:val="single"/>
              </w:rPr>
              <w:t xml:space="preserve">价1.</w:t>
            </w:r>
            <w:r>
              <w:rPr>
                <w:rFonts w:hint="eastAsia"/>
                <w:sz w:val="24"/>
                <w:u w:val="single"/>
                <w:lang w:val="en-US" w:eastAsia="zh-CN"/>
              </w:rPr>
              <w:t xml:space="preserve">5</w:t>
            </w:r>
            <w:r>
              <w:rPr>
                <w:rFonts w:hint="eastAsia"/>
                <w:sz w:val="24"/>
                <w:u w:val="single"/>
              </w:rPr>
              <w:t xml:space="preserve">%，不满3000元的按照3000元计算；</w:t>
            </w:r>
            <w:r>
              <w:rPr>
                <w:rFonts w:hint="eastAsia"/>
                <w:sz w:val="24"/>
                <w:u w:val="single"/>
                <w:lang w:val="en-US" w:eastAsia="zh-CN"/>
              </w:rPr>
            </w:r>
            <w:r/>
          </w:p>
          <w:p>
            <w:pPr>
              <w:pStyle w:val="864"/>
              <w:jc w:val="left"/>
              <w:rPr>
                <w:sz w:val="24"/>
              </w:rPr>
            </w:pPr>
            <w:r>
              <w:rPr>
                <w:sz w:val="24"/>
              </w:rPr>
              <w:t xml:space="preserve">时间：</w:t>
            </w:r>
            <w:r>
              <w:rPr>
                <w:rFonts w:hint="eastAsia" w:ascii="Times New Roman" w:eastAsia="宋体"/>
                <w:sz w:val="24"/>
                <w:szCs w:val="24"/>
                <w:u w:val="single"/>
                <w:lang w:val="en-US" w:eastAsia="zh-CN"/>
              </w:rPr>
              <w:t xml:space="preserve">由中标人在领取中标通知书时支付代理费，请投标单位综合考虑</w:t>
            </w:r>
            <w:r>
              <w:rPr>
                <w:sz w:val="24"/>
                <w:u w:val="none"/>
              </w:rPr>
              <w:t xml:space="preserve">。</w:t>
            </w:r>
            <w:r>
              <w:rPr>
                <w:sz w:val="24"/>
              </w:rPr>
            </w:r>
            <w:r/>
          </w:p>
        </w:tc>
      </w:tr>
    </w:tbl>
    <w:p>
      <w:pPr>
        <w:pStyle w:val="864"/>
        <w:jc w:val="center"/>
        <w:pageBreakBefore w:val="0"/>
        <w:spacing w:before="240" w:after="240" w:line="380" w:lineRule="exact"/>
        <w:widowControl w:val="off"/>
        <w:rPr>
          <w:b/>
          <w:sz w:val="28"/>
          <w:szCs w:val="28"/>
        </w:rPr>
      </w:pPr>
      <w:r>
        <w:br w:type="page" w:clear="all"/>
      </w:r>
      <w:bookmarkStart w:id="71" w:name="_Toc305158859"/>
      <w:r/>
      <w:bookmarkStart w:id="72" w:name="_Toc195842882"/>
      <w:r/>
      <w:bookmarkStart w:id="73" w:name="_Toc142311019"/>
      <w:r/>
      <w:bookmarkStart w:id="74" w:name="_Toc265228355"/>
      <w:r/>
      <w:bookmarkStart w:id="75" w:name="_Toc353825542"/>
      <w:r/>
      <w:bookmarkStart w:id="76" w:name="_Toc226965790"/>
      <w:r/>
      <w:bookmarkStart w:id="77" w:name="_Toc305158785"/>
      <w:r/>
      <w:bookmarkStart w:id="78" w:name="_Toc226337213"/>
      <w:r/>
      <w:bookmarkStart w:id="79" w:name="_Toc150774722"/>
      <w:r/>
      <w:bookmarkStart w:id="80" w:name="_Toc127151517"/>
      <w:r/>
      <w:bookmarkStart w:id="81" w:name="_Toc150480755"/>
      <w:r/>
      <w:bookmarkStart w:id="82" w:name="_Toc353873932"/>
      <w:r/>
      <w:bookmarkStart w:id="83" w:name="_Toc353873662"/>
      <w:r/>
      <w:bookmarkStart w:id="84" w:name="_Toc264969207"/>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866"/>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226337214"/>
      <w:r/>
      <w:bookmarkStart w:id="88" w:name="_Toc226965791"/>
      <w:r/>
      <w:bookmarkStart w:id="89" w:name="_Toc151190145"/>
      <w:r/>
      <w:bookmarkStart w:id="90" w:name="_Toc151193906"/>
      <w:r/>
      <w:bookmarkStart w:id="91" w:name="_Toc305158860"/>
      <w:r/>
      <w:bookmarkStart w:id="92" w:name="_Toc195842883"/>
      <w:r/>
      <w:bookmarkStart w:id="93" w:name="_Toc150480756"/>
      <w:r/>
      <w:bookmarkStart w:id="94" w:name="_Toc151193832"/>
      <w:r/>
      <w:bookmarkStart w:id="95" w:name="_Toc226309762"/>
      <w:r/>
      <w:bookmarkStart w:id="96" w:name="_Toc150509269"/>
      <w:r/>
      <w:bookmarkStart w:id="97" w:name="_Toc150774618"/>
      <w:r/>
      <w:bookmarkStart w:id="98" w:name="_Toc151193616"/>
      <w:r/>
      <w:bookmarkStart w:id="99" w:name="_Toc265228356"/>
      <w:r/>
      <w:bookmarkStart w:id="100" w:name="_Toc226965708"/>
      <w:r/>
      <w:bookmarkStart w:id="101" w:name="_Toc151193760"/>
      <w:r/>
      <w:bookmarkStart w:id="102" w:name="_Toc264969208"/>
      <w:r/>
      <w:bookmarkStart w:id="103" w:name="_Toc142311020"/>
      <w:r/>
      <w:bookmarkStart w:id="104" w:name="_Toc150774723"/>
      <w:r/>
      <w:bookmarkStart w:id="105" w:name="_Toc305158786"/>
      <w:r/>
      <w:bookmarkStart w:id="106" w:name="_Toc15119368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s>
        <w:rPr>
          <w:sz w:val="24"/>
        </w:rPr>
        <w:outlineLvl w:val="1"/>
      </w:pPr>
      <w:r/>
      <w:bookmarkStart w:id="107" w:name="_Toc305158787"/>
      <w:r/>
      <w:bookmarkStart w:id="108" w:name="_Toc264969209"/>
      <w:r/>
      <w:bookmarkStart w:id="109" w:name="_Toc265228357"/>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64"/>
        <w:numPr>
          <w:ilvl w:val="0"/>
          <w:numId w:val="8"/>
        </w:numPr>
        <w:ind w:left="357" w:hanging="357"/>
        <w:pageBreakBefore w:val="0"/>
        <w:spacing w:line="380" w:lineRule="exact"/>
        <w:widowControl w:val="off"/>
        <w:tabs>
          <w:tab w:val="left" w:pos="360" w:leader="none"/>
        </w:tabs>
        <w:rPr>
          <w:sz w:val="24"/>
        </w:rPr>
        <w:outlineLvl w:val="1"/>
      </w:pPr>
      <w:r/>
      <w:bookmarkStart w:id="111" w:name="_Toc150509271"/>
      <w:r/>
      <w:bookmarkStart w:id="112" w:name="_Toc150774620"/>
      <w:r/>
      <w:bookmarkStart w:id="113" w:name="_Toc151193908"/>
      <w:r/>
      <w:bookmarkStart w:id="114" w:name="_Toc164608634"/>
      <w:r/>
      <w:bookmarkStart w:id="115" w:name="_Toc195842885"/>
      <w:r/>
      <w:bookmarkStart w:id="116" w:name="_Toc127161434"/>
      <w:r/>
      <w:bookmarkStart w:id="117" w:name="_Toc226309764"/>
      <w:r/>
      <w:bookmarkStart w:id="118" w:name="_Toc226337216"/>
      <w:r/>
      <w:bookmarkStart w:id="119" w:name="_Toc151190147"/>
      <w:r/>
      <w:bookmarkStart w:id="120" w:name="_Toc164351614"/>
      <w:r/>
      <w:bookmarkStart w:id="121" w:name="_Toc149720813"/>
      <w:r/>
      <w:bookmarkStart w:id="122" w:name="_Toc150774725"/>
      <w:r/>
      <w:bookmarkStart w:id="123" w:name="_Toc151193834"/>
      <w:r/>
      <w:bookmarkStart w:id="124" w:name="_Toc164229361"/>
      <w:r/>
      <w:bookmarkStart w:id="125" w:name="_Toc305158862"/>
      <w:r/>
      <w:bookmarkStart w:id="126" w:name="_Toc226965710"/>
      <w:r/>
      <w:bookmarkStart w:id="127" w:name="_Toc151193690"/>
      <w:r/>
      <w:bookmarkStart w:id="128" w:name="_Toc164608789"/>
      <w:r/>
      <w:bookmarkStart w:id="129" w:name="_Toc127151721"/>
      <w:r/>
      <w:bookmarkStart w:id="130" w:name="_Toc150480758"/>
      <w:r/>
      <w:bookmarkStart w:id="131" w:name="_Toc164229215"/>
      <w:r/>
      <w:bookmarkStart w:id="132" w:name="_Toc151193618"/>
      <w:r/>
      <w:bookmarkStart w:id="133" w:name="_Toc265228358"/>
      <w:r/>
      <w:bookmarkStart w:id="134" w:name="_Toc142311022"/>
      <w:r/>
      <w:bookmarkStart w:id="135" w:name="_Toc151193762"/>
      <w:r/>
      <w:bookmarkStart w:id="136" w:name="_Toc127151520"/>
      <w:r/>
      <w:bookmarkStart w:id="137" w:name="_Toc305158788"/>
      <w:r/>
      <w:bookmarkStart w:id="138" w:name="_Toc264969210"/>
      <w:r/>
      <w:bookmarkStart w:id="139" w:name="_Toc226965793"/>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26337218"/>
      <w:r/>
      <w:bookmarkStart w:id="141" w:name="_Toc305158864"/>
      <w:r/>
      <w:bookmarkStart w:id="142" w:name="_Toc151193836"/>
      <w:r/>
      <w:bookmarkStart w:id="143" w:name="_Toc151193764"/>
      <w:r/>
      <w:bookmarkStart w:id="144" w:name="_Toc226309766"/>
      <w:r/>
      <w:bookmarkStart w:id="145" w:name="_Toc226965712"/>
      <w:r/>
      <w:bookmarkStart w:id="146" w:name="_Toc226965795"/>
      <w:r/>
      <w:bookmarkStart w:id="147" w:name="_Toc151193910"/>
      <w:r/>
      <w:bookmarkStart w:id="148" w:name="_Toc150509273"/>
      <w:r/>
      <w:bookmarkStart w:id="149" w:name="_Toc151193692"/>
      <w:r/>
      <w:bookmarkStart w:id="150" w:name="_Toc265228360"/>
      <w:r/>
      <w:bookmarkStart w:id="151" w:name="_Toc520356146"/>
      <w:r/>
      <w:bookmarkStart w:id="152" w:name="_Toc150774727"/>
      <w:r/>
      <w:bookmarkStart w:id="153" w:name="_Toc127151522"/>
      <w:r/>
      <w:bookmarkStart w:id="154" w:name="_Toc151190149"/>
      <w:r/>
      <w:bookmarkStart w:id="155" w:name="_Toc150480760"/>
      <w:r/>
      <w:bookmarkStart w:id="156" w:name="_Toc151193620"/>
      <w:r/>
      <w:bookmarkStart w:id="157" w:name="_Toc264969212"/>
      <w:r/>
      <w:bookmarkStart w:id="158" w:name="_Toc305158790"/>
      <w:r/>
      <w:bookmarkStart w:id="159" w:name="_Toc195842887"/>
      <w:r/>
      <w:bookmarkStart w:id="160" w:name="_Toc150774622"/>
      <w:r/>
      <w:bookmarkStart w:id="161" w:name="_Toc142311024"/>
      <w:r>
        <w:rPr>
          <w:sz w:val="28"/>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864"/>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64"/>
        <w:ind w:firstLine="120"/>
        <w:pageBreakBefore w:val="0"/>
        <w:spacing w:line="380" w:lineRule="exact"/>
        <w:widowControl w:val="off"/>
        <w:rPr>
          <w:sz w:val="24"/>
        </w:rPr>
      </w:pPr>
      <w:r>
        <w:rPr>
          <w:rFonts w:hint="eastAsia"/>
          <w:sz w:val="24"/>
        </w:rPr>
        <w:t xml:space="preserve"> 5.8     绿色采购政策</w:t>
      </w:r>
      <w:r>
        <w:rPr>
          <w:sz w:val="24"/>
        </w:rPr>
      </w:r>
      <w:r/>
    </w:p>
    <w:p>
      <w:pPr>
        <w:pStyle w:val="864"/>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64"/>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4"/>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864"/>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64"/>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864"/>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64"/>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51193765"/>
      <w:r/>
      <w:bookmarkStart w:id="164" w:name="_Toc164351617"/>
      <w:r/>
      <w:bookmarkStart w:id="165" w:name="_Toc265228361"/>
      <w:r/>
      <w:bookmarkStart w:id="166" w:name="_Toc164229218"/>
      <w:r/>
      <w:bookmarkStart w:id="167" w:name="_Toc150774728"/>
      <w:r/>
      <w:bookmarkStart w:id="168" w:name="_Toc520356147"/>
      <w:r/>
      <w:bookmarkStart w:id="169" w:name="_Toc142311025"/>
      <w:r/>
      <w:bookmarkStart w:id="170" w:name="_Toc226965796"/>
      <w:r/>
      <w:bookmarkStart w:id="171" w:name="_Toc226337219"/>
      <w:r/>
      <w:bookmarkStart w:id="172" w:name="_Toc127151724"/>
      <w:r/>
      <w:bookmarkStart w:id="173" w:name="_Toc150480761"/>
      <w:r/>
      <w:bookmarkStart w:id="174" w:name="_Toc195842888"/>
      <w:r/>
      <w:bookmarkStart w:id="175" w:name="_Toc164608792"/>
      <w:r/>
      <w:bookmarkStart w:id="176" w:name="_Toc150509274"/>
      <w:r/>
      <w:bookmarkStart w:id="177" w:name="_Toc164608637"/>
      <w:r/>
      <w:bookmarkStart w:id="178" w:name="_Toc226309767"/>
      <w:r/>
      <w:bookmarkStart w:id="179" w:name="_Toc226965713"/>
      <w:r/>
      <w:bookmarkStart w:id="180" w:name="_Toc305158865"/>
      <w:r/>
      <w:bookmarkStart w:id="181" w:name="_Toc151190150"/>
      <w:r/>
      <w:bookmarkStart w:id="182" w:name="_Toc150774623"/>
      <w:r/>
      <w:bookmarkStart w:id="183" w:name="_Toc264969213"/>
      <w:r/>
      <w:bookmarkStart w:id="184" w:name="_Toc151193693"/>
      <w:r/>
      <w:bookmarkStart w:id="185" w:name="_Toc305158791"/>
      <w:r/>
      <w:bookmarkStart w:id="186" w:name="_Toc151193911"/>
      <w:r/>
      <w:bookmarkStart w:id="187" w:name="_Toc164229364"/>
      <w:r/>
      <w:bookmarkStart w:id="188" w:name="_Toc127161437"/>
      <w:r/>
      <w:bookmarkStart w:id="189" w:name="_Toc149720816"/>
      <w:r/>
      <w:bookmarkStart w:id="190" w:name="_Toc127151523"/>
      <w:r/>
      <w:bookmarkStart w:id="191" w:name="_Toc151193621"/>
      <w:r/>
      <w:bookmarkStart w:id="192" w:name="_Toc151193837"/>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64"/>
        <w:ind w:left="1080"/>
        <w:pageBreakBefore w:val="0"/>
        <w:spacing w:line="380" w:lineRule="exact"/>
        <w:widowControl w:val="off"/>
        <w:tabs>
          <w:tab w:val="left" w:pos="1080" w:leader="none"/>
          <w:tab w:val="left" w:pos="1561" w:leader="none"/>
        </w:tabs>
        <w:rPr>
          <w:sz w:val="28"/>
        </w:rPr>
      </w:pPr>
      <w:r/>
      <w:bookmarkStart w:id="193" w:name="_Toc195842891"/>
      <w:r/>
      <w:bookmarkStart w:id="194" w:name="_Toc150774731"/>
      <w:r/>
      <w:bookmarkStart w:id="195" w:name="_Toc226965716"/>
      <w:r/>
      <w:bookmarkStart w:id="196" w:name="_Toc520356150"/>
      <w:r/>
      <w:bookmarkStart w:id="197" w:name="_Toc265228364"/>
      <w:r/>
      <w:bookmarkStart w:id="198" w:name="_Toc142311028"/>
      <w:r/>
      <w:bookmarkStart w:id="199" w:name="_Toc226309770"/>
      <w:r/>
      <w:bookmarkStart w:id="200" w:name="_Toc151193914"/>
      <w:r/>
      <w:bookmarkStart w:id="201" w:name="_Toc150774626"/>
      <w:r/>
      <w:bookmarkStart w:id="202" w:name="_Toc151193624"/>
      <w:r/>
      <w:bookmarkStart w:id="203" w:name="_Toc264969216"/>
      <w:r/>
      <w:bookmarkStart w:id="204" w:name="_Toc305158794"/>
      <w:r/>
      <w:bookmarkStart w:id="205" w:name="_Toc127151526"/>
      <w:r/>
      <w:bookmarkStart w:id="206" w:name="_Toc516367020"/>
      <w:r/>
      <w:bookmarkStart w:id="207" w:name="_Toc151193696"/>
      <w:r/>
      <w:bookmarkStart w:id="208" w:name="_Toc226965799"/>
      <w:r/>
      <w:bookmarkStart w:id="209" w:name="_Toc226337222"/>
      <w:r/>
      <w:bookmarkStart w:id="210" w:name="_Toc305158868"/>
      <w:r/>
      <w:bookmarkStart w:id="211" w:name="_Toc150480764"/>
      <w:r/>
      <w:bookmarkStart w:id="212" w:name="_Toc151193768"/>
      <w:r/>
      <w:bookmarkStart w:id="213" w:name="_Toc151193840"/>
      <w:r/>
      <w:bookmarkStart w:id="214" w:name="_Toc151190153"/>
      <w:r/>
      <w:bookmarkStart w:id="215" w:name="_Toc150509277"/>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226965800"/>
      <w:r/>
      <w:bookmarkStart w:id="217" w:name="_Toc150509278"/>
      <w:r/>
      <w:bookmarkStart w:id="218" w:name="_Toc150774732"/>
      <w:r/>
      <w:bookmarkStart w:id="219" w:name="_Toc151190154"/>
      <w:r/>
      <w:bookmarkStart w:id="220" w:name="_Toc516367021"/>
      <w:r/>
      <w:bookmarkStart w:id="221" w:name="_Toc195842892"/>
      <w:r/>
      <w:bookmarkStart w:id="222" w:name="_Toc164351621"/>
      <w:r/>
      <w:bookmarkStart w:id="223" w:name="_Toc150774627"/>
      <w:r/>
      <w:bookmarkStart w:id="224" w:name="_Toc520356151"/>
      <w:r/>
      <w:bookmarkStart w:id="225" w:name="_Toc151193769"/>
      <w:r/>
      <w:bookmarkStart w:id="226" w:name="_Toc142311029"/>
      <w:r/>
      <w:bookmarkStart w:id="227" w:name="_Toc226309771"/>
      <w:r/>
      <w:bookmarkStart w:id="228" w:name="_Toc164608641"/>
      <w:r/>
      <w:bookmarkStart w:id="229" w:name="_Toc151193625"/>
      <w:r/>
      <w:bookmarkStart w:id="230" w:name="_Toc226965717"/>
      <w:r/>
      <w:bookmarkStart w:id="231" w:name="_Toc265228365"/>
      <w:r/>
      <w:bookmarkStart w:id="232" w:name="_Toc151193915"/>
      <w:r/>
      <w:bookmarkStart w:id="233" w:name="_Toc305158869"/>
      <w:r/>
      <w:bookmarkStart w:id="234" w:name="_Toc127151527"/>
      <w:r/>
      <w:bookmarkStart w:id="235" w:name="_Toc127161441"/>
      <w:r/>
      <w:bookmarkStart w:id="236" w:name="_Toc164608796"/>
      <w:r/>
      <w:bookmarkStart w:id="237" w:name="_Toc164229222"/>
      <w:r/>
      <w:bookmarkStart w:id="238" w:name="_Toc226337223"/>
      <w:r/>
      <w:bookmarkStart w:id="239" w:name="_Toc149720820"/>
      <w:r/>
      <w:bookmarkStart w:id="240" w:name="_Toc264969217"/>
      <w:r/>
      <w:bookmarkStart w:id="241" w:name="_Toc151193697"/>
      <w:r/>
      <w:bookmarkStart w:id="242" w:name="_Toc305158795"/>
      <w:r/>
      <w:bookmarkStart w:id="243" w:name="_Toc127151728"/>
      <w:r/>
      <w:bookmarkStart w:id="244" w:name="_Toc164229368"/>
      <w:r/>
      <w:bookmarkStart w:id="245" w:name="_Toc150480765"/>
      <w:r/>
      <w:bookmarkStart w:id="246" w:name="_Toc15119384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50480766"/>
      <w:r/>
      <w:bookmarkStart w:id="248" w:name="_Toc195842893"/>
      <w:r/>
      <w:bookmarkStart w:id="249" w:name="_Toc142311030"/>
      <w:r/>
      <w:bookmarkStart w:id="250" w:name="_Toc151193698"/>
      <w:r/>
      <w:bookmarkStart w:id="251" w:name="_Toc149720821"/>
      <w:r/>
      <w:bookmarkStart w:id="252" w:name="_Toc151190155"/>
      <w:r/>
      <w:bookmarkStart w:id="253" w:name="_Toc150774733"/>
      <w:r/>
      <w:bookmarkStart w:id="254" w:name="_Ref467306195"/>
      <w:r/>
      <w:bookmarkStart w:id="255" w:name="_Toc516367022"/>
      <w:r/>
      <w:bookmarkStart w:id="256" w:name="_Ref467306676"/>
      <w:r/>
      <w:bookmarkStart w:id="257" w:name="_Toc264969218"/>
      <w:r/>
      <w:bookmarkStart w:id="258" w:name="_Toc151193842"/>
      <w:r/>
      <w:bookmarkStart w:id="259" w:name="_Toc151193916"/>
      <w:r/>
      <w:bookmarkStart w:id="260" w:name="_Toc127151528"/>
      <w:r/>
      <w:bookmarkStart w:id="261" w:name="_Toc164351622"/>
      <w:r/>
      <w:bookmarkStart w:id="262" w:name="_Toc150509279"/>
      <w:r/>
      <w:bookmarkStart w:id="263" w:name="_Toc127151729"/>
      <w:r/>
      <w:bookmarkStart w:id="264" w:name="_Toc226965801"/>
      <w:r/>
      <w:bookmarkStart w:id="265" w:name="_Toc164608642"/>
      <w:r/>
      <w:bookmarkStart w:id="266" w:name="_Toc305158870"/>
      <w:r/>
      <w:bookmarkStart w:id="267" w:name="_Toc226309772"/>
      <w:r/>
      <w:bookmarkStart w:id="268" w:name="_Toc265228366"/>
      <w:r/>
      <w:bookmarkStart w:id="269" w:name="_Toc520356152"/>
      <w:r/>
      <w:bookmarkStart w:id="270" w:name="_Toc151193626"/>
      <w:r/>
      <w:bookmarkStart w:id="271" w:name="_Toc164608797"/>
      <w:r/>
      <w:bookmarkStart w:id="272" w:name="_Toc305158796"/>
      <w:r/>
      <w:bookmarkStart w:id="273" w:name="_Toc150774628"/>
      <w:r/>
      <w:bookmarkStart w:id="274" w:name="_Toc127161442"/>
      <w:r/>
      <w:bookmarkStart w:id="275" w:name="_Toc151193770"/>
      <w:r/>
      <w:bookmarkStart w:id="276" w:name="_Toc226337224"/>
      <w:r/>
      <w:bookmarkStart w:id="277" w:name="_Toc226965718"/>
      <w:r/>
      <w:bookmarkStart w:id="278" w:name="_Toc164229369"/>
      <w:r/>
      <w:bookmarkStart w:id="279" w:name="_Toc164229223"/>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49720823"/>
      <w:r/>
      <w:bookmarkStart w:id="282" w:name="_Toc164608799"/>
      <w:r/>
      <w:bookmarkStart w:id="283" w:name="_Toc164229225"/>
      <w:r/>
      <w:bookmarkStart w:id="284" w:name="_Toc151190157"/>
      <w:r/>
      <w:bookmarkStart w:id="285" w:name="_Toc150774630"/>
      <w:r/>
      <w:bookmarkStart w:id="286" w:name="_Toc151193844"/>
      <w:r/>
      <w:bookmarkStart w:id="287" w:name="_Toc151193628"/>
      <w:r/>
      <w:bookmarkStart w:id="288" w:name="_Toc150774735"/>
      <w:r/>
      <w:bookmarkStart w:id="289" w:name="_Toc520356155"/>
      <w:r/>
      <w:bookmarkStart w:id="290" w:name="_Toc151193772"/>
      <w:r/>
      <w:bookmarkStart w:id="291" w:name="_Toc151193918"/>
      <w:r/>
      <w:bookmarkStart w:id="292" w:name="_Toc151193700"/>
      <w:r/>
      <w:bookmarkStart w:id="293" w:name="_Toc150480768"/>
      <w:r/>
      <w:bookmarkStart w:id="294" w:name="_Toc195842895"/>
      <w:r/>
      <w:bookmarkStart w:id="295" w:name="_Toc164608644"/>
      <w:r/>
      <w:bookmarkStart w:id="296" w:name="_Toc142311032"/>
      <w:r/>
      <w:bookmarkStart w:id="297" w:name="_Toc150509281"/>
      <w:r/>
      <w:bookmarkStart w:id="298" w:name="_Toc127161444"/>
      <w:r/>
      <w:bookmarkStart w:id="299" w:name="_Toc164229371"/>
      <w:r/>
      <w:bookmarkStart w:id="300" w:name="_Toc127151731"/>
      <w:r/>
      <w:bookmarkStart w:id="301" w:name="_Toc164351624"/>
      <w:r/>
      <w:bookmarkStart w:id="302" w:name="_Toc127151530"/>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50480769"/>
      <w:r/>
      <w:bookmarkStart w:id="304" w:name="_Toc142311033"/>
      <w:r/>
      <w:bookmarkStart w:id="305" w:name="_Toc127151531"/>
      <w:r/>
      <w:bookmarkStart w:id="306" w:name="_Ref467306513"/>
      <w:r/>
      <w:bookmarkStart w:id="307" w:name="_Toc151193773"/>
      <w:r/>
      <w:bookmarkStart w:id="308" w:name="_Toc265228369"/>
      <w:r/>
      <w:bookmarkStart w:id="309" w:name="_Toc164351625"/>
      <w:r/>
      <w:bookmarkStart w:id="310" w:name="_Toc164229372"/>
      <w:r/>
      <w:bookmarkStart w:id="311" w:name="_Toc520356156"/>
      <w:r/>
      <w:bookmarkStart w:id="312" w:name="_Toc151193701"/>
      <w:r/>
      <w:bookmarkStart w:id="313" w:name="_Toc226965804"/>
      <w:r/>
      <w:bookmarkStart w:id="314" w:name="_Toc151193919"/>
      <w:r/>
      <w:bookmarkStart w:id="315" w:name="_Toc127161445"/>
      <w:r/>
      <w:bookmarkStart w:id="316" w:name="_Toc151193629"/>
      <w:r/>
      <w:bookmarkStart w:id="317" w:name="_Toc195842896"/>
      <w:r/>
      <w:bookmarkStart w:id="318" w:name="_Toc164229226"/>
      <w:r/>
      <w:bookmarkStart w:id="319" w:name="_Toc151193845"/>
      <w:r/>
      <w:bookmarkStart w:id="320" w:name="_Toc151190158"/>
      <w:r/>
      <w:bookmarkStart w:id="321" w:name="_Toc305158799"/>
      <w:r/>
      <w:bookmarkStart w:id="322" w:name="_Toc150774631"/>
      <w:r/>
      <w:bookmarkStart w:id="323" w:name="_Toc226337227"/>
      <w:r/>
      <w:bookmarkStart w:id="324" w:name="_Toc164608645"/>
      <w:r/>
      <w:bookmarkStart w:id="325" w:name="_Toc164608800"/>
      <w:r/>
      <w:bookmarkStart w:id="326" w:name="_Toc150509282"/>
      <w:r/>
      <w:bookmarkStart w:id="327" w:name="_Toc127151732"/>
      <w:r/>
      <w:bookmarkStart w:id="328" w:name="_Toc226309775"/>
      <w:r/>
      <w:bookmarkStart w:id="329" w:name="_Toc150774736"/>
      <w:r/>
      <w:bookmarkStart w:id="330" w:name="_Toc149720824"/>
      <w:r/>
      <w:bookmarkStart w:id="331" w:name="_Toc305158873"/>
      <w:r/>
      <w:bookmarkStart w:id="332" w:name="_Toc226965721"/>
      <w:r/>
      <w:bookmarkStart w:id="333" w:name="_Toc264969221"/>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864"/>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64608801"/>
      <w:r/>
      <w:bookmarkStart w:id="335" w:name="_Toc164608646"/>
      <w:r/>
      <w:bookmarkStart w:id="336" w:name="_Toc520356157"/>
      <w:r/>
      <w:bookmarkStart w:id="337" w:name="_Toc305158874"/>
      <w:r/>
      <w:bookmarkStart w:id="338" w:name="_Toc195842897"/>
      <w:r/>
      <w:bookmarkStart w:id="339" w:name="_Toc264969222"/>
      <w:r/>
      <w:bookmarkStart w:id="340" w:name="_Toc151193774"/>
      <w:r/>
      <w:bookmarkStart w:id="341" w:name="_Toc164229373"/>
      <w:r/>
      <w:bookmarkStart w:id="342" w:name="_Toc265228370"/>
      <w:r/>
      <w:bookmarkStart w:id="343" w:name="_Toc226309776"/>
      <w:r/>
      <w:bookmarkStart w:id="344" w:name="_Toc226965722"/>
      <w:r/>
      <w:bookmarkStart w:id="345" w:name="_Toc150774737"/>
      <w:r/>
      <w:bookmarkStart w:id="346" w:name="_Toc226965805"/>
      <w:r/>
      <w:bookmarkStart w:id="347" w:name="_Toc151193846"/>
      <w:r/>
      <w:bookmarkStart w:id="348" w:name="_Toc151193630"/>
      <w:r/>
      <w:bookmarkStart w:id="349" w:name="_Toc127151532"/>
      <w:r/>
      <w:bookmarkStart w:id="350" w:name="_Toc150509283"/>
      <w:r/>
      <w:bookmarkStart w:id="351" w:name="_Toc150480770"/>
      <w:r/>
      <w:bookmarkStart w:id="352" w:name="_Toc142311034"/>
      <w:r/>
      <w:bookmarkStart w:id="353" w:name="_Toc127151733"/>
      <w:r/>
      <w:bookmarkStart w:id="354" w:name="_Toc150774632"/>
      <w:r/>
      <w:bookmarkStart w:id="355" w:name="_Toc151193702"/>
      <w:r/>
      <w:bookmarkStart w:id="356" w:name="_Toc127161446"/>
      <w:r/>
      <w:bookmarkStart w:id="357" w:name="_Toc226337228"/>
      <w:r/>
      <w:bookmarkStart w:id="358" w:name="_Toc149720825"/>
      <w:r/>
      <w:bookmarkStart w:id="359" w:name="_Toc164229227"/>
      <w:r/>
      <w:bookmarkStart w:id="360" w:name="_Toc151190159"/>
      <w:r/>
      <w:bookmarkStart w:id="361" w:name="_Toc151193920"/>
      <w:r/>
      <w:bookmarkStart w:id="362" w:name="_Toc305158800"/>
      <w:r/>
      <w:bookmarkStart w:id="363" w:name="_Toc164351626"/>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27151533"/>
      <w:r/>
      <w:bookmarkStart w:id="365" w:name="_Toc151193847"/>
      <w:r/>
      <w:bookmarkStart w:id="366" w:name="_Toc195842898"/>
      <w:r/>
      <w:bookmarkStart w:id="367" w:name="_Toc164608647"/>
      <w:r/>
      <w:bookmarkStart w:id="368" w:name="_Toc142311035"/>
      <w:r/>
      <w:bookmarkStart w:id="369" w:name="_Toc226965806"/>
      <w:r/>
      <w:bookmarkStart w:id="370" w:name="_Toc305158801"/>
      <w:r/>
      <w:bookmarkStart w:id="371" w:name="_Toc151193775"/>
      <w:r/>
      <w:bookmarkStart w:id="372" w:name="_Toc151190160"/>
      <w:r/>
      <w:bookmarkStart w:id="373" w:name="_Toc151193631"/>
      <w:r/>
      <w:bookmarkStart w:id="374" w:name="_Toc150774738"/>
      <w:r/>
      <w:bookmarkStart w:id="375" w:name="_Toc305158875"/>
      <w:r/>
      <w:bookmarkStart w:id="376" w:name="_Toc151193703"/>
      <w:r/>
      <w:bookmarkStart w:id="377" w:name="_Toc226965723"/>
      <w:r/>
      <w:bookmarkStart w:id="378" w:name="_Toc150480771"/>
      <w:r/>
      <w:bookmarkStart w:id="379" w:name="_Toc164351627"/>
      <w:r/>
      <w:bookmarkStart w:id="380" w:name="_Toc164229374"/>
      <w:r/>
      <w:bookmarkStart w:id="381" w:name="_Toc226337229"/>
      <w:r/>
      <w:bookmarkStart w:id="382" w:name="_Toc164608802"/>
      <w:r/>
      <w:bookmarkStart w:id="383" w:name="_Toc226309777"/>
      <w:r/>
      <w:bookmarkStart w:id="384" w:name="_Toc127151734"/>
      <w:r/>
      <w:bookmarkStart w:id="385" w:name="_Toc127161447"/>
      <w:r/>
      <w:bookmarkStart w:id="386" w:name="_Toc520356158"/>
      <w:r/>
      <w:bookmarkStart w:id="387" w:name="_Toc150509284"/>
      <w:r/>
      <w:bookmarkStart w:id="388" w:name="_Toc164229228"/>
      <w:r/>
      <w:bookmarkStart w:id="389" w:name="_Toc150774633"/>
      <w:r/>
      <w:bookmarkStart w:id="390" w:name="_Toc149720826"/>
      <w:r/>
      <w:bookmarkStart w:id="391" w:name="_Toc264969223"/>
      <w:r/>
      <w:bookmarkStart w:id="392" w:name="_Toc151193921"/>
      <w:r/>
      <w:bookmarkStart w:id="393" w:name="_Toc265228371"/>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151190161"/>
      <w:r/>
      <w:bookmarkStart w:id="395" w:name="_Toc305158802"/>
      <w:r/>
      <w:bookmarkStart w:id="396" w:name="_Toc150509285"/>
      <w:r/>
      <w:bookmarkStart w:id="397" w:name="_Toc226337230"/>
      <w:r/>
      <w:bookmarkStart w:id="398" w:name="_Toc150774739"/>
      <w:r/>
      <w:bookmarkStart w:id="399" w:name="_Toc151193848"/>
      <w:r/>
      <w:bookmarkStart w:id="400" w:name="_Toc226309778"/>
      <w:r/>
      <w:bookmarkStart w:id="401" w:name="_Toc305158876"/>
      <w:r/>
      <w:bookmarkStart w:id="402" w:name="_Toc151193704"/>
      <w:r/>
      <w:bookmarkStart w:id="403" w:name="_Toc127151534"/>
      <w:r/>
      <w:bookmarkStart w:id="404" w:name="_Toc151193632"/>
      <w:r/>
      <w:bookmarkStart w:id="405" w:name="_Toc265228372"/>
      <w:r/>
      <w:bookmarkStart w:id="406" w:name="_Toc151193776"/>
      <w:r/>
      <w:bookmarkStart w:id="407" w:name="_Toc150480772"/>
      <w:r/>
      <w:bookmarkStart w:id="408" w:name="_Toc226965807"/>
      <w:r/>
      <w:bookmarkStart w:id="409" w:name="_Toc150774634"/>
      <w:r/>
      <w:bookmarkStart w:id="410" w:name="_Toc151193922"/>
      <w:r/>
      <w:bookmarkStart w:id="411" w:name="_Toc226965724"/>
      <w:r/>
      <w:bookmarkStart w:id="412" w:name="_Toc142311036"/>
      <w:r/>
      <w:bookmarkStart w:id="413" w:name="_Toc520356159"/>
      <w:r/>
      <w:bookmarkStart w:id="414" w:name="_Toc264969224"/>
      <w:r/>
      <w:bookmarkStart w:id="415"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64"/>
        <w:ind w:left="357"/>
        <w:pageBreakBefore w:val="0"/>
        <w:spacing w:line="380" w:lineRule="exact"/>
        <w:widowControl w:val="off"/>
        <w:tabs>
          <w:tab w:val="left" w:pos="900" w:leader="none"/>
          <w:tab w:val="left" w:pos="1080" w:leader="none"/>
        </w:tabs>
      </w:p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50774635"/>
      <w:r/>
      <w:bookmarkStart w:id="417" w:name="_Toc226965725"/>
      <w:r/>
      <w:bookmarkStart w:id="418" w:name="_Toc520356160"/>
      <w:r/>
      <w:bookmarkStart w:id="419" w:name="_Toc150480773"/>
      <w:r/>
      <w:bookmarkStart w:id="420" w:name="_Toc151193705"/>
      <w:r/>
      <w:bookmarkStart w:id="421" w:name="_Toc151190162"/>
      <w:r/>
      <w:bookmarkStart w:id="422" w:name="_Toc151193923"/>
      <w:r/>
      <w:bookmarkStart w:id="423" w:name="_Toc127161449"/>
      <w:r/>
      <w:bookmarkStart w:id="424" w:name="_Toc164608649"/>
      <w:r/>
      <w:bookmarkStart w:id="425" w:name="_Toc226309779"/>
      <w:r/>
      <w:bookmarkStart w:id="426" w:name="_Toc195842900"/>
      <w:r/>
      <w:bookmarkStart w:id="427" w:name="_Toc305158877"/>
      <w:r/>
      <w:bookmarkStart w:id="428" w:name="_Toc142311037"/>
      <w:r/>
      <w:bookmarkStart w:id="429" w:name="_Toc164229376"/>
      <w:r/>
      <w:bookmarkStart w:id="430" w:name="_Toc150774740"/>
      <w:r/>
      <w:bookmarkStart w:id="431" w:name="_Toc151193633"/>
      <w:r/>
      <w:bookmarkStart w:id="432" w:name="_Toc151193777"/>
      <w:r/>
      <w:bookmarkStart w:id="433" w:name="_Toc127151736"/>
      <w:r/>
      <w:bookmarkStart w:id="434" w:name="_Toc164229230"/>
      <w:r/>
      <w:bookmarkStart w:id="435" w:name="_Toc164351629"/>
      <w:r/>
      <w:bookmarkStart w:id="436" w:name="_Toc265228373"/>
      <w:r/>
      <w:bookmarkStart w:id="437" w:name="_Toc127151535"/>
      <w:r/>
      <w:bookmarkStart w:id="438" w:name="_Toc164608804"/>
      <w:r/>
      <w:bookmarkStart w:id="439" w:name="_Toc264969225"/>
      <w:r/>
      <w:bookmarkStart w:id="440" w:name="_Toc226965808"/>
      <w:r/>
      <w:bookmarkStart w:id="441" w:name="_Toc226337231"/>
      <w:r/>
      <w:bookmarkStart w:id="442" w:name="_Toc151193849"/>
      <w:r/>
      <w:bookmarkStart w:id="443" w:name="_Toc150509286"/>
      <w:r/>
      <w:bookmarkStart w:id="444" w:name="_Toc305158803"/>
      <w:r/>
      <w:bookmarkStart w:id="445" w:name="_Toc149720828"/>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264969226"/>
      <w:r/>
      <w:bookmarkStart w:id="447" w:name="_Toc150774636"/>
      <w:r/>
      <w:bookmarkStart w:id="448" w:name="_Toc164608650"/>
      <w:r/>
      <w:bookmarkStart w:id="449" w:name="_Toc520356161"/>
      <w:r/>
      <w:bookmarkStart w:id="450" w:name="_Toc127151737"/>
      <w:r/>
      <w:bookmarkStart w:id="451" w:name="_Toc164608805"/>
      <w:r/>
      <w:bookmarkStart w:id="452" w:name="_Toc127151536"/>
      <w:r/>
      <w:bookmarkStart w:id="453" w:name="_Toc265228374"/>
      <w:r/>
      <w:bookmarkStart w:id="454" w:name="_Toc150774741"/>
      <w:r/>
      <w:bookmarkStart w:id="455" w:name="_Toc142311038"/>
      <w:r/>
      <w:bookmarkStart w:id="456" w:name="_Toc151193778"/>
      <w:r/>
      <w:bookmarkStart w:id="457" w:name="_Toc305158804"/>
      <w:r/>
      <w:bookmarkStart w:id="458" w:name="_Toc151193634"/>
      <w:r/>
      <w:bookmarkStart w:id="459" w:name="_Toc151190163"/>
      <w:r/>
      <w:bookmarkStart w:id="460" w:name="_Toc164229377"/>
      <w:r/>
      <w:bookmarkStart w:id="461" w:name="_Toc150480774"/>
      <w:r/>
      <w:bookmarkStart w:id="462" w:name="_Toc226337232"/>
      <w:r/>
      <w:bookmarkStart w:id="463" w:name="_Toc226965809"/>
      <w:r/>
      <w:bookmarkStart w:id="464" w:name="_Toc151193924"/>
      <w:r/>
      <w:bookmarkStart w:id="465" w:name="_Toc226309780"/>
      <w:r/>
      <w:bookmarkStart w:id="466" w:name="_Toc226965726"/>
      <w:r/>
      <w:bookmarkStart w:id="467" w:name="_Toc151193850"/>
      <w:r/>
      <w:bookmarkStart w:id="468" w:name="_Toc150509287"/>
      <w:r/>
      <w:bookmarkStart w:id="469" w:name="_Toc164229231"/>
      <w:r/>
      <w:bookmarkStart w:id="470" w:name="_Toc127161450"/>
      <w:r/>
      <w:bookmarkStart w:id="471" w:name="_Toc151193706"/>
      <w:r/>
      <w:bookmarkStart w:id="472" w:name="_Toc305158878"/>
      <w:r/>
      <w:bookmarkStart w:id="473" w:name="_Toc195842901"/>
      <w:r/>
      <w:bookmarkStart w:id="474" w:name="_Toc149720829"/>
      <w:r/>
      <w:bookmarkStart w:id="475" w:name="_Toc164351630"/>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50480775"/>
      <w:r/>
      <w:bookmarkStart w:id="477" w:name="_Toc164608651"/>
      <w:r/>
      <w:bookmarkStart w:id="478" w:name="_Toc151193635"/>
      <w:r/>
      <w:bookmarkStart w:id="479" w:name="_Toc150509288"/>
      <w:r/>
      <w:bookmarkStart w:id="480" w:name="_Toc151193779"/>
      <w:r/>
      <w:bookmarkStart w:id="481" w:name="_Toc226965727"/>
      <w:r/>
      <w:bookmarkStart w:id="482" w:name="_Toc151193707"/>
      <w:r/>
      <w:bookmarkStart w:id="483" w:name="_Toc265228375"/>
      <w:r/>
      <w:bookmarkStart w:id="484" w:name="_Toc142311039"/>
      <w:r/>
      <w:bookmarkStart w:id="485" w:name="_Toc151193851"/>
      <w:r/>
      <w:bookmarkStart w:id="486" w:name="_Toc164229232"/>
      <w:r/>
      <w:bookmarkStart w:id="487" w:name="_Toc127151738"/>
      <w:r/>
      <w:bookmarkStart w:id="488" w:name="_Toc226337233"/>
      <w:r/>
      <w:bookmarkStart w:id="489" w:name="_Toc151190164"/>
      <w:r/>
      <w:bookmarkStart w:id="490" w:name="_Toc226309781"/>
      <w:r/>
      <w:bookmarkStart w:id="491" w:name="_Toc127161451"/>
      <w:r/>
      <w:bookmarkStart w:id="492" w:name="_Toc305158879"/>
      <w:r/>
      <w:bookmarkStart w:id="493" w:name="_Toc305158805"/>
      <w:r/>
      <w:bookmarkStart w:id="494" w:name="_Toc127151537"/>
      <w:r/>
      <w:bookmarkStart w:id="495" w:name="_Toc195842902"/>
      <w:r/>
      <w:bookmarkStart w:id="496" w:name="_Toc151193925"/>
      <w:r/>
      <w:bookmarkStart w:id="497" w:name="_Toc520356162"/>
      <w:r/>
      <w:bookmarkStart w:id="498" w:name="_Toc149720830"/>
      <w:r/>
      <w:bookmarkStart w:id="499" w:name="_Toc164229378"/>
      <w:r/>
      <w:bookmarkStart w:id="500" w:name="_Toc264969227"/>
      <w:r/>
      <w:bookmarkStart w:id="501" w:name="_Toc164608806"/>
      <w:r/>
      <w:bookmarkStart w:id="502" w:name="_Toc150774637"/>
      <w:r/>
      <w:bookmarkStart w:id="503" w:name="_Toc150774742"/>
      <w:r/>
      <w:bookmarkStart w:id="504" w:name="_Toc226965810"/>
      <w:r/>
      <w:bookmarkStart w:id="505" w:name="_Toc164351631"/>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64"/>
        <w:pageBreakBefore w:val="0"/>
        <w:spacing w:line="380" w:lineRule="exact"/>
        <w:widowControl w:val="off"/>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06" w:name="_Toc127151538"/>
      <w:r/>
      <w:bookmarkStart w:id="507" w:name="_Toc150480776"/>
      <w:r/>
      <w:bookmarkStart w:id="508" w:name="_Toc151193708"/>
      <w:r/>
      <w:bookmarkStart w:id="509" w:name="_Toc151193636"/>
      <w:r/>
      <w:bookmarkStart w:id="510" w:name="_Toc226965728"/>
      <w:r/>
      <w:bookmarkStart w:id="511" w:name="_Toc142311040"/>
      <w:r/>
      <w:bookmarkStart w:id="512" w:name="_Toc151193852"/>
      <w:r/>
      <w:bookmarkStart w:id="513" w:name="_Toc264969228"/>
      <w:r/>
      <w:bookmarkStart w:id="514" w:name="_Toc520356163"/>
      <w:r/>
      <w:bookmarkStart w:id="515" w:name="_Toc265228376"/>
      <w:r/>
      <w:bookmarkStart w:id="516" w:name="_Toc195842903"/>
      <w:r/>
      <w:bookmarkStart w:id="517" w:name="_Toc150774743"/>
      <w:r/>
      <w:bookmarkStart w:id="518" w:name="_Toc226309782"/>
      <w:r/>
      <w:bookmarkStart w:id="519" w:name="_Toc150509289"/>
      <w:r/>
      <w:bookmarkStart w:id="520" w:name="_Toc151193926"/>
      <w:r/>
      <w:bookmarkStart w:id="521" w:name="_Toc151193780"/>
      <w:r/>
      <w:bookmarkStart w:id="522" w:name="_Toc150774638"/>
      <w:r/>
      <w:bookmarkStart w:id="523" w:name="_Toc226337234"/>
      <w:r/>
      <w:bookmarkStart w:id="524" w:name="_Toc305158880"/>
      <w:r/>
      <w:bookmarkStart w:id="525" w:name="_Toc151190165"/>
      <w:r/>
      <w:bookmarkStart w:id="526" w:name="_Toc226965811"/>
      <w:r/>
      <w:bookmarkStart w:id="527" w:name="_Toc30515880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50509290"/>
      <w:r/>
      <w:bookmarkStart w:id="529" w:name="_Toc151193637"/>
      <w:r/>
      <w:bookmarkStart w:id="530" w:name="_Toc305158881"/>
      <w:r/>
      <w:bookmarkStart w:id="531" w:name="_Toc226309783"/>
      <w:r/>
      <w:bookmarkStart w:id="532" w:name="_Toc164608808"/>
      <w:r/>
      <w:bookmarkStart w:id="533" w:name="_Toc226337235"/>
      <w:r/>
      <w:bookmarkStart w:id="534" w:name="_Toc150480777"/>
      <w:r/>
      <w:bookmarkStart w:id="535" w:name="_Toc151190166"/>
      <w:r/>
      <w:bookmarkStart w:id="536" w:name="_Toc164229234"/>
      <w:r/>
      <w:bookmarkStart w:id="537" w:name="_Toc151193781"/>
      <w:r/>
      <w:bookmarkStart w:id="538" w:name="_Toc151193853"/>
      <w:r/>
      <w:bookmarkStart w:id="539" w:name="_Toc226965729"/>
      <w:r/>
      <w:bookmarkStart w:id="540" w:name="_Toc305158807"/>
      <w:r/>
      <w:bookmarkStart w:id="541" w:name="_Toc151193709"/>
      <w:r/>
      <w:bookmarkStart w:id="542" w:name="_Toc150774639"/>
      <w:r/>
      <w:bookmarkStart w:id="543" w:name="_Toc151193927"/>
      <w:r/>
      <w:bookmarkStart w:id="544" w:name="_Toc149720832"/>
      <w:r/>
      <w:bookmarkStart w:id="545" w:name="_Toc164608653"/>
      <w:r/>
      <w:bookmarkStart w:id="546" w:name="_Toc520356164"/>
      <w:r/>
      <w:bookmarkStart w:id="547" w:name="_Toc195842904"/>
      <w:r/>
      <w:bookmarkStart w:id="548" w:name="_Toc264969229"/>
      <w:r/>
      <w:bookmarkStart w:id="549" w:name="_Toc150774744"/>
      <w:r/>
      <w:bookmarkStart w:id="550" w:name="_Toc127161453"/>
      <w:r/>
      <w:bookmarkStart w:id="551" w:name="_Toc265228377"/>
      <w:r/>
      <w:bookmarkStart w:id="552" w:name="_Toc226965812"/>
      <w:r/>
      <w:bookmarkStart w:id="553" w:name="_Toc164229380"/>
      <w:r/>
      <w:bookmarkStart w:id="554" w:name="_Toc164351633"/>
      <w:r/>
      <w:bookmarkStart w:id="555" w:name="_Toc142311041"/>
      <w:r/>
      <w:bookmarkStart w:id="556" w:name="_Toc127151740"/>
      <w:r/>
      <w:bookmarkStart w:id="557" w:name="_Toc127151539"/>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4"/>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265228378"/>
      <w:r/>
      <w:bookmarkStart w:id="560" w:name="_Toc150774745"/>
      <w:r/>
      <w:bookmarkStart w:id="561" w:name="_Toc151193638"/>
      <w:r/>
      <w:bookmarkStart w:id="562" w:name="_Toc150774640"/>
      <w:r/>
      <w:bookmarkStart w:id="563" w:name="_Toc150480778"/>
      <w:r/>
      <w:bookmarkStart w:id="564" w:name="_Toc142311042"/>
      <w:r/>
      <w:bookmarkStart w:id="565" w:name="_Toc149720833"/>
      <w:r/>
      <w:bookmarkStart w:id="566" w:name="_Toc264969230"/>
      <w:r/>
      <w:bookmarkStart w:id="567" w:name="_Toc151190167"/>
      <w:r/>
      <w:bookmarkStart w:id="568" w:name="_Toc164608809"/>
      <w:r/>
      <w:bookmarkStart w:id="569" w:name="_Toc164351634"/>
      <w:r/>
      <w:bookmarkStart w:id="570" w:name="_Toc151193782"/>
      <w:r/>
      <w:bookmarkStart w:id="571" w:name="_Toc164229235"/>
      <w:r/>
      <w:bookmarkStart w:id="572" w:name="_Toc164229381"/>
      <w:r/>
      <w:bookmarkStart w:id="573" w:name="_Toc127151741"/>
      <w:r/>
      <w:bookmarkStart w:id="574" w:name="_Toc226965813"/>
      <w:r/>
      <w:bookmarkStart w:id="575" w:name="_Toc305158882"/>
      <w:r/>
      <w:bookmarkStart w:id="576" w:name="_Toc150509291"/>
      <w:r/>
      <w:bookmarkStart w:id="577" w:name="_Toc127161454"/>
      <w:r/>
      <w:bookmarkStart w:id="578" w:name="_Toc226337236"/>
      <w:r/>
      <w:bookmarkStart w:id="579" w:name="_Toc305158808"/>
      <w:r/>
      <w:bookmarkStart w:id="580" w:name="_Toc226309784"/>
      <w:r/>
      <w:bookmarkStart w:id="581" w:name="_Toc164608654"/>
      <w:r/>
      <w:bookmarkStart w:id="582" w:name="_Toc127151540"/>
      <w:r/>
      <w:bookmarkStart w:id="583" w:name="_Toc151193928"/>
      <w:r/>
      <w:bookmarkStart w:id="584" w:name="_Toc226965730"/>
      <w:r/>
      <w:bookmarkStart w:id="585" w:name="_Toc151193710"/>
      <w:r/>
      <w:bookmarkStart w:id="586" w:name="_Toc195842905"/>
      <w:r/>
      <w:bookmarkStart w:id="587" w:name="_Toc151193854"/>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64"/>
        <w:ind w:left="1080"/>
        <w:pageBreakBefore w:val="0"/>
        <w:spacing w:line="380" w:lineRule="exact"/>
        <w:widowControl w:val="off"/>
        <w:tabs>
          <w:tab w:val="left" w:pos="360" w:leader="none"/>
          <w:tab w:val="left" w:pos="1080" w:leader="none"/>
        </w:tabs>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90" w:name="_Toc305158813"/>
      <w:r/>
      <w:bookmarkStart w:id="591" w:name="_Toc150774750"/>
      <w:r/>
      <w:bookmarkStart w:id="592" w:name="_Toc195842910"/>
      <w:r/>
      <w:bookmarkStart w:id="593" w:name="_Toc151190172"/>
      <w:r/>
      <w:bookmarkStart w:id="594" w:name="_Toc151193787"/>
      <w:r/>
      <w:bookmarkStart w:id="595" w:name="_Toc150509296"/>
      <w:r/>
      <w:bookmarkStart w:id="596" w:name="_Toc264969235"/>
      <w:r/>
      <w:bookmarkStart w:id="597" w:name="_Toc150774645"/>
      <w:r/>
      <w:bookmarkStart w:id="598" w:name="_Toc142311047"/>
      <w:r/>
      <w:bookmarkStart w:id="599" w:name="_Toc226337241"/>
      <w:r/>
      <w:bookmarkStart w:id="600" w:name="_Toc305158887"/>
      <w:r/>
      <w:bookmarkStart w:id="601" w:name="_Toc151193643"/>
      <w:r/>
      <w:bookmarkStart w:id="602" w:name="_Toc226965818"/>
      <w:r/>
      <w:bookmarkStart w:id="603" w:name="_Toc265228383"/>
      <w:r/>
      <w:bookmarkStart w:id="604" w:name="_Toc151193859"/>
      <w:r/>
      <w:bookmarkStart w:id="605" w:name="_Toc151193715"/>
      <w:r/>
      <w:bookmarkStart w:id="606" w:name="_Toc226965735"/>
      <w:r/>
      <w:bookmarkStart w:id="607" w:name="_Toc226309789"/>
      <w:r/>
      <w:bookmarkStart w:id="608" w:name="_Toc150480783"/>
      <w:r/>
      <w:bookmarkStart w:id="609" w:name="_Toc151193933"/>
      <w:r/>
      <w:bookmarkStart w:id="610" w:name="_Toc12715154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27151547"/>
      <w:r/>
      <w:bookmarkStart w:id="612" w:name="_Toc164608816"/>
      <w:r/>
      <w:bookmarkStart w:id="613" w:name="_Toc164351641"/>
      <w:r/>
      <w:bookmarkStart w:id="614" w:name="_Toc127151748"/>
      <w:r/>
      <w:bookmarkStart w:id="615" w:name="_Toc151193935"/>
      <w:r/>
      <w:bookmarkStart w:id="616" w:name="_Toc164229388"/>
      <w:r/>
      <w:bookmarkStart w:id="617" w:name="_Toc151190174"/>
      <w:r/>
      <w:bookmarkStart w:id="618" w:name="_Toc305158889"/>
      <w:r/>
      <w:bookmarkStart w:id="619" w:name="_Toc151193861"/>
      <w:r/>
      <w:bookmarkStart w:id="620" w:name="_Toc226965820"/>
      <w:r/>
      <w:bookmarkStart w:id="621" w:name="_Toc150774647"/>
      <w:r/>
      <w:bookmarkStart w:id="622" w:name="_Toc150480785"/>
      <w:r/>
      <w:bookmarkStart w:id="623" w:name="_Toc164229242"/>
      <w:r/>
      <w:bookmarkStart w:id="624" w:name="_Toc150774752"/>
      <w:r/>
      <w:bookmarkStart w:id="625" w:name="_Toc264969237"/>
      <w:r/>
      <w:bookmarkStart w:id="626" w:name="_Toc226965737"/>
      <w:r/>
      <w:bookmarkStart w:id="627" w:name="_Toc127161461"/>
      <w:r/>
      <w:bookmarkStart w:id="628" w:name="_Toc151193717"/>
      <w:r/>
      <w:bookmarkStart w:id="629" w:name="_Toc150509298"/>
      <w:r/>
      <w:bookmarkStart w:id="630" w:name="_Toc265228385"/>
      <w:r/>
      <w:bookmarkStart w:id="631" w:name="_Toc142311049"/>
      <w:r/>
      <w:bookmarkStart w:id="632" w:name="_Toc151193645"/>
      <w:r/>
      <w:bookmarkStart w:id="633" w:name="_Toc164608661"/>
      <w:r/>
      <w:bookmarkStart w:id="634" w:name="_Toc226309791"/>
      <w:r/>
      <w:bookmarkStart w:id="635" w:name="_Toc151193789"/>
      <w:r/>
      <w:bookmarkStart w:id="636" w:name="_Toc226337243"/>
      <w:r/>
      <w:bookmarkStart w:id="637" w:name="_Toc305158815"/>
      <w:r/>
      <w:bookmarkStart w:id="638" w:name="_Toc195842912"/>
      <w:r/>
      <w:bookmarkStart w:id="639" w:name="_Toc149720840"/>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150509300"/>
      <w:r/>
      <w:bookmarkStart w:id="641" w:name="_Toc151190176"/>
      <w:r/>
      <w:bookmarkStart w:id="642" w:name="_Toc164229244"/>
      <w:r/>
      <w:bookmarkStart w:id="643" w:name="_Toc305158891"/>
      <w:r/>
      <w:bookmarkStart w:id="644" w:name="_Toc151193863"/>
      <w:r/>
      <w:bookmarkStart w:id="645" w:name="_Toc127161463"/>
      <w:r/>
      <w:bookmarkStart w:id="646" w:name="_Toc151193791"/>
      <w:r/>
      <w:bookmarkStart w:id="647" w:name="_Toc149720842"/>
      <w:r/>
      <w:bookmarkStart w:id="648" w:name="_Toc520356176"/>
      <w:r/>
      <w:bookmarkStart w:id="649" w:name="_Ref467307090"/>
      <w:r/>
      <w:bookmarkStart w:id="650" w:name="_Ref467306425"/>
      <w:r/>
      <w:bookmarkStart w:id="651" w:name="_Toc226965739"/>
      <w:r/>
      <w:bookmarkStart w:id="652" w:name="_Toc195842914"/>
      <w:r/>
      <w:bookmarkStart w:id="653" w:name="_Toc265228387"/>
      <w:r/>
      <w:bookmarkStart w:id="654" w:name="_Toc150774649"/>
      <w:r/>
      <w:bookmarkStart w:id="655" w:name="_Toc164608818"/>
      <w:r/>
      <w:bookmarkStart w:id="656" w:name="_Toc127151750"/>
      <w:r/>
      <w:bookmarkStart w:id="657" w:name="_Toc305158817"/>
      <w:r/>
      <w:bookmarkStart w:id="658" w:name="_Toc164608663"/>
      <w:r/>
      <w:bookmarkStart w:id="659" w:name="_Toc226965822"/>
      <w:r/>
      <w:bookmarkStart w:id="660" w:name="_Toc164229390"/>
      <w:r/>
      <w:bookmarkStart w:id="661" w:name="_Toc151193719"/>
      <w:r/>
      <w:bookmarkStart w:id="662" w:name="_Toc151193647"/>
      <w:r/>
      <w:bookmarkStart w:id="663" w:name="_Toc150774754"/>
      <w:r/>
      <w:bookmarkStart w:id="664" w:name="_Toc164351643"/>
      <w:r/>
      <w:bookmarkStart w:id="665" w:name="_Toc150480787"/>
      <w:r/>
      <w:bookmarkStart w:id="666" w:name="_Toc226309793"/>
      <w:r/>
      <w:bookmarkStart w:id="667" w:name="_Toc226337245"/>
      <w:r/>
      <w:bookmarkStart w:id="668" w:name="_Toc142311051"/>
      <w:r/>
      <w:bookmarkStart w:id="669" w:name="_Toc264969239"/>
      <w:r/>
      <w:bookmarkStart w:id="670" w:name="_Toc151193937"/>
      <w:r/>
      <w:bookmarkStart w:id="671" w:name="_Toc127151549"/>
      <w:r>
        <w:rPr>
          <w:sz w:val="24"/>
        </w:rPr>
        <w:t xml:space="preserve">中标公告与中标通知书</w:t>
      </w:r>
      <w:bookmarkEnd w:id="643"/>
      <w:r/>
      <w:bookmarkEnd w:id="6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27161464"/>
      <w:r/>
      <w:bookmarkStart w:id="673" w:name="_Toc226965823"/>
      <w:r/>
      <w:bookmarkStart w:id="674" w:name="_Toc127151550"/>
      <w:r/>
      <w:bookmarkStart w:id="675" w:name="_Toc150480788"/>
      <w:r/>
      <w:bookmarkStart w:id="676" w:name="_Toc226965740"/>
      <w:r/>
      <w:bookmarkStart w:id="677" w:name="_Toc265228388"/>
      <w:r/>
      <w:bookmarkStart w:id="678" w:name="_Ref467306377"/>
      <w:r/>
      <w:bookmarkStart w:id="679" w:name="_Toc149720843"/>
      <w:r/>
      <w:bookmarkStart w:id="680" w:name="_Toc150774650"/>
      <w:r/>
      <w:bookmarkStart w:id="681" w:name="_Toc226337246"/>
      <w:r/>
      <w:bookmarkStart w:id="682" w:name="_Toc151190177"/>
      <w:r/>
      <w:bookmarkStart w:id="683" w:name="_Toc264969240"/>
      <w:r/>
      <w:bookmarkStart w:id="684" w:name="_Toc151193792"/>
      <w:r/>
      <w:bookmarkStart w:id="685" w:name="_Ref467307204"/>
      <w:r/>
      <w:bookmarkStart w:id="686" w:name="_Toc127151751"/>
      <w:r/>
      <w:bookmarkStart w:id="687" w:name="_Toc151193864"/>
      <w:r/>
      <w:bookmarkStart w:id="688" w:name="_Toc195842915"/>
      <w:r/>
      <w:bookmarkStart w:id="689" w:name="_Toc151193938"/>
      <w:r/>
      <w:bookmarkStart w:id="690" w:name="_Toc164608664"/>
      <w:r/>
      <w:bookmarkStart w:id="691" w:name="_Toc164608819"/>
      <w:r/>
      <w:bookmarkStart w:id="692" w:name="_Toc150774755"/>
      <w:r/>
      <w:bookmarkStart w:id="693" w:name="_Toc164351644"/>
      <w:r/>
      <w:bookmarkStart w:id="694" w:name="_Toc164229245"/>
      <w:r/>
      <w:bookmarkStart w:id="695" w:name="_Toc226309794"/>
      <w:r/>
      <w:bookmarkStart w:id="696" w:name="_Ref467306978"/>
      <w:r/>
      <w:bookmarkStart w:id="697" w:name="_Toc305158818"/>
      <w:r/>
      <w:bookmarkStart w:id="698" w:name="_Toc151193720"/>
      <w:r/>
      <w:bookmarkStart w:id="699" w:name="_Toc150509301"/>
      <w:r/>
      <w:bookmarkStart w:id="700" w:name="_Ref467307062"/>
      <w:r/>
      <w:bookmarkStart w:id="701" w:name="_Toc151193648"/>
      <w:r/>
      <w:bookmarkStart w:id="702" w:name="_Toc142311052"/>
      <w:r/>
      <w:bookmarkStart w:id="703" w:name="_Toc520356175"/>
      <w:r/>
      <w:bookmarkStart w:id="704" w:name="_Toc164229391"/>
      <w:r/>
      <w:bookmarkStart w:id="705" w:name="_Toc305158892"/>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1"/>
        </w:rPr>
        <w:t xml:space="preserve">http://gk</w:t>
      </w:r>
      <w:bookmarkStart w:id="706" w:name="_Hlt100654014"/>
      <w:r>
        <w:rPr>
          <w:rStyle w:val="941"/>
        </w:rPr>
        <w:t xml:space="preserve">s</w:t>
      </w:r>
      <w:bookmarkEnd w:id="706"/>
      <w:r>
        <w:rPr>
          <w:rStyle w:val="941"/>
        </w:rPr>
        <w:t xml:space="preserve">.m</w:t>
      </w:r>
      <w:bookmarkStart w:id="707" w:name="_Hlt100653993"/>
      <w:r/>
      <w:bookmarkStart w:id="708" w:name="_Hlt100653994"/>
      <w:r>
        <w:rPr>
          <w:rStyle w:val="941"/>
        </w:rPr>
        <w:t xml:space="preserve">o</w:t>
      </w:r>
      <w:bookmarkEnd w:id="707"/>
      <w:r/>
      <w:bookmarkEnd w:id="708"/>
      <w:r>
        <w:rPr>
          <w:rStyle w:val="941"/>
        </w:rPr>
        <w:t xml:space="preserve">f.gov.cn/ztztz/zhengfucaigouguanli/201802/t20180201_2804589.htm</w:t>
      </w:r>
      <w:r>
        <w:fldChar w:fldCharType="end"/>
      </w:r>
      <w:r>
        <w:rPr>
          <w:rFonts w:hint="eastAsia"/>
        </w:rPr>
        <w:t xml:space="preserve">）</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864"/>
        <w:ind w:left="360"/>
        <w:spacing w:line="360" w:lineRule="auto"/>
        <w:tabs>
          <w:tab w:val="left" w:pos="360" w:leader="none"/>
          <w:tab w:val="left" w:pos="1080" w:leader="none"/>
        </w:tabs>
        <w:rPr>
          <w:sz w:val="24"/>
        </w:rPr>
      </w:pPr>
      <w:r>
        <w:rPr>
          <w:sz w:val="24"/>
        </w:rPr>
      </w:r>
      <w:r/>
    </w:p>
    <w:p>
      <w:pPr>
        <w:pStyle w:val="864"/>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50774759"/>
      <w:r/>
      <w:bookmarkStart w:id="711" w:name="_Toc305158822"/>
      <w:r/>
      <w:bookmarkStart w:id="712" w:name="_Toc226965827"/>
      <w:r/>
      <w:bookmarkStart w:id="713" w:name="_Toc353825544"/>
      <w:r/>
      <w:bookmarkStart w:id="714" w:name="_Toc353873934"/>
      <w:r/>
      <w:bookmarkStart w:id="715" w:name="_Toc305158896"/>
      <w:r/>
      <w:bookmarkStart w:id="716" w:name="_Toc264969244"/>
      <w:r/>
      <w:bookmarkStart w:id="717" w:name="_Toc265228392"/>
      <w:r/>
      <w:bookmarkStart w:id="718" w:name="_Toc127151554"/>
      <w:r/>
      <w:bookmarkStart w:id="719" w:name="_Toc226337250"/>
      <w:r/>
      <w:bookmarkStart w:id="720" w:name="_Toc353873664"/>
      <w:r/>
      <w:bookmarkStart w:id="721" w:name="_Toc150480792"/>
      <w:r/>
      <w:bookmarkStart w:id="722" w:name="_Toc142311056"/>
      <w:r>
        <w:rPr>
          <w:b/>
          <w:sz w:val="36"/>
          <w:szCs w:val="36"/>
        </w:rPr>
      </w:r>
      <w:r/>
    </w:p>
    <w:p>
      <w:pPr>
        <w:pStyle w:val="864"/>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864"/>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864"/>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864"/>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rPr>
                <w:rFonts w:eastAsia="宋体"/>
                <w:sz w:val="24"/>
                <w:szCs w:val="24"/>
                <w:lang w:val="en-US" w:eastAsia="zh-CN" w:bidi="ar-SA"/>
              </w:rPr>
            </w:r>
            <w:r/>
          </w:p>
        </w:tc>
        <w:tc>
          <w:tcPr>
            <w:tcW w:w="1231" w:type="dxa"/>
            <w:vAlign w:val="center"/>
            <w:textDirection w:val="lrTb"/>
            <w:noWrap w:val="false"/>
          </w:tcPr>
          <w:p>
            <w:pPr>
              <w:pStyle w:val="864"/>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470" w:type="dxa"/>
            <w:vAlign w:val="center"/>
            <w:textDirection w:val="lrTb"/>
            <w:noWrap w:val="false"/>
          </w:tcPr>
          <w:p>
            <w:pPr>
              <w:pStyle w:val="864"/>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4"/>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864"/>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64"/>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rPr>
                <w:sz w:val="24"/>
                <w:szCs w:val="24"/>
                <w:lang w:val="en-US" w:eastAsia="zh-CN" w:bidi="ar-SA"/>
              </w:rPr>
            </w:r>
            <w:r/>
          </w:p>
        </w:tc>
        <w:tc>
          <w:tcPr>
            <w:tcW w:w="936" w:type="dxa"/>
            <w:vAlign w:val="center"/>
            <w:textDirection w:val="lrTb"/>
            <w:noWrap w:val="false"/>
          </w:tcPr>
          <w:p>
            <w:pPr>
              <w:pStyle w:val="864"/>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trHeight w:val="84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864"/>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51779"/>
      <w:r/>
      <w:bookmarkStart w:id="727" w:name="_Toc353873940"/>
      <w:r/>
      <w:bookmarkStart w:id="728" w:name="_Toc226965858"/>
      <w:r/>
      <w:bookmarkStart w:id="729" w:name="_Toc127161490"/>
      <w:r/>
      <w:bookmarkStart w:id="730" w:name="_Toc353825550"/>
      <w:r/>
      <w:bookmarkStart w:id="731" w:name="_Toc99301423"/>
      <w:r>
        <w:rPr>
          <w:b/>
          <w:sz w:val="36"/>
          <w:szCs w:val="36"/>
        </w:rPr>
      </w:r>
      <w:r/>
    </w:p>
    <w:p>
      <w:pPr>
        <w:pStyle w:val="864"/>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864"/>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64"/>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151193711"/>
      <w:r/>
      <w:bookmarkStart w:id="734" w:name="_Toc195842906"/>
      <w:r/>
      <w:bookmarkStart w:id="735" w:name="_Toc151193929"/>
      <w:r/>
      <w:bookmarkStart w:id="736" w:name="_Toc164351635"/>
      <w:r/>
      <w:bookmarkStart w:id="737" w:name="_Toc150509292"/>
      <w:r/>
      <w:bookmarkStart w:id="738" w:name="_Toc151193855"/>
      <w:r/>
      <w:bookmarkStart w:id="739" w:name="_Toc305158809"/>
      <w:r/>
      <w:bookmarkStart w:id="740" w:name="_Toc151193783"/>
      <w:r/>
      <w:bookmarkStart w:id="741" w:name="_Toc150480779"/>
      <w:r/>
      <w:bookmarkStart w:id="742" w:name="_Toc142311043"/>
      <w:r/>
      <w:bookmarkStart w:id="743" w:name="_Toc151193639"/>
      <w:r/>
      <w:bookmarkStart w:id="744" w:name="_Toc127151541"/>
      <w:r/>
      <w:bookmarkStart w:id="745" w:name="_Toc151190168"/>
      <w:r/>
      <w:bookmarkStart w:id="746" w:name="_Toc226309785"/>
      <w:r/>
      <w:bookmarkStart w:id="747" w:name="_Toc164229382"/>
      <w:r/>
      <w:bookmarkStart w:id="748" w:name="_Toc164608810"/>
      <w:r/>
      <w:bookmarkStart w:id="749" w:name="_Toc226965814"/>
      <w:r/>
      <w:bookmarkStart w:id="750" w:name="_Toc150774641"/>
      <w:r/>
      <w:bookmarkStart w:id="751" w:name="_Toc305158883"/>
      <w:r/>
      <w:bookmarkStart w:id="752" w:name="_Toc150774746"/>
      <w:r/>
      <w:bookmarkStart w:id="753" w:name="_Toc226337237"/>
      <w:r/>
      <w:bookmarkStart w:id="754" w:name="_Toc127151742"/>
      <w:r/>
      <w:bookmarkStart w:id="755" w:name="_Toc164608655"/>
      <w:r/>
      <w:bookmarkStart w:id="756" w:name="_Toc149720834"/>
      <w:r/>
      <w:bookmarkStart w:id="757" w:name="_Toc264969231"/>
      <w:r/>
      <w:bookmarkStart w:id="758" w:name="_Toc127161455"/>
      <w:r/>
      <w:bookmarkStart w:id="759" w:name="_Toc164229236"/>
      <w:r/>
      <w:bookmarkStart w:id="760" w:name="_Toc226965731"/>
      <w:r/>
      <w:bookmarkStart w:id="761" w:name="_Toc265228379"/>
      <w:r/>
      <w:bookmarkStart w:id="762" w:name="_Toc353873941"/>
      <w:r/>
      <w:bookmarkStart w:id="763" w:name="_Toc353825551"/>
      <w:r/>
      <w:bookmarkStart w:id="764" w:name="_Toc305158897"/>
      <w:r/>
      <w:bookmarkStart w:id="765" w:name="_Toc195842920"/>
      <w:r/>
      <w:bookmarkStart w:id="766" w:name="_Toc265228393"/>
      <w:r/>
      <w:bookmarkStart w:id="767" w:name="_Toc150480793"/>
      <w:r/>
      <w:bookmarkStart w:id="768" w:name="_Toc353873665"/>
      <w:r/>
      <w:bookmarkStart w:id="769" w:name="_Toc142311057"/>
      <w:r/>
      <w:bookmarkStart w:id="770" w:name="_Toc226965828"/>
      <w:r/>
      <w:bookmarkStart w:id="771" w:name="_Toc150774760"/>
      <w:r/>
      <w:bookmarkStart w:id="772" w:name="_Toc127151555"/>
      <w:r/>
      <w:bookmarkStart w:id="773" w:name="_Toc353825545"/>
      <w:r/>
      <w:bookmarkStart w:id="774" w:name="_Toc305158823"/>
      <w:r/>
      <w:bookmarkStart w:id="775" w:name="_Toc264969245"/>
      <w:r/>
      <w:bookmarkStart w:id="776" w:name="_Toc226337251"/>
      <w:r/>
      <w:bookmarkStart w:id="777" w:name="_Toc35387393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86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86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64"/>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864"/>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864"/>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864"/>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864"/>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864"/>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864"/>
              <w:jc w:val="both"/>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864"/>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864"/>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分包意向协议</w:t>
            </w:r>
            <w:r>
              <w:rPr>
                <w:color w:val="000000"/>
                <w:sz w:val="24"/>
              </w:rPr>
            </w:r>
            <w:r/>
          </w:p>
          <w:p>
            <w:pPr>
              <w:pStyle w:val="864"/>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64"/>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864"/>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64"/>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64"/>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rPr>
                <w:color w:val="000000"/>
                <w:sz w:val="24"/>
              </w:rPr>
            </w:r>
            <w:r/>
          </w:p>
        </w:tc>
      </w:tr>
    </w:tbl>
    <w:p>
      <w:pPr>
        <w:pStyle w:val="864"/>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64"/>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rFonts w:ascii="Times New Roman" w:hAnsi="Times New Roman" w:eastAsia="宋体" w:cs="Times New Roman"/>
          <w:b/>
          <w:bCs/>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（一）采购人应当在采购文件中明确，在政府采购评审中出现下列情形之一的，评审委员会应当启动异常低价投标(响应)审查程序: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tab/>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rPr>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rPr>
          <w:rFonts w:hint="eastAsia" w:ascii="宋体" w:hAnsi="宋体" w:eastAsia="宋体" w:cs="宋体"/>
          <w:b/>
          <w:bCs/>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sz w:val="24"/>
          <w:lang w:eastAsia="zh-CN"/>
        </w:rPr>
        <w:t xml:space="preserve">（</w:t>
      </w:r>
      <w:r>
        <w:rPr>
          <w:rFonts w:hint="eastAsia"/>
          <w:sz w:val="24"/>
          <w:lang w:val="en-US" w:eastAsia="zh-CN"/>
        </w:rPr>
        <w:t xml:space="preserve">扣除比例详见前附表</w:t>
      </w:r>
      <w:r>
        <w:rPr>
          <w:rFonts w:hint="eastAsia"/>
          <w:sz w:val="24"/>
          <w:lang w:eastAsia="zh-CN"/>
        </w:rPr>
        <w:t xml:space="preserve">）</w:t>
      </w:r>
      <w:r>
        <w:rPr>
          <w:sz w:val="24"/>
        </w:rPr>
        <w:t xml:space="preserve">，用扣除后的价格参加评审。</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64"/>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sz w:val="24"/>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sz w:val="24"/>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lang w:val="en-US" w:eastAsia="zh-CN"/>
        </w:rPr>
      </w:r>
      <w:r/>
    </w:p>
    <w:p>
      <w:pPr>
        <w:pStyle w:val="86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64608660"/>
      <w:r/>
      <w:bookmarkStart w:id="780" w:name="_Toc226965736"/>
      <w:r/>
      <w:bookmarkStart w:id="781" w:name="_Toc150774646"/>
      <w:r/>
      <w:bookmarkStart w:id="782" w:name="_Ref467307010"/>
      <w:r/>
      <w:bookmarkStart w:id="783" w:name="_Toc151193716"/>
      <w:r/>
      <w:bookmarkStart w:id="784" w:name="_Toc226965819"/>
      <w:r/>
      <w:bookmarkStart w:id="785" w:name="_Toc164608815"/>
      <w:r/>
      <w:bookmarkStart w:id="786" w:name="_Toc151193860"/>
      <w:r/>
      <w:bookmarkStart w:id="787" w:name="_Toc520356170"/>
      <w:r/>
      <w:bookmarkStart w:id="788" w:name="_Toc142311048"/>
      <w:r/>
      <w:bookmarkStart w:id="789" w:name="_Toc226337242"/>
      <w:r/>
      <w:bookmarkStart w:id="790" w:name="_Toc265228384"/>
      <w:r/>
      <w:bookmarkStart w:id="791" w:name="_Toc164229241"/>
      <w:r/>
      <w:bookmarkStart w:id="792" w:name="_Toc264969236"/>
      <w:r/>
      <w:bookmarkStart w:id="793" w:name="_Toc127161460"/>
      <w:r/>
      <w:bookmarkStart w:id="794" w:name="_Toc151193934"/>
      <w:r/>
      <w:bookmarkStart w:id="795" w:name="_Toc150774751"/>
      <w:r/>
      <w:bookmarkStart w:id="796" w:name="_Toc151193644"/>
      <w:r/>
      <w:bookmarkStart w:id="797" w:name="_Toc164229387"/>
      <w:r/>
      <w:bookmarkStart w:id="798" w:name="_Toc305158814"/>
      <w:r/>
      <w:bookmarkStart w:id="799" w:name="_Toc305158888"/>
      <w:r/>
      <w:bookmarkStart w:id="800" w:name="_Toc164351640"/>
      <w:r/>
      <w:bookmarkStart w:id="801" w:name="_Toc127151546"/>
      <w:r/>
      <w:bookmarkStart w:id="802" w:name="_Toc151190173"/>
      <w:r/>
      <w:bookmarkStart w:id="803" w:name="_Toc150480784"/>
      <w:r/>
      <w:bookmarkStart w:id="804" w:name="_Toc226309790"/>
      <w:r/>
      <w:bookmarkStart w:id="805" w:name="_Toc149720839"/>
      <w:r/>
      <w:bookmarkStart w:id="806" w:name="_Toc195842911"/>
      <w:r/>
      <w:bookmarkStart w:id="807" w:name="_Toc151193788"/>
      <w:r/>
      <w:bookmarkStart w:id="808" w:name="_Toc127151747"/>
      <w:r/>
      <w:bookmarkStart w:id="809" w:name="_Toc150509297"/>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0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0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64"/>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64"/>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864"/>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864"/>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864"/>
              <w:ind w:firstLine="28"/>
              <w:jc w:val="center"/>
              <w:spacing w:line="320" w:lineRule="exact"/>
              <w:rPr>
                <w:rFonts w:ascii="宋体" w:hAnsi="宋体" w:eastAsia="宋体" w:cs="宋体"/>
                <w:b/>
                <w:color w:val="000000"/>
                <w:sz w:val="24"/>
              </w:rPr>
            </w:pPr>
            <w:r/>
            <w:bookmarkStart w:id="810" w:name="_Toc99301424"/>
            <w:r>
              <w:rPr>
                <w:rFonts w:hint="eastAsia" w:ascii="宋体" w:hAnsi="宋体" w:eastAsia="宋体" w:cs="宋体"/>
                <w:b/>
                <w:color w:val="000000"/>
                <w:sz w:val="24"/>
              </w:rPr>
              <w:t xml:space="preserve">序号</w:t>
            </w:r>
            <w:r>
              <w:rPr>
                <w:rFonts w:ascii="宋体" w:hAnsi="宋体" w:eastAsia="宋体" w:cs="宋体"/>
                <w:b/>
                <w:color w:val="000000"/>
                <w:sz w:val="24"/>
              </w:rPr>
            </w:r>
            <w:r/>
          </w:p>
        </w:tc>
        <w:tc>
          <w:tcPr>
            <w:tcW w:w="1230" w:type="dxa"/>
            <w:vAlign w:val="center"/>
            <w:textDirection w:val="lrTb"/>
            <w:noWrap w:val="false"/>
          </w:tcPr>
          <w:p>
            <w:pPr>
              <w:pStyle w:val="864"/>
              <w:ind w:firstLine="28"/>
              <w:jc w:val="center"/>
              <w:spacing w:line="320" w:lineRule="exact"/>
              <w:rPr>
                <w:rFonts w:ascii="宋体" w:hAnsi="宋体" w:eastAsia="宋体" w:cs="宋体"/>
                <w:b/>
                <w:color w:val="000000"/>
                <w:sz w:val="24"/>
              </w:rPr>
            </w:pPr>
            <w:r>
              <w:rPr>
                <w:rFonts w:hint="eastAsia" w:ascii="宋体" w:hAnsi="宋体" w:eastAsia="宋体" w:cs="宋体"/>
                <w:b/>
                <w:color w:val="000000"/>
                <w:sz w:val="24"/>
              </w:rPr>
              <w:t xml:space="preserve">评分因素</w:t>
            </w:r>
            <w:r>
              <w:rPr>
                <w:rFonts w:ascii="宋体" w:hAnsi="宋体" w:eastAsia="宋体" w:cs="宋体"/>
                <w:b/>
                <w:color w:val="000000"/>
                <w:sz w:val="24"/>
              </w:rPr>
            </w:r>
            <w:r/>
          </w:p>
        </w:tc>
        <w:tc>
          <w:tcPr>
            <w:tcW w:w="780" w:type="dxa"/>
            <w:vAlign w:val="center"/>
            <w:textDirection w:val="lrTb"/>
            <w:noWrap w:val="false"/>
          </w:tcPr>
          <w:p>
            <w:pPr>
              <w:pStyle w:val="864"/>
              <w:ind w:firstLine="28"/>
              <w:jc w:val="center"/>
              <w:spacing w:line="320" w:lineRule="exact"/>
              <w:rPr>
                <w:rFonts w:ascii="宋体" w:hAnsi="宋体" w:eastAsia="宋体" w:cs="宋体"/>
                <w:b/>
                <w:color w:val="000000"/>
                <w:sz w:val="24"/>
              </w:rPr>
            </w:pPr>
            <w:r>
              <w:rPr>
                <w:rFonts w:hint="eastAsia" w:ascii="宋体" w:hAnsi="宋体" w:eastAsia="宋体" w:cs="宋体"/>
                <w:b/>
                <w:color w:val="000000"/>
                <w:sz w:val="24"/>
              </w:rPr>
              <w:t xml:space="preserve">分值</w:t>
            </w:r>
            <w:r>
              <w:rPr>
                <w:rFonts w:ascii="宋体" w:hAnsi="宋体" w:eastAsia="宋体" w:cs="宋体"/>
                <w:b/>
                <w:color w:val="000000"/>
                <w:sz w:val="24"/>
              </w:rPr>
            </w:r>
            <w:r/>
          </w:p>
        </w:tc>
        <w:tc>
          <w:tcPr>
            <w:tcW w:w="7111" w:type="dxa"/>
            <w:vAlign w:val="center"/>
            <w:textDirection w:val="lrTb"/>
            <w:noWrap w:val="false"/>
          </w:tcPr>
          <w:p>
            <w:pPr>
              <w:pStyle w:val="864"/>
              <w:ind w:firstLine="28"/>
              <w:jc w:val="center"/>
              <w:spacing w:line="320" w:lineRule="exact"/>
              <w:rPr>
                <w:rFonts w:ascii="宋体" w:hAnsi="宋体" w:eastAsia="宋体" w:cs="宋体"/>
                <w:b/>
                <w:color w:val="000000"/>
                <w:sz w:val="24"/>
              </w:rPr>
            </w:pPr>
            <w:r>
              <w:rPr>
                <w:rFonts w:hint="eastAsia" w:ascii="宋体" w:hAnsi="宋体" w:eastAsia="宋体" w:cs="宋体"/>
                <w:b/>
                <w:color w:val="000000"/>
                <w:sz w:val="24"/>
              </w:rPr>
              <w:t xml:space="preserve">评分标准</w:t>
            </w:r>
            <w:r>
              <w:rPr>
                <w:rFonts w:ascii="宋体" w:hAnsi="宋体" w:eastAsia="宋体" w:cs="宋体"/>
                <w:b/>
                <w:color w:val="000000"/>
                <w:sz w:val="24"/>
              </w:rPr>
            </w:r>
            <w:r/>
          </w:p>
        </w:tc>
        <w:tc>
          <w:tcPr>
            <w:tcW w:w="765" w:type="dxa"/>
            <w:vAlign w:val="center"/>
            <w:textDirection w:val="lrTb"/>
            <w:noWrap w:val="false"/>
          </w:tcPr>
          <w:p>
            <w:pPr>
              <w:pStyle w:val="864"/>
              <w:jc w:val="center"/>
              <w:spacing w:before="0" w:after="0" w:line="32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rPr>
                <w:rFonts w:ascii="宋体" w:hAnsi="宋体" w:eastAsia="宋体" w:cs="宋体"/>
                <w:b/>
                <w:sz w:val="24"/>
                <w:szCs w:val="24"/>
                <w:lang w:val="en-US" w:eastAsia="zh-CN" w:bidi="ar-SA"/>
              </w:rPr>
            </w:r>
            <w:r/>
          </w:p>
        </w:tc>
      </w:tr>
      <w:tr>
        <w:trPr>
          <w:trHeight w:val="1785"/>
        </w:trPr>
        <w:tc>
          <w:tcPr>
            <w:tcW w:w="675"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r>
            <w:r/>
          </w:p>
        </w:tc>
        <w:tc>
          <w:tcPr>
            <w:tcW w:w="1230"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b/>
                <w:bCs/>
                <w:color w:val="000000"/>
                <w:sz w:val="24"/>
              </w:rPr>
              <w:t xml:space="preserve">价格分</w:t>
            </w:r>
            <w:r>
              <w:rPr>
                <w:rFonts w:ascii="宋体" w:hAnsi="宋体" w:eastAsia="宋体" w:cs="宋体"/>
                <w:color w:val="000000"/>
                <w:sz w:val="24"/>
              </w:rPr>
            </w:r>
            <w:r/>
          </w:p>
        </w:tc>
        <w:tc>
          <w:tcPr>
            <w:tcW w:w="780" w:type="dxa"/>
            <w:vAlign w:val="center"/>
            <w:textDirection w:val="lrTb"/>
            <w:noWrap w:val="false"/>
          </w:tcPr>
          <w:p>
            <w:pPr>
              <w:pStyle w:val="864"/>
              <w:jc w:val="center"/>
              <w:spacing w:line="320" w:lineRule="exact"/>
              <w:widowControl/>
              <w:rPr>
                <w:rFonts w:ascii="宋体" w:hAnsi="宋体" w:eastAsia="宋体" w:cs="宋体"/>
                <w:color w:val="000000"/>
                <w:sz w:val="24"/>
              </w:rPr>
            </w:pPr>
            <w:r>
              <w:rPr>
                <w:rFonts w:hint="eastAsia" w:ascii="宋体" w:hAnsi="宋体" w:eastAsia="宋体" w:cs="宋体"/>
                <w:color w:val="000000"/>
                <w:sz w:val="24"/>
              </w:rPr>
              <w:t xml:space="preserve">15</w:t>
            </w:r>
            <w:r>
              <w:rPr>
                <w:rFonts w:ascii="宋体" w:hAnsi="宋体" w:eastAsia="宋体" w:cs="宋体"/>
                <w:color w:val="000000"/>
                <w:sz w:val="24"/>
              </w:rPr>
            </w:r>
            <w:r/>
          </w:p>
        </w:tc>
        <w:tc>
          <w:tcPr>
            <w:tcW w:w="7111" w:type="dxa"/>
            <w:vAlign w:val="center"/>
            <w:textDirection w:val="lrTb"/>
            <w:noWrap w:val="false"/>
          </w:tcPr>
          <w:p>
            <w:pPr>
              <w:pStyle w:val="864"/>
              <w:spacing w:line="320" w:lineRule="exact"/>
              <w:widowControl/>
              <w:rPr>
                <w:rFonts w:ascii="Calibri" w:hAnsi="Calibri" w:eastAsia="宋体" w:cs="Times New Roman"/>
                <w:color w:val="000000"/>
              </w:rPr>
            </w:pPr>
            <w:r>
              <w:rPr>
                <w:rFonts w:ascii="宋体" w:hAnsi="宋体" w:eastAsia="宋体" w:cs="宋体"/>
                <w:color w:val="000000"/>
                <w:sz w:val="24"/>
                <w:u w:val="none"/>
              </w:rPr>
              <w:t xml:space="preserve">采用低价优先法计算，即满足招标文件要求且投标最低的投标报价为评标基准价，其价格得分为满分。</w:t>
            </w:r>
            <w:r>
              <w:rPr>
                <w:rFonts w:ascii="Calibri" w:hAnsi="Calibri" w:eastAsia="宋体" w:cs="Times New Roman"/>
                <w:color w:val="000000"/>
              </w:rPr>
            </w:r>
            <w:r/>
          </w:p>
          <w:p>
            <w:pPr>
              <w:pStyle w:val="864"/>
              <w:spacing w:line="320" w:lineRule="exact"/>
              <w:widowControl/>
              <w:rPr>
                <w:rFonts w:ascii="Calibri" w:hAnsi="Calibri" w:eastAsia="宋体" w:cs="Times New Roman"/>
                <w:color w:val="000000"/>
              </w:rPr>
            </w:pPr>
            <w:r>
              <w:rPr>
                <w:rFonts w:ascii="宋体" w:hAnsi="宋体" w:eastAsia="宋体" w:cs="宋体"/>
                <w:color w:val="000000"/>
                <w:sz w:val="24"/>
                <w:u w:val="none"/>
              </w:rPr>
              <w:t xml:space="preserve">投标报价得分＝（评标基准价/投标报价）×分值。</w:t>
            </w:r>
            <w:r>
              <w:rPr>
                <w:rFonts w:ascii="Calibri" w:hAnsi="Calibri" w:eastAsia="宋体" w:cs="Times New Roman"/>
                <w:color w:val="000000"/>
              </w:rPr>
            </w:r>
            <w:r/>
          </w:p>
          <w:p>
            <w:pPr>
              <w:pStyle w:val="864"/>
              <w:spacing w:line="320" w:lineRule="exact"/>
              <w:widowControl/>
              <w:rPr>
                <w:rFonts w:ascii="宋体" w:hAnsi="宋体" w:eastAsia="宋体" w:cs="宋体"/>
                <w:color w:val="000000"/>
                <w:sz w:val="24"/>
              </w:rPr>
            </w:pPr>
            <w:r>
              <w:rPr>
                <w:rFonts w:hint="eastAsia" w:ascii="宋体" w:hAnsi="宋体" w:eastAsia="宋体" w:cs="宋体"/>
                <w:b/>
                <w:bCs/>
                <w:color w:val="000000"/>
                <w:sz w:val="24"/>
              </w:rPr>
              <w:t xml:space="preserve">注：此处最终报价指经过报价修正及因落实政府采购政策进行价格调整后的最终报价。</w:t>
            </w:r>
            <w:r>
              <w:rPr>
                <w:rFonts w:ascii="宋体" w:hAnsi="宋体" w:eastAsia="宋体" w:cs="宋体"/>
                <w:color w:val="000000"/>
                <w:sz w:val="24"/>
              </w:rPr>
            </w:r>
            <w:r/>
          </w:p>
        </w:tc>
        <w:tc>
          <w:tcPr>
            <w:tcW w:w="765" w:type="dxa"/>
            <w:vAlign w:val="center"/>
            <w:textDirection w:val="lrTb"/>
            <w:noWrap w:val="false"/>
          </w:tcPr>
          <w:p>
            <w:pPr>
              <w:pStyle w:val="864"/>
              <w:spacing w:line="320" w:lineRule="exact"/>
              <w:widowControl/>
              <w:rPr>
                <w:rFonts w:ascii="宋体" w:hAnsi="宋体" w:eastAsia="宋体" w:cs="宋体"/>
                <w:sz w:val="24"/>
              </w:rPr>
            </w:pPr>
            <w:r>
              <w:rPr>
                <w:rFonts w:ascii="宋体" w:hAnsi="宋体" w:eastAsia="宋体" w:cs="宋体"/>
                <w:sz w:val="24"/>
              </w:rPr>
            </w:r>
            <w:r/>
          </w:p>
        </w:tc>
      </w:tr>
      <w:tr>
        <w:trPr>
          <w:trHeight w:val="490"/>
        </w:trPr>
        <w:tc>
          <w:tcPr>
            <w:tcW w:w="675"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r>
            <w:r/>
          </w:p>
        </w:tc>
        <w:tc>
          <w:tcPr>
            <w:tcW w:w="1230"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b/>
                <w:bCs/>
                <w:color w:val="000000"/>
                <w:sz w:val="24"/>
              </w:rPr>
              <w:t xml:space="preserve">主观分</w:t>
            </w:r>
            <w:r>
              <w:rPr>
                <w:rFonts w:ascii="宋体" w:hAnsi="宋体" w:eastAsia="宋体" w:cs="宋体"/>
                <w:color w:val="000000"/>
                <w:sz w:val="24"/>
              </w:rPr>
            </w:r>
            <w:r/>
          </w:p>
        </w:tc>
        <w:tc>
          <w:tcPr>
            <w:tcW w:w="780"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50</w:t>
            </w:r>
            <w:r>
              <w:rPr>
                <w:rFonts w:ascii="宋体" w:hAnsi="宋体" w:eastAsia="宋体" w:cs="宋体"/>
                <w:color w:val="000000"/>
                <w:sz w:val="24"/>
              </w:rPr>
            </w:r>
            <w:r/>
          </w:p>
        </w:tc>
        <w:tc>
          <w:tcPr>
            <w:tcW w:w="7111" w:type="dxa"/>
            <w:vAlign w:val="center"/>
            <w:textDirection w:val="lrTb"/>
            <w:noWrap w:val="false"/>
          </w:tcPr>
          <w:p>
            <w:pPr>
              <w:pStyle w:val="864"/>
              <w:spacing w:line="320" w:lineRule="exact"/>
              <w:rPr>
                <w:rFonts w:ascii="宋体" w:hAnsi="宋体" w:eastAsia="宋体" w:cs="宋体"/>
                <w:color w:val="000000"/>
                <w:sz w:val="24"/>
              </w:rPr>
            </w:pP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90"/>
        </w:trPr>
        <w:tc>
          <w:tcPr>
            <w:tcW w:w="675"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2.1</w:t>
            </w:r>
            <w:r>
              <w:rPr>
                <w:rFonts w:ascii="宋体" w:hAnsi="宋体" w:eastAsia="宋体" w:cs="宋体"/>
                <w:color w:val="000000"/>
                <w:sz w:val="24"/>
              </w:rPr>
            </w:r>
            <w:r/>
          </w:p>
        </w:tc>
        <w:tc>
          <w:tcPr>
            <w:shd w:val="clear" w:color="auto" w:fill="ffffff"/>
            <w:tcW w:w="1230" w:type="dxa"/>
            <w:vAlign w:val="center"/>
            <w:textDirection w:val="lrTb"/>
            <w:noWrap w:val="false"/>
          </w:tcPr>
          <w:p>
            <w:pPr>
              <w:pStyle w:val="864"/>
              <w:ind w:firstLine="28"/>
              <w:jc w:val="center"/>
              <w:spacing w:line="360" w:lineRule="exact"/>
              <w:rPr>
                <w:rFonts w:ascii="宋体" w:hAnsi="宋体" w:eastAsia="宋体" w:cs="宋体"/>
                <w:color w:val="000000"/>
                <w:sz w:val="24"/>
              </w:rPr>
            </w:pPr>
            <w:r>
              <w:rPr>
                <w:rFonts w:hint="eastAsia" w:ascii="宋体" w:hAnsi="宋体" w:eastAsia="宋体" w:cs="宋体"/>
                <w:b/>
                <w:color w:val="000000"/>
                <w:sz w:val="24"/>
                <w:lang w:bidi="ar"/>
              </w:rPr>
              <w:t xml:space="preserve">整体服务</w:t>
            </w:r>
            <w:r>
              <w:rPr>
                <w:rFonts w:ascii="宋体" w:hAnsi="宋体" w:eastAsia="宋体" w:cs="宋体"/>
                <w:color w:val="000000"/>
                <w:sz w:val="24"/>
              </w:rPr>
            </w:r>
            <w:r/>
          </w:p>
        </w:tc>
        <w:tc>
          <w:tcPr>
            <w:shd w:val="clear" w:color="auto" w:fill="ffffff"/>
            <w:tcW w:w="780" w:type="dxa"/>
            <w:vAlign w:val="center"/>
            <w:textDirection w:val="lrTb"/>
            <w:noWrap w:val="false"/>
          </w:tcPr>
          <w:p>
            <w:pPr>
              <w:pStyle w:val="864"/>
              <w:ind w:firstLine="28"/>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shd w:val="clear" w:color="auto" w:fill="ffffff"/>
            <w:tcW w:w="7111" w:type="dxa"/>
            <w:vAlign w:val="center"/>
            <w:textDirection w:val="lrTb"/>
            <w:noWrap w:val="false"/>
          </w:tcPr>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（一）评分内容：</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投标人针对本次项目提供整体服务方案，</w:t>
            </w:r>
            <w:r>
              <w:rPr>
                <w:rFonts w:hint="eastAsia" w:ascii="宋体" w:hAnsi="宋体" w:eastAsia="宋体" w:cs="宋体"/>
                <w:color w:val="000000"/>
                <w:sz w:val="24"/>
              </w:rPr>
              <w:t xml:space="preserve">包含但不限于以下内容：</w:t>
            </w:r>
            <w:r>
              <w:rPr>
                <w:rFonts w:ascii="宋体" w:hAnsi="宋体" w:eastAsia="宋体" w:cs="宋体"/>
                <w:color w:val="000000"/>
                <w:sz w:val="24"/>
              </w:rPr>
            </w:r>
            <w:r/>
          </w:p>
          <w:p>
            <w:pPr>
              <w:pStyle w:val="864"/>
              <w:ind w:left="210"/>
              <w:spacing w:line="400" w:lineRule="exact"/>
              <w:rPr>
                <w:rFonts w:ascii="宋体" w:hAnsi="宋体" w:eastAsia="宋体" w:cs="宋体"/>
                <w:color w:val="000000"/>
                <w:sz w:val="24"/>
              </w:rPr>
            </w:pPr>
            <w:r>
              <w:rPr>
                <w:rFonts w:hint="eastAsia" w:ascii="宋体" w:hAnsi="宋体" w:eastAsia="宋体" w:cs="宋体"/>
                <w:color w:val="000000"/>
                <w:sz w:val="24"/>
              </w:rPr>
              <w:t xml:space="preserve">1.项目的背景及需求；</w:t>
            </w:r>
            <w:r>
              <w:rPr>
                <w:rFonts w:ascii="宋体" w:hAnsi="宋体" w:eastAsia="宋体" w:cs="宋体"/>
                <w:color w:val="000000"/>
                <w:sz w:val="24"/>
              </w:rPr>
            </w:r>
            <w:r/>
          </w:p>
          <w:p>
            <w:pPr>
              <w:pStyle w:val="864"/>
              <w:ind w:left="210"/>
              <w:spacing w:line="400" w:lineRule="exact"/>
              <w:rPr>
                <w:rFonts w:ascii="宋体" w:hAnsi="宋体" w:eastAsia="宋体" w:cs="宋体"/>
                <w:color w:val="000000"/>
                <w:sz w:val="24"/>
              </w:rPr>
            </w:pPr>
            <w:r>
              <w:rPr>
                <w:rFonts w:hint="eastAsia" w:ascii="宋体" w:hAnsi="宋体" w:eastAsia="宋体" w:cs="宋体"/>
                <w:color w:val="000000"/>
                <w:sz w:val="24"/>
              </w:rPr>
              <w:t xml:space="preserve">2.整体服务的流程；</w:t>
            </w:r>
            <w:r>
              <w:rPr>
                <w:rFonts w:ascii="宋体" w:hAnsi="宋体" w:eastAsia="宋体" w:cs="宋体"/>
                <w:color w:val="000000"/>
                <w:sz w:val="24"/>
              </w:rPr>
            </w:r>
            <w:r/>
          </w:p>
          <w:p>
            <w:pPr>
              <w:pStyle w:val="864"/>
              <w:ind w:left="210"/>
              <w:spacing w:line="400" w:lineRule="exact"/>
              <w:rPr>
                <w:rFonts w:ascii="宋体" w:hAnsi="宋体" w:eastAsia="宋体" w:cs="宋体"/>
                <w:color w:val="000000"/>
                <w:sz w:val="24"/>
              </w:rPr>
            </w:pPr>
            <w:r>
              <w:rPr>
                <w:rFonts w:hint="eastAsia" w:ascii="宋体" w:hAnsi="宋体" w:eastAsia="宋体" w:cs="宋体"/>
                <w:color w:val="000000"/>
                <w:sz w:val="24"/>
              </w:rPr>
              <w:t xml:space="preserve">3.消毒服务能力及经验；</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4.各类器械的规范处置。</w:t>
            </w:r>
            <w:r>
              <w:rPr>
                <w:rFonts w:ascii="宋体" w:hAnsi="宋体" w:eastAsia="宋体" w:cs="宋体"/>
                <w:color w:val="000000"/>
                <w:sz w:val="24"/>
              </w:rPr>
            </w:r>
            <w:r/>
          </w:p>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（二）评审依据：</w:t>
            </w:r>
            <w:r>
              <w:rPr>
                <w:rFonts w:ascii="宋体" w:hAnsi="宋体" w:eastAsia="宋体" w:cs="宋体"/>
                <w:b/>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1.考察以上内容，每满足任意一项内容得10%，最高得40%。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2.在上述基础上，专家根据各投标人的具体响应内容按照量化的评审因素指标进一步评审：</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(1)方案内容完整，可行性强、思路清晰、结合实际分析表述详尽，评审为优加60%；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(2)方案内容较完整，可行性较强、思路较清晰、结合实际分析表述较详尽，评审为良加40%；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(3)方案内容一般，思路一般，可行性一般，评审为中加10%；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(4)方案内容不完整，思路不清晰，无可行性，评审为差不加分；</w:t>
            </w:r>
            <w:r>
              <w:rPr>
                <w:rFonts w:ascii="宋体" w:hAnsi="宋体" w:eastAsia="宋体" w:cs="宋体"/>
                <w:color w:val="000000"/>
                <w:sz w:val="24"/>
              </w:rPr>
            </w:r>
            <w:r/>
          </w:p>
          <w:p>
            <w:pPr>
              <w:pStyle w:val="864"/>
              <w:ind w:firstLine="240"/>
              <w:jc w:val="both"/>
              <w:spacing w:before="0" w:beforeAutospacing="0" w:after="0" w:afterAutospacing="0" w:line="36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(5)未提供的不得分。</w:t>
            </w:r>
            <w:r>
              <w:rPr>
                <w:rFonts w:ascii="宋体" w:hAnsi="宋体" w:eastAsia="宋体" w:cs="宋体"/>
                <w:color w:val="000000"/>
                <w:sz w:val="24"/>
                <w:szCs w:val="24"/>
                <w:lang w:val="en-US" w:eastAsia="zh-CN" w:bidi="ar-SA"/>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1166"/>
        </w:trPr>
        <w:tc>
          <w:tcPr>
            <w:tcW w:w="675"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2.2</w:t>
            </w:r>
            <w:r>
              <w:rPr>
                <w:rFonts w:ascii="宋体" w:hAnsi="宋体" w:eastAsia="宋体" w:cs="宋体"/>
                <w:color w:val="000000"/>
                <w:sz w:val="24"/>
              </w:rPr>
            </w:r>
            <w:r/>
          </w:p>
        </w:tc>
        <w:tc>
          <w:tcPr>
            <w:tcW w:w="123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b/>
                <w:bCs/>
                <w:color w:val="000000"/>
                <w:sz w:val="24"/>
              </w:rPr>
              <w:t xml:space="preserve">管理体系</w:t>
            </w:r>
            <w:r>
              <w:rPr>
                <w:rFonts w:ascii="宋体" w:hAnsi="宋体" w:eastAsia="宋体" w:cs="宋体"/>
                <w:color w:val="000000"/>
                <w:sz w:val="24"/>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bottom"/>
            <w:textDirection w:val="lrTb"/>
            <w:noWrap w:val="false"/>
          </w:tcPr>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（一）评分内容：</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投标人针对本次项目提供管理体系</w:t>
            </w:r>
            <w:r>
              <w:rPr>
                <w:rFonts w:hint="eastAsia" w:ascii="宋体" w:hAnsi="宋体" w:eastAsia="宋体" w:cs="宋体"/>
                <w:color w:val="000000"/>
                <w:sz w:val="24"/>
              </w:rPr>
              <w:t xml:space="preserve">方案</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包含但不限于以下内容：</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1.组织管理体系及</w:t>
            </w:r>
            <w:r>
              <w:rPr>
                <w:rFonts w:hint="eastAsia" w:ascii="宋体" w:hAnsi="宋体" w:eastAsia="宋体" w:cs="宋体"/>
                <w:bCs/>
                <w:color w:val="000000"/>
                <w:sz w:val="24"/>
              </w:rPr>
              <w:t xml:space="preserve">规章制度</w:t>
            </w:r>
            <w:r>
              <w:rPr>
                <w:rFonts w:hint="eastAsia" w:ascii="宋体" w:hAnsi="宋体" w:eastAsia="宋体" w:cs="宋体"/>
                <w:color w:val="000000"/>
                <w:sz w:val="24"/>
              </w:rPr>
              <w:t xml:space="preserve">；</w:t>
            </w:r>
            <w:r>
              <w:rPr>
                <w:rFonts w:ascii="宋体" w:hAnsi="宋体" w:eastAsia="宋体" w:cs="宋体"/>
                <w:color w:val="000000"/>
                <w:sz w:val="24"/>
              </w:rPr>
            </w:r>
            <w:r/>
          </w:p>
          <w:p>
            <w:pPr>
              <w:pStyle w:val="864"/>
              <w:ind w:firstLine="240"/>
              <w:spacing w:line="400" w:lineRule="exact"/>
              <w:rPr>
                <w:rFonts w:ascii="宋体" w:hAnsi="宋体" w:eastAsia="宋体" w:cs="宋体"/>
                <w:bCs/>
                <w:color w:val="000000"/>
                <w:sz w:val="24"/>
              </w:rPr>
            </w:pPr>
            <w:r>
              <w:rPr>
                <w:rFonts w:hint="eastAsia" w:ascii="宋体" w:hAnsi="宋体" w:eastAsia="宋体" w:cs="宋体"/>
                <w:color w:val="000000"/>
                <w:sz w:val="24"/>
              </w:rPr>
              <w:t xml:space="preserve">2.人员组织</w:t>
            </w:r>
            <w:r>
              <w:rPr>
                <w:rFonts w:hint="eastAsia" w:ascii="宋体" w:hAnsi="宋体" w:eastAsia="宋体" w:cs="宋体"/>
                <w:bCs/>
                <w:color w:val="000000"/>
                <w:sz w:val="24"/>
              </w:rPr>
              <w:t xml:space="preserve">架构；</w:t>
            </w:r>
            <w:r>
              <w:rPr>
                <w:rFonts w:ascii="宋体" w:hAnsi="宋体" w:eastAsia="宋体" w:cs="宋体"/>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bCs/>
                <w:color w:val="000000"/>
                <w:sz w:val="24"/>
              </w:rPr>
              <w:t xml:space="preserve">3.日常运营管理。</w:t>
            </w:r>
            <w:r>
              <w:rPr>
                <w:rFonts w:ascii="宋体" w:hAnsi="宋体" w:eastAsia="宋体" w:cs="宋体"/>
                <w:color w:val="000000"/>
                <w:sz w:val="24"/>
              </w:rPr>
            </w:r>
            <w:r/>
          </w:p>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（二）评审依据：</w:t>
            </w:r>
            <w:r>
              <w:rPr>
                <w:rFonts w:ascii="宋体" w:hAnsi="宋体" w:eastAsia="宋体" w:cs="宋体"/>
                <w:b/>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1.考察以上内容，每满足任意一项内容得10%，最高得40%。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2.在上述基础上，专家根据各投标人的具体响应内容按照量化的评审因素指标进一步评审：</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(1)方案内容完整，可行性强、思路清晰、结合实际分析表述详尽，评审为优加60%；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(2)方案内容较完整，可行性较强、思路较清晰、结合实际分析表述较详尽，评审为良加40%；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(3)方案内容一般，思路一般，可行性一般，评审为中加10%；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(4)方案内容不完整，思路不清晰，无可行性，评审为差不加分；</w:t>
            </w:r>
            <w:r>
              <w:rPr>
                <w:rFonts w:ascii="宋体" w:hAnsi="宋体" w:eastAsia="宋体" w:cs="宋体"/>
                <w:color w:val="000000"/>
                <w:sz w:val="24"/>
              </w:rPr>
            </w:r>
            <w:r/>
          </w:p>
          <w:p>
            <w:pPr>
              <w:pStyle w:val="864"/>
              <w:ind w:firstLine="240"/>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(5)未提供的不得分。</w:t>
            </w: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1448"/>
        </w:trPr>
        <w:tc>
          <w:tcPr>
            <w:tcW w:w="675" w:type="dxa"/>
            <w:vAlign w:val="center"/>
            <w:textDirection w:val="lrTb"/>
            <w:noWrap w:val="false"/>
          </w:tcPr>
          <w:p>
            <w:pPr>
              <w:pStyle w:val="864"/>
              <w:ind w:firstLine="2"/>
              <w:jc w:val="center"/>
              <w:spacing w:line="320" w:lineRule="exact"/>
              <w:rPr>
                <w:rFonts w:ascii="宋体" w:hAnsi="宋体" w:eastAsia="宋体" w:cs="宋体"/>
                <w:color w:val="000000"/>
                <w:spacing w:val="-3"/>
                <w:sz w:val="24"/>
              </w:rPr>
            </w:pPr>
            <w:r>
              <w:rPr>
                <w:rFonts w:hint="eastAsia" w:ascii="宋体" w:hAnsi="宋体" w:eastAsia="宋体" w:cs="宋体"/>
                <w:color w:val="000000"/>
                <w:spacing w:val="-3"/>
                <w:sz w:val="24"/>
              </w:rPr>
              <w:t xml:space="preserve">2.3</w:t>
            </w:r>
            <w:r>
              <w:rPr>
                <w:rFonts w:ascii="宋体" w:hAnsi="宋体" w:eastAsia="宋体" w:cs="宋体"/>
                <w:color w:val="000000"/>
                <w:spacing w:val="-3"/>
                <w:sz w:val="24"/>
              </w:rPr>
            </w:r>
            <w:r/>
          </w:p>
        </w:tc>
        <w:tc>
          <w:tcPr>
            <w:tcW w:w="1230" w:type="dxa"/>
            <w:vAlign w:val="center"/>
            <w:textDirection w:val="lrTb"/>
            <w:noWrap w:val="false"/>
          </w:tcPr>
          <w:p>
            <w:pPr>
              <w:pStyle w:val="864"/>
              <w:jc w:val="center"/>
              <w:spacing w:line="360" w:lineRule="exact"/>
              <w:widowControl/>
              <w:rPr>
                <w:rFonts w:ascii="宋体" w:hAnsi="宋体" w:eastAsia="宋体" w:cs="宋体"/>
                <w:color w:val="000000"/>
                <w:spacing w:val="-3"/>
                <w:sz w:val="24"/>
              </w:rPr>
            </w:pPr>
            <w:r>
              <w:rPr>
                <w:rFonts w:hint="eastAsia" w:ascii="宋体" w:hAnsi="宋体" w:eastAsia="宋体" w:cs="宋体"/>
                <w:b/>
                <w:bCs/>
                <w:color w:val="000000"/>
                <w:sz w:val="24"/>
              </w:rPr>
              <w:t xml:space="preserve">质量保证</w:t>
            </w:r>
            <w:r>
              <w:rPr>
                <w:rFonts w:ascii="宋体" w:hAnsi="宋体" w:eastAsia="宋体" w:cs="宋体"/>
                <w:color w:val="000000"/>
                <w:spacing w:val="-3"/>
                <w:sz w:val="24"/>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center"/>
            <w:textDirection w:val="lrTb"/>
            <w:noWrap w:val="false"/>
          </w:tcPr>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（一）评分内容：</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投标人针对本次项目</w:t>
            </w:r>
            <w:r>
              <w:rPr>
                <w:rFonts w:hint="eastAsia" w:ascii="宋体" w:hAnsi="宋体" w:eastAsia="宋体" w:cs="宋体"/>
                <w:color w:val="000000"/>
                <w:sz w:val="24"/>
              </w:rPr>
              <w:t xml:space="preserve">提供质量保证方案</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包含但不限于以下内容：</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1.质量管理目标及承诺。</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2.日常消毒工作要求；</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3.消毒服务质量标准；</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4.消毒</w:t>
            </w:r>
            <w:r>
              <w:rPr>
                <w:rFonts w:hint="eastAsia" w:ascii="宋体" w:hAnsi="宋体" w:eastAsia="宋体" w:cs="宋体"/>
                <w:color w:val="000000"/>
                <w:sz w:val="24"/>
              </w:rPr>
              <w:t xml:space="preserve">服务验收标准；</w:t>
            </w:r>
            <w:r>
              <w:rPr>
                <w:rFonts w:ascii="宋体" w:hAnsi="宋体" w:eastAsia="宋体" w:cs="宋体"/>
                <w:color w:val="000000"/>
                <w:sz w:val="24"/>
              </w:rPr>
            </w:r>
            <w:r/>
          </w:p>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（二）评审依据：</w:t>
            </w:r>
            <w:r>
              <w:rPr>
                <w:rFonts w:ascii="宋体" w:hAnsi="宋体" w:eastAsia="宋体" w:cs="宋体"/>
                <w:b/>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1.考察以上内容，每满足任意一项内容得10%，最高得40%。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2.在上述基础上，专家根据各投标人的具体响应内容按照量化的评审因素指标进一步评审：</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(1)方案内容完整，可行性强、思路清晰、结合实际分析表述详尽，评审为优加60%；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(2)方案内容较完整，可行性较强、思路较清晰、结合实际分析表述较详尽，评审为良加40%；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(3)方案内容一般，思路一般，可行性一般，评审为中加10%；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(4)方案内容不完整，思路不清晰，无可行性，评审为差不加分；</w:t>
            </w:r>
            <w:r>
              <w:rPr>
                <w:rFonts w:ascii="宋体" w:hAnsi="宋体" w:eastAsia="宋体" w:cs="宋体"/>
                <w:color w:val="000000"/>
                <w:sz w:val="24"/>
              </w:rPr>
            </w:r>
            <w:r/>
          </w:p>
          <w:p>
            <w:pPr>
              <w:pStyle w:val="864"/>
              <w:ind w:firstLine="240"/>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(5)未提供的不得分。</w:t>
            </w: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438"/>
        </w:trPr>
        <w:tc>
          <w:tcPr>
            <w:tcW w:w="675" w:type="dxa"/>
            <w:vAlign w:val="center"/>
            <w:textDirection w:val="lrTb"/>
            <w:noWrap w:val="false"/>
          </w:tcPr>
          <w:p>
            <w:pPr>
              <w:pStyle w:val="864"/>
              <w:ind w:firstLine="2"/>
              <w:jc w:val="center"/>
              <w:spacing w:line="320" w:lineRule="exact"/>
              <w:rPr>
                <w:rFonts w:ascii="宋体" w:hAnsi="宋体" w:eastAsia="宋体" w:cs="宋体"/>
                <w:color w:val="000000"/>
                <w:spacing w:val="-3"/>
                <w:sz w:val="24"/>
              </w:rPr>
            </w:pPr>
            <w:r>
              <w:rPr>
                <w:rFonts w:hint="eastAsia" w:ascii="宋体" w:hAnsi="宋体" w:eastAsia="宋体" w:cs="宋体"/>
                <w:color w:val="000000"/>
                <w:spacing w:val="-3"/>
                <w:sz w:val="24"/>
              </w:rPr>
              <w:t xml:space="preserve">2.4</w:t>
            </w:r>
            <w:r>
              <w:rPr>
                <w:rFonts w:ascii="宋体" w:hAnsi="宋体" w:eastAsia="宋体" w:cs="宋体"/>
                <w:color w:val="000000"/>
                <w:spacing w:val="-3"/>
                <w:sz w:val="24"/>
              </w:rPr>
            </w:r>
            <w:r/>
          </w:p>
        </w:tc>
        <w:tc>
          <w:tcPr>
            <w:tcW w:w="1230" w:type="dxa"/>
            <w:vAlign w:val="center"/>
            <w:textDirection w:val="lrTb"/>
            <w:noWrap w:val="false"/>
          </w:tcPr>
          <w:p>
            <w:pPr>
              <w:pStyle w:val="864"/>
              <w:jc w:val="center"/>
              <w:spacing w:line="360" w:lineRule="exact"/>
              <w:widowControl/>
              <w:rPr>
                <w:rFonts w:ascii="宋体" w:hAnsi="宋体" w:eastAsia="宋体" w:cs="宋体"/>
                <w:color w:val="000000"/>
                <w:spacing w:val="-3"/>
                <w:sz w:val="24"/>
              </w:rPr>
            </w:pPr>
            <w:r>
              <w:rPr>
                <w:rFonts w:hint="eastAsia" w:ascii="宋体" w:hAnsi="宋体" w:eastAsia="宋体" w:cs="宋体"/>
                <w:b/>
                <w:bCs/>
                <w:color w:val="000000"/>
                <w:sz w:val="24"/>
              </w:rPr>
              <w:t xml:space="preserve">物流保障</w:t>
            </w:r>
            <w:r>
              <w:rPr>
                <w:rFonts w:ascii="宋体" w:hAnsi="宋体" w:eastAsia="宋体" w:cs="宋体"/>
                <w:color w:val="000000"/>
                <w:spacing w:val="-3"/>
                <w:sz w:val="24"/>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center"/>
            <w:textDirection w:val="lrTb"/>
            <w:noWrap w:val="false"/>
          </w:tcPr>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（一）评分内容：</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投标人针对本次项目提供物流保障</w:t>
            </w:r>
            <w:r>
              <w:rPr>
                <w:rFonts w:hint="eastAsia" w:ascii="宋体" w:hAnsi="宋体" w:eastAsia="宋体" w:cs="宋体"/>
                <w:color w:val="000000"/>
                <w:sz w:val="24"/>
              </w:rPr>
              <w:t xml:space="preserve">方案</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包含但不限于以下内容：</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1.物流人员、车辆/转运工具保障；</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bCs/>
                <w:color w:val="000000"/>
                <w:sz w:val="24"/>
              </w:rPr>
              <w:t xml:space="preserve">2.</w:t>
            </w:r>
            <w:r>
              <w:rPr>
                <w:rFonts w:hint="eastAsia" w:ascii="宋体" w:hAnsi="宋体" w:eastAsia="宋体" w:cs="宋体"/>
                <w:color w:val="000000"/>
                <w:sz w:val="24"/>
              </w:rPr>
              <w:t xml:space="preserve">分流、转运、路线合理性规划；</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3.配送时效保障；</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4.运输环境消杀及院感防控措施。</w:t>
            </w:r>
            <w:r>
              <w:rPr>
                <w:rFonts w:ascii="宋体" w:hAnsi="宋体" w:eastAsia="宋体" w:cs="宋体"/>
                <w:color w:val="000000"/>
                <w:sz w:val="24"/>
              </w:rPr>
            </w:r>
            <w:r/>
          </w:p>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（二）评审依据：</w:t>
            </w:r>
            <w:r>
              <w:rPr>
                <w:rFonts w:ascii="宋体" w:hAnsi="宋体" w:eastAsia="宋体" w:cs="宋体"/>
                <w:b/>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1.考察以上内容，每满足任意一项内容得10%，最高得40%。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2.在上述基础上，专家根据各投标人的具体响应内容按照量化的评审因素指标进一步评审：</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(1)方案内容完整，可行性强、思路清晰、结合实际分析表述详尽，评审为优加60%；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(2)方案内容较完整，可行性较强、思路较清晰、结合实际分析表述较详尽，评审为良加40%；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(3)方案内容一般，思路一般，可行性一般，评审为中加10%；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(4)方案内容不完整，思路不清晰，无可行性，评审为差不加分；</w:t>
            </w:r>
            <w:r>
              <w:rPr>
                <w:rFonts w:ascii="宋体" w:hAnsi="宋体" w:eastAsia="宋体" w:cs="宋体"/>
                <w:color w:val="000000"/>
                <w:sz w:val="24"/>
              </w:rPr>
            </w:r>
            <w:r/>
          </w:p>
          <w:p>
            <w:pPr>
              <w:pStyle w:val="864"/>
              <w:ind w:firstLine="240"/>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(5)未提供的不得分。</w:t>
            </w: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1448"/>
        </w:trPr>
        <w:tc>
          <w:tcPr>
            <w:tcW w:w="675" w:type="dxa"/>
            <w:vAlign w:val="center"/>
            <w:textDirection w:val="lrTb"/>
            <w:noWrap w:val="false"/>
          </w:tcPr>
          <w:p>
            <w:pPr>
              <w:pStyle w:val="864"/>
              <w:ind w:firstLine="2"/>
              <w:jc w:val="center"/>
              <w:spacing w:line="320" w:lineRule="exact"/>
              <w:rPr>
                <w:rFonts w:ascii="宋体" w:hAnsi="宋体" w:eastAsia="宋体" w:cs="宋体"/>
                <w:color w:val="000000"/>
                <w:spacing w:val="-3"/>
                <w:sz w:val="24"/>
              </w:rPr>
            </w:pPr>
            <w:r>
              <w:rPr>
                <w:rFonts w:hint="eastAsia" w:ascii="宋体" w:hAnsi="宋体" w:eastAsia="宋体" w:cs="宋体"/>
                <w:color w:val="000000"/>
                <w:spacing w:val="-3"/>
                <w:sz w:val="24"/>
              </w:rPr>
              <w:t xml:space="preserve">2.5</w:t>
            </w:r>
            <w:r>
              <w:rPr>
                <w:rFonts w:ascii="宋体" w:hAnsi="宋体" w:eastAsia="宋体" w:cs="宋体"/>
                <w:color w:val="000000"/>
                <w:spacing w:val="-3"/>
                <w:sz w:val="24"/>
              </w:rPr>
            </w:r>
            <w:r/>
          </w:p>
        </w:tc>
        <w:tc>
          <w:tcPr>
            <w:tcW w:w="1230" w:type="dxa"/>
            <w:vAlign w:val="center"/>
            <w:textDirection w:val="lrTb"/>
            <w:noWrap w:val="false"/>
          </w:tcPr>
          <w:p>
            <w:pPr>
              <w:pStyle w:val="864"/>
              <w:jc w:val="center"/>
              <w:spacing w:line="360" w:lineRule="exact"/>
              <w:widowControl/>
              <w:rPr>
                <w:rFonts w:ascii="宋体" w:hAnsi="宋体" w:eastAsia="宋体" w:cs="宋体"/>
                <w:color w:val="000000"/>
                <w:spacing w:val="-3"/>
                <w:sz w:val="24"/>
              </w:rPr>
            </w:pPr>
            <w:r>
              <w:rPr>
                <w:rFonts w:hint="eastAsia" w:ascii="宋体" w:hAnsi="宋体" w:eastAsia="宋体" w:cs="宋体"/>
                <w:b/>
                <w:bCs/>
                <w:color w:val="000000"/>
                <w:sz w:val="24"/>
              </w:rPr>
              <w:t xml:space="preserve">应急预案及保障措施</w:t>
            </w:r>
            <w:r>
              <w:rPr>
                <w:rFonts w:ascii="宋体" w:hAnsi="宋体" w:eastAsia="宋体" w:cs="宋体"/>
                <w:color w:val="000000"/>
                <w:spacing w:val="-3"/>
                <w:sz w:val="24"/>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center"/>
            <w:textDirection w:val="lrTb"/>
            <w:noWrap w:val="false"/>
          </w:tcPr>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（一）评分内容：</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投标人针对本次项目提供应急预案及保障措施，</w:t>
            </w:r>
            <w:r>
              <w:rPr>
                <w:rFonts w:hint="eastAsia" w:ascii="宋体" w:hAnsi="宋体" w:eastAsia="宋体" w:cs="宋体"/>
                <w:color w:val="000000"/>
                <w:sz w:val="24"/>
              </w:rPr>
              <w:t xml:space="preserve">包含但不限于以下内容：</w:t>
            </w:r>
            <w:r>
              <w:rPr>
                <w:rFonts w:ascii="宋体" w:hAnsi="宋体" w:eastAsia="宋体" w:cs="宋体"/>
                <w:color w:val="000000"/>
                <w:sz w:val="24"/>
              </w:rPr>
            </w:r>
            <w:r/>
          </w:p>
          <w:p>
            <w:pPr>
              <w:pStyle w:val="864"/>
              <w:ind w:left="210"/>
              <w:spacing w:line="400" w:lineRule="exact"/>
              <w:rPr>
                <w:rFonts w:ascii="宋体" w:hAnsi="宋体" w:eastAsia="宋体" w:cs="宋体"/>
                <w:color w:val="000000"/>
                <w:sz w:val="24"/>
              </w:rPr>
            </w:pPr>
            <w:r>
              <w:rPr>
                <w:rFonts w:hint="eastAsia" w:ascii="宋体" w:hAnsi="宋体" w:eastAsia="宋体" w:cs="宋体"/>
                <w:color w:val="000000"/>
                <w:sz w:val="24"/>
              </w:rPr>
              <w:t xml:space="preserve">1.风险识别与预警方案；</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bCs/>
                <w:color w:val="000000"/>
                <w:sz w:val="24"/>
              </w:rPr>
              <w:t xml:space="preserve">2.</w:t>
            </w:r>
            <w:r>
              <w:rPr>
                <w:rFonts w:hint="eastAsia" w:ascii="宋体" w:hAnsi="宋体" w:eastAsia="宋体" w:cs="宋体"/>
                <w:color w:val="000000"/>
                <w:sz w:val="24"/>
              </w:rPr>
              <w:t xml:space="preserve">各类突发事件的专项处置预案（如停水，停电，停气等）；</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3.应急物资及备用保障；</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4.具体的应对措施。</w:t>
            </w:r>
            <w:r>
              <w:rPr>
                <w:rFonts w:ascii="宋体" w:hAnsi="宋体" w:eastAsia="宋体" w:cs="宋体"/>
                <w:color w:val="000000"/>
                <w:sz w:val="24"/>
              </w:rPr>
            </w:r>
            <w:r/>
          </w:p>
          <w:p>
            <w:pPr>
              <w:pStyle w:val="864"/>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（二）评审依据：</w:t>
            </w:r>
            <w:r>
              <w:rPr>
                <w:rFonts w:ascii="宋体" w:hAnsi="宋体" w:eastAsia="宋体" w:cs="宋体"/>
                <w:b/>
                <w:bCs/>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1.考察以上内容，每满足任意一项内容得10%，最高得40%。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2.在上述基础上，专家根据各投标人的具体响应内容按照量化的评审因素指标进一步评审：</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(1)内容完整，可行性强、思路清晰、结合实际分析表述详尽，评审为优加60%；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(2)内容较完整，可行性较强、思路较清晰、结合实际分析表述较详尽，评审为良加40%；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(3)内容一般，思路一般，可行性一般，评审为中加10%；</w:t>
            </w:r>
            <w:r>
              <w:rPr>
                <w:rFonts w:ascii="宋体" w:hAnsi="宋体" w:eastAsia="宋体" w:cs="宋体"/>
                <w:color w:val="000000"/>
                <w:sz w:val="24"/>
              </w:rPr>
            </w:r>
            <w:r/>
          </w:p>
          <w:p>
            <w:pPr>
              <w:pStyle w:val="864"/>
              <w:ind w:firstLine="240"/>
              <w:spacing w:line="400" w:lineRule="exact"/>
              <w:rPr>
                <w:rFonts w:ascii="宋体" w:hAnsi="宋体" w:eastAsia="宋体" w:cs="宋体"/>
                <w:color w:val="000000"/>
                <w:sz w:val="24"/>
              </w:rPr>
            </w:pPr>
            <w:r>
              <w:rPr>
                <w:rFonts w:hint="eastAsia" w:ascii="宋体" w:hAnsi="宋体" w:eastAsia="宋体" w:cs="宋体"/>
                <w:color w:val="000000"/>
                <w:sz w:val="24"/>
              </w:rPr>
              <w:t xml:space="preserve">(4)内容不完整，思路不清晰，无可行性，评审为差不加分；</w:t>
            </w:r>
            <w:r>
              <w:rPr>
                <w:rFonts w:ascii="宋体" w:hAnsi="宋体" w:eastAsia="宋体" w:cs="宋体"/>
                <w:color w:val="000000"/>
                <w:sz w:val="24"/>
              </w:rPr>
            </w:r>
            <w:r/>
          </w:p>
          <w:p>
            <w:pPr>
              <w:pStyle w:val="864"/>
              <w:ind w:firstLine="240"/>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(5)未提供的不得分。</w:t>
            </w: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419"/>
        </w:trPr>
        <w:tc>
          <w:tcPr>
            <w:tcW w:w="675"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r>
            <w:r/>
          </w:p>
        </w:tc>
        <w:tc>
          <w:tcPr>
            <w:tcW w:w="1230"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b/>
                <w:bCs/>
                <w:color w:val="000000"/>
                <w:sz w:val="24"/>
              </w:rPr>
              <w:t xml:space="preserve">客观分</w:t>
            </w:r>
            <w:r>
              <w:rPr>
                <w:rFonts w:ascii="宋体" w:hAnsi="宋体" w:eastAsia="宋体" w:cs="宋体"/>
                <w:color w:val="000000"/>
                <w:sz w:val="24"/>
              </w:rPr>
            </w:r>
            <w:r/>
          </w:p>
        </w:tc>
        <w:tc>
          <w:tcPr>
            <w:tcW w:w="780" w:type="dxa"/>
            <w:vAlign w:val="center"/>
            <w:textDirection w:val="lrTb"/>
            <w:noWrap w:val="false"/>
          </w:tcPr>
          <w:p>
            <w:pPr>
              <w:pStyle w:val="864"/>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35</w:t>
            </w:r>
            <w:r>
              <w:rPr>
                <w:rFonts w:ascii="宋体" w:hAnsi="宋体" w:eastAsia="宋体" w:cs="宋体"/>
                <w:color w:val="000000"/>
                <w:sz w:val="24"/>
              </w:rPr>
            </w:r>
            <w:r/>
          </w:p>
        </w:tc>
        <w:tc>
          <w:tcPr>
            <w:tcW w:w="7111" w:type="dxa"/>
            <w:vAlign w:val="center"/>
            <w:textDirection w:val="lrTb"/>
            <w:noWrap w:val="false"/>
          </w:tcPr>
          <w:p>
            <w:pPr>
              <w:pStyle w:val="864"/>
              <w:spacing w:line="320" w:lineRule="exact"/>
              <w:rPr>
                <w:rFonts w:ascii="宋体" w:hAnsi="宋体" w:eastAsia="宋体" w:cs="宋体"/>
                <w:color w:val="000000"/>
                <w:sz w:val="24"/>
              </w:rPr>
            </w:pP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370"/>
        </w:trPr>
        <w:tc>
          <w:tcPr>
            <w:tcW w:w="675" w:type="dxa"/>
            <w:vAlign w:val="center"/>
            <w:textDirection w:val="lrTb"/>
            <w:noWrap w:val="false"/>
          </w:tcPr>
          <w:p>
            <w:pPr>
              <w:pStyle w:val="864"/>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3.1</w:t>
            </w:r>
            <w:r>
              <w:rPr>
                <w:rFonts w:ascii="宋体" w:hAnsi="宋体" w:eastAsia="宋体" w:cs="宋体"/>
                <w:color w:val="000000"/>
                <w:sz w:val="24"/>
              </w:rPr>
            </w:r>
            <w:r/>
          </w:p>
        </w:tc>
        <w:tc>
          <w:tcPr>
            <w:tcW w:w="1230" w:type="dxa"/>
            <w:vAlign w:val="center"/>
            <w:textDirection w:val="lrTb"/>
            <w:noWrap w:val="false"/>
          </w:tcPr>
          <w:p>
            <w:pPr>
              <w:pStyle w:val="864"/>
              <w:jc w:val="center"/>
              <w:spacing w:line="36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拟投入本项目服务人员</w:t>
            </w:r>
            <w:r>
              <w:rPr>
                <w:rFonts w:ascii="宋体" w:hAnsi="宋体" w:eastAsia="宋体" w:cs="宋体"/>
                <w:b/>
                <w:bCs/>
                <w:color w:val="000000"/>
                <w:sz w:val="24"/>
              </w:rPr>
            </w:r>
            <w:r/>
          </w:p>
        </w:tc>
        <w:tc>
          <w:tcPr>
            <w:tcW w:w="780" w:type="dxa"/>
            <w:vAlign w:val="center"/>
            <w:textDirection w:val="lrTb"/>
            <w:noWrap w:val="false"/>
          </w:tcPr>
          <w:p>
            <w:pPr>
              <w:pStyle w:val="864"/>
              <w:jc w:val="center"/>
              <w:spacing w:line="360" w:lineRule="exact"/>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center"/>
            <w:textDirection w:val="lrTb"/>
            <w:noWrap w:val="false"/>
          </w:tcPr>
          <w:p>
            <w:pPr>
              <w:pStyle w:val="864"/>
              <w:spacing w:line="360" w:lineRule="exact"/>
              <w:widowControl/>
              <w:rPr>
                <w:rFonts w:ascii="宋体" w:hAnsi="宋体" w:eastAsia="宋体" w:cs="宋体"/>
                <w:b/>
                <w:bCs/>
                <w:color w:val="000000"/>
                <w:sz w:val="24"/>
              </w:rPr>
            </w:pPr>
            <w:r>
              <w:rPr>
                <w:rFonts w:hint="eastAsia" w:ascii="宋体" w:hAnsi="宋体" w:eastAsia="宋体" w:cs="宋体"/>
                <w:color w:val="000000"/>
                <w:sz w:val="24"/>
              </w:rPr>
              <w:t xml:space="preserve">1、具有1名高级职称护士得 2分，具有1名中级职称护士得1分，最高得4分。</w:t>
            </w:r>
            <w:r>
              <w:rPr>
                <w:rFonts w:hint="eastAsia" w:ascii="宋体" w:hAnsi="宋体" w:eastAsia="宋体" w:cs="宋体"/>
                <w:b/>
                <w:bCs/>
                <w:color w:val="000000"/>
                <w:sz w:val="24"/>
              </w:rPr>
              <w:t xml:space="preserve">（提供护士执业证及职称证书）</w:t>
            </w:r>
            <w:r>
              <w:rPr>
                <w:rFonts w:ascii="宋体" w:hAnsi="宋体" w:eastAsia="宋体" w:cs="宋体"/>
                <w:b/>
                <w:bCs/>
                <w:color w:val="000000"/>
                <w:sz w:val="24"/>
              </w:rPr>
            </w:r>
            <w:r/>
          </w:p>
          <w:p>
            <w:pPr>
              <w:pStyle w:val="864"/>
              <w:spacing w:line="360" w:lineRule="exact"/>
              <w:widowControl/>
              <w:rPr>
                <w:rFonts w:ascii="宋体" w:hAnsi="宋体" w:eastAsia="宋体" w:cs="宋体"/>
                <w:b/>
                <w:bCs/>
                <w:color w:val="000000"/>
                <w:sz w:val="24"/>
              </w:rPr>
            </w:pPr>
            <w:r>
              <w:rPr>
                <w:rFonts w:hint="eastAsia" w:ascii="宋体" w:hAnsi="宋体" w:eastAsia="宋体" w:cs="宋体"/>
                <w:color w:val="000000"/>
                <w:sz w:val="24"/>
              </w:rPr>
              <w:t xml:space="preserve">2、具有1名院感护士得 1分，最高得1分。</w:t>
            </w:r>
            <w:r>
              <w:rPr>
                <w:rFonts w:hint="eastAsia" w:ascii="宋体" w:hAnsi="宋体" w:eastAsia="宋体" w:cs="宋体"/>
                <w:b/>
                <w:bCs/>
                <w:color w:val="000000"/>
                <w:sz w:val="24"/>
              </w:rPr>
              <w:t xml:space="preserve">（提供护士执业证及院感证书）</w:t>
            </w:r>
            <w:r>
              <w:rPr>
                <w:rFonts w:ascii="宋体" w:hAnsi="宋体" w:eastAsia="宋体" w:cs="宋体"/>
                <w:b/>
                <w:bCs/>
                <w:color w:val="000000"/>
                <w:sz w:val="24"/>
              </w:rPr>
            </w:r>
            <w:r/>
          </w:p>
          <w:p>
            <w:pPr>
              <w:pStyle w:val="864"/>
              <w:spacing w:line="360" w:lineRule="exact"/>
              <w:widowControl/>
              <w:rPr>
                <w:rFonts w:ascii="宋体" w:hAnsi="宋体" w:eastAsia="宋体" w:cs="宋体"/>
                <w:b/>
                <w:bCs/>
                <w:color w:val="000000"/>
                <w:sz w:val="24"/>
              </w:rPr>
            </w:pPr>
            <w:r>
              <w:rPr>
                <w:rFonts w:hint="eastAsia" w:ascii="宋体" w:hAnsi="宋体" w:eastAsia="宋体" w:cs="宋体"/>
                <w:color w:val="000000"/>
                <w:sz w:val="24"/>
              </w:rPr>
              <w:t xml:space="preserve">3、具有1名取得专业资格的灭菌员得 1分，最高得2分。</w:t>
            </w:r>
            <w:r>
              <w:rPr>
                <w:rFonts w:hint="eastAsia" w:ascii="宋体" w:hAnsi="宋体" w:eastAsia="宋体" w:cs="宋体"/>
                <w:b/>
                <w:bCs/>
                <w:color w:val="000000"/>
                <w:sz w:val="24"/>
              </w:rPr>
              <w:t xml:space="preserve">(提供灭菌员培训证和特种容器上岗证)</w:t>
            </w:r>
            <w:r>
              <w:rPr>
                <w:rFonts w:ascii="宋体" w:hAnsi="宋体" w:eastAsia="宋体" w:cs="宋体"/>
                <w:b/>
                <w:bCs/>
                <w:color w:val="000000"/>
                <w:sz w:val="24"/>
              </w:rPr>
            </w:r>
            <w:r/>
          </w:p>
          <w:p>
            <w:pPr>
              <w:pStyle w:val="864"/>
              <w:spacing w:line="360" w:lineRule="exact"/>
              <w:rPr>
                <w:rFonts w:ascii="宋体" w:hAnsi="宋体" w:eastAsia="宋体" w:cs="宋体"/>
                <w:color w:val="000000"/>
                <w:sz w:val="24"/>
              </w:rPr>
            </w:pPr>
            <w:r>
              <w:rPr>
                <w:rFonts w:hint="eastAsia" w:ascii="宋体" w:hAnsi="宋体" w:eastAsia="宋体" w:cs="宋体"/>
                <w:color w:val="000000"/>
                <w:sz w:val="24"/>
              </w:rPr>
              <w:t xml:space="preserve">4、具有1名参加过国家级消毒供应中心管理人员培训学习班的护士得1分，最高得3分。</w:t>
            </w:r>
            <w:r>
              <w:rPr>
                <w:rFonts w:hint="eastAsia" w:ascii="宋体" w:hAnsi="宋体" w:eastAsia="宋体" w:cs="宋体"/>
                <w:b/>
                <w:bCs/>
                <w:color w:val="000000"/>
                <w:sz w:val="24"/>
              </w:rPr>
              <w:t xml:space="preserve">（提供护执业证及培训证书）</w:t>
            </w:r>
            <w:r>
              <w:rPr>
                <w:rFonts w:ascii="宋体" w:hAnsi="宋体" w:eastAsia="宋体" w:cs="宋体"/>
                <w:color w:val="000000"/>
                <w:sz w:val="24"/>
              </w:rPr>
            </w:r>
            <w:r/>
          </w:p>
          <w:p>
            <w:pPr>
              <w:pStyle w:val="864"/>
              <w:spacing w:line="360" w:lineRule="exact"/>
              <w:rPr>
                <w:rFonts w:ascii="宋体" w:hAnsi="宋体" w:eastAsia="宋体" w:cs="宋体"/>
                <w:b/>
                <w:bCs/>
                <w:color w:val="000000"/>
                <w:sz w:val="24"/>
              </w:rPr>
            </w:pPr>
            <w:r>
              <w:rPr>
                <w:rFonts w:hint="eastAsia" w:ascii="宋体" w:hAnsi="宋体" w:eastAsia="宋体" w:cs="宋体"/>
                <w:b/>
                <w:bCs/>
                <w:color w:val="000000"/>
                <w:sz w:val="24"/>
              </w:rPr>
              <w:t xml:space="preserve">注：1.提供证书及由社保机构出具的投标人为其缴纳的社会保险凭证，凭证加盖社保机构公章或社保中心官网上缴纳记录，缴纳时间为：开标前半年任意一个月（如所聘人员为退休返聘人员，须提供退休返聘员工劳动合同</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w:t>
            </w:r>
            <w:r>
              <w:rPr>
                <w:rFonts w:ascii="宋体" w:hAnsi="宋体" w:eastAsia="宋体" w:cs="宋体"/>
                <w:b/>
                <w:bCs/>
                <w:color w:val="000000"/>
                <w:sz w:val="24"/>
              </w:rPr>
            </w:r>
            <w:r/>
          </w:p>
          <w:p>
            <w:pPr>
              <w:pStyle w:val="864"/>
              <w:spacing w:line="360" w:lineRule="exact"/>
              <w:widowControl/>
              <w:rPr>
                <w:rFonts w:ascii="宋体" w:hAnsi="宋体" w:eastAsia="宋体" w:cs="宋体"/>
                <w:color w:val="000000"/>
                <w:sz w:val="24"/>
              </w:rPr>
            </w:pPr>
            <w:r>
              <w:rPr>
                <w:rFonts w:hint="eastAsia" w:ascii="宋体" w:hAnsi="宋体" w:eastAsia="宋体" w:cs="宋体"/>
                <w:b/>
                <w:bCs/>
                <w:color w:val="000000"/>
                <w:sz w:val="24"/>
              </w:rPr>
              <w:t xml:space="preserve">2.以上人员不重复计分，同一人员仅按最高职称计分。</w:t>
            </w:r>
            <w:r>
              <w:rPr>
                <w:rFonts w:ascii="宋体" w:hAnsi="宋体" w:eastAsia="宋体" w:cs="宋体"/>
                <w:color w:val="000000"/>
                <w:sz w:val="24"/>
              </w:rPr>
            </w:r>
            <w:r/>
          </w:p>
        </w:tc>
        <w:tc>
          <w:tcPr>
            <w:tcW w:w="765"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r>
        <w:trPr>
          <w:trHeight w:val="1456"/>
        </w:trPr>
        <w:tc>
          <w:tcPr>
            <w:tcW w:w="675" w:type="dxa"/>
            <w:vAlign w:val="center"/>
            <w:textDirection w:val="lrTb"/>
            <w:noWrap w:val="false"/>
          </w:tcPr>
          <w:p>
            <w:pPr>
              <w:pStyle w:val="864"/>
              <w:ind w:firstLine="28"/>
              <w:jc w:val="center"/>
              <w:spacing w:line="360" w:lineRule="exact"/>
              <w:rPr>
                <w:rFonts w:ascii="宋体" w:hAnsi="宋体" w:eastAsia="宋体" w:cs="宋体"/>
                <w:color w:val="000000"/>
                <w:sz w:val="24"/>
                <w:lang w:bidi="ar"/>
              </w:rPr>
            </w:pPr>
            <w:r>
              <w:rPr>
                <w:rFonts w:hint="eastAsia" w:ascii="宋体" w:hAnsi="宋体" w:eastAsia="宋体" w:cs="宋体"/>
                <w:color w:val="000000"/>
                <w:sz w:val="24"/>
                <w:lang w:bidi="ar"/>
              </w:rPr>
              <w:t xml:space="preserve">3.2</w:t>
            </w:r>
            <w:r>
              <w:rPr>
                <w:rFonts w:ascii="宋体" w:hAnsi="宋体" w:eastAsia="宋体" w:cs="宋体"/>
                <w:color w:val="000000"/>
                <w:sz w:val="24"/>
                <w:lang w:bidi="ar"/>
              </w:rPr>
            </w:r>
            <w:r/>
          </w:p>
        </w:tc>
        <w:tc>
          <w:tcPr>
            <w:tcW w:w="1230" w:type="dxa"/>
            <w:vAlign w:val="center"/>
            <w:textDirection w:val="lrTb"/>
            <w:noWrap w:val="false"/>
          </w:tcPr>
          <w:p>
            <w:pPr>
              <w:pStyle w:val="864"/>
              <w:jc w:val="center"/>
              <w:spacing w:line="36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设备配置</w:t>
            </w:r>
            <w:r>
              <w:rPr>
                <w:rFonts w:ascii="宋体" w:hAnsi="宋体" w:eastAsia="宋体" w:cs="宋体"/>
                <w:b/>
                <w:bCs/>
                <w:color w:val="000000"/>
                <w:sz w:val="24"/>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rPr>
                <w:rFonts w:ascii="宋体" w:hAnsi="宋体" w:eastAsia="宋体" w:cs="宋体"/>
                <w:color w:val="000000"/>
                <w:sz w:val="24"/>
              </w:rPr>
            </w:r>
            <w:r/>
          </w:p>
        </w:tc>
        <w:tc>
          <w:tcPr>
            <w:tcW w:w="7111" w:type="dxa"/>
            <w:vAlign w:val="center"/>
            <w:textDirection w:val="lrTb"/>
            <w:noWrap w:val="false"/>
          </w:tcPr>
          <w:p>
            <w:pPr>
              <w:pStyle w:val="864"/>
              <w:jc w:val="left"/>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投标人具有以下设备：</w:t>
            </w:r>
            <w:r>
              <w:rPr>
                <w:rFonts w:ascii="宋体" w:hAnsi="宋体" w:eastAsia="宋体" w:cs="宋体"/>
                <w:color w:val="000000"/>
                <w:sz w:val="24"/>
                <w:highlight w:val="none"/>
              </w:rPr>
            </w:r>
            <w:r/>
          </w:p>
          <w:p>
            <w:pPr>
              <w:pStyle w:val="864"/>
              <w:jc w:val="left"/>
              <w:widowControl/>
              <w:rPr>
                <w:rFonts w:ascii="宋体" w:hAnsi="宋体" w:eastAsia="宋体" w:cs="等线"/>
                <w:color w:val="000000"/>
                <w:sz w:val="24"/>
                <w:highlight w:val="none"/>
                <w:lang w:bidi="ar"/>
              </w:rPr>
            </w:pPr>
            <w:r>
              <w:rPr>
                <w:rFonts w:hint="eastAsia" w:ascii="宋体" w:hAnsi="宋体" w:eastAsia="宋体" w:cs="等线"/>
                <w:color w:val="000000"/>
                <w:sz w:val="24"/>
                <w:highlight w:val="none"/>
                <w:lang w:bidi="ar"/>
              </w:rPr>
              <w:t xml:space="preserve">1、投标人具有全自动清洗机设备配置，有一个设备得1分，最高2分。</w:t>
            </w:r>
            <w:r>
              <w:rPr>
                <w:rFonts w:hint="eastAsia" w:ascii="宋体" w:hAnsi="宋体" w:eastAsia="宋体" w:cs="等线"/>
                <w:color w:val="000000"/>
                <w:sz w:val="24"/>
                <w:highlight w:val="none"/>
                <w:lang w:bidi="ar"/>
              </w:rPr>
              <w:br w:type="textWrapping" w:clear="all"/>
            </w:r>
            <w:r>
              <w:rPr>
                <w:rFonts w:hint="eastAsia" w:ascii="宋体" w:hAnsi="宋体" w:eastAsia="宋体" w:cs="等线"/>
                <w:color w:val="000000"/>
                <w:sz w:val="24"/>
                <w:highlight w:val="none"/>
                <w:lang w:bidi="ar"/>
              </w:rPr>
              <w:t xml:space="preserve">2、投标人具有压力蒸汽灭菌器设备配置，有一个设备得1分，最高2分。</w:t>
            </w:r>
            <w:r>
              <w:rPr>
                <w:rFonts w:hint="eastAsia" w:ascii="宋体" w:hAnsi="宋体" w:eastAsia="宋体" w:cs="等线"/>
                <w:color w:val="000000"/>
                <w:sz w:val="24"/>
                <w:highlight w:val="none"/>
                <w:lang w:bidi="ar"/>
              </w:rPr>
              <w:br w:type="textWrapping" w:clear="all"/>
            </w:r>
            <w:r>
              <w:rPr>
                <w:rFonts w:hint="eastAsia" w:ascii="宋体" w:hAnsi="宋体" w:eastAsia="宋体" w:cs="等线"/>
                <w:color w:val="000000"/>
                <w:sz w:val="24"/>
                <w:highlight w:val="none"/>
                <w:lang w:bidi="ar"/>
              </w:rPr>
              <w:t xml:space="preserve">3、投标人具有口腔手机注油机设备配置，有一个设备得1分，最高4分。</w:t>
            </w:r>
            <w:r>
              <w:rPr>
                <w:rFonts w:ascii="宋体" w:hAnsi="宋体" w:eastAsia="宋体" w:cs="等线"/>
                <w:color w:val="000000"/>
                <w:sz w:val="24"/>
                <w:highlight w:val="none"/>
                <w:lang w:bidi="ar"/>
              </w:rPr>
            </w:r>
            <w:r/>
          </w:p>
          <w:p>
            <w:pPr>
              <w:pStyle w:val="864"/>
              <w:jc w:val="left"/>
              <w:spacing w:line="360" w:lineRule="exact"/>
              <w:widowControl/>
              <w:rPr>
                <w:rFonts w:ascii="宋体" w:hAnsi="宋体" w:eastAsia="宋体" w:cs="宋体"/>
                <w:color w:val="000000"/>
                <w:sz w:val="24"/>
                <w:highlight w:val="none"/>
              </w:rPr>
            </w:pPr>
            <w:r>
              <w:rPr>
                <w:rFonts w:hint="eastAsia" w:ascii="宋体" w:hAnsi="宋体" w:eastAsia="宋体" w:cs="Times New Roman"/>
                <w:sz w:val="24"/>
                <w:highlight w:val="none"/>
                <w:lang w:bidi="ar"/>
              </w:rPr>
              <w:t xml:space="preserve">4、</w:t>
            </w:r>
            <w:r>
              <w:rPr>
                <w:rFonts w:hint="eastAsia" w:ascii="宋体" w:hAnsi="宋体" w:eastAsia="宋体" w:cs="等线"/>
                <w:color w:val="000000"/>
                <w:sz w:val="24"/>
                <w:highlight w:val="none"/>
                <w:lang w:bidi="ar"/>
              </w:rPr>
              <w:t xml:space="preserve">投标人具有过</w:t>
            </w:r>
            <w:r>
              <w:rPr>
                <w:rFonts w:hint="eastAsia" w:ascii="宋体" w:hAnsi="宋体" w:eastAsia="宋体" w:cs="宋体"/>
                <w:color w:val="000000"/>
                <w:sz w:val="24"/>
                <w:highlight w:val="none"/>
              </w:rPr>
              <w:t xml:space="preserve">氧化氢低温等离子体灭菌器设备</w:t>
            </w:r>
            <w:r>
              <w:rPr>
                <w:rFonts w:hint="eastAsia" w:ascii="宋体" w:hAnsi="宋体" w:eastAsia="宋体" w:cs="等线"/>
                <w:color w:val="000000"/>
                <w:sz w:val="24"/>
                <w:highlight w:val="none"/>
                <w:lang w:bidi="ar"/>
              </w:rPr>
              <w:t xml:space="preserve">配置的得1分，最高2分。</w:t>
            </w:r>
            <w:r>
              <w:rPr>
                <w:rFonts w:ascii="宋体" w:hAnsi="宋体" w:eastAsia="宋体" w:cs="宋体"/>
                <w:color w:val="000000"/>
                <w:sz w:val="24"/>
                <w:highlight w:val="none"/>
              </w:rPr>
            </w:r>
            <w:r/>
          </w:p>
          <w:p>
            <w:pPr>
              <w:pStyle w:val="864"/>
              <w:jc w:val="left"/>
              <w:spacing w:line="360" w:lineRule="exact"/>
              <w:widowControl/>
              <w:rPr>
                <w:rFonts w:ascii="宋体" w:hAnsi="宋体" w:eastAsia="宋体" w:cs="宋体"/>
                <w:color w:val="000000"/>
                <w:sz w:val="24"/>
              </w:rPr>
            </w:pPr>
            <w:r>
              <w:rPr>
                <w:rFonts w:hint="eastAsia" w:ascii="宋体" w:hAnsi="宋体" w:eastAsia="宋体" w:cs="宋体"/>
                <w:b/>
                <w:bCs/>
                <w:color w:val="000000"/>
                <w:sz w:val="24"/>
                <w:highlight w:val="none"/>
              </w:rPr>
              <w:t xml:space="preserve">注：提供对应</w:t>
            </w:r>
            <w:r>
              <w:rPr>
                <w:rFonts w:hint="eastAsia" w:ascii="宋体" w:hAnsi="宋体" w:eastAsia="宋体" w:cs="宋体"/>
                <w:b/>
                <w:bCs/>
                <w:color w:val="000000"/>
                <w:sz w:val="24"/>
              </w:rPr>
              <w:t xml:space="preserve">设备的现场照片，以及购买凭证（发票或合同）或租赁合同的扫描件或图片。注：提供对应设备的现场照片，以及购买凭证（发票或合同）或租赁合同的扫描件或图片。</w:t>
            </w:r>
            <w:r>
              <w:rPr>
                <w:rFonts w:ascii="宋体" w:hAnsi="宋体" w:eastAsia="宋体" w:cs="宋体"/>
                <w:color w:val="000000"/>
                <w:sz w:val="24"/>
              </w:rPr>
            </w:r>
            <w:r/>
          </w:p>
        </w:tc>
        <w:tc>
          <w:tcPr>
            <w:tcW w:w="765" w:type="dxa"/>
            <w:vAlign w:val="center"/>
            <w:textDirection w:val="lrTb"/>
            <w:noWrap w:val="false"/>
          </w:tcPr>
          <w:p>
            <w:pPr>
              <w:pStyle w:val="864"/>
              <w:jc w:val="left"/>
              <w:spacing w:line="320" w:lineRule="exact"/>
              <w:rPr>
                <w:rFonts w:ascii="宋体" w:hAnsi="宋体" w:eastAsia="宋体" w:cs="宋体"/>
                <w:sz w:val="24"/>
              </w:rPr>
            </w:pPr>
            <w:r>
              <w:rPr>
                <w:rFonts w:ascii="宋体" w:hAnsi="宋体" w:eastAsia="宋体" w:cs="宋体"/>
                <w:sz w:val="24"/>
              </w:rPr>
            </w:r>
            <w:r/>
          </w:p>
        </w:tc>
      </w:tr>
      <w:tr>
        <w:trPr>
          <w:trHeight w:val="830"/>
        </w:trPr>
        <w:tc>
          <w:tcPr>
            <w:tcW w:w="675" w:type="dxa"/>
            <w:vAlign w:val="center"/>
            <w:textDirection w:val="lrTb"/>
            <w:noWrap w:val="false"/>
          </w:tcPr>
          <w:p>
            <w:pPr>
              <w:pStyle w:val="864"/>
              <w:ind w:firstLine="28"/>
              <w:jc w:val="center"/>
              <w:spacing w:line="360" w:lineRule="exact"/>
              <w:rPr>
                <w:rFonts w:ascii="宋体" w:hAnsi="宋体" w:eastAsia="宋体" w:cs="宋体"/>
                <w:color w:val="000000"/>
                <w:sz w:val="24"/>
                <w:lang w:bidi="ar"/>
              </w:rPr>
            </w:pPr>
            <w:r>
              <w:rPr>
                <w:rFonts w:hint="eastAsia" w:ascii="宋体" w:hAnsi="宋体" w:eastAsia="宋体" w:cs="宋体"/>
                <w:color w:val="000000"/>
                <w:sz w:val="24"/>
                <w:lang w:bidi="ar"/>
              </w:rPr>
              <w:t xml:space="preserve">3.3</w:t>
            </w:r>
            <w:r>
              <w:rPr>
                <w:rFonts w:ascii="宋体" w:hAnsi="宋体" w:eastAsia="宋体" w:cs="宋体"/>
                <w:color w:val="000000"/>
                <w:sz w:val="24"/>
                <w:lang w:bidi="ar"/>
              </w:rPr>
            </w:r>
            <w:r/>
          </w:p>
        </w:tc>
        <w:tc>
          <w:tcPr>
            <w:tcW w:w="1230" w:type="dxa"/>
            <w:vAlign w:val="center"/>
            <w:textDirection w:val="lrTb"/>
            <w:noWrap w:val="false"/>
          </w:tcPr>
          <w:p>
            <w:pPr>
              <w:pStyle w:val="864"/>
              <w:jc w:val="center"/>
              <w:spacing w:line="36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企业业绩</w:t>
            </w:r>
            <w:r>
              <w:rPr>
                <w:rFonts w:ascii="宋体" w:hAnsi="宋体" w:eastAsia="宋体" w:cs="宋体"/>
                <w:b/>
                <w:bCs/>
                <w:color w:val="000000"/>
                <w:sz w:val="24"/>
              </w:rPr>
            </w:r>
            <w:r/>
          </w:p>
        </w:tc>
        <w:tc>
          <w:tcPr>
            <w:tcW w:w="780" w:type="dxa"/>
            <w:vAlign w:val="center"/>
            <w:textDirection w:val="lrTb"/>
            <w:noWrap w:val="false"/>
          </w:tcPr>
          <w:p>
            <w:pPr>
              <w:pStyle w:val="864"/>
              <w:jc w:val="center"/>
              <w:spacing w:line="360" w:lineRule="exact"/>
              <w:widowControl/>
              <w:rPr>
                <w:rFonts w:ascii="宋体" w:hAnsi="宋体" w:eastAsia="宋体" w:cs="宋体"/>
                <w:b/>
                <w:bCs/>
                <w:color w:val="000000"/>
                <w:sz w:val="24"/>
              </w:rPr>
            </w:pPr>
            <w:r>
              <w:rPr>
                <w:rFonts w:hint="eastAsia" w:ascii="宋体" w:hAnsi="宋体" w:eastAsia="宋体" w:cs="宋体"/>
                <w:color w:val="000000"/>
                <w:sz w:val="24"/>
              </w:rPr>
              <w:t xml:space="preserve">12</w:t>
            </w:r>
            <w:r>
              <w:rPr>
                <w:rFonts w:ascii="宋体" w:hAnsi="宋体" w:eastAsia="宋体" w:cs="宋体"/>
                <w:b/>
                <w:bCs/>
                <w:color w:val="000000"/>
                <w:sz w:val="24"/>
              </w:rPr>
            </w:r>
            <w:r/>
          </w:p>
        </w:tc>
        <w:tc>
          <w:tcPr>
            <w:tcW w:w="7111" w:type="dxa"/>
            <w:vAlign w:val="bottom"/>
            <w:textDirection w:val="lrTb"/>
            <w:noWrap w:val="false"/>
          </w:tcPr>
          <w:p>
            <w:pPr>
              <w:pStyle w:val="864"/>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投标人提</w:t>
            </w:r>
            <w:r>
              <w:rPr>
                <w:rFonts w:hint="eastAsia" w:ascii="宋体" w:hAnsi="宋体" w:eastAsia="宋体" w:cs="宋体"/>
                <w:color w:val="000000"/>
                <w:sz w:val="24"/>
                <w:highlight w:val="none"/>
              </w:rPr>
              <w:t xml:space="preserve">供自202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年1月1日以来服</w:t>
            </w:r>
            <w:r>
              <w:rPr>
                <w:rFonts w:hint="eastAsia" w:ascii="宋体" w:hAnsi="宋体" w:eastAsia="宋体" w:cs="宋体"/>
                <w:color w:val="000000"/>
                <w:sz w:val="24"/>
              </w:rPr>
              <w:t xml:space="preserve">务的（以合同签订时间为准）类似消毒、灭菌服务项目业绩，每个得3分，最高得12分。</w:t>
            </w:r>
            <w:r>
              <w:rPr>
                <w:rFonts w:ascii="宋体" w:hAnsi="宋体" w:eastAsia="宋体" w:cs="宋体"/>
                <w:color w:val="000000"/>
                <w:sz w:val="24"/>
              </w:rPr>
            </w:r>
            <w:r/>
          </w:p>
          <w:p>
            <w:pPr>
              <w:pStyle w:val="864"/>
              <w:jc w:val="left"/>
              <w:spacing w:line="360" w:lineRule="exact"/>
              <w:widowControl/>
              <w:rPr>
                <w:rFonts w:ascii="宋体" w:hAnsi="宋体" w:eastAsia="宋体" w:cs="宋体"/>
                <w:color w:val="000000"/>
                <w:sz w:val="24"/>
              </w:rPr>
            </w:pPr>
            <w:r>
              <w:rPr>
                <w:rFonts w:hint="eastAsia" w:ascii="宋体" w:hAnsi="宋体" w:eastAsia="宋体" w:cs="宋体"/>
                <w:b/>
                <w:bCs/>
                <w:color w:val="000000"/>
                <w:sz w:val="24"/>
              </w:rPr>
              <w:t xml:space="preserve">注：提供合同原件扫描件或图片。</w:t>
            </w:r>
            <w:r>
              <w:rPr>
                <w:rFonts w:ascii="宋体" w:hAnsi="宋体" w:eastAsia="宋体" w:cs="宋体"/>
                <w:color w:val="000000"/>
                <w:sz w:val="24"/>
              </w:rPr>
            </w:r>
            <w:r/>
          </w:p>
        </w:tc>
        <w:tc>
          <w:tcPr>
            <w:tcW w:w="765" w:type="dxa"/>
            <w:vAlign w:val="center"/>
            <w:textDirection w:val="lrTb"/>
            <w:noWrap w:val="false"/>
          </w:tcPr>
          <w:p>
            <w:pPr>
              <w:pStyle w:val="864"/>
              <w:jc w:val="center"/>
              <w:spacing w:line="320" w:lineRule="exact"/>
              <w:rPr>
                <w:rFonts w:ascii="宋体" w:hAnsi="宋体" w:eastAsia="宋体" w:cs="宋体"/>
                <w:sz w:val="24"/>
              </w:rPr>
            </w:pPr>
            <w:r>
              <w:rPr>
                <w:rFonts w:ascii="宋体" w:hAnsi="宋体" w:eastAsia="宋体" w:cs="宋体"/>
                <w:sz w:val="24"/>
              </w:rPr>
            </w:r>
            <w:r/>
          </w:p>
        </w:tc>
      </w:tr>
      <w:tr>
        <w:trPr>
          <w:trHeight w:val="2930"/>
        </w:trPr>
        <w:tc>
          <w:tcPr>
            <w:tcW w:w="675" w:type="dxa"/>
            <w:vAlign w:val="center"/>
            <w:textDirection w:val="lrTb"/>
            <w:noWrap w:val="false"/>
          </w:tcPr>
          <w:p>
            <w:pPr>
              <w:pStyle w:val="864"/>
              <w:ind w:firstLine="28"/>
              <w:jc w:val="center"/>
              <w:spacing w:line="360" w:lineRule="exact"/>
              <w:rPr>
                <w:rFonts w:ascii="宋体" w:hAnsi="宋体" w:eastAsia="宋体" w:cs="宋体"/>
                <w:color w:val="000000"/>
                <w:sz w:val="24"/>
                <w:lang w:bidi="ar"/>
              </w:rPr>
            </w:pPr>
            <w:r>
              <w:rPr>
                <w:rFonts w:hint="eastAsia" w:ascii="宋体" w:hAnsi="宋体" w:eastAsia="宋体" w:cs="宋体"/>
                <w:color w:val="000000"/>
                <w:sz w:val="24"/>
                <w:lang w:bidi="ar"/>
              </w:rPr>
              <w:t xml:space="preserve">3.4</w:t>
            </w:r>
            <w:r>
              <w:rPr>
                <w:rFonts w:ascii="宋体" w:hAnsi="宋体" w:eastAsia="宋体" w:cs="宋体"/>
                <w:color w:val="000000"/>
                <w:sz w:val="24"/>
                <w:lang w:bidi="ar"/>
              </w:rPr>
            </w:r>
            <w:r/>
          </w:p>
        </w:tc>
        <w:tc>
          <w:tcPr>
            <w:tcW w:w="1230" w:type="dxa"/>
            <w:vAlign w:val="center"/>
            <w:textDirection w:val="lrTb"/>
            <w:noWrap w:val="false"/>
          </w:tcPr>
          <w:p>
            <w:pPr>
              <w:pStyle w:val="86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应急处置响应时间</w:t>
            </w:r>
            <w:r>
              <w:rPr>
                <w:rFonts w:ascii="宋体" w:hAnsi="宋体" w:eastAsia="宋体" w:cs="宋体"/>
                <w:b/>
                <w:bCs/>
                <w:color w:val="000000"/>
                <w:sz w:val="24"/>
                <w:highlight w:val="none"/>
              </w:rPr>
            </w:r>
            <w:r/>
          </w:p>
        </w:tc>
        <w:tc>
          <w:tcPr>
            <w:tcW w:w="780" w:type="dxa"/>
            <w:vAlign w:val="center"/>
            <w:textDirection w:val="lrTb"/>
            <w:noWrap w:val="false"/>
          </w:tcPr>
          <w:p>
            <w:pPr>
              <w:pStyle w:val="86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7111" w:type="dxa"/>
            <w:vAlign w:val="bottom"/>
            <w:textDirection w:val="lrTb"/>
            <w:noWrap w:val="false"/>
          </w:tcPr>
          <w:p>
            <w:pPr>
              <w:pStyle w:val="864"/>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投标人须针对特殊及突发事件作出应急配送响应承诺：采购人启动应急处置预案时，关于手术器械的配送，投标人依据自身运力布局及应急保障能力承诺送达时限：</w:t>
            </w:r>
            <w:r>
              <w:rPr>
                <w:rFonts w:ascii="宋体" w:hAnsi="宋体" w:eastAsia="宋体" w:cs="宋体"/>
                <w:color w:val="000000"/>
                <w:sz w:val="24"/>
              </w:rPr>
            </w:r>
            <w:r/>
          </w:p>
          <w:p>
            <w:pPr>
              <w:pStyle w:val="864"/>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1.承诺可实现30分钟（含）内送达保障能力，得3分；</w:t>
            </w:r>
            <w:r>
              <w:rPr>
                <w:rFonts w:ascii="宋体" w:hAnsi="宋体" w:eastAsia="宋体" w:cs="宋体"/>
                <w:color w:val="000000"/>
                <w:sz w:val="24"/>
              </w:rPr>
            </w:r>
            <w:r/>
          </w:p>
          <w:p>
            <w:pPr>
              <w:pStyle w:val="864"/>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2.承诺可实现60分钟（含）内送达保障能力，得2分；</w:t>
            </w:r>
            <w:r>
              <w:rPr>
                <w:rFonts w:ascii="宋体" w:hAnsi="宋体" w:eastAsia="宋体" w:cs="宋体"/>
                <w:color w:val="000000"/>
                <w:sz w:val="24"/>
              </w:rPr>
            </w:r>
            <w:r/>
          </w:p>
          <w:p>
            <w:pPr>
              <w:pStyle w:val="864"/>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3.承诺可实现90分钟（含）内送达保障能力，得1分；</w:t>
            </w:r>
            <w:r>
              <w:rPr>
                <w:rFonts w:ascii="宋体" w:hAnsi="宋体" w:eastAsia="宋体" w:cs="宋体"/>
                <w:color w:val="000000"/>
                <w:sz w:val="24"/>
              </w:rPr>
            </w:r>
            <w:r/>
          </w:p>
          <w:p>
            <w:pPr>
              <w:pStyle w:val="864"/>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4.承诺无法在90分钟内完成应急送达保障的，本项不得分。</w:t>
            </w:r>
            <w:r>
              <w:rPr>
                <w:rFonts w:ascii="宋体" w:hAnsi="宋体" w:eastAsia="宋体" w:cs="宋体"/>
                <w:color w:val="000000"/>
                <w:sz w:val="24"/>
              </w:rPr>
            </w:r>
            <w:r/>
          </w:p>
          <w:p>
            <w:pPr>
              <w:pStyle w:val="864"/>
              <w:spacing w:line="36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注：提供加盖公章的承诺函，格式详见投标文件“承诺函”</w:t>
            </w:r>
            <w:r>
              <w:rPr>
                <w:rFonts w:ascii="宋体" w:hAnsi="宋体" w:eastAsia="宋体" w:cs="宋体"/>
                <w:b/>
                <w:bCs/>
                <w:color w:val="000000"/>
                <w:sz w:val="24"/>
              </w:rPr>
            </w:r>
            <w:r/>
          </w:p>
        </w:tc>
        <w:tc>
          <w:tcPr>
            <w:tcW w:w="765" w:type="dxa"/>
            <w:vAlign w:val="center"/>
            <w:textDirection w:val="lrTb"/>
            <w:noWrap w:val="false"/>
          </w:tcPr>
          <w:p>
            <w:pPr>
              <w:pStyle w:val="864"/>
              <w:jc w:val="center"/>
              <w:spacing w:line="320" w:lineRule="exact"/>
              <w:rPr>
                <w:rFonts w:ascii="宋体" w:hAnsi="宋体" w:eastAsia="宋体" w:cs="宋体"/>
                <w:sz w:val="24"/>
              </w:rPr>
            </w:pPr>
            <w:r>
              <w:rPr>
                <w:rFonts w:ascii="宋体" w:hAnsi="宋体" w:eastAsia="宋体" w:cs="宋体"/>
                <w:sz w:val="24"/>
              </w:rPr>
            </w:r>
            <w:r/>
          </w:p>
        </w:tc>
      </w:tr>
      <w:tr>
        <w:trPr>
          <w:trHeight w:val="521"/>
        </w:trPr>
        <w:tc>
          <w:tcPr>
            <w:gridSpan w:val="2"/>
            <w:tcW w:w="1905" w:type="dxa"/>
            <w:vAlign w:val="center"/>
            <w:textDirection w:val="lrTb"/>
            <w:noWrap w:val="false"/>
          </w:tcPr>
          <w:p>
            <w:pPr>
              <w:pStyle w:val="864"/>
              <w:ind w:firstLine="28"/>
              <w:jc w:val="center"/>
              <w:spacing w:line="320" w:lineRule="exact"/>
              <w:rPr>
                <w:rFonts w:ascii="宋体" w:hAnsi="宋体" w:eastAsia="宋体" w:cs="宋体"/>
                <w:sz w:val="24"/>
              </w:rPr>
            </w:pPr>
            <w:r>
              <w:rPr>
                <w:rFonts w:hint="eastAsia" w:ascii="宋体" w:hAnsi="宋体" w:eastAsia="宋体" w:cs="宋体"/>
                <w:sz w:val="24"/>
              </w:rPr>
              <w:t xml:space="preserve">合计</w:t>
            </w:r>
            <w:r>
              <w:rPr>
                <w:rFonts w:ascii="宋体" w:hAnsi="宋体" w:eastAsia="宋体" w:cs="宋体"/>
                <w:sz w:val="24"/>
              </w:rPr>
            </w:r>
            <w:r/>
          </w:p>
        </w:tc>
        <w:tc>
          <w:tcPr>
            <w:tcW w:w="780" w:type="dxa"/>
            <w:vAlign w:val="center"/>
            <w:textDirection w:val="lrTb"/>
            <w:noWrap w:val="false"/>
          </w:tcPr>
          <w:p>
            <w:pPr>
              <w:pStyle w:val="864"/>
              <w:ind w:firstLine="28"/>
              <w:jc w:val="center"/>
              <w:spacing w:line="320" w:lineRule="exact"/>
              <w:rPr>
                <w:rFonts w:ascii="宋体" w:hAnsi="宋体" w:eastAsia="宋体" w:cs="宋体"/>
                <w:sz w:val="24"/>
              </w:rPr>
            </w:pPr>
            <w:r>
              <w:rPr>
                <w:rFonts w:hint="eastAsia" w:ascii="宋体" w:hAnsi="宋体" w:eastAsia="宋体" w:cs="宋体"/>
                <w:sz w:val="24"/>
              </w:rPr>
              <w:t xml:space="preserve">100</w:t>
            </w:r>
            <w:r>
              <w:rPr>
                <w:rFonts w:ascii="宋体" w:hAnsi="宋体" w:eastAsia="宋体" w:cs="宋体"/>
                <w:sz w:val="24"/>
              </w:rPr>
            </w:r>
            <w:r/>
          </w:p>
        </w:tc>
        <w:tc>
          <w:tcPr>
            <w:gridSpan w:val="2"/>
            <w:tcW w:w="7876" w:type="dxa"/>
            <w:vAlign w:val="center"/>
            <w:textDirection w:val="lrTb"/>
            <w:noWrap w:val="false"/>
          </w:tcPr>
          <w:p>
            <w:pPr>
              <w:pStyle w:val="864"/>
              <w:spacing w:line="320" w:lineRule="exact"/>
              <w:rPr>
                <w:rFonts w:ascii="宋体" w:hAnsi="宋体" w:eastAsia="宋体" w:cs="宋体"/>
                <w:sz w:val="24"/>
              </w:rPr>
            </w:pPr>
            <w:r>
              <w:rPr>
                <w:rFonts w:ascii="宋体" w:hAnsi="宋体" w:eastAsia="宋体" w:cs="宋体"/>
                <w:sz w:val="24"/>
              </w:rPr>
            </w:r>
            <w:r/>
          </w:p>
        </w:tc>
      </w:tr>
    </w:tbl>
    <w:p>
      <w:pPr>
        <w:pStyle w:val="864"/>
        <w:jc w:val="both"/>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spacing w:line="360" w:lineRule="auto"/>
        <w:rPr>
          <w:rFonts w:hint="eastAsia" w:eastAsia="宋体"/>
          <w:color w:val="000000" w:themeColor="text1"/>
          <w:sz w:val="24"/>
        </w:rPr>
        <w:outlineLvl w:val="0"/>
      </w:pPr>
      <w:r>
        <w:rPr>
          <w:b/>
          <w:color w:val="000000" w:themeColor="text1"/>
          <w:sz w:val="36"/>
          <w:szCs w:val="36"/>
        </w:rPr>
        <w:t xml:space="preserve">第五章   采购需求</w:t>
      </w:r>
      <w:bookmarkEnd w:id="810"/>
      <w:r>
        <w:rPr>
          <w:color w:val="000000" w:themeColor="text1"/>
        </w:rPr>
      </w:r>
      <w:r/>
    </w:p>
    <w:p>
      <w:pPr>
        <w:pStyle w:val="962"/>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采购标的</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rPr>
        <w:t xml:space="preserve">采购</w:t>
      </w:r>
      <w:r>
        <w:rPr>
          <w:rFonts w:hint="eastAsia" w:ascii="宋体" w:hAnsi="宋体" w:eastAsia="宋体" w:cs="宋体"/>
          <w:bCs/>
          <w:color w:val="000000" w:themeColor="text1"/>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：常州市金坛区中医医院供应室医疗用品清洗消毒服务外包项目；</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预算金额：209万元；</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最高限价：</w:t>
      </w:r>
      <w:r>
        <w:rPr>
          <w:rFonts w:hint="eastAsia" w:ascii="宋体" w:hAnsi="宋体" w:eastAsia="宋体" w:cs="宋体"/>
          <w:color w:val="000000" w:themeColor="text1"/>
          <w:sz w:val="24"/>
          <w:szCs w:val="24"/>
          <w:u w:val="single"/>
          <w:lang w:val="en-US" w:eastAsia="zh-CN"/>
        </w:rPr>
        <w:t xml:space="preserve">209万元</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4</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 w:val="0"/>
          <w:bCs/>
          <w:color w:val="000000" w:themeColor="text1"/>
          <w:sz w:val="24"/>
          <w:szCs w:val="24"/>
          <w:lang w:val="en-US" w:eastAsia="zh-CN"/>
        </w:rPr>
        <w:t xml:space="preserve">采购需求：详见“服务内容及要求”</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color w:val="000000" w:themeColor="text1"/>
          <w:sz w:val="24"/>
          <w:szCs w:val="24"/>
          <w:u w:val="single"/>
          <w:lang w:val="en-US" w:eastAsia="zh-CN"/>
        </w:rPr>
        <w:t xml:space="preserve">详见“</w:t>
      </w:r>
      <w:r>
        <w:rPr>
          <w:rFonts w:hint="eastAsia" w:ascii="宋体" w:hAnsi="宋体" w:eastAsia="宋体" w:cs="宋体"/>
          <w:color w:val="000000" w:themeColor="text1"/>
          <w:sz w:val="24"/>
          <w:szCs w:val="24"/>
          <w:u w:val="single"/>
          <w:lang w:val="en-US" w:eastAsia="zh-CN"/>
        </w:rPr>
        <w:t xml:space="preserve">商务要求</w:t>
      </w:r>
      <w:r>
        <w:rPr>
          <w:rFonts w:hint="eastAsia" w:ascii="宋体" w:hAnsi="宋体" w:eastAsia="宋体" w:cs="宋体"/>
          <w:color w:val="000000" w:themeColor="text1"/>
          <w:sz w:val="24"/>
          <w:szCs w:val="24"/>
          <w:u w:val="single"/>
          <w:lang w:val="en-US" w:eastAsia="zh-CN"/>
        </w:rPr>
        <w:t xml:space="preserve">”</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是/否接受联合体投标：否；</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是/否接受分支机构参与响应：</w:t>
      </w:r>
      <w:r>
        <w:rPr>
          <w:rFonts w:hint="eastAsia" w:ascii="宋体" w:hAnsi="宋体" w:eastAsia="宋体" w:cs="宋体"/>
          <w:bCs/>
          <w:color w:val="000000" w:themeColor="text1"/>
          <w:sz w:val="24"/>
          <w:szCs w:val="24"/>
          <w:lang w:val="en-US" w:eastAsia="zh-CN"/>
        </w:rPr>
        <w:t xml:space="preserve">否；</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是/否属于政府购买服务：</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是/否专门面向中小企业预留采购份额：</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4"/>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本项目的特定资格要求：</w:t>
      </w:r>
      <w:r>
        <w:rPr>
          <w:rFonts w:hint="eastAsia" w:ascii="宋体" w:hAnsi="宋体" w:eastAsia="宋体" w:cs="宋体"/>
          <w:bCs/>
          <w:color w:val="000000" w:themeColor="text1"/>
          <w:sz w:val="24"/>
          <w:szCs w:val="24"/>
          <w:lang w:val="en-US" w:eastAsia="zh-CN"/>
        </w:rPr>
        <w:t xml:space="preserve">详见公告；</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lang w:val="en-US" w:eastAsia="zh-CN"/>
        </w:rPr>
        <w:t xml:space="preserve">.项目类别：服务类。</w:t>
      </w:r>
      <w:r>
        <w:rPr>
          <w:color w:val="000000" w:themeColor="text1"/>
        </w:rPr>
      </w:r>
      <w:r/>
    </w:p>
    <w:p>
      <w:pPr>
        <w:pStyle w:val="962"/>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二、</w:t>
      </w:r>
      <w:r>
        <w:rPr>
          <w:rFonts w:hint="eastAsia" w:ascii="宋体" w:hAnsi="宋体" w:eastAsia="宋体" w:cs="宋体"/>
          <w:b/>
          <w:color w:val="000000" w:themeColor="text1"/>
          <w:sz w:val="24"/>
          <w:szCs w:val="24"/>
        </w:rPr>
        <w:t xml:space="preserve">商务要求</w:t>
      </w:r>
      <w:r>
        <w:rPr>
          <w:color w:val="000000" w:themeColor="text1"/>
        </w:rPr>
      </w:r>
      <w:r/>
    </w:p>
    <w:p>
      <w:pPr>
        <w:pStyle w:val="864"/>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lang w:eastAsia="zh-CN"/>
        </w:rPr>
        <w:t xml:space="preserve">1.</w:t>
      </w:r>
      <w:r>
        <w:rPr>
          <w:rFonts w:hint="eastAsia" w:ascii="宋体" w:hAnsi="宋体" w:eastAsia="宋体" w:cs="宋体"/>
          <w:b/>
          <w:bCs/>
          <w:color w:val="000000" w:themeColor="text1"/>
          <w:sz w:val="24"/>
          <w:szCs w:val="24"/>
        </w:rPr>
        <w:t xml:space="preserve">交付（实施）的时间（期限）和地点（范围）</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color w:val="000000" w:themeColor="text1"/>
          <w:sz w:val="24"/>
          <w:szCs w:val="24"/>
          <w:u w:val="single"/>
          <w:lang w:val="en-US" w:eastAsia="zh-CN"/>
        </w:rPr>
        <w:t xml:space="preserve">1年。</w:t>
      </w:r>
      <w:r>
        <w:rPr>
          <w:color w:val="000000" w:themeColor="text1"/>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服务地点：常州市金坛区中医医院</w:t>
      </w:r>
      <w:r>
        <w:rPr>
          <w:color w:val="000000" w:themeColor="text1"/>
        </w:rPr>
      </w:r>
      <w:r/>
    </w:p>
    <w:p>
      <w:pPr>
        <w:pStyle w:val="864"/>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2.</w:t>
      </w:r>
      <w:r>
        <w:rPr>
          <w:rFonts w:hint="eastAsia" w:ascii="宋体" w:hAnsi="宋体" w:eastAsia="宋体" w:cs="宋体"/>
          <w:b/>
          <w:bCs/>
          <w:color w:val="000000" w:themeColor="text1"/>
          <w:sz w:val="24"/>
          <w:szCs w:val="24"/>
        </w:rPr>
        <w:t xml:space="preserve">付款条件（进度和方式）</w:t>
      </w:r>
      <w:r>
        <w:rPr>
          <w:color w:val="000000" w:themeColor="text1"/>
        </w:rPr>
      </w:r>
      <w:r/>
    </w:p>
    <w:p>
      <w:pPr>
        <w:pStyle w:val="864"/>
        <w:ind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1.本项目为总价包干制，</w:t>
      </w:r>
      <w:r>
        <w:rPr>
          <w:rFonts w:hint="eastAsia" w:ascii="宋体" w:hAnsi="宋体" w:eastAsia="宋体" w:cs="宋体"/>
          <w:color w:val="000000" w:themeColor="text1"/>
          <w:sz w:val="24"/>
          <w:szCs w:val="24"/>
          <w:lang w:val="en-US" w:eastAsia="zh-CN" w:bidi="ar-SA"/>
        </w:rPr>
        <w:t xml:space="preserve">甲方按季度根据相关考核表的考核结果支付消毒服务费用。</w:t>
      </w:r>
      <w:r>
        <w:rPr>
          <w:color w:val="000000" w:themeColor="text1"/>
        </w:rPr>
      </w:r>
      <w:r/>
    </w:p>
    <w:p>
      <w:pPr>
        <w:pStyle w:val="962"/>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2.中标人在每个季度第一个月的5日前将上季度的服务对账信息以《服务明细单》形式送交甲方进行确认无误后，根据最终服务费用开出发票，</w:t>
      </w:r>
      <w:r>
        <w:rPr>
          <w:rFonts w:hint="eastAsia" w:ascii="宋体" w:hAnsi="宋体" w:eastAsia="宋体" w:cs="宋体"/>
          <w:color w:val="000000" w:themeColor="text1"/>
          <w:sz w:val="24"/>
          <w:szCs w:val="24"/>
          <w:lang w:val="en-US" w:eastAsia="zh-CN"/>
        </w:rPr>
        <w:t xml:space="preserve">甲方自收到发票之日起10个工作日内付清上季度的消毒服务费用。</w:t>
      </w:r>
      <w:r>
        <w:rPr>
          <w:color w:val="000000" w:themeColor="text1"/>
        </w:rPr>
      </w:r>
      <w:r/>
    </w:p>
    <w:p>
      <w:pPr>
        <w:pStyle w:val="962"/>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三、</w:t>
      </w: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lang w:val="en-US" w:eastAsia="zh-CN"/>
        </w:rPr>
        <w:t xml:space="preserve">服务内容及要求</w:t>
      </w:r>
      <w:r>
        <w:rPr>
          <w:color w:val="000000" w:themeColor="text1"/>
        </w:rPr>
      </w:r>
      <w:r/>
    </w:p>
    <w:p>
      <w:pPr>
        <w:pStyle w:val="864"/>
        <w:numPr>
          <w:ilvl w:val="0"/>
          <w:numId w:val="0"/>
        </w:numPr>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color w:val="000000" w:themeColor="text1"/>
        </w:rPr>
      </w:r>
      <w:bookmarkStart w:id="811" w:name="_Toc99301425"/>
      <w:r>
        <w:rPr>
          <w:rFonts w:hint="eastAsia" w:ascii="宋体" w:hAnsi="宋体" w:eastAsia="宋体" w:cs="宋体"/>
          <w:b/>
          <w:bCs/>
          <w:color w:val="000000" w:themeColor="text1"/>
          <w:sz w:val="24"/>
          <w:szCs w:val="24"/>
          <w:lang w:val="en-US" w:eastAsia="zh-CN"/>
        </w:rPr>
        <w:t xml:space="preserve">（一）项目概况</w:t>
      </w:r>
      <w:r>
        <w:rPr>
          <w:color w:val="000000" w:themeColor="text1"/>
        </w:rPr>
      </w:r>
      <w:r/>
    </w:p>
    <w:p>
      <w:pPr>
        <w:pStyle w:val="864"/>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常州市金坛区中医医院</w:t>
      </w:r>
      <w:r>
        <w:rPr>
          <w:rFonts w:hint="eastAsia" w:ascii="宋体" w:hAnsi="宋体" w:eastAsia="宋体" w:cs="宋体"/>
          <w:color w:val="000000" w:themeColor="text1"/>
          <w:sz w:val="24"/>
        </w:rPr>
        <w:t xml:space="preserve">为了更好地满足医院的医疗业务发展需求，提高现有医疗资源使用效率与效能，进一步促进医院快速稳步发展，以降本增效为原则，拟采用第三方消毒外包服务模式进行优化。</w:t>
      </w:r>
      <w:r>
        <w:rPr>
          <w:color w:val="000000" w:themeColor="text1"/>
        </w:rPr>
      </w:r>
      <w:r/>
    </w:p>
    <w:p>
      <w:pPr>
        <w:pStyle w:val="864"/>
        <w:ind w:firstLine="480"/>
        <w:keepLines w:val="0"/>
        <w:keepNext w:val="0"/>
        <w:pageBreakBefore w:val="0"/>
        <w:spacing w:beforeAutospacing="0" w:afterAutospacing="0" w:line="400" w:lineRule="exact"/>
        <w:widowControl w:val="off"/>
        <w:rPr>
          <w:rFonts w:hint="eastAsia" w:ascii="宋体" w:hAnsi="宋体" w:eastAsia="宋体" w:cs="宋体"/>
          <w:color w:val="000000"/>
          <w:sz w:val="24"/>
          <w:highlight w:val="yellow"/>
        </w:rPr>
      </w:pPr>
      <w:r>
        <w:rPr>
          <w:rFonts w:hint="eastAsia" w:ascii="宋体" w:hAnsi="宋体" w:eastAsia="宋体" w:cs="宋体"/>
          <w:color w:val="000000" w:themeColor="text1"/>
          <w:sz w:val="24"/>
        </w:rPr>
        <w:t xml:space="preserve">根据2025年医院的统计，全年消毒器械包约：腔镜器械包5832包、外来器械包1040包、临床器械包61421包、精密手术器械包5</w:t>
      </w:r>
      <w:r>
        <w:rPr>
          <w:rFonts w:hint="eastAsia" w:ascii="宋体" w:hAnsi="宋体" w:eastAsia="宋体" w:cs="宋体"/>
          <w:sz w:val="24"/>
        </w:rPr>
        <w:t xml:space="preserve">400包、普通手术器械包28717包、敷料包21022包。</w:t>
      </w:r>
      <w:r>
        <w:rPr>
          <w:rFonts w:hint="eastAsia" w:ascii="宋体" w:hAnsi="宋体" w:eastAsia="宋体" w:cs="宋体"/>
          <w:color w:val="000000"/>
          <w:sz w:val="24"/>
          <w:highlight w:val="yellow"/>
        </w:rPr>
      </w:r>
      <w:r/>
    </w:p>
    <w:p>
      <w:pPr>
        <w:pStyle w:val="864"/>
        <w:ind w:firstLine="482"/>
        <w:keepLines w:val="0"/>
        <w:keepNext w:val="0"/>
        <w:pageBreakBefore w:val="0"/>
        <w:spacing w:beforeAutospacing="0" w:afterAutospacing="0" w:line="400" w:lineRule="exact"/>
        <w:widowControl w:val="off"/>
        <w:rPr>
          <w:rFonts w:hint="eastAsia" w:ascii="宋体" w:hAnsi="宋体" w:eastAsia="宋体" w:cs="宋体"/>
          <w:b/>
          <w:bCs w:val="0"/>
          <w:sz w:val="24"/>
        </w:rPr>
      </w:pPr>
      <w:r>
        <w:rPr>
          <w:rFonts w:hint="eastAsia" w:ascii="宋体" w:hAnsi="宋体" w:eastAsia="宋体" w:cs="宋体"/>
          <w:b/>
          <w:bCs w:val="0"/>
          <w:sz w:val="24"/>
          <w:szCs w:val="24"/>
          <w:lang w:val="en-US" w:eastAsia="zh-CN"/>
        </w:rPr>
        <w:t xml:space="preserve">注：上述2025年度医院统计数量，仅用于供应商对本项目报价计算。中标后，合同总价不因消毒器械数量增减而调整。</w:t>
      </w:r>
      <w:r>
        <w:rPr>
          <w:rFonts w:hint="eastAsia" w:ascii="宋体" w:hAnsi="宋体" w:eastAsia="宋体" w:cs="宋体"/>
          <w:b/>
          <w:bCs w:val="0"/>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二</w:t>
      </w:r>
      <w:r>
        <w:rPr>
          <w:rFonts w:hint="eastAsia" w:ascii="宋体" w:hAnsi="宋体" w:eastAsia="宋体" w:cs="宋体"/>
          <w:b/>
          <w:sz w:val="24"/>
        </w:rPr>
        <w:t xml:space="preserve">）总体要求：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（1）器械消毒服务内容：</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color w:val="ff0000"/>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高温、低温器械：清洗、消毒、打包、灭菌、环氧乙烷灭菌。</w:t>
      </w:r>
      <w:r>
        <w:rPr>
          <w:rFonts w:hint="eastAsia" w:ascii="宋体" w:hAnsi="宋体" w:eastAsia="宋体" w:cs="宋体"/>
          <w:color w:val="ff0000"/>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sz w:val="24"/>
          <w:lang w:val="en-US" w:eastAsia="zh-CN"/>
        </w:rPr>
        <w:t xml:space="preserve">.</w:t>
      </w:r>
      <w:r>
        <w:rPr>
          <w:rFonts w:hint="eastAsia" w:ascii="宋体" w:hAnsi="宋体" w:eastAsia="宋体" w:cs="宋体"/>
          <w:sz w:val="24"/>
        </w:rPr>
        <w:t xml:space="preserve">敷料：打包、灭菌。</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（2）投标人负责所有器械及敷料的物流运输服务。</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）服务要求：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rPr>
        <w:t xml:space="preserve">（1）器械交接地点：按采购人需求来</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64"/>
        <w:ind w:firstLine="24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rPr>
        <w:t xml:space="preserve">（2）配送时间：一天5次（具体时间根据医院实际情况制定）</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64"/>
        <w:ind w:firstLine="482"/>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注：交接时间在实际工作中可作调整；特殊情况下可加急运送，临床加急器械在规定时间（4.5小时）内完成回收至配送全流程作业</w:t>
      </w:r>
      <w:r>
        <w:rPr>
          <w:rFonts w:hint="eastAsia" w:ascii="宋体" w:hAnsi="宋体" w:eastAsia="宋体" w:cs="宋体"/>
          <w:b/>
          <w:sz w:val="24"/>
          <w:lang w:eastAsia="zh-CN"/>
        </w:rPr>
        <w:t xml:space="preserve">，</w:t>
      </w:r>
      <w:r>
        <w:rPr>
          <w:rFonts w:hint="eastAsia" w:ascii="宋体" w:hAnsi="宋体" w:eastAsia="宋体" w:cs="宋体"/>
          <w:b/>
          <w:sz w:val="24"/>
        </w:rPr>
        <w:t xml:space="preserve">保证临床正常周转要求。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（3）服务质量要求：</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1</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器械清洗、消毒及灭菌质量标准：</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1.1《WS310.1-2016医院消毒供应中心第1部分：管理规范》。</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1.2《WS310.2-2016医院消毒供应中心第2部分：清洗消毒及灭菌技术操作规范》。</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1.3《WS310.3-2016医院消毒供应中心第3部分：清洗消毒及灭菌效果监测标准》。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1.4符合《医疗机构消毒技术规范WS/T 367-2012》标准。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1.5 </w:t>
      </w:r>
      <w:r>
        <w:rPr>
          <w:rFonts w:hint="eastAsia" w:ascii="宋体" w:hAnsi="宋体" w:eastAsia="宋体" w:cs="宋体"/>
          <w:sz w:val="24"/>
          <w:lang w:eastAsia="zh-CN"/>
        </w:rPr>
        <w:t xml:space="preserve">按照《中华人民共和国</w:t>
      </w:r>
      <w:r>
        <w:rPr>
          <w:rFonts w:hint="eastAsia" w:ascii="宋体" w:hAnsi="宋体" w:eastAsia="宋体" w:cs="宋体"/>
          <w:sz w:val="24"/>
        </w:rPr>
        <w:t xml:space="preserve">卫生行业标准》执行。所有灭菌处理周期应有文字证据支持。文字记录和质量控制数据可按照要求向采购人提供。所有灭菌质控文件应留存3年以上。</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2</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包装材料：</w:t>
      </w:r>
      <w:r>
        <w:rPr>
          <w:rFonts w:hint="eastAsia" w:ascii="宋体" w:hAnsi="宋体" w:eastAsia="宋体" w:cs="宋体"/>
          <w:sz w:val="24"/>
        </w:rPr>
        <w:t xml:space="preserve">医用无纺布及纸塑袋，灭菌有效期为180天。</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3</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器械交接要求：</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3.1 投标人对所运送及转运的各类器械要做到合理摆放、轻拿轻放，污器械由投标人回收至去污区，经清点及检查后发现数量、品种及结构功能与实际不符时请在2小时内与手术室及供应室指定的专职人员联系，未经专职人员认可不得配包灭菌。</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3.2 投标人灭菌后的无菌包送至相关科室后，应和科室指定的交接人员对无菌包的数量及品种进行清点，并检查无菌包有无破包及湿包等，如不符合灭菌要求须退回重新处理。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3.3 无菌器械包使用时发现基数不符、无指示卡、器械损坏等问题，投标人应及时更换，采取应急方案，保证正常使用。</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3.4 手术植入物需做生物监测，合格后才能放行。</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3.5投标人专业人员要参与前期准备工作，</w:t>
      </w:r>
      <w:r>
        <w:rPr>
          <w:rFonts w:hint="eastAsia" w:ascii="宋体" w:hAnsi="宋体" w:eastAsia="宋体" w:cs="宋体"/>
          <w:sz w:val="24"/>
          <w:lang w:eastAsia="zh-CN"/>
        </w:rPr>
        <w:t xml:space="preserve">进驻</w:t>
      </w:r>
      <w:r>
        <w:rPr>
          <w:rFonts w:hint="eastAsia" w:ascii="宋体" w:hAnsi="宋体" w:eastAsia="宋体" w:cs="宋体"/>
          <w:sz w:val="24"/>
        </w:rPr>
        <w:t xml:space="preserve">医院供应室及临床科室了解器械的使用周转规律、熟悉各类器械结构功能作用及清洗、监测、配包等要求，并根据要求拍摄器械图册，制订器械图谱清单，并根据需要及时调整清单内容。</w:t>
      </w:r>
      <w:r>
        <w:rPr>
          <w:rFonts w:hint="eastAsia" w:ascii="宋体" w:hAnsi="宋体" w:eastAsia="宋体" w:cs="宋体"/>
          <w:sz w:val="24"/>
        </w:rPr>
      </w:r>
      <w:r/>
    </w:p>
    <w:p>
      <w:pPr>
        <w:pStyle w:val="864"/>
        <w:contextualSpacing/>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3.6投标人需提供消毒物品的追溯信息</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4</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器械状况和修理</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4.1灭菌产品投标人有责任鉴别器械是否已经不适宜继续使用并决定器械是否需要修理。采购人将污染器械交给投标方时，应双方当面交接清点器械的完整性及数量，确认无异议后签字，如发现器械损坏时由采购方负责承担器械维修相关事宜。灭菌后的器械在使用时发现有损坏，由投标方负责承担器械维修相关事宜。</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检测</w:t>
      </w:r>
      <w:r>
        <w:rPr>
          <w:rFonts w:hint="eastAsia" w:ascii="宋体" w:hAnsi="宋体" w:eastAsia="宋体" w:cs="宋体"/>
          <w:b/>
          <w:bCs/>
          <w:sz w:val="24"/>
          <w:lang w:val="en-US" w:eastAsia="zh-CN"/>
        </w:rPr>
        <w:t xml:space="preserve">:</w:t>
      </w:r>
      <w:r>
        <w:rPr>
          <w:rFonts w:hint="eastAsia" w:ascii="宋体" w:hAnsi="宋体" w:eastAsia="宋体" w:cs="宋体"/>
          <w:sz w:val="24"/>
        </w:rPr>
        <w:t xml:space="preserve">投标人每季度至少委托第三方进行一次检测，费用由投标人承担，相关检测报告提交院感科；采购人院感科每月随机抽检器械包一次，相关费用由采购人承担。</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
          <w:bCs/>
          <w:sz w:val="24"/>
        </w:rPr>
        <w:t xml:space="preserve">6</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应急预案</w:t>
      </w:r>
      <w:r>
        <w:rPr>
          <w:rFonts w:hint="eastAsia" w:ascii="宋体" w:hAnsi="宋体" w:eastAsia="宋体" w:cs="宋体"/>
          <w:sz w:val="24"/>
        </w:rPr>
        <w:t xml:space="preserve">：投标人需要提供应急预案，保障医院正常运营，若投标人由于自身问题导致影响服务，投标人需寻求第三方消毒灭菌，相关费用由投标人承担。</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w:t>
      </w:r>
      <w:r>
        <w:rPr>
          <w:rFonts w:hint="eastAsia" w:ascii="宋体" w:hAnsi="宋体" w:eastAsia="宋体" w:cs="宋体"/>
          <w:sz w:val="24"/>
        </w:rPr>
        <w:t xml:space="preserve">运送的产品清单应该每次伴随产品一同提交给采购人。相对应的服务对账单按每月提交给采购人，所提交的对账单中应该将每一样产品的服务费用明细列出。</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en-US" w:eastAsia="zh-CN"/>
        </w:rPr>
        <w:t xml:space="preserve">.</w:t>
      </w:r>
      <w:r>
        <w:rPr>
          <w:rFonts w:hint="eastAsia" w:ascii="宋体" w:hAnsi="宋体" w:eastAsia="宋体" w:cs="宋体"/>
          <w:sz w:val="24"/>
        </w:rPr>
        <w:t xml:space="preserve">采购人在产品送回后应对产品进行检查，如果发现产品有任何缺陷，采购人可以拒收产品或退回产品，投标人应该扣除该产品的消毒费用，并赔偿由于产品缺陷给采购人带来的损失。</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val="en-US" w:eastAsia="zh-CN"/>
        </w:rPr>
        <w:t xml:space="preserve">.</w:t>
      </w:r>
      <w:r>
        <w:rPr>
          <w:rFonts w:hint="eastAsia" w:ascii="宋体" w:hAnsi="宋体" w:eastAsia="宋体" w:cs="宋体"/>
          <w:sz w:val="24"/>
        </w:rPr>
        <w:t xml:space="preserve">在服务过程中，双方均需要对灭菌的器械或设备在各自的责任范围内尽其各自的义务并承担责任。</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en-US" w:eastAsia="zh-CN"/>
        </w:rPr>
        <w:t xml:space="preserve">.</w:t>
      </w:r>
      <w:r>
        <w:rPr>
          <w:rFonts w:hint="eastAsia" w:ascii="宋体" w:hAnsi="宋体" w:eastAsia="宋体" w:cs="宋体"/>
          <w:sz w:val="24"/>
        </w:rPr>
        <w:t xml:space="preserve">消毒及打包服务由投标人负责，不得再转包。</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）消毒供应服务流程要求：</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回收：</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1.1配备专用密闭容器和设置定点污物接收区。</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1.2回收车辆每次清洗、消毒、干燥备用。</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1.3在医院手术室和供应室需由投标人配备专用密闭容器和回收车辆。</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1.4车辆需洁、污分区。</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清洗：手工、机械清洗消毒流程示意图应符合标准。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消毒灭菌：高温灭菌设备齐全，能满足供应需求。</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储存发放</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4.1设专用储存场所和储存架。</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4.2有温湿度监测设备和记录。</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4.3车辆及周转箱洁污分开。</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投标人转运车符合院方供应室出入口的实际要求。</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）消毒供应服务质量要求：</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有专门部门或人员负责质量控制。</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工作人员必须接受有资质的院感质控的相关培训。</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灭菌操作人员必须有上岗证和大型设备操作证。</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有消毒灭菌质量定期检查评价制度和记录。</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rPr>
        <w:t xml:space="preserve">有设备审批、验收、维护、检修制度和记录。</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w:t>
      </w:r>
      <w:r>
        <w:rPr>
          <w:rFonts w:hint="eastAsia" w:ascii="宋体" w:hAnsi="宋体" w:eastAsia="宋体" w:cs="宋体"/>
          <w:sz w:val="24"/>
        </w:rPr>
        <w:t xml:space="preserve">有完善的监测制度和记录（包括清洗消毒、灭菌、BD效果监测和植入物生物监测）。能及时提供相关灭菌包的灭菌参数、监测结果。</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w:t>
      </w:r>
      <w:r>
        <w:rPr>
          <w:rFonts w:hint="eastAsia" w:ascii="宋体" w:hAnsi="宋体" w:eastAsia="宋体" w:cs="宋体"/>
          <w:sz w:val="24"/>
        </w:rPr>
        <w:t xml:space="preserve">有视频在线监控和条码追溯系统及操作记录反馈。</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en-US" w:eastAsia="zh-CN"/>
        </w:rPr>
        <w:t xml:space="preserve">.</w:t>
      </w:r>
      <w:r>
        <w:rPr>
          <w:rFonts w:hint="eastAsia" w:ascii="宋体" w:hAnsi="宋体" w:eastAsia="宋体" w:cs="宋体"/>
          <w:sz w:val="24"/>
        </w:rPr>
        <w:t xml:space="preserve">有设备运行参数打印包括运行时间、温度监测。</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val="en-US" w:eastAsia="zh-CN"/>
        </w:rPr>
        <w:t xml:space="preserve">.</w:t>
      </w:r>
      <w:r>
        <w:rPr>
          <w:rFonts w:hint="eastAsia" w:ascii="宋体" w:hAnsi="宋体" w:eastAsia="宋体" w:cs="宋体"/>
          <w:sz w:val="24"/>
        </w:rPr>
        <w:t xml:space="preserve">有不可抗力（高温、暴雨、台风、交管等）情况下运输意外的应急预案；有设备突发故障或院方提出紧急使用器械的应急预案。</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en-US" w:eastAsia="zh-CN"/>
        </w:rPr>
        <w:t xml:space="preserve">.</w:t>
      </w:r>
      <w:r>
        <w:rPr>
          <w:rFonts w:hint="eastAsia" w:ascii="宋体" w:hAnsi="宋体" w:eastAsia="宋体" w:cs="宋体"/>
          <w:sz w:val="24"/>
        </w:rPr>
        <w:t xml:space="preserve">应及时向服务机构反馈质量验收和质量监督存在的问题，并要求落实整改措施。</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w:t>
      </w:r>
      <w:r>
        <w:rPr>
          <w:rFonts w:hint="eastAsia" w:ascii="宋体" w:hAnsi="宋体" w:eastAsia="宋体" w:cs="宋体"/>
          <w:sz w:val="24"/>
        </w:rPr>
        <w:t xml:space="preserve">贵重器械要提供一定的保护措施，保证运送过程中的完好。</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六</w:t>
      </w:r>
      <w:r>
        <w:rPr>
          <w:rFonts w:hint="eastAsia" w:ascii="宋体" w:hAnsi="宋体" w:eastAsia="宋体" w:cs="宋体"/>
          <w:b/>
          <w:sz w:val="24"/>
        </w:rPr>
        <w:t xml:space="preserve">)器械及灭菌包追溯</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投标人内部通过专业软件对灭菌过程和质量进行追溯，能做到对灭菌包的锅次及时间的追溯，并留档可查询。</w:t>
      </w:r>
      <w:r>
        <w:rPr>
          <w:rFonts w:hint="eastAsia" w:ascii="宋体" w:hAnsi="宋体" w:eastAsia="宋体" w:cs="宋体"/>
          <w:sz w:val="24"/>
        </w:rPr>
      </w:r>
      <w:r/>
    </w:p>
    <w:p>
      <w:pPr>
        <w:pStyle w:val="864"/>
        <w:contextualSpacing/>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可对单一器械进行追溯。</w:t>
      </w:r>
      <w:r>
        <w:rPr>
          <w:rFonts w:hint="eastAsia" w:ascii="宋体" w:hAnsi="宋体" w:eastAsia="宋体" w:cs="宋体"/>
          <w:color w:val="000000"/>
          <w:sz w:val="24"/>
          <w:szCs w:val="24"/>
          <w:lang w:val="en-US" w:eastAsia="zh-CN" w:bidi="ar-SA"/>
        </w:rPr>
      </w:r>
      <w:r/>
    </w:p>
    <w:p>
      <w:pPr>
        <w:pStyle w:val="864"/>
        <w:keepLines w:val="0"/>
        <w:keepNext w:val="0"/>
        <w:pageBreakBefore w:val="0"/>
        <w:spacing w:beforeAutospacing="0" w:afterAutospacing="0" w:line="400" w:lineRule="exact"/>
        <w:widowControl w:val="off"/>
        <w:rPr>
          <w:rFonts w:hint="eastAsia" w:ascii="宋体" w:hAnsi="宋体" w:eastAsia="宋体" w:cs="宋体"/>
          <w:sz w:val="24"/>
          <w:szCs w:val="24"/>
          <w:highlight w:val="yellow"/>
          <w:lang w:val="en-US" w:eastAsia="zh-CN"/>
        </w:rPr>
      </w:pPr>
      <w:r>
        <w:rPr>
          <w:rFonts w:hint="eastAsia" w:ascii="宋体" w:hAnsi="宋体" w:eastAsia="宋体" w:cs="宋体"/>
          <w:b/>
          <w:bCs/>
          <w:color w:val="000000"/>
          <w:sz w:val="24"/>
          <w:szCs w:val="24"/>
          <w:highlight w:val="none"/>
          <w:lang w:val="en-US" w:eastAsia="zh-CN"/>
        </w:rPr>
        <w:t xml:space="preserve">（七）质量考核：</w:t>
      </w:r>
      <w:r>
        <w:rPr>
          <w:rFonts w:hint="eastAsia" w:ascii="宋体" w:hAnsi="宋体" w:eastAsia="宋体" w:cs="宋体"/>
          <w:b/>
          <w:bCs/>
          <w:sz w:val="24"/>
          <w:szCs w:val="24"/>
          <w:u w:val="single"/>
          <w:lang w:val="en-US" w:eastAsia="zh-CN"/>
        </w:rPr>
        <w:t xml:space="preserve">详见合同附件：第三方消毒供应中心季度质量考核评分表。</w:t>
      </w:r>
      <w:r>
        <w:rPr>
          <w:rFonts w:hint="eastAsia" w:ascii="宋体" w:hAnsi="宋体" w:eastAsia="宋体" w:cs="宋体"/>
          <w:sz w:val="24"/>
          <w:szCs w:val="24"/>
          <w:highlight w:val="yellow"/>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常州市金坛区中医医院供应室医疗用品清洗消毒服务外包项目</w:t>
            </w:r>
            <w:r>
              <w:rPr>
                <w:rFonts w:hint="eastAsia" w:ascii="宋体" w:hAnsi="宋体" w:eastAsia="宋体" w:cs="宋体"/>
                <w:sz w:val="24"/>
                <w:szCs w:val="24"/>
              </w:rPr>
            </w:r>
            <w:r/>
          </w:p>
        </w:tc>
        <w:tc>
          <w:tcPr>
            <w:tcW w:w="6651" w:type="dxa"/>
            <w:vAlign w:val="center"/>
            <w:textDirection w:val="lrTb"/>
            <w:noWrap w:val="false"/>
          </w:tcPr>
          <w:p>
            <w:pPr>
              <w:pStyle w:val="864"/>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lang w:val="zh-TW" w:eastAsia="zh-CN"/>
              </w:rPr>
              <w:t xml:space="preserve">本项目属于</w:t>
            </w:r>
            <w:r>
              <w:rPr>
                <w:rFonts w:hint="eastAsia" w:ascii="宋体" w:hAnsi="宋体" w:eastAsia="宋体" w:cs="宋体"/>
                <w:b/>
                <w:bCs/>
                <w:color w:val="0000ff"/>
                <w:sz w:val="24"/>
                <w:u w:val="single"/>
                <w:lang w:val="en-US" w:eastAsia="zh-CN"/>
              </w:rPr>
              <w:t xml:space="preserve">服务</w:t>
            </w:r>
            <w:r>
              <w:rPr>
                <w:rFonts w:hint="eastAsia" w:ascii="宋体" w:hAnsi="宋体" w:eastAsia="宋体" w:cs="宋体"/>
                <w:b/>
                <w:bCs/>
                <w:color w:val="0000ff"/>
                <w:sz w:val="24"/>
                <w:u w:val="single"/>
                <w:lang w:val="zh-TW" w:eastAsia="zh-CN"/>
              </w:rPr>
              <w:t xml:space="preserve">类</w:t>
            </w:r>
            <w:r>
              <w:rPr>
                <w:rFonts w:hint="eastAsia" w:ascii="宋体" w:hAnsi="宋体" w:eastAsia="宋体" w:cs="宋体"/>
                <w:sz w:val="24"/>
                <w:lang w:val="zh-TW" w:eastAsia="zh-CN"/>
              </w:rPr>
              <w:t xml:space="preserve">，采购标的对应的中小企业划分标准所属行业：</w:t>
            </w:r>
            <w:r>
              <w:rPr>
                <w:rFonts w:hint="eastAsia" w:ascii="宋体" w:hAnsi="宋体" w:eastAsia="宋体" w:cs="宋体"/>
                <w:b/>
                <w:bCs/>
                <w:color w:val="0000ff"/>
                <w:sz w:val="24"/>
                <w:u w:val="single"/>
                <w:lang w:val="en-US" w:eastAsia="zh-CN"/>
              </w:rPr>
              <w:t xml:space="preserve">其他未列明行业</w:t>
            </w:r>
            <w:r>
              <w:rPr>
                <w:rFonts w:hint="eastAsia" w:ascii="宋体" w:hAnsi="宋体" w:eastAsia="宋体" w:cs="宋体"/>
                <w:sz w:val="24"/>
              </w:rPr>
              <w:t xml:space="preserve">（《关于印发中小企业划型标准规定的通知》工信部联企业</w:t>
            </w:r>
            <w:r>
              <w:rPr>
                <w:rFonts w:hint="eastAsia" w:ascii="宋体" w:hAnsi="宋体" w:eastAsia="宋体" w:cs="宋体"/>
                <w:sz w:val="24"/>
                <w:lang w:eastAsia="zh-CN"/>
              </w:rPr>
              <w:t xml:space="preserve">〔2011〕300号</w:t>
            </w:r>
            <w:r>
              <w:rPr>
                <w:rFonts w:hint="eastAsia" w:ascii="宋体" w:hAnsi="宋体" w:eastAsia="宋体" w:cs="宋体"/>
                <w:sz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864"/>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五、报价方式</w:t>
      </w:r>
      <w:r>
        <w:rPr>
          <w:rFonts w:hint="eastAsia" w:ascii="宋体" w:hAnsi="宋体" w:eastAsia="宋体" w:cs="宋体"/>
          <w:b/>
          <w:bCs w:val="0"/>
          <w:color w:val="000000"/>
          <w:sz w:val="24"/>
          <w:szCs w:val="24"/>
          <w:lang w:val="en-US" w:eastAsia="zh-CN"/>
        </w:rPr>
      </w:r>
      <w:r/>
    </w:p>
    <w:p>
      <w:pPr>
        <w:pStyle w:val="864"/>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1.本项目报价方式为</w:t>
      </w:r>
      <w:r>
        <w:rPr>
          <w:rFonts w:hint="eastAsia" w:ascii="宋体" w:hAnsi="宋体" w:eastAsia="宋体" w:cs="宋体"/>
          <w:b/>
          <w:bCs w:val="0"/>
          <w:color w:val="000000"/>
          <w:sz w:val="24"/>
          <w:szCs w:val="24"/>
          <w:u w:val="single"/>
          <w:lang w:val="en-US" w:eastAsia="zh-CN"/>
        </w:rPr>
        <w:t xml:space="preserve">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color w:val="000000"/>
          <w:sz w:val="24"/>
        </w:rPr>
        <w:t xml:space="preserve">包含但不限于服务所需的人工材料费、机械费、运输费，各项人员费用、税金、利润，以及提供消毒服务所需要的其他所有费用</w:t>
      </w:r>
      <w:r>
        <w:rPr>
          <w:rFonts w:hint="eastAsia" w:ascii="宋体" w:hAnsi="宋体" w:eastAsia="宋体" w:cs="宋体"/>
          <w:b w:val="0"/>
          <w:bCs/>
          <w:color w:val="000000"/>
          <w:sz w:val="24"/>
          <w:szCs w:val="24"/>
          <w:lang w:val="en-US" w:eastAsia="zh-CN"/>
        </w:rPr>
        <w:t xml:space="preserve">。采购人不再支付任何费用。</w:t>
      </w:r>
      <w:r>
        <w:rPr>
          <w:rFonts w:hint="eastAsia" w:ascii="宋体" w:hAnsi="宋体" w:eastAsia="宋体" w:cs="宋体"/>
          <w:b w:val="0"/>
          <w:bCs/>
          <w:color w:val="000000"/>
          <w:sz w:val="24"/>
          <w:szCs w:val="24"/>
          <w:lang w:val="en-US" w:eastAsia="zh-CN"/>
        </w:rPr>
      </w:r>
      <w:r/>
    </w:p>
    <w:p>
      <w:pPr>
        <w:pStyle w:val="864"/>
        <w:numPr>
          <w:ilvl w:val="0"/>
          <w:numId w:val="0"/>
        </w:numPr>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应对现场进行踏勘，但费用由投标人自行承担。投标人在投标时应充分考虑现场实际情况，详细了解涉及到的器械及敷料的具体临床需求，结合实际情况做合理报价，采购人不负担因投标人对现场情况考虑不周而产生的其他任何费用。</w:t>
      </w:r>
      <w:r>
        <w:rPr>
          <w:rFonts w:hint="eastAsia" w:ascii="宋体" w:hAnsi="宋体" w:eastAsia="宋体" w:cs="宋体"/>
          <w:b w:val="0"/>
          <w:bCs/>
          <w:color w:val="000000"/>
          <w:sz w:val="24"/>
          <w:szCs w:val="24"/>
          <w:lang w:val="en-US" w:eastAsia="zh-CN"/>
        </w:rPr>
      </w:r>
      <w:r/>
    </w:p>
    <w:p>
      <w:pPr>
        <w:pStyle w:val="864"/>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val="0"/>
          <w:color w:val="000000"/>
          <w:sz w:val="24"/>
          <w:szCs w:val="24"/>
          <w:lang w:val="en-US" w:eastAsia="zh-CN"/>
        </w:rPr>
        <w:t xml:space="preserve">六、</w:t>
      </w:r>
      <w:r>
        <w:rPr>
          <w:rFonts w:hint="eastAsia" w:ascii="宋体" w:hAnsi="宋体" w:eastAsia="宋体" w:cs="宋体"/>
          <w:b/>
          <w:bCs/>
          <w:sz w:val="24"/>
          <w:szCs w:val="24"/>
          <w:lang w:val="en-US" w:eastAsia="zh-CN" w:bidi="ar-SA"/>
        </w:rPr>
        <w:t xml:space="preserve">实质性条款</w:t>
      </w:r>
      <w:r>
        <w:rPr>
          <w:rFonts w:hint="eastAsia" w:ascii="宋体" w:hAnsi="宋体" w:eastAsia="宋体" w:cs="宋体"/>
          <w:b/>
          <w:bCs/>
          <w:sz w:val="24"/>
          <w:szCs w:val="24"/>
          <w:lang w:val="en-US" w:eastAsia="zh-CN" w:bidi="ar-SA"/>
        </w:rPr>
      </w:r>
      <w:r/>
    </w:p>
    <w:tbl>
      <w:tblPr>
        <w:tblW w:w="50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9151"/>
      </w:tblGrid>
      <w:tr>
        <w:trPr>
          <w:trHeight w:val="465"/>
        </w:trPr>
        <w:tc>
          <w:tcPr>
            <w:tcW w:w="421"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578" w:type="dxa"/>
            <w:vAlign w:val="center"/>
            <w:textDirection w:val="lrTb"/>
            <w:noWrap w:val="false"/>
          </w:tcPr>
          <w:p>
            <w:pPr>
              <w:pStyle w:val="864"/>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640"/>
        </w:trPr>
        <w:tc>
          <w:tcPr>
            <w:tcW w:w="421"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4578" w:type="dxa"/>
            <w:vAlign w:val="center"/>
            <w:textDirection w:val="lrTb"/>
            <w:noWrap w:val="false"/>
          </w:tcPr>
          <w:p>
            <w:pPr>
              <w:pStyle w:val="864"/>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color w:val="000000"/>
                <w:sz w:val="24"/>
                <w:szCs w:val="24"/>
                <w:highlight w:val="none"/>
                <w:lang w:val="en-US" w:eastAsia="zh-CN" w:bidi="ar-SA"/>
              </w:rPr>
              <w:t xml:space="preserve">满足采购需求加★项内容条款</w:t>
            </w:r>
            <w:r>
              <w:rPr>
                <w:rFonts w:hint="eastAsia" w:ascii="宋体" w:hAnsi="宋体" w:eastAsia="宋体" w:cs="宋体"/>
                <w:sz w:val="24"/>
                <w:szCs w:val="24"/>
              </w:rPr>
            </w:r>
            <w:r/>
          </w:p>
        </w:tc>
      </w:tr>
    </w:tbl>
    <w:p>
      <w:pPr>
        <w:pStyle w:val="864"/>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七、项目清单</w:t>
      </w:r>
      <w:r>
        <w:rPr>
          <w:rFonts w:hint="eastAsia" w:ascii="宋体" w:hAnsi="宋体" w:eastAsia="宋体" w:cs="宋体"/>
          <w:b/>
          <w:bCs w:val="0"/>
          <w:color w:val="000000"/>
          <w:sz w:val="24"/>
          <w:szCs w:val="24"/>
          <w:lang w:val="en-US" w:eastAsia="zh-CN"/>
        </w:rPr>
      </w:r>
      <w:r/>
    </w:p>
    <w:tbl>
      <w:tblPr>
        <w:tblW w:w="49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145"/>
        <w:gridCol w:w="1100"/>
        <w:gridCol w:w="1466"/>
        <w:gridCol w:w="2277"/>
      </w:tblGrid>
      <w:tr>
        <w:trPr>
          <w:trHeight w:val="533"/>
        </w:trPr>
        <w:tc>
          <w:tcPr>
            <w:tcW w:w="430" w:type="dxa"/>
            <w:vAlign w:val="center"/>
            <w:textDirection w:val="lrTb"/>
            <w:noWrap w:val="false"/>
          </w:tcPr>
          <w:p>
            <w:pPr>
              <w:pStyle w:val="864"/>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107" w:type="dxa"/>
            <w:vAlign w:val="center"/>
            <w:textDirection w:val="lrTb"/>
            <w:noWrap w:val="false"/>
          </w:tcPr>
          <w:p>
            <w:pPr>
              <w:pStyle w:val="864"/>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项目</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59" w:type="dxa"/>
            <w:vAlign w:val="center"/>
            <w:textDirection w:val="lrTb"/>
            <w:noWrap w:val="false"/>
          </w:tcPr>
          <w:p>
            <w:pPr>
              <w:pStyle w:val="864"/>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745" w:type="dxa"/>
            <w:vAlign w:val="center"/>
            <w:textDirection w:val="lrTb"/>
            <w:noWrap w:val="false"/>
          </w:tcPr>
          <w:p>
            <w:pPr>
              <w:pStyle w:val="864"/>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157"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613"/>
        </w:trPr>
        <w:tc>
          <w:tcPr>
            <w:tcW w:w="430"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107"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常州市金坛区中医医院供应室医疗用品清洗消毒服务外包项目</w:t>
            </w:r>
            <w:r>
              <w:rPr>
                <w:rFonts w:hint="eastAsia" w:ascii="宋体" w:hAnsi="宋体" w:eastAsia="宋体" w:cs="宋体"/>
                <w:sz w:val="24"/>
                <w:szCs w:val="24"/>
                <w:lang w:val="en-US" w:eastAsia="zh-CN" w:bidi="ar-SA"/>
              </w:rPr>
            </w:r>
            <w:r/>
          </w:p>
        </w:tc>
        <w:tc>
          <w:tcPr>
            <w:tcW w:w="559"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745"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bidi="ar-SA"/>
              </w:rPr>
            </w:r>
            <w:r/>
          </w:p>
        </w:tc>
        <w:tc>
          <w:tcPr>
            <w:tcW w:w="1157" w:type="dxa"/>
            <w:vAlign w:val="center"/>
            <w:textDirection w:val="lrTb"/>
            <w:noWrap w:val="false"/>
          </w:tcPr>
          <w:p>
            <w:pPr>
              <w:pStyle w:val="864"/>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b/>
          <w:sz w:val="36"/>
          <w:szCs w:val="36"/>
        </w:rPr>
        <w:outlineLvl w:val="0"/>
      </w:pPr>
      <w:r>
        <w:rPr>
          <w:rFonts w:hint="eastAsia" w:ascii="宋体" w:hAnsi="宋体" w:cs="宋体"/>
          <w:b/>
          <w:sz w:val="36"/>
          <w:szCs w:val="36"/>
          <w:lang w:eastAsia="zh-CN"/>
        </w:rPr>
        <w:t xml:space="preserve">常州市金坛区中医医院供应室医疗用品清洗消毒服务外包项目</w:t>
      </w:r>
      <w:r>
        <w:rPr>
          <w:rFonts w:hint="eastAsia" w:ascii="宋体" w:hAnsi="宋体" w:cs="宋体"/>
          <w:b/>
          <w:sz w:val="36"/>
          <w:szCs w:val="36"/>
        </w:rPr>
        <w:t xml:space="preserve">合同</w:t>
      </w:r>
      <w:r>
        <w:rPr>
          <w:rFonts w:hint="eastAsia"/>
          <w:b/>
          <w:sz w:val="36"/>
          <w:szCs w:val="36"/>
        </w:rPr>
      </w:r>
      <w:r/>
    </w:p>
    <w:p>
      <w:pPr>
        <w:pStyle w:val="864"/>
        <w:jc w:val="both"/>
        <w:spacing w:line="360" w:lineRule="auto"/>
        <w:rPr>
          <w:rFonts w:hint="eastAsia"/>
          <w:b/>
          <w:sz w:val="36"/>
          <w:szCs w:val="36"/>
        </w:rPr>
        <w:outlineLvl w:val="0"/>
      </w:pPr>
      <w:r>
        <w:rPr>
          <w:rFonts w:hint="eastAsia"/>
          <w:b/>
          <w:sz w:val="36"/>
          <w:szCs w:val="36"/>
        </w:rPr>
      </w:r>
      <w:r/>
    </w:p>
    <w:p>
      <w:pPr>
        <w:pStyle w:val="86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864"/>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864"/>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864"/>
        <w:spacing w:line="360" w:lineRule="auto"/>
        <w:tabs>
          <w:tab w:val="left" w:pos="900" w:leader="none"/>
          <w:tab w:val="left" w:pos="1080" w:leader="none"/>
        </w:tabs>
        <w:rPr>
          <w:sz w:val="18"/>
          <w:szCs w:val="18"/>
        </w:rPr>
      </w:pPr>
      <w:r>
        <w:rPr>
          <w:sz w:val="18"/>
          <w:szCs w:val="18"/>
        </w:rPr>
      </w:r>
      <w:r/>
    </w:p>
    <w:p>
      <w:pPr>
        <w:pStyle w:val="864"/>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864"/>
        <w:jc w:val="center"/>
        <w:rPr>
          <w:rFonts w:hint="eastAsia" w:ascii="宋体" w:hAnsi="宋体" w:eastAsia="宋体" w:cs="宋体"/>
          <w:b/>
          <w:bCs/>
          <w:color w:val="000000"/>
          <w:sz w:val="32"/>
          <w:szCs w:val="32"/>
        </w:rPr>
      </w:pPr>
      <w:r/>
      <w:bookmarkStart w:id="812" w:name="_Toc99301426"/>
      <w:r>
        <w:rPr>
          <w:rFonts w:hint="eastAsia" w:ascii="宋体" w:hAnsi="宋体" w:eastAsia="宋体" w:cs="宋体"/>
          <w:b/>
          <w:bCs/>
          <w:color w:val="000000"/>
          <w:sz w:val="32"/>
          <w:szCs w:val="32"/>
          <w:lang w:eastAsia="zh-CN"/>
        </w:rPr>
        <w:t xml:space="preserve">常州市金坛区中医医院供应室医疗用品清洗消毒服务外包项目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864"/>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864"/>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864"/>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864"/>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u w:val="single"/>
          <w:lang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864"/>
        <w:contextualSpacing/>
        <w:ind w:left="0" w:firstLine="241"/>
        <w:jc w:val="both"/>
        <w:keepLines w:val="0"/>
        <w:keepNext w:val="0"/>
        <w:pageBreakBefore w:val="0"/>
        <w:spacing w:line="400" w:lineRule="exact"/>
        <w:widowControl w:val="off"/>
        <w:rPr>
          <w:rFonts w:hint="eastAsia" w:ascii="Calibri" w:hAnsi="Calibri" w:eastAsia="宋体" w:cs="Times New Roman"/>
          <w:bCs/>
          <w:sz w:val="24"/>
          <w:szCs w:val="24"/>
          <w:lang w:val="en-US" w:eastAsia="zh-CN" w:bidi="ar-SA"/>
        </w:rPr>
      </w:pPr>
      <w:r>
        <w:rPr>
          <w:rFonts w:hint="eastAsia" w:ascii="Times New Roman" w:hAnsi="Times New Roman" w:eastAsia="宋体" w:cs="Times New Roman"/>
          <w:b/>
          <w:sz w:val="24"/>
          <w:szCs w:val="24"/>
          <w:lang w:val="en-US" w:eastAsia="zh-CN" w:bidi="ar-SA"/>
        </w:rPr>
        <w:t xml:space="preserve">一、</w:t>
      </w:r>
      <w:r>
        <w:rPr>
          <w:rFonts w:ascii="Times New Roman" w:hAnsi="Times New Roman" w:eastAsia="宋体" w:cs="Times New Roman"/>
          <w:b/>
          <w:sz w:val="24"/>
          <w:szCs w:val="24"/>
          <w:lang w:val="en-US" w:eastAsia="zh-CN" w:bidi="ar-SA"/>
        </w:rPr>
        <w:t xml:space="preserve">采购标的</w:t>
      </w:r>
      <w:r>
        <w:rPr>
          <w:rFonts w:hint="eastAsia" w:ascii="Calibri" w:hAnsi="Calibri" w:eastAsia="宋体" w:cs="Times New Roman"/>
          <w:bCs/>
          <w:sz w:val="24"/>
          <w:szCs w:val="24"/>
          <w:lang w:val="en-US" w:eastAsia="zh-CN" w:bidi="ar-SA"/>
        </w:rPr>
      </w:r>
      <w:r/>
    </w:p>
    <w:p>
      <w:pPr>
        <w:pStyle w:val="864"/>
        <w:ind w:left="0" w:firstLine="720"/>
        <w:jc w:val="left"/>
        <w:keepLines w:val="0"/>
        <w:keepNext w:val="0"/>
        <w:pageBreakBefore w:val="0"/>
        <w:spacing w:line="40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1、</w:t>
      </w:r>
      <w:r>
        <w:rPr>
          <w:rFonts w:hint="eastAsia" w:ascii="Times New Roman" w:hAnsi="Times New Roman" w:eastAsia="宋体" w:cs="Times New Roman"/>
          <w:bCs/>
          <w:sz w:val="24"/>
          <w:szCs w:val="24"/>
        </w:rPr>
        <w:t xml:space="preserve">标的名称：</w:t>
      </w:r>
      <w:r>
        <w:rPr>
          <w:rFonts w:hint="eastAsia" w:ascii="Times New Roman" w:hAnsi="Times New Roman" w:eastAsia="宋体" w:cs="Times New Roman"/>
          <w:bCs/>
          <w:sz w:val="24"/>
          <w:szCs w:val="24"/>
        </w:rPr>
      </w:r>
      <w:r/>
    </w:p>
    <w:p>
      <w:pPr>
        <w:pStyle w:val="864"/>
        <w:ind w:left="0" w:firstLine="720"/>
        <w:jc w:val="left"/>
        <w:keepLines w:val="0"/>
        <w:keepNext w:val="0"/>
        <w:pageBreakBefore w:val="0"/>
        <w:spacing w:line="400" w:lineRule="exact"/>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2、</w:t>
      </w:r>
      <w:r>
        <w:rPr>
          <w:rFonts w:hint="eastAsia" w:ascii="Times New Roman" w:hAnsi="Times New Roman" w:eastAsia="宋体" w:cs="Times New Roman"/>
          <w:bCs/>
          <w:sz w:val="24"/>
          <w:szCs w:val="24"/>
        </w:rPr>
        <w:t xml:space="preserve">标的质量：</w:t>
      </w:r>
      <w:r>
        <w:rPr>
          <w:rFonts w:hint="eastAsia" w:ascii="Times New Roman" w:hAnsi="Times New Roman" w:eastAsia="宋体" w:cs="Times New Roman"/>
          <w:bCs/>
          <w:sz w:val="24"/>
          <w:szCs w:val="24"/>
          <w:lang w:val="en-US" w:eastAsia="zh-CN"/>
        </w:rPr>
        <w:t xml:space="preserve">合格，满足甲方要求、符合行业及国家规定标准。</w:t>
      </w:r>
      <w:r>
        <w:rPr>
          <w:rFonts w:ascii="Times New Roman" w:hAnsi="Times New Roman" w:eastAsia="宋体" w:cs="Times New Roman"/>
          <w:bCs/>
          <w:sz w:val="24"/>
          <w:szCs w:val="24"/>
          <w:lang w:val="en-US" w:eastAsia="zh-CN"/>
        </w:rPr>
      </w:r>
      <w:r/>
    </w:p>
    <w:p>
      <w:pPr>
        <w:pStyle w:val="864"/>
        <w:ind w:left="0" w:firstLine="720"/>
        <w:jc w:val="left"/>
        <w:keepLines w:val="0"/>
        <w:keepNext w:val="0"/>
        <w:pageBreakBefore w:val="0"/>
        <w:spacing w:line="400" w:lineRule="exact"/>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sz w:val="24"/>
          <w:szCs w:val="24"/>
          <w:lang w:val="en-US" w:eastAsia="zh-CN"/>
        </w:rPr>
        <w:t xml:space="preserve">3、</w:t>
      </w:r>
      <w:r>
        <w:rPr>
          <w:rFonts w:hint="eastAsia" w:ascii="Times New Roman" w:hAnsi="Times New Roman" w:eastAsia="宋体" w:cs="Times New Roman"/>
          <w:bCs/>
          <w:sz w:val="24"/>
          <w:szCs w:val="24"/>
        </w:rPr>
        <w:t xml:space="preserve">履行时</w:t>
      </w:r>
      <w:r>
        <w:rPr>
          <w:rFonts w:hint="eastAsia" w:ascii="Times New Roman" w:hAnsi="Times New Roman" w:eastAsia="宋体" w:cs="Times New Roman"/>
          <w:bCs/>
          <w:color w:val="000000" w:themeColor="text1"/>
          <w:sz w:val="24"/>
          <w:szCs w:val="24"/>
        </w:rPr>
        <w:t xml:space="preserve">间（期限）：</w:t>
      </w: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年</w:t>
      </w:r>
      <w:r>
        <w:rPr>
          <w:rFonts w:hint="eastAsia" w:ascii="宋体" w:hAnsi="宋体" w:eastAsia="宋体" w:cs="宋体"/>
          <w:color w:val="000000" w:themeColor="text1"/>
          <w:sz w:val="24"/>
          <w:szCs w:val="24"/>
          <w:lang w:eastAsia="zh-CN" w:bidi="ar"/>
        </w:rPr>
        <w:t xml:space="preserve">，</w:t>
      </w:r>
      <w:r>
        <w:rPr>
          <w:rFonts w:ascii="宋体" w:hAnsi="宋体" w:eastAsia="宋体" w:cs="宋体"/>
          <w:color w:val="000000" w:themeColor="text1"/>
          <w:spacing w:val="-4"/>
          <w:sz w:val="24"/>
          <w:szCs w:val="24"/>
          <w:u w:val="single"/>
        </w:rPr>
        <w:t xml:space="preserve">自    年   月   日  至    年   月   日</w:t>
      </w:r>
      <w:r>
        <w:rPr>
          <w:color w:val="000000" w:themeColor="text1"/>
        </w:rPr>
      </w:r>
      <w:r/>
    </w:p>
    <w:p>
      <w:pPr>
        <w:pStyle w:val="864"/>
        <w:ind w:left="0" w:firstLine="720"/>
        <w:jc w:val="left"/>
        <w:keepLines w:val="0"/>
        <w:keepNext w:val="0"/>
        <w:pageBreakBefore w:val="0"/>
        <w:spacing w:line="400" w:lineRule="exact"/>
        <w:widowControl/>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4、</w:t>
      </w:r>
      <w:r>
        <w:rPr>
          <w:rFonts w:hint="eastAsia" w:ascii="Times New Roman" w:hAnsi="Times New Roman" w:eastAsia="宋体" w:cs="Times New Roman"/>
          <w:bCs/>
          <w:color w:val="000000" w:themeColor="text1"/>
          <w:sz w:val="24"/>
          <w:szCs w:val="24"/>
        </w:rPr>
        <w:t xml:space="preserve">履行地点：</w:t>
      </w:r>
      <w:r>
        <w:rPr>
          <w:rFonts w:hint="eastAsia" w:ascii="宋体" w:hAnsi="宋体" w:eastAsia="宋体" w:cs="宋体"/>
          <w:color w:val="000000" w:themeColor="text1"/>
          <w:sz w:val="24"/>
          <w:szCs w:val="24"/>
          <w:highlight w:val="none"/>
          <w:lang w:val="en-US" w:eastAsia="zh-CN"/>
        </w:rPr>
        <w:t xml:space="preserve">常州市金坛区中医医院</w:t>
      </w:r>
      <w:r>
        <w:rPr>
          <w:color w:val="000000" w:themeColor="text1"/>
        </w:rPr>
      </w:r>
      <w:r/>
    </w:p>
    <w:p>
      <w:pPr>
        <w:pStyle w:val="864"/>
        <w:ind w:left="0" w:firstLine="720"/>
        <w:jc w:val="left"/>
        <w:keepLines w:val="0"/>
        <w:keepNext w:val="0"/>
        <w:pageBreakBefore w:val="0"/>
        <w:spacing w:line="400" w:lineRule="exact"/>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5、</w:t>
      </w:r>
      <w:r>
        <w:rPr>
          <w:rFonts w:hint="eastAsia" w:ascii="Times New Roman" w:hAnsi="Times New Roman" w:eastAsia="宋体" w:cs="Times New Roman"/>
          <w:bCs/>
          <w:color w:val="000000" w:themeColor="text1"/>
          <w:sz w:val="24"/>
          <w:szCs w:val="24"/>
        </w:rPr>
        <w:t xml:space="preserve">履行方式：</w:t>
      </w:r>
      <w:r>
        <w:rPr>
          <w:rFonts w:hint="eastAsia" w:ascii="Times New Roman" w:hAnsi="Times New Roman" w:eastAsia="宋体" w:cs="Times New Roman"/>
          <w:bCs/>
          <w:color w:val="000000" w:themeColor="text1"/>
          <w:sz w:val="24"/>
          <w:szCs w:val="24"/>
          <w:lang w:val="en-US" w:eastAsia="zh-CN"/>
        </w:rPr>
        <w:t xml:space="preserve">现场服务</w:t>
      </w:r>
      <w:r>
        <w:rPr>
          <w:rFonts w:hint="eastAsia" w:ascii="Times New Roman" w:hAnsi="Times New Roman" w:eastAsia="宋体" w:cs="Times New Roman"/>
          <w:bCs/>
          <w:color w:val="000000" w:themeColor="text1"/>
          <w:sz w:val="24"/>
          <w:szCs w:val="24"/>
        </w:rPr>
        <w:t xml:space="preserve"> </w:t>
      </w:r>
      <w:r>
        <w:rPr>
          <w:color w:val="000000" w:themeColor="text1"/>
        </w:rPr>
      </w:r>
      <w:r/>
    </w:p>
    <w:p>
      <w:pPr>
        <w:pStyle w:val="864"/>
        <w:contextualSpacing/>
        <w:ind w:left="0" w:firstLine="241"/>
        <w:jc w:val="left"/>
        <w:keepLines w:val="0"/>
        <w:keepNext w:val="0"/>
        <w:pageBreakBefore w:val="0"/>
        <w:spacing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二、</w:t>
      </w:r>
      <w:r>
        <w:rPr>
          <w:rFonts w:hint="eastAsia" w:ascii="宋体" w:hAnsi="宋体" w:eastAsia="宋体" w:cs="宋体"/>
          <w:b/>
          <w:bCs/>
          <w:color w:val="000000" w:themeColor="text1"/>
          <w:sz w:val="24"/>
          <w:szCs w:val="24"/>
          <w:lang w:val="en-US" w:eastAsia="zh-CN" w:bidi="zh-CN"/>
        </w:rPr>
        <w:t xml:space="preserve">合同总价</w:t>
      </w:r>
      <w:r>
        <w:rPr>
          <w:color w:val="000000" w:themeColor="text1"/>
        </w:rPr>
      </w:r>
      <w:r/>
    </w:p>
    <w:p>
      <w:pPr>
        <w:pStyle w:val="864"/>
        <w:ind w:left="0" w:firstLine="72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zh-CN"/>
        </w:rPr>
        <w:t xml:space="preserve">1、本合同总价为：</w:t>
      </w:r>
      <w:r>
        <w:rPr>
          <w:rFonts w:hint="eastAsia" w:ascii="宋体" w:hAnsi="宋体" w:eastAsia="宋体" w:cs="宋体"/>
          <w:color w:val="000000" w:themeColor="text1"/>
          <w:sz w:val="24"/>
          <w:szCs w:val="24"/>
          <w:u w:val="single"/>
          <w:lang w:bidi="zh-CN"/>
        </w:rPr>
        <w:t xml:space="preserve">￥        元（人民币       元整）</w:t>
      </w:r>
      <w:r>
        <w:rPr>
          <w:rFonts w:hint="eastAsia" w:ascii="宋体" w:hAnsi="宋体" w:eastAsia="宋体" w:cs="宋体"/>
          <w:color w:val="000000" w:themeColor="text1"/>
          <w:sz w:val="24"/>
          <w:szCs w:val="24"/>
          <w:lang w:bidi="zh-CN"/>
        </w:rPr>
        <w:t xml:space="preserve">。</w:t>
      </w:r>
      <w:r>
        <w:rPr>
          <w:color w:val="000000" w:themeColor="text1"/>
        </w:rPr>
      </w:r>
      <w:r/>
    </w:p>
    <w:p>
      <w:pPr>
        <w:pStyle w:val="864"/>
        <w:ind w:left="0" w:firstLine="720"/>
        <w:jc w:val="left"/>
        <w:keepLines w:val="0"/>
        <w:keepNext w:val="0"/>
        <w:pageBreakBefore w:val="0"/>
        <w:spacing w:line="40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zh-CN"/>
        </w:rPr>
        <w:t xml:space="preserve">2、合同价格形式：</w:t>
      </w:r>
      <w:r>
        <w:rPr>
          <w:rFonts w:hint="eastAsia" w:ascii="宋体" w:hAnsi="宋体" w:eastAsia="宋体" w:cs="宋体"/>
          <w:color w:val="000000" w:themeColor="text1"/>
          <w:sz w:val="24"/>
          <w:szCs w:val="24"/>
          <w:u w:val="single"/>
          <w:lang w:bidi="zh-CN"/>
        </w:rPr>
        <w:t xml:space="preserve">             </w:t>
      </w:r>
      <w:r>
        <w:rPr>
          <w:color w:val="000000" w:themeColor="text1"/>
        </w:rPr>
      </w:r>
      <w:r/>
    </w:p>
    <w:p>
      <w:pPr>
        <w:pStyle w:val="864"/>
        <w:ind w:left="0" w:firstLine="720"/>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sz w:val="24"/>
          <w:szCs w:val="24"/>
        </w:rPr>
        <w:t xml:space="preserve">3、</w:t>
      </w:r>
      <w:r>
        <w:rPr>
          <w:rFonts w:hint="eastAsia" w:ascii="宋体" w:hAnsi="宋体"/>
          <w:color w:val="000000"/>
          <w:sz w:val="24"/>
        </w:rPr>
        <w:t xml:space="preserve">合同价包含但不限于服务所需的人工材料费、机械费、运输费，各项人员费用、税金、利润，以及提供消毒服务所需要的其他所有费用。甲方不再支付报价以外的任何费用。</w:t>
      </w:r>
      <w:r>
        <w:rPr>
          <w:rFonts w:hint="eastAsia" w:ascii="宋体" w:hAnsi="宋体" w:eastAsia="宋体" w:cs="宋体"/>
          <w:b/>
          <w:bCs/>
          <w:sz w:val="24"/>
          <w:szCs w:val="24"/>
          <w:lang w:bidi="zh-CN"/>
        </w:rPr>
      </w:r>
      <w:r/>
    </w:p>
    <w:p>
      <w:pPr>
        <w:pStyle w:val="864"/>
        <w:ind w:left="0" w:firstLine="241"/>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服务内容</w:t>
      </w:r>
      <w:r>
        <w:rPr>
          <w:rFonts w:hint="eastAsia" w:ascii="宋体" w:hAnsi="宋体" w:eastAsia="宋体" w:cs="宋体"/>
          <w:b/>
          <w:bCs/>
          <w:sz w:val="24"/>
          <w:szCs w:val="24"/>
          <w:highlight w:val="none"/>
          <w:lang w:val="en-US" w:eastAsia="zh-CN"/>
        </w:rPr>
        <w:t xml:space="preserve">及要求</w:t>
      </w:r>
      <w:r>
        <w:rPr>
          <w:rFonts w:ascii="宋体" w:hAnsi="宋体" w:eastAsia="宋体" w:cs="宋体"/>
          <w:sz w:val="24"/>
          <w:szCs w:val="24"/>
          <w:highlight w:val="none"/>
          <w:lang w:val="en-US" w:eastAsia="zh-CN"/>
        </w:rPr>
      </w:r>
      <w:r/>
    </w:p>
    <w:p>
      <w:pPr>
        <w:pStyle w:val="864"/>
        <w:ind w:firstLine="241"/>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一</w:t>
      </w:r>
      <w:r>
        <w:rPr>
          <w:rFonts w:hint="eastAsia" w:ascii="宋体" w:hAnsi="宋体" w:eastAsia="宋体" w:cs="宋体"/>
          <w:b/>
          <w:sz w:val="24"/>
        </w:rPr>
        <w:t xml:space="preserve">）总体要求：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（1）器械消毒服务内容：</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color w:val="ff0000"/>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高温、低温器械：清洗、消毒、打包、灭菌、环氧乙烷灭菌。</w:t>
      </w:r>
      <w:r>
        <w:rPr>
          <w:rFonts w:hint="eastAsia" w:ascii="宋体" w:hAnsi="宋体" w:eastAsia="宋体" w:cs="宋体"/>
          <w:color w:val="ff0000"/>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sz w:val="24"/>
          <w:lang w:val="en-US" w:eastAsia="zh-CN"/>
        </w:rPr>
        <w:t xml:space="preserve">.</w:t>
      </w:r>
      <w:r>
        <w:rPr>
          <w:rFonts w:hint="eastAsia" w:ascii="宋体" w:hAnsi="宋体" w:eastAsia="宋体" w:cs="宋体"/>
          <w:sz w:val="24"/>
        </w:rPr>
        <w:t xml:space="preserve">敷料：打包、灭菌。</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乙方</w:t>
      </w:r>
      <w:r>
        <w:rPr>
          <w:rFonts w:hint="eastAsia" w:ascii="宋体" w:hAnsi="宋体" w:eastAsia="宋体" w:cs="宋体"/>
          <w:sz w:val="24"/>
        </w:rPr>
        <w:t xml:space="preserve">负责所有器械及敷料的物流运输服务。</w:t>
      </w:r>
      <w:r>
        <w:rPr>
          <w:rFonts w:hint="eastAsia" w:ascii="宋体" w:hAnsi="宋体" w:eastAsia="宋体" w:cs="宋体"/>
          <w:sz w:val="24"/>
        </w:rPr>
      </w:r>
      <w:r/>
    </w:p>
    <w:p>
      <w:pPr>
        <w:pStyle w:val="864"/>
        <w:ind w:firstLine="241"/>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二</w:t>
      </w:r>
      <w:r>
        <w:rPr>
          <w:rFonts w:hint="eastAsia" w:ascii="宋体" w:hAnsi="宋体" w:eastAsia="宋体" w:cs="宋体"/>
          <w:b/>
          <w:sz w:val="24"/>
        </w:rPr>
        <w:t xml:space="preserve">）服务要求：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rPr>
        <w:t xml:space="preserve">（1）器械交接地点：按</w:t>
      </w:r>
      <w:r>
        <w:rPr>
          <w:rFonts w:hint="eastAsia" w:ascii="宋体" w:hAnsi="宋体" w:eastAsia="宋体" w:cs="宋体"/>
          <w:sz w:val="24"/>
          <w:lang w:eastAsia="zh-CN"/>
        </w:rPr>
        <w:t xml:space="preserve">甲方</w:t>
      </w:r>
      <w:r>
        <w:rPr>
          <w:rFonts w:hint="eastAsia" w:ascii="宋体" w:hAnsi="宋体" w:eastAsia="宋体" w:cs="宋体"/>
          <w:sz w:val="24"/>
        </w:rPr>
        <w:t xml:space="preserve">需求来</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64"/>
        <w:ind w:firstLine="24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rPr>
        <w:t xml:space="preserve">（2）配送时间：一天5次（具体时间根据医院实际情况制定）</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64"/>
        <w:ind w:firstLine="482"/>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注：交接时间在实际工作中可作调整；特殊情况下可加急运送，临床加急器械在规定时间（4.5小时）内完成回收至配送全流程作业</w:t>
      </w:r>
      <w:r>
        <w:rPr>
          <w:rFonts w:hint="eastAsia" w:ascii="宋体" w:hAnsi="宋体" w:eastAsia="宋体" w:cs="宋体"/>
          <w:b/>
          <w:sz w:val="24"/>
          <w:lang w:eastAsia="zh-CN"/>
        </w:rPr>
        <w:t xml:space="preserve">，</w:t>
      </w:r>
      <w:r>
        <w:rPr>
          <w:rFonts w:hint="eastAsia" w:ascii="宋体" w:hAnsi="宋体" w:eastAsia="宋体" w:cs="宋体"/>
          <w:b/>
          <w:sz w:val="24"/>
        </w:rPr>
        <w:t xml:space="preserve">保证临床正常周转要求。</w:t>
      </w:r>
      <w:r>
        <w:rPr>
          <w:rFonts w:hint="eastAsia" w:ascii="宋体" w:hAnsi="宋体" w:eastAsia="宋体" w:cs="宋体"/>
          <w:b/>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（3）服务质量要求：</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1</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器械清洗、消毒及灭菌质量标准：</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1.1《WS310.1-2016医院消毒供应中心第1部分：管理规范》。</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1.2《WS310.2-2016医院消毒供应中心第2部分：清洗消毒及灭菌技术操作规范》。</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1.3《WS310.3-2016医院消毒供应中心第3部分：清洗消毒及灭菌效果监测标准》。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1.4符合《医疗机构消毒技术规范WS/T 367-2012》标准。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1.5 </w:t>
      </w:r>
      <w:r>
        <w:rPr>
          <w:rFonts w:hint="eastAsia" w:ascii="宋体" w:hAnsi="宋体" w:eastAsia="宋体" w:cs="宋体"/>
          <w:sz w:val="24"/>
          <w:lang w:eastAsia="zh-CN"/>
        </w:rPr>
        <w:t xml:space="preserve">按照《中华人民共和国</w:t>
      </w:r>
      <w:r>
        <w:rPr>
          <w:rFonts w:hint="eastAsia" w:ascii="宋体" w:hAnsi="宋体" w:eastAsia="宋体" w:cs="宋体"/>
          <w:sz w:val="24"/>
        </w:rPr>
        <w:t xml:space="preserve">卫生行业标准》执行。所有灭菌处理周期应有文字证据支持。文字记录和质量控制数据可按照要求向</w:t>
      </w:r>
      <w:r>
        <w:rPr>
          <w:rFonts w:hint="eastAsia" w:ascii="宋体" w:hAnsi="宋体" w:eastAsia="宋体" w:cs="宋体"/>
          <w:sz w:val="24"/>
          <w:lang w:eastAsia="zh-CN"/>
        </w:rPr>
        <w:t xml:space="preserve">甲方</w:t>
      </w:r>
      <w:r>
        <w:rPr>
          <w:rFonts w:hint="eastAsia" w:ascii="宋体" w:hAnsi="宋体" w:eastAsia="宋体" w:cs="宋体"/>
          <w:sz w:val="24"/>
        </w:rPr>
        <w:t xml:space="preserve">提供。所有灭菌质控文件应留存3年以上。</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2</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包装材料：</w:t>
      </w:r>
      <w:r>
        <w:rPr>
          <w:rFonts w:hint="eastAsia" w:ascii="宋体" w:hAnsi="宋体" w:eastAsia="宋体" w:cs="宋体"/>
          <w:sz w:val="24"/>
        </w:rPr>
        <w:t xml:space="preserve">医用无纺布及纸塑袋，灭菌有效期为180天。</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3</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器械交接要求：</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3.1 </w:t>
      </w:r>
      <w:r>
        <w:rPr>
          <w:rFonts w:hint="eastAsia" w:ascii="宋体" w:hAnsi="宋体" w:eastAsia="宋体" w:cs="宋体"/>
          <w:sz w:val="24"/>
          <w:lang w:eastAsia="zh-CN"/>
        </w:rPr>
        <w:t xml:space="preserve">乙方</w:t>
      </w:r>
      <w:r>
        <w:rPr>
          <w:rFonts w:hint="eastAsia" w:ascii="宋体" w:hAnsi="宋体" w:eastAsia="宋体" w:cs="宋体"/>
          <w:sz w:val="24"/>
        </w:rPr>
        <w:t xml:space="preserve">对所运送及转运的各类器械要做到合理摆放、轻拿轻放，污器械由</w:t>
      </w:r>
      <w:r>
        <w:rPr>
          <w:rFonts w:hint="eastAsia" w:ascii="宋体" w:hAnsi="宋体" w:eastAsia="宋体" w:cs="宋体"/>
          <w:sz w:val="24"/>
          <w:lang w:eastAsia="zh-CN"/>
        </w:rPr>
        <w:t xml:space="preserve">乙方</w:t>
      </w:r>
      <w:r>
        <w:rPr>
          <w:rFonts w:hint="eastAsia" w:ascii="宋体" w:hAnsi="宋体" w:eastAsia="宋体" w:cs="宋体"/>
          <w:sz w:val="24"/>
        </w:rPr>
        <w:t xml:space="preserve">回收至去污区，经清点及检查后发现数量、品种及结构功能与实际不符时请在2小时内与手术室及供应室指定的专职人员联系，未经专职人员认可不得配包灭菌。</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3.2 </w:t>
      </w:r>
      <w:r>
        <w:rPr>
          <w:rFonts w:hint="eastAsia" w:ascii="宋体" w:hAnsi="宋体" w:eastAsia="宋体" w:cs="宋体"/>
          <w:sz w:val="24"/>
          <w:lang w:eastAsia="zh-CN"/>
        </w:rPr>
        <w:t xml:space="preserve">乙方</w:t>
      </w:r>
      <w:r>
        <w:rPr>
          <w:rFonts w:hint="eastAsia" w:ascii="宋体" w:hAnsi="宋体" w:eastAsia="宋体" w:cs="宋体"/>
          <w:sz w:val="24"/>
        </w:rPr>
        <w:t xml:space="preserve">灭菌后的无菌包送至相关科室后，应和科室指定的交接人员对无菌包的数量及品种进行清点，并检查无菌包有无破包及湿包等，如不符合灭菌要求须退回重新处理。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3.3 无菌器械包使用时发现基数不符、无指示卡、器械损坏等问题，</w:t>
      </w:r>
      <w:r>
        <w:rPr>
          <w:rFonts w:hint="eastAsia" w:ascii="宋体" w:hAnsi="宋体" w:eastAsia="宋体" w:cs="宋体"/>
          <w:sz w:val="24"/>
          <w:lang w:eastAsia="zh-CN"/>
        </w:rPr>
        <w:t xml:space="preserve">乙方</w:t>
      </w:r>
      <w:r>
        <w:rPr>
          <w:rFonts w:hint="eastAsia" w:ascii="宋体" w:hAnsi="宋体" w:eastAsia="宋体" w:cs="宋体"/>
          <w:sz w:val="24"/>
        </w:rPr>
        <w:t xml:space="preserve">应及时更换，采取应急方案，保证正常使用。</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3.4 手术植入物需做生物监测，合格后才能放行。</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3.5</w:t>
      </w:r>
      <w:r>
        <w:rPr>
          <w:rFonts w:hint="eastAsia" w:ascii="宋体" w:hAnsi="宋体" w:eastAsia="宋体" w:cs="宋体"/>
          <w:sz w:val="24"/>
          <w:lang w:eastAsia="zh-CN"/>
        </w:rPr>
        <w:t xml:space="preserve">乙方</w:t>
      </w:r>
      <w:r>
        <w:rPr>
          <w:rFonts w:hint="eastAsia" w:ascii="宋体" w:hAnsi="宋体" w:eastAsia="宋体" w:cs="宋体"/>
          <w:sz w:val="24"/>
        </w:rPr>
        <w:t xml:space="preserve">专业人员要参与前期准备工作，</w:t>
      </w:r>
      <w:r>
        <w:rPr>
          <w:rFonts w:hint="eastAsia" w:ascii="宋体" w:hAnsi="宋体" w:eastAsia="宋体" w:cs="宋体"/>
          <w:sz w:val="24"/>
          <w:lang w:eastAsia="zh-CN"/>
        </w:rPr>
        <w:t xml:space="preserve">进驻</w:t>
      </w:r>
      <w:r>
        <w:rPr>
          <w:rFonts w:hint="eastAsia" w:ascii="宋体" w:hAnsi="宋体" w:eastAsia="宋体" w:cs="宋体"/>
          <w:sz w:val="24"/>
        </w:rPr>
        <w:t xml:space="preserve">医院供应室及临床科室了解器械的使用周转规律、熟悉各类器械结构功能作用及清洗、监测、配包等要求，并根据要求拍摄器械图册，制订器械图谱清单，并根据需要及时调整清单内容。</w:t>
      </w:r>
      <w:r>
        <w:rPr>
          <w:rFonts w:hint="eastAsia" w:ascii="宋体" w:hAnsi="宋体" w:eastAsia="宋体" w:cs="宋体"/>
          <w:sz w:val="24"/>
        </w:rPr>
      </w:r>
      <w:r/>
    </w:p>
    <w:p>
      <w:pPr>
        <w:pStyle w:val="864"/>
        <w:contextualSpacing/>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3.6</w:t>
      </w:r>
      <w:r>
        <w:rPr>
          <w:rFonts w:hint="eastAsia" w:ascii="宋体" w:hAnsi="宋体" w:eastAsia="宋体" w:cs="宋体"/>
          <w:sz w:val="24"/>
          <w:lang w:eastAsia="zh-CN"/>
        </w:rPr>
        <w:t xml:space="preserve">乙方</w:t>
      </w:r>
      <w:r>
        <w:rPr>
          <w:rFonts w:hint="eastAsia" w:ascii="宋体" w:hAnsi="宋体" w:eastAsia="宋体" w:cs="宋体"/>
          <w:sz w:val="24"/>
        </w:rPr>
        <w:t xml:space="preserve">需提供消毒物品的追溯信息</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4</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器械状况和修理</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4.1灭菌产品</w:t>
      </w:r>
      <w:r>
        <w:rPr>
          <w:rFonts w:hint="eastAsia" w:ascii="宋体" w:hAnsi="宋体" w:eastAsia="宋体" w:cs="宋体"/>
          <w:sz w:val="24"/>
          <w:lang w:eastAsia="zh-CN"/>
        </w:rPr>
        <w:t xml:space="preserve">乙方</w:t>
      </w:r>
      <w:r>
        <w:rPr>
          <w:rFonts w:hint="eastAsia" w:ascii="宋体" w:hAnsi="宋体" w:eastAsia="宋体" w:cs="宋体"/>
          <w:sz w:val="24"/>
        </w:rPr>
        <w:t xml:space="preserve">有责任鉴别器械是否已经不适宜继续使用并决定器械是否需要修理。</w:t>
      </w:r>
      <w:r>
        <w:rPr>
          <w:rFonts w:hint="eastAsia" w:ascii="宋体" w:hAnsi="宋体" w:eastAsia="宋体" w:cs="宋体"/>
          <w:sz w:val="24"/>
          <w:lang w:eastAsia="zh-CN"/>
        </w:rPr>
        <w:t xml:space="preserve">甲方</w:t>
      </w:r>
      <w:r>
        <w:rPr>
          <w:rFonts w:hint="eastAsia" w:ascii="宋体" w:hAnsi="宋体" w:eastAsia="宋体" w:cs="宋体"/>
          <w:sz w:val="24"/>
        </w:rPr>
        <w:t xml:space="preserve">将污染器械交给投标方时，应双方当面交接清点器械的完整性及数量，确认无异议后签字，如发现器械损坏时由采购方负责承担器械维修相关事宜。灭菌后的器械在使用时发现有损坏，由投标方负责承担器械维修相关事宜。</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检测</w:t>
      </w:r>
      <w:r>
        <w:rPr>
          <w:rFonts w:hint="eastAsia" w:ascii="宋体" w:hAnsi="宋体" w:eastAsia="宋体" w:cs="宋体"/>
          <w:b/>
          <w:bCs/>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5.1</w:t>
      </w:r>
      <w:r>
        <w:rPr>
          <w:rFonts w:hint="eastAsia" w:ascii="宋体" w:hAnsi="宋体" w:eastAsia="宋体" w:cs="宋体"/>
          <w:sz w:val="24"/>
          <w:lang w:eastAsia="zh-CN"/>
        </w:rPr>
        <w:t xml:space="preserve">乙方</w:t>
      </w:r>
      <w:r>
        <w:rPr>
          <w:rFonts w:hint="eastAsia" w:ascii="宋体" w:hAnsi="宋体" w:eastAsia="宋体" w:cs="宋体"/>
          <w:sz w:val="24"/>
        </w:rPr>
        <w:t xml:space="preserve">每季度至少委托第三方进行一次检测，费用由</w:t>
      </w:r>
      <w:r>
        <w:rPr>
          <w:rFonts w:hint="eastAsia" w:ascii="宋体" w:hAnsi="宋体" w:eastAsia="宋体" w:cs="宋体"/>
          <w:sz w:val="24"/>
          <w:lang w:eastAsia="zh-CN"/>
        </w:rPr>
        <w:t xml:space="preserve">乙方</w:t>
      </w:r>
      <w:r>
        <w:rPr>
          <w:rFonts w:hint="eastAsia" w:ascii="宋体" w:hAnsi="宋体" w:eastAsia="宋体" w:cs="宋体"/>
          <w:sz w:val="24"/>
        </w:rPr>
        <w:t xml:space="preserve">承担，相关检测报告提交院感科；</w:t>
      </w:r>
      <w:r>
        <w:rPr>
          <w:rFonts w:hint="eastAsia" w:ascii="宋体" w:hAnsi="宋体" w:eastAsia="宋体" w:cs="宋体"/>
          <w:sz w:val="24"/>
          <w:lang w:eastAsia="zh-CN"/>
        </w:rPr>
        <w:t xml:space="preserve">甲方</w:t>
      </w:r>
      <w:r>
        <w:rPr>
          <w:rFonts w:hint="eastAsia" w:ascii="宋体" w:hAnsi="宋体" w:eastAsia="宋体" w:cs="宋体"/>
          <w:sz w:val="24"/>
        </w:rPr>
        <w:t xml:space="preserve">院感科每月随机抽检器械包一次，相关费用由</w:t>
      </w:r>
      <w:r>
        <w:rPr>
          <w:rFonts w:hint="eastAsia" w:ascii="宋体" w:hAnsi="宋体" w:eastAsia="宋体" w:cs="宋体"/>
          <w:sz w:val="24"/>
          <w:lang w:eastAsia="zh-CN"/>
        </w:rPr>
        <w:t xml:space="preserve">甲方</w:t>
      </w:r>
      <w:r>
        <w:rPr>
          <w:rFonts w:hint="eastAsia" w:ascii="宋体" w:hAnsi="宋体" w:eastAsia="宋体" w:cs="宋体"/>
          <w:sz w:val="24"/>
        </w:rPr>
        <w:t xml:space="preserve">承担。</w:t>
      </w:r>
      <w:r>
        <w:rPr>
          <w:rFonts w:hint="eastAsia" w:ascii="宋体" w:hAnsi="宋体" w:eastAsia="宋体" w:cs="宋体"/>
          <w:sz w:val="24"/>
        </w:rPr>
      </w:r>
      <w:r/>
    </w:p>
    <w:p>
      <w:pPr>
        <w:pStyle w:val="864"/>
        <w:ind w:firstLine="482"/>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
          <w:bCs/>
          <w:sz w:val="24"/>
        </w:rPr>
        <w:t xml:space="preserve">6</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应急预案</w:t>
      </w:r>
      <w:r>
        <w:rPr>
          <w:rFonts w:hint="eastAsia" w:ascii="宋体" w:hAnsi="宋体" w:eastAsia="宋体" w:cs="宋体"/>
          <w:sz w:val="24"/>
        </w:rPr>
        <w:t xml:space="preserve">：</w:t>
      </w:r>
      <w:r>
        <w:rPr>
          <w:rFonts w:hint="eastAsia" w:ascii="宋体" w:hAnsi="宋体" w:eastAsia="宋体" w:cs="宋体"/>
          <w:sz w:val="24"/>
          <w:lang w:eastAsia="zh-CN"/>
        </w:rPr>
        <w:t xml:space="preserve">乙方</w:t>
      </w:r>
      <w:r>
        <w:rPr>
          <w:rFonts w:hint="eastAsia" w:ascii="宋体" w:hAnsi="宋体" w:eastAsia="宋体" w:cs="宋体"/>
          <w:sz w:val="24"/>
        </w:rPr>
        <w:t xml:space="preserve">需要提供应急预案，保障医院正常运营，若</w:t>
      </w:r>
      <w:r>
        <w:rPr>
          <w:rFonts w:hint="eastAsia" w:ascii="宋体" w:hAnsi="宋体" w:eastAsia="宋体" w:cs="宋体"/>
          <w:sz w:val="24"/>
          <w:lang w:eastAsia="zh-CN"/>
        </w:rPr>
        <w:t xml:space="preserve">乙方</w:t>
      </w:r>
      <w:r>
        <w:rPr>
          <w:rFonts w:hint="eastAsia" w:ascii="宋体" w:hAnsi="宋体" w:eastAsia="宋体" w:cs="宋体"/>
          <w:sz w:val="24"/>
        </w:rPr>
        <w:t xml:space="preserve">由于自身问题导致影响服务，</w:t>
      </w:r>
      <w:r>
        <w:rPr>
          <w:rFonts w:hint="eastAsia" w:ascii="宋体" w:hAnsi="宋体" w:eastAsia="宋体" w:cs="宋体"/>
          <w:sz w:val="24"/>
          <w:lang w:eastAsia="zh-CN"/>
        </w:rPr>
        <w:t xml:space="preserve">乙方</w:t>
      </w:r>
      <w:r>
        <w:rPr>
          <w:rFonts w:hint="eastAsia" w:ascii="宋体" w:hAnsi="宋体" w:eastAsia="宋体" w:cs="宋体"/>
          <w:sz w:val="24"/>
        </w:rPr>
        <w:t xml:space="preserve">需寻求第三方消毒灭菌，相关费用由</w:t>
      </w:r>
      <w:r>
        <w:rPr>
          <w:rFonts w:hint="eastAsia" w:ascii="宋体" w:hAnsi="宋体" w:eastAsia="宋体" w:cs="宋体"/>
          <w:sz w:val="24"/>
          <w:lang w:eastAsia="zh-CN"/>
        </w:rPr>
        <w:t xml:space="preserve">乙方</w:t>
      </w:r>
      <w:r>
        <w:rPr>
          <w:rFonts w:hint="eastAsia" w:ascii="宋体" w:hAnsi="宋体" w:eastAsia="宋体" w:cs="宋体"/>
          <w:sz w:val="24"/>
        </w:rPr>
        <w:t xml:space="preserve">承担。</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w:t>
      </w:r>
      <w:r>
        <w:rPr>
          <w:rFonts w:hint="eastAsia" w:ascii="宋体" w:hAnsi="宋体" w:eastAsia="宋体" w:cs="宋体"/>
          <w:sz w:val="24"/>
        </w:rPr>
        <w:t xml:space="preserve">运送的产品清单应该每次伴随产品一同提交给</w:t>
      </w:r>
      <w:r>
        <w:rPr>
          <w:rFonts w:hint="eastAsia" w:ascii="宋体" w:hAnsi="宋体" w:eastAsia="宋体" w:cs="宋体"/>
          <w:sz w:val="24"/>
          <w:lang w:eastAsia="zh-CN"/>
        </w:rPr>
        <w:t xml:space="preserve">甲方</w:t>
      </w:r>
      <w:r>
        <w:rPr>
          <w:rFonts w:hint="eastAsia" w:ascii="宋体" w:hAnsi="宋体" w:eastAsia="宋体" w:cs="宋体"/>
          <w:sz w:val="24"/>
        </w:rPr>
        <w:t xml:space="preserve">。相对应的服务对账单按每月提交给</w:t>
      </w:r>
      <w:r>
        <w:rPr>
          <w:rFonts w:hint="eastAsia" w:ascii="宋体" w:hAnsi="宋体" w:eastAsia="宋体" w:cs="宋体"/>
          <w:sz w:val="24"/>
          <w:lang w:eastAsia="zh-CN"/>
        </w:rPr>
        <w:t xml:space="preserve">甲方</w:t>
      </w:r>
      <w:r>
        <w:rPr>
          <w:rFonts w:hint="eastAsia" w:ascii="宋体" w:hAnsi="宋体" w:eastAsia="宋体" w:cs="宋体"/>
          <w:sz w:val="24"/>
        </w:rPr>
        <w:t xml:space="preserve">，所提交的对账单中应该将每一样产品的服务费用明细列出。</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甲方</w:t>
      </w:r>
      <w:r>
        <w:rPr>
          <w:rFonts w:hint="eastAsia" w:ascii="宋体" w:hAnsi="宋体" w:eastAsia="宋体" w:cs="宋体"/>
          <w:sz w:val="24"/>
        </w:rPr>
        <w:t xml:space="preserve">在产品送回后应对产品进行检查，如果发现产品有任何缺陷，</w:t>
      </w:r>
      <w:r>
        <w:rPr>
          <w:rFonts w:hint="eastAsia" w:ascii="宋体" w:hAnsi="宋体" w:eastAsia="宋体" w:cs="宋体"/>
          <w:sz w:val="24"/>
          <w:lang w:eastAsia="zh-CN"/>
        </w:rPr>
        <w:t xml:space="preserve">甲方</w:t>
      </w:r>
      <w:r>
        <w:rPr>
          <w:rFonts w:hint="eastAsia" w:ascii="宋体" w:hAnsi="宋体" w:eastAsia="宋体" w:cs="宋体"/>
          <w:sz w:val="24"/>
        </w:rPr>
        <w:t xml:space="preserve">可以拒收产品或退回产品，</w:t>
      </w:r>
      <w:r>
        <w:rPr>
          <w:rFonts w:hint="eastAsia" w:ascii="宋体" w:hAnsi="宋体" w:eastAsia="宋体" w:cs="宋体"/>
          <w:sz w:val="24"/>
          <w:lang w:eastAsia="zh-CN"/>
        </w:rPr>
        <w:t xml:space="preserve">乙方</w:t>
      </w:r>
      <w:r>
        <w:rPr>
          <w:rFonts w:hint="eastAsia" w:ascii="宋体" w:hAnsi="宋体" w:eastAsia="宋体" w:cs="宋体"/>
          <w:sz w:val="24"/>
        </w:rPr>
        <w:t xml:space="preserve">应该扣除该产品的消毒费用，并赔偿由于产品缺陷给</w:t>
      </w:r>
      <w:r>
        <w:rPr>
          <w:rFonts w:hint="eastAsia" w:ascii="宋体" w:hAnsi="宋体" w:eastAsia="宋体" w:cs="宋体"/>
          <w:sz w:val="24"/>
          <w:lang w:eastAsia="zh-CN"/>
        </w:rPr>
        <w:t xml:space="preserve">甲方</w:t>
      </w:r>
      <w:r>
        <w:rPr>
          <w:rFonts w:hint="eastAsia" w:ascii="宋体" w:hAnsi="宋体" w:eastAsia="宋体" w:cs="宋体"/>
          <w:sz w:val="24"/>
        </w:rPr>
        <w:t xml:space="preserve">带来的损失。</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val="en-US" w:eastAsia="zh-CN"/>
        </w:rPr>
        <w:t xml:space="preserve">.</w:t>
      </w:r>
      <w:r>
        <w:rPr>
          <w:rFonts w:hint="eastAsia" w:ascii="宋体" w:hAnsi="宋体" w:eastAsia="宋体" w:cs="宋体"/>
          <w:sz w:val="24"/>
        </w:rPr>
        <w:t xml:space="preserve">在服务过程中，双方均需要对灭菌的器械或设备在各自的责任范围内尽其各自的义务并承担责任。</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en-US" w:eastAsia="zh-CN"/>
        </w:rPr>
        <w:t xml:space="preserve">.</w:t>
      </w:r>
      <w:r>
        <w:rPr>
          <w:rFonts w:hint="eastAsia" w:ascii="宋体" w:hAnsi="宋体" w:eastAsia="宋体" w:cs="宋体"/>
          <w:sz w:val="24"/>
        </w:rPr>
        <w:t xml:space="preserve">消毒及打包服务由</w:t>
      </w:r>
      <w:r>
        <w:rPr>
          <w:rFonts w:hint="eastAsia" w:ascii="宋体" w:hAnsi="宋体" w:eastAsia="宋体" w:cs="宋体"/>
          <w:sz w:val="24"/>
          <w:lang w:eastAsia="zh-CN"/>
        </w:rPr>
        <w:t xml:space="preserve">乙方</w:t>
      </w:r>
      <w:r>
        <w:rPr>
          <w:rFonts w:hint="eastAsia" w:ascii="宋体" w:hAnsi="宋体" w:eastAsia="宋体" w:cs="宋体"/>
          <w:sz w:val="24"/>
        </w:rPr>
        <w:t xml:space="preserve">负责，不得再转包。</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）消毒供应服务流程要求：</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回收：</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 配备专用密闭容器和设置定点污物接收区。</w:t>
      </w:r>
      <w:r>
        <w:rPr>
          <w:rFonts w:hint="eastAsia" w:ascii="宋体" w:hAnsi="宋体" w:eastAsia="宋体" w:cs="宋体"/>
          <w:sz w:val="24"/>
        </w:rPr>
      </w:r>
      <w:r/>
    </w:p>
    <w:p>
      <w:pPr>
        <w:pStyle w:val="864"/>
        <w:ind w:firstLine="24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1.2 回收车辆每次清洗、消毒、干燥备用。</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1.3在医院手术室和供应室需由</w:t>
      </w:r>
      <w:r>
        <w:rPr>
          <w:rFonts w:hint="eastAsia" w:ascii="宋体" w:hAnsi="宋体" w:eastAsia="宋体" w:cs="宋体"/>
          <w:sz w:val="24"/>
          <w:lang w:eastAsia="zh-CN"/>
        </w:rPr>
        <w:t xml:space="preserve">乙方</w:t>
      </w:r>
      <w:r>
        <w:rPr>
          <w:rFonts w:hint="eastAsia" w:ascii="宋体" w:hAnsi="宋体" w:eastAsia="宋体" w:cs="宋体"/>
          <w:sz w:val="24"/>
        </w:rPr>
        <w:t xml:space="preserve">配备专用密闭容器和回收车辆。</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1.4车辆需洁、污分区。</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清洗：手工、机械清洗消毒流程示意图应符合标准。</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消毒灭菌：高温灭菌设备齐全，能满足供应需求。</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储存发放</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4.1 设专用储存场所和储存架。</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4.2 有温湿度监测设备和记录。</w:t>
      </w:r>
      <w:r>
        <w:rPr>
          <w:rFonts w:hint="eastAsia" w:ascii="宋体" w:hAnsi="宋体" w:eastAsia="宋体" w:cs="宋体"/>
          <w:sz w:val="24"/>
        </w:rPr>
      </w:r>
      <w:r/>
    </w:p>
    <w:p>
      <w:pPr>
        <w:pStyle w:val="864"/>
        <w:ind w:firstLine="60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4.3 车辆及周转箱洁污分开。</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乙方</w:t>
      </w:r>
      <w:r>
        <w:rPr>
          <w:rFonts w:hint="eastAsia" w:ascii="宋体" w:hAnsi="宋体" w:eastAsia="宋体" w:cs="宋体"/>
          <w:sz w:val="24"/>
        </w:rPr>
        <w:t xml:space="preserve">转运车符合院方供应室出入口的实际要求。</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）消毒供应服务质量要求：</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有专门部门或人员负责质量控制。</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工作人员必须接受有资质的院感质控的相关培训。</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灭菌操作人员必须有上岗证和大型设备操作证。</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w:t>
      </w:r>
      <w:r>
        <w:rPr>
          <w:rFonts w:hint="eastAsia" w:ascii="宋体" w:hAnsi="宋体" w:eastAsia="宋体" w:cs="宋体"/>
          <w:sz w:val="24"/>
        </w:rPr>
        <w:t xml:space="preserve">有消毒灭菌质量定期检查评价制度和记录。</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w:t>
      </w:r>
      <w:r>
        <w:rPr>
          <w:rFonts w:hint="eastAsia" w:ascii="宋体" w:hAnsi="宋体" w:eastAsia="宋体" w:cs="宋体"/>
          <w:sz w:val="24"/>
        </w:rPr>
        <w:t xml:space="preserve">有设备审批、验收、维护、检修制度和记录。</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w:t>
      </w:r>
      <w:r>
        <w:rPr>
          <w:rFonts w:hint="eastAsia" w:ascii="宋体" w:hAnsi="宋体" w:eastAsia="宋体" w:cs="宋体"/>
          <w:sz w:val="24"/>
        </w:rPr>
        <w:t xml:space="preserve">有完善的监测制度和记录（包括清洗消毒、灭菌、BD效果监测和植入物生物监测）。能及时提供相关灭菌包的灭菌参数、监测结果。</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en-US" w:eastAsia="zh-CN"/>
        </w:rPr>
        <w:t xml:space="preserve">.</w:t>
      </w:r>
      <w:r>
        <w:rPr>
          <w:rFonts w:hint="eastAsia" w:ascii="宋体" w:hAnsi="宋体" w:eastAsia="宋体" w:cs="宋体"/>
          <w:sz w:val="24"/>
        </w:rPr>
        <w:t xml:space="preserve">有视频在线监控和条码追溯系统及操作记录反馈。</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en-US" w:eastAsia="zh-CN"/>
        </w:rPr>
        <w:t xml:space="preserve">.</w:t>
      </w:r>
      <w:r>
        <w:rPr>
          <w:rFonts w:hint="eastAsia" w:ascii="宋体" w:hAnsi="宋体" w:eastAsia="宋体" w:cs="宋体"/>
          <w:sz w:val="24"/>
        </w:rPr>
        <w:t xml:space="preserve">有设备运行参数打印包括运行时间、温度监测。</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val="en-US" w:eastAsia="zh-CN"/>
        </w:rPr>
        <w:t xml:space="preserve">.</w:t>
      </w:r>
      <w:r>
        <w:rPr>
          <w:rFonts w:hint="eastAsia" w:ascii="宋体" w:hAnsi="宋体" w:eastAsia="宋体" w:cs="宋体"/>
          <w:sz w:val="24"/>
        </w:rPr>
        <w:t xml:space="preserve">有不可抗力（高温、暴雨、台风、交管等）情况下运输意外的应急预案；有设备突发故障或院方提出紧急使用器械的应急预案。</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en-US" w:eastAsia="zh-CN"/>
        </w:rPr>
        <w:t xml:space="preserve">.</w:t>
      </w:r>
      <w:r>
        <w:rPr>
          <w:rFonts w:hint="eastAsia" w:ascii="宋体" w:hAnsi="宋体" w:eastAsia="宋体" w:cs="宋体"/>
          <w:sz w:val="24"/>
        </w:rPr>
        <w:t xml:space="preserve">应及时向服务机构反馈质量验收和质量监督存在的问题，并要求落实整改措施。</w:t>
      </w:r>
      <w:r>
        <w:rPr>
          <w:rFonts w:hint="eastAsia" w:ascii="宋体" w:hAnsi="宋体" w:eastAsia="宋体" w:cs="宋体"/>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w:t>
      </w:r>
      <w:r>
        <w:rPr>
          <w:rFonts w:hint="eastAsia" w:ascii="宋体" w:hAnsi="宋体" w:eastAsia="宋体" w:cs="宋体"/>
          <w:sz w:val="24"/>
        </w:rPr>
        <w:t xml:space="preserve">贵重器械要提供一定的保护措施，保证运送过程中的完好。</w:t>
      </w:r>
      <w:r>
        <w:rPr>
          <w:rFonts w:hint="eastAsia" w:ascii="宋体" w:hAnsi="宋体" w:eastAsia="宋体" w:cs="宋体"/>
          <w:sz w:val="24"/>
        </w:rPr>
      </w:r>
      <w:r/>
    </w:p>
    <w:p>
      <w:pPr>
        <w:pStyle w:val="864"/>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)器械及灭菌包追溯</w:t>
      </w:r>
      <w:r>
        <w:rPr>
          <w:rFonts w:hint="eastAsia" w:ascii="宋体" w:hAnsi="宋体" w:eastAsia="宋体" w:cs="宋体"/>
          <w:b/>
          <w:sz w:val="24"/>
        </w:rPr>
      </w:r>
      <w:r/>
    </w:p>
    <w:p>
      <w:pPr>
        <w:pStyle w:val="86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乙方</w:t>
      </w:r>
      <w:r>
        <w:rPr>
          <w:rFonts w:hint="eastAsia" w:ascii="宋体" w:hAnsi="宋体" w:eastAsia="宋体" w:cs="宋体"/>
          <w:sz w:val="24"/>
        </w:rPr>
        <w:t xml:space="preserve">内部通过专业软件对灭菌过程和质量进行追溯，能做到对灭菌包的锅次及时间的追溯，并留档可查询。</w:t>
      </w:r>
      <w:r>
        <w:rPr>
          <w:rFonts w:hint="eastAsia" w:ascii="宋体" w:hAnsi="宋体" w:eastAsia="宋体" w:cs="宋体"/>
          <w:sz w:val="24"/>
        </w:rPr>
      </w:r>
      <w:r/>
    </w:p>
    <w:p>
      <w:pPr>
        <w:pStyle w:val="864"/>
        <w:contextualSpacing/>
        <w:ind w:firstLine="480"/>
        <w:jc w:val="left"/>
        <w:keepLines w:val="0"/>
        <w:keepNext w:val="0"/>
        <w:pageBreakBefore w:val="0"/>
        <w:spacing w:line="400" w:lineRule="exact"/>
        <w:shd w:val="clear" w:color="auto" w:fill="auto"/>
        <w:widowControl w:val="off"/>
        <w:rPr>
          <w:rFonts w:hint="eastAsia" w:ascii="宋体" w:hAnsi="宋体" w:eastAsia="宋体" w:cs="宋体"/>
          <w:color w:val="000000" w:themeColor="text1"/>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可</w:t>
      </w:r>
      <w:r>
        <w:rPr>
          <w:rFonts w:hint="eastAsia" w:ascii="宋体" w:hAnsi="宋体" w:eastAsia="宋体" w:cs="宋体"/>
          <w:color w:val="000000" w:themeColor="text1"/>
          <w:sz w:val="24"/>
          <w:szCs w:val="24"/>
          <w:lang w:val="en-US" w:eastAsia="zh-CN" w:bidi="ar-SA"/>
        </w:rPr>
        <w:t xml:space="preserve">对单一器械进行追溯。</w:t>
      </w:r>
      <w:r>
        <w:rPr>
          <w:color w:val="000000" w:themeColor="text1"/>
        </w:rPr>
      </w:r>
      <w:r/>
    </w:p>
    <w:p>
      <w:pPr>
        <w:pStyle w:val="864"/>
        <w:keepLines w:val="0"/>
        <w:keepNext w:val="0"/>
        <w:pageBreakBefore w:val="0"/>
        <w:spacing w:beforeAutospacing="0" w:afterAutospacing="0" w:line="400" w:lineRule="exact"/>
        <w:shd w:val="clear" w:color="auto" w:fill="auto"/>
        <w:widowControl w:val="off"/>
        <w:rPr>
          <w:rFonts w:ascii="宋体" w:hAnsi="宋体" w:eastAsia="宋体" w:cs="Times New Roman"/>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（六）质量考核：</w:t>
      </w:r>
      <w:r>
        <w:rPr>
          <w:rFonts w:hint="eastAsia" w:ascii="宋体" w:hAnsi="宋体" w:eastAsia="宋体" w:cs="宋体"/>
          <w:b/>
          <w:bCs/>
          <w:color w:val="000000" w:themeColor="text1"/>
          <w:sz w:val="24"/>
          <w:szCs w:val="24"/>
          <w:highlight w:val="none"/>
          <w:u w:val="single"/>
          <w:lang w:val="en-US" w:eastAsia="zh-CN"/>
        </w:rPr>
        <w:t xml:space="preserve">详见合同附件：第三方消毒供应中心季度质量考核评分表。</w:t>
      </w:r>
      <w:r>
        <w:rPr>
          <w:color w:val="000000" w:themeColor="text1"/>
          <w:highlight w:val="none"/>
        </w:rPr>
      </w:r>
      <w:r/>
    </w:p>
    <w:p>
      <w:pPr>
        <w:pStyle w:val="864"/>
        <w:ind w:firstLine="241"/>
        <w:jc w:val="left"/>
        <w:keepLines w:val="0"/>
        <w:keepNext w:val="0"/>
        <w:pageBreakBefore w:val="0"/>
        <w:spacing w:line="400" w:lineRule="exact"/>
        <w:shd w:val="clear" w:color="auto" w:fil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bidi="zh-CN"/>
        </w:rPr>
        <w:t xml:space="preserve">四</w:t>
      </w:r>
      <w:r>
        <w:rPr>
          <w:rFonts w:hint="eastAsia" w:ascii="宋体" w:hAnsi="宋体" w:eastAsia="宋体" w:cs="宋体"/>
          <w:b/>
          <w:bCs/>
          <w:color w:val="000000" w:themeColor="text1"/>
          <w:sz w:val="24"/>
          <w:szCs w:val="24"/>
          <w:lang w:val="zh-CN" w:bidi="zh-CN"/>
        </w:rPr>
        <w:t xml:space="preserve">、</w:t>
      </w:r>
      <w:r>
        <w:rPr>
          <w:rFonts w:hint="eastAsia" w:ascii="宋体" w:hAnsi="宋体" w:eastAsia="宋体" w:cs="宋体"/>
          <w:b/>
          <w:bCs/>
          <w:color w:val="000000" w:themeColor="text1"/>
          <w:sz w:val="24"/>
          <w:szCs w:val="24"/>
          <w:lang w:bidi="zh-CN"/>
        </w:rPr>
        <w:t xml:space="preserve">付款方式</w:t>
      </w:r>
      <w:r>
        <w:rPr>
          <w:color w:val="000000" w:themeColor="text1"/>
        </w:rPr>
      </w:r>
      <w:r/>
    </w:p>
    <w:p>
      <w:pPr>
        <w:pStyle w:val="864"/>
        <w:ind w:firstLine="480"/>
        <w:keepLines w:val="0"/>
        <w:keepNext w:val="0"/>
        <w:pageBreakBefore w:val="0"/>
        <w:spacing w:line="40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1.本项目为总价包干制</w:t>
      </w:r>
      <w:r>
        <w:rPr>
          <w:rFonts w:hint="eastAsia" w:ascii="宋体" w:hAnsi="宋体" w:eastAsia="宋体" w:cs="宋体"/>
          <w:color w:val="000000" w:themeColor="text1"/>
          <w:sz w:val="24"/>
          <w:szCs w:val="24"/>
          <w:highlight w:val="none"/>
          <w:lang w:val="en-US" w:eastAsia="zh-CN"/>
        </w:rPr>
        <w:t xml:space="preserve">，甲方按季度根据相关考核表的考核结果支付消毒服务费用。</w:t>
      </w:r>
      <w:r>
        <w:rPr>
          <w:color w:val="000000" w:themeColor="text1"/>
        </w:rPr>
      </w:r>
      <w:r/>
    </w:p>
    <w:p>
      <w:pPr>
        <w:pStyle w:val="864"/>
        <w:ind w:firstLine="480"/>
        <w:keepLines w:val="0"/>
        <w:keepNext w:val="0"/>
        <w:pageBreakBefore w:val="0"/>
        <w:spacing w:line="400" w:lineRule="exact"/>
        <w:shd w:val="clear" w:color="auto" w:fill="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2.中标人在每个季度第一个月的5日前将上季度的服务对账信息以《服务明细单》形式送交甲方进行确认无误后</w:t>
      </w:r>
      <w:r>
        <w:rPr>
          <w:rFonts w:hint="eastAsia" w:ascii="宋体" w:hAnsi="宋体" w:eastAsia="宋体" w:cs="宋体"/>
          <w:color w:val="000000" w:themeColor="text1"/>
          <w:sz w:val="24"/>
          <w:szCs w:val="24"/>
          <w:highlight w:val="none"/>
          <w:u w:val="none"/>
          <w:lang w:val="en-US" w:eastAsia="zh-CN"/>
        </w:rPr>
        <w:t xml:space="preserve">，根据最终服务费用开出发票</w:t>
      </w:r>
      <w:r>
        <w:rPr>
          <w:rFonts w:hint="eastAsia" w:ascii="宋体" w:hAnsi="宋体" w:eastAsia="宋体" w:cs="宋体"/>
          <w:color w:val="000000" w:themeColor="text1"/>
          <w:sz w:val="24"/>
          <w:szCs w:val="24"/>
          <w:highlight w:val="none"/>
          <w:lang w:val="en-US" w:eastAsia="zh-CN"/>
        </w:rPr>
        <w:t xml:space="preserve">，甲</w:t>
      </w:r>
      <w:r>
        <w:rPr>
          <w:rFonts w:hint="eastAsia" w:ascii="宋体" w:hAnsi="宋体" w:eastAsia="宋体" w:cs="宋体"/>
          <w:color w:val="000000" w:themeColor="text1"/>
          <w:sz w:val="24"/>
          <w:szCs w:val="24"/>
          <w:lang w:val="en-US" w:eastAsia="zh-CN"/>
        </w:rPr>
        <w:t xml:space="preserve">方自收到发票之日起10个工作日内付清上季度的消毒服务费用。</w:t>
      </w:r>
      <w:r>
        <w:rPr>
          <w:color w:val="000000" w:themeColor="text1"/>
        </w:rPr>
      </w:r>
      <w:r/>
    </w:p>
    <w:p>
      <w:pPr>
        <w:pStyle w:val="864"/>
        <w:ind w:left="0" w:firstLine="241"/>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、服务</w:t>
      </w:r>
      <w:r>
        <w:rPr>
          <w:rFonts w:hint="eastAsia" w:ascii="宋体" w:hAnsi="宋体" w:eastAsia="宋体" w:cs="宋体"/>
          <w:b/>
          <w:bCs/>
          <w:sz w:val="24"/>
          <w:szCs w:val="24"/>
        </w:rPr>
        <w:t xml:space="preserve">质量保证及服务承诺:</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w:t>
      </w:r>
      <w:r>
        <w:rPr>
          <w:rFonts w:hint="eastAsia" w:ascii="Times New Roman" w:hAnsi="Times New Roman" w:eastAsia="宋体" w:cs="Times New Roman"/>
          <w:sz w:val="24"/>
          <w:szCs w:val="24"/>
        </w:rPr>
        <w:t xml:space="preserve">乙方在服务期间内发生的消毒物品破损、遗失，由此产生的一切损失由乙方承担。</w:t>
      </w:r>
      <w:r>
        <w:rPr>
          <w:rFonts w:hint="eastAsia" w:ascii="Times New Roman" w:hAnsi="Times New Roman" w:eastAsia="宋体" w:cs="Times New Roman"/>
          <w:sz w:val="24"/>
          <w:szCs w:val="24"/>
        </w:rPr>
      </w:r>
      <w:r/>
    </w:p>
    <w:p>
      <w:pPr>
        <w:pStyle w:val="864"/>
        <w:ind w:left="0" w:firstLine="480"/>
        <w:jc w:val="left"/>
        <w:keepLines w:val="0"/>
        <w:keepNext w:val="0"/>
        <w:pageBreakBefore w:val="0"/>
        <w:spacing w:line="400" w:lineRule="exact"/>
        <w:rPr>
          <w:rFonts w:hint="eastAsia" w:ascii="宋体" w:hAnsi="宋体" w:eastAsia="宋体" w:cs="宋体"/>
          <w:sz w:val="24"/>
          <w:szCs w:val="24"/>
        </w:rPr>
      </w:pPr>
      <w:r>
        <w:rPr>
          <w:rFonts w:hint="eastAsia" w:ascii="Times New Roman" w:hAnsi="Times New Roman" w:eastAsia="宋体" w:cs="Times New Roman"/>
          <w:sz w:val="24"/>
          <w:szCs w:val="24"/>
          <w:lang w:eastAsia="zh-CN"/>
        </w:rPr>
        <w:t xml:space="preserve">2.</w:t>
      </w:r>
      <w:r>
        <w:rPr>
          <w:rFonts w:hint="eastAsia" w:ascii="宋体" w:hAnsi="宋体" w:eastAsia="宋体" w:cs="宋体"/>
          <w:sz w:val="24"/>
          <w:szCs w:val="24"/>
        </w:rPr>
        <w:t xml:space="preserve">在乙方的灭菌处理中心将一直保存有器械包生产程序总表。所有灭菌器处理循环程序都将附有相应程序运行图、化学监测、生物监测为其证明。按照国家特种设备质量安全管理定期监测设备及其附件性能。</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、器械</w:t>
      </w:r>
      <w:r>
        <w:rPr>
          <w:rFonts w:hint="eastAsia" w:ascii="宋体" w:hAnsi="宋体" w:eastAsia="宋体" w:cs="宋体"/>
          <w:b/>
          <w:bCs/>
          <w:sz w:val="24"/>
          <w:szCs w:val="24"/>
          <w:lang w:val="en-US" w:eastAsia="zh-CN"/>
        </w:rPr>
        <w:t xml:space="preserve">归属权</w:t>
      </w:r>
      <w:r>
        <w:rPr>
          <w:rFonts w:hint="eastAsia" w:ascii="宋体" w:hAnsi="宋体" w:eastAsia="宋体" w:cs="宋体"/>
          <w:b/>
          <w:bCs/>
          <w:sz w:val="24"/>
          <w:szCs w:val="24"/>
          <w:lang w:val="en-US" w:eastAsia="zh-CN"/>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甲方自行购买的器械所有权将始终属于甲方所有。</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甲方有责任鉴别并决定器械是否已经不适宜继续使用，并决定器械是否需要淘汰和修理。乙方如发现则应及时告知甲方，并遵循甲方意见是否对相关器械消毒灭菌处理。</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、双方责任：</w:t>
      </w:r>
      <w:r>
        <w:rPr>
          <w:rFonts w:hint="eastAsia" w:ascii="宋体" w:hAnsi="宋体" w:eastAsia="宋体" w:cs="宋体"/>
          <w:b/>
          <w:bCs/>
          <w:sz w:val="24"/>
          <w:szCs w:val="24"/>
        </w:rPr>
      </w:r>
      <w:r/>
    </w:p>
    <w:p>
      <w:pPr>
        <w:pStyle w:val="864"/>
        <w:ind w:left="0" w:firstLine="24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（一）甲方责任：</w:t>
      </w:r>
      <w:r>
        <w:rPr>
          <w:rFonts w:hint="eastAsia" w:ascii="宋体" w:hAnsi="宋体" w:eastAsia="宋体" w:cs="宋体"/>
          <w:color w:val="000000"/>
          <w:sz w:val="24"/>
          <w:szCs w:val="24"/>
          <w:lang w:bidi="ar"/>
        </w:rPr>
      </w:r>
      <w:r/>
    </w:p>
    <w:p>
      <w:pPr>
        <w:pStyle w:val="864"/>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在委托书中明确乙方的工作内容及要求；</w:t>
      </w:r>
      <w:r>
        <w:rPr>
          <w:rFonts w:hint="eastAsia" w:ascii="宋体" w:hAnsi="宋体" w:eastAsia="宋体" w:cs="宋体"/>
          <w:color w:val="000000"/>
          <w:sz w:val="24"/>
          <w:szCs w:val="24"/>
          <w:lang w:bidi="ar"/>
        </w:rPr>
      </w:r>
      <w:r/>
    </w:p>
    <w:p>
      <w:pPr>
        <w:pStyle w:val="864"/>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如果乙方需要，为乙方提供相关材料；</w:t>
      </w:r>
      <w:r>
        <w:rPr>
          <w:rFonts w:hint="eastAsia" w:ascii="宋体" w:hAnsi="宋体" w:eastAsia="宋体" w:cs="宋体"/>
          <w:color w:val="000000"/>
          <w:sz w:val="24"/>
          <w:szCs w:val="24"/>
          <w:lang w:bidi="ar"/>
        </w:rPr>
      </w:r>
      <w:r/>
    </w:p>
    <w:p>
      <w:pPr>
        <w:pStyle w:val="864"/>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对乙方的项目完成进度进行日常监督，及时发现问题。</w:t>
      </w:r>
      <w:r>
        <w:rPr>
          <w:rFonts w:hint="eastAsia" w:ascii="宋体" w:hAnsi="宋体" w:eastAsia="宋体" w:cs="宋体"/>
          <w:sz w:val="24"/>
          <w:szCs w:val="24"/>
        </w:rPr>
      </w:r>
      <w:r/>
    </w:p>
    <w:p>
      <w:pPr>
        <w:pStyle w:val="864"/>
        <w:ind w:left="0"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864"/>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在项目实施过程中，与甲方保持沟通；</w:t>
      </w:r>
      <w:r>
        <w:rPr>
          <w:rFonts w:hint="eastAsia" w:ascii="宋体" w:hAnsi="宋体" w:eastAsia="宋体" w:cs="宋体"/>
          <w:color w:val="000000"/>
          <w:sz w:val="24"/>
          <w:szCs w:val="24"/>
          <w:lang w:bidi="ar"/>
        </w:rPr>
      </w:r>
      <w:r/>
    </w:p>
    <w:p>
      <w:pPr>
        <w:pStyle w:val="864"/>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自觉接受甲方监督，对存在的问题及时整改；</w:t>
      </w:r>
      <w:r>
        <w:rPr>
          <w:rFonts w:hint="eastAsia" w:ascii="宋体" w:hAnsi="宋体" w:eastAsia="宋体" w:cs="宋体"/>
          <w:color w:val="000000"/>
          <w:sz w:val="24"/>
          <w:szCs w:val="24"/>
          <w:lang w:bidi="ar"/>
        </w:rPr>
      </w:r>
      <w:r/>
    </w:p>
    <w:p>
      <w:pPr>
        <w:pStyle w:val="864"/>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在法律规定或甲方要求的时</w:t>
      </w:r>
      <w:r>
        <w:rPr>
          <w:rFonts w:hint="eastAsia" w:ascii="宋体" w:hAnsi="宋体" w:eastAsia="宋体" w:cs="宋体"/>
          <w:color w:val="000000"/>
          <w:sz w:val="24"/>
          <w:szCs w:val="24"/>
          <w:lang w:eastAsia="zh-CN" w:bidi="ar"/>
        </w:rPr>
        <w:t xml:space="preserve">限内</w:t>
      </w:r>
      <w:r>
        <w:rPr>
          <w:rFonts w:hint="eastAsia" w:ascii="宋体" w:hAnsi="宋体" w:eastAsia="宋体" w:cs="宋体"/>
          <w:color w:val="000000"/>
          <w:sz w:val="24"/>
          <w:szCs w:val="24"/>
          <w:lang w:bidi="ar"/>
        </w:rPr>
        <w:t xml:space="preserve">完成清洗、消毒、灭菌等服务</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1.甲方违约责任及违约金支付：</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(2)合同生效后，如甲方逾期付款，按每日合同金额的5‰向乙方支付违约金。但累计违约金总额不超过欠款总额的5% 。</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2.乙方违约责任及违约金支付：</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(1)乙方不能按约定</w:t>
      </w:r>
      <w:r>
        <w:rPr>
          <w:rFonts w:hint="eastAsia" w:ascii="宋体" w:hAnsi="宋体" w:eastAsia="宋体" w:cs="宋体"/>
          <w:sz w:val="24"/>
          <w:szCs w:val="24"/>
          <w:lang w:val="en-US" w:eastAsia="zh-CN"/>
        </w:rPr>
        <w:t xml:space="preserve">或承诺</w:t>
      </w:r>
      <w:r>
        <w:rPr>
          <w:rFonts w:hint="eastAsia" w:ascii="宋体" w:hAnsi="宋体" w:eastAsia="宋体" w:cs="宋体"/>
          <w:sz w:val="24"/>
          <w:szCs w:val="24"/>
        </w:rPr>
        <w:t xml:space="preserve">提供服务的，或服</w:t>
      </w:r>
      <w:r>
        <w:rPr>
          <w:rFonts w:hint="eastAsia" w:ascii="宋体" w:hAnsi="宋体" w:eastAsia="宋体" w:cs="宋体"/>
          <w:sz w:val="24"/>
          <w:szCs w:val="24"/>
        </w:rPr>
        <w:t xml:space="preserve">务不合格从而影响甲方按期正常使用的，应向甲方偿付合同总价款5%的违约金，违约金不足以补偿损失的甲方有权要求乙方补足。</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逾期完成项目的，乙方应按合同价每日5‰向甲方支付违约金，由甲方从待付款项中扣除。逾期超过约定日期10个工作日不能完成项目的，甲方可解除本合同。乙方因逾期完成项目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合同的部分和全部都不得擅自转让。</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如出现不如实反映情况，提供虚假材料、未按承诺的价格提供服务的，甲方可以解除合同。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864"/>
        <w:ind w:left="0" w:firstLine="241"/>
        <w:keepLines w:val="0"/>
        <w:keepNext w:val="0"/>
        <w:pageBreakBefore w:val="0"/>
        <w:spacing w:line="400" w:lineRule="exact"/>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不收取</w:t>
      </w:r>
      <w:r>
        <w:rPr>
          <w:rFonts w:ascii="宋体" w:hAnsi="宋体" w:eastAsia="宋体" w:cs="宋体"/>
          <w:b/>
          <w:bCs/>
          <w:color w:val="000000"/>
          <w:sz w:val="24"/>
          <w:szCs w:val="24"/>
          <w:lang w:val="en-US" w:eastAsia="zh-CN"/>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864"/>
        <w:numPr>
          <w:ilvl w:val="0"/>
          <w:numId w:val="13"/>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本合同经甲乙双方签字盖章后生效。合同执行期内，双方均不得随意变更或解除合同。如有未尽事宜，须经双方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rPr>
        <w:t xml:space="preserve">，作出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64"/>
        <w:numPr>
          <w:ilvl w:val="0"/>
          <w:numId w:val="13"/>
        </w:numPr>
        <w:ind w:left="0" w:firstLine="480"/>
        <w:keepLines w:val="0"/>
        <w:keepNext w:val="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宋体"/>
          <w:sz w:val="24"/>
          <w:szCs w:val="24"/>
        </w:rPr>
        <w:t xml:space="preserve">其他未尽事宜，参照相关法律，双方协商解决。</w:t>
      </w:r>
      <w:r>
        <w:rPr>
          <w:rFonts w:hint="eastAsia" w:ascii="宋体" w:hAnsi="宋体" w:eastAsia="宋体" w:cs="Times New Roman"/>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4"/>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both"/>
        <w:spacing w:line="360" w:lineRule="auto"/>
        <w:rPr>
          <w:rFonts w:hint="eastAsia"/>
          <w:b/>
          <w:sz w:val="36"/>
          <w:szCs w:val="36"/>
          <w:lang w:val="en-US" w:eastAsia="zh-CN"/>
        </w:rPr>
        <w:outlineLvl w:val="0"/>
      </w:pPr>
      <w:r>
        <w:rPr>
          <w:rFonts w:hint="eastAsia" w:ascii="宋体" w:hAnsi="宋体" w:eastAsia="宋体" w:cs="宋体"/>
          <w:b w:val="0"/>
          <w:sz w:val="24"/>
          <w:szCs w:val="24"/>
          <w:lang w:val="en-US" w:eastAsia="zh-CN" w:bidi="zh-CN"/>
        </w:rPr>
        <w:t xml:space="preserve">附件1：</w:t>
      </w:r>
      <w:r>
        <w:rPr>
          <w:rFonts w:hint="eastAsia" w:ascii="宋体" w:hAnsi="宋体" w:eastAsia="宋体" w:cs="宋体"/>
          <w:b w:val="0"/>
          <w:sz w:val="24"/>
          <w:szCs w:val="24"/>
          <w:lang w:val="zh-CN" w:eastAsia="zh-CN" w:bidi="zh-CN"/>
        </w:rPr>
        <w:t xml:space="preserve">第三方消毒供应中心季度质量考核评分表</w:t>
      </w:r>
      <w:r>
        <w:rPr>
          <w:rFonts w:hint="eastAsia"/>
          <w:b/>
          <w:sz w:val="36"/>
          <w:szCs w:val="36"/>
          <w:lang w:val="en-US" w:eastAsia="zh-CN"/>
        </w:rPr>
      </w:r>
      <w:r/>
    </w:p>
    <w:tbl>
      <w:tblPr>
        <w:tblW w:w="987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06"/>
        <w:gridCol w:w="812"/>
        <w:gridCol w:w="3232"/>
        <w:gridCol w:w="2003"/>
        <w:gridCol w:w="1080"/>
        <w:gridCol w:w="780"/>
        <w:gridCol w:w="757"/>
      </w:tblGrid>
      <w:tr>
        <w:trPr/>
        <w:tc>
          <w:tcPr>
            <w:gridSpan w:val="7"/>
            <w:tcW w:w="9870" w:type="dxa"/>
            <w:vAlign w:val="center"/>
            <w:textDirection w:val="lrTb"/>
            <w:noWrap/>
          </w:tcPr>
          <w:p>
            <w:pPr>
              <w:pStyle w:val="864"/>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第三方消毒供应中心季度质量考核评分表</w:t>
            </w:r>
            <w:r>
              <w:rPr>
                <w:rFonts w:hint="eastAsia" w:ascii="宋体" w:hAnsi="宋体" w:eastAsia="宋体" w:cs="宋体"/>
                <w:b/>
                <w:bCs/>
                <w:i w:val="0"/>
                <w:iCs w:val="0"/>
                <w:color w:val="000000"/>
                <w:sz w:val="36"/>
                <w:szCs w:val="36"/>
                <w:u w:val="none"/>
              </w:rPr>
            </w:r>
            <w:r/>
          </w:p>
        </w:tc>
      </w:tr>
      <w:tr>
        <w:trPr>
          <w:trHeight w:val="541"/>
        </w:trPr>
        <w:tc>
          <w:tcPr>
            <w:gridSpan w:val="7"/>
            <w:tcW w:w="9870" w:type="dxa"/>
            <w:vAlign w:val="center"/>
            <w:textDirection w:val="lrTb"/>
            <w:noWrap/>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被考核单位：                                         考核日期：     年    月    日</w:t>
            </w:r>
            <w:r>
              <w:rPr>
                <w:rFonts w:hint="eastAsia" w:ascii="宋体" w:hAnsi="宋体" w:eastAsia="宋体" w:cs="宋体"/>
                <w:b/>
                <w:bCs/>
                <w:i w:val="0"/>
                <w:iCs w:val="0"/>
                <w:color w:val="000000"/>
                <w:sz w:val="24"/>
                <w:szCs w:val="24"/>
                <w:u w:val="none"/>
              </w:rPr>
            </w:r>
            <w:r/>
          </w:p>
        </w:tc>
      </w:tr>
      <w:tr>
        <w:trPr>
          <w:trHeight w:val="481"/>
        </w:trPr>
        <w:tc>
          <w:tcPr>
            <w:gridSpan w:val="7"/>
            <w:tcW w:w="9870" w:type="dxa"/>
            <w:vAlign w:val="center"/>
            <w:textDirection w:val="lrTb"/>
            <w:noWrap w:val="false"/>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考核部门： 医院感染管理科/护理部/医务科/设备科/后勤保障部</w:t>
            </w:r>
            <w:r>
              <w:rPr>
                <w:rFonts w:hint="eastAsia" w:ascii="宋体" w:hAnsi="宋体" w:eastAsia="宋体" w:cs="宋体"/>
                <w:b/>
                <w:bCs/>
                <w:i w:val="0"/>
                <w:iCs w:val="0"/>
                <w:color w:val="000000"/>
                <w:sz w:val="24"/>
                <w:szCs w:val="24"/>
                <w:u w:val="none"/>
              </w:rPr>
            </w:r>
            <w:r/>
          </w:p>
        </w:tc>
      </w:tr>
      <w:tr>
        <w:trPr>
          <w:trHeight w:val="762"/>
        </w:trPr>
        <w:tc>
          <w:tcPr>
            <w:gridSpan w:val="7"/>
            <w:tcW w:w="9870" w:type="dxa"/>
            <w:vAlign w:val="center"/>
            <w:textDirection w:val="lrTb"/>
            <w:noWrap w:val="false"/>
          </w:tcPr>
          <w:p>
            <w:pPr>
              <w:pStyle w:val="864"/>
              <w:jc w:val="left"/>
              <w:keepLines w:val="0"/>
              <w:keepNext w:val="0"/>
              <w:widowControl/>
              <w:rPr>
                <w:rFonts w:ascii="宋体" w:hAnsi="宋体" w:eastAsia="宋体" w:cs="宋体"/>
                <w:b/>
                <w:bCs/>
                <w:i w:val="0"/>
                <w:iCs w:val="0"/>
                <w:color w:val="000000"/>
                <w:sz w:val="24"/>
                <w:szCs w:val="24"/>
                <w:u w:val="none"/>
                <w:lang w:val="en-US"/>
              </w:rPr>
              <w:suppressLineNumbers w:val="0"/>
            </w:pPr>
            <w:r>
              <w:rPr>
                <w:rStyle w:val="1131"/>
                <w:rFonts w:hint="eastAsia" w:ascii="宋体" w:hAnsi="宋体" w:eastAsia="宋体" w:cs="宋体"/>
                <w:lang w:val="en-US" w:eastAsia="zh-CN" w:bidi="ar"/>
              </w:rPr>
              <w:t xml:space="preserve">考核等级：合格（</w:t>
            </w:r>
            <w:r>
              <w:rPr>
                <w:rFonts w:hint="eastAsia" w:ascii="宋体" w:hAnsi="宋体" w:eastAsia="宋体" w:cs="宋体"/>
                <w:b/>
                <w:bCs/>
                <w:i w:val="0"/>
                <w:iCs w:val="0"/>
                <w:color w:val="000000"/>
                <w:sz w:val="24"/>
                <w:szCs w:val="24"/>
                <w:u w:val="none"/>
                <w:lang w:val="en-US" w:eastAsia="zh-CN" w:bidi="ar"/>
              </w:rPr>
              <w:t xml:space="preserve">≥</w:t>
            </w:r>
            <w:r>
              <w:rPr>
                <w:rStyle w:val="1131"/>
                <w:rFonts w:hint="eastAsia" w:ascii="宋体" w:hAnsi="宋体" w:eastAsia="宋体" w:cs="宋体"/>
                <w:lang w:val="en-US" w:eastAsia="zh-CN" w:bidi="ar"/>
              </w:rPr>
              <w:t xml:space="preserve">90分），85-89分扣500元，80-84分扣1000元，75-79扣1500元，70-74分扣3000元，考核</w:t>
            </w:r>
            <w:r>
              <w:rPr>
                <w:rStyle w:val="1131"/>
                <w:rFonts w:hint="eastAsia" w:ascii="宋体" w:hAnsi="宋体" w:eastAsia="宋体" w:cs="宋体"/>
                <w:lang w:val="en-US" w:eastAsia="zh-CN" w:bidi="ar"/>
              </w:rPr>
              <w:t xml:space="preserve">连续</w:t>
            </w:r>
            <w:r>
              <w:rPr>
                <w:rStyle w:val="1131"/>
                <w:rFonts w:hint="eastAsia" w:ascii="宋体" w:hAnsi="宋体" w:eastAsia="宋体" w:cs="宋体"/>
                <w:lang w:val="en-US" w:eastAsia="zh-CN" w:bidi="ar"/>
              </w:rPr>
              <w:t xml:space="preserve">3次70分以下，甲方有权解除合同。</w:t>
            </w:r>
            <w:r>
              <w:rPr>
                <w:rFonts w:ascii="宋体" w:hAnsi="宋体" w:eastAsia="宋体" w:cs="宋体"/>
                <w:b/>
                <w:bCs/>
                <w:i w:val="0"/>
                <w:iCs w:val="0"/>
                <w:color w:val="000000"/>
                <w:sz w:val="24"/>
                <w:szCs w:val="24"/>
                <w:u w:val="none"/>
                <w:lang w:val="en-US"/>
              </w:rPr>
            </w:r>
            <w:r/>
          </w:p>
        </w:tc>
      </w:tr>
      <w:tr>
        <w:trPr>
          <w:trHeight w:val="536"/>
        </w:trPr>
        <w:tc>
          <w:tcPr>
            <w:gridSpan w:val="7"/>
            <w:tcW w:w="9870" w:type="dxa"/>
            <w:vAlign w:val="center"/>
            <w:textDirection w:val="lrTb"/>
            <w:noWrap w:val="false"/>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考核原则：客观公正、量化评分、院感优先、问题追责、持续改进</w:t>
            </w:r>
            <w:r>
              <w:rPr>
                <w:rFonts w:hint="eastAsia" w:ascii="宋体" w:hAnsi="宋体" w:eastAsia="宋体" w:cs="宋体"/>
                <w:b/>
                <w:bCs/>
                <w:i w:val="0"/>
                <w:iCs w:val="0"/>
                <w:color w:val="000000"/>
                <w:sz w:val="24"/>
                <w:szCs w:val="24"/>
                <w:u w:val="none"/>
              </w:rPr>
            </w:r>
            <w:r/>
          </w:p>
        </w:tc>
      </w:tr>
      <w:tr>
        <w:trPr/>
        <w:tc>
          <w:tcPr>
            <w:tcW w:w="1206"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考核项目</w:t>
            </w:r>
            <w:r>
              <w:rPr>
                <w:rFonts w:hint="eastAsia" w:ascii="宋体" w:hAnsi="宋体" w:eastAsia="宋体" w:cs="宋体"/>
                <w:b/>
                <w:bCs/>
                <w:i w:val="0"/>
                <w:iCs w:val="0"/>
                <w:color w:val="000000"/>
                <w:sz w:val="24"/>
                <w:szCs w:val="24"/>
                <w:u w:val="none"/>
              </w:rPr>
            </w:r>
            <w:r/>
          </w:p>
        </w:tc>
        <w:tc>
          <w:tcPr>
            <w:tcW w:w="812"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rPr>
                <w:rFonts w:hint="eastAsia" w:ascii="宋体" w:hAnsi="宋体" w:eastAsia="宋体" w:cs="宋体"/>
                <w:b/>
                <w:bCs/>
                <w:i w:val="0"/>
                <w:iCs w:val="0"/>
                <w:color w:val="000000"/>
                <w:sz w:val="24"/>
                <w:szCs w:val="24"/>
                <w:u w:val="none"/>
              </w:rPr>
            </w:r>
            <w:r/>
          </w:p>
        </w:tc>
        <w:tc>
          <w:tcPr>
            <w:tcW w:w="3232"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考核细则</w:t>
            </w:r>
            <w:r>
              <w:rPr>
                <w:rFonts w:hint="eastAsia" w:ascii="宋体" w:hAnsi="宋体" w:eastAsia="宋体" w:cs="宋体"/>
                <w:b/>
                <w:bCs/>
                <w:i w:val="0"/>
                <w:iCs w:val="0"/>
                <w:color w:val="000000"/>
                <w:sz w:val="24"/>
                <w:szCs w:val="24"/>
                <w:u w:val="none"/>
              </w:rPr>
            </w:r>
            <w:r/>
          </w:p>
        </w:tc>
        <w:tc>
          <w:tcPr>
            <w:tcW w:w="2003"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rPr>
                <w:rFonts w:hint="eastAsia" w:ascii="宋体" w:hAnsi="宋体" w:eastAsia="宋体" w:cs="宋体"/>
                <w:b/>
                <w:bCs/>
                <w:i w:val="0"/>
                <w:iCs w:val="0"/>
                <w:color w:val="000000"/>
                <w:sz w:val="24"/>
                <w:szCs w:val="24"/>
                <w:u w:val="none"/>
              </w:rPr>
            </w:r>
            <w:r/>
          </w:p>
        </w:tc>
        <w:tc>
          <w:tcPr>
            <w:tcW w:w="1080"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考核</w:t>
            </w:r>
            <w:r>
              <w:rPr>
                <w:rFonts w:hint="eastAsia" w:ascii="宋体" w:hAnsi="宋体" w:eastAsia="宋体" w:cs="宋体"/>
                <w:b/>
                <w:bCs/>
                <w:i w:val="0"/>
                <w:iCs w:val="0"/>
                <w:color w:val="000000"/>
                <w:sz w:val="24"/>
                <w:szCs w:val="24"/>
                <w:u w:val="none"/>
                <w:lang w:val="en-US" w:eastAsia="zh-CN" w:bidi="ar"/>
              </w:rPr>
            </w:r>
            <w:r/>
          </w:p>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方式</w:t>
            </w:r>
            <w:r>
              <w:rPr>
                <w:rFonts w:hint="eastAsia" w:ascii="宋体" w:hAnsi="宋体" w:eastAsia="宋体" w:cs="宋体"/>
                <w:b/>
                <w:bCs/>
                <w:i w:val="0"/>
                <w:iCs w:val="0"/>
                <w:color w:val="000000"/>
                <w:sz w:val="24"/>
                <w:szCs w:val="24"/>
                <w:u w:val="none"/>
              </w:rPr>
            </w:r>
            <w:r/>
          </w:p>
        </w:tc>
        <w:tc>
          <w:tcPr>
            <w:tcW w:w="780"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实得分值</w:t>
            </w:r>
            <w:r>
              <w:rPr>
                <w:rFonts w:hint="eastAsia" w:ascii="宋体" w:hAnsi="宋体" w:eastAsia="宋体" w:cs="宋体"/>
                <w:b/>
                <w:bCs/>
                <w:i w:val="0"/>
                <w:iCs w:val="0"/>
                <w:color w:val="000000"/>
                <w:sz w:val="24"/>
                <w:szCs w:val="24"/>
                <w:u w:val="none"/>
              </w:rPr>
            </w:r>
            <w:r/>
          </w:p>
        </w:tc>
        <w:tc>
          <w:tcPr>
            <w:tcW w:w="757" w:type="dxa"/>
            <w:vAlign w:val="center"/>
            <w:textDirection w:val="lrTb"/>
            <w:noWrap w:val="false"/>
          </w:tcPr>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扣分</w:t>
            </w:r>
            <w:r>
              <w:rPr>
                <w:rFonts w:hint="eastAsia" w:ascii="宋体" w:hAnsi="宋体" w:eastAsia="宋体" w:cs="宋体"/>
                <w:b/>
                <w:bCs/>
                <w:i w:val="0"/>
                <w:iCs w:val="0"/>
                <w:color w:val="000000"/>
                <w:sz w:val="24"/>
                <w:szCs w:val="24"/>
                <w:u w:val="none"/>
                <w:lang w:val="en-US" w:eastAsia="zh-CN" w:bidi="ar"/>
              </w:rPr>
            </w:r>
            <w:r/>
          </w:p>
          <w:p>
            <w:pPr>
              <w:pStyle w:val="864"/>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说明</w:t>
            </w:r>
            <w:r>
              <w:rPr>
                <w:rFonts w:hint="eastAsia" w:ascii="宋体" w:hAnsi="宋体" w:eastAsia="宋体" w:cs="宋体"/>
                <w:b/>
                <w:bCs/>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一、资质与合规管理</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both"/>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1.具备合法有效的医疗机构消毒供应资质、营业执照、卫生许可等相关证件，证件在有效期内；                       </w:t>
            </w:r>
            <w:r>
              <w:rPr>
                <w:rFonts w:hint="eastAsia" w:ascii="宋体" w:hAnsi="宋体" w:eastAsia="宋体" w:cs="宋体"/>
                <w:i w:val="0"/>
                <w:iCs w:val="0"/>
                <w:color w:val="000000"/>
                <w:sz w:val="24"/>
                <w:szCs w:val="24"/>
                <w:u w:val="none"/>
                <w:lang w:val="en-US" w:eastAsia="zh-CN" w:bidi="ar"/>
              </w:rPr>
            </w:r>
            <w:r/>
          </w:p>
          <w:p>
            <w:pPr>
              <w:pStyle w:val="864"/>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2.工作人员持有效健康证、上岗证、院感培训合格证上岗；                           3.严格遵守国家消毒隔离、院感防控、医疗废物管理；                       4.按医院合作协议规范开展服务，无超范围、违规运营行为。</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1.资质缺失、过期、无效，此项不得分；资质不全扣5分；2.1人无有效证件扣2分；3.违反法律法规、行业规范，每次扣5分；4.违规运营、超范围服务，每次扣5分。</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查阅资质证件、人员档案、合规文件、现场核查</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二、清洗、消毒、灭菌质量</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1.复用医疗器械、器具、物品清洗彻底，无污渍、血渍、锈迹；</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2.严格执行清洗、消毒、干燥、检查、包装；                              3.灭菌物品灭</w:t>
            </w:r>
            <w:r>
              <w:rPr>
                <w:rFonts w:hint="eastAsia" w:ascii="宋体" w:hAnsi="宋体" w:eastAsia="宋体" w:cs="宋体"/>
                <w:i w:val="0"/>
                <w:iCs w:val="0"/>
                <w:color w:val="000000"/>
                <w:sz w:val="24"/>
                <w:szCs w:val="24"/>
                <w:u w:val="none"/>
                <w:lang w:val="en-US" w:eastAsia="zh-CN" w:bidi="ar"/>
              </w:rPr>
              <w:t xml:space="preserve">菌合格率100%，灭菌效果监测符合国家标准；                         4.灭菌包包装规范、标识清晰完整（名称、灭菌日期、失效日期、批次、操作者、核对者）；                           5.无菌物品存放符合温湿度、洁净度、密闭防潮要求，无破损、潮湿；                         6.规范开展物理、化学、生物监测，监测记录完整、真实、可追溯 ；                           7.杜绝灭菌失败、物品污染、包装破损等质量问题。</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发现清洗不达标物品，每件扣2分 2.流程操作不规范，每件扣2分；3.灭菌不合格，此项直接扣20分；4.包装不规范、标识缺失/错误，每包扣5分；5.存放不规范、物品过期/破损/潮湿，每包扣5分；6.监测缺失、记录造假、不全，每次扣5分；7.发生院感安全隐患，每次扣10-20分。</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现场抽查无菌物品、检查操作流程、查阅监测记录、追溯物品质量</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三、物品接收、配送与回收</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1.按时、定点回收医院污染器械，无拖延、遗漏、丢失；                  2.按医院约定时间、数量、科室精准配送无菌物品；                       3.物品运输车辆密闭、清洁、消毒到位，污染、无菌物品分区运输；</w:t>
            </w:r>
            <w:r>
              <w:rPr>
                <w:rFonts w:hint="eastAsia" w:ascii="宋体" w:hAnsi="宋体" w:eastAsia="宋体" w:cs="宋体"/>
                <w:i w:val="0"/>
                <w:iCs w:val="0"/>
                <w:color w:val="000000"/>
                <w:sz w:val="24"/>
                <w:szCs w:val="24"/>
                <w:u w:val="none"/>
                <w:lang w:val="en-US" w:eastAsia="zh-CN" w:bidi="ar"/>
              </w:rPr>
            </w:r>
            <w:r/>
          </w:p>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4.器械、物品清点无误，无丢失、损坏、错发、漏发；                       5.配合临床科室完成物品交接、签收，流程规范。                       6.临床加急器械在规定时间（4.5小时）内完成回收至配送全流程作业。                                                                                            </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1.回收拖延、遗漏每次扣3分；2. 配送不及时影响临床使用，每次扣3分；3.运输车辆未消毒、混运污染无菌物品每次扣2分；4. 物品丢失、损坏、错发每次扣3分；5. 交接流程混乱、无签收记录，每次扣2分。6.加急器械未在规定时间完成扣3分。</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查阅配送记录、临床科室反馈、现场核查运输车辆、交接台账</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四、院感防控与生物安全</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1.工作人员严格执行手卫生、穿戴防护用品，遵守院感操作；</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2.污染区、清洁区、无菌区分区明确，无交叉；</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3.医疗废物分类收集、规范处置、交接完整，符合院感要求；                       4.工作环境每日清洁、消毒、通风，环境消毒记录；</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5.杜绝院感暴发、交叉感染、生物安全事故。</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工作人员院感操作不规范，每人次扣2分；2.区域划分混乱、交叉作业，扣5分；3.医疗废物处置不规范，每次扣3分；4.环境消毒不到位、记录缺失，每次扣3分；5.发生院感安全事故，此项不得分，考核直接判定不合格。</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现场巡查、查阅院感记录、环境消毒台账</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五、服务配合与临床满意度</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1.积极配合医院院感检查；</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2.及时响应临床科室需求，沟通顺畅 ；                               3.主动对接医院科室，优化服务流程；</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4.无临床有效投诉、纠纷。</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1.不配合医院检查、整改拖延，每次扣4分；2.沟通不畅、服务态度差，临床有效投诉1次扣3分，扣完为止。</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临床科室调查、投诉记录、沟通台账</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六、问题整改与持续改进</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1.对医院督查、院感检查、临床反馈问题，限期整改；</w:t>
            </w:r>
            <w:r>
              <w:rPr>
                <w:rFonts w:hint="eastAsia" w:ascii="宋体" w:hAnsi="宋体" w:eastAsia="宋体" w:cs="宋体"/>
                <w:i w:val="0"/>
                <w:iCs w:val="0"/>
                <w:color w:val="000000"/>
                <w:sz w:val="24"/>
                <w:szCs w:val="24"/>
                <w:u w:val="none"/>
                <w:lang w:val="en-US" w:eastAsia="zh-CN" w:bidi="ar"/>
              </w:rPr>
            </w:r>
            <w:r/>
          </w:p>
          <w:p>
            <w:pPr>
              <w:pStyle w:val="86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2.建立问题整改台账，做到闭环管理，杜绝同类问题复发；                              3.定期优化服务流程、提升消毒灭菌质量，提交质量改进报告。</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1.问题未按期整改不得分；2.整改不到位、无整改记录、同类问题复发，每项扣4分；3.无质量改进措施、未提交改进报告，扣3分。</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查阅整改通知书、整改记录、改进报告</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1206"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七、日常管理与档案留存</w:t>
            </w:r>
            <w:r>
              <w:rPr>
                <w:rFonts w:hint="eastAsia" w:ascii="宋体" w:hAnsi="宋体" w:eastAsia="宋体" w:cs="宋体"/>
                <w:i w:val="0"/>
                <w:iCs w:val="0"/>
                <w:color w:val="000000"/>
                <w:sz w:val="24"/>
                <w:szCs w:val="24"/>
                <w:u w:val="none"/>
              </w:rPr>
            </w:r>
            <w:r/>
          </w:p>
        </w:tc>
        <w:tc>
          <w:tcPr>
            <w:tcW w:w="812" w:type="dxa"/>
            <w:vAlign w:val="center"/>
            <w:textDirection w:val="lrTb"/>
            <w:noWrap w:val="false"/>
          </w:tcPr>
          <w:p>
            <w:pPr>
              <w:pStyle w:val="86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5分</w:t>
            </w:r>
            <w:r>
              <w:rPr>
                <w:rFonts w:hint="eastAsia" w:ascii="宋体" w:hAnsi="宋体" w:eastAsia="宋体" w:cs="宋体"/>
                <w:i w:val="0"/>
                <w:iCs w:val="0"/>
                <w:color w:val="000000"/>
                <w:sz w:val="24"/>
                <w:szCs w:val="24"/>
                <w:u w:val="none"/>
              </w:rPr>
            </w:r>
            <w:r/>
          </w:p>
        </w:tc>
        <w:tc>
          <w:tcPr>
            <w:tcW w:w="3232" w:type="dxa"/>
            <w:vAlign w:val="center"/>
            <w:textDirection w:val="lrTb"/>
            <w:noWrap w:val="false"/>
          </w:tcPr>
          <w:p>
            <w:pPr>
              <w:pStyle w:val="86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1.建立完善工作台账、质量记录、人员培训、消毒资料齐全；                           2.档案资料规范、完整；            3.遵守医院合作管理各项规章制度。</w:t>
            </w:r>
            <w:r>
              <w:rPr>
                <w:rFonts w:hint="eastAsia" w:ascii="宋体" w:hAnsi="宋体" w:eastAsia="宋体" w:cs="宋体"/>
                <w:i w:val="0"/>
                <w:iCs w:val="0"/>
                <w:color w:val="000000"/>
                <w:sz w:val="24"/>
                <w:szCs w:val="24"/>
                <w:u w:val="none"/>
              </w:rPr>
            </w:r>
            <w:r/>
          </w:p>
        </w:tc>
        <w:tc>
          <w:tcPr>
            <w:tcW w:w="2003"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1.档案缺失、记录混乱每次扣2分；2.违反医院管理制度，每次扣2分</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86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查阅各类档案资料、管理台账</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57" w:type="dxa"/>
            <w:vAlign w:val="center"/>
            <w:textDirection w:val="lrTb"/>
            <w:noWrap w:val="false"/>
          </w:tcPr>
          <w:p>
            <w:pPr>
              <w:pStyle w:val="864"/>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gridSpan w:val="7"/>
            <w:tcW w:w="9870" w:type="dxa"/>
            <w:vAlign w:val="center"/>
            <w:vMerge w:val="restart"/>
            <w:textDirection w:val="lrTb"/>
            <w:noWrap w:val="false"/>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考核小组签字：                                                                                                               </w:t>
            </w:r>
            <w:r>
              <w:rPr>
                <w:rFonts w:hint="eastAsia" w:ascii="宋体" w:hAnsi="宋体" w:eastAsia="宋体" w:cs="宋体"/>
                <w:b/>
                <w:bCs/>
                <w:i w:val="0"/>
                <w:iCs w:val="0"/>
                <w:color w:val="000000"/>
                <w:sz w:val="24"/>
                <w:szCs w:val="24"/>
                <w:u w:val="none"/>
              </w:rPr>
            </w:r>
            <w:r/>
          </w:p>
        </w:tc>
      </w:tr>
      <w:tr>
        <w:trPr/>
        <w:tc>
          <w:tcPr>
            <w:gridSpan w:val="7"/>
            <w:tcW w:w="9870" w:type="dxa"/>
            <w:vAlign w:val="center"/>
            <w:textDirection w:val="lrTb"/>
            <w:noWrap/>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被考核方签字:</w:t>
            </w:r>
            <w:r>
              <w:rPr>
                <w:rFonts w:hint="eastAsia" w:ascii="宋体" w:hAnsi="宋体" w:eastAsia="宋体" w:cs="宋体"/>
                <w:b/>
                <w:bCs/>
                <w:i w:val="0"/>
                <w:iCs w:val="0"/>
                <w:color w:val="000000"/>
                <w:sz w:val="24"/>
                <w:szCs w:val="24"/>
                <w:u w:val="none"/>
              </w:rPr>
            </w:r>
            <w:r/>
          </w:p>
        </w:tc>
      </w:tr>
      <w:tr>
        <w:trPr/>
        <w:tc>
          <w:tcPr>
            <w:gridSpan w:val="7"/>
            <w:tcW w:w="9870" w:type="dxa"/>
            <w:vAlign w:val="center"/>
            <w:textDirection w:val="lrTb"/>
            <w:noWrap/>
          </w:tcPr>
          <w:p>
            <w:pPr>
              <w:pStyle w:val="864"/>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备注：本考核表一式两份，医院、第三方消毒供应中心各留存一份，作为合同履约、费用结算的参考依据</w:t>
            </w:r>
            <w:r>
              <w:rPr>
                <w:rFonts w:hint="eastAsia" w:ascii="宋体" w:hAnsi="宋体" w:eastAsia="宋体" w:cs="宋体"/>
                <w:b/>
                <w:bCs/>
                <w:i w:val="0"/>
                <w:iCs w:val="0"/>
                <w:color w:val="000000"/>
                <w:sz w:val="24"/>
                <w:szCs w:val="24"/>
                <w:u w:val="none"/>
              </w:rPr>
            </w:r>
            <w:r/>
          </w:p>
        </w:tc>
      </w:tr>
    </w:tbl>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864"/>
        <w:ind w:left="142"/>
        <w:spacing w:line="360" w:lineRule="auto"/>
        <w:tabs>
          <w:tab w:val="left" w:pos="900" w:leader="none"/>
          <w:tab w:val="left" w:pos="1980" w:leader="none"/>
        </w:tabs>
        <w:rPr>
          <w:b/>
          <w:sz w:val="24"/>
        </w:rPr>
      </w:pPr>
      <w:r>
        <w:rPr>
          <w:b/>
          <w:sz w:val="24"/>
        </w:rPr>
      </w:r>
      <w:r/>
    </w:p>
    <w:p>
      <w:pPr>
        <w:pStyle w:val="864"/>
        <w:ind w:left="142"/>
        <w:spacing w:line="360" w:lineRule="auto"/>
        <w:tabs>
          <w:tab w:val="left" w:pos="900" w:leader="none"/>
          <w:tab w:val="left" w:pos="1980" w:leader="none"/>
        </w:tabs>
        <w:rPr>
          <w:b/>
          <w:sz w:val="24"/>
        </w:rPr>
      </w:pPr>
      <w:r>
        <w:rPr>
          <w:b/>
          <w:sz w:val="24"/>
        </w:rPr>
      </w:r>
      <w:r/>
    </w:p>
    <w:p>
      <w:pPr>
        <w:pStyle w:val="864"/>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rPr>
          <w:sz w:val="24"/>
        </w:rPr>
      </w:r>
      <w:r/>
    </w:p>
    <w:p>
      <w:pPr>
        <w:pStyle w:val="86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6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6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64"/>
        <w:jc w:val="left"/>
        <w:widowControl/>
        <w:rPr>
          <w:sz w:val="24"/>
        </w:rPr>
      </w:pPr>
      <w:r>
        <w:rPr>
          <w:sz w:val="24"/>
        </w:rPr>
        <w:br w:type="page" w:clear="all"/>
      </w:r>
      <w:r>
        <w:rPr>
          <w:sz w:val="24"/>
        </w:rPr>
      </w:r>
      <w:r/>
    </w:p>
    <w:p>
      <w:pPr>
        <w:pStyle w:val="864"/>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864"/>
        <w:rPr>
          <w:b/>
          <w:spacing w:val="20"/>
          <w:szCs w:val="21"/>
        </w:rPr>
      </w:pPr>
      <w:r>
        <w:rPr>
          <w:b/>
          <w:spacing w:val="20"/>
          <w:szCs w:val="21"/>
        </w:rPr>
      </w:r>
      <w:r/>
    </w:p>
    <w:p>
      <w:pPr>
        <w:pStyle w:val="864"/>
        <w:rPr>
          <w:b/>
          <w:sz w:val="24"/>
        </w:rPr>
      </w:pPr>
      <w:r>
        <w:rPr>
          <w:b/>
          <w:spacing w:val="20"/>
          <w:sz w:val="24"/>
        </w:rPr>
        <w:t xml:space="preserve">投标文件</w:t>
      </w:r>
      <w:r>
        <w:rPr>
          <w:b/>
          <w:sz w:val="24"/>
        </w:rPr>
        <w:t xml:space="preserve">封面（非实质性格式）</w:t>
      </w:r>
      <w:r>
        <w:rPr>
          <w:b/>
          <w:sz w:val="24"/>
        </w:rPr>
      </w:r>
      <w:r/>
    </w:p>
    <w:p>
      <w:pPr>
        <w:pStyle w:val="864"/>
        <w:jc w:val="center"/>
        <w:rPr>
          <w:szCs w:val="21"/>
        </w:rPr>
      </w:pPr>
      <w:r>
        <w:rPr>
          <w:szCs w:val="21"/>
        </w:rPr>
      </w:r>
      <w:r/>
    </w:p>
    <w:p>
      <w:pPr>
        <w:pStyle w:val="864"/>
        <w:jc w:val="center"/>
        <w:rPr>
          <w:b/>
          <w:spacing w:val="60"/>
          <w:sz w:val="84"/>
          <w:szCs w:val="84"/>
        </w:rPr>
      </w:pPr>
      <w:r>
        <w:rPr>
          <w:b/>
          <w:spacing w:val="60"/>
          <w:sz w:val="84"/>
          <w:szCs w:val="84"/>
        </w:rPr>
        <w:t xml:space="preserve">投 标 文 件</w:t>
      </w:r>
      <w:r>
        <w:rPr>
          <w:b/>
          <w:spacing w:val="60"/>
          <w:sz w:val="84"/>
          <w:szCs w:val="84"/>
        </w:rPr>
      </w:r>
      <w:r/>
    </w:p>
    <w:p>
      <w:pPr>
        <w:pStyle w:val="864"/>
        <w:ind w:firstLine="963"/>
        <w:rPr>
          <w:rFonts w:hint="eastAsia"/>
          <w:b/>
          <w:spacing w:val="60"/>
          <w:sz w:val="52"/>
          <w:szCs w:val="52"/>
        </w:rPr>
      </w:pPr>
      <w:r>
        <w:rPr>
          <w:rFonts w:hint="eastAsia"/>
          <w:b/>
          <w:spacing w:val="60"/>
          <w:sz w:val="52"/>
          <w:szCs w:val="52"/>
        </w:rPr>
      </w:r>
      <w:r/>
    </w:p>
    <w:p>
      <w:pPr>
        <w:pStyle w:val="864"/>
        <w:ind w:firstLine="963"/>
        <w:rPr>
          <w:rFonts w:hint="eastAsia"/>
          <w:b/>
          <w:spacing w:val="60"/>
          <w:sz w:val="52"/>
          <w:szCs w:val="52"/>
        </w:rPr>
      </w:pPr>
      <w:r>
        <w:rPr>
          <w:rFonts w:hint="eastAsia"/>
          <w:b/>
          <w:spacing w:val="60"/>
          <w:sz w:val="52"/>
          <w:szCs w:val="52"/>
        </w:rPr>
      </w:r>
      <w:r/>
    </w:p>
    <w:p>
      <w:pPr>
        <w:pStyle w:val="864"/>
        <w:ind w:firstLine="542"/>
        <w:rPr>
          <w:b/>
          <w:spacing w:val="20"/>
          <w:sz w:val="32"/>
          <w:szCs w:val="32"/>
        </w:rPr>
      </w:pPr>
      <w:r>
        <w:rPr>
          <w:b/>
          <w:spacing w:val="20"/>
          <w:sz w:val="32"/>
          <w:szCs w:val="32"/>
        </w:rPr>
      </w:r>
      <w:r/>
    </w:p>
    <w:p>
      <w:pPr>
        <w:pStyle w:val="864"/>
        <w:ind w:firstLine="542"/>
        <w:rPr>
          <w:b/>
          <w:spacing w:val="20"/>
          <w:sz w:val="32"/>
          <w:szCs w:val="32"/>
        </w:rPr>
      </w:pPr>
      <w:r>
        <w:rPr>
          <w:b/>
          <w:spacing w:val="20"/>
          <w:sz w:val="32"/>
          <w:szCs w:val="32"/>
        </w:rPr>
      </w:r>
      <w:r/>
    </w:p>
    <w:p>
      <w:pPr>
        <w:pStyle w:val="86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4"/>
        <w:jc w:val="center"/>
        <w:rPr>
          <w:b/>
          <w:sz w:val="32"/>
          <w:szCs w:val="32"/>
        </w:rPr>
      </w:pPr>
      <w:r>
        <w:rPr>
          <w:b/>
          <w:sz w:val="32"/>
          <w:szCs w:val="32"/>
        </w:rPr>
      </w:r>
      <w:r/>
    </w:p>
    <w:p>
      <w:pPr>
        <w:pStyle w:val="86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4"/>
        <w:rPr>
          <w:b/>
        </w:rPr>
      </w:pPr>
      <w:r>
        <w:rPr>
          <w:b/>
        </w:rPr>
      </w:r>
      <w:r/>
    </w:p>
    <w:p>
      <w:pPr>
        <w:pStyle w:val="864"/>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864"/>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864"/>
        <w:jc w:val="center"/>
        <w:spacing w:before="120" w:line="360" w:lineRule="auto"/>
        <w:widowControl/>
      </w:pPr>
      <w:r>
        <w:rPr>
          <w:rFonts w:hint="eastAsia" w:ascii="宋体" w:hAnsi="宋体" w:cs="宋体"/>
          <w:b/>
          <w:sz w:val="28"/>
          <w:szCs w:val="28"/>
        </w:rPr>
        <w:t xml:space="preserve">投标人资格声明函</w:t>
      </w:r>
      <w:r/>
    </w:p>
    <w:p>
      <w:pPr>
        <w:pStyle w:val="886"/>
        <w:ind w:firstLine="480"/>
        <w:spacing w:line="460" w:lineRule="exact"/>
      </w:pPr>
      <w:r>
        <w:rPr>
          <w:rFonts w:hint="eastAsia"/>
        </w:rPr>
        <w:t xml:space="preserve">致：</w:t>
      </w:r>
      <w:r>
        <w:rPr>
          <w:rFonts w:hint="eastAsia"/>
          <w:u w:val="single"/>
        </w:rPr>
        <w:t xml:space="preserve">（采购人名称）</w:t>
      </w:r>
      <w:r/>
    </w:p>
    <w:p>
      <w:pPr>
        <w:pStyle w:val="886"/>
        <w:ind w:firstLine="480"/>
        <w:spacing w:line="460" w:lineRule="exact"/>
      </w:pPr>
      <w:r>
        <w:rPr>
          <w:rFonts w:hint="eastAsia"/>
        </w:rPr>
        <w:t xml:space="preserve">按照《中华人民共和国政府采购法》第二十二条和招标文件的规定，我单位郑重声明如下：</w:t>
      </w:r>
      <w:r/>
    </w:p>
    <w:p>
      <w:pPr>
        <w:pStyle w:val="88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6"/>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886"/>
        <w:ind w:firstLine="480"/>
        <w:spacing w:line="460" w:lineRule="exact"/>
      </w:pPr>
      <w:r>
        <w:rPr>
          <w:rFonts w:hint="eastAsia"/>
        </w:rPr>
        <w:t xml:space="preserve">三、我单位依法进行纳税和社会保险申报并实际履行了义务。</w:t>
      </w:r>
      <w:r/>
    </w:p>
    <w:p>
      <w:pPr>
        <w:pStyle w:val="88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6"/>
        <w:ind w:firstLine="480"/>
        <w:spacing w:line="460" w:lineRule="exact"/>
      </w:pPr>
      <w:r>
        <w:rPr>
          <w:rFonts w:hint="eastAsia"/>
        </w:rPr>
        <w:t xml:space="preserve">主要设备有：</w:t>
      </w:r>
      <w:r>
        <w:rPr>
          <w:u w:val="single"/>
        </w:rPr>
        <w:t xml:space="preserve">            </w:t>
      </w:r>
      <w:r/>
    </w:p>
    <w:p>
      <w:pPr>
        <w:pStyle w:val="886"/>
        <w:ind w:firstLine="480"/>
        <w:spacing w:line="460" w:lineRule="exact"/>
      </w:pPr>
      <w:r>
        <w:rPr>
          <w:rFonts w:hint="eastAsia"/>
        </w:rPr>
        <w:t xml:space="preserve">主要专业技术能力有</w:t>
      </w:r>
      <w:r>
        <w:rPr>
          <w:rFonts w:hint="eastAsia"/>
          <w:u w:val="single"/>
        </w:rPr>
        <w:t xml:space="preserve">                 </w:t>
      </w:r>
      <w:r/>
    </w:p>
    <w:p>
      <w:pPr>
        <w:pStyle w:val="88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6"/>
        <w:ind w:firstLine="480"/>
        <w:spacing w:line="460" w:lineRule="exact"/>
      </w:pPr>
      <w:r>
        <w:rPr>
          <w:rFonts w:hint="eastAsia"/>
        </w:rPr>
        <w:t xml:space="preserve">六、我单位具备法律、行政法规规定的其他条件。</w:t>
      </w:r>
      <w:r/>
    </w:p>
    <w:p>
      <w:pPr>
        <w:pStyle w:val="88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6"/>
        <w:ind w:firstLine="480"/>
        <w:spacing w:line="460" w:lineRule="exact"/>
      </w:pPr>
      <w:r>
        <w:rPr>
          <w:rFonts w:hint="eastAsia"/>
        </w:rPr>
        <w:t xml:space="preserve">九、</w:t>
      </w:r>
      <w:r>
        <w:t xml:space="preserve">我单位无以下不良信用记录情形：</w:t>
      </w:r>
      <w:r/>
    </w:p>
    <w:p>
      <w:pPr>
        <w:pStyle w:val="886"/>
        <w:ind w:firstLine="480"/>
        <w:spacing w:line="460" w:lineRule="exact"/>
      </w:pPr>
      <w:r>
        <w:t xml:space="preserve">1</w:t>
      </w:r>
      <w:r>
        <w:rPr>
          <w:rFonts w:hint="eastAsia"/>
        </w:rPr>
        <w:t xml:space="preserve">、在“信用中国”网站被列入失信被执行人和重大税收违法案件当事人名单；</w:t>
      </w:r>
      <w:r/>
    </w:p>
    <w:p>
      <w:pPr>
        <w:pStyle w:val="886"/>
        <w:ind w:firstLine="480"/>
        <w:spacing w:line="460" w:lineRule="exact"/>
      </w:pPr>
      <w:r>
        <w:t xml:space="preserve">2</w:t>
      </w:r>
      <w:r>
        <w:rPr>
          <w:rFonts w:hint="eastAsia"/>
        </w:rPr>
        <w:t xml:space="preserve">、在“中国政府采购网”网站被列入政府采购严重违法失信行为记录名单；</w:t>
      </w:r>
      <w:r/>
    </w:p>
    <w:p>
      <w:pPr>
        <w:pStyle w:val="886"/>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886"/>
        <w:ind w:firstLine="480"/>
        <w:spacing w:line="460" w:lineRule="exact"/>
      </w:pPr>
      <w:r/>
      <w:r/>
    </w:p>
    <w:p>
      <w:pPr>
        <w:pStyle w:val="88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6"/>
        <w:ind w:firstLine="480"/>
        <w:spacing w:line="460" w:lineRule="exact"/>
      </w:pPr>
      <w:r/>
      <w:r/>
    </w:p>
    <w:p>
      <w:pPr>
        <w:pStyle w:val="886"/>
        <w:ind w:firstLine="480"/>
        <w:spacing w:line="460" w:lineRule="exact"/>
      </w:pPr>
      <w:r/>
      <w:r/>
    </w:p>
    <w:p>
      <w:pPr>
        <w:pStyle w:val="886"/>
        <w:ind w:firstLine="480"/>
        <w:spacing w:line="460" w:lineRule="exact"/>
      </w:pPr>
      <w:r>
        <w:rPr>
          <w:rFonts w:hint="eastAsia"/>
        </w:rPr>
        <w:t xml:space="preserve">                                            投标人：（加盖公章）</w:t>
      </w:r>
      <w:r/>
    </w:p>
    <w:p>
      <w:pPr>
        <w:pStyle w:val="886"/>
        <w:ind w:firstLine="480"/>
        <w:spacing w:line="460" w:lineRule="exact"/>
      </w:pPr>
      <w:r>
        <w:rPr>
          <w:rFonts w:hint="eastAsia"/>
        </w:rPr>
        <w:t xml:space="preserve">                                           </w:t>
      </w:r>
      <w:r>
        <w:rPr>
          <w:rFonts w:hint="eastAsia"/>
          <w:lang w:val="en-US" w:eastAsia="zh-CN"/>
        </w:rPr>
        <w:t xml:space="preserve"> </w:t>
      </w:r>
      <w:r>
        <w:rPr>
          <w:rFonts w:hint="eastAsia"/>
        </w:rPr>
        <w:t xml:space="preserve">法定代表人（或单位负责人）签字或盖章：</w:t>
      </w:r>
      <w:r/>
    </w:p>
    <w:p>
      <w:pPr>
        <w:pStyle w:val="886"/>
        <w:ind w:firstLine="4920"/>
        <w:spacing w:line="460" w:lineRule="exact"/>
        <w:rPr>
          <w:rFonts w:hint="eastAsia"/>
        </w:rPr>
      </w:pPr>
      <w:r>
        <w:rPr>
          <w:rFonts w:hint="eastAsia"/>
        </w:rPr>
        <w:t xml:space="preserve">日期：    年    月    日</w:t>
      </w:r>
      <w:r>
        <w:rPr>
          <w:rFonts w:hint="eastAsia"/>
        </w:rPr>
      </w:r>
      <w:r/>
    </w:p>
    <w:p>
      <w:pPr>
        <w:pStyle w:val="864"/>
        <w:spacing w:line="360" w:lineRule="auto"/>
        <w:rPr>
          <w:rFonts w:hint="eastAsia"/>
          <w:sz w:val="24"/>
        </w:rPr>
      </w:pPr>
      <w:r>
        <w:rPr>
          <w:rFonts w:hint="eastAsia"/>
          <w:sz w:val="24"/>
        </w:rPr>
      </w:r>
      <w:r/>
    </w:p>
    <w:p>
      <w:pPr>
        <w:pStyle w:val="864"/>
        <w:spacing w:line="360" w:lineRule="auto"/>
        <w:rPr>
          <w:rFonts w:hint="eastAsia"/>
          <w:sz w:val="24"/>
        </w:rPr>
      </w:pPr>
      <w:r>
        <w:rPr>
          <w:rFonts w:hint="eastAsia"/>
          <w:sz w:val="24"/>
        </w:rPr>
      </w:r>
      <w:r/>
    </w:p>
    <w:p>
      <w:pPr>
        <w:pStyle w:val="864"/>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864"/>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pStyle w:val="864"/>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rPr>
          <w:rFonts w:ascii="宋体" w:hAnsi="Times New Roman" w:eastAsia="宋体" w:cs="Times New Roman"/>
          <w:b/>
          <w:bCs w:val="0"/>
          <w:sz w:val="24"/>
          <w:szCs w:val="20"/>
          <w:u w:val="none"/>
          <w:vertAlign w:val="baseline"/>
          <w:lang w:val="en-US" w:eastAsia="zh-CN" w:bidi="ar-SA"/>
        </w:rPr>
      </w:r>
      <w:r/>
    </w:p>
    <w:tbl>
      <w:tblPr>
        <w:tblStyle w:val="935"/>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864"/>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pStyle w:val="864"/>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4"/>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2-1中小企业声明函</w:t>
      </w:r>
      <w:r>
        <w:rPr>
          <w:color w:val="000000"/>
          <w:sz w:val="24"/>
          <w:szCs w:val="20"/>
        </w:rPr>
      </w:r>
      <w:r/>
    </w:p>
    <w:p>
      <w:pPr>
        <w:pStyle w:val="864"/>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864"/>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864"/>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64"/>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864"/>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864"/>
        <w:ind w:firstLine="240"/>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864"/>
        <w:ind w:firstLine="240"/>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864"/>
        <w:ind w:firstLine="240"/>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864"/>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864"/>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864"/>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6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6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4"/>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864"/>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864"/>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64"/>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64"/>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ascii="Times New Roman" w:hAnsi="Times New Roman" w:eastAsia="宋体" w:cs="Times New Roman"/>
          <w:spacing w:val="6"/>
          <w:sz w:val="24"/>
        </w:rPr>
      </w:r>
      <w:r/>
    </w:p>
    <w:p>
      <w:pPr>
        <w:pStyle w:val="864"/>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864"/>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rPr>
          <w:rFonts w:hint="eastAsia" w:eastAsia="宋体"/>
          <w:sz w:val="24"/>
          <w:szCs w:val="20"/>
          <w:lang w:eastAsia="zh-CN"/>
        </w:rPr>
      </w:r>
      <w:r/>
    </w:p>
    <w:p>
      <w:pPr>
        <w:pStyle w:val="864"/>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864"/>
        <w:jc w:val="center"/>
        <w:widowControl/>
        <w:rPr>
          <w:rFonts w:hint="eastAsia" w:ascii="宋体" w:hAnsi="宋体"/>
          <w:b/>
          <w:sz w:val="32"/>
          <w:szCs w:val="32"/>
        </w:rPr>
      </w:pPr>
      <w:r>
        <w:rPr>
          <w:rFonts w:ascii="宋体" w:hAnsi="宋体"/>
          <w:b/>
          <w:sz w:val="32"/>
          <w:szCs w:val="32"/>
        </w:rPr>
        <w:t xml:space="preserve">二、商务技术文件格式</w:t>
      </w:r>
      <w:bookmarkStart w:id="813" w:name="_Toc150774761"/>
      <w:r/>
      <w:bookmarkStart w:id="814" w:name="_Toc195842921"/>
      <w:r/>
      <w:bookmarkStart w:id="815" w:name="_Toc480942349"/>
      <w:r/>
      <w:bookmarkStart w:id="816" w:name="_Toc226965746"/>
      <w:r/>
      <w:bookmarkStart w:id="817" w:name="_Ref467988698"/>
      <w:r/>
      <w:bookmarkStart w:id="818" w:name="_Toc226309800"/>
      <w:r/>
      <w:bookmarkStart w:id="819" w:name="_Toc127151556"/>
      <w:r/>
      <w:bookmarkStart w:id="820" w:name="_Toc142311058"/>
      <w:r/>
      <w:bookmarkStart w:id="821" w:name="_Toc150480794"/>
      <w:r/>
      <w:bookmarkStart w:id="822" w:name="_Toc520356217"/>
      <w:r/>
      <w:bookmarkStart w:id="823" w:name="_Toc226965829"/>
      <w:r/>
      <w:bookmarkStart w:id="824" w:name="_Toc226337252"/>
      <w:r>
        <w:rPr>
          <w:rFonts w:hint="eastAsia" w:ascii="宋体" w:hAnsi="宋体"/>
          <w:b/>
          <w:sz w:val="32"/>
          <w:szCs w:val="32"/>
        </w:rPr>
      </w:r>
      <w:r/>
    </w:p>
    <w:p>
      <w:pPr>
        <w:pStyle w:val="864"/>
        <w:jc w:val="center"/>
        <w:widowControl/>
        <w:rPr>
          <w:rFonts w:hint="eastAsia" w:ascii="宋体" w:hAnsi="宋体"/>
          <w:b/>
          <w:sz w:val="32"/>
          <w:szCs w:val="32"/>
        </w:rPr>
      </w:pPr>
      <w:r>
        <w:rPr>
          <w:rFonts w:hint="eastAsia" w:ascii="宋体" w:hAnsi="宋体"/>
          <w:b/>
          <w:sz w:val="32"/>
          <w:szCs w:val="32"/>
        </w:rPr>
      </w:r>
      <w:r/>
    </w:p>
    <w:p>
      <w:pPr>
        <w:pStyle w:val="864"/>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color w:val="000000"/>
          <w:sz w:val="24"/>
        </w:rPr>
        <w:t xml:space="preserve">函</w:t>
      </w:r>
      <w:r>
        <w:rPr>
          <w:color w:val="000000"/>
          <w:sz w:val="24"/>
          <w:szCs w:val="20"/>
        </w:rPr>
        <w:t xml:space="preserve">（实质性格式）</w:t>
      </w:r>
      <w:r>
        <w:rPr>
          <w:color w:val="000000"/>
          <w:sz w:val="24"/>
          <w:szCs w:val="20"/>
        </w:rPr>
      </w:r>
      <w:r/>
    </w:p>
    <w:p>
      <w:pPr>
        <w:pStyle w:val="864"/>
        <w:spacing w:line="360" w:lineRule="auto"/>
        <w:tabs>
          <w:tab w:val="left" w:pos="5580" w:leader="none"/>
        </w:tabs>
        <w:rPr>
          <w:color w:val="000000"/>
          <w:sz w:val="24"/>
        </w:rPr>
      </w:pPr>
      <w:r>
        <w:rPr>
          <w:color w:val="000000"/>
          <w:sz w:val="24"/>
        </w:rPr>
      </w:r>
      <w:r/>
    </w:p>
    <w:p>
      <w:pPr>
        <w:pStyle w:val="86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6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64"/>
        <w:spacing w:line="360" w:lineRule="auto"/>
        <w:tabs>
          <w:tab w:val="left" w:pos="5580" w:leader="none"/>
        </w:tabs>
        <w:rPr>
          <w:color w:val="000000"/>
          <w:sz w:val="24"/>
          <w:szCs w:val="20"/>
        </w:rPr>
      </w:pP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6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6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6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6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64"/>
        <w:ind w:left="420"/>
        <w:spacing w:line="360" w:lineRule="auto"/>
        <w:tabs>
          <w:tab w:val="left" w:pos="5580" w:leader="none"/>
        </w:tabs>
        <w:rPr>
          <w:color w:val="000000"/>
          <w:sz w:val="24"/>
          <w:szCs w:val="20"/>
          <w:u w:val="single"/>
        </w:rPr>
      </w:pPr>
      <w:r>
        <w:rPr>
          <w:color w:val="000000"/>
          <w:sz w:val="24"/>
          <w:szCs w:val="20"/>
          <w:u w:val="single"/>
        </w:rPr>
      </w:r>
      <w:r/>
    </w:p>
    <w:p>
      <w:pPr>
        <w:pStyle w:val="864"/>
        <w:jc w:val="left"/>
        <w:widowControl/>
        <w:rPr>
          <w:rFonts w:hint="eastAsia"/>
          <w:color w:val="000000"/>
          <w:sz w:val="24"/>
        </w:rPr>
      </w:pPr>
      <w:r/>
      <w:bookmarkStart w:id="825" w:name="_Hlt520356243"/>
      <w:r/>
      <w:bookmarkEnd w:id="825"/>
      <w:r/>
      <w:bookmarkStart w:id="826" w:name="_Hlt520355938"/>
      <w:r/>
      <w:bookmarkEnd w:id="826"/>
      <w:r>
        <w:rPr>
          <w:color w:val="000000"/>
          <w:sz w:val="24"/>
        </w:rPr>
        <w:br w:type="page" w:clear="all"/>
      </w:r>
      <w:r>
        <w:rPr>
          <w:rFonts w:hint="eastAsia"/>
          <w:color w:val="000000"/>
          <w:sz w:val="24"/>
        </w:rPr>
      </w:r>
      <w:r/>
    </w:p>
    <w:p>
      <w:pPr>
        <w:pStyle w:val="864"/>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64"/>
        <w:jc w:val="center"/>
        <w:spacing w:line="360" w:lineRule="auto"/>
        <w:rPr>
          <w:rFonts w:hint="eastAsia" w:ascii="宋体" w:hAnsi="宋体"/>
          <w:b/>
          <w:sz w:val="32"/>
          <w:szCs w:val="32"/>
        </w:rPr>
      </w:pPr>
      <w:r>
        <w:rPr>
          <w:rFonts w:hint="eastAsia" w:ascii="宋体" w:hAnsi="宋体"/>
          <w:b/>
          <w:sz w:val="32"/>
          <w:szCs w:val="32"/>
        </w:rPr>
      </w:r>
      <w:r/>
    </w:p>
    <w:p>
      <w:pPr>
        <w:pStyle w:val="86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6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4"/>
        <w:ind w:firstLine="480"/>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4"/>
        <w:spacing w:line="560" w:lineRule="exact"/>
        <w:rPr>
          <w:rFonts w:ascii="宋体" w:hAnsi="宋体"/>
          <w:sz w:val="24"/>
        </w:rPr>
      </w:pPr>
      <w:r>
        <w:rPr>
          <w:rFonts w:ascii="宋体" w:hAnsi="宋体"/>
          <w:sz w:val="24"/>
        </w:rPr>
      </w:r>
      <w:r/>
    </w:p>
    <w:p>
      <w:pPr>
        <w:pStyle w:val="89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6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86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64"/>
        <w:ind w:firstLine="640"/>
      </w:pPr>
      <w:r/>
      <w:r/>
    </w:p>
    <w:p>
      <w:pPr>
        <w:pStyle w:val="86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jc w:val="left"/>
        <w:widowControl/>
        <w:rPr>
          <w:color w:val="000000"/>
          <w:sz w:val="24"/>
          <w:szCs w:val="20"/>
        </w:rPr>
      </w:pPr>
      <w:r/>
      <w:bookmarkStart w:id="827" w:name="_Hlt520274407"/>
      <w:r/>
      <w:bookmarkEnd w:id="827"/>
      <w:r/>
      <w:bookmarkStart w:id="828" w:name="_Hlt520271212"/>
      <w:r/>
      <w:bookmarkEnd w:id="828"/>
      <w:r/>
      <w:bookmarkStart w:id="829" w:name="_Hlt520274065"/>
      <w:r/>
      <w:bookmarkEnd w:id="829"/>
      <w:r/>
      <w:bookmarkStart w:id="830" w:name="_Hlt520273711"/>
      <w:r/>
      <w:bookmarkEnd w:id="830"/>
      <w:r/>
      <w:bookmarkStart w:id="831" w:name="_Hlt520343000"/>
      <w:r/>
      <w:bookmarkEnd w:id="831"/>
      <w:r/>
      <w:bookmarkStart w:id="832" w:name="_Hlt520274121"/>
      <w:r/>
      <w:bookmarkEnd w:id="832"/>
      <w:r/>
      <w:bookmarkStart w:id="833" w:name="_Hlt520355504"/>
      <w:r/>
      <w:bookmarkEnd w:id="833"/>
      <w:r/>
      <w:bookmarkStart w:id="834" w:name="_Hlt520350918"/>
      <w:r/>
      <w:bookmarkEnd w:id="834"/>
      <w:r/>
      <w:bookmarkStart w:id="835" w:name="_Hlt520274393"/>
      <w:r/>
      <w:bookmarkEnd w:id="835"/>
      <w:r/>
      <w:bookmarkStart w:id="836" w:name="_Hlt520343392"/>
      <w:r/>
      <w:bookmarkEnd w:id="836"/>
      <w:r/>
      <w:bookmarkStart w:id="837" w:name="_Toc150480795"/>
      <w:r/>
      <w:bookmarkStart w:id="838" w:name="_Toc226965747"/>
      <w:r/>
      <w:bookmarkStart w:id="839" w:name="_Toc480942350"/>
      <w:r/>
      <w:bookmarkStart w:id="840" w:name="_Toc226965830"/>
      <w:r/>
      <w:bookmarkStart w:id="841" w:name="_Toc150774762"/>
      <w:r/>
      <w:bookmarkStart w:id="842" w:name="_Toc142311059"/>
      <w:r/>
      <w:bookmarkStart w:id="843" w:name="_Toc226337253"/>
      <w:r/>
      <w:bookmarkStart w:id="844" w:name="_Toc520356218"/>
      <w:r/>
      <w:bookmarkStart w:id="845" w:name="_Toc195842922"/>
      <w:r/>
      <w:bookmarkStart w:id="846" w:name="_Toc305158825"/>
      <w:r/>
      <w:bookmarkStart w:id="847" w:name="_Toc305158899"/>
      <w:r/>
      <w:bookmarkStart w:id="848" w:name="_Toc127151557"/>
      <w:r/>
      <w:bookmarkStart w:id="849" w:name="_Toc265228395"/>
      <w:r/>
      <w:bookmarkStart w:id="850" w:name="_Toc226309801"/>
      <w:r/>
      <w:bookmarkStart w:id="851" w:name="_Ref467988705"/>
      <w:r/>
      <w:bookmarkStart w:id="852" w:name="_Toc264969247"/>
      <w:r>
        <w:rPr>
          <w:color w:val="000000"/>
          <w:sz w:val="24"/>
          <w:szCs w:val="20"/>
        </w:rPr>
        <w:br w:type="page" w:clear="all"/>
      </w:r>
      <w:r>
        <w:rPr>
          <w:color w:val="000000"/>
          <w:sz w:val="24"/>
          <w:szCs w:val="20"/>
        </w:rPr>
      </w:r>
      <w:r/>
    </w:p>
    <w:p>
      <w:pPr>
        <w:pStyle w:val="864"/>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color w:val="000000"/>
          <w:sz w:val="24"/>
          <w:szCs w:val="20"/>
        </w:rPr>
        <w:t xml:space="preserve">（实质性格式）</w:t>
      </w:r>
      <w:r>
        <w:rPr>
          <w:color w:val="000000"/>
          <w:sz w:val="24"/>
          <w:szCs w:val="20"/>
        </w:rPr>
      </w:r>
      <w:r/>
    </w:p>
    <w:p>
      <w:pPr>
        <w:pStyle w:val="864"/>
        <w:jc w:val="center"/>
        <w:spacing w:line="360" w:lineRule="exact"/>
        <w:rPr>
          <w:b/>
          <w:color w:val="000000"/>
          <w:sz w:val="36"/>
          <w:szCs w:val="36"/>
        </w:rPr>
      </w:pPr>
      <w:r/>
      <w:bookmarkStart w:id="853" w:name="_Toc164608827"/>
      <w:r/>
      <w:bookmarkStart w:id="854" w:name="_Toc195842923"/>
      <w:r/>
      <w:bookmarkStart w:id="855" w:name="_Toc305158900"/>
      <w:r/>
      <w:bookmarkStart w:id="856" w:name="_Toc164608672"/>
      <w:r/>
      <w:bookmarkStart w:id="857" w:name="_Toc226309802"/>
      <w:r/>
      <w:bookmarkStart w:id="858" w:name="_Toc226337254"/>
      <w:r/>
      <w:bookmarkStart w:id="859" w:name="_Toc226965748"/>
      <w:r/>
      <w:bookmarkStart w:id="860" w:name="_Toc265228396"/>
      <w:r/>
      <w:bookmarkStart w:id="861" w:name="_Toc264969248"/>
      <w:r/>
      <w:bookmarkStart w:id="862" w:name="_Toc226965831"/>
      <w:r/>
      <w:bookmarkStart w:id="863" w:name="_Toc305158826"/>
      <w:r>
        <w:rPr>
          <w:rFonts w:hint="eastAsia"/>
          <w:b/>
          <w:color w:val="000000"/>
          <w:sz w:val="36"/>
          <w:szCs w:val="36"/>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b/>
          <w:color w:val="000000"/>
          <w:sz w:val="36"/>
          <w:szCs w:val="36"/>
        </w:rPr>
      </w:r>
      <w:r/>
    </w:p>
    <w:p>
      <w:pPr>
        <w:pStyle w:val="864"/>
        <w:jc w:val="left"/>
        <w:spacing w:line="360" w:lineRule="auto"/>
        <w:tabs>
          <w:tab w:val="left" w:pos="1800" w:leader="none"/>
          <w:tab w:val="left" w:pos="5580" w:leader="none"/>
        </w:tabs>
        <w:rPr>
          <w:i/>
          <w:color w:val="ff0000"/>
          <w:sz w:val="24"/>
        </w:rPr>
      </w:pPr>
      <w:r>
        <w:rPr>
          <w:i/>
          <w:color w:val="ff0000"/>
          <w:sz w:val="24"/>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trHeight w:val="1185"/>
        </w:trPr>
        <w:tc>
          <w:tcPr>
            <w:tcW w:w="416" w:type="dxa"/>
            <w:vAlign w:val="center"/>
            <w:textDirection w:val="lrTb"/>
            <w:noWrap w:val="false"/>
          </w:tcPr>
          <w:p>
            <w:pPr>
              <w:pStyle w:val="864"/>
              <w:jc w:val="center"/>
              <w:tabs>
                <w:tab w:val="left" w:pos="5580" w:leader="none"/>
              </w:tabs>
              <w:rPr>
                <w:b/>
                <w:sz w:val="24"/>
              </w:rPr>
            </w:pPr>
            <w:r>
              <w:rPr>
                <w:b/>
                <w:sz w:val="24"/>
              </w:rPr>
              <w:t xml:space="preserve">序号</w:t>
            </w:r>
            <w:r>
              <w:rPr>
                <w:b/>
                <w:sz w:val="24"/>
              </w:rPr>
            </w:r>
            <w:r/>
          </w:p>
        </w:tc>
        <w:tc>
          <w:tcPr>
            <w:tcW w:w="1591" w:type="dxa"/>
            <w:vAlign w:val="center"/>
            <w:textDirection w:val="lrTb"/>
            <w:noWrap w:val="false"/>
          </w:tcPr>
          <w:p>
            <w:pPr>
              <w:pStyle w:val="864"/>
              <w:jc w:val="center"/>
              <w:tabs>
                <w:tab w:val="left" w:pos="5580" w:leader="none"/>
              </w:tabs>
              <w:rPr>
                <w:rFonts w:hint="eastAsia" w:eastAsia="宋体"/>
                <w:b/>
                <w:sz w:val="24"/>
                <w:lang w:eastAsia="zh-CN"/>
              </w:rPr>
            </w:pPr>
            <w:r>
              <w:rPr>
                <w:rFonts w:hint="eastAsia"/>
                <w:b/>
                <w:sz w:val="24"/>
                <w:lang w:val="en-US" w:eastAsia="zh-CN"/>
              </w:rPr>
              <w:t xml:space="preserve">项目名称</w:t>
            </w:r>
            <w:r>
              <w:rPr>
                <w:rFonts w:hint="eastAsia" w:eastAsia="宋体"/>
                <w:b/>
                <w:sz w:val="24"/>
                <w:lang w:eastAsia="zh-CN"/>
              </w:rPr>
            </w:r>
            <w:r/>
          </w:p>
        </w:tc>
        <w:tc>
          <w:tcPr>
            <w:tcW w:w="1352" w:type="dxa"/>
            <w:vAlign w:val="center"/>
            <w:textDirection w:val="lrTb"/>
            <w:noWrap w:val="false"/>
          </w:tcPr>
          <w:p>
            <w:pPr>
              <w:pStyle w:val="864"/>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rPr>
                <w:rFonts w:hint="eastAsia" w:eastAsia="宋体"/>
                <w:b/>
                <w:sz w:val="24"/>
                <w:lang w:val="en-US" w:eastAsia="zh-CN"/>
              </w:rPr>
            </w:r>
            <w:r/>
          </w:p>
        </w:tc>
        <w:tc>
          <w:tcPr>
            <w:tcW w:w="1639" w:type="dxa"/>
            <w:vAlign w:val="center"/>
            <w:textDirection w:val="lrTb"/>
            <w:noWrap w:val="false"/>
          </w:tcPr>
          <w:p>
            <w:pPr>
              <w:pStyle w:val="864"/>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1336"/>
        </w:trPr>
        <w:tc>
          <w:tcPr>
            <w:tcW w:w="416" w:type="dxa"/>
            <w:vAlign w:val="center"/>
            <w:textDirection w:val="lrTb"/>
            <w:noWrap w:val="false"/>
          </w:tcPr>
          <w:p>
            <w:pPr>
              <w:pStyle w:val="864"/>
              <w:jc w:val="center"/>
              <w:tabs>
                <w:tab w:val="left" w:pos="5580" w:leader="none"/>
              </w:tabs>
              <w:rPr>
                <w:sz w:val="24"/>
              </w:rPr>
            </w:pPr>
            <w:r>
              <w:rPr>
                <w:sz w:val="24"/>
              </w:rPr>
            </w:r>
            <w:r/>
          </w:p>
        </w:tc>
        <w:tc>
          <w:tcPr>
            <w:tcW w:w="1591" w:type="dxa"/>
            <w:vAlign w:val="center"/>
            <w:textDirection w:val="lrTb"/>
            <w:noWrap w:val="false"/>
          </w:tcPr>
          <w:p>
            <w:pPr>
              <w:pStyle w:val="864"/>
              <w:jc w:val="center"/>
              <w:tabs>
                <w:tab w:val="left" w:pos="5580" w:leader="none"/>
              </w:tabs>
              <w:rPr>
                <w:sz w:val="24"/>
              </w:rPr>
            </w:pPr>
            <w:r>
              <w:rPr>
                <w:sz w:val="24"/>
              </w:rPr>
            </w:r>
            <w:r/>
          </w:p>
        </w:tc>
        <w:tc>
          <w:tcPr>
            <w:tcW w:w="1352" w:type="dxa"/>
            <w:vAlign w:val="center"/>
            <w:textDirection w:val="lrTb"/>
            <w:noWrap w:val="false"/>
          </w:tcPr>
          <w:p>
            <w:pPr>
              <w:pStyle w:val="864"/>
              <w:jc w:val="center"/>
              <w:tabs>
                <w:tab w:val="left" w:pos="5580" w:leader="none"/>
              </w:tabs>
              <w:rPr>
                <w:sz w:val="24"/>
              </w:rPr>
            </w:pPr>
            <w:r>
              <w:rPr>
                <w:sz w:val="24"/>
              </w:rPr>
            </w:r>
            <w:r/>
          </w:p>
        </w:tc>
        <w:tc>
          <w:tcPr>
            <w:tcW w:w="1639" w:type="dxa"/>
            <w:vAlign w:val="center"/>
            <w:textDirection w:val="lrTb"/>
            <w:noWrap w:val="false"/>
          </w:tcPr>
          <w:p>
            <w:pPr>
              <w:pStyle w:val="864"/>
              <w:jc w:val="center"/>
              <w:tabs>
                <w:tab w:val="left" w:pos="5580" w:leader="none"/>
              </w:tabs>
              <w:rPr>
                <w:sz w:val="24"/>
              </w:rPr>
            </w:pPr>
            <w:r>
              <w:rPr>
                <w:sz w:val="24"/>
              </w:rPr>
            </w:r>
            <w:r/>
          </w:p>
        </w:tc>
      </w:tr>
    </w:tbl>
    <w:p>
      <w:pPr>
        <w:pStyle w:val="864"/>
        <w:jc w:val="left"/>
        <w:rPr>
          <w:color w:val="000000"/>
          <w:sz w:val="24"/>
        </w:rPr>
      </w:pPr>
      <w:r>
        <w:rPr>
          <w:color w:val="000000"/>
          <w:sz w:val="24"/>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spacing w:line="360" w:lineRule="auto"/>
        <w:rPr>
          <w:rFonts w:ascii="Times New Roman" w:hAnsi="Times New Roman" w:eastAsia="宋体" w:cs="Times New Roman"/>
          <w:color w:val="000000"/>
          <w:sz w:val="24"/>
          <w:szCs w:val="20"/>
        </w:rPr>
        <w:outlineLvl w:val="2"/>
      </w:pPr>
      <w:r/>
      <w:bookmarkStart w:id="864" w:name="_Toc195842924"/>
      <w:r/>
      <w:bookmarkStart w:id="865" w:name="_Toc150774763"/>
      <w:r/>
      <w:bookmarkStart w:id="866" w:name="_Toc226965832"/>
      <w:r/>
      <w:bookmarkStart w:id="867" w:name="_Toc265228397"/>
      <w:r/>
      <w:bookmarkStart w:id="868" w:name="_Toc226337255"/>
      <w:r/>
      <w:bookmarkStart w:id="869" w:name="_Toc305158901"/>
      <w:r/>
      <w:bookmarkStart w:id="870" w:name="_Toc226309803"/>
      <w:r/>
      <w:bookmarkStart w:id="871" w:name="_Toc226965749"/>
      <w:r/>
      <w:bookmarkStart w:id="872" w:name="_Toc264969249"/>
      <w:r/>
      <w:bookmarkStart w:id="873" w:name="_Toc127151558"/>
      <w:r/>
      <w:bookmarkStart w:id="874" w:name="_Toc150480796"/>
      <w:r/>
      <w:bookmarkStart w:id="875" w:name="_Toc142311060"/>
      <w:r/>
      <w:bookmarkStart w:id="876" w:name="_Toc305158827"/>
      <w:r>
        <w:rPr>
          <w:color w:val="000000"/>
          <w:sz w:val="24"/>
          <w:szCs w:val="20"/>
        </w:rPr>
        <w:br w:type="page" w:clear="all"/>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Start w:id="877" w:name="_Toc265228400"/>
      <w:r/>
      <w:bookmarkStart w:id="878" w:name="_Toc150480798"/>
      <w:r/>
      <w:bookmarkStart w:id="879" w:name="_Toc226965752"/>
      <w:r/>
      <w:bookmarkStart w:id="880" w:name="_Toc305158830"/>
      <w:r/>
      <w:bookmarkStart w:id="881" w:name="_Toc226309806"/>
      <w:r/>
      <w:bookmarkStart w:id="882" w:name="_Toc142311062"/>
      <w:r/>
      <w:bookmarkStart w:id="883" w:name="_Toc226965835"/>
      <w:r/>
      <w:bookmarkStart w:id="884" w:name="_Toc264969252"/>
      <w:r/>
      <w:bookmarkStart w:id="885" w:name="_Toc127151562"/>
      <w:r/>
      <w:bookmarkStart w:id="886" w:name="_Toc150774765"/>
      <w:r/>
      <w:bookmarkStart w:id="887" w:name="_Toc305158904"/>
      <w:r/>
      <w:bookmarkStart w:id="888" w:name="_Toc226337258"/>
      <w:r/>
      <w:bookmarkStart w:id="889" w:name="_Toc195842927"/>
      <w:r/>
      <w:bookmarkStart w:id="890" w:name="_Toc226965751"/>
      <w:r/>
      <w:bookmarkStart w:id="891" w:name="_Toc264969251"/>
      <w:r/>
      <w:bookmarkStart w:id="892" w:name="_Toc226309805"/>
      <w:r/>
      <w:bookmarkStart w:id="893" w:name="_Toc150774764"/>
      <w:r/>
      <w:bookmarkStart w:id="894" w:name="_Toc305158829"/>
      <w:r/>
      <w:bookmarkStart w:id="895" w:name="_Toc127151561"/>
      <w:r/>
      <w:bookmarkStart w:id="896" w:name="_Toc305158903"/>
      <w:r/>
      <w:bookmarkStart w:id="897" w:name="_Toc226337257"/>
      <w:r/>
      <w:bookmarkStart w:id="898" w:name="_Toc226965834"/>
      <w:r/>
      <w:bookmarkStart w:id="899" w:name="_Toc150480797"/>
      <w:r/>
      <w:bookmarkStart w:id="900" w:name="_Toc265228399"/>
      <w:r/>
      <w:bookmarkStart w:id="901" w:name="_Toc195842926"/>
      <w:r/>
      <w:bookmarkStart w:id="902" w:name="_Toc142311061"/>
      <w:r>
        <w:rPr>
          <w:rFonts w:hint="eastAsia"/>
          <w:color w:val="000000"/>
          <w:sz w:val="24"/>
          <w:szCs w:val="20"/>
          <w:lang w:val="en-US" w:eastAsia="zh-CN"/>
        </w:rPr>
        <w:t xml:space="preserve">5   </w:t>
      </w:r>
      <w:r>
        <w:rPr>
          <w:rFonts w:ascii="Times New Roman" w:hAnsi="Times New Roman" w:eastAsia="宋体" w:cs="Times New Roman"/>
          <w:color w:val="000000"/>
          <w:sz w:val="24"/>
          <w:szCs w:val="20"/>
        </w:rPr>
        <w:t xml:space="preserve">投标</w:t>
      </w:r>
      <w:r>
        <w:rPr>
          <w:rFonts w:hint="eastAsia" w:ascii="Times New Roman" w:hAnsi="Times New Roman" w:eastAsia="宋体" w:cs="Times New Roman"/>
          <w:color w:val="000000"/>
          <w:sz w:val="24"/>
          <w:szCs w:val="20"/>
          <w:lang w:val="en-US" w:eastAsia="zh-CN"/>
        </w:rPr>
        <w:t xml:space="preserve">清单</w:t>
      </w:r>
      <w:r>
        <w:rPr>
          <w:rFonts w:ascii="Times New Roman" w:hAnsi="Times New Roman" w:eastAsia="宋体" w:cs="Times New Roman"/>
          <w:color w:val="000000"/>
          <w:sz w:val="24"/>
          <w:szCs w:val="20"/>
        </w:rPr>
        <w:t xml:space="preserve">报价表（实质性格式）</w:t>
      </w:r>
      <w:r>
        <w:rPr>
          <w:rFonts w:ascii="Times New Roman" w:hAnsi="Times New Roman" w:eastAsia="宋体" w:cs="Times New Roman"/>
          <w:color w:val="000000"/>
          <w:sz w:val="24"/>
          <w:szCs w:val="20"/>
        </w:rPr>
      </w:r>
      <w:r/>
    </w:p>
    <w:p>
      <w:pPr>
        <w:pStyle w:val="864"/>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864"/>
        <w:jc w:val="center"/>
        <w:spacing w:line="360" w:lineRule="exact"/>
        <w:rPr>
          <w:rFonts w:ascii="Times New Roman" w:hAnsi="Times New Roman" w:eastAsia="宋体" w:cs="Times New Roman"/>
          <w:color w:val="000000"/>
          <w:sz w:val="36"/>
          <w:szCs w:val="36"/>
        </w:rPr>
      </w:pPr>
      <w:r>
        <w:rPr>
          <w:rFonts w:hint="eastAsia"/>
          <w:b/>
          <w:color w:val="000000"/>
          <w:sz w:val="36"/>
          <w:szCs w:val="36"/>
        </w:rPr>
        <w:t xml:space="preserve">投标分项报价表</w:t>
      </w:r>
      <w:r>
        <w:rPr>
          <w:rFonts w:ascii="Times New Roman" w:hAnsi="Times New Roman" w:eastAsia="宋体" w:cs="Times New Roman"/>
          <w:color w:val="000000"/>
          <w:sz w:val="36"/>
          <w:szCs w:val="36"/>
        </w:rPr>
      </w:r>
      <w:r/>
    </w:p>
    <w:p>
      <w:pPr>
        <w:pStyle w:val="864"/>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lang w:val="zh-CN"/>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9843" w:type="dxa"/>
        <w:jc w:val="center"/>
        <w:tblInd w:w="-10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8"/>
        <w:gridCol w:w="2533"/>
        <w:gridCol w:w="1042"/>
        <w:gridCol w:w="992"/>
        <w:gridCol w:w="1124"/>
        <w:gridCol w:w="1089"/>
      </w:tblGrid>
      <w:tr>
        <w:trPr>
          <w:cantSplit/>
          <w:trHeight w:val="526"/>
        </w:trPr>
        <w:tc>
          <w:tcPr>
            <w:tcW w:w="825" w:type="dxa"/>
            <w:vAlign w:val="center"/>
            <w:vMerge w:val="restart"/>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序号</w:t>
            </w:r>
            <w:r>
              <w:rPr>
                <w:rFonts w:ascii="宋体" w:hAnsi="宋体" w:eastAsia="宋体" w:cs="Arial"/>
                <w:b/>
                <w:bCs/>
                <w:sz w:val="24"/>
              </w:rPr>
            </w:r>
            <w:r/>
          </w:p>
        </w:tc>
        <w:tc>
          <w:tcPr>
            <w:tcW w:w="2238" w:type="dxa"/>
            <w:vAlign w:val="center"/>
            <w:vMerge w:val="restart"/>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分项名称</w:t>
            </w:r>
            <w:r>
              <w:rPr>
                <w:rFonts w:ascii="宋体" w:hAnsi="宋体" w:eastAsia="宋体" w:cs="Arial"/>
                <w:b/>
                <w:bCs/>
                <w:sz w:val="24"/>
              </w:rPr>
            </w:r>
            <w:r/>
          </w:p>
        </w:tc>
        <w:tc>
          <w:tcPr>
            <w:tcW w:w="2533" w:type="dxa"/>
            <w:vAlign w:val="center"/>
            <w:vMerge w:val="restart"/>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服务内容</w:t>
            </w:r>
            <w:r>
              <w:rPr>
                <w:rFonts w:ascii="宋体" w:hAnsi="宋体" w:eastAsia="宋体" w:cs="Arial"/>
                <w:b/>
                <w:bCs/>
                <w:sz w:val="24"/>
              </w:rPr>
            </w:r>
            <w:r/>
          </w:p>
        </w:tc>
        <w:tc>
          <w:tcPr>
            <w:tcW w:w="1042" w:type="dxa"/>
            <w:vAlign w:val="center"/>
            <w:vMerge w:val="restart"/>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数量</w:t>
            </w:r>
            <w:r>
              <w:rPr>
                <w:rFonts w:ascii="宋体" w:hAnsi="宋体" w:eastAsia="宋体" w:cs="Arial"/>
                <w:b/>
                <w:bCs/>
                <w:sz w:val="24"/>
              </w:rPr>
            </w:r>
            <w:r/>
          </w:p>
        </w:tc>
        <w:tc>
          <w:tcPr>
            <w:tcW w:w="992" w:type="dxa"/>
            <w:vAlign w:val="center"/>
            <w:vMerge w:val="restart"/>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213" w:type="dxa"/>
            <w:vAlign w:val="center"/>
            <w:textDirection w:val="lrTb"/>
            <w:noWrap w:val="false"/>
          </w:tcPr>
          <w:p>
            <w:pPr>
              <w:pStyle w:val="864"/>
              <w:jc w:val="center"/>
              <w:spacing w:line="240" w:lineRule="auto"/>
              <w:widowControl/>
              <w:rPr>
                <w:rFonts w:hint="eastAsia" w:ascii="宋体" w:hAnsi="宋体" w:eastAsia="宋体" w:cs="Arial"/>
                <w:b/>
                <w:bCs/>
                <w:sz w:val="24"/>
                <w:lang w:eastAsia="zh-CN"/>
              </w:rPr>
            </w:pPr>
            <w:r>
              <w:rPr>
                <w:rFonts w:hint="eastAsia" w:ascii="宋体" w:hAnsi="宋体" w:eastAsia="宋体" w:cs="Arial"/>
                <w:b/>
                <w:bCs/>
                <w:sz w:val="24"/>
              </w:rPr>
              <w:t xml:space="preserve">投标价格</w:t>
            </w:r>
            <w:r>
              <w:rPr>
                <w:rFonts w:hint="eastAsia" w:ascii="宋体" w:hAnsi="宋体" w:eastAsia="宋体" w:cs="Arial"/>
                <w:b/>
                <w:bCs/>
                <w:sz w:val="24"/>
                <w:lang w:eastAsia="zh-CN"/>
              </w:rPr>
              <w:t xml:space="preserve">（</w:t>
            </w:r>
            <w:r>
              <w:rPr>
                <w:rFonts w:hint="eastAsia" w:ascii="宋体" w:hAnsi="宋体" w:eastAsia="宋体" w:cs="Arial"/>
                <w:b/>
                <w:bCs/>
                <w:sz w:val="24"/>
                <w:lang w:val="en-US" w:eastAsia="zh-CN"/>
              </w:rPr>
              <w:t xml:space="preserve">元</w:t>
            </w:r>
            <w:r>
              <w:rPr>
                <w:rFonts w:hint="eastAsia" w:ascii="宋体" w:hAnsi="宋体" w:eastAsia="宋体" w:cs="Arial"/>
                <w:b/>
                <w:bCs/>
                <w:sz w:val="24"/>
                <w:lang w:eastAsia="zh-CN"/>
              </w:rPr>
              <w:t xml:space="preserve">）</w:t>
            </w:r>
            <w:r>
              <w:rPr>
                <w:rFonts w:hint="eastAsia" w:ascii="宋体" w:hAnsi="宋体" w:eastAsia="宋体" w:cs="Arial"/>
                <w:b/>
                <w:bCs/>
                <w:sz w:val="24"/>
                <w:lang w:eastAsia="zh-CN"/>
              </w:rPr>
            </w:r>
            <w:r/>
          </w:p>
        </w:tc>
      </w:tr>
      <w:tr>
        <w:trPr>
          <w:cantSplit/>
          <w:trHeight w:val="571"/>
        </w:trPr>
        <w:tc>
          <w:tcPr>
            <w:tcW w:w="825" w:type="dxa"/>
            <w:vAlign w:val="center"/>
            <w:vMerge w:val="continue"/>
            <w:textDirection w:val="lrTb"/>
            <w:noWrap w:val="false"/>
          </w:tcPr>
          <w:p>
            <w:pPr>
              <w:pStyle w:val="864"/>
              <w:jc w:val="center"/>
              <w:spacing w:line="240" w:lineRule="auto"/>
              <w:widowControl/>
              <w:rPr>
                <w:rFonts w:ascii="宋体" w:hAnsi="宋体" w:eastAsia="宋体" w:cs="Arial"/>
                <w:b/>
                <w:bCs/>
                <w:sz w:val="24"/>
              </w:rPr>
            </w:pPr>
            <w:r>
              <w:rPr>
                <w:rFonts w:ascii="宋体" w:hAnsi="宋体" w:eastAsia="宋体" w:cs="Arial"/>
                <w:b/>
                <w:bCs/>
                <w:sz w:val="24"/>
              </w:rPr>
            </w:r>
            <w:r/>
          </w:p>
        </w:tc>
        <w:tc>
          <w:tcPr>
            <w:tcW w:w="2238" w:type="dxa"/>
            <w:vAlign w:val="center"/>
            <w:vMerge w:val="continue"/>
            <w:textDirection w:val="lrTb"/>
            <w:noWrap w:val="false"/>
          </w:tcPr>
          <w:p>
            <w:pPr>
              <w:pStyle w:val="864"/>
              <w:jc w:val="center"/>
              <w:spacing w:line="240" w:lineRule="auto"/>
              <w:widowControl/>
              <w:rPr>
                <w:rFonts w:ascii="宋体" w:hAnsi="宋体" w:eastAsia="宋体" w:cs="Arial"/>
                <w:b/>
                <w:bCs/>
                <w:sz w:val="24"/>
              </w:rPr>
            </w:pPr>
            <w:r>
              <w:rPr>
                <w:rFonts w:ascii="宋体" w:hAnsi="宋体" w:eastAsia="宋体" w:cs="Arial"/>
                <w:b/>
                <w:bCs/>
                <w:sz w:val="24"/>
              </w:rPr>
            </w:r>
            <w:r/>
          </w:p>
        </w:tc>
        <w:tc>
          <w:tcPr>
            <w:tcW w:w="2533" w:type="dxa"/>
            <w:vAlign w:val="center"/>
            <w:vMerge w:val="continue"/>
            <w:textDirection w:val="lrTb"/>
            <w:noWrap w:val="false"/>
          </w:tcPr>
          <w:p>
            <w:pPr>
              <w:pStyle w:val="864"/>
              <w:jc w:val="center"/>
              <w:spacing w:line="240" w:lineRule="auto"/>
              <w:widowControl/>
              <w:rPr>
                <w:rFonts w:ascii="宋体" w:hAnsi="宋体" w:eastAsia="宋体" w:cs="Arial"/>
                <w:b/>
                <w:bCs/>
                <w:sz w:val="24"/>
              </w:rPr>
            </w:pPr>
            <w:r>
              <w:rPr>
                <w:rFonts w:ascii="宋体" w:hAnsi="宋体" w:eastAsia="宋体" w:cs="Arial"/>
                <w:b/>
                <w:bCs/>
                <w:sz w:val="24"/>
              </w:rPr>
            </w:r>
            <w:r/>
          </w:p>
        </w:tc>
        <w:tc>
          <w:tcPr>
            <w:tcW w:w="1042" w:type="dxa"/>
            <w:vAlign w:val="center"/>
            <w:vMerge w:val="continue"/>
            <w:textDirection w:val="lrTb"/>
            <w:noWrap w:val="false"/>
          </w:tcPr>
          <w:p>
            <w:pPr>
              <w:pStyle w:val="864"/>
              <w:jc w:val="center"/>
              <w:spacing w:line="240" w:lineRule="auto"/>
              <w:widowControl/>
              <w:rPr>
                <w:rFonts w:ascii="宋体" w:hAnsi="宋体" w:eastAsia="宋体" w:cs="Arial"/>
                <w:b/>
                <w:bCs/>
                <w:sz w:val="24"/>
              </w:rPr>
            </w:pPr>
            <w:r>
              <w:rPr>
                <w:rFonts w:ascii="宋体" w:hAnsi="宋体" w:eastAsia="宋体" w:cs="Arial"/>
                <w:b/>
                <w:bCs/>
                <w:sz w:val="24"/>
              </w:rPr>
            </w:r>
            <w:r/>
          </w:p>
        </w:tc>
        <w:tc>
          <w:tcPr>
            <w:tcW w:w="992" w:type="dxa"/>
            <w:vAlign w:val="center"/>
            <w:vMerge w:val="continue"/>
            <w:textDirection w:val="lrTb"/>
            <w:noWrap w:val="false"/>
          </w:tcPr>
          <w:p>
            <w:pPr>
              <w:pStyle w:val="864"/>
              <w:jc w:val="center"/>
              <w:spacing w:line="240" w:lineRule="auto"/>
              <w:widowControl/>
              <w:rPr>
                <w:rFonts w:ascii="宋体" w:hAnsi="宋体" w:eastAsia="宋体" w:cs="Arial"/>
                <w:b/>
                <w:bCs/>
                <w:sz w:val="24"/>
              </w:rPr>
            </w:pPr>
            <w:r>
              <w:rPr>
                <w:rFonts w:ascii="宋体" w:hAnsi="宋体" w:eastAsia="宋体" w:cs="Arial"/>
                <w:b/>
                <w:bCs/>
                <w:sz w:val="24"/>
              </w:rPr>
            </w:r>
            <w:r/>
          </w:p>
        </w:tc>
        <w:tc>
          <w:tcPr>
            <w:tcW w:w="1124" w:type="dxa"/>
            <w:vAlign w:val="center"/>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单价</w:t>
            </w:r>
            <w:r>
              <w:rPr>
                <w:rFonts w:ascii="宋体" w:hAnsi="宋体" w:eastAsia="宋体" w:cs="Arial"/>
                <w:b/>
                <w:bCs/>
                <w:sz w:val="24"/>
              </w:rPr>
            </w:r>
            <w:r/>
          </w:p>
        </w:tc>
        <w:tc>
          <w:tcPr>
            <w:tcW w:w="1089" w:type="dxa"/>
            <w:vAlign w:val="center"/>
            <w:textDirection w:val="lrTb"/>
            <w:noWrap w:val="false"/>
          </w:tcPr>
          <w:p>
            <w:pPr>
              <w:pStyle w:val="864"/>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合价</w:t>
            </w:r>
            <w:r>
              <w:rPr>
                <w:rFonts w:ascii="宋体" w:hAnsi="宋体" w:eastAsia="宋体" w:cs="Arial"/>
                <w:b/>
                <w:bCs/>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1</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2</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3</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4</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5</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825" w:type="dxa"/>
            <w:vAlign w:val="center"/>
            <w:textDirection w:val="lrTb"/>
            <w:noWrap w:val="false"/>
          </w:tcPr>
          <w:p>
            <w:pPr>
              <w:pStyle w:val="864"/>
              <w:jc w:val="center"/>
              <w:spacing w:line="360" w:lineRule="auto"/>
              <w:widowControl/>
              <w:rPr>
                <w:rFonts w:ascii="宋体" w:hAnsi="宋体" w:eastAsia="宋体" w:cs="Arial"/>
                <w:sz w:val="24"/>
              </w:rPr>
            </w:pPr>
            <w:r>
              <w:rPr>
                <w:rFonts w:hint="eastAsia" w:ascii="宋体" w:hAnsi="宋体" w:eastAsia="宋体" w:cs="Arial"/>
                <w:sz w:val="24"/>
              </w:rPr>
              <w:t xml:space="preserve">……</w:t>
            </w:r>
            <w:r>
              <w:rPr>
                <w:rFonts w:ascii="宋体" w:hAnsi="宋体" w:eastAsia="宋体" w:cs="Arial"/>
                <w:sz w:val="24"/>
              </w:rPr>
            </w:r>
            <w:r/>
          </w:p>
        </w:tc>
        <w:tc>
          <w:tcPr>
            <w:tcW w:w="2238" w:type="dxa"/>
            <w:vAlign w:val="center"/>
            <w:textDirection w:val="lrTb"/>
            <w:noWrap w:val="false"/>
          </w:tcPr>
          <w:p>
            <w:pPr>
              <w:pStyle w:val="864"/>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124"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c>
          <w:tcPr>
            <w:tcW w:w="1089" w:type="dxa"/>
            <w:vAlign w:val="center"/>
            <w:textDirection w:val="lrTb"/>
            <w:noWrap w:val="false"/>
          </w:tcPr>
          <w:p>
            <w:pPr>
              <w:pStyle w:val="864"/>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gridSpan w:val="3"/>
            <w:tcW w:w="5596" w:type="dxa"/>
            <w:vAlign w:val="center"/>
            <w:textDirection w:val="lrTb"/>
            <w:noWrap w:val="false"/>
          </w:tcPr>
          <w:p>
            <w:pPr>
              <w:pStyle w:val="864"/>
              <w:jc w:val="center"/>
              <w:spacing w:line="240" w:lineRule="auto"/>
              <w:widowControl/>
              <w:rPr>
                <w:rFonts w:ascii="宋体" w:hAnsi="宋体" w:eastAsia="宋体" w:cs="Arial"/>
                <w:sz w:val="24"/>
              </w:rPr>
            </w:pPr>
            <w:r>
              <w:rPr>
                <w:rFonts w:hint="eastAsia" w:ascii="宋体" w:hAnsi="宋体" w:eastAsia="宋体" w:cs="Arial"/>
                <w:b/>
                <w:bCs/>
                <w:sz w:val="24"/>
              </w:rPr>
              <w:t xml:space="preserve">总价</w:t>
            </w:r>
            <w:r>
              <w:rPr>
                <w:rFonts w:ascii="宋体" w:hAnsi="宋体" w:eastAsia="宋体" w:cs="Arial"/>
                <w:sz w:val="24"/>
              </w:rPr>
            </w:r>
            <w:r/>
          </w:p>
        </w:tc>
        <w:tc>
          <w:tcPr>
            <w:gridSpan w:val="4"/>
            <w:tcW w:w="4247" w:type="dxa"/>
            <w:vAlign w:val="center"/>
            <w:textDirection w:val="lrTb"/>
            <w:noWrap w:val="false"/>
          </w:tcPr>
          <w:p>
            <w:pPr>
              <w:pStyle w:val="864"/>
              <w:jc w:val="center"/>
              <w:spacing w:line="240" w:lineRule="auto"/>
              <w:widowControl/>
              <w:rPr>
                <w:rFonts w:ascii="宋体" w:hAnsi="宋体" w:eastAsia="宋体" w:cs="Arial"/>
                <w:sz w:val="24"/>
              </w:rPr>
            </w:pPr>
            <w:r>
              <w:rPr>
                <w:rFonts w:ascii="宋体" w:hAnsi="宋体" w:eastAsia="宋体" w:cs="Arial"/>
                <w:sz w:val="24"/>
              </w:rPr>
            </w:r>
            <w:r/>
          </w:p>
        </w:tc>
      </w:tr>
    </w:tbl>
    <w:p>
      <w:pPr>
        <w:pStyle w:val="864"/>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64"/>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64"/>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864"/>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2.如果不提供分项报价将视为没有实质性响应招标文件。</w:t>
      </w:r>
      <w:r>
        <w:rPr>
          <w:rFonts w:ascii="Times New Roman" w:hAnsi="Times New Roman" w:eastAsia="宋体" w:cs="Times New Roman"/>
          <w:color w:val="000000"/>
          <w:sz w:val="24"/>
        </w:rPr>
      </w:r>
      <w:r/>
    </w:p>
    <w:p>
      <w:pPr>
        <w:pStyle w:val="864"/>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864"/>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上述各项的详细规格</w:t>
      </w:r>
      <w:r>
        <w:rPr>
          <w:rFonts w:hint="eastAsia" w:ascii="Times New Roman" w:hAnsi="Times New Roman" w:eastAsia="宋体" w:cs="Times New Roman"/>
          <w:color w:val="000000"/>
          <w:sz w:val="24"/>
        </w:rPr>
        <w:t xml:space="preserve">、技术参数如表格中填写不下的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line="360" w:lineRule="auto"/>
        <w:rPr>
          <w:rFonts w:ascii="Times New Roman" w:hAnsi="Times New Roman" w:eastAsia="宋体" w:cs="Times New Roman"/>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864"/>
        <w:spacing w:line="360" w:lineRule="auto"/>
        <w:rPr>
          <w:color w:val="000000"/>
          <w:sz w:val="24"/>
          <w:szCs w:val="20"/>
        </w:rPr>
        <w:outlineLvl w:val="2"/>
      </w:pPr>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6</w:t>
      </w:r>
      <w:r>
        <w:rPr>
          <w:color w:val="000000"/>
          <w:sz w:val="24"/>
          <w:szCs w:val="20"/>
        </w:rPr>
        <w:t xml:space="preserve">  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color w:val="000000"/>
          <w:sz w:val="24"/>
          <w:szCs w:val="20"/>
        </w:rPr>
        <w:t xml:space="preserve">（实质性格式）</w:t>
      </w:r>
      <w:r>
        <w:rPr>
          <w:color w:val="000000"/>
          <w:sz w:val="24"/>
          <w:szCs w:val="20"/>
        </w:rPr>
      </w:r>
      <w:r/>
    </w:p>
    <w:p>
      <w:pPr>
        <w:pStyle w:val="864"/>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rPr>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637"/>
        <w:gridCol w:w="1671"/>
        <w:gridCol w:w="2008"/>
        <w:gridCol w:w="2458"/>
        <w:gridCol w:w="788"/>
      </w:tblGrid>
      <w:tr>
        <w:trPr>
          <w:trHeight w:val="1148"/>
        </w:trPr>
        <w:tc>
          <w:tcPr>
            <w:gridSpan w:val="6"/>
            <w:tcW w:w="9396" w:type="dxa"/>
            <w:vAlign w:val="center"/>
            <w:textDirection w:val="lrTb"/>
            <w:noWrap w:val="false"/>
          </w:tcPr>
          <w:p>
            <w:pPr>
              <w:pStyle w:val="864"/>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64"/>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64"/>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864"/>
              <w:jc w:val="center"/>
              <w:rPr>
                <w:b/>
                <w:bCs/>
                <w:color w:val="000000"/>
                <w:sz w:val="24"/>
              </w:rPr>
            </w:pPr>
            <w:r>
              <w:rPr>
                <w:b/>
                <w:bCs/>
                <w:color w:val="000000"/>
                <w:sz w:val="24"/>
              </w:rPr>
              <w:t xml:space="preserve">序号</w:t>
            </w:r>
            <w:r>
              <w:rPr>
                <w:b/>
                <w:bCs/>
                <w:color w:val="000000"/>
                <w:sz w:val="24"/>
              </w:rPr>
            </w:r>
            <w:r/>
          </w:p>
        </w:tc>
        <w:tc>
          <w:tcPr>
            <w:tcW w:w="1637"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671"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2008" w:type="dxa"/>
            <w:vAlign w:val="center"/>
            <w:textDirection w:val="lrTb"/>
            <w:noWrap w:val="false"/>
          </w:tcPr>
          <w:p>
            <w:pPr>
              <w:pStyle w:val="864"/>
              <w:jc w:val="center"/>
              <w:rPr>
                <w:b/>
                <w:bCs/>
                <w:color w:val="000000"/>
                <w:sz w:val="24"/>
              </w:rPr>
            </w:pPr>
            <w:r>
              <w:rPr>
                <w:b/>
                <w:bCs/>
                <w:color w:val="000000"/>
                <w:sz w:val="24"/>
              </w:rPr>
              <w:t xml:space="preserve">投标文件内容</w:t>
            </w:r>
            <w:r>
              <w:rPr>
                <w:b/>
                <w:bCs/>
                <w:color w:val="000000"/>
                <w:sz w:val="24"/>
              </w:rPr>
            </w:r>
            <w:r/>
          </w:p>
        </w:tc>
        <w:tc>
          <w:tcPr>
            <w:tcW w:w="2458" w:type="dxa"/>
            <w:vAlign w:val="center"/>
            <w:textDirection w:val="lrTb"/>
            <w:noWrap w:val="false"/>
          </w:tcPr>
          <w:p>
            <w:pPr>
              <w:pStyle w:val="864"/>
              <w:jc w:val="center"/>
              <w:rPr>
                <w:b/>
                <w:bCs/>
                <w:color w:val="000000"/>
                <w:sz w:val="24"/>
              </w:rPr>
            </w:pPr>
            <w:r>
              <w:rPr>
                <w:b/>
                <w:bCs/>
                <w:color w:val="000000"/>
                <w:sz w:val="24"/>
              </w:rPr>
              <w:t xml:space="preserve">偏离情况</w:t>
            </w:r>
            <w:r>
              <w:rPr>
                <w:b/>
                <w:bCs/>
                <w:color w:val="000000"/>
                <w:sz w:val="24"/>
              </w:rPr>
            </w:r>
            <w:r/>
          </w:p>
        </w:tc>
        <w:tc>
          <w:tcPr>
            <w:tcW w:w="788" w:type="dxa"/>
            <w:vAlign w:val="center"/>
            <w:textDirection w:val="lrTb"/>
            <w:noWrap w:val="false"/>
          </w:tcPr>
          <w:p>
            <w:pPr>
              <w:pStyle w:val="864"/>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637" w:type="dxa"/>
            <w:vAlign w:val="center"/>
            <w:textDirection w:val="lrTb"/>
            <w:noWrap w:val="false"/>
          </w:tcPr>
          <w:p>
            <w:pPr>
              <w:pStyle w:val="864"/>
              <w:jc w:val="center"/>
              <w:rPr>
                <w:color w:val="000000"/>
                <w:sz w:val="24"/>
              </w:rPr>
            </w:pPr>
            <w:r>
              <w:rPr>
                <w:color w:val="000000"/>
                <w:sz w:val="24"/>
              </w:rPr>
            </w:r>
            <w:r/>
          </w:p>
        </w:tc>
        <w:tc>
          <w:tcPr>
            <w:tcW w:w="1671"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788"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637" w:type="dxa"/>
            <w:vAlign w:val="center"/>
            <w:textDirection w:val="lrTb"/>
            <w:noWrap w:val="false"/>
          </w:tcPr>
          <w:p>
            <w:pPr>
              <w:pStyle w:val="864"/>
              <w:jc w:val="center"/>
              <w:rPr>
                <w:color w:val="000000"/>
                <w:sz w:val="24"/>
              </w:rPr>
            </w:pPr>
            <w:r>
              <w:rPr>
                <w:color w:val="000000"/>
                <w:sz w:val="24"/>
              </w:rPr>
            </w:r>
            <w:r/>
          </w:p>
        </w:tc>
        <w:tc>
          <w:tcPr>
            <w:tcW w:w="1671"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788"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637" w:type="dxa"/>
            <w:vAlign w:val="center"/>
            <w:textDirection w:val="lrTb"/>
            <w:noWrap w:val="false"/>
          </w:tcPr>
          <w:p>
            <w:pPr>
              <w:pStyle w:val="864"/>
              <w:jc w:val="center"/>
              <w:rPr>
                <w:color w:val="000000"/>
                <w:sz w:val="24"/>
              </w:rPr>
            </w:pPr>
            <w:r>
              <w:rPr>
                <w:color w:val="000000"/>
                <w:sz w:val="24"/>
              </w:rPr>
            </w:r>
            <w:r/>
          </w:p>
        </w:tc>
        <w:tc>
          <w:tcPr>
            <w:tcW w:w="1671"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788"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t xml:space="preserve">……</w:t>
            </w:r>
            <w:r>
              <w:rPr>
                <w:color w:val="000000"/>
                <w:sz w:val="24"/>
              </w:rPr>
            </w:r>
            <w:r/>
          </w:p>
        </w:tc>
        <w:tc>
          <w:tcPr>
            <w:tcW w:w="1637" w:type="dxa"/>
            <w:vAlign w:val="center"/>
            <w:textDirection w:val="lrTb"/>
            <w:noWrap w:val="false"/>
          </w:tcPr>
          <w:p>
            <w:pPr>
              <w:pStyle w:val="864"/>
              <w:jc w:val="center"/>
              <w:rPr>
                <w:color w:val="000000"/>
                <w:sz w:val="24"/>
              </w:rPr>
            </w:pPr>
            <w:r>
              <w:rPr>
                <w:color w:val="000000"/>
                <w:sz w:val="24"/>
              </w:rPr>
            </w:r>
            <w:r/>
          </w:p>
        </w:tc>
        <w:tc>
          <w:tcPr>
            <w:tcW w:w="1671"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788" w:type="dxa"/>
            <w:vAlign w:val="center"/>
            <w:textDirection w:val="lrTb"/>
            <w:noWrap w:val="false"/>
          </w:tcPr>
          <w:p>
            <w:pPr>
              <w:pStyle w:val="864"/>
              <w:jc w:val="center"/>
              <w:rPr>
                <w:color w:val="000000"/>
                <w:sz w:val="24"/>
              </w:rPr>
            </w:pPr>
            <w:r>
              <w:rPr>
                <w:color w:val="000000"/>
                <w:sz w:val="24"/>
              </w:rPr>
            </w:r>
            <w:r/>
          </w:p>
        </w:tc>
      </w:tr>
    </w:tbl>
    <w:p>
      <w:pPr>
        <w:pStyle w:val="864"/>
        <w:jc w:val="left"/>
        <w:tabs>
          <w:tab w:val="left" w:pos="1800" w:leader="none"/>
          <w:tab w:val="left" w:pos="5580" w:leader="none"/>
        </w:tabs>
        <w:rPr>
          <w:color w:val="000000"/>
          <w:sz w:val="24"/>
        </w:rPr>
      </w:pPr>
      <w:r>
        <w:rPr>
          <w:color w:val="000000"/>
          <w:sz w:val="24"/>
        </w:rPr>
      </w:r>
      <w:r/>
    </w:p>
    <w:p>
      <w:pPr>
        <w:pStyle w:val="86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6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64"/>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864"/>
        <w:spacing w:line="360" w:lineRule="auto"/>
        <w:rPr>
          <w:color w:val="000000"/>
          <w:sz w:val="24"/>
          <w:szCs w:val="20"/>
        </w:rPr>
      </w:pPr>
      <w:r>
        <w:rPr>
          <w:color w:val="000000"/>
          <w:sz w:val="24"/>
          <w:szCs w:val="20"/>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color w:val="000000"/>
          <w:sz w:val="24"/>
          <w:szCs w:val="20"/>
        </w:rPr>
        <w:t xml:space="preserve">采购需求偏离表（实质性格式）</w:t>
      </w:r>
      <w:r>
        <w:rPr>
          <w:rFonts w:hint="eastAsia"/>
          <w:b/>
          <w:color w:val="000000"/>
          <w:sz w:val="36"/>
          <w:szCs w:val="36"/>
        </w:rPr>
      </w:r>
      <w:r/>
    </w:p>
    <w:p>
      <w:pPr>
        <w:pStyle w:val="864"/>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采购需求偏离表</w:t>
      </w:r>
      <w:r>
        <w:rPr>
          <w:rFonts w:hint="eastAsia"/>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712"/>
        <w:gridCol w:w="1800"/>
        <w:gridCol w:w="1804"/>
        <w:gridCol w:w="2458"/>
        <w:gridCol w:w="788"/>
      </w:tblGrid>
      <w:tr>
        <w:trPr>
          <w:trHeight w:val="1238"/>
        </w:trPr>
        <w:tc>
          <w:tcPr>
            <w:gridSpan w:val="6"/>
            <w:tcW w:w="9396" w:type="dxa"/>
            <w:vAlign w:val="center"/>
            <w:textDirection w:val="lrTb"/>
            <w:noWrap w:val="false"/>
          </w:tcPr>
          <w:p>
            <w:pPr>
              <w:pStyle w:val="864"/>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864"/>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864"/>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rPr>
                <w:rFonts w:ascii="Times New Roman" w:hAnsi="Times New Roman" w:eastAsia="宋体" w:cs="Times New Roman"/>
                <w:b/>
                <w:bCs/>
                <w:color w:val="000000"/>
                <w:sz w:val="24"/>
              </w:rPr>
            </w:r>
            <w:r/>
          </w:p>
        </w:tc>
        <w:tc>
          <w:tcPr>
            <w:tcW w:w="1712"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条目号（页码）</w:t>
            </w:r>
            <w:r>
              <w:rPr>
                <w:rFonts w:ascii="Times New Roman" w:hAnsi="Times New Roman" w:eastAsia="宋体" w:cs="Times New Roman"/>
                <w:b/>
                <w:bCs/>
                <w:color w:val="000000"/>
                <w:sz w:val="24"/>
              </w:rPr>
            </w:r>
            <w:r/>
          </w:p>
        </w:tc>
        <w:tc>
          <w:tcPr>
            <w:tcW w:w="1800"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要求</w:t>
            </w:r>
            <w:r>
              <w:rPr>
                <w:rFonts w:ascii="Times New Roman" w:hAnsi="Times New Roman" w:eastAsia="宋体" w:cs="Times New Roman"/>
                <w:b/>
                <w:bCs/>
                <w:color w:val="000000"/>
                <w:sz w:val="24"/>
              </w:rPr>
            </w:r>
            <w:r/>
          </w:p>
        </w:tc>
        <w:tc>
          <w:tcPr>
            <w:tcW w:w="1804"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投标文件内容</w:t>
            </w:r>
            <w:r>
              <w:rPr>
                <w:rFonts w:ascii="Times New Roman" w:hAnsi="Times New Roman" w:eastAsia="宋体" w:cs="Times New Roman"/>
                <w:b/>
                <w:bCs/>
                <w:color w:val="000000"/>
                <w:sz w:val="24"/>
              </w:rPr>
            </w:r>
            <w:r/>
          </w:p>
        </w:tc>
        <w:tc>
          <w:tcPr>
            <w:tcW w:w="2458"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偏离情况</w:t>
            </w:r>
            <w:r>
              <w:rPr>
                <w:rFonts w:ascii="Times New Roman" w:hAnsi="Times New Roman" w:eastAsia="宋体" w:cs="Times New Roman"/>
                <w:b/>
                <w:bCs/>
                <w:color w:val="000000"/>
                <w:sz w:val="24"/>
              </w:rPr>
            </w:r>
            <w:r/>
          </w:p>
        </w:tc>
        <w:tc>
          <w:tcPr>
            <w:tcW w:w="788"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说明</w:t>
            </w:r>
            <w:r>
              <w:rPr>
                <w:rFonts w:ascii="Times New Roman" w:hAnsi="Times New Roman" w:eastAsia="宋体" w:cs="Times New Roman"/>
                <w:b/>
                <w:bCs/>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12"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12"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12"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1712"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864"/>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864"/>
        <w:jc w:val="left"/>
        <w:tabs>
          <w:tab w:val="left" w:pos="1800" w:leader="none"/>
          <w:tab w:val="left" w:pos="5580" w:leader="none"/>
        </w:tabs>
        <w:rPr>
          <w:rFonts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 </w:t>
      </w:r>
      <w:r>
        <w:rPr>
          <w:rFonts w:ascii="Times New Roman" w:hAnsi="Times New Roman" w:eastAsia="宋体" w:cs="Times New Roman"/>
          <w:sz w:val="24"/>
        </w:rPr>
        <w:t xml:space="preserve">对</w:t>
      </w:r>
      <w:r>
        <w:rPr>
          <w:rFonts w:hint="eastAsia" w:ascii="Times New Roman" w:hAnsi="Times New Roman" w:eastAsia="宋体" w:cs="Times New Roman"/>
          <w:sz w:val="24"/>
        </w:rPr>
        <w:t xml:space="preserve">采购需求</w:t>
      </w:r>
      <w:r>
        <w:rPr>
          <w:rFonts w:ascii="Times New Roman" w:hAnsi="Times New Roman" w:eastAsia="宋体" w:cs="Times New Roman"/>
          <w:sz w:val="24"/>
        </w:rPr>
        <w:t xml:space="preserve">中的所有要求，除本表所列明的所有偏离外，均视作供应商已对之理解和</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64"/>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rPr>
          <w:rFonts w:ascii="Times New Roman" w:hAnsi="Times New Roman" w:eastAsia="宋体" w:cs="Times New Roman"/>
          <w:color w:val="000000"/>
          <w:sz w:val="24"/>
        </w:rPr>
      </w:r>
      <w:r/>
    </w:p>
    <w:p>
      <w:pPr>
        <w:pStyle w:val="864"/>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64"/>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宋体" w:hAnsi="宋体" w:eastAsia="宋体" w:cs="宋体"/>
          <w:b w:val="0"/>
          <w:bCs/>
          <w:szCs w:val="21"/>
          <w:lang w:val="en-US" w:eastAsia="zh-CN"/>
        </w:rPr>
        <w:t xml:space="preserve"> </w:t>
      </w:r>
      <w:r>
        <w:rPr>
          <w:rFonts w:hint="eastAsia" w:ascii="Times New Roman" w:hAnsi="Times New Roman" w:eastAsia="宋体" w:cs="Times New Roman"/>
          <w:color w:val="000000"/>
          <w:sz w:val="24"/>
          <w:szCs w:val="20"/>
          <w:lang w:val="en-US" w:eastAsia="zh-CN"/>
        </w:rPr>
        <w:t xml:space="preserve">7、实质性条款偏离表</w:t>
      </w:r>
      <w:r>
        <w:rPr>
          <w:rFonts w:hint="eastAsia" w:ascii="Times New Roman" w:hAnsi="Times New Roman" w:eastAsia="宋体" w:cs="Times New Roman"/>
          <w:color w:val="000000"/>
          <w:sz w:val="24"/>
          <w:szCs w:val="20"/>
          <w:lang w:val="en-US" w:eastAsia="zh-CN"/>
        </w:rPr>
      </w:r>
      <w:r/>
    </w:p>
    <w:p>
      <w:pPr>
        <w:pStyle w:val="864"/>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96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5248"/>
        <w:gridCol w:w="1501"/>
        <w:gridCol w:w="1188"/>
        <w:gridCol w:w="898"/>
      </w:tblGrid>
      <w:tr>
        <w:trPr>
          <w:trHeight w:val="631"/>
        </w:trPr>
        <w:tc>
          <w:tcPr>
            <w:tcW w:w="834"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3"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5248"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501"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188"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98"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948"/>
        </w:trPr>
        <w:tc>
          <w:tcPr>
            <w:tcW w:w="834"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3"/>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5248" w:type="dxa"/>
            <w:vAlign w:val="center"/>
            <w:textDirection w:val="lrTb"/>
            <w:noWrap w:val="false"/>
          </w:tcPr>
          <w:p>
            <w:pPr>
              <w:pStyle w:val="86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501"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88"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98"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864"/>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864"/>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864"/>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864"/>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864"/>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8 承诺函</w:t>
      </w: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jc w:val="center"/>
        <w:spacing w:line="360" w:lineRule="auto"/>
        <w:rPr>
          <w:rFonts w:hint="eastAsia" w:ascii="Times New Roman" w:hAnsi="Times New Roman" w:eastAsia="宋体" w:cs="Times New Roman"/>
          <w:b/>
          <w:bCs/>
          <w:color w:val="000000"/>
          <w:sz w:val="24"/>
          <w:szCs w:val="20"/>
        </w:rPr>
        <w:outlineLvl w:val="2"/>
      </w:pPr>
      <w:r>
        <w:rPr>
          <w:rFonts w:hint="eastAsia" w:ascii="Times New Roman" w:hAnsi="Times New Roman" w:eastAsia="宋体" w:cs="Times New Roman"/>
          <w:b/>
          <w:bCs/>
          <w:color w:val="000000"/>
          <w:sz w:val="24"/>
          <w:szCs w:val="20"/>
          <w:lang w:val="en-US" w:eastAsia="zh-CN"/>
        </w:rPr>
        <w:t xml:space="preserve">承诺函</w:t>
      </w:r>
      <w:r>
        <w:rPr>
          <w:rFonts w:hint="eastAsia" w:ascii="Times New Roman" w:hAnsi="Times New Roman" w:eastAsia="宋体" w:cs="Times New Roman"/>
          <w:b/>
          <w:bCs/>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ind w:firstLine="240"/>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我单位就</w:t>
      </w:r>
      <w:r>
        <w:rPr>
          <w:rFonts w:hint="eastAsia" w:ascii="Times New Roman" w:hAnsi="Times New Roman" w:eastAsia="宋体" w:cs="Times New Roman"/>
          <w:color w:val="000000"/>
          <w:sz w:val="24"/>
          <w:szCs w:val="20"/>
          <w:u w:val="single"/>
          <w:lang w:val="en-US" w:eastAsia="zh-CN"/>
        </w:rPr>
        <w:t xml:space="preserve">      （项目名称）       </w:t>
      </w:r>
      <w:r>
        <w:rPr>
          <w:rFonts w:hint="eastAsia" w:ascii="Times New Roman" w:hAnsi="Times New Roman" w:eastAsia="宋体" w:cs="Times New Roman"/>
          <w:color w:val="000000"/>
          <w:sz w:val="24"/>
          <w:szCs w:val="20"/>
          <w:lang w:val="en-US" w:eastAsia="zh-CN"/>
        </w:rPr>
        <w:t xml:space="preserve">承诺如下：</w:t>
      </w:r>
      <w:r>
        <w:rPr>
          <w:rFonts w:hint="eastAsia" w:ascii="Times New Roman" w:hAnsi="Times New Roman" w:eastAsia="宋体" w:cs="Times New Roman"/>
          <w:color w:val="000000"/>
          <w:sz w:val="24"/>
          <w:szCs w:val="20"/>
          <w:lang w:val="en-US" w:eastAsia="zh-CN"/>
        </w:rPr>
      </w:r>
      <w:r/>
    </w:p>
    <w:p>
      <w:pPr>
        <w:pStyle w:val="864"/>
        <w:ind w:firstLine="240"/>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（内容自拟）</w:t>
      </w: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ind w:firstLine="240"/>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投标人名称（加盖公章）：_______________</w:t>
      </w:r>
      <w:r>
        <w:rPr>
          <w:rFonts w:hint="eastAsia" w:ascii="Times New Roman" w:hAnsi="Times New Roman" w:eastAsia="宋体" w:cs="Times New Roman"/>
          <w:color w:val="000000"/>
          <w:sz w:val="24"/>
          <w:szCs w:val="20"/>
          <w:lang w:val="en-US" w:eastAsia="zh-CN"/>
        </w:rPr>
      </w:r>
      <w:r/>
    </w:p>
    <w:p>
      <w:pPr>
        <w:pStyle w:val="864"/>
        <w:ind w:firstLine="240"/>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日期：_______年_______月_______日</w:t>
      </w: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864"/>
        <w:rPr>
          <w:color w:val="000000"/>
          <w:sz w:val="24"/>
          <w:szCs w:val="20"/>
        </w:rPr>
      </w:pPr>
      <w:r>
        <w:rPr>
          <w:rFonts w:hint="eastAsia"/>
          <w:color w:val="000000"/>
          <w:sz w:val="24"/>
          <w:szCs w:val="20"/>
          <w:lang w:val="en-US" w:eastAsia="zh-CN"/>
        </w:rPr>
        <w:t xml:space="preserve">9</w:t>
      </w:r>
      <w:r>
        <w:rPr>
          <w:color w:val="000000"/>
          <w:sz w:val="24"/>
          <w:szCs w:val="20"/>
        </w:rPr>
        <w:t xml:space="preserve"> </w:t>
      </w:r>
      <w:bookmarkStart w:id="904" w:name="_Toc288738839"/>
      <w:r/>
      <w:bookmarkStart w:id="905" w:name="_Toc288738397"/>
      <w:r>
        <w:rPr>
          <w:rFonts w:hint="eastAsia"/>
          <w:color w:val="000000"/>
          <w:sz w:val="24"/>
          <w:szCs w:val="20"/>
        </w:rPr>
        <w:t xml:space="preserve"> 相关业绩案例一览表</w:t>
      </w:r>
      <w:r>
        <w:rPr>
          <w:color w:val="000000"/>
          <w:sz w:val="24"/>
          <w:szCs w:val="20"/>
        </w:rPr>
      </w:r>
      <w:r/>
    </w:p>
    <w:p>
      <w:pPr>
        <w:pStyle w:val="864"/>
        <w:rPr>
          <w:color w:val="000000"/>
          <w:sz w:val="24"/>
          <w:szCs w:val="20"/>
        </w:rPr>
      </w:pPr>
      <w:r>
        <w:rPr>
          <w:color w:val="000000"/>
          <w:sz w:val="24"/>
          <w:szCs w:val="20"/>
        </w:rPr>
      </w:r>
      <w:r/>
    </w:p>
    <w:p>
      <w:pPr>
        <w:pStyle w:val="864"/>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864"/>
        <w:spacing w:line="360" w:lineRule="auto"/>
        <w:rPr>
          <w:rFonts w:ascii="宋体" w:hAnsi="宋体" w:cs="宋体"/>
          <w:sz w:val="24"/>
        </w:rPr>
      </w:pP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bl>
    <w:p>
      <w:pPr>
        <w:pStyle w:val="864"/>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864"/>
        <w:spacing w:line="360" w:lineRule="auto"/>
        <w:rPr>
          <w:rFonts w:ascii="宋体" w:hAnsi="宋体" w:cs="宋体"/>
          <w:sz w:val="24"/>
        </w:rPr>
      </w:pPr>
      <w:r>
        <w:rPr>
          <w:rFonts w:ascii="宋体" w:hAnsi="宋体" w:cs="宋体"/>
          <w:sz w:val="24"/>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pPr>
      <w:r/>
      <w:r/>
    </w:p>
    <w:p>
      <w:pPr>
        <w:pStyle w:val="864"/>
      </w:pPr>
      <w:r/>
      <w:r/>
    </w:p>
    <w:p>
      <w:pPr>
        <w:pStyle w:val="864"/>
      </w:pPr>
      <w:r/>
      <w:r/>
    </w:p>
    <w:p>
      <w:pPr>
        <w:pStyle w:val="864"/>
      </w:pPr>
      <w:r/>
      <w:r/>
    </w:p>
    <w:p>
      <w:pPr>
        <w:pStyle w:val="864"/>
      </w:p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864"/>
        <w:ind w:right="482"/>
        <w:jc w:val="left"/>
        <w:rPr>
          <w:rStyle w:val="937"/>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 </w:t>
      </w:r>
      <w:r>
        <w:rPr>
          <w:rFonts w:hint="eastAsia" w:ascii="Times New Roman" w:hAnsi="Times New Roman" w:eastAsia="宋体" w:cs="Times New Roman"/>
          <w:color w:val="000000"/>
          <w:sz w:val="24"/>
          <w:szCs w:val="20"/>
          <w:lang w:val="en-US" w:eastAsia="zh-CN"/>
        </w:rPr>
        <w:t xml:space="preserve">拟投入本项目小组成员一览表</w:t>
      </w:r>
      <w:r>
        <w:rPr>
          <w:rStyle w:val="937"/>
          <w:rFonts w:ascii="宋体" w:hAnsi="宋体" w:eastAsia="宋体" w:cs="宋体"/>
          <w:bCs w:val="0"/>
          <w:sz w:val="28"/>
          <w:szCs w:val="28"/>
          <w:lang w:val="en-US"/>
        </w:rPr>
      </w:r>
      <w:r/>
    </w:p>
    <w:p>
      <w:pPr>
        <w:pStyle w:val="86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4"/>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864"/>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0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965"/>
      </w:tblGrid>
      <w:tr>
        <w:trPr>
          <w:trHeight w:val="657"/>
        </w:trPr>
        <w:tc>
          <w:tcPr>
            <w:tcW w:w="745"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965"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r>
      <w:tr>
        <w:trPr>
          <w:trHeight w:val="44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4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39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864"/>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ff"/>
          <w:sz w:val="24"/>
          <w:szCs w:val="24"/>
          <w:lang w:val="en-US" w:eastAsia="zh-CN"/>
        </w:rPr>
        <w:t xml:space="preserve">根据招标文件要求提供相关证明材料。</w:t>
      </w:r>
      <w:r>
        <w:rPr>
          <w:rFonts w:ascii="Times New Roman" w:hAnsi="Times New Roman" w:eastAsia="宋体" w:cs="Times New Roman"/>
          <w:color w:val="0000ff"/>
          <w:u w:val="none"/>
          <w:lang w:val="en-US" w:eastAsia="zh-CN"/>
        </w:rPr>
      </w:r>
      <w:r/>
    </w:p>
    <w:p>
      <w:pPr>
        <w:pStyle w:val="864"/>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4"/>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4"/>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864"/>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11拟投入本项目设备一览表</w:t>
      </w:r>
      <w:r>
        <w:rPr>
          <w:rFonts w:hint="eastAsia" w:ascii="Times New Roman" w:hAnsi="Times New Roman" w:eastAsia="宋体" w:cs="Times New Roman"/>
          <w:color w:val="000000"/>
          <w:sz w:val="24"/>
          <w:szCs w:val="20"/>
          <w:lang w:val="en-US" w:eastAsia="zh-CN"/>
        </w:rPr>
      </w:r>
      <w:r/>
    </w:p>
    <w:p>
      <w:pPr>
        <w:pStyle w:val="86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4"/>
        <w:jc w:val="center"/>
        <w:keepLines/>
        <w:keepNext/>
        <w:pageBreakBefore w:val="0"/>
        <w:spacing w:before="0" w:after="0" w:line="240" w:lineRule="auto"/>
        <w:widowControl w:val="off"/>
        <w:rPr>
          <w:rFonts w:hint="eastAsia" w:ascii="宋体" w:hAnsi="宋体" w:eastAsia="宋体" w:cs="宋体"/>
          <w:b/>
          <w:bCs/>
          <w:sz w:val="28"/>
          <w:szCs w:val="28"/>
          <w:highlight w:val="white"/>
          <w:lang w:val="en-US" w:eastAsia="zh-CN" w:bidi="ar-SA"/>
        </w:rPr>
        <w:outlineLvl w:val="9"/>
      </w:pPr>
      <w:r>
        <w:rPr>
          <w:rFonts w:hint="eastAsia" w:ascii="宋体" w:hAnsi="宋体" w:eastAsia="宋体" w:cs="宋体"/>
          <w:b/>
          <w:bCs/>
          <w:sz w:val="28"/>
          <w:szCs w:val="28"/>
          <w:highlight w:val="white"/>
          <w:lang w:val="en-US" w:eastAsia="zh-CN" w:bidi="ar-SA"/>
        </w:rPr>
        <w:t xml:space="preserve">拟投入本项目设备一览表</w:t>
      </w:r>
      <w:r>
        <w:rPr>
          <w:rFonts w:hint="eastAsia" w:ascii="宋体" w:hAnsi="宋体" w:eastAsia="宋体" w:cs="宋体"/>
          <w:b/>
          <w:bCs/>
          <w:sz w:val="28"/>
          <w:szCs w:val="28"/>
          <w:highlight w:val="white"/>
          <w:lang w:val="en-US" w:eastAsia="zh-CN" w:bidi="ar-SA"/>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3750"/>
        <w:gridCol w:w="2615"/>
        <w:gridCol w:w="2052"/>
      </w:tblGrid>
      <w:tr>
        <w:trPr>
          <w:trHeight w:val="657"/>
        </w:trPr>
        <w:tc>
          <w:tcPr>
            <w:tcW w:w="835"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615"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自有/租赁</w:t>
            </w:r>
            <w:r>
              <w:rPr>
                <w:rFonts w:ascii="宋体" w:hAnsi="宋体" w:eastAsia="宋体" w:cs="宋体"/>
                <w:b/>
                <w:bCs/>
                <w:sz w:val="24"/>
                <w:szCs w:val="24"/>
                <w:lang w:val="en-US" w:eastAsia="zh-CN"/>
              </w:rPr>
            </w:r>
            <w:r/>
          </w:p>
        </w:tc>
        <w:tc>
          <w:tcPr>
            <w:tcW w:w="2052"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2"/>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83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4"/>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4"/>
        <w:spacing w:before="25" w:after="25" w:line="360" w:lineRule="auto"/>
        <w:rPr>
          <w:rFonts w:ascii="Times New Roman" w:hAnsi="Times New Roman" w:eastAsia="宋体" w:cs="Times New Roman"/>
          <w:color w:val="000000"/>
          <w:sz w:val="24"/>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864"/>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w:t>
      </w:r>
      <w:r>
        <w:rPr>
          <w:rFonts w:hint="eastAsia" w:ascii="宋体" w:hAnsi="宋体" w:eastAsia="宋体" w:cs="宋体"/>
          <w:sz w:val="24"/>
          <w:szCs w:val="24"/>
          <w:highlight w:val="white"/>
          <w:u w:val="single"/>
        </w:rPr>
        <w:t xml:space="preserve">（盖单位公章）</w:t>
      </w:r>
      <w:r>
        <w:rPr>
          <w:rFonts w:hint="eastAsia" w:ascii="宋体" w:hAnsi="宋体" w:eastAsia="宋体" w:cs="宋体"/>
          <w:sz w:val="24"/>
          <w:szCs w:val="24"/>
          <w:highlight w:val="white"/>
        </w:rPr>
      </w:r>
      <w:r/>
    </w:p>
    <w:p>
      <w:pPr>
        <w:pStyle w:val="864"/>
        <w:spacing w:line="360" w:lineRule="auto"/>
        <w:rPr>
          <w:rFonts w:hint="eastAsia" w:ascii="宋体" w:hAnsi="宋体" w:eastAsia="宋体" w:cs="宋体"/>
          <w:sz w:val="24"/>
          <w:szCs w:val="24"/>
          <w:highlight w:val="white"/>
          <w:u w:val="single"/>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sz w:val="24"/>
          <w:szCs w:val="24"/>
          <w:highlight w:val="white"/>
        </w:rPr>
        <w:t xml:space="preserve">日期：</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年</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月</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日</w:t>
      </w:r>
      <w:r>
        <w:rPr>
          <w:rFonts w:hint="eastAsia" w:ascii="宋体" w:hAnsi="宋体" w:eastAsia="宋体" w:cs="宋体"/>
          <w:sz w:val="24"/>
          <w:szCs w:val="24"/>
          <w:highlight w:val="white"/>
          <w:u w:val="single"/>
        </w:rPr>
      </w:r>
      <w:r/>
    </w:p>
    <w:p>
      <w:pPr>
        <w:pStyle w:val="864"/>
        <w:spacing w:line="360" w:lineRule="auto"/>
        <w:rPr>
          <w:color w:val="000000"/>
          <w:sz w:val="24"/>
          <w:szCs w:val="20"/>
        </w:rPr>
        <w:outlineLvl w:val="2"/>
      </w:pPr>
      <w:r>
        <w:rPr>
          <w:rFonts w:hint="eastAsia"/>
          <w:color w:val="000000"/>
          <w:sz w:val="24"/>
          <w:szCs w:val="20"/>
          <w:lang w:val="en-US" w:eastAsia="zh-CN"/>
        </w:rPr>
        <w:t xml:space="preserve">12、</w:t>
      </w:r>
      <w:r>
        <w:rPr>
          <w:color w:val="000000"/>
          <w:sz w:val="24"/>
          <w:szCs w:val="20"/>
        </w:rPr>
        <w:t xml:space="preserve">招标文件要求提供或投标人认为应附的其他材料</w:t>
      </w:r>
      <w:r>
        <w:rPr>
          <w:color w:val="000000"/>
          <w:sz w:val="24"/>
          <w:szCs w:val="20"/>
        </w:rPr>
      </w:r>
      <w:r/>
    </w:p>
    <w:p>
      <w:pPr>
        <w:pStyle w:val="864"/>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4"/>
        <w:ind w:left="4941" w:hanging="1140"/>
        <w:tabs>
          <w:tab w:val="num" w:pos="4941" w:leader="none"/>
        </w:tabs>
      </w:pPr>
      <w:rPr>
        <w:rFonts w:hint="eastAsia"/>
      </w:rPr>
    </w:lvl>
    <w:lvl w:ilvl="1">
      <w:start w:val="1"/>
      <w:numFmt w:val="lowerLetter"/>
      <w:isLgl w:val="false"/>
      <w:suff w:val="tab"/>
      <w:lvlText w:val="%2)"/>
      <w:lvlJc w:val="left"/>
      <w:pPr>
        <w:pStyle w:val="864"/>
        <w:ind w:left="4641" w:hanging="420"/>
        <w:tabs>
          <w:tab w:val="num" w:pos="4641" w:leader="none"/>
        </w:tabs>
      </w:pPr>
    </w:lvl>
    <w:lvl w:ilvl="2">
      <w:start w:val="1"/>
      <w:numFmt w:val="lowerRoman"/>
      <w:isLgl w:val="false"/>
      <w:suff w:val="tab"/>
      <w:lvlText w:val="%3."/>
      <w:lvlJc w:val="right"/>
      <w:pPr>
        <w:pStyle w:val="864"/>
        <w:ind w:left="5061" w:hanging="420"/>
        <w:tabs>
          <w:tab w:val="num" w:pos="5061" w:leader="none"/>
        </w:tabs>
      </w:pPr>
    </w:lvl>
    <w:lvl w:ilvl="3">
      <w:start w:val="1"/>
      <w:numFmt w:val="decimal"/>
      <w:isLgl w:val="false"/>
      <w:suff w:val="tab"/>
      <w:lvlText w:val="%4."/>
      <w:lvlJc w:val="left"/>
      <w:pPr>
        <w:pStyle w:val="864"/>
        <w:ind w:left="5481" w:hanging="420"/>
        <w:tabs>
          <w:tab w:val="num" w:pos="5481" w:leader="none"/>
        </w:tabs>
      </w:pPr>
    </w:lvl>
    <w:lvl w:ilvl="4">
      <w:start w:val="1"/>
      <w:numFmt w:val="lowerLetter"/>
      <w:isLgl w:val="false"/>
      <w:suff w:val="tab"/>
      <w:lvlText w:val="%5)"/>
      <w:lvlJc w:val="left"/>
      <w:pPr>
        <w:pStyle w:val="864"/>
        <w:ind w:left="5901" w:hanging="420"/>
        <w:tabs>
          <w:tab w:val="num" w:pos="5901" w:leader="none"/>
        </w:tabs>
      </w:pPr>
    </w:lvl>
    <w:lvl w:ilvl="5">
      <w:start w:val="1"/>
      <w:numFmt w:val="lowerRoman"/>
      <w:isLgl w:val="false"/>
      <w:suff w:val="tab"/>
      <w:lvlText w:val="%6."/>
      <w:lvlJc w:val="right"/>
      <w:pPr>
        <w:pStyle w:val="864"/>
        <w:ind w:left="6321" w:hanging="420"/>
        <w:tabs>
          <w:tab w:val="num" w:pos="6321" w:leader="none"/>
        </w:tabs>
      </w:pPr>
    </w:lvl>
    <w:lvl w:ilvl="6">
      <w:start w:val="1"/>
      <w:numFmt w:val="decimal"/>
      <w:isLgl w:val="false"/>
      <w:suff w:val="tab"/>
      <w:lvlText w:val="%7."/>
      <w:lvlJc w:val="left"/>
      <w:pPr>
        <w:pStyle w:val="864"/>
        <w:ind w:left="6741" w:hanging="420"/>
        <w:tabs>
          <w:tab w:val="num" w:pos="6741" w:leader="none"/>
        </w:tabs>
      </w:pPr>
    </w:lvl>
    <w:lvl w:ilvl="7">
      <w:start w:val="1"/>
      <w:numFmt w:val="lowerLetter"/>
      <w:isLgl w:val="false"/>
      <w:suff w:val="tab"/>
      <w:lvlText w:val="%8)"/>
      <w:lvlJc w:val="left"/>
      <w:pPr>
        <w:pStyle w:val="864"/>
        <w:ind w:left="7161" w:hanging="420"/>
        <w:tabs>
          <w:tab w:val="num" w:pos="7161" w:leader="none"/>
        </w:tabs>
      </w:pPr>
    </w:lvl>
    <w:lvl w:ilvl="8">
      <w:start w:val="1"/>
      <w:numFmt w:val="lowerRoman"/>
      <w:isLgl w:val="false"/>
      <w:suff w:val="tab"/>
      <w:lvlText w:val="%9."/>
      <w:lvlJc w:val="right"/>
      <w:pPr>
        <w:pStyle w:val="864"/>
        <w:ind w:left="7581" w:hanging="420"/>
        <w:tabs>
          <w:tab w:val="num" w:pos="7581" w:leader="none"/>
        </w:tabs>
      </w:pPr>
    </w:lvl>
  </w:abstractNum>
  <w:abstractNum w:abstractNumId="2">
    <w:multiLevelType w:val="hybridMultilevel"/>
    <w:lvl w:ilvl="0">
      <w:start w:val="1"/>
      <w:numFmt w:val="decimal"/>
      <w:pStyle w:val="976"/>
      <w:isLgl w:val="false"/>
      <w:suff w:val="tab"/>
      <w:lvlText w:val="%1."/>
      <w:lvlJc w:val="left"/>
      <w:pPr>
        <w:pStyle w:val="864"/>
        <w:ind w:left="420" w:hanging="420"/>
      </w:pPr>
    </w:lvl>
    <w:lvl w:ilvl="1">
      <w:start w:val="1"/>
      <w:numFmt w:val="decimal"/>
      <w:isLgl w:val="false"/>
      <w:suff w:val="tab"/>
      <w:lvlText w:val="（%2）"/>
      <w:lvlJc w:val="left"/>
      <w:pPr>
        <w:pStyle w:val="864"/>
        <w:ind w:left="1140" w:hanging="720"/>
        <w:tabs>
          <w:tab w:val="num" w:pos="1140" w:leader="none"/>
        </w:tabs>
      </w:pPr>
      <w:rPr>
        <w:rFonts w:hint="eastAsia"/>
      </w:r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3">
    <w:multiLevelType w:val="hybridMultilevel"/>
    <w:lvl w:ilvl="0">
      <w:start w:val="1"/>
      <w:numFmt w:val="lowerLetter"/>
      <w:pStyle w:val="1050"/>
      <w:isLgl w:val="false"/>
      <w:suff w:val="tab"/>
      <w:lvlText w:val="%1)"/>
      <w:lvlJc w:val="left"/>
      <w:pPr>
        <w:pStyle w:val="864"/>
        <w:ind w:left="902" w:hanging="420"/>
      </w:pPr>
      <w:rPr>
        <w:color w:val="000000"/>
      </w:rPr>
    </w:lvl>
    <w:lvl w:ilvl="1">
      <w:start w:val="1"/>
      <w:numFmt w:val="lowerLetter"/>
      <w:isLgl w:val="false"/>
      <w:suff w:val="tab"/>
      <w:lvlText w:val="%2)"/>
      <w:lvlJc w:val="left"/>
      <w:pPr>
        <w:pStyle w:val="864"/>
        <w:ind w:left="1322" w:hanging="420"/>
      </w:pPr>
    </w:lvl>
    <w:lvl w:ilvl="2">
      <w:start w:val="1"/>
      <w:numFmt w:val="lowerRoman"/>
      <w:isLgl w:val="false"/>
      <w:suff w:val="tab"/>
      <w:lvlText w:val="%3."/>
      <w:lvlJc w:val="right"/>
      <w:pPr>
        <w:pStyle w:val="864"/>
        <w:ind w:left="1742" w:hanging="420"/>
      </w:pPr>
    </w:lvl>
    <w:lvl w:ilvl="3">
      <w:start w:val="1"/>
      <w:numFmt w:val="decimal"/>
      <w:isLgl w:val="false"/>
      <w:suff w:val="tab"/>
      <w:lvlText w:val="%4."/>
      <w:lvlJc w:val="left"/>
      <w:pPr>
        <w:pStyle w:val="864"/>
        <w:ind w:left="2162" w:hanging="420"/>
      </w:pPr>
    </w:lvl>
    <w:lvl w:ilvl="4">
      <w:start w:val="1"/>
      <w:numFmt w:val="lowerLetter"/>
      <w:isLgl w:val="false"/>
      <w:suff w:val="tab"/>
      <w:lvlText w:val="%5)"/>
      <w:lvlJc w:val="left"/>
      <w:pPr>
        <w:pStyle w:val="864"/>
        <w:ind w:left="2582" w:hanging="420"/>
      </w:pPr>
    </w:lvl>
    <w:lvl w:ilvl="5">
      <w:start w:val="1"/>
      <w:numFmt w:val="lowerRoman"/>
      <w:isLgl w:val="false"/>
      <w:suff w:val="tab"/>
      <w:lvlText w:val="%6."/>
      <w:lvlJc w:val="right"/>
      <w:pPr>
        <w:pStyle w:val="864"/>
        <w:ind w:left="3002" w:hanging="420"/>
      </w:pPr>
    </w:lvl>
    <w:lvl w:ilvl="6">
      <w:start w:val="1"/>
      <w:numFmt w:val="decimal"/>
      <w:isLgl w:val="false"/>
      <w:suff w:val="tab"/>
      <w:lvlText w:val="%7."/>
      <w:lvlJc w:val="left"/>
      <w:pPr>
        <w:pStyle w:val="864"/>
        <w:ind w:left="3422" w:hanging="420"/>
      </w:pPr>
    </w:lvl>
    <w:lvl w:ilvl="7">
      <w:start w:val="1"/>
      <w:numFmt w:val="lowerLetter"/>
      <w:isLgl w:val="false"/>
      <w:suff w:val="tab"/>
      <w:lvlText w:val="%8)"/>
      <w:lvlJc w:val="left"/>
      <w:pPr>
        <w:pStyle w:val="864"/>
        <w:ind w:left="3842" w:hanging="420"/>
      </w:pPr>
    </w:lvl>
    <w:lvl w:ilvl="8">
      <w:start w:val="1"/>
      <w:numFmt w:val="lowerRoman"/>
      <w:isLgl w:val="false"/>
      <w:suff w:val="tab"/>
      <w:lvlText w:val="%9."/>
      <w:lvlJc w:val="right"/>
      <w:pPr>
        <w:pStyle w:val="864"/>
        <w:ind w:left="4262" w:hanging="420"/>
      </w:pPr>
    </w:lvl>
  </w:abstractNum>
  <w:abstractNum w:abstractNumId="4">
    <w:multiLevelType w:val="hybridMultilevel"/>
    <w:lvl w:ilvl="0">
      <w:start w:val="1"/>
      <w:numFmt w:val="decimal"/>
      <w:pStyle w:val="1021"/>
      <w:isLgl w:val="false"/>
      <w:suff w:val="tab"/>
      <w:lvlText w:val="%1."/>
      <w:lvlJc w:val="left"/>
      <w:pPr>
        <w:pStyle w:val="86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0"/>
      <w:isLgl w:val="false"/>
      <w:suff w:val="nothing"/>
      <w:lvlText w:val="%1　"/>
      <w:lvlJc w:val="left"/>
      <w:pPr>
        <w:pStyle w:val="86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4"/>
        <w:ind w:left="-25" w:firstLine="0"/>
      </w:pPr>
      <w:rPr>
        <w:rFonts w:ascii="Times New Roman" w:hAnsi="Times New Roman" w:eastAsia="黑体"/>
        <w:b/>
        <w:i w:val="0"/>
        <w:sz w:val="28"/>
      </w:rPr>
    </w:lvl>
    <w:lvl w:ilvl="3">
      <w:start w:val="1"/>
      <w:numFmt w:val="decimal"/>
      <w:pStyle w:val="1006"/>
      <w:isLgl w:val="false"/>
      <w:suff w:val="nothing"/>
      <w:lvlText w:val="%1.%2.%3.%4　"/>
      <w:lvlJc w:val="left"/>
      <w:pPr>
        <w:pStyle w:val="86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4"/>
        <w:ind w:left="-25" w:firstLine="0"/>
      </w:pPr>
      <w:rPr>
        <w:rFonts w:ascii="Times New Roman" w:hAnsi="Times New Roman" w:eastAsia="宋体"/>
        <w:b/>
        <w:i w:val="0"/>
        <w:sz w:val="28"/>
      </w:rPr>
    </w:lvl>
    <w:lvl w:ilvl="6">
      <w:start w:val="1"/>
      <w:numFmt w:val="lowerLetter"/>
      <w:pStyle w:val="1027"/>
      <w:isLgl w:val="false"/>
      <w:suff w:val="tab"/>
      <w:lvlText w:val="%7) "/>
      <w:lvlJc w:val="left"/>
      <w:pPr>
        <w:pStyle w:val="864"/>
        <w:ind w:left="-125" w:firstLine="400"/>
        <w:tabs>
          <w:tab w:val="num" w:pos="635" w:leader="none"/>
        </w:tabs>
      </w:pPr>
      <w:rPr>
        <w:rFonts w:ascii="Times New Roman" w:hAnsi="Times New Roman" w:eastAsia="宋体"/>
        <w:b/>
        <w:i w:val="0"/>
        <w:color w:val="000000"/>
        <w:sz w:val="28"/>
        <w:u w:val="none"/>
      </w:rPr>
    </w:lvl>
    <w:lvl w:ilvl="7">
      <w:start w:val="1"/>
      <w:numFmt w:val="decimal"/>
      <w:pStyle w:val="990"/>
      <w:isLgl w:val="false"/>
      <w:suff w:val="tab"/>
      <w:lvlText w:val="%8) "/>
      <w:lvlJc w:val="left"/>
      <w:pPr>
        <w:pStyle w:val="86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64"/>
        <w:ind w:left="768" w:hanging="360"/>
        <w:tabs>
          <w:tab w:val="num" w:pos="768" w:leader="none"/>
        </w:tabs>
      </w:pPr>
      <w:rPr>
        <w:rFonts w:hint="eastAsia"/>
      </w:rPr>
    </w:lvl>
    <w:lvl w:ilvl="1">
      <w:start w:val="1"/>
      <w:numFmt w:val="decimal"/>
      <w:pStyle w:val="1008"/>
      <w:isLgl w:val="false"/>
      <w:suff w:val="tab"/>
      <w:lvlText w:val="%2、"/>
      <w:lvlJc w:val="left"/>
      <w:pPr>
        <w:pStyle w:val="864"/>
        <w:ind w:left="1188" w:hanging="360"/>
        <w:tabs>
          <w:tab w:val="num" w:pos="1188" w:leader="none"/>
        </w:tabs>
      </w:pPr>
      <w:rPr>
        <w:rFonts w:hint="eastAsia"/>
      </w:rPr>
    </w:lvl>
    <w:lvl w:ilvl="2">
      <w:start w:val="1"/>
      <w:numFmt w:val="decimal"/>
      <w:isLgl w:val="false"/>
      <w:suff w:val="tab"/>
      <w:lvlText w:val="（%3）"/>
      <w:lvlJc w:val="left"/>
      <w:pPr>
        <w:pStyle w:val="864"/>
        <w:ind w:left="1968" w:hanging="720"/>
        <w:tabs>
          <w:tab w:val="num" w:pos="1968" w:leader="none"/>
        </w:tabs>
      </w:pPr>
      <w:rPr>
        <w:rFonts w:hint="eastAsia"/>
        <w:u w:val="none"/>
      </w:rPr>
    </w:lvl>
    <w:lvl w:ilvl="3">
      <w:start w:val="1"/>
      <w:numFmt w:val="decimal"/>
      <w:isLgl w:val="false"/>
      <w:suff w:val="tab"/>
      <w:lvlText w:val="%4."/>
      <w:lvlJc w:val="left"/>
      <w:pPr>
        <w:pStyle w:val="864"/>
        <w:ind w:left="2088" w:hanging="420"/>
        <w:tabs>
          <w:tab w:val="num" w:pos="2088" w:leader="none"/>
        </w:tabs>
      </w:pPr>
    </w:lvl>
    <w:lvl w:ilvl="4">
      <w:start w:val="1"/>
      <w:numFmt w:val="lowerLetter"/>
      <w:isLgl w:val="false"/>
      <w:suff w:val="tab"/>
      <w:lvlText w:val="%5)"/>
      <w:lvlJc w:val="left"/>
      <w:pPr>
        <w:pStyle w:val="864"/>
        <w:ind w:left="2508" w:hanging="420"/>
        <w:tabs>
          <w:tab w:val="num" w:pos="2508" w:leader="none"/>
        </w:tabs>
      </w:pPr>
    </w:lvl>
    <w:lvl w:ilvl="5">
      <w:start w:val="1"/>
      <w:numFmt w:val="lowerRoman"/>
      <w:isLgl w:val="false"/>
      <w:suff w:val="tab"/>
      <w:lvlText w:val="%6."/>
      <w:lvlJc w:val="right"/>
      <w:pPr>
        <w:pStyle w:val="864"/>
        <w:ind w:left="2928" w:hanging="420"/>
        <w:tabs>
          <w:tab w:val="num" w:pos="2928" w:leader="none"/>
        </w:tabs>
      </w:pPr>
    </w:lvl>
    <w:lvl w:ilvl="6">
      <w:start w:val="1"/>
      <w:numFmt w:val="decimal"/>
      <w:isLgl w:val="false"/>
      <w:suff w:val="tab"/>
      <w:lvlText w:val="%7."/>
      <w:lvlJc w:val="left"/>
      <w:pPr>
        <w:pStyle w:val="864"/>
        <w:ind w:left="3348" w:hanging="420"/>
        <w:tabs>
          <w:tab w:val="num" w:pos="3348" w:leader="none"/>
        </w:tabs>
      </w:pPr>
    </w:lvl>
    <w:lvl w:ilvl="7">
      <w:start w:val="1"/>
      <w:numFmt w:val="lowerLetter"/>
      <w:isLgl w:val="false"/>
      <w:suff w:val="tab"/>
      <w:lvlText w:val="%8)"/>
      <w:lvlJc w:val="left"/>
      <w:pPr>
        <w:pStyle w:val="864"/>
        <w:ind w:left="3768" w:hanging="420"/>
        <w:tabs>
          <w:tab w:val="num" w:pos="3768" w:leader="none"/>
        </w:tabs>
      </w:pPr>
    </w:lvl>
    <w:lvl w:ilvl="8">
      <w:start w:val="1"/>
      <w:numFmt w:val="lowerRoman"/>
      <w:isLgl w:val="false"/>
      <w:suff w:val="tab"/>
      <w:lvlText w:val="%9."/>
      <w:lvlJc w:val="right"/>
      <w:pPr>
        <w:pStyle w:val="86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8">
    <w:multiLevelType w:val="hybridMultilevel"/>
    <w:lvl w:ilvl="0">
      <w:start w:val="1"/>
      <w:numFmt w:val="decimal"/>
      <w:pStyle w:val="975"/>
      <w:isLgl w:val="false"/>
      <w:suff w:val="tab"/>
      <w:lvlText w:val="%1)"/>
      <w:lvlJc w:val="left"/>
      <w:pPr>
        <w:pStyle w:val="864"/>
        <w:ind w:left="420" w:hanging="420"/>
      </w:pPr>
    </w:lvl>
    <w:lvl w:ilvl="1">
      <w:start w:val="1"/>
      <w:numFmt w:val="lowerLetter"/>
      <w:isLgl w:val="false"/>
      <w:suff w:val="tab"/>
      <w:lvlText w:val="%2)"/>
      <w:lvlJc w:val="left"/>
      <w:pPr>
        <w:pStyle w:val="864"/>
        <w:ind w:left="840" w:hanging="420"/>
      </w:p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9">
    <w:multiLevelType w:val="hybridMultilevel"/>
    <w:lvl w:ilvl="0">
      <w:start w:val="1"/>
      <w:numFmt w:val="decimal"/>
      <w:pStyle w:val="1075"/>
      <w:isLgl w:val="false"/>
      <w:suff w:val="tab"/>
      <w:lvlText w:val="%1"/>
      <w:lvlJc w:val="left"/>
      <w:pPr>
        <w:pStyle w:val="864"/>
        <w:ind w:left="680" w:hanging="680"/>
      </w:pPr>
      <w:rPr>
        <w:rFonts w:hint="eastAsia" w:ascii="宋体" w:hAnsi="宋体" w:eastAsia="宋体"/>
      </w:rPr>
    </w:lvl>
    <w:lvl w:ilvl="1">
      <w:start w:val="1"/>
      <w:numFmt w:val="decimal"/>
      <w:pStyle w:val="1076"/>
      <w:isLgl w:val="false"/>
      <w:suff w:val="tab"/>
      <w:lvlText w:val="%1.%2"/>
      <w:lvlJc w:val="left"/>
      <w:pPr>
        <w:pStyle w:val="864"/>
        <w:ind w:left="851" w:hanging="851"/>
      </w:pPr>
      <w:rPr>
        <w:rFonts w:hint="eastAsia" w:ascii="宋体" w:hAnsi="宋体" w:eastAsia="宋体"/>
        <w:color w:val="000000"/>
      </w:rPr>
    </w:lvl>
    <w:lvl w:ilvl="2">
      <w:start w:val="1"/>
      <w:numFmt w:val="decimal"/>
      <w:pStyle w:val="1077"/>
      <w:isLgl w:val="false"/>
      <w:suff w:val="tab"/>
      <w:lvlText w:val="%1.%2.%3"/>
      <w:lvlJc w:val="left"/>
      <w:pPr>
        <w:pStyle w:val="864"/>
        <w:ind w:left="851" w:hanging="851"/>
      </w:pPr>
      <w:rPr>
        <w:rFonts w:hint="eastAsia"/>
      </w:rPr>
    </w:lvl>
    <w:lvl w:ilvl="3">
      <w:start w:val="1"/>
      <w:numFmt w:val="decimal"/>
      <w:isLgl w:val="false"/>
      <w:suff w:val="tab"/>
      <w:lvlText w:val="%1.%2.%3.%4"/>
      <w:lvlJc w:val="left"/>
      <w:pPr>
        <w:pStyle w:val="864"/>
        <w:ind w:left="680" w:hanging="680"/>
      </w:pPr>
      <w:rPr>
        <w:rFonts w:hint="eastAsia"/>
      </w:rPr>
    </w:lvl>
    <w:lvl w:ilvl="4">
      <w:start w:val="1"/>
      <w:numFmt w:val="decimal"/>
      <w:isLgl w:val="false"/>
      <w:suff w:val="tab"/>
      <w:lvlText w:val="%1.%2.%3.%4.%5"/>
      <w:lvlJc w:val="left"/>
      <w:pPr>
        <w:pStyle w:val="864"/>
        <w:ind w:left="680" w:hanging="680"/>
      </w:pPr>
      <w:rPr>
        <w:rFonts w:hint="eastAsia"/>
      </w:rPr>
    </w:lvl>
    <w:lvl w:ilvl="5">
      <w:start w:val="1"/>
      <w:numFmt w:val="decimal"/>
      <w:isLgl w:val="false"/>
      <w:suff w:val="tab"/>
      <w:lvlText w:val="%1.%2.%3.%4.%5.%6"/>
      <w:lvlJc w:val="left"/>
      <w:pPr>
        <w:pStyle w:val="864"/>
        <w:ind w:left="680" w:hanging="680"/>
      </w:pPr>
      <w:rPr>
        <w:rFonts w:hint="eastAsia"/>
      </w:rPr>
    </w:lvl>
    <w:lvl w:ilvl="6">
      <w:start w:val="1"/>
      <w:numFmt w:val="decimal"/>
      <w:isLgl w:val="false"/>
      <w:suff w:val="tab"/>
      <w:lvlText w:val="%1.%2.%3.%4.%5.%6.%7"/>
      <w:lvlJc w:val="left"/>
      <w:pPr>
        <w:pStyle w:val="864"/>
        <w:ind w:left="680" w:hanging="680"/>
      </w:pPr>
      <w:rPr>
        <w:rFonts w:hint="eastAsia"/>
      </w:rPr>
    </w:lvl>
    <w:lvl w:ilvl="7">
      <w:start w:val="1"/>
      <w:numFmt w:val="decimal"/>
      <w:isLgl w:val="false"/>
      <w:suff w:val="tab"/>
      <w:lvlText w:val="%1.%2.%3.%4.%5.%6.%7.%8"/>
      <w:lvlJc w:val="left"/>
      <w:pPr>
        <w:pStyle w:val="864"/>
        <w:ind w:left="680" w:hanging="680"/>
      </w:pPr>
      <w:rPr>
        <w:rFonts w:hint="eastAsia"/>
      </w:rPr>
    </w:lvl>
    <w:lvl w:ilvl="8">
      <w:start w:val="1"/>
      <w:numFmt w:val="decimal"/>
      <w:isLgl w:val="false"/>
      <w:suff w:val="tab"/>
      <w:lvlText w:val="%1.%2.%3.%4.%5.%6.%7.%8.%9"/>
      <w:lvlJc w:val="left"/>
      <w:pPr>
        <w:pStyle w:val="864"/>
        <w:ind w:left="680" w:hanging="680"/>
      </w:pPr>
      <w:rPr>
        <w:rFonts w:hint="eastAsia"/>
      </w:rPr>
    </w:lvl>
  </w:abstractNum>
  <w:abstractNum w:abstractNumId="10">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76"/>
    <w:qFormat/>
    <w:pPr>
      <w:jc w:val="center"/>
      <w:keepLines/>
      <w:keepNext/>
      <w:spacing w:before="240" w:after="120" w:line="300" w:lineRule="auto"/>
      <w:outlineLvl w:val="0"/>
    </w:pPr>
    <w:rPr>
      <w:rFonts w:ascii="宋体"/>
      <w:b/>
      <w:sz w:val="32"/>
      <w:szCs w:val="20"/>
    </w:rPr>
  </w:style>
  <w:style w:type="paragraph" w:styleId="866">
    <w:name w:val="标题 2"/>
    <w:basedOn w:val="864"/>
    <w:next w:val="864"/>
    <w:link w:val="877"/>
    <w:qFormat/>
    <w:pPr>
      <w:jc w:val="center"/>
      <w:keepLines/>
      <w:keepNext/>
      <w:spacing w:before="120" w:line="300" w:lineRule="auto"/>
      <w:outlineLvl w:val="1"/>
    </w:pPr>
    <w:rPr>
      <w:rFonts w:ascii="Arial" w:hAnsi="Arial" w:eastAsia="黑体"/>
      <w:b/>
      <w:sz w:val="30"/>
      <w:szCs w:val="20"/>
    </w:rPr>
  </w:style>
  <w:style w:type="paragraph" w:styleId="867">
    <w:name w:val="标题 3"/>
    <w:basedOn w:val="864"/>
    <w:next w:val="864"/>
    <w:link w:val="878"/>
    <w:qFormat/>
    <w:pPr>
      <w:jc w:val="left"/>
      <w:keepLines/>
      <w:keepNext/>
      <w:spacing w:before="360" w:after="120"/>
      <w:outlineLvl w:val="2"/>
    </w:pPr>
    <w:rPr>
      <w:rFonts w:ascii="宋体"/>
      <w:b/>
      <w:sz w:val="24"/>
      <w:szCs w:val="20"/>
      <w:u w:val="single"/>
    </w:rPr>
  </w:style>
  <w:style w:type="paragraph" w:styleId="868">
    <w:name w:val="标题 4"/>
    <w:basedOn w:val="864"/>
    <w:next w:val="864"/>
    <w:link w:val="879"/>
    <w:qFormat/>
    <w:pPr>
      <w:keepLines/>
      <w:keepNext/>
      <w:spacing w:before="280" w:after="290" w:line="376" w:lineRule="atLeast"/>
      <w:outlineLvl w:val="3"/>
    </w:pPr>
    <w:rPr>
      <w:rFonts w:ascii="Arial" w:hAnsi="Arial" w:eastAsia="黑体"/>
      <w:b/>
      <w:sz w:val="28"/>
      <w:szCs w:val="20"/>
    </w:rPr>
  </w:style>
  <w:style w:type="paragraph" w:styleId="869">
    <w:name w:val="标题 5"/>
    <w:basedOn w:val="864"/>
    <w:next w:val="864"/>
    <w:link w:val="880"/>
    <w:qFormat/>
    <w:pPr>
      <w:keepLines/>
      <w:keepNext/>
      <w:spacing w:before="280" w:after="290" w:line="376" w:lineRule="atLeast"/>
      <w:outlineLvl w:val="4"/>
    </w:pPr>
    <w:rPr>
      <w:b/>
      <w:sz w:val="28"/>
      <w:szCs w:val="20"/>
    </w:rPr>
  </w:style>
  <w:style w:type="paragraph" w:styleId="870">
    <w:name w:val="标题 6"/>
    <w:basedOn w:val="864"/>
    <w:next w:val="864"/>
    <w:link w:val="881"/>
    <w:qFormat/>
    <w:pPr>
      <w:keepLines/>
      <w:keepNext/>
      <w:spacing w:before="240" w:after="64" w:line="320" w:lineRule="atLeast"/>
      <w:outlineLvl w:val="5"/>
    </w:pPr>
    <w:rPr>
      <w:rFonts w:ascii="Arial" w:hAnsi="Arial" w:eastAsia="黑体"/>
      <w:b/>
      <w:sz w:val="24"/>
      <w:szCs w:val="20"/>
    </w:rPr>
  </w:style>
  <w:style w:type="paragraph" w:styleId="871">
    <w:name w:val="标题 7"/>
    <w:basedOn w:val="864"/>
    <w:next w:val="864"/>
    <w:link w:val="882"/>
    <w:qFormat/>
    <w:pPr>
      <w:keepLines/>
      <w:keepNext/>
      <w:spacing w:before="240" w:after="64" w:line="320" w:lineRule="atLeast"/>
      <w:outlineLvl w:val="6"/>
    </w:pPr>
    <w:rPr>
      <w:b/>
      <w:sz w:val="24"/>
      <w:szCs w:val="20"/>
    </w:rPr>
  </w:style>
  <w:style w:type="paragraph" w:styleId="872">
    <w:name w:val="标题 8"/>
    <w:basedOn w:val="864"/>
    <w:next w:val="864"/>
    <w:link w:val="883"/>
    <w:qFormat/>
    <w:pPr>
      <w:keepLines/>
      <w:keepNext/>
      <w:spacing w:before="240" w:after="64" w:line="320" w:lineRule="atLeast"/>
      <w:outlineLvl w:val="7"/>
    </w:pPr>
    <w:rPr>
      <w:rFonts w:ascii="Arial" w:hAnsi="Arial" w:eastAsia="黑体"/>
      <w:sz w:val="24"/>
      <w:szCs w:val="20"/>
    </w:rPr>
  </w:style>
  <w:style w:type="paragraph" w:styleId="873">
    <w:name w:val="标题 9"/>
    <w:basedOn w:val="864"/>
    <w:next w:val="864"/>
    <w:link w:val="884"/>
    <w:qFormat/>
    <w:pPr>
      <w:keepLines/>
      <w:keepNext/>
      <w:spacing w:before="240" w:after="64" w:line="320" w:lineRule="atLeast"/>
      <w:outlineLvl w:val="8"/>
    </w:pPr>
    <w:rPr>
      <w:rFonts w:ascii="Arial" w:hAnsi="Arial" w:eastAsia="黑体"/>
      <w:szCs w:val="20"/>
    </w:rPr>
  </w:style>
  <w:style w:type="character" w:styleId="874">
    <w:name w:val="默认段落字体"/>
    <w:next w:val="874"/>
    <w:link w:val="864"/>
    <w:uiPriority w:val="1"/>
    <w:unhideWhenUsed/>
    <w:qFormat/>
  </w:style>
  <w:style w:type="table" w:styleId="875">
    <w:name w:val="普通表格"/>
    <w:next w:val="875"/>
    <w:link w:val="864"/>
    <w:uiPriority w:val="99"/>
    <w:unhideWhenUsed/>
    <w:qFormat/>
    <w:tblPr/>
  </w:style>
  <w:style w:type="character" w:styleId="876">
    <w:name w:val="标题 1 Char"/>
    <w:basedOn w:val="874"/>
    <w:next w:val="876"/>
    <w:link w:val="865"/>
    <w:qFormat/>
    <w:rPr>
      <w:rFonts w:ascii="宋体"/>
      <w:b/>
      <w:sz w:val="32"/>
    </w:rPr>
  </w:style>
  <w:style w:type="character" w:styleId="877">
    <w:name w:val="标题 2 Char1"/>
    <w:next w:val="877"/>
    <w:link w:val="866"/>
    <w:qFormat/>
    <w:rPr>
      <w:rFonts w:ascii="Arial" w:hAnsi="Arial" w:eastAsia="黑体"/>
      <w:b/>
      <w:sz w:val="30"/>
      <w:lang w:val="en-US" w:eastAsia="zh-CN" w:bidi="ar-SA"/>
    </w:rPr>
  </w:style>
  <w:style w:type="character" w:styleId="878">
    <w:name w:val="标题 3 Char1"/>
    <w:next w:val="878"/>
    <w:link w:val="867"/>
    <w:qFormat/>
    <w:rPr>
      <w:rFonts w:ascii="宋体" w:eastAsia="宋体"/>
      <w:b/>
      <w:sz w:val="24"/>
      <w:u w:val="single"/>
      <w:lang w:val="en-US" w:eastAsia="zh-CN" w:bidi="ar-SA"/>
    </w:rPr>
  </w:style>
  <w:style w:type="character" w:styleId="879">
    <w:name w:val="标题 4 Char"/>
    <w:basedOn w:val="874"/>
    <w:next w:val="879"/>
    <w:link w:val="868"/>
    <w:qFormat/>
    <w:rPr>
      <w:rFonts w:ascii="Arial" w:hAnsi="Arial" w:eastAsia="黑体"/>
      <w:b/>
      <w:sz w:val="28"/>
    </w:rPr>
  </w:style>
  <w:style w:type="character" w:styleId="880">
    <w:name w:val="标题 5 Char"/>
    <w:basedOn w:val="874"/>
    <w:next w:val="880"/>
    <w:link w:val="869"/>
    <w:qFormat/>
    <w:rPr>
      <w:b/>
      <w:sz w:val="28"/>
    </w:rPr>
  </w:style>
  <w:style w:type="character" w:styleId="881">
    <w:name w:val="标题 6 Char"/>
    <w:basedOn w:val="874"/>
    <w:next w:val="881"/>
    <w:link w:val="870"/>
    <w:qFormat/>
    <w:rPr>
      <w:rFonts w:ascii="Arial" w:hAnsi="Arial" w:eastAsia="黑体"/>
      <w:b/>
      <w:sz w:val="24"/>
    </w:rPr>
  </w:style>
  <w:style w:type="character" w:styleId="882">
    <w:name w:val="标题 7 Char"/>
    <w:basedOn w:val="874"/>
    <w:next w:val="882"/>
    <w:link w:val="871"/>
    <w:qFormat/>
    <w:rPr>
      <w:b/>
      <w:sz w:val="24"/>
    </w:rPr>
  </w:style>
  <w:style w:type="character" w:styleId="883">
    <w:name w:val="标题 8 Char"/>
    <w:basedOn w:val="874"/>
    <w:next w:val="883"/>
    <w:link w:val="872"/>
    <w:qFormat/>
    <w:rPr>
      <w:rFonts w:ascii="Arial" w:hAnsi="Arial" w:eastAsia="黑体"/>
      <w:sz w:val="24"/>
    </w:rPr>
  </w:style>
  <w:style w:type="character" w:styleId="884">
    <w:name w:val="标题 9 Char"/>
    <w:basedOn w:val="874"/>
    <w:next w:val="884"/>
    <w:link w:val="873"/>
    <w:qFormat/>
    <w:rPr>
      <w:rFonts w:ascii="Arial" w:hAnsi="Arial" w:eastAsia="黑体"/>
      <w:sz w:val="21"/>
    </w:rPr>
  </w:style>
  <w:style w:type="paragraph" w:styleId="885">
    <w:name w:val="目录 7"/>
    <w:basedOn w:val="864"/>
    <w:next w:val="864"/>
    <w:link w:val="864"/>
    <w:qFormat/>
    <w:pPr>
      <w:ind w:left="2520"/>
    </w:pPr>
  </w:style>
  <w:style w:type="paragraph" w:styleId="886">
    <w:name w:val="正文缩进"/>
    <w:basedOn w:val="864"/>
    <w:next w:val="886"/>
    <w:link w:val="887"/>
    <w:qFormat/>
    <w:pPr>
      <w:ind w:firstLine="420"/>
      <w:jc w:val="left"/>
    </w:pPr>
    <w:rPr>
      <w:rFonts w:ascii="宋体"/>
      <w:sz w:val="24"/>
    </w:rPr>
  </w:style>
  <w:style w:type="character" w:styleId="887">
    <w:name w:val="正文缩进 Char1"/>
    <w:next w:val="887"/>
    <w:link w:val="886"/>
    <w:qFormat/>
    <w:rPr>
      <w:rFonts w:ascii="宋体" w:eastAsia="宋体"/>
      <w:sz w:val="24"/>
      <w:szCs w:val="24"/>
      <w:lang w:val="en-US" w:eastAsia="zh-CN" w:bidi="ar-SA"/>
    </w:rPr>
  </w:style>
  <w:style w:type="paragraph" w:styleId="888">
    <w:name w:val="题注"/>
    <w:basedOn w:val="864"/>
    <w:next w:val="864"/>
    <w:link w:val="864"/>
    <w:qFormat/>
    <w:pPr>
      <w:spacing w:line="480" w:lineRule="auto"/>
    </w:pPr>
    <w:rPr>
      <w:rFonts w:ascii="华文中宋" w:hAnsi="华文中宋" w:eastAsia="华文中宋"/>
      <w:sz w:val="36"/>
      <w:szCs w:val="20"/>
    </w:rPr>
  </w:style>
  <w:style w:type="paragraph" w:styleId="889">
    <w:name w:val="文档结构图"/>
    <w:basedOn w:val="864"/>
    <w:next w:val="889"/>
    <w:link w:val="890"/>
    <w:qFormat/>
    <w:pPr>
      <w:shd w:val="clear" w:color="auto" w:fill="000080"/>
    </w:pPr>
  </w:style>
  <w:style w:type="character" w:styleId="890">
    <w:name w:val="文档结构图 Char"/>
    <w:basedOn w:val="874"/>
    <w:next w:val="890"/>
    <w:link w:val="889"/>
    <w:qFormat/>
    <w:rPr>
      <w:sz w:val="21"/>
      <w:szCs w:val="24"/>
      <w:shd w:val="clear" w:color="auto" w:fill="000080"/>
    </w:rPr>
  </w:style>
  <w:style w:type="paragraph" w:styleId="891">
    <w:name w:val="引文目录标题"/>
    <w:next w:val="864"/>
    <w:link w:val="864"/>
    <w:uiPriority w:val="99"/>
    <w:qFormat/>
    <w:pPr>
      <w:jc w:val="both"/>
      <w:spacing w:before="120"/>
      <w:widowControl w:val="off"/>
    </w:pPr>
    <w:rPr>
      <w:rFonts w:ascii="Cambria" w:hAnsi="Cambria" w:eastAsia="宋体" w:cs="Times New Roman"/>
      <w:sz w:val="24"/>
      <w:szCs w:val="24"/>
      <w:lang w:val="en-US" w:eastAsia="zh-CN" w:bidi="ar-SA"/>
    </w:rPr>
  </w:style>
  <w:style w:type="paragraph" w:styleId="892">
    <w:name w:val="批注文字"/>
    <w:basedOn w:val="864"/>
    <w:next w:val="892"/>
    <w:link w:val="893"/>
    <w:uiPriority w:val="99"/>
    <w:qFormat/>
    <w:pPr>
      <w:jc w:val="left"/>
    </w:pPr>
  </w:style>
  <w:style w:type="character" w:styleId="893">
    <w:name w:val="批注文字 Char1"/>
    <w:next w:val="893"/>
    <w:link w:val="892"/>
    <w:uiPriority w:val="99"/>
    <w:qFormat/>
    <w:rPr>
      <w:sz w:val="21"/>
      <w:szCs w:val="24"/>
    </w:rPr>
  </w:style>
  <w:style w:type="paragraph" w:styleId="894">
    <w:name w:val="正文文本 3"/>
    <w:basedOn w:val="864"/>
    <w:next w:val="894"/>
    <w:link w:val="895"/>
    <w:qFormat/>
    <w:pPr>
      <w:spacing w:after="120"/>
    </w:pPr>
    <w:rPr>
      <w:sz w:val="16"/>
      <w:szCs w:val="16"/>
    </w:rPr>
  </w:style>
  <w:style w:type="character" w:styleId="895">
    <w:name w:val="正文文本 3 Char"/>
    <w:basedOn w:val="874"/>
    <w:next w:val="895"/>
    <w:link w:val="894"/>
    <w:qFormat/>
    <w:rPr>
      <w:sz w:val="16"/>
      <w:szCs w:val="16"/>
    </w:rPr>
  </w:style>
  <w:style w:type="paragraph" w:styleId="896">
    <w:name w:val="正文文本"/>
    <w:basedOn w:val="864"/>
    <w:next w:val="864"/>
    <w:link w:val="897"/>
    <w:qFormat/>
    <w:pPr>
      <w:spacing w:before="120" w:line="22" w:lineRule="atLeast"/>
      <w:tabs>
        <w:tab w:val="left" w:pos="567" w:leader="none"/>
      </w:tabs>
    </w:pPr>
    <w:rPr>
      <w:rFonts w:ascii="宋体" w:hAnsi="宋体"/>
      <w:sz w:val="24"/>
    </w:rPr>
  </w:style>
  <w:style w:type="character" w:styleId="897">
    <w:name w:val="正文文本 Char"/>
    <w:basedOn w:val="874"/>
    <w:next w:val="897"/>
    <w:link w:val="896"/>
    <w:qFormat/>
    <w:rPr>
      <w:rFonts w:ascii="宋体" w:hAnsi="宋体"/>
      <w:sz w:val="24"/>
      <w:szCs w:val="24"/>
    </w:rPr>
  </w:style>
  <w:style w:type="paragraph" w:styleId="898">
    <w:name w:val="正文文本缩进"/>
    <w:basedOn w:val="864"/>
    <w:next w:val="898"/>
    <w:link w:val="899"/>
    <w:qFormat/>
    <w:pPr>
      <w:ind w:firstLine="570"/>
      <w:spacing w:line="360" w:lineRule="auto"/>
    </w:pPr>
    <w:rPr>
      <w:sz w:val="24"/>
    </w:rPr>
  </w:style>
  <w:style w:type="character" w:styleId="899">
    <w:name w:val="正文文本缩进 Char2"/>
    <w:next w:val="899"/>
    <w:link w:val="898"/>
    <w:qFormat/>
    <w:rPr>
      <w:rFonts w:eastAsia="宋体"/>
      <w:sz w:val="24"/>
      <w:szCs w:val="24"/>
      <w:lang w:val="en-US" w:eastAsia="zh-CN" w:bidi="ar-SA"/>
    </w:rPr>
  </w:style>
  <w:style w:type="paragraph" w:styleId="900">
    <w:name w:val="列表 2"/>
    <w:basedOn w:val="864"/>
    <w:next w:val="900"/>
    <w:link w:val="864"/>
    <w:qFormat/>
    <w:pPr>
      <w:ind w:left="100" w:hanging="200"/>
    </w:pPr>
  </w:style>
  <w:style w:type="paragraph" w:styleId="901">
    <w:name w:val="文本块"/>
    <w:basedOn w:val="864"/>
    <w:next w:val="901"/>
    <w:link w:val="864"/>
    <w:qFormat/>
    <w:pPr>
      <w:ind w:left="480" w:right="-341" w:firstLine="513"/>
      <w:widowControl/>
    </w:pPr>
    <w:rPr>
      <w:sz w:val="24"/>
      <w:szCs w:val="20"/>
    </w:rPr>
  </w:style>
  <w:style w:type="paragraph" w:styleId="902">
    <w:name w:val="目录 5"/>
    <w:basedOn w:val="864"/>
    <w:next w:val="864"/>
    <w:link w:val="864"/>
    <w:qFormat/>
    <w:pPr>
      <w:ind w:left="1680"/>
    </w:pPr>
  </w:style>
  <w:style w:type="paragraph" w:styleId="903">
    <w:name w:val="目录 3"/>
    <w:basedOn w:val="864"/>
    <w:next w:val="864"/>
    <w:link w:val="864"/>
    <w:uiPriority w:val="39"/>
    <w:qFormat/>
    <w:pPr>
      <w:ind w:left="840"/>
    </w:pPr>
  </w:style>
  <w:style w:type="paragraph" w:styleId="904">
    <w:name w:val="纯文本"/>
    <w:basedOn w:val="864"/>
    <w:next w:val="904"/>
    <w:link w:val="905"/>
    <w:qFormat/>
    <w:rPr>
      <w:rFonts w:hint="eastAsia" w:ascii="宋体" w:hAnsi="Courier New"/>
      <w:szCs w:val="20"/>
    </w:rPr>
  </w:style>
  <w:style w:type="character" w:styleId="905">
    <w:name w:val="纯文本 Char"/>
    <w:basedOn w:val="874"/>
    <w:next w:val="905"/>
    <w:link w:val="904"/>
    <w:qFormat/>
    <w:rPr>
      <w:rFonts w:hint="eastAsia" w:ascii="宋体" w:hAnsi="Courier New" w:eastAsia="宋体" w:cs="宋体"/>
      <w:sz w:val="21"/>
    </w:rPr>
  </w:style>
  <w:style w:type="paragraph" w:styleId="906">
    <w:name w:val="目录 8"/>
    <w:basedOn w:val="864"/>
    <w:next w:val="864"/>
    <w:link w:val="864"/>
    <w:qFormat/>
    <w:pPr>
      <w:ind w:left="2940"/>
    </w:pPr>
  </w:style>
  <w:style w:type="paragraph" w:styleId="907">
    <w:name w:val="日期"/>
    <w:basedOn w:val="864"/>
    <w:next w:val="864"/>
    <w:link w:val="908"/>
    <w:qFormat/>
    <w:pPr>
      <w:ind w:left="100"/>
    </w:pPr>
    <w:rPr>
      <w:rFonts w:ascii="仿宋_GB2312" w:hAnsi="宋体" w:eastAsia="仿宋_GB2312"/>
      <w:color w:val="000000"/>
      <w:sz w:val="24"/>
    </w:rPr>
  </w:style>
  <w:style w:type="character" w:styleId="908">
    <w:name w:val="日期 Char"/>
    <w:basedOn w:val="874"/>
    <w:next w:val="908"/>
    <w:link w:val="907"/>
    <w:qFormat/>
    <w:rPr>
      <w:rFonts w:ascii="仿宋_GB2312" w:hAnsi="宋体" w:eastAsia="仿宋_GB2312"/>
      <w:color w:val="000000"/>
      <w:sz w:val="24"/>
      <w:szCs w:val="24"/>
    </w:rPr>
  </w:style>
  <w:style w:type="paragraph" w:styleId="909">
    <w:name w:val="正文文本缩进 2"/>
    <w:basedOn w:val="864"/>
    <w:next w:val="909"/>
    <w:link w:val="910"/>
    <w:qFormat/>
    <w:pPr>
      <w:ind w:firstLine="480"/>
    </w:pPr>
    <w:rPr>
      <w:rFonts w:ascii="仿宋_GB2312" w:eastAsia="仿宋_GB2312"/>
      <w:sz w:val="24"/>
    </w:rPr>
  </w:style>
  <w:style w:type="character" w:styleId="910">
    <w:name w:val="正文文本缩进 2 Char"/>
    <w:basedOn w:val="874"/>
    <w:next w:val="910"/>
    <w:link w:val="909"/>
    <w:qFormat/>
    <w:rPr>
      <w:rFonts w:ascii="仿宋_GB2312" w:eastAsia="仿宋_GB2312"/>
      <w:sz w:val="24"/>
      <w:szCs w:val="24"/>
    </w:rPr>
  </w:style>
  <w:style w:type="paragraph" w:styleId="911">
    <w:name w:val="批注框文本"/>
    <w:basedOn w:val="864"/>
    <w:next w:val="911"/>
    <w:link w:val="912"/>
    <w:qFormat/>
    <w:rPr>
      <w:sz w:val="18"/>
      <w:szCs w:val="18"/>
    </w:rPr>
  </w:style>
  <w:style w:type="character" w:styleId="912">
    <w:name w:val="批注框文本 Char"/>
    <w:basedOn w:val="874"/>
    <w:next w:val="912"/>
    <w:link w:val="911"/>
    <w:qFormat/>
    <w:rPr>
      <w:sz w:val="18"/>
      <w:szCs w:val="18"/>
    </w:rPr>
  </w:style>
  <w:style w:type="paragraph" w:styleId="913">
    <w:name w:val="页脚"/>
    <w:basedOn w:val="864"/>
    <w:next w:val="913"/>
    <w:link w:val="914"/>
    <w:uiPriority w:val="99"/>
    <w:qFormat/>
    <w:pPr>
      <w:jc w:val="left"/>
      <w:tabs>
        <w:tab w:val="center" w:pos="4153" w:leader="none"/>
        <w:tab w:val="right" w:pos="8306" w:leader="none"/>
      </w:tabs>
    </w:pPr>
    <w:rPr>
      <w:rFonts w:ascii="宋体"/>
      <w:sz w:val="18"/>
      <w:szCs w:val="20"/>
    </w:rPr>
  </w:style>
  <w:style w:type="character" w:styleId="914">
    <w:name w:val="页脚 Char1"/>
    <w:next w:val="914"/>
    <w:link w:val="913"/>
    <w:uiPriority w:val="99"/>
    <w:qFormat/>
    <w:rPr>
      <w:rFonts w:ascii="宋体" w:eastAsia="宋体"/>
      <w:sz w:val="18"/>
      <w:lang w:val="en-US" w:eastAsia="zh-CN" w:bidi="ar-SA"/>
    </w:rPr>
  </w:style>
  <w:style w:type="paragraph" w:styleId="915">
    <w:name w:val="页眉"/>
    <w:basedOn w:val="864"/>
    <w:next w:val="915"/>
    <w:link w:val="916"/>
    <w:qFormat/>
    <w:pPr>
      <w:jc w:val="center"/>
      <w:tabs>
        <w:tab w:val="center" w:pos="4153" w:leader="none"/>
        <w:tab w:val="right" w:pos="8306" w:leader="none"/>
      </w:tabs>
      <w:pBdr>
        <w:bottom w:val="single" w:color="000000" w:sz="6" w:space="1"/>
      </w:pBdr>
    </w:pPr>
    <w:rPr>
      <w:sz w:val="18"/>
      <w:szCs w:val="18"/>
    </w:rPr>
  </w:style>
  <w:style w:type="character" w:styleId="916">
    <w:name w:val="页眉 Char1"/>
    <w:next w:val="916"/>
    <w:link w:val="915"/>
    <w:qFormat/>
    <w:rPr>
      <w:rFonts w:eastAsia="宋体"/>
      <w:sz w:val="18"/>
      <w:szCs w:val="18"/>
      <w:lang w:val="en-US" w:eastAsia="zh-CN" w:bidi="ar-SA"/>
    </w:rPr>
  </w:style>
  <w:style w:type="paragraph" w:styleId="917">
    <w:name w:val="目录 1"/>
    <w:basedOn w:val="864"/>
    <w:next w:val="864"/>
    <w:link w:val="864"/>
    <w:uiPriority w:val="39"/>
    <w:qFormat/>
    <w:pPr>
      <w:spacing w:line="300" w:lineRule="auto"/>
      <w:tabs>
        <w:tab w:val="left" w:pos="1050" w:leader="none"/>
        <w:tab w:val="right" w:pos="8937" w:leader="dot"/>
      </w:tabs>
    </w:pPr>
    <w:rPr>
      <w:rFonts w:ascii="宋体" w:hAnsi="宋体"/>
      <w:b/>
      <w:sz w:val="24"/>
    </w:rPr>
  </w:style>
  <w:style w:type="paragraph" w:styleId="918">
    <w:name w:val="目录 4"/>
    <w:basedOn w:val="864"/>
    <w:next w:val="864"/>
    <w:link w:val="864"/>
    <w:qFormat/>
    <w:pPr>
      <w:ind w:left="1260"/>
    </w:pPr>
  </w:style>
  <w:style w:type="paragraph" w:styleId="919">
    <w:name w:val="目录 6"/>
    <w:basedOn w:val="864"/>
    <w:next w:val="864"/>
    <w:link w:val="864"/>
    <w:qFormat/>
    <w:pPr>
      <w:ind w:left="2100"/>
    </w:pPr>
  </w:style>
  <w:style w:type="paragraph" w:styleId="920">
    <w:name w:val="正文文本缩进 3"/>
    <w:basedOn w:val="864"/>
    <w:next w:val="920"/>
    <w:link w:val="921"/>
    <w:qFormat/>
    <w:pPr>
      <w:ind w:left="720" w:firstLine="480"/>
      <w:jc w:val="left"/>
      <w:spacing w:before="120" w:line="22" w:lineRule="atLeast"/>
    </w:pPr>
    <w:rPr>
      <w:rFonts w:ascii="宋体"/>
      <w:sz w:val="24"/>
      <w:szCs w:val="20"/>
    </w:rPr>
  </w:style>
  <w:style w:type="character" w:styleId="921">
    <w:name w:val="正文文本缩进 3 Char"/>
    <w:basedOn w:val="874"/>
    <w:next w:val="921"/>
    <w:link w:val="920"/>
    <w:qFormat/>
    <w:rPr>
      <w:rFonts w:ascii="宋体"/>
      <w:sz w:val="24"/>
    </w:rPr>
  </w:style>
  <w:style w:type="paragraph" w:styleId="922">
    <w:name w:val="目录 2"/>
    <w:basedOn w:val="864"/>
    <w:next w:val="864"/>
    <w:link w:val="864"/>
    <w:uiPriority w:val="39"/>
    <w:qFormat/>
    <w:pPr>
      <w:ind w:left="420"/>
      <w:spacing w:line="312" w:lineRule="auto"/>
      <w:tabs>
        <w:tab w:val="right" w:pos="8937" w:leader="dot"/>
      </w:tabs>
    </w:pPr>
  </w:style>
  <w:style w:type="paragraph" w:styleId="923">
    <w:name w:val="目录 9"/>
    <w:basedOn w:val="864"/>
    <w:next w:val="864"/>
    <w:link w:val="864"/>
    <w:qFormat/>
    <w:pPr>
      <w:ind w:left="3360"/>
    </w:pPr>
  </w:style>
  <w:style w:type="paragraph" w:styleId="924">
    <w:name w:val="HTML 预设格式"/>
    <w:basedOn w:val="864"/>
    <w:next w:val="924"/>
    <w:link w:val="9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5">
    <w:name w:val="HTML 预设格式 Char"/>
    <w:basedOn w:val="874"/>
    <w:next w:val="925"/>
    <w:link w:val="924"/>
    <w:qFormat/>
    <w:rPr>
      <w:rFonts w:ascii="宋体" w:hAnsi="宋体" w:cs="宋体"/>
      <w:sz w:val="24"/>
      <w:szCs w:val="24"/>
    </w:rPr>
  </w:style>
  <w:style w:type="paragraph" w:styleId="926">
    <w:name w:val="普通(网站)"/>
    <w:basedOn w:val="864"/>
    <w:next w:val="926"/>
    <w:link w:val="864"/>
    <w:uiPriority w:val="99"/>
    <w:unhideWhenUsed/>
    <w:qFormat/>
    <w:pPr>
      <w:jc w:val="left"/>
      <w:spacing w:before="100" w:beforeAutospacing="1" w:after="100" w:afterAutospacing="1"/>
      <w:widowControl/>
    </w:pPr>
    <w:rPr>
      <w:rFonts w:ascii="宋体" w:hAnsi="宋体" w:cs="宋体"/>
      <w:sz w:val="24"/>
    </w:rPr>
  </w:style>
  <w:style w:type="paragraph" w:styleId="927">
    <w:name w:val="索引 1"/>
    <w:basedOn w:val="864"/>
    <w:next w:val="864"/>
    <w:link w:val="864"/>
    <w:qFormat/>
    <w:rPr>
      <w:szCs w:val="20"/>
    </w:rPr>
  </w:style>
  <w:style w:type="paragraph" w:styleId="928">
    <w:name w:val="标题"/>
    <w:basedOn w:val="864"/>
    <w:next w:val="928"/>
    <w:link w:val="929"/>
    <w:qFormat/>
    <w:pPr>
      <w:jc w:val="center"/>
      <w:outlineLvl w:val="0"/>
    </w:pPr>
    <w:rPr>
      <w:b/>
      <w:sz w:val="32"/>
      <w:szCs w:val="20"/>
    </w:rPr>
  </w:style>
  <w:style w:type="character" w:styleId="929">
    <w:name w:val="标题 Char1"/>
    <w:next w:val="929"/>
    <w:link w:val="928"/>
    <w:qFormat/>
    <w:rPr>
      <w:b/>
      <w:sz w:val="32"/>
    </w:rPr>
  </w:style>
  <w:style w:type="paragraph" w:styleId="930">
    <w:name w:val="批注主题"/>
    <w:basedOn w:val="892"/>
    <w:next w:val="892"/>
    <w:link w:val="931"/>
    <w:qFormat/>
    <w:rPr>
      <w:b/>
      <w:bCs/>
    </w:rPr>
  </w:style>
  <w:style w:type="character" w:styleId="931">
    <w:name w:val="批注主题 Char"/>
    <w:basedOn w:val="932"/>
    <w:next w:val="931"/>
    <w:link w:val="930"/>
    <w:qFormat/>
    <w:rPr>
      <w:rFonts w:ascii="Times New Roman" w:hAnsi="Times New Roman" w:eastAsia="宋体" w:cs="Times New Roman"/>
      <w:b/>
      <w:bCs/>
      <w:sz w:val="21"/>
      <w:szCs w:val="24"/>
      <w:lang w:val="en-US" w:eastAsia="zh-CN" w:bidi="ar-SA"/>
    </w:rPr>
  </w:style>
  <w:style w:type="character" w:styleId="932">
    <w:name w:val="批注文字 字符"/>
    <w:next w:val="932"/>
    <w:link w:val="864"/>
    <w:uiPriority w:val="99"/>
    <w:qFormat/>
    <w:rPr>
      <w:rFonts w:ascii="Times New Roman" w:hAnsi="Times New Roman" w:eastAsia="宋体" w:cs="Times New Roman"/>
      <w:sz w:val="24"/>
      <w:lang w:val="en-US" w:eastAsia="zh-CN" w:bidi="ar-SA"/>
    </w:rPr>
  </w:style>
  <w:style w:type="paragraph" w:styleId="933">
    <w:name w:val="正文首行缩进 2"/>
    <w:basedOn w:val="898"/>
    <w:next w:val="933"/>
    <w:link w:val="934"/>
    <w:qFormat/>
    <w:pPr>
      <w:ind w:left="420" w:firstLine="420"/>
      <w:spacing w:after="120" w:line="480" w:lineRule="exact"/>
    </w:pPr>
    <w:rPr>
      <w:szCs w:val="20"/>
    </w:rPr>
  </w:style>
  <w:style w:type="character" w:styleId="934">
    <w:name w:val="正文首行缩进 2 Char"/>
    <w:basedOn w:val="899"/>
    <w:next w:val="934"/>
    <w:link w:val="933"/>
    <w:qFormat/>
    <w:rPr>
      <w:rFonts w:eastAsia="宋体"/>
      <w:sz w:val="24"/>
      <w:szCs w:val="24"/>
      <w:lang w:val="en-US" w:eastAsia="zh-CN" w:bidi="ar-SA"/>
    </w:rPr>
  </w:style>
  <w:style w:type="table" w:styleId="935">
    <w:name w:val="网格型"/>
    <w:basedOn w:val="875"/>
    <w:next w:val="935"/>
    <w:link w:val="864"/>
    <w:uiPriority w:val="39"/>
    <w:qFormat/>
    <w:tblPr/>
  </w:style>
  <w:style w:type="table" w:styleId="936">
    <w:name w:val="中等深浅网格 1 - 强调文字颜色 2"/>
    <w:basedOn w:val="875"/>
    <w:next w:val="936"/>
    <w:link w:val="864"/>
    <w:qFormat/>
    <w:rPr>
      <w:sz w:val="21"/>
      <w:szCs w:val="24"/>
    </w:rPr>
    <w:tblPr/>
  </w:style>
  <w:style w:type="character" w:styleId="937">
    <w:name w:val="要点"/>
    <w:next w:val="937"/>
    <w:link w:val="864"/>
    <w:qFormat/>
    <w:rPr>
      <w:b/>
      <w:bCs/>
    </w:rPr>
  </w:style>
  <w:style w:type="character" w:styleId="938">
    <w:name w:val="页码"/>
    <w:basedOn w:val="874"/>
    <w:next w:val="938"/>
    <w:link w:val="864"/>
    <w:qFormat/>
  </w:style>
  <w:style w:type="character" w:styleId="939">
    <w:name w:val="已访问的超链接"/>
    <w:next w:val="939"/>
    <w:link w:val="864"/>
    <w:qFormat/>
    <w:rPr>
      <w:color w:val="800080"/>
      <w:u w:val="single"/>
    </w:rPr>
  </w:style>
  <w:style w:type="character" w:styleId="940">
    <w:name w:val="强调"/>
    <w:next w:val="940"/>
    <w:link w:val="864"/>
    <w:qFormat/>
    <w:rPr>
      <w:color w:val="cc0033"/>
    </w:rPr>
  </w:style>
  <w:style w:type="character" w:styleId="941">
    <w:name w:val="超链接"/>
    <w:next w:val="941"/>
    <w:link w:val="864"/>
    <w:uiPriority w:val="99"/>
    <w:qFormat/>
    <w:rPr>
      <w:color w:val="0000ff"/>
      <w:u w:val="single"/>
    </w:rPr>
  </w:style>
  <w:style w:type="character" w:styleId="942">
    <w:name w:val="批注引用"/>
    <w:next w:val="942"/>
    <w:link w:val="864"/>
    <w:uiPriority w:val="99"/>
    <w:qFormat/>
    <w:rPr>
      <w:sz w:val="21"/>
      <w:szCs w:val="21"/>
    </w:rPr>
  </w:style>
  <w:style w:type="character" w:styleId="943">
    <w:name w:val="HTML 引文"/>
    <w:next w:val="943"/>
    <w:link w:val="864"/>
    <w:qFormat/>
    <w:rPr>
      <w:i/>
      <w:iCs/>
    </w:rPr>
  </w:style>
  <w:style w:type="paragraph" w:styleId="944">
    <w:name w:val="正文缩进1"/>
    <w:basedOn w:val="864"/>
    <w:next w:val="944"/>
    <w:link w:val="945"/>
    <w:qFormat/>
    <w:pPr>
      <w:ind w:firstLine="567"/>
      <w:spacing w:line="480" w:lineRule="exact"/>
      <w:widowControl/>
    </w:pPr>
    <w:rPr>
      <w:rFonts w:ascii="宋体"/>
      <w:color w:val="000000"/>
      <w:sz w:val="28"/>
      <w:szCs w:val="20"/>
    </w:rPr>
  </w:style>
  <w:style w:type="character" w:styleId="945">
    <w:name w:val="正文缩进 Char Char"/>
    <w:next w:val="945"/>
    <w:link w:val="944"/>
    <w:qFormat/>
    <w:rPr>
      <w:rFonts w:ascii="宋体" w:eastAsia="宋体"/>
      <w:color w:val="000000"/>
      <w:sz w:val="28"/>
      <w:lang w:bidi="ar-SA"/>
    </w:rPr>
  </w:style>
  <w:style w:type="paragraph" w:styleId="946">
    <w:name w:val="TOAHeading1"/>
    <w:basedOn w:val="864"/>
    <w:next w:val="864"/>
    <w:link w:val="864"/>
    <w:qFormat/>
    <w:pPr>
      <w:spacing w:before="120"/>
    </w:pPr>
    <w:rPr>
      <w:rFonts w:ascii="Cambria" w:hAnsi="Cambria"/>
      <w:sz w:val="24"/>
      <w:szCs w:val="24"/>
    </w:rPr>
  </w:style>
  <w:style w:type="paragraph" w:styleId="947">
    <w:name w:val="AONormal"/>
    <w:next w:val="947"/>
    <w:link w:val="864"/>
    <w:qFormat/>
    <w:pPr>
      <w:ind w:firstLine="440"/>
      <w:spacing w:line="400" w:lineRule="exact"/>
    </w:pPr>
    <w:rPr>
      <w:rFonts w:ascii="华文楷体" w:hAnsi="华文楷体" w:eastAsia="华文楷体" w:cs="华文楷体"/>
      <w:sz w:val="22"/>
      <w:szCs w:val="21"/>
      <w:lang w:val="en-US" w:eastAsia="zh-CN" w:bidi="ar-SA"/>
    </w:rPr>
  </w:style>
  <w:style w:type="paragraph" w:styleId="948">
    <w:name w:val="Default"/>
    <w:next w:val="948"/>
    <w:link w:val="864"/>
    <w:qFormat/>
    <w:pPr>
      <w:widowControl w:val="off"/>
    </w:pPr>
    <w:rPr>
      <w:rFonts w:ascii="Symbol" w:hAnsi="Symbol" w:cs="Symbol"/>
      <w:color w:val="000000"/>
      <w:sz w:val="24"/>
      <w:szCs w:val="24"/>
      <w:lang w:val="en-US" w:eastAsia="zh-CN" w:bidi="ar-SA"/>
    </w:rPr>
  </w:style>
  <w:style w:type="character" w:styleId="949">
    <w:name w:val="c21"/>
    <w:next w:val="949"/>
    <w:link w:val="864"/>
    <w:qFormat/>
    <w:rPr>
      <w:rFonts w:ascii="ˎ̥" w:hAnsi="ˎ̥"/>
      <w:color w:val="000000"/>
      <w:sz w:val="20"/>
      <w:szCs w:val="20"/>
      <w:u w:val="none"/>
    </w:rPr>
  </w:style>
  <w:style w:type="character" w:styleId="950">
    <w:name w:val="title4"/>
    <w:next w:val="950"/>
    <w:link w:val="864"/>
    <w:qFormat/>
    <w:rPr>
      <w:b/>
      <w:bCs/>
      <w:color w:val="1d87b3"/>
      <w:sz w:val="15"/>
      <w:szCs w:val="15"/>
    </w:rPr>
  </w:style>
  <w:style w:type="character" w:styleId="951">
    <w:name w:val="标题 2 Char Char"/>
    <w:next w:val="951"/>
    <w:link w:val="864"/>
    <w:qFormat/>
    <w:rPr>
      <w:rFonts w:ascii="Arial" w:hAnsi="Arial" w:eastAsia="黑体"/>
      <w:b/>
      <w:bCs/>
      <w:sz w:val="32"/>
      <w:szCs w:val="32"/>
      <w:lang w:val="en-US" w:eastAsia="zh-CN" w:bidi="ar-SA"/>
    </w:rPr>
  </w:style>
  <w:style w:type="character" w:styleId="952">
    <w:name w:val="black1"/>
    <w:next w:val="952"/>
    <w:link w:val="864"/>
    <w:qFormat/>
    <w:rPr>
      <w:color w:val="000000"/>
    </w:rPr>
  </w:style>
  <w:style w:type="character" w:styleId="953">
    <w:name w:val="street-address"/>
    <w:basedOn w:val="874"/>
    <w:next w:val="953"/>
    <w:link w:val="864"/>
    <w:qFormat/>
  </w:style>
  <w:style w:type="character" w:styleId="954">
    <w:name w:val="locality"/>
    <w:basedOn w:val="874"/>
    <w:next w:val="954"/>
    <w:link w:val="864"/>
    <w:qFormat/>
  </w:style>
  <w:style w:type="character" w:styleId="955">
    <w:name w:val="正文文本缩进 Char1"/>
    <w:next w:val="955"/>
    <w:link w:val="956"/>
    <w:qFormat/>
    <w:rPr>
      <w:rFonts w:ascii="宋体" w:hAnsi="宋体" w:eastAsia="宋体"/>
      <w:sz w:val="24"/>
      <w:szCs w:val="24"/>
      <w:lang w:bidi="ar-SA"/>
    </w:rPr>
  </w:style>
  <w:style w:type="paragraph" w:styleId="956">
    <w:name w:val="正文文本缩进1"/>
    <w:basedOn w:val="864"/>
    <w:next w:val="956"/>
    <w:link w:val="955"/>
    <w:qFormat/>
    <w:pPr>
      <w:ind w:firstLine="480"/>
      <w:spacing w:line="480" w:lineRule="exact"/>
    </w:pPr>
    <w:rPr>
      <w:rFonts w:ascii="宋体" w:hAnsi="宋体"/>
      <w:sz w:val="24"/>
    </w:rPr>
  </w:style>
  <w:style w:type="character" w:styleId="957">
    <w:name w:val="Char Char11"/>
    <w:next w:val="957"/>
    <w:link w:val="864"/>
    <w:qFormat/>
    <w:rPr>
      <w:rFonts w:ascii="宋体" w:eastAsia="宋体"/>
      <w:b/>
      <w:sz w:val="24"/>
      <w:u w:val="single"/>
      <w:lang w:val="en-US" w:eastAsia="zh-CN" w:bidi="ar-SA"/>
    </w:rPr>
  </w:style>
  <w:style w:type="character" w:styleId="958">
    <w:name w:val="txt"/>
    <w:basedOn w:val="874"/>
    <w:next w:val="958"/>
    <w:link w:val="864"/>
    <w:qFormat/>
  </w:style>
  <w:style w:type="character" w:styleId="959">
    <w:name w:val="普通文字1 Char1"/>
    <w:next w:val="959"/>
    <w:link w:val="864"/>
    <w:qFormat/>
    <w:rPr>
      <w:rFonts w:ascii="宋体" w:hAnsi="Courier New" w:eastAsia="宋体"/>
      <w:sz w:val="21"/>
      <w:lang w:val="en-US" w:eastAsia="zh-CN" w:bidi="ar-SA"/>
    </w:rPr>
  </w:style>
  <w:style w:type="character" w:styleId="960">
    <w:name w:val="chanpin1"/>
    <w:next w:val="960"/>
    <w:link w:val="864"/>
    <w:qFormat/>
    <w:rPr>
      <w:rFonts w:ascii="ˎ̥" w:hAnsi="ˎ̥"/>
      <w:color w:val="000000"/>
      <w:sz w:val="20"/>
      <w:szCs w:val="20"/>
      <w:u w:val="none"/>
    </w:rPr>
  </w:style>
  <w:style w:type="character" w:styleId="961">
    <w:name w:val="列出段落 Char1"/>
    <w:next w:val="961"/>
    <w:link w:val="962"/>
    <w:uiPriority w:val="34"/>
    <w:qFormat/>
    <w:rPr>
      <w:rFonts w:ascii="Calibri" w:hAnsi="Calibri" w:eastAsia="宋体"/>
      <w:sz w:val="21"/>
      <w:szCs w:val="22"/>
      <w:lang w:val="en-US" w:eastAsia="zh-CN" w:bidi="ar-SA"/>
    </w:rPr>
  </w:style>
  <w:style w:type="paragraph" w:styleId="962">
    <w:name w:val="列出段落"/>
    <w:basedOn w:val="864"/>
    <w:next w:val="962"/>
    <w:link w:val="961"/>
    <w:uiPriority w:val="34"/>
    <w:qFormat/>
    <w:pPr>
      <w:ind w:firstLine="420"/>
    </w:pPr>
    <w:rPr>
      <w:rFonts w:ascii="Calibri" w:hAnsi="Calibri"/>
      <w:szCs w:val="22"/>
    </w:rPr>
  </w:style>
  <w:style w:type="character" w:styleId="963">
    <w:name w:val="标题 3 Char Char"/>
    <w:next w:val="963"/>
    <w:link w:val="864"/>
    <w:qFormat/>
    <w:rPr>
      <w:rFonts w:eastAsia="宋体"/>
      <w:b/>
      <w:bCs/>
      <w:sz w:val="32"/>
      <w:szCs w:val="32"/>
      <w:lang w:val="en-US" w:eastAsia="zh-CN" w:bidi="ar-SA"/>
    </w:rPr>
  </w:style>
  <w:style w:type="character" w:styleId="964">
    <w:name w:val="段1 Char"/>
    <w:next w:val="964"/>
    <w:link w:val="864"/>
    <w:qFormat/>
    <w:rPr>
      <w:rFonts w:ascii="宋体" w:eastAsia="宋体"/>
      <w:sz w:val="24"/>
      <w:lang w:val="en-US" w:eastAsia="zh-CN" w:bidi="ar-SA"/>
    </w:rPr>
  </w:style>
  <w:style w:type="character" w:styleId="965">
    <w:name w:val="chanpin拷贝"/>
    <w:basedOn w:val="874"/>
    <w:next w:val="965"/>
    <w:link w:val="864"/>
    <w:qFormat/>
  </w:style>
  <w:style w:type="character" w:styleId="966">
    <w:name w:val="纯文本 Char1"/>
    <w:next w:val="966"/>
    <w:link w:val="864"/>
    <w:qFormat/>
    <w:rPr>
      <w:rFonts w:ascii="宋体" w:hAnsi="Courier New" w:eastAsia="宋体"/>
      <w:sz w:val="21"/>
      <w:lang w:val="en-US" w:eastAsia="zh-CN" w:bidi="ar-SA"/>
    </w:rPr>
  </w:style>
  <w:style w:type="character" w:styleId="967">
    <w:name w:val="apple-style-span"/>
    <w:next w:val="967"/>
    <w:link w:val="864"/>
    <w:qFormat/>
    <w:rPr>
      <w:rFonts w:cs="Times New Roman"/>
    </w:rPr>
  </w:style>
  <w:style w:type="paragraph" w:styleId="968">
    <w:name w:val="二级条标题"/>
    <w:basedOn w:val="969"/>
    <w:next w:val="864"/>
    <w:link w:val="864"/>
    <w:qFormat/>
    <w:pPr>
      <w:numPr>
        <w:ilvl w:val="0"/>
        <w:numId w:val="0"/>
      </w:numPr>
      <w:ind w:hanging="840"/>
      <w:tabs>
        <w:tab w:val="left" w:pos="360" w:leader="none"/>
        <w:tab w:val="left" w:pos="840" w:leader="none"/>
      </w:tabs>
      <w:outlineLvl w:val="2"/>
    </w:pPr>
    <w:rPr>
      <w:rFonts w:ascii="宋体" w:eastAsia="宋体"/>
      <w:b w:val="0"/>
    </w:rPr>
  </w:style>
  <w:style w:type="paragraph" w:styleId="969">
    <w:name w:val="一级条标题"/>
    <w:basedOn w:val="970"/>
    <w:next w:val="864"/>
    <w:link w:val="864"/>
    <w:qFormat/>
    <w:pPr>
      <w:numPr>
        <w:ilvl w:val="1"/>
      </w:numPr>
      <w:ind w:left="0" w:hanging="840"/>
      <w:tabs>
        <w:tab w:val="left" w:pos="360" w:leader="none"/>
        <w:tab w:val="left" w:pos="840" w:leader="none"/>
      </w:tabs>
      <w:outlineLvl w:val="1"/>
    </w:pPr>
  </w:style>
  <w:style w:type="paragraph" w:styleId="970">
    <w:name w:val="章标题"/>
    <w:next w:val="864"/>
    <w:link w:val="86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1">
    <w:name w:val="font7"/>
    <w:basedOn w:val="864"/>
    <w:next w:val="971"/>
    <w:link w:val="864"/>
    <w:qFormat/>
    <w:pPr>
      <w:jc w:val="left"/>
      <w:spacing w:before="100" w:beforeAutospacing="1" w:after="100" w:afterAutospacing="1"/>
      <w:widowControl/>
    </w:pPr>
    <w:rPr>
      <w:rFonts w:eastAsia="Arial Unicode MS"/>
      <w:b/>
      <w:bCs/>
      <w:color w:val="000000"/>
      <w:sz w:val="20"/>
      <w:szCs w:val="20"/>
    </w:rPr>
  </w:style>
  <w:style w:type="paragraph" w:styleId="972">
    <w:name w:val="字元 字元"/>
    <w:basedOn w:val="864"/>
    <w:next w:val="972"/>
    <w:link w:val="864"/>
    <w:qFormat/>
    <w:rPr>
      <w:rFonts w:ascii="Tahoma" w:hAnsi="Tahoma"/>
      <w:sz w:val="24"/>
      <w:szCs w:val="20"/>
    </w:rPr>
  </w:style>
  <w:style w:type="paragraph" w:styleId="973">
    <w:name w:val="Char3 Char Char Char"/>
    <w:basedOn w:val="864"/>
    <w:next w:val="973"/>
    <w:link w:val="864"/>
    <w:qFormat/>
    <w:rPr>
      <w:rFonts w:ascii="Tahoma" w:hAnsi="Tahoma"/>
      <w:sz w:val="24"/>
      <w:szCs w:val="20"/>
    </w:rPr>
  </w:style>
  <w:style w:type="paragraph" w:styleId="974">
    <w:name w:val="font6"/>
    <w:basedOn w:val="864"/>
    <w:next w:val="974"/>
    <w:link w:val="864"/>
    <w:qFormat/>
    <w:pPr>
      <w:jc w:val="left"/>
      <w:spacing w:before="100" w:beforeAutospacing="1" w:after="100" w:afterAutospacing="1"/>
      <w:widowControl/>
    </w:pPr>
    <w:rPr>
      <w:rFonts w:ascii="宋体" w:hAnsi="宋体" w:cs="宋体"/>
      <w:sz w:val="20"/>
      <w:szCs w:val="20"/>
    </w:rPr>
  </w:style>
  <w:style w:type="paragraph" w:styleId="975">
    <w:name w:val="项目编号2"/>
    <w:basedOn w:val="976"/>
    <w:next w:val="975"/>
    <w:link w:val="864"/>
    <w:qFormat/>
    <w:pPr>
      <w:numPr>
        <w:numId w:val="3"/>
      </w:numPr>
    </w:pPr>
  </w:style>
  <w:style w:type="paragraph" w:styleId="976">
    <w:name w:val="项目编号1"/>
    <w:basedOn w:val="864"/>
    <w:next w:val="976"/>
    <w:link w:val="864"/>
    <w:qFormat/>
    <w:pPr>
      <w:numPr>
        <w:ilvl w:val="0"/>
        <w:numId w:val="2"/>
      </w:numPr>
      <w:spacing w:before="100" w:beforeAutospacing="1" w:after="100" w:afterAutospacing="1" w:line="360" w:lineRule="auto"/>
    </w:pPr>
    <w:rPr>
      <w:sz w:val="24"/>
    </w:rPr>
  </w:style>
  <w:style w:type="paragraph" w:styleId="977">
    <w:name w:val="图中文字"/>
    <w:basedOn w:val="864"/>
    <w:next w:val="977"/>
    <w:link w:val="864"/>
    <w:qFormat/>
    <w:pPr>
      <w:jc w:val="center"/>
      <w:spacing w:line="0" w:lineRule="atLeast"/>
    </w:pPr>
    <w:rPr>
      <w:sz w:val="24"/>
      <w:szCs w:val="20"/>
    </w:rPr>
  </w:style>
  <w:style w:type="paragraph" w:styleId="978">
    <w:name w:val="xl46"/>
    <w:basedOn w:val="864"/>
    <w:next w:val="978"/>
    <w:link w:val="8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9">
    <w:name w:val="xl25"/>
    <w:basedOn w:val="864"/>
    <w:next w:val="979"/>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2"/>
    <w:basedOn w:val="864"/>
    <w:next w:val="980"/>
    <w:link w:val="864"/>
    <w:qFormat/>
    <w:rPr>
      <w:rFonts w:ascii="Tahoma" w:hAnsi="Tahoma"/>
      <w:sz w:val="24"/>
      <w:szCs w:val="20"/>
    </w:rPr>
  </w:style>
  <w:style w:type="paragraph" w:styleId="981">
    <w:name w:val="xl35"/>
    <w:basedOn w:val="864"/>
    <w:next w:val="981"/>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40"/>
    <w:basedOn w:val="864"/>
    <w:next w:val="982"/>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xl52"/>
    <w:basedOn w:val="864"/>
    <w:next w:val="983"/>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4">
    <w:name w:val="xl43"/>
    <w:basedOn w:val="864"/>
    <w:next w:val="984"/>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5">
    <w:name w:val="background1"/>
    <w:basedOn w:val="864"/>
    <w:next w:val="985"/>
    <w:link w:val="864"/>
    <w:qFormat/>
    <w:pPr>
      <w:jc w:val="left"/>
      <w:spacing w:before="100" w:beforeAutospacing="1" w:after="100" w:afterAutospacing="1"/>
      <w:widowControl/>
    </w:pPr>
    <w:rPr>
      <w:rFonts w:ascii="宋体" w:hAnsi="宋体" w:cs="宋体"/>
      <w:sz w:val="24"/>
    </w:rPr>
  </w:style>
  <w:style w:type="paragraph" w:styleId="986">
    <w:name w:val="Char Char Char Char Char Char Char"/>
    <w:basedOn w:val="864"/>
    <w:next w:val="986"/>
    <w:link w:val="864"/>
    <w:qFormat/>
    <w:pPr>
      <w:ind w:firstLine="200"/>
      <w:spacing w:line="360" w:lineRule="auto"/>
    </w:pPr>
    <w:rPr>
      <w:rFonts w:eastAsia="仿宋_GB2312"/>
      <w:sz w:val="24"/>
    </w:rPr>
  </w:style>
  <w:style w:type="paragraph" w:styleId="987">
    <w:name w:val="xl38"/>
    <w:basedOn w:val="864"/>
    <w:next w:val="987"/>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8">
    <w:name w:val="xl36"/>
    <w:basedOn w:val="864"/>
    <w:next w:val="988"/>
    <w:link w:val="8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name w:val="正文 + 宋体"/>
    <w:basedOn w:val="864"/>
    <w:next w:val="989"/>
    <w:link w:val="864"/>
    <w:qFormat/>
    <w:pPr>
      <w:ind w:left="360" w:hanging="360"/>
      <w:jc w:val="left"/>
      <w:widowControl/>
    </w:pPr>
    <w:rPr>
      <w:rFonts w:ascii="宋体" w:hAnsi="宋体" w:cs="宋体"/>
      <w:b/>
      <w:bCs/>
      <w:color w:val="000000"/>
      <w:sz w:val="18"/>
      <w:szCs w:val="18"/>
    </w:rPr>
  </w:style>
  <w:style w:type="paragraph" w:styleId="990">
    <w:name w:val="正文列项_数字"/>
    <w:basedOn w:val="864"/>
    <w:next w:val="990"/>
    <w:link w:val="864"/>
    <w:qFormat/>
    <w:pPr>
      <w:numPr>
        <w:ilvl w:val="7"/>
        <w:numId w:val="1"/>
      </w:numPr>
      <w:ind w:left="680" w:hanging="150"/>
      <w:spacing w:line="460" w:lineRule="exact"/>
      <w:tabs>
        <w:tab w:val="clear" w:pos="860" w:leader="none"/>
      </w:tabs>
      <w:outlineLvl w:val="7"/>
    </w:pPr>
    <w:rPr>
      <w:rFonts w:ascii="宋体"/>
      <w:sz w:val="28"/>
      <w:szCs w:val="20"/>
    </w:rPr>
  </w:style>
  <w:style w:type="paragraph" w:styleId="991">
    <w:name w:val="xl39"/>
    <w:basedOn w:val="864"/>
    <w:next w:val="99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37"/>
    <w:basedOn w:val="864"/>
    <w:next w:val="992"/>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3">
    <w:name w:val="xl32"/>
    <w:basedOn w:val="864"/>
    <w:next w:val="993"/>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font8"/>
    <w:basedOn w:val="864"/>
    <w:next w:val="994"/>
    <w:link w:val="864"/>
    <w:qFormat/>
    <w:pPr>
      <w:jc w:val="left"/>
      <w:spacing w:before="100" w:beforeAutospacing="1" w:after="100" w:afterAutospacing="1"/>
      <w:widowControl/>
    </w:pPr>
    <w:rPr>
      <w:sz w:val="36"/>
      <w:szCs w:val="36"/>
    </w:rPr>
  </w:style>
  <w:style w:type="paragraph" w:styleId="995">
    <w:name w:val="Char"/>
    <w:basedOn w:val="864"/>
    <w:next w:val="995"/>
    <w:link w:val="864"/>
    <w:qFormat/>
    <w:pPr>
      <w:tabs>
        <w:tab w:val="left" w:pos="360" w:leader="none"/>
      </w:tabs>
    </w:pPr>
    <w:rPr>
      <w:sz w:val="24"/>
    </w:rPr>
  </w:style>
  <w:style w:type="paragraph" w:styleId="996">
    <w:name w:val="Char Char Char Char Char Char Char Char Char Char Char Char Char Char Char Char"/>
    <w:basedOn w:val="864"/>
    <w:next w:val="996"/>
    <w:link w:val="864"/>
    <w:qFormat/>
    <w:pPr>
      <w:jc w:val="center"/>
      <w:spacing w:after="160" w:line="240" w:lineRule="exact"/>
      <w:widowControl/>
    </w:pPr>
    <w:rPr>
      <w:rFonts w:ascii="宋体" w:hAnsi="宋体"/>
      <w:b/>
      <w:sz w:val="30"/>
      <w:szCs w:val="30"/>
      <w:lang w:eastAsia="en-US"/>
    </w:rPr>
  </w:style>
  <w:style w:type="paragraph" w:styleId="997">
    <w:name w:val="xl45"/>
    <w:basedOn w:val="864"/>
    <w:next w:val="997"/>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name w:val="Char Char1 Char Char Char Char Char Char"/>
    <w:basedOn w:val="864"/>
    <w:next w:val="998"/>
    <w:link w:val="864"/>
    <w:qFormat/>
    <w:pPr>
      <w:jc w:val="left"/>
      <w:spacing w:after="160" w:line="240" w:lineRule="exact"/>
      <w:widowControl/>
    </w:pPr>
    <w:rPr>
      <w:rFonts w:ascii="Verdana" w:hAnsi="Verdana" w:eastAsia="仿宋_GB2312"/>
      <w:sz w:val="24"/>
      <w:szCs w:val="20"/>
      <w:lang w:eastAsia="en-US"/>
    </w:rPr>
  </w:style>
  <w:style w:type="paragraph" w:styleId="999">
    <w:name w:val="Char Char1"/>
    <w:basedOn w:val="889"/>
    <w:next w:val="999"/>
    <w:link w:val="864"/>
    <w:qFormat/>
    <w:rPr>
      <w:rFonts w:ascii="Tahoma" w:hAnsi="Tahoma"/>
      <w:sz w:val="24"/>
    </w:rPr>
  </w:style>
  <w:style w:type="paragraph" w:styleId="1000">
    <w:name w:val="xl26"/>
    <w:basedOn w:val="864"/>
    <w:next w:val="1000"/>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1">
    <w:name w:val="xl30"/>
    <w:basedOn w:val="864"/>
    <w:next w:val="1001"/>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xl41"/>
    <w:basedOn w:val="864"/>
    <w:next w:val="1002"/>
    <w:link w:val="8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3">
    <w:name w:val="样式 宋体 五号 行距: 单倍行距"/>
    <w:basedOn w:val="864"/>
    <w:next w:val="1003"/>
    <w:link w:val="864"/>
    <w:qFormat/>
    <w:pPr>
      <w:jc w:val="left"/>
    </w:pPr>
    <w:rPr>
      <w:rFonts w:ascii="宋体" w:hAnsi="宋体"/>
      <w:szCs w:val="20"/>
    </w:rPr>
  </w:style>
  <w:style w:type="paragraph" w:styleId="1004">
    <w:name w:val="Char1 Char Char Char1"/>
    <w:basedOn w:val="864"/>
    <w:next w:val="1004"/>
    <w:link w:val="864"/>
    <w:qFormat/>
    <w:rPr>
      <w:rFonts w:ascii="Tahoma" w:hAnsi="Tahoma" w:cs="仿宋_GB2312"/>
      <w:sz w:val="24"/>
      <w:szCs w:val="28"/>
    </w:rPr>
  </w:style>
  <w:style w:type="paragraph" w:styleId="1005">
    <w:name w:val="四级条标题"/>
    <w:basedOn w:val="1006"/>
    <w:next w:val="864"/>
    <w:link w:val="864"/>
    <w:qFormat/>
    <w:pPr>
      <w:numPr>
        <w:ilvl w:val="4"/>
      </w:numPr>
      <w:ind w:left="0" w:hanging="840"/>
      <w:tabs>
        <w:tab w:val="left" w:pos="360" w:leader="none"/>
        <w:tab w:val="left" w:pos="840" w:leader="none"/>
      </w:tabs>
      <w:outlineLvl w:val="4"/>
    </w:pPr>
  </w:style>
  <w:style w:type="paragraph" w:styleId="1006">
    <w:name w:val="三级条标题"/>
    <w:basedOn w:val="968"/>
    <w:next w:val="864"/>
    <w:link w:val="864"/>
    <w:qFormat/>
    <w:pPr>
      <w:numPr>
        <w:ilvl w:val="3"/>
        <w:numId w:val="1"/>
      </w:numPr>
      <w:ind w:left="0" w:hanging="840"/>
      <w:tabs>
        <w:tab w:val="left" w:pos="360" w:leader="none"/>
        <w:tab w:val="left" w:pos="840" w:leader="none"/>
      </w:tabs>
      <w:outlineLvl w:val="3"/>
    </w:pPr>
  </w:style>
  <w:style w:type="paragraph" w:styleId="1007">
    <w:name w:val="??"/>
    <w:next w:val="1007"/>
    <w:link w:val="864"/>
    <w:qFormat/>
    <w:pPr>
      <w:jc w:val="both"/>
      <w:widowControl w:val="off"/>
    </w:pPr>
    <w:rPr>
      <w:sz w:val="21"/>
      <w:lang w:val="en-US" w:eastAsia="en-US" w:bidi="ar-SA"/>
    </w:rPr>
  </w:style>
  <w:style w:type="paragraph" w:styleId="1008">
    <w:name w:val="样式 标题 2 + 宋体 五号 行距: 单倍行距"/>
    <w:basedOn w:val="866"/>
    <w:next w:val="1008"/>
    <w:link w:val="86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9">
    <w:name w:val="List Paragraph1"/>
    <w:basedOn w:val="864"/>
    <w:next w:val="1009"/>
    <w:link w:val="864"/>
    <w:qFormat/>
    <w:pPr>
      <w:ind w:firstLine="420"/>
    </w:pPr>
    <w:rPr>
      <w:rFonts w:ascii="Calibri" w:hAnsi="Calibri"/>
      <w:szCs w:val="22"/>
    </w:rPr>
  </w:style>
  <w:style w:type="paragraph" w:styleId="1010">
    <w:name w:val="项目符号1"/>
    <w:basedOn w:val="1011"/>
    <w:next w:val="1010"/>
    <w:link w:val="864"/>
    <w:qFormat/>
    <w:pPr>
      <w:ind w:left="-25" w:firstLine="0"/>
    </w:pPr>
  </w:style>
  <w:style w:type="paragraph" w:styleId="1011">
    <w:name w:val="正文文本样式"/>
    <w:basedOn w:val="864"/>
    <w:next w:val="1011"/>
    <w:link w:val="864"/>
    <w:qFormat/>
    <w:pPr>
      <w:ind w:firstLine="482"/>
      <w:spacing w:line="360" w:lineRule="auto"/>
    </w:pPr>
    <w:rPr>
      <w:rFonts w:cs="宋体"/>
      <w:sz w:val="24"/>
      <w:szCs w:val="20"/>
    </w:rPr>
  </w:style>
  <w:style w:type="paragraph" w:styleId="1012">
    <w:name w:val="xl27"/>
    <w:basedOn w:val="864"/>
    <w:next w:val="1012"/>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3">
    <w:name w:val="font5"/>
    <w:basedOn w:val="864"/>
    <w:next w:val="1013"/>
    <w:link w:val="864"/>
    <w:qFormat/>
    <w:pPr>
      <w:jc w:val="left"/>
      <w:spacing w:before="100" w:beforeAutospacing="1" w:after="100" w:afterAutospacing="1"/>
      <w:widowControl/>
    </w:pPr>
    <w:rPr>
      <w:rFonts w:ascii="宋体" w:hAnsi="宋体" w:cs="宋体"/>
      <w:sz w:val="18"/>
      <w:szCs w:val="18"/>
    </w:rPr>
  </w:style>
  <w:style w:type="paragraph" w:styleId="1014">
    <w:name w:val="五级条标题"/>
    <w:basedOn w:val="1005"/>
    <w:next w:val="864"/>
    <w:link w:val="864"/>
    <w:qFormat/>
    <w:pPr>
      <w:numPr>
        <w:ilvl w:val="5"/>
      </w:numPr>
      <w:ind w:left="0" w:hanging="840"/>
      <w:tabs>
        <w:tab w:val="left" w:pos="360" w:leader="none"/>
        <w:tab w:val="left" w:pos="840" w:leader="none"/>
      </w:tabs>
      <w:outlineLvl w:val="5"/>
    </w:pPr>
  </w:style>
  <w:style w:type="paragraph" w:styleId="1015">
    <w:name w:val="xl49"/>
    <w:basedOn w:val="864"/>
    <w:next w:val="1015"/>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6">
    <w:name w:val="文档正文"/>
    <w:basedOn w:val="864"/>
    <w:next w:val="1016"/>
    <w:link w:val="864"/>
    <w:qFormat/>
    <w:pPr>
      <w:spacing w:before="120" w:after="120" w:line="180" w:lineRule="auto"/>
    </w:pPr>
    <w:rPr>
      <w:rFonts w:ascii="Arial" w:hAnsi="Arial"/>
      <w:szCs w:val="20"/>
    </w:rPr>
  </w:style>
  <w:style w:type="paragraph" w:styleId="1017">
    <w:name w:val="xl33"/>
    <w:basedOn w:val="864"/>
    <w:next w:val="1017"/>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8">
    <w:name w:val="xl42"/>
    <w:basedOn w:val="864"/>
    <w:next w:val="101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9">
    <w:name w:val="Char Char Char1 Char"/>
    <w:basedOn w:val="864"/>
    <w:next w:val="1019"/>
    <w:link w:val="864"/>
    <w:qFormat/>
    <w:rPr>
      <w:rFonts w:ascii="Tahoma" w:hAnsi="Tahoma"/>
      <w:sz w:val="24"/>
      <w:szCs w:val="20"/>
    </w:rPr>
  </w:style>
  <w:style w:type="paragraph" w:styleId="1020">
    <w:name w:val="xl44"/>
    <w:basedOn w:val="864"/>
    <w:next w:val="1020"/>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1">
    <w:name w:val="1名"/>
    <w:basedOn w:val="864"/>
    <w:next w:val="1021"/>
    <w:link w:val="864"/>
    <w:qFormat/>
    <w:pPr>
      <w:numPr>
        <w:ilvl w:val="0"/>
        <w:numId w:val="5"/>
      </w:numPr>
      <w:spacing w:before="120"/>
      <w:tabs>
        <w:tab w:val="left" w:pos="360" w:leader="none"/>
      </w:tabs>
    </w:pPr>
    <w:rPr>
      <w:rFonts w:ascii="宋体"/>
      <w:sz w:val="28"/>
      <w:szCs w:val="20"/>
    </w:rPr>
  </w:style>
  <w:style w:type="paragraph" w:styleId="1022">
    <w:name w:val="font9"/>
    <w:basedOn w:val="864"/>
    <w:next w:val="1022"/>
    <w:link w:val="864"/>
    <w:qFormat/>
    <w:pPr>
      <w:jc w:val="left"/>
      <w:spacing w:before="100" w:beforeAutospacing="1" w:after="100" w:afterAutospacing="1"/>
      <w:widowControl/>
    </w:pPr>
    <w:rPr>
      <w:rFonts w:hint="eastAsia" w:ascii="宋体" w:hAnsi="宋体" w:cs="Arial Unicode MS"/>
      <w:color w:val="000000"/>
      <w:sz w:val="20"/>
      <w:szCs w:val="20"/>
    </w:rPr>
  </w:style>
  <w:style w:type="paragraph" w:styleId="1023">
    <w:name w:val="Char Char Char1 Char1"/>
    <w:basedOn w:val="864"/>
    <w:next w:val="1023"/>
    <w:link w:val="864"/>
    <w:qFormat/>
    <w:rPr>
      <w:rFonts w:ascii="Tahoma" w:hAnsi="Tahoma"/>
      <w:sz w:val="24"/>
      <w:szCs w:val="20"/>
    </w:rPr>
  </w:style>
  <w:style w:type="paragraph" w:styleId="1024">
    <w:name w:val="Char Char Char Char Char Char Char Char Char Char"/>
    <w:basedOn w:val="864"/>
    <w:next w:val="1024"/>
    <w:link w:val="864"/>
    <w:qFormat/>
  </w:style>
  <w:style w:type="paragraph" w:styleId="1025">
    <w:name w:val="Char Char1 Char Char Char Char Char Char Char Char"/>
    <w:basedOn w:val="864"/>
    <w:next w:val="1025"/>
    <w:link w:val="864"/>
    <w:qFormat/>
    <w:pPr>
      <w:jc w:val="left"/>
      <w:spacing w:after="160" w:line="240" w:lineRule="exact"/>
      <w:widowControl/>
    </w:pPr>
    <w:rPr>
      <w:rFonts w:ascii="Verdana" w:hAnsi="Verdana"/>
      <w:sz w:val="20"/>
      <w:szCs w:val="20"/>
      <w:lang w:eastAsia="en-US"/>
    </w:rPr>
  </w:style>
  <w:style w:type="paragraph" w:styleId="1026">
    <w:name w:val="Char1"/>
    <w:basedOn w:val="864"/>
    <w:next w:val="1026"/>
    <w:link w:val="864"/>
    <w:qFormat/>
    <w:pPr>
      <w:tabs>
        <w:tab w:val="left" w:pos="360" w:leader="none"/>
      </w:tabs>
    </w:pPr>
    <w:rPr>
      <w:sz w:val="24"/>
    </w:rPr>
  </w:style>
  <w:style w:type="paragraph" w:styleId="1027">
    <w:name w:val="正文列项_字母"/>
    <w:basedOn w:val="864"/>
    <w:next w:val="1027"/>
    <w:link w:val="864"/>
    <w:qFormat/>
    <w:pPr>
      <w:numPr>
        <w:ilvl w:val="6"/>
        <w:numId w:val="1"/>
      </w:numPr>
      <w:ind w:left="480" w:hanging="180"/>
      <w:spacing w:line="460" w:lineRule="exact"/>
      <w:tabs>
        <w:tab w:val="clear" w:pos="635" w:leader="none"/>
      </w:tabs>
      <w:outlineLvl w:val="6"/>
    </w:pPr>
    <w:rPr>
      <w:rFonts w:ascii="宋体"/>
      <w:sz w:val="28"/>
      <w:szCs w:val="20"/>
    </w:rPr>
  </w:style>
  <w:style w:type="paragraph" w:styleId="1028">
    <w:name w:val="xl28"/>
    <w:basedOn w:val="864"/>
    <w:next w:val="102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name w:val="xl47"/>
    <w:basedOn w:val="864"/>
    <w:next w:val="1029"/>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默认段落字体 Para Char Char Char Char"/>
    <w:basedOn w:val="864"/>
    <w:next w:val="1030"/>
    <w:link w:val="864"/>
    <w:qFormat/>
    <w:rPr>
      <w:rFonts w:ascii="Arial" w:hAnsi="Arial" w:cs="Arial"/>
      <w:szCs w:val="21"/>
    </w:rPr>
  </w:style>
  <w:style w:type="paragraph" w:styleId="1031">
    <w:name w:val="xl48"/>
    <w:basedOn w:val="864"/>
    <w:next w:val="103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2">
    <w:name w:val="xl31"/>
    <w:basedOn w:val="864"/>
    <w:next w:val="1032"/>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3">
    <w:name w:val="xl53"/>
    <w:basedOn w:val="864"/>
    <w:next w:val="1033"/>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name w:val="Char Char Char"/>
    <w:basedOn w:val="864"/>
    <w:next w:val="1034"/>
    <w:link w:val="864"/>
    <w:qFormat/>
    <w:rPr>
      <w:rFonts w:ascii="Tahoma" w:hAnsi="Tahoma"/>
      <w:sz w:val="24"/>
      <w:szCs w:val="20"/>
    </w:rPr>
  </w:style>
  <w:style w:type="paragraph" w:styleId="1035">
    <w:name w:val="xl50"/>
    <w:basedOn w:val="864"/>
    <w:next w:val="1035"/>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6">
    <w:name w:val="缺省文本"/>
    <w:basedOn w:val="864"/>
    <w:next w:val="1036"/>
    <w:link w:val="864"/>
    <w:qFormat/>
    <w:pPr>
      <w:jc w:val="left"/>
    </w:pPr>
    <w:rPr>
      <w:sz w:val="24"/>
    </w:rPr>
  </w:style>
  <w:style w:type="paragraph" w:styleId="1037">
    <w:name w:val="Char Char Char1"/>
    <w:basedOn w:val="864"/>
    <w:next w:val="1037"/>
    <w:link w:val="864"/>
    <w:qFormat/>
    <w:rPr>
      <w:rFonts w:ascii="Tahoma" w:hAnsi="Tahoma"/>
      <w:sz w:val="24"/>
      <w:szCs w:val="20"/>
    </w:rPr>
  </w:style>
  <w:style w:type="paragraph" w:styleId="1038">
    <w:name w:val="Char Char Char Char Char Char Char1"/>
    <w:basedOn w:val="864"/>
    <w:next w:val="1038"/>
    <w:link w:val="864"/>
    <w:qFormat/>
    <w:pPr>
      <w:ind w:firstLine="200"/>
      <w:spacing w:line="360" w:lineRule="auto"/>
    </w:pPr>
    <w:rPr>
      <w:rFonts w:eastAsia="仿宋_GB2312"/>
      <w:sz w:val="24"/>
    </w:rPr>
  </w:style>
  <w:style w:type="paragraph" w:styleId="1039">
    <w:name w:val="xl51"/>
    <w:basedOn w:val="864"/>
    <w:next w:val="1039"/>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0">
    <w:name w:val="样式2"/>
    <w:basedOn w:val="927"/>
    <w:next w:val="1040"/>
    <w:link w:val="864"/>
    <w:qFormat/>
    <w:pPr>
      <w:jc w:val="center"/>
      <w:spacing w:line="360" w:lineRule="auto"/>
    </w:pPr>
    <w:rPr>
      <w:sz w:val="24"/>
    </w:rPr>
  </w:style>
  <w:style w:type="paragraph" w:styleId="1041">
    <w:name w:val="xl24"/>
    <w:basedOn w:val="864"/>
    <w:next w:val="1041"/>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29"/>
    <w:basedOn w:val="864"/>
    <w:next w:val="1042"/>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name w:val="正文 + 楷体_GB2312"/>
    <w:basedOn w:val="864"/>
    <w:next w:val="1043"/>
    <w:link w:val="864"/>
    <w:qFormat/>
    <w:pPr>
      <w:jc w:val="left"/>
      <w:widowControl/>
    </w:pPr>
    <w:rPr>
      <w:rFonts w:ascii="楷体_GB2312" w:eastAsia="楷体_GB2312" w:cs="Arial"/>
      <w:sz w:val="24"/>
    </w:rPr>
  </w:style>
  <w:style w:type="paragraph" w:styleId="1044">
    <w:name w:val="xl34"/>
    <w:basedOn w:val="864"/>
    <w:next w:val="1044"/>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5">
    <w:name w:val="1 Char Char Char Char"/>
    <w:basedOn w:val="864"/>
    <w:next w:val="1045"/>
    <w:link w:val="864"/>
    <w:qFormat/>
    <w:rPr>
      <w:rFonts w:ascii="Tahoma" w:hAnsi="Tahoma"/>
      <w:sz w:val="24"/>
      <w:szCs w:val="20"/>
    </w:rPr>
  </w:style>
  <w:style w:type="paragraph" w:styleId="1046">
    <w:name w:val="列出段落1"/>
    <w:basedOn w:val="864"/>
    <w:next w:val="1046"/>
    <w:link w:val="864"/>
    <w:qFormat/>
    <w:pPr>
      <w:ind w:firstLine="420"/>
    </w:pPr>
    <w:rPr>
      <w:rFonts w:ascii="Calibri" w:hAnsi="Calibri"/>
      <w:szCs w:val="22"/>
    </w:rPr>
  </w:style>
  <w:style w:type="paragraph" w:styleId="1047">
    <w:name w:val="default"/>
    <w:basedOn w:val="864"/>
    <w:next w:val="1047"/>
    <w:link w:val="864"/>
    <w:qFormat/>
    <w:pPr>
      <w:jc w:val="left"/>
      <w:spacing w:before="100" w:beforeAutospacing="1" w:after="100" w:afterAutospacing="1"/>
      <w:widowControl/>
    </w:pPr>
    <w:rPr>
      <w:rFonts w:ascii="宋体" w:hAnsi="宋体" w:cs="宋体"/>
      <w:sz w:val="24"/>
    </w:rPr>
  </w:style>
  <w:style w:type="paragraph" w:styleId="1048">
    <w:name w:val="字元 字元1"/>
    <w:basedOn w:val="864"/>
    <w:next w:val="1048"/>
    <w:link w:val="864"/>
    <w:qFormat/>
    <w:rPr>
      <w:rFonts w:ascii="Tahoma" w:hAnsi="Tahoma"/>
      <w:sz w:val="24"/>
      <w:szCs w:val="20"/>
    </w:rPr>
  </w:style>
  <w:style w:type="paragraph" w:styleId="1049">
    <w:name w:val="_Style 160"/>
    <w:next w:val="1049"/>
    <w:link w:val="864"/>
    <w:qFormat/>
    <w:rPr>
      <w:sz w:val="21"/>
      <w:szCs w:val="24"/>
      <w:lang w:val="en-US" w:eastAsia="zh-CN" w:bidi="ar-SA"/>
    </w:rPr>
  </w:style>
  <w:style w:type="paragraph" w:styleId="1050">
    <w:name w:val="项目编号3"/>
    <w:basedOn w:val="1011"/>
    <w:next w:val="1050"/>
    <w:link w:val="864"/>
    <w:qFormat/>
    <w:pPr>
      <w:numPr>
        <w:ilvl w:val="0"/>
        <w:numId w:val="6"/>
      </w:numPr>
    </w:pPr>
  </w:style>
  <w:style w:type="paragraph" w:styleId="1051">
    <w:name w:val="Char21"/>
    <w:basedOn w:val="864"/>
    <w:next w:val="1051"/>
    <w:link w:val="864"/>
    <w:qFormat/>
    <w:rPr>
      <w:rFonts w:ascii="Tahoma" w:hAnsi="Tahoma"/>
      <w:sz w:val="24"/>
      <w:szCs w:val="20"/>
    </w:rPr>
  </w:style>
  <w:style w:type="paragraph" w:styleId="1052">
    <w:name w:val="表格文字"/>
    <w:basedOn w:val="898"/>
    <w:next w:val="1052"/>
    <w:link w:val="864"/>
    <w:qFormat/>
    <w:pPr>
      <w:ind w:firstLine="0"/>
      <w:spacing w:before="20" w:after="20" w:line="240" w:lineRule="auto"/>
    </w:pPr>
    <w:rPr>
      <w:rFonts w:ascii="Century Gothic" w:hAnsi="Century Gothic"/>
      <w:sz w:val="20"/>
      <w:szCs w:val="20"/>
    </w:rPr>
  </w:style>
  <w:style w:type="paragraph" w:styleId="1053">
    <w:name w:val="Char Char Char Char Char Char Char Char Char Char1"/>
    <w:basedOn w:val="864"/>
    <w:next w:val="1053"/>
    <w:link w:val="864"/>
    <w:qFormat/>
    <w:rPr>
      <w:rFonts w:ascii="宋体" w:hAnsi="宋体" w:cs="Courier New"/>
      <w:sz w:val="32"/>
      <w:szCs w:val="32"/>
    </w:rPr>
  </w:style>
  <w:style w:type="paragraph" w:styleId="1054">
    <w:name w:val="正文文本样式 加粗"/>
    <w:basedOn w:val="1011"/>
    <w:next w:val="1054"/>
    <w:link w:val="864"/>
    <w:qFormat/>
    <w:rPr>
      <w:b/>
    </w:rPr>
  </w:style>
  <w:style w:type="paragraph" w:styleId="1055">
    <w:name w:val="Char2 Char Char Char Char Char Char"/>
    <w:basedOn w:val="864"/>
    <w:next w:val="1055"/>
    <w:link w:val="864"/>
    <w:qFormat/>
    <w:pPr>
      <w:jc w:val="center"/>
      <w:spacing w:line="400" w:lineRule="exact"/>
      <w:widowControl/>
    </w:pPr>
  </w:style>
  <w:style w:type="paragraph" w:styleId="1056">
    <w:name w:val="Char Char4"/>
    <w:basedOn w:val="864"/>
    <w:next w:val="1056"/>
    <w:link w:val="864"/>
    <w:qFormat/>
    <w:pPr>
      <w:jc w:val="center"/>
      <w:spacing w:line="400" w:lineRule="exact"/>
      <w:widowControl/>
    </w:pPr>
  </w:style>
  <w:style w:type="paragraph" w:styleId="1057">
    <w:name w:val="Char3 Char Char Char1"/>
    <w:basedOn w:val="864"/>
    <w:next w:val="1057"/>
    <w:link w:val="864"/>
    <w:qFormat/>
    <w:rPr>
      <w:rFonts w:ascii="Tahoma" w:hAnsi="Tahoma"/>
      <w:sz w:val="24"/>
      <w:szCs w:val="20"/>
    </w:rPr>
  </w:style>
  <w:style w:type="paragraph" w:styleId="1058">
    <w:name w:val="无间隔"/>
    <w:next w:val="1058"/>
    <w:link w:val="864"/>
    <w:qFormat/>
    <w:pPr>
      <w:jc w:val="both"/>
      <w:widowControl w:val="off"/>
    </w:pPr>
    <w:rPr>
      <w:sz w:val="21"/>
      <w:szCs w:val="24"/>
      <w:lang w:val="en-US" w:eastAsia="zh-CN" w:bidi="ar-SA"/>
    </w:rPr>
  </w:style>
  <w:style w:type="paragraph" w:styleId="1059">
    <w:name w:val="22222222222222"/>
    <w:basedOn w:val="864"/>
    <w:next w:val="1059"/>
    <w:link w:val="864"/>
    <w:qFormat/>
    <w:pPr>
      <w:ind w:firstLine="480"/>
      <w:jc w:val="left"/>
      <w:spacing w:line="360" w:lineRule="auto"/>
      <w:widowControl/>
    </w:pPr>
    <w:rPr>
      <w:color w:val="ff0000"/>
      <w:sz w:val="24"/>
      <w:szCs w:val="20"/>
    </w:rPr>
  </w:style>
  <w:style w:type="character" w:styleId="1060">
    <w:name w:val="中等深浅网格 1 - 强调文字颜色 2 Char"/>
    <w:next w:val="1060"/>
    <w:link w:val="1061"/>
    <w:qFormat/>
    <w:rPr>
      <w:sz w:val="21"/>
      <w:szCs w:val="24"/>
      <w:lang w:val="zh-CN" w:eastAsia="zh-CN" w:bidi="ar-SA"/>
    </w:rPr>
  </w:style>
  <w:style w:type="paragraph" w:styleId="1061">
    <w:name w:val="1"/>
    <w:next w:val="1061"/>
    <w:link w:val="1060"/>
    <w:qFormat/>
    <w:rPr>
      <w:sz w:val="21"/>
      <w:szCs w:val="24"/>
      <w:lang w:val="zh-CN" w:eastAsia="zh-CN" w:bidi="ar-SA"/>
    </w:rPr>
  </w:style>
  <w:style w:type="paragraph" w:styleId="1062">
    <w:name w:val="图文"/>
    <w:basedOn w:val="864"/>
    <w:next w:val="1062"/>
    <w:link w:val="864"/>
    <w:qFormat/>
    <w:pPr>
      <w:spacing w:after="50" w:line="360" w:lineRule="auto"/>
    </w:pPr>
    <w:rPr>
      <w:sz w:val="24"/>
    </w:rPr>
  </w:style>
  <w:style w:type="paragraph" w:styleId="1063">
    <w:name w:val="xl23"/>
    <w:basedOn w:val="864"/>
    <w:next w:val="1063"/>
    <w:link w:val="864"/>
    <w:qFormat/>
    <w:pPr>
      <w:spacing w:before="100" w:beforeAutospacing="1" w:after="100" w:afterAutospacing="1" w:line="360" w:lineRule="auto"/>
      <w:widowControl/>
    </w:pPr>
    <w:rPr>
      <w:sz w:val="24"/>
      <w:szCs w:val="20"/>
    </w:rPr>
  </w:style>
  <w:style w:type="paragraph" w:styleId="1064">
    <w:name w:val="正文表格"/>
    <w:basedOn w:val="864"/>
    <w:next w:val="1064"/>
    <w:link w:val="1065"/>
    <w:qFormat/>
    <w:pPr>
      <w:jc w:val="left"/>
    </w:pPr>
    <w:rPr>
      <w:rFonts w:ascii="宋体" w:hAnsi="宋体"/>
      <w:color w:val="000000"/>
      <w:szCs w:val="21"/>
    </w:rPr>
  </w:style>
  <w:style w:type="character" w:styleId="1065">
    <w:name w:val="正文表格 Char"/>
    <w:next w:val="1065"/>
    <w:link w:val="1064"/>
    <w:qFormat/>
    <w:rPr>
      <w:rFonts w:ascii="宋体" w:hAnsi="宋体"/>
      <w:color w:val="000000"/>
      <w:sz w:val="21"/>
      <w:szCs w:val="21"/>
    </w:rPr>
  </w:style>
  <w:style w:type="paragraph" w:styleId="1066">
    <w:name w:val="正文重点"/>
    <w:basedOn w:val="864"/>
    <w:next w:val="1066"/>
    <w:link w:val="1067"/>
    <w:qFormat/>
    <w:pPr>
      <w:ind w:firstLine="482"/>
      <w:jc w:val="left"/>
      <w:spacing w:line="360" w:lineRule="auto"/>
    </w:pPr>
    <w:rPr>
      <w:b/>
      <w:sz w:val="24"/>
      <w:szCs w:val="20"/>
    </w:rPr>
  </w:style>
  <w:style w:type="character" w:styleId="1067">
    <w:name w:val="正文重点 Char"/>
    <w:next w:val="1067"/>
    <w:link w:val="1066"/>
    <w:qFormat/>
    <w:rPr>
      <w:b/>
      <w:sz w:val="24"/>
    </w:rPr>
  </w:style>
  <w:style w:type="paragraph" w:styleId="1068">
    <w:name w:val="标题1-附件"/>
    <w:basedOn w:val="865"/>
    <w:next w:val="1068"/>
    <w:link w:val="864"/>
    <w:qFormat/>
    <w:pPr>
      <w:jc w:val="left"/>
    </w:pPr>
    <w:rPr>
      <w:sz w:val="24"/>
      <w:szCs w:val="24"/>
    </w:rPr>
  </w:style>
  <w:style w:type="paragraph" w:styleId="1069">
    <w:name w:val="正文小标题"/>
    <w:basedOn w:val="864"/>
    <w:next w:val="886"/>
    <w:link w:val="1070"/>
    <w:qFormat/>
    <w:pPr>
      <w:ind w:firstLine="482"/>
      <w:jc w:val="left"/>
      <w:spacing w:before="312" w:after="312"/>
    </w:pPr>
    <w:rPr>
      <w:rFonts w:ascii="宋体" w:hAnsi="宋体"/>
      <w:b/>
      <w:i/>
      <w:color w:val="ff0000"/>
      <w:sz w:val="24"/>
      <w:szCs w:val="20"/>
    </w:rPr>
  </w:style>
  <w:style w:type="character" w:styleId="1070">
    <w:name w:val="正文小标题 Char"/>
    <w:next w:val="1070"/>
    <w:link w:val="1069"/>
    <w:qFormat/>
    <w:rPr>
      <w:rFonts w:ascii="宋体" w:hAnsi="宋体"/>
      <w:b/>
      <w:i/>
      <w:color w:val="ff0000"/>
      <w:sz w:val="24"/>
    </w:rPr>
  </w:style>
  <w:style w:type="paragraph" w:styleId="1071">
    <w:name w:val="正文大标题"/>
    <w:basedOn w:val="1069"/>
    <w:next w:val="886"/>
    <w:link w:val="1072"/>
    <w:qFormat/>
    <w:pPr>
      <w:jc w:val="center"/>
    </w:pPr>
    <w:rPr>
      <w:i w:val="0"/>
      <w:color w:val="000000"/>
      <w:sz w:val="28"/>
      <w:szCs w:val="21"/>
    </w:rPr>
  </w:style>
  <w:style w:type="character" w:styleId="1072">
    <w:name w:val="正文大标题 Char"/>
    <w:next w:val="1072"/>
    <w:link w:val="1071"/>
    <w:qFormat/>
    <w:rPr>
      <w:rFonts w:ascii="宋体" w:hAnsi="宋体"/>
      <w:b/>
      <w:color w:val="000000"/>
      <w:sz w:val="28"/>
      <w:szCs w:val="21"/>
    </w:rPr>
  </w:style>
  <w:style w:type="paragraph" w:styleId="1073">
    <w:name w:val="注释"/>
    <w:basedOn w:val="864"/>
    <w:next w:val="1073"/>
    <w:link w:val="1074"/>
    <w:qFormat/>
    <w:pPr>
      <w:ind w:left="420" w:hanging="420"/>
      <w:jc w:val="left"/>
    </w:pPr>
    <w:rPr>
      <w:rFonts w:ascii="宋体" w:hAnsi="宋体"/>
      <w:szCs w:val="21"/>
    </w:rPr>
  </w:style>
  <w:style w:type="character" w:styleId="1074">
    <w:name w:val="注释 Char"/>
    <w:next w:val="1074"/>
    <w:link w:val="1073"/>
    <w:qFormat/>
    <w:rPr>
      <w:rFonts w:ascii="宋体" w:hAnsi="宋体"/>
      <w:sz w:val="21"/>
      <w:szCs w:val="21"/>
    </w:rPr>
  </w:style>
  <w:style w:type="paragraph" w:styleId="1075">
    <w:name w:val="正文须知-1级"/>
    <w:basedOn w:val="864"/>
    <w:next w:val="864"/>
    <w:link w:val="864"/>
    <w:qFormat/>
    <w:pPr>
      <w:numPr>
        <w:ilvl w:val="0"/>
        <w:numId w:val="7"/>
      </w:numPr>
      <w:spacing w:line="300" w:lineRule="auto"/>
    </w:pPr>
    <w:rPr>
      <w:rFonts w:ascii="宋体" w:hAnsi="Calibri"/>
      <w:sz w:val="24"/>
      <w:szCs w:val="21"/>
    </w:rPr>
  </w:style>
  <w:style w:type="paragraph" w:styleId="1076">
    <w:name w:val="正文须知-2级"/>
    <w:basedOn w:val="864"/>
    <w:next w:val="1076"/>
    <w:link w:val="864"/>
    <w:qFormat/>
    <w:pPr>
      <w:numPr>
        <w:ilvl w:val="1"/>
        <w:numId w:val="7"/>
      </w:numPr>
      <w:spacing w:line="300" w:lineRule="auto"/>
    </w:pPr>
    <w:rPr>
      <w:rFonts w:ascii="宋体" w:hAnsi="Calibri"/>
      <w:sz w:val="24"/>
      <w:szCs w:val="21"/>
    </w:rPr>
  </w:style>
  <w:style w:type="paragraph" w:styleId="1077">
    <w:name w:val="正文须知-3级"/>
    <w:basedOn w:val="864"/>
    <w:next w:val="1077"/>
    <w:link w:val="864"/>
    <w:qFormat/>
    <w:pPr>
      <w:numPr>
        <w:ilvl w:val="2"/>
        <w:numId w:val="7"/>
      </w:numPr>
      <w:ind w:hanging="355"/>
      <w:spacing w:line="300" w:lineRule="auto"/>
    </w:pPr>
    <w:rPr>
      <w:rFonts w:ascii="宋体" w:hAnsi="Calibri"/>
      <w:sz w:val="24"/>
      <w:szCs w:val="21"/>
    </w:rPr>
  </w:style>
  <w:style w:type="character" w:styleId="1078">
    <w:name w:val="纯文本 字符"/>
    <w:next w:val="1078"/>
    <w:link w:val="864"/>
    <w:uiPriority w:val="99"/>
    <w:qFormat/>
    <w:rPr>
      <w:rFonts w:ascii="宋体" w:hAnsi="Courier New" w:eastAsia="宋体" w:cs="Times New Roman"/>
      <w:sz w:val="21"/>
      <w:szCs w:val="21"/>
      <w:lang w:val="en-US" w:eastAsia="zh-CN" w:bidi="ar-SA"/>
    </w:rPr>
  </w:style>
  <w:style w:type="paragraph" w:styleId="1079">
    <w:name w:val="表格1"/>
    <w:basedOn w:val="864"/>
    <w:next w:val="1079"/>
    <w:link w:val="864"/>
    <w:qFormat/>
    <w:pPr>
      <w:ind w:firstLine="480"/>
      <w:jc w:val="center"/>
    </w:pPr>
    <w:rPr>
      <w:sz w:val="24"/>
      <w:szCs w:val="20"/>
    </w:rPr>
  </w:style>
  <w:style w:type="character" w:styleId="1080">
    <w:name w:val="纯文本 字符1"/>
    <w:next w:val="1080"/>
    <w:link w:val="864"/>
    <w:qFormat/>
    <w:rPr>
      <w:rFonts w:ascii="宋体" w:hAnsi="Courier New"/>
    </w:rPr>
  </w:style>
  <w:style w:type="character" w:styleId="1081">
    <w:name w:val="bjh-p"/>
    <w:next w:val="1081"/>
    <w:link w:val="864"/>
    <w:qFormat/>
  </w:style>
  <w:style w:type="paragraph" w:styleId="1082">
    <w:name w:val="无标题条"/>
    <w:next w:val="864"/>
    <w:link w:val="864"/>
    <w:qFormat/>
    <w:pPr>
      <w:jc w:val="both"/>
    </w:pPr>
    <w:rPr>
      <w:sz w:val="21"/>
      <w:lang w:val="en-US" w:eastAsia="zh-CN" w:bidi="ar-SA"/>
    </w:rPr>
  </w:style>
  <w:style w:type="character" w:styleId="1083">
    <w:name w:val="正文格式 Char"/>
    <w:next w:val="1083"/>
    <w:link w:val="1084"/>
    <w:qFormat/>
    <w:rPr>
      <w:rFonts w:ascii="宋体" w:hAnsi="宋体"/>
      <w:sz w:val="24"/>
      <w:szCs w:val="24"/>
      <w:lang w:val="en-GB"/>
    </w:rPr>
  </w:style>
  <w:style w:type="paragraph" w:styleId="1084">
    <w:name w:val="正文格式"/>
    <w:basedOn w:val="864"/>
    <w:next w:val="1084"/>
    <w:link w:val="1083"/>
    <w:qFormat/>
    <w:pPr>
      <w:ind w:firstLine="480"/>
      <w:spacing w:line="360" w:lineRule="auto"/>
    </w:pPr>
    <w:rPr>
      <w:rFonts w:ascii="宋体" w:hAnsi="宋体"/>
      <w:sz w:val="24"/>
      <w:lang w:val="en-GB"/>
    </w:rPr>
  </w:style>
  <w:style w:type="character" w:styleId="1085">
    <w:name w:val="标题 3 Char"/>
    <w:next w:val="1085"/>
    <w:link w:val="864"/>
    <w:qFormat/>
    <w:rPr>
      <w:rFonts w:ascii="宋体" w:eastAsia="宋体"/>
      <w:b/>
      <w:sz w:val="24"/>
      <w:u w:val="single"/>
      <w:lang w:val="en-US" w:eastAsia="zh-CN" w:bidi="ar-SA"/>
    </w:rPr>
  </w:style>
  <w:style w:type="character" w:styleId="1086">
    <w:name w:val="正文缩进 Char"/>
    <w:next w:val="1086"/>
    <w:link w:val="864"/>
    <w:qFormat/>
    <w:rPr>
      <w:rFonts w:ascii="宋体" w:eastAsia="宋体"/>
      <w:sz w:val="24"/>
      <w:szCs w:val="24"/>
      <w:lang w:val="en-US" w:eastAsia="zh-CN" w:bidi="ar-SA"/>
    </w:rPr>
  </w:style>
  <w:style w:type="character" w:styleId="1087">
    <w:name w:val="Char Char111"/>
    <w:next w:val="1087"/>
    <w:link w:val="864"/>
    <w:qFormat/>
    <w:rPr>
      <w:rFonts w:ascii="宋体" w:eastAsia="宋体"/>
      <w:b/>
      <w:sz w:val="24"/>
      <w:u w:val="single"/>
      <w:lang w:val="en-US" w:eastAsia="zh-CN" w:bidi="ar-SA"/>
    </w:rPr>
  </w:style>
  <w:style w:type="character" w:styleId="1088">
    <w:name w:val="正文文本缩进 Char"/>
    <w:next w:val="1088"/>
    <w:link w:val="864"/>
    <w:qFormat/>
    <w:rPr>
      <w:rFonts w:eastAsia="宋体"/>
      <w:sz w:val="24"/>
      <w:szCs w:val="24"/>
      <w:lang w:val="en-US" w:eastAsia="zh-CN" w:bidi="ar-SA"/>
    </w:rPr>
  </w:style>
  <w:style w:type="character" w:styleId="1089">
    <w:name w:val="列出段落 Char"/>
    <w:next w:val="1089"/>
    <w:link w:val="864"/>
    <w:qFormat/>
    <w:rPr>
      <w:rFonts w:ascii="Calibri" w:hAnsi="Calibri" w:eastAsia="宋体"/>
      <w:sz w:val="21"/>
      <w:szCs w:val="22"/>
      <w:lang w:val="en-US" w:eastAsia="zh-CN" w:bidi="ar-SA"/>
    </w:rPr>
  </w:style>
  <w:style w:type="character" w:styleId="1090">
    <w:name w:val="页眉 Char"/>
    <w:next w:val="1090"/>
    <w:link w:val="864"/>
    <w:qFormat/>
    <w:rPr>
      <w:rFonts w:eastAsia="宋体"/>
      <w:sz w:val="18"/>
      <w:szCs w:val="18"/>
      <w:lang w:val="en-US" w:eastAsia="zh-CN" w:bidi="ar-SA"/>
    </w:rPr>
  </w:style>
  <w:style w:type="character" w:styleId="1091">
    <w:name w:val="标题 2 Char"/>
    <w:next w:val="1091"/>
    <w:link w:val="864"/>
    <w:qFormat/>
    <w:rPr>
      <w:rFonts w:ascii="Arial" w:hAnsi="Arial" w:eastAsia="黑体"/>
      <w:b/>
      <w:sz w:val="30"/>
      <w:lang w:val="en-US" w:eastAsia="zh-CN" w:bidi="ar-SA"/>
    </w:rPr>
  </w:style>
  <w:style w:type="paragraph" w:styleId="1092">
    <w:name w:val="字元 字元2"/>
    <w:basedOn w:val="864"/>
    <w:next w:val="1092"/>
    <w:link w:val="864"/>
    <w:qFormat/>
    <w:rPr>
      <w:rFonts w:ascii="Tahoma" w:hAnsi="Tahoma"/>
      <w:sz w:val="24"/>
      <w:szCs w:val="20"/>
    </w:rPr>
  </w:style>
  <w:style w:type="paragraph" w:styleId="1093">
    <w:name w:val="Char3 Char Char Char2"/>
    <w:basedOn w:val="864"/>
    <w:next w:val="1093"/>
    <w:link w:val="864"/>
    <w:qFormat/>
    <w:rPr>
      <w:rFonts w:ascii="Tahoma" w:hAnsi="Tahoma"/>
      <w:sz w:val="24"/>
      <w:szCs w:val="20"/>
    </w:rPr>
  </w:style>
  <w:style w:type="paragraph" w:styleId="1094">
    <w:name w:val="正文文本缩进2"/>
    <w:basedOn w:val="864"/>
    <w:next w:val="1094"/>
    <w:link w:val="864"/>
    <w:qFormat/>
    <w:pPr>
      <w:ind w:firstLine="480"/>
      <w:spacing w:line="480" w:lineRule="exact"/>
    </w:pPr>
    <w:rPr>
      <w:rFonts w:ascii="宋体" w:hAnsi="宋体"/>
      <w:sz w:val="24"/>
      <w:lang w:val="zh-CN" w:eastAsia="zh-CN"/>
    </w:rPr>
  </w:style>
  <w:style w:type="paragraph" w:styleId="1095">
    <w:name w:val="Char3"/>
    <w:basedOn w:val="864"/>
    <w:next w:val="1095"/>
    <w:link w:val="864"/>
    <w:qFormat/>
    <w:pPr>
      <w:tabs>
        <w:tab w:val="left" w:pos="360" w:leader="none"/>
      </w:tabs>
    </w:pPr>
    <w:rPr>
      <w:sz w:val="24"/>
    </w:rPr>
  </w:style>
  <w:style w:type="paragraph" w:styleId="1096">
    <w:name w:val="Char Char Char Char Char Char Char Char Char Char Char Char Char Char Char Char1"/>
    <w:basedOn w:val="864"/>
    <w:next w:val="1096"/>
    <w:link w:val="864"/>
    <w:qFormat/>
    <w:pPr>
      <w:jc w:val="center"/>
      <w:spacing w:after="160" w:line="240" w:lineRule="exact"/>
      <w:widowControl/>
    </w:pPr>
    <w:rPr>
      <w:rFonts w:ascii="宋体" w:hAnsi="宋体"/>
      <w:b/>
      <w:sz w:val="30"/>
      <w:szCs w:val="30"/>
      <w:lang w:eastAsia="en-US"/>
    </w:rPr>
  </w:style>
  <w:style w:type="paragraph" w:styleId="1097">
    <w:name w:val="Char Char1 Char Char Char Char Char Char1"/>
    <w:basedOn w:val="864"/>
    <w:next w:val="1097"/>
    <w:link w:val="864"/>
    <w:qFormat/>
    <w:pPr>
      <w:jc w:val="left"/>
      <w:spacing w:after="160" w:line="240" w:lineRule="exact"/>
      <w:widowControl/>
    </w:pPr>
    <w:rPr>
      <w:rFonts w:ascii="Verdana" w:hAnsi="Verdana" w:eastAsia="仿宋_GB2312"/>
      <w:sz w:val="24"/>
      <w:szCs w:val="20"/>
      <w:lang w:eastAsia="en-US"/>
    </w:rPr>
  </w:style>
  <w:style w:type="paragraph" w:styleId="1098">
    <w:name w:val="列出段落2"/>
    <w:basedOn w:val="864"/>
    <w:next w:val="1098"/>
    <w:link w:val="864"/>
    <w:qFormat/>
    <w:pPr>
      <w:ind w:firstLine="420"/>
    </w:pPr>
    <w:rPr>
      <w:rFonts w:ascii="Calibri" w:hAnsi="Calibri"/>
      <w:szCs w:val="22"/>
    </w:rPr>
  </w:style>
  <w:style w:type="paragraph" w:styleId="1099">
    <w:name w:val="Char Char Char1 Char2"/>
    <w:basedOn w:val="864"/>
    <w:next w:val="1099"/>
    <w:link w:val="864"/>
    <w:qFormat/>
    <w:rPr>
      <w:rFonts w:ascii="Tahoma" w:hAnsi="Tahoma"/>
      <w:sz w:val="24"/>
      <w:szCs w:val="20"/>
    </w:rPr>
  </w:style>
  <w:style w:type="paragraph" w:styleId="1100">
    <w:name w:val="Char Char Char2"/>
    <w:basedOn w:val="864"/>
    <w:next w:val="1100"/>
    <w:link w:val="864"/>
    <w:qFormat/>
    <w:rPr>
      <w:rFonts w:ascii="Tahoma" w:hAnsi="Tahoma"/>
      <w:sz w:val="24"/>
      <w:szCs w:val="20"/>
    </w:rPr>
  </w:style>
  <w:style w:type="paragraph" w:styleId="1101">
    <w:name w:val="Char Char Char Char Char Char Char2"/>
    <w:basedOn w:val="864"/>
    <w:next w:val="1101"/>
    <w:link w:val="864"/>
    <w:qFormat/>
    <w:pPr>
      <w:ind w:firstLine="200"/>
      <w:spacing w:line="360" w:lineRule="auto"/>
    </w:pPr>
    <w:rPr>
      <w:rFonts w:eastAsia="仿宋_GB2312"/>
      <w:sz w:val="24"/>
    </w:rPr>
  </w:style>
  <w:style w:type="paragraph" w:styleId="1102">
    <w:name w:val="正文缩进2"/>
    <w:basedOn w:val="864"/>
    <w:next w:val="1102"/>
    <w:link w:val="864"/>
    <w:qFormat/>
    <w:pPr>
      <w:ind w:firstLine="567"/>
      <w:spacing w:line="480" w:lineRule="exact"/>
      <w:widowControl/>
    </w:pPr>
    <w:rPr>
      <w:rFonts w:ascii="宋体"/>
      <w:color w:val="000000"/>
      <w:sz w:val="28"/>
      <w:szCs w:val="20"/>
      <w:lang w:val="zh-CN" w:eastAsia="zh-CN"/>
    </w:rPr>
  </w:style>
  <w:style w:type="paragraph" w:styleId="1103">
    <w:name w:val="Revision"/>
    <w:next w:val="1103"/>
    <w:link w:val="864"/>
    <w:qFormat/>
    <w:rPr>
      <w:sz w:val="21"/>
      <w:szCs w:val="24"/>
      <w:lang w:val="en-US" w:eastAsia="zh-CN" w:bidi="ar-SA"/>
    </w:rPr>
  </w:style>
  <w:style w:type="paragraph" w:styleId="1104">
    <w:name w:val="Char22"/>
    <w:basedOn w:val="864"/>
    <w:next w:val="1104"/>
    <w:link w:val="864"/>
    <w:qFormat/>
    <w:rPr>
      <w:rFonts w:ascii="Tahoma" w:hAnsi="Tahoma"/>
      <w:sz w:val="24"/>
      <w:szCs w:val="20"/>
    </w:rPr>
  </w:style>
  <w:style w:type="paragraph" w:styleId="1105">
    <w:name w:val="Char Char Char Char Char Char Char Char Char Char2"/>
    <w:basedOn w:val="864"/>
    <w:next w:val="1105"/>
    <w:link w:val="864"/>
    <w:qFormat/>
    <w:rPr>
      <w:rFonts w:ascii="宋体" w:hAnsi="宋体" w:cs="Courier New"/>
      <w:sz w:val="32"/>
      <w:szCs w:val="32"/>
    </w:rPr>
  </w:style>
  <w:style w:type="paragraph" w:styleId="1106">
    <w:name w:val="Char2 Char Char Char Char Char Char1"/>
    <w:basedOn w:val="864"/>
    <w:next w:val="1106"/>
    <w:link w:val="864"/>
    <w:qFormat/>
    <w:pPr>
      <w:jc w:val="center"/>
      <w:spacing w:line="400" w:lineRule="exact"/>
      <w:widowControl/>
    </w:pPr>
  </w:style>
  <w:style w:type="character" w:styleId="1107">
    <w:name w:val="页脚 Char"/>
    <w:next w:val="1107"/>
    <w:link w:val="864"/>
    <w:qFormat/>
    <w:rPr>
      <w:rFonts w:ascii="宋体" w:eastAsia="宋体"/>
      <w:sz w:val="18"/>
      <w:lang w:val="en-US" w:eastAsia="zh-CN" w:bidi="ar-SA"/>
    </w:rPr>
  </w:style>
  <w:style w:type="paragraph" w:styleId="1108">
    <w:name w:val="Char Char41"/>
    <w:basedOn w:val="864"/>
    <w:next w:val="1108"/>
    <w:link w:val="864"/>
    <w:qFormat/>
    <w:pPr>
      <w:jc w:val="center"/>
      <w:spacing w:line="400" w:lineRule="exact"/>
      <w:widowControl/>
    </w:pPr>
  </w:style>
  <w:style w:type="character" w:styleId="1109">
    <w:name w:val="批注文字 Char"/>
    <w:next w:val="1109"/>
    <w:link w:val="864"/>
    <w:uiPriority w:val="99"/>
    <w:qFormat/>
    <w:rPr>
      <w:sz w:val="21"/>
      <w:szCs w:val="24"/>
    </w:rPr>
  </w:style>
  <w:style w:type="character" w:styleId="1110">
    <w:name w:val="标题 Char"/>
    <w:next w:val="1110"/>
    <w:link w:val="864"/>
    <w:qFormat/>
    <w:rPr>
      <w:b/>
      <w:sz w:val="32"/>
    </w:rPr>
  </w:style>
  <w:style w:type="paragraph" w:styleId="1111">
    <w:name w:val="图例"/>
    <w:basedOn w:val="864"/>
    <w:next w:val="1111"/>
    <w:link w:val="864"/>
    <w:qFormat/>
    <w:pPr>
      <w:jc w:val="center"/>
      <w:spacing w:before="120" w:after="120" w:line="360" w:lineRule="auto"/>
    </w:pPr>
    <w:rPr>
      <w:rFonts w:eastAsia="仿宋_GB2312"/>
      <w:b/>
      <w:sz w:val="24"/>
      <w:szCs w:val="20"/>
    </w:rPr>
  </w:style>
  <w:style w:type="table" w:styleId="1112">
    <w:name w:val="Table Normal"/>
    <w:next w:val="1112"/>
    <w:link w:val="864"/>
    <w:uiPriority w:val="2"/>
    <w:unhideWhenUsed/>
    <w:qFormat/>
    <w:pPr>
      <w:widowControl w:val="off"/>
    </w:pPr>
    <w:rPr>
      <w:rFonts w:ascii="Calibri" w:hAnsi="Calibri"/>
      <w:sz w:val="22"/>
      <w:szCs w:val="22"/>
      <w:lang w:val="en-US" w:eastAsia="en-US" w:bidi="ar-SA"/>
    </w:rPr>
    <w:tblPr/>
  </w:style>
  <w:style w:type="paragraph" w:styleId="1113">
    <w:name w:val="Table Paragraph"/>
    <w:basedOn w:val="864"/>
    <w:next w:val="1113"/>
    <w:link w:val="864"/>
    <w:uiPriority w:val="1"/>
    <w:qFormat/>
    <w:pPr>
      <w:jc w:val="left"/>
    </w:pPr>
    <w:rPr>
      <w:rFonts w:ascii="宋体" w:hAnsi="宋体" w:cs="宋体"/>
      <w:sz w:val="22"/>
      <w:szCs w:val="22"/>
      <w:lang w:eastAsia="en-US"/>
    </w:rPr>
  </w:style>
  <w:style w:type="paragraph" w:styleId="1114">
    <w:name w:val="成文日期"/>
    <w:basedOn w:val="864"/>
    <w:next w:val="1114"/>
    <w:link w:val="1115"/>
    <w:qFormat/>
    <w:pPr>
      <w:ind w:right="400" w:firstLine="200"/>
      <w:jc w:val="right"/>
      <w:spacing w:line="570" w:lineRule="exact"/>
    </w:pPr>
    <w:rPr>
      <w:rFonts w:ascii="仿宋_GB2312" w:eastAsia="仿宋_GB2312"/>
      <w:sz w:val="32"/>
      <w:szCs w:val="20"/>
    </w:rPr>
  </w:style>
  <w:style w:type="character" w:styleId="1115">
    <w:name w:val="成文日期 Char"/>
    <w:next w:val="1115"/>
    <w:link w:val="1114"/>
    <w:rPr>
      <w:rFonts w:ascii="仿宋_GB2312" w:eastAsia="仿宋_GB2312"/>
      <w:sz w:val="32"/>
    </w:rPr>
  </w:style>
  <w:style w:type="paragraph" w:styleId="1116">
    <w:name w:val="修订"/>
    <w:next w:val="1116"/>
    <w:link w:val="864"/>
    <w:uiPriority w:val="99"/>
    <w:unhideWhenUsed/>
    <w:rPr>
      <w:sz w:val="21"/>
      <w:szCs w:val="24"/>
      <w:lang w:val="en-US" w:eastAsia="zh-CN" w:bidi="ar-SA"/>
    </w:rPr>
  </w:style>
  <w:style w:type="character" w:styleId="1117">
    <w:name w:val="font91"/>
    <w:basedOn w:val="874"/>
    <w:next w:val="1117"/>
    <w:link w:val="864"/>
    <w:rPr>
      <w:rFonts w:hint="eastAsia" w:ascii="宋体" w:hAnsi="宋体" w:eastAsia="宋体" w:cs="宋体"/>
      <w:i w:val="0"/>
      <w:iCs w:val="0"/>
      <w:color w:val="000000"/>
      <w:sz w:val="20"/>
      <w:szCs w:val="20"/>
      <w:u w:val="none"/>
    </w:rPr>
  </w:style>
  <w:style w:type="character" w:styleId="1118">
    <w:name w:val="font61"/>
    <w:basedOn w:val="874"/>
    <w:next w:val="1118"/>
    <w:link w:val="864"/>
    <w:rPr>
      <w:rFonts w:hint="eastAsia" w:ascii="宋体" w:hAnsi="宋体" w:eastAsia="宋体" w:cs="宋体"/>
      <w:i w:val="0"/>
      <w:iCs w:val="0"/>
      <w:color w:val="000000"/>
      <w:sz w:val="20"/>
      <w:szCs w:val="20"/>
      <w:u w:val="none"/>
    </w:rPr>
  </w:style>
  <w:style w:type="paragraph" w:styleId="1119">
    <w:name w:val="p15"/>
    <w:basedOn w:val="864"/>
    <w:next w:val="1119"/>
    <w:link w:val="864"/>
    <w:qFormat/>
    <w:pPr>
      <w:ind w:firstLine="420"/>
      <w:widowControl/>
    </w:pPr>
    <w:rPr>
      <w:szCs w:val="21"/>
    </w:rPr>
  </w:style>
  <w:style w:type="character" w:styleId="1120">
    <w:name w:val="font31"/>
    <w:next w:val="1120"/>
    <w:link w:val="864"/>
    <w:qFormat/>
    <w:rPr>
      <w:rFonts w:hint="eastAsia" w:ascii="宋体" w:hAnsi="宋体" w:eastAsia="宋体" w:cs="宋体"/>
      <w:color w:val="000000"/>
      <w:sz w:val="18"/>
      <w:szCs w:val="18"/>
      <w:u w:val="none"/>
    </w:rPr>
  </w:style>
  <w:style w:type="character" w:styleId="1121">
    <w:name w:val="font41"/>
    <w:basedOn w:val="874"/>
    <w:next w:val="1121"/>
    <w:link w:val="864"/>
    <w:qFormat/>
    <w:rPr>
      <w:rFonts w:hint="eastAsia" w:ascii="宋体" w:hAnsi="宋体" w:eastAsia="宋体" w:cs="宋体"/>
      <w:color w:val="000000"/>
      <w:sz w:val="24"/>
      <w:szCs w:val="24"/>
      <w:u w:val="none"/>
    </w:rPr>
  </w:style>
  <w:style w:type="character" w:styleId="1122">
    <w:name w:val="font51"/>
    <w:basedOn w:val="874"/>
    <w:next w:val="1122"/>
    <w:link w:val="864"/>
    <w:qFormat/>
    <w:rPr>
      <w:rFonts w:hint="eastAsia" w:ascii="宋体" w:hAnsi="宋体" w:eastAsia="宋体" w:cs="宋体"/>
      <w:color w:val="000000"/>
      <w:sz w:val="24"/>
      <w:szCs w:val="24"/>
      <w:u w:val="none"/>
    </w:rPr>
  </w:style>
  <w:style w:type="character" w:styleId="1123">
    <w:name w:val="NormalCharacter1"/>
    <w:next w:val="1123"/>
    <w:link w:val="864"/>
    <w:semiHidden/>
    <w:qFormat/>
  </w:style>
  <w:style w:type="paragraph" w:styleId="1124">
    <w:name w:val="正文首行缩进 21"/>
    <w:next w:val="864"/>
    <w:link w:val="864"/>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25">
    <w:name w:val="正文文本1"/>
    <w:next w:val="1125"/>
    <w:link w:val="864"/>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26">
    <w:name w:val="font11"/>
    <w:basedOn w:val="874"/>
    <w:next w:val="1126"/>
    <w:link w:val="864"/>
    <w:rPr>
      <w:rFonts w:hint="eastAsia" w:ascii="宋体" w:hAnsi="宋体" w:eastAsia="宋体" w:cs="宋体"/>
      <w:i w:val="0"/>
      <w:iCs w:val="0"/>
      <w:color w:val="000000"/>
      <w:sz w:val="22"/>
      <w:szCs w:val="22"/>
      <w:u w:val="none"/>
    </w:rPr>
  </w:style>
  <w:style w:type="paragraph" w:styleId="1127">
    <w:name w:val="普通(网站)1"/>
    <w:basedOn w:val="864"/>
    <w:next w:val="1127"/>
    <w:link w:val="864"/>
    <w:uiPriority w:val="99"/>
    <w:unhideWhenUsed/>
    <w:qFormat/>
    <w:pPr>
      <w:jc w:val="left"/>
      <w:spacing w:before="100" w:beforeAutospacing="1" w:after="100" w:afterAutospacing="1"/>
      <w:widowControl/>
    </w:pPr>
    <w:rPr>
      <w:rFonts w:ascii="宋体" w:hAnsi="宋体" w:cs="宋体"/>
      <w:sz w:val="24"/>
    </w:rPr>
  </w:style>
  <w:style w:type="paragraph" w:styleId="1128">
    <w:name w:val="标题 21"/>
    <w:basedOn w:val="864"/>
    <w:next w:val="1129"/>
    <w:link w:val="864"/>
    <w:qFormat/>
    <w:pPr>
      <w:jc w:val="center"/>
      <w:keepLines/>
      <w:keepNext/>
      <w:spacing w:before="120" w:line="300" w:lineRule="auto"/>
      <w:outlineLvl w:val="1"/>
    </w:pPr>
    <w:rPr>
      <w:rFonts w:ascii="Arial" w:hAnsi="Arial" w:eastAsia="黑体"/>
      <w:b/>
      <w:sz w:val="30"/>
      <w:szCs w:val="20"/>
    </w:rPr>
  </w:style>
  <w:style w:type="paragraph" w:styleId="1129">
    <w:name w:val="正文缩进11"/>
    <w:basedOn w:val="864"/>
    <w:next w:val="1129"/>
    <w:link w:val="864"/>
    <w:uiPriority w:val="99"/>
    <w:qFormat/>
    <w:pPr>
      <w:ind w:firstLine="420"/>
      <w:jc w:val="left"/>
    </w:pPr>
    <w:rPr>
      <w:rFonts w:ascii="宋体"/>
      <w:sz w:val="24"/>
    </w:rPr>
  </w:style>
  <w:style w:type="paragraph" w:styleId="1130">
    <w:name w:val="列表段落1"/>
    <w:basedOn w:val="864"/>
    <w:next w:val="1130"/>
    <w:link w:val="864"/>
    <w:qFormat/>
    <w:pPr>
      <w:ind w:firstLine="420"/>
    </w:pPr>
  </w:style>
  <w:style w:type="character" w:styleId="1131">
    <w:name w:val="font21"/>
    <w:basedOn w:val="874"/>
    <w:next w:val="1131"/>
    <w:link w:val="864"/>
    <w:rPr>
      <w:rFonts w:hint="eastAsia" w:ascii="宋体" w:hAnsi="宋体" w:eastAsia="宋体" w:cs="宋体"/>
      <w:b/>
      <w:bCs/>
      <w:i w:val="0"/>
      <w:iCs w:val="0"/>
      <w:color w:val="000000"/>
      <w:sz w:val="24"/>
      <w:szCs w:val="24"/>
      <w:u w:val="none"/>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2026-05-21T01:56:44Z</dcterms:modified>
</cp:coreProperties>
</file>