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12E603">
      <w:pPr>
        <w:pStyle w:val="16"/>
        <w:rPr>
          <w:rFonts w:hint="default"/>
          <w:sz w:val="22"/>
        </w:rPr>
      </w:pPr>
      <w:r>
        <w:rPr>
          <w:sz w:val="52"/>
          <w:szCs w:val="52"/>
        </w:rPr>
        <w:t>智能制造业财融合虚拟仿真实训平台</w:t>
      </w:r>
    </w:p>
    <w:p w14:paraId="43834024">
      <w:pPr>
        <w:pStyle w:val="16"/>
        <w:rPr>
          <w:rFonts w:hint="default"/>
        </w:rPr>
      </w:pPr>
    </w:p>
    <w:p w14:paraId="3FD88B04">
      <w:pPr>
        <w:pStyle w:val="16"/>
        <w:rPr>
          <w:rFonts w:hint="default"/>
        </w:rPr>
      </w:pPr>
    </w:p>
    <w:p w14:paraId="7F0DEFAA">
      <w:pPr>
        <w:spacing w:line="360" w:lineRule="auto"/>
        <w:jc w:val="center"/>
        <w:rPr>
          <w:rFonts w:eastAsia="宋体" w:cs="宋体"/>
          <w:b/>
          <w:color w:val="000000"/>
          <w:sz w:val="72"/>
          <w:szCs w:val="72"/>
        </w:rPr>
      </w:pPr>
      <w:r>
        <w:rPr>
          <w:rFonts w:hint="eastAsia" w:eastAsia="宋体" w:cs="宋体"/>
          <w:b/>
          <w:color w:val="000000"/>
          <w:sz w:val="72"/>
          <w:szCs w:val="72"/>
        </w:rPr>
        <w:t>公开招标文件</w:t>
      </w:r>
    </w:p>
    <w:p w14:paraId="6D7C536F">
      <w:pPr>
        <w:spacing w:line="360" w:lineRule="auto"/>
        <w:jc w:val="center"/>
        <w:rPr>
          <w:rFonts w:eastAsia="宋体" w:cs="宋体"/>
          <w:b/>
          <w:color w:val="000000"/>
          <w:sz w:val="44"/>
          <w:szCs w:val="44"/>
        </w:rPr>
      </w:pPr>
      <w:r>
        <w:rPr>
          <w:rFonts w:hint="eastAsia" w:eastAsia="宋体" w:cs="宋体"/>
          <w:b/>
          <w:color w:val="000000"/>
          <w:sz w:val="44"/>
          <w:szCs w:val="44"/>
        </w:rPr>
        <w:t>（资格后审）</w:t>
      </w:r>
    </w:p>
    <w:p w14:paraId="43EC1ED3">
      <w:pPr>
        <w:spacing w:line="360" w:lineRule="auto"/>
        <w:jc w:val="center"/>
        <w:rPr>
          <w:rFonts w:hint="eastAsia" w:eastAsia="宋体" w:cs="宋体"/>
          <w:b/>
          <w:color w:val="000000"/>
          <w:sz w:val="30"/>
          <w:szCs w:val="30"/>
          <w:lang w:eastAsia="zh-CN"/>
        </w:rPr>
      </w:pPr>
      <w:r>
        <w:rPr>
          <w:rFonts w:hint="eastAsia" w:eastAsia="宋体" w:cs="宋体"/>
          <w:b/>
          <w:color w:val="000000"/>
          <w:sz w:val="30"/>
          <w:szCs w:val="30"/>
        </w:rPr>
        <w:t>项目编号：</w:t>
      </w:r>
      <w:r>
        <w:rPr>
          <w:rFonts w:hint="eastAsia" w:eastAsia="宋体" w:cs="宋体"/>
          <w:b/>
          <w:color w:val="000000"/>
          <w:sz w:val="30"/>
          <w:szCs w:val="30"/>
          <w:lang w:eastAsia="zh-CN"/>
        </w:rPr>
        <w:t>JSZC-320690-NTJC-G2026-0010</w:t>
      </w:r>
    </w:p>
    <w:p w14:paraId="474FE66B">
      <w:pPr>
        <w:pStyle w:val="16"/>
        <w:rPr>
          <w:rFonts w:hint="default"/>
        </w:rPr>
      </w:pPr>
    </w:p>
    <w:p w14:paraId="4F54B510">
      <w:pPr>
        <w:pStyle w:val="16"/>
        <w:rPr>
          <w:rFonts w:hint="default"/>
        </w:rPr>
      </w:pPr>
      <w:r>
        <w:rPr>
          <w:sz w:val="36"/>
        </w:rPr>
        <w:tab/>
      </w:r>
    </w:p>
    <w:p w14:paraId="13148488">
      <w:pPr>
        <w:spacing w:line="360" w:lineRule="auto"/>
        <w:ind w:firstLine="602"/>
        <w:rPr>
          <w:rFonts w:eastAsia="宋体" w:cs="宋体"/>
          <w:b/>
          <w:color w:val="000000"/>
          <w:sz w:val="30"/>
          <w:szCs w:val="30"/>
        </w:rPr>
      </w:pPr>
    </w:p>
    <w:p w14:paraId="40F6D5B9">
      <w:pPr>
        <w:pStyle w:val="19"/>
        <w:spacing w:line="360" w:lineRule="auto"/>
        <w:ind w:firstLine="643"/>
        <w:jc w:val="center"/>
        <w:rPr>
          <w:rFonts w:ascii="Times New Roman" w:eastAsia="宋体" w:cs="宋体"/>
          <w:b/>
          <w:color w:val="000000"/>
          <w:sz w:val="32"/>
          <w:szCs w:val="32"/>
        </w:rPr>
      </w:pPr>
    </w:p>
    <w:p w14:paraId="4CF88ADB">
      <w:pPr>
        <w:pStyle w:val="19"/>
        <w:spacing w:line="360" w:lineRule="auto"/>
        <w:ind w:firstLine="643" w:firstLineChars="200"/>
        <w:rPr>
          <w:rFonts w:ascii="Times New Roman" w:eastAsia="宋体" w:cs="宋体"/>
          <w:b/>
          <w:color w:val="000000"/>
          <w:sz w:val="32"/>
          <w:szCs w:val="32"/>
        </w:rPr>
      </w:pPr>
    </w:p>
    <w:p w14:paraId="5B953546">
      <w:pPr>
        <w:pStyle w:val="19"/>
        <w:spacing w:line="360" w:lineRule="auto"/>
        <w:ind w:firstLine="643" w:firstLineChars="200"/>
        <w:rPr>
          <w:rFonts w:ascii="Times New Roman" w:eastAsia="宋体" w:cs="宋体"/>
          <w:b/>
          <w:color w:val="000000"/>
          <w:sz w:val="32"/>
          <w:szCs w:val="32"/>
        </w:rPr>
      </w:pPr>
    </w:p>
    <w:p w14:paraId="1E357EF1">
      <w:pPr>
        <w:pStyle w:val="19"/>
        <w:spacing w:line="360" w:lineRule="auto"/>
        <w:ind w:firstLine="643" w:firstLineChars="200"/>
        <w:rPr>
          <w:rFonts w:ascii="Times New Roman" w:eastAsia="宋体" w:cs="宋体"/>
          <w:b/>
          <w:color w:val="000000"/>
          <w:sz w:val="32"/>
          <w:szCs w:val="32"/>
        </w:rPr>
      </w:pPr>
    </w:p>
    <w:p w14:paraId="68205CB5">
      <w:pPr>
        <w:pStyle w:val="19"/>
        <w:spacing w:line="360" w:lineRule="auto"/>
        <w:ind w:firstLine="643" w:firstLineChars="200"/>
        <w:rPr>
          <w:rFonts w:ascii="Times New Roman" w:eastAsia="宋体" w:cs="宋体"/>
          <w:b/>
          <w:color w:val="000000"/>
          <w:sz w:val="32"/>
          <w:szCs w:val="32"/>
        </w:rPr>
      </w:pPr>
    </w:p>
    <w:p w14:paraId="29897D96">
      <w:pPr>
        <w:pStyle w:val="19"/>
        <w:spacing w:line="360" w:lineRule="auto"/>
        <w:ind w:firstLine="643" w:firstLineChars="200"/>
        <w:rPr>
          <w:rFonts w:ascii="Times New Roman" w:eastAsia="宋体" w:cs="宋体"/>
          <w:b/>
          <w:color w:val="000000"/>
          <w:sz w:val="32"/>
          <w:szCs w:val="32"/>
        </w:rPr>
      </w:pPr>
    </w:p>
    <w:p w14:paraId="38AD4FAE">
      <w:pPr>
        <w:pStyle w:val="19"/>
        <w:spacing w:line="360" w:lineRule="auto"/>
        <w:ind w:firstLine="643" w:firstLineChars="200"/>
        <w:rPr>
          <w:rFonts w:ascii="Times New Roman" w:eastAsia="宋体" w:cs="宋体"/>
          <w:b/>
          <w:color w:val="000000"/>
          <w:sz w:val="32"/>
          <w:szCs w:val="32"/>
        </w:rPr>
      </w:pPr>
      <w:r>
        <w:rPr>
          <w:rFonts w:hint="eastAsia" w:ascii="Times New Roman" w:eastAsia="宋体" w:cs="宋体"/>
          <w:b/>
          <w:color w:val="000000"/>
          <w:sz w:val="32"/>
          <w:szCs w:val="32"/>
        </w:rPr>
        <w:t>采购单位：江苏航运职业技术学院</w:t>
      </w:r>
    </w:p>
    <w:p w14:paraId="5C7E45A7">
      <w:pPr>
        <w:spacing w:line="360" w:lineRule="auto"/>
        <w:ind w:firstLine="643" w:firstLineChars="200"/>
        <w:rPr>
          <w:rFonts w:eastAsia="宋体" w:cs="宋体"/>
          <w:b/>
          <w:color w:val="000000"/>
          <w:sz w:val="32"/>
          <w:szCs w:val="32"/>
        </w:rPr>
      </w:pPr>
      <w:r>
        <w:rPr>
          <w:rFonts w:hint="eastAsia" w:eastAsia="宋体" w:cs="宋体"/>
          <w:b/>
          <w:color w:val="000000"/>
          <w:sz w:val="32"/>
          <w:szCs w:val="32"/>
        </w:rPr>
        <w:t>代理机构：南通建辰工程咨询有限公司</w:t>
      </w:r>
    </w:p>
    <w:p w14:paraId="08272079">
      <w:pPr>
        <w:spacing w:line="360" w:lineRule="auto"/>
        <w:ind w:firstLine="643" w:firstLineChars="200"/>
        <w:rPr>
          <w:rFonts w:eastAsia="宋体" w:cs="宋体"/>
          <w:b/>
          <w:color w:val="000000"/>
          <w:sz w:val="32"/>
          <w:szCs w:val="32"/>
        </w:rPr>
        <w:sectPr>
          <w:headerReference r:id="rId4" w:type="first"/>
          <w:footerReference r:id="rId7" w:type="first"/>
          <w:headerReference r:id="rId3" w:type="default"/>
          <w:footerReference r:id="rId5" w:type="default"/>
          <w:footerReference r:id="rId6" w:type="even"/>
          <w:pgSz w:w="11906" w:h="16838"/>
          <w:pgMar w:top="1588" w:right="1418" w:bottom="1418" w:left="1701" w:header="851" w:footer="964" w:gutter="0"/>
          <w:pgNumType w:start="1"/>
          <w:cols w:space="1701" w:num="1"/>
          <w:titlePg/>
          <w:docGrid w:linePitch="360" w:charSpace="0"/>
        </w:sectPr>
      </w:pPr>
      <w:r>
        <w:rPr>
          <w:rFonts w:hint="eastAsia" w:eastAsia="宋体" w:cs="宋体"/>
          <w:b/>
          <w:color w:val="000000"/>
          <w:sz w:val="32"/>
          <w:szCs w:val="32"/>
        </w:rPr>
        <w:t>日    期：二○二六年</w:t>
      </w:r>
      <w:r>
        <w:rPr>
          <w:rFonts w:hint="eastAsia" w:eastAsia="宋体" w:cs="宋体"/>
          <w:b/>
          <w:color w:val="000000"/>
          <w:sz w:val="32"/>
          <w:szCs w:val="32"/>
          <w:lang w:eastAsia="zh-CN"/>
        </w:rPr>
        <w:t>五</w:t>
      </w:r>
      <w:r>
        <w:rPr>
          <w:rFonts w:hint="eastAsia" w:eastAsia="宋体" w:cs="宋体"/>
          <w:b/>
          <w:color w:val="000000"/>
          <w:sz w:val="32"/>
          <w:szCs w:val="32"/>
        </w:rPr>
        <w:t>月</w:t>
      </w:r>
    </w:p>
    <w:p w14:paraId="271B27D4">
      <w:pPr>
        <w:pStyle w:val="20"/>
        <w:spacing w:line="480" w:lineRule="auto"/>
        <w:rPr>
          <w:rFonts w:ascii="Times New Roman" w:hAnsi="Times New Roman"/>
          <w:color w:val="000000"/>
        </w:rPr>
      </w:pPr>
      <w:r>
        <w:rPr>
          <w:rFonts w:hint="eastAsia" w:ascii="Times New Roman" w:hAnsi="Times New Roman"/>
          <w:color w:val="000000"/>
        </w:rPr>
        <w:t>目  录</w:t>
      </w:r>
    </w:p>
    <w:p w14:paraId="477DE5DA">
      <w:pPr>
        <w:pStyle w:val="19"/>
        <w:spacing w:line="480" w:lineRule="auto"/>
        <w:ind w:firstLine="640" w:firstLineChars="200"/>
        <w:rPr>
          <w:rFonts w:ascii="Times New Roman" w:eastAsia="宋体" w:cs="宋体"/>
          <w:bCs/>
          <w:color w:val="000000"/>
          <w:sz w:val="32"/>
          <w:szCs w:val="32"/>
        </w:rPr>
      </w:pPr>
    </w:p>
    <w:p w14:paraId="781E6B71">
      <w:pPr>
        <w:pStyle w:val="19"/>
        <w:spacing w:line="480" w:lineRule="auto"/>
        <w:ind w:firstLine="640" w:firstLineChars="200"/>
        <w:rPr>
          <w:rFonts w:ascii="Times New Roman" w:eastAsia="宋体" w:cs="宋体"/>
          <w:bCs/>
          <w:color w:val="000000"/>
          <w:sz w:val="32"/>
          <w:szCs w:val="32"/>
        </w:rPr>
      </w:pPr>
      <w:r>
        <w:rPr>
          <w:rFonts w:hint="eastAsia" w:ascii="Times New Roman" w:eastAsia="宋体" w:cs="宋体"/>
          <w:bCs/>
          <w:color w:val="000000"/>
          <w:sz w:val="32"/>
          <w:szCs w:val="32"/>
        </w:rPr>
        <w:t>第一章  招标公告</w:t>
      </w:r>
    </w:p>
    <w:p w14:paraId="1CF5BA4B">
      <w:pPr>
        <w:pStyle w:val="19"/>
        <w:spacing w:line="480" w:lineRule="auto"/>
        <w:ind w:firstLine="640" w:firstLineChars="200"/>
        <w:rPr>
          <w:rFonts w:ascii="Times New Roman" w:eastAsia="宋体" w:cs="宋体"/>
          <w:bCs/>
          <w:color w:val="000000"/>
          <w:sz w:val="32"/>
          <w:szCs w:val="32"/>
        </w:rPr>
      </w:pPr>
      <w:r>
        <w:rPr>
          <w:rFonts w:hint="eastAsia" w:ascii="Times New Roman" w:eastAsia="宋体" w:cs="宋体"/>
          <w:bCs/>
          <w:color w:val="000000"/>
          <w:sz w:val="32"/>
          <w:szCs w:val="32"/>
        </w:rPr>
        <w:t>第二章  投标人须知</w:t>
      </w:r>
    </w:p>
    <w:p w14:paraId="59EC3192">
      <w:pPr>
        <w:pStyle w:val="19"/>
        <w:spacing w:line="480" w:lineRule="auto"/>
        <w:ind w:firstLine="640" w:firstLineChars="200"/>
        <w:rPr>
          <w:rFonts w:ascii="Times New Roman" w:eastAsia="宋体" w:cs="宋体"/>
          <w:bCs/>
          <w:color w:val="000000"/>
          <w:sz w:val="32"/>
          <w:szCs w:val="32"/>
        </w:rPr>
      </w:pPr>
      <w:r>
        <w:rPr>
          <w:rFonts w:hint="eastAsia" w:ascii="Times New Roman" w:eastAsia="宋体" w:cs="宋体"/>
          <w:bCs/>
          <w:color w:val="000000"/>
          <w:sz w:val="32"/>
          <w:szCs w:val="32"/>
        </w:rPr>
        <w:t>第三章  项目需求</w:t>
      </w:r>
    </w:p>
    <w:p w14:paraId="27ABDBAF">
      <w:pPr>
        <w:pStyle w:val="19"/>
        <w:spacing w:line="480" w:lineRule="auto"/>
        <w:ind w:firstLine="640" w:firstLineChars="200"/>
        <w:rPr>
          <w:rFonts w:ascii="Times New Roman" w:eastAsia="宋体" w:cs="宋体"/>
          <w:bCs/>
          <w:color w:val="000000"/>
          <w:sz w:val="32"/>
          <w:szCs w:val="32"/>
        </w:rPr>
      </w:pPr>
      <w:r>
        <w:rPr>
          <w:rFonts w:hint="eastAsia" w:ascii="Times New Roman" w:eastAsia="宋体" w:cs="宋体"/>
          <w:bCs/>
          <w:color w:val="000000"/>
          <w:sz w:val="32"/>
          <w:szCs w:val="32"/>
        </w:rPr>
        <w:t>第四章  评审方法和程序</w:t>
      </w:r>
    </w:p>
    <w:p w14:paraId="6D19580A">
      <w:pPr>
        <w:pStyle w:val="19"/>
        <w:spacing w:line="480" w:lineRule="auto"/>
        <w:ind w:firstLine="640" w:firstLineChars="200"/>
        <w:rPr>
          <w:rFonts w:ascii="Times New Roman" w:eastAsia="宋体" w:cs="宋体"/>
          <w:bCs/>
          <w:color w:val="000000"/>
          <w:sz w:val="32"/>
          <w:szCs w:val="32"/>
        </w:rPr>
      </w:pPr>
      <w:r>
        <w:rPr>
          <w:rFonts w:hint="eastAsia" w:ascii="Times New Roman" w:eastAsia="宋体" w:cs="宋体"/>
          <w:bCs/>
          <w:color w:val="000000"/>
          <w:sz w:val="32"/>
          <w:szCs w:val="32"/>
        </w:rPr>
        <w:t>第五章  合同签订与验收付款</w:t>
      </w:r>
    </w:p>
    <w:p w14:paraId="76109356">
      <w:pPr>
        <w:pStyle w:val="19"/>
        <w:spacing w:line="480" w:lineRule="auto"/>
        <w:ind w:firstLine="640" w:firstLineChars="200"/>
        <w:rPr>
          <w:rFonts w:ascii="Times New Roman" w:eastAsia="宋体" w:cs="宋体"/>
          <w:bCs/>
          <w:color w:val="000000"/>
          <w:sz w:val="32"/>
          <w:szCs w:val="32"/>
        </w:rPr>
      </w:pPr>
      <w:r>
        <w:rPr>
          <w:rFonts w:hint="eastAsia" w:ascii="Times New Roman" w:eastAsia="宋体" w:cs="宋体"/>
          <w:bCs/>
          <w:color w:val="000000"/>
          <w:sz w:val="32"/>
          <w:szCs w:val="32"/>
        </w:rPr>
        <w:t>第六章  合同授予</w:t>
      </w:r>
    </w:p>
    <w:p w14:paraId="640292CA">
      <w:pPr>
        <w:pStyle w:val="19"/>
        <w:spacing w:line="480" w:lineRule="auto"/>
        <w:ind w:firstLine="640" w:firstLineChars="200"/>
        <w:rPr>
          <w:rFonts w:ascii="Times New Roman" w:eastAsia="宋体" w:cs="宋体"/>
          <w:bCs/>
          <w:color w:val="000000"/>
          <w:sz w:val="32"/>
          <w:szCs w:val="32"/>
        </w:rPr>
      </w:pPr>
      <w:r>
        <w:rPr>
          <w:rFonts w:hint="eastAsia" w:ascii="Times New Roman" w:eastAsia="宋体" w:cs="宋体"/>
          <w:bCs/>
          <w:color w:val="000000"/>
          <w:sz w:val="32"/>
          <w:szCs w:val="32"/>
        </w:rPr>
        <w:t>第七章  质疑与投诉</w:t>
      </w:r>
    </w:p>
    <w:p w14:paraId="6FB8FEB8">
      <w:pPr>
        <w:pStyle w:val="19"/>
        <w:spacing w:line="480" w:lineRule="auto"/>
        <w:ind w:firstLine="640" w:firstLineChars="200"/>
        <w:rPr>
          <w:rFonts w:ascii="Times New Roman" w:eastAsia="宋体" w:cs="宋体"/>
          <w:bCs/>
          <w:color w:val="000000"/>
          <w:sz w:val="32"/>
          <w:szCs w:val="32"/>
        </w:rPr>
      </w:pPr>
      <w:r>
        <w:rPr>
          <w:rFonts w:hint="eastAsia" w:ascii="Times New Roman" w:eastAsia="宋体" w:cs="宋体"/>
          <w:bCs/>
          <w:color w:val="000000"/>
          <w:sz w:val="32"/>
          <w:szCs w:val="32"/>
        </w:rPr>
        <w:t>第八章  投标文件组成及格式</w:t>
      </w:r>
    </w:p>
    <w:p w14:paraId="3E6E7732">
      <w:pPr>
        <w:pStyle w:val="19"/>
        <w:spacing w:line="480" w:lineRule="auto"/>
        <w:ind w:firstLine="560" w:firstLineChars="200"/>
        <w:rPr>
          <w:rFonts w:ascii="Times New Roman"/>
          <w:color w:val="000000"/>
        </w:rPr>
      </w:pPr>
    </w:p>
    <w:p w14:paraId="6FDDC003">
      <w:pPr>
        <w:tabs>
          <w:tab w:val="left" w:pos="1050"/>
          <w:tab w:val="right" w:leader="dot" w:pos="9402"/>
        </w:tabs>
        <w:spacing w:line="360" w:lineRule="auto"/>
        <w:jc w:val="center"/>
        <w:outlineLvl w:val="0"/>
        <w:rPr>
          <w:rFonts w:eastAsia="宋体" w:cs="宋体"/>
          <w:b/>
          <w:color w:val="000000"/>
          <w:sz w:val="36"/>
          <w:szCs w:val="36"/>
        </w:rPr>
      </w:pPr>
      <w:bookmarkStart w:id="0" w:name="_Toc363573853"/>
    </w:p>
    <w:p w14:paraId="7496B0E6">
      <w:pPr>
        <w:tabs>
          <w:tab w:val="left" w:pos="1050"/>
          <w:tab w:val="right" w:leader="dot" w:pos="9402"/>
        </w:tabs>
        <w:spacing w:line="360" w:lineRule="auto"/>
        <w:jc w:val="center"/>
        <w:outlineLvl w:val="0"/>
        <w:rPr>
          <w:rFonts w:eastAsia="宋体" w:cs="宋体"/>
          <w:b/>
          <w:color w:val="000000"/>
          <w:sz w:val="36"/>
          <w:szCs w:val="36"/>
        </w:rPr>
      </w:pPr>
    </w:p>
    <w:p w14:paraId="21105185">
      <w:pPr>
        <w:rPr>
          <w:rFonts w:eastAsia="宋体" w:cs="宋体"/>
          <w:b/>
          <w:color w:val="000000"/>
          <w:sz w:val="36"/>
          <w:szCs w:val="36"/>
        </w:rPr>
      </w:pPr>
      <w:r>
        <w:rPr>
          <w:rFonts w:hint="eastAsia" w:eastAsia="宋体" w:cs="宋体"/>
          <w:b/>
          <w:color w:val="000000"/>
          <w:sz w:val="36"/>
          <w:szCs w:val="36"/>
        </w:rPr>
        <w:br w:type="page"/>
      </w:r>
    </w:p>
    <w:p w14:paraId="404D2350">
      <w:pPr>
        <w:tabs>
          <w:tab w:val="left" w:pos="1050"/>
          <w:tab w:val="right" w:leader="dot" w:pos="9402"/>
        </w:tabs>
        <w:spacing w:line="360" w:lineRule="auto"/>
        <w:jc w:val="center"/>
        <w:outlineLvl w:val="0"/>
        <w:rPr>
          <w:rFonts w:eastAsia="宋体" w:cs="宋体"/>
          <w:b/>
          <w:color w:val="000000"/>
          <w:sz w:val="36"/>
          <w:szCs w:val="36"/>
        </w:rPr>
      </w:pPr>
      <w:r>
        <w:rPr>
          <w:rFonts w:hint="eastAsia" w:eastAsia="宋体" w:cs="宋体"/>
          <w:b/>
          <w:color w:val="000000"/>
          <w:sz w:val="36"/>
          <w:szCs w:val="36"/>
        </w:rPr>
        <w:t>第一章  招标公告</w:t>
      </w:r>
      <w:bookmarkEnd w:id="0"/>
    </w:p>
    <w:p w14:paraId="03DF7C9D">
      <w:pPr>
        <w:tabs>
          <w:tab w:val="left" w:pos="1050"/>
          <w:tab w:val="right" w:leader="dot" w:pos="9402"/>
        </w:tabs>
        <w:spacing w:line="360" w:lineRule="auto"/>
        <w:jc w:val="center"/>
        <w:outlineLvl w:val="0"/>
        <w:rPr>
          <w:rFonts w:eastAsia="宋体" w:cs="宋体"/>
          <w:color w:val="000000"/>
          <w:sz w:val="24"/>
          <w:szCs w:val="24"/>
        </w:rPr>
      </w:pPr>
    </w:p>
    <w:p w14:paraId="07FCDE98">
      <w:pPr>
        <w:pBdr>
          <w:top w:val="single" w:color="000000" w:sz="4" w:space="1"/>
          <w:left w:val="single" w:color="000000" w:sz="4" w:space="4"/>
          <w:bottom w:val="single" w:color="000000" w:sz="4" w:space="1"/>
          <w:right w:val="single" w:color="000000" w:sz="4" w:space="4"/>
        </w:pBdr>
        <w:spacing w:line="360" w:lineRule="auto"/>
        <w:ind w:firstLine="480" w:firstLineChars="200"/>
        <w:rPr>
          <w:rFonts w:eastAsia="宋体" w:cs="宋体"/>
          <w:bCs/>
          <w:color w:val="000000"/>
          <w:sz w:val="24"/>
          <w:szCs w:val="24"/>
        </w:rPr>
      </w:pPr>
      <w:r>
        <w:rPr>
          <w:rFonts w:hint="eastAsia" w:eastAsia="宋体" w:cs="宋体"/>
          <w:bCs/>
          <w:color w:val="000000"/>
          <w:sz w:val="24"/>
          <w:szCs w:val="24"/>
        </w:rPr>
        <w:t>项目概况</w:t>
      </w:r>
    </w:p>
    <w:p w14:paraId="17DDC2E6">
      <w:pPr>
        <w:pBdr>
          <w:top w:val="single" w:color="000000" w:sz="4" w:space="1"/>
          <w:left w:val="single" w:color="000000" w:sz="4" w:space="4"/>
          <w:bottom w:val="single" w:color="000000" w:sz="4" w:space="1"/>
          <w:right w:val="single" w:color="000000" w:sz="4" w:space="4"/>
        </w:pBdr>
        <w:spacing w:line="360" w:lineRule="auto"/>
        <w:ind w:firstLine="480" w:firstLineChars="200"/>
        <w:rPr>
          <w:rFonts w:eastAsia="宋体" w:cs="宋体"/>
          <w:bCs/>
          <w:color w:val="000000"/>
          <w:sz w:val="24"/>
          <w:szCs w:val="24"/>
        </w:rPr>
      </w:pPr>
      <w:r>
        <w:rPr>
          <w:rFonts w:hint="eastAsia" w:eastAsia="宋体" w:cs="宋体"/>
          <w:bCs/>
          <w:color w:val="000000"/>
          <w:sz w:val="24"/>
          <w:szCs w:val="24"/>
          <w:u w:val="single"/>
        </w:rPr>
        <w:t>智能制造业财融合虚拟仿真实训平台</w:t>
      </w:r>
      <w:r>
        <w:rPr>
          <w:rFonts w:hint="eastAsia" w:eastAsia="宋体" w:cs="宋体"/>
          <w:bCs/>
          <w:color w:val="000000"/>
          <w:sz w:val="24"/>
          <w:szCs w:val="24"/>
        </w:rPr>
        <w:t>的潜在投标人应在</w:t>
      </w:r>
      <w:r>
        <w:rPr>
          <w:rFonts w:hint="eastAsia" w:eastAsia="宋体"/>
          <w:bCs/>
          <w:color w:val="000000"/>
          <w:sz w:val="24"/>
          <w:szCs w:val="24"/>
          <w:u w:val="single"/>
        </w:rPr>
        <w:t>江苏政府采购网苏采云系统</w:t>
      </w:r>
      <w:r>
        <w:rPr>
          <w:rFonts w:hint="eastAsia" w:eastAsia="宋体" w:cs="宋体"/>
          <w:bCs/>
          <w:color w:val="000000"/>
          <w:sz w:val="24"/>
          <w:szCs w:val="24"/>
        </w:rPr>
        <w:t>获取招标文件，并于</w:t>
      </w:r>
      <w:r>
        <w:rPr>
          <w:rFonts w:hint="eastAsia" w:eastAsia="宋体" w:cs="宋体"/>
          <w:bCs/>
          <w:color w:val="000000"/>
          <w:sz w:val="24"/>
          <w:szCs w:val="24"/>
          <w:u w:val="single"/>
          <w:lang w:eastAsia="zh-CN"/>
        </w:rPr>
        <w:t>2026年0</w:t>
      </w:r>
      <w:r>
        <w:rPr>
          <w:rFonts w:hint="eastAsia" w:eastAsia="宋体" w:cs="宋体"/>
          <w:bCs/>
          <w:color w:val="000000"/>
          <w:sz w:val="24"/>
          <w:szCs w:val="24"/>
          <w:u w:val="single"/>
          <w:lang w:val="en-US" w:eastAsia="zh-CN"/>
        </w:rPr>
        <w:t>6</w:t>
      </w:r>
      <w:r>
        <w:rPr>
          <w:rFonts w:hint="eastAsia" w:eastAsia="宋体" w:cs="宋体"/>
          <w:bCs/>
          <w:color w:val="000000"/>
          <w:sz w:val="24"/>
          <w:szCs w:val="24"/>
          <w:u w:val="single"/>
          <w:lang w:eastAsia="zh-CN"/>
        </w:rPr>
        <w:t>月</w:t>
      </w:r>
      <w:r>
        <w:rPr>
          <w:rFonts w:hint="eastAsia" w:eastAsia="宋体" w:cs="宋体"/>
          <w:bCs/>
          <w:color w:val="000000"/>
          <w:sz w:val="24"/>
          <w:szCs w:val="24"/>
          <w:u w:val="single"/>
          <w:lang w:val="en-US" w:eastAsia="zh-CN"/>
        </w:rPr>
        <w:t>17</w:t>
      </w:r>
      <w:r>
        <w:rPr>
          <w:rFonts w:hint="eastAsia" w:eastAsia="宋体" w:cs="宋体"/>
          <w:bCs/>
          <w:color w:val="000000"/>
          <w:sz w:val="24"/>
          <w:szCs w:val="24"/>
          <w:u w:val="single"/>
        </w:rPr>
        <w:t>日09时30分</w:t>
      </w:r>
      <w:r>
        <w:rPr>
          <w:rFonts w:hint="eastAsia" w:eastAsia="宋体" w:cs="宋体"/>
          <w:bCs/>
          <w:color w:val="000000"/>
          <w:sz w:val="24"/>
          <w:szCs w:val="24"/>
        </w:rPr>
        <w:t>（北京时间）前递交投标文件。</w:t>
      </w:r>
    </w:p>
    <w:p w14:paraId="55920103">
      <w:pPr>
        <w:spacing w:line="360" w:lineRule="auto"/>
        <w:ind w:firstLine="480" w:firstLineChars="200"/>
        <w:contextualSpacing/>
        <w:rPr>
          <w:rFonts w:eastAsia="宋体" w:cs="宋体"/>
          <w:bCs/>
          <w:color w:val="000000"/>
          <w:sz w:val="24"/>
          <w:szCs w:val="24"/>
        </w:rPr>
      </w:pPr>
      <w:r>
        <w:rPr>
          <w:rFonts w:hint="eastAsia" w:eastAsia="宋体" w:cs="宋体"/>
          <w:bCs/>
          <w:color w:val="000000"/>
          <w:sz w:val="24"/>
          <w:szCs w:val="24"/>
        </w:rPr>
        <w:t>一、</w:t>
      </w:r>
      <w:r>
        <w:rPr>
          <w:rFonts w:hint="eastAsia" w:eastAsia="宋体" w:cs="宋体"/>
          <w:b/>
          <w:bCs/>
          <w:color w:val="000000"/>
          <w:sz w:val="24"/>
          <w:szCs w:val="24"/>
        </w:rPr>
        <w:t>项目基本情况</w:t>
      </w:r>
    </w:p>
    <w:p w14:paraId="015E1D00">
      <w:pPr>
        <w:spacing w:line="360" w:lineRule="auto"/>
        <w:ind w:firstLine="480" w:firstLineChars="200"/>
        <w:jc w:val="left"/>
        <w:rPr>
          <w:rFonts w:hint="eastAsia" w:eastAsia="宋体" w:cs="宋体"/>
          <w:color w:val="000000"/>
          <w:sz w:val="24"/>
          <w:szCs w:val="24"/>
          <w:lang w:eastAsia="zh-CN"/>
        </w:rPr>
      </w:pPr>
      <w:r>
        <w:rPr>
          <w:rFonts w:hint="eastAsia" w:eastAsia="宋体" w:cs="宋体"/>
          <w:color w:val="000000"/>
          <w:sz w:val="24"/>
          <w:szCs w:val="24"/>
        </w:rPr>
        <w:t>项目编号：</w:t>
      </w:r>
      <w:r>
        <w:rPr>
          <w:rFonts w:hint="eastAsia" w:eastAsia="宋体" w:cs="宋体"/>
          <w:color w:val="000000"/>
          <w:sz w:val="24"/>
          <w:szCs w:val="24"/>
          <w:lang w:eastAsia="zh-CN"/>
        </w:rPr>
        <w:t>JSZC-320690-NTJC-G2026-0010</w:t>
      </w:r>
    </w:p>
    <w:p w14:paraId="10A2BF73">
      <w:pPr>
        <w:spacing w:line="360" w:lineRule="auto"/>
        <w:ind w:firstLine="480" w:firstLineChars="200"/>
        <w:jc w:val="left"/>
        <w:rPr>
          <w:rFonts w:eastAsia="宋体" w:cs="宋体"/>
          <w:color w:val="000000"/>
          <w:sz w:val="24"/>
          <w:szCs w:val="24"/>
        </w:rPr>
      </w:pPr>
      <w:r>
        <w:rPr>
          <w:rFonts w:hint="eastAsia" w:eastAsia="宋体" w:cs="宋体"/>
          <w:color w:val="000000"/>
          <w:sz w:val="24"/>
          <w:szCs w:val="24"/>
        </w:rPr>
        <w:t>项目名称：智能制造业财融合虚拟仿真实训平台</w:t>
      </w:r>
    </w:p>
    <w:p w14:paraId="53F2636E">
      <w:pPr>
        <w:spacing w:line="360" w:lineRule="auto"/>
        <w:ind w:firstLine="480" w:firstLineChars="200"/>
        <w:jc w:val="left"/>
        <w:rPr>
          <w:rFonts w:eastAsia="宋体" w:cs="宋体"/>
          <w:color w:val="000000"/>
          <w:sz w:val="24"/>
          <w:szCs w:val="24"/>
        </w:rPr>
      </w:pPr>
      <w:bookmarkStart w:id="1" w:name="_Toc387526169"/>
      <w:bookmarkStart w:id="2" w:name="_Toc387526273"/>
      <w:bookmarkStart w:id="3" w:name="_Toc387526365"/>
      <w:bookmarkStart w:id="4" w:name="_Toc20597"/>
      <w:r>
        <w:rPr>
          <w:rFonts w:hint="eastAsia" w:eastAsia="宋体" w:cs="宋体"/>
          <w:color w:val="000000"/>
          <w:sz w:val="24"/>
          <w:szCs w:val="24"/>
        </w:rPr>
        <w:t>项目类型：货物</w:t>
      </w:r>
    </w:p>
    <w:p w14:paraId="1808238F">
      <w:pPr>
        <w:spacing w:line="360" w:lineRule="auto"/>
        <w:ind w:firstLine="480" w:firstLineChars="200"/>
        <w:jc w:val="left"/>
        <w:rPr>
          <w:rFonts w:eastAsia="宋体" w:cs="宋体"/>
          <w:color w:val="000000"/>
          <w:sz w:val="24"/>
          <w:szCs w:val="24"/>
        </w:rPr>
      </w:pPr>
      <w:r>
        <w:rPr>
          <w:rFonts w:hint="eastAsia" w:eastAsia="宋体" w:cs="宋体"/>
          <w:color w:val="000000"/>
          <w:sz w:val="24"/>
          <w:szCs w:val="24"/>
        </w:rPr>
        <w:t>预算金额：107万元</w:t>
      </w:r>
    </w:p>
    <w:p w14:paraId="3523AAFF">
      <w:pPr>
        <w:spacing w:line="360" w:lineRule="auto"/>
        <w:ind w:firstLine="480" w:firstLineChars="200"/>
        <w:jc w:val="left"/>
        <w:rPr>
          <w:rFonts w:eastAsia="宋体" w:cs="宋体"/>
          <w:bCs/>
          <w:color w:val="000000"/>
          <w:sz w:val="24"/>
          <w:szCs w:val="24"/>
        </w:rPr>
      </w:pPr>
      <w:r>
        <w:rPr>
          <w:rFonts w:hint="eastAsia" w:eastAsia="宋体" w:cs="宋体"/>
          <w:color w:val="000000"/>
          <w:sz w:val="24"/>
          <w:szCs w:val="24"/>
        </w:rPr>
        <w:t>最高限价：107万元，投标报价超过最高限价的为无效投标。</w:t>
      </w:r>
    </w:p>
    <w:p w14:paraId="3E24F453">
      <w:pPr>
        <w:spacing w:line="360" w:lineRule="auto"/>
        <w:ind w:firstLine="480" w:firstLineChars="200"/>
        <w:jc w:val="left"/>
        <w:rPr>
          <w:rFonts w:eastAsia="宋体" w:cs="宋体"/>
          <w:color w:val="000000"/>
          <w:sz w:val="24"/>
          <w:szCs w:val="24"/>
        </w:rPr>
      </w:pPr>
      <w:r>
        <w:rPr>
          <w:rFonts w:hint="eastAsia" w:eastAsia="宋体" w:cs="宋体"/>
          <w:color w:val="000000"/>
          <w:sz w:val="24"/>
          <w:szCs w:val="24"/>
        </w:rPr>
        <w:t>项目需求：智能制造业财融合虚拟仿真实训平台，具体详见招标文件第三章项目需求。</w:t>
      </w:r>
    </w:p>
    <w:p w14:paraId="26A514A1">
      <w:pPr>
        <w:spacing w:line="360" w:lineRule="auto"/>
        <w:ind w:firstLine="480" w:firstLineChars="200"/>
        <w:jc w:val="left"/>
        <w:rPr>
          <w:rFonts w:eastAsia="宋体" w:cs="宋体"/>
          <w:color w:val="000000"/>
          <w:sz w:val="24"/>
          <w:szCs w:val="24"/>
        </w:rPr>
      </w:pPr>
      <w:r>
        <w:rPr>
          <w:rFonts w:hint="eastAsia" w:eastAsia="宋体" w:cs="宋体"/>
          <w:color w:val="000000"/>
          <w:sz w:val="24"/>
          <w:szCs w:val="24"/>
        </w:rPr>
        <w:t>合同履行期限：</w:t>
      </w:r>
      <w:bookmarkEnd w:id="1"/>
      <w:bookmarkEnd w:id="2"/>
      <w:bookmarkEnd w:id="3"/>
      <w:bookmarkEnd w:id="4"/>
      <w:r>
        <w:rPr>
          <w:rFonts w:hint="eastAsia" w:eastAsia="宋体" w:cs="宋体"/>
          <w:color w:val="000000"/>
          <w:sz w:val="24"/>
          <w:szCs w:val="24"/>
        </w:rPr>
        <w:t>详见第三部分项目需求。</w:t>
      </w:r>
    </w:p>
    <w:p w14:paraId="7326B4C8">
      <w:pPr>
        <w:spacing w:line="360" w:lineRule="auto"/>
        <w:ind w:firstLine="480" w:firstLineChars="200"/>
        <w:jc w:val="left"/>
        <w:rPr>
          <w:rFonts w:eastAsia="宋体" w:cs="宋体"/>
          <w:color w:val="000000"/>
          <w:sz w:val="24"/>
          <w:szCs w:val="24"/>
        </w:rPr>
      </w:pPr>
      <w:r>
        <w:rPr>
          <w:rFonts w:hint="eastAsia" w:eastAsia="宋体" w:cs="宋体"/>
          <w:color w:val="000000"/>
          <w:sz w:val="24"/>
          <w:szCs w:val="24"/>
        </w:rPr>
        <w:t>本项目（是/否）接受联合体：否。</w:t>
      </w:r>
    </w:p>
    <w:p w14:paraId="7104F3BF">
      <w:pPr>
        <w:spacing w:line="360" w:lineRule="auto"/>
        <w:ind w:firstLine="482" w:firstLineChars="200"/>
        <w:contextualSpacing/>
        <w:rPr>
          <w:rFonts w:eastAsia="宋体" w:cs="宋体"/>
          <w:b/>
          <w:bCs/>
          <w:color w:val="000000"/>
          <w:sz w:val="24"/>
          <w:szCs w:val="24"/>
        </w:rPr>
      </w:pPr>
      <w:r>
        <w:rPr>
          <w:rFonts w:hint="eastAsia" w:eastAsia="宋体" w:cs="宋体"/>
          <w:b/>
          <w:bCs/>
          <w:color w:val="000000"/>
          <w:sz w:val="24"/>
          <w:szCs w:val="24"/>
        </w:rPr>
        <w:t>二、申请人的资格要求：</w:t>
      </w:r>
    </w:p>
    <w:p w14:paraId="007E4D9F">
      <w:pPr>
        <w:spacing w:line="360" w:lineRule="auto"/>
        <w:ind w:firstLine="482" w:firstLineChars="200"/>
        <w:contextualSpacing/>
        <w:rPr>
          <w:rFonts w:eastAsia="宋体" w:cs="宋体"/>
          <w:b/>
          <w:bCs/>
          <w:color w:val="000000"/>
          <w:sz w:val="24"/>
          <w:szCs w:val="24"/>
        </w:rPr>
      </w:pPr>
      <w:r>
        <w:rPr>
          <w:rFonts w:hint="eastAsia" w:eastAsia="宋体" w:cs="宋体"/>
          <w:b/>
          <w:bCs/>
          <w:color w:val="000000"/>
          <w:sz w:val="24"/>
          <w:szCs w:val="24"/>
        </w:rPr>
        <w:t>（一）满足《中华人民共和国政府采购法》第二十二条规定，并提供下列材料：</w:t>
      </w:r>
    </w:p>
    <w:p w14:paraId="249D636B">
      <w:pPr>
        <w:spacing w:line="360" w:lineRule="auto"/>
        <w:ind w:firstLine="480" w:firstLineChars="200"/>
        <w:jc w:val="left"/>
        <w:rPr>
          <w:rFonts w:eastAsia="宋体" w:cs="宋体"/>
          <w:color w:val="000000"/>
          <w:sz w:val="24"/>
          <w:szCs w:val="24"/>
        </w:rPr>
      </w:pPr>
      <w:r>
        <w:rPr>
          <w:rFonts w:hint="eastAsia" w:eastAsia="宋体" w:cs="宋体"/>
          <w:color w:val="000000"/>
          <w:sz w:val="24"/>
          <w:szCs w:val="24"/>
        </w:rPr>
        <w:t>1.投标人符合《中华人民共和国政府采购法》第二十二条规定条件的声明函（格式参见附件）；</w:t>
      </w:r>
    </w:p>
    <w:p w14:paraId="1E6705C0">
      <w:pPr>
        <w:spacing w:line="360" w:lineRule="auto"/>
        <w:ind w:firstLine="480" w:firstLineChars="200"/>
        <w:jc w:val="left"/>
        <w:rPr>
          <w:rFonts w:eastAsia="宋体" w:cs="宋体"/>
          <w:color w:val="000000"/>
          <w:sz w:val="24"/>
          <w:szCs w:val="24"/>
        </w:rPr>
      </w:pPr>
      <w:r>
        <w:rPr>
          <w:rFonts w:hint="eastAsia" w:eastAsia="宋体" w:cs="宋体"/>
          <w:color w:val="000000"/>
          <w:sz w:val="24"/>
          <w:szCs w:val="24"/>
        </w:rPr>
        <w:t>2.提供法人或者其他组织的营业执照等证明文件，如供应商为自然人的，提供其身份证明。</w:t>
      </w:r>
    </w:p>
    <w:p w14:paraId="47FDC743">
      <w:pPr>
        <w:spacing w:line="360" w:lineRule="auto"/>
        <w:ind w:firstLine="482" w:firstLineChars="200"/>
        <w:rPr>
          <w:rFonts w:eastAsia="宋体" w:cs="宋体"/>
          <w:b/>
          <w:color w:val="000000"/>
          <w:sz w:val="24"/>
          <w:szCs w:val="24"/>
        </w:rPr>
      </w:pPr>
      <w:r>
        <w:rPr>
          <w:rFonts w:hint="eastAsia" w:eastAsia="宋体" w:cs="宋体"/>
          <w:b/>
          <w:color w:val="000000"/>
          <w:sz w:val="24"/>
          <w:szCs w:val="24"/>
        </w:rPr>
        <w:t>（二）落实政府采购政策需满足的资格要求：</w:t>
      </w:r>
    </w:p>
    <w:p w14:paraId="6EEF91C5">
      <w:pPr>
        <w:spacing w:line="360" w:lineRule="auto"/>
        <w:ind w:firstLine="482" w:firstLineChars="200"/>
        <w:jc w:val="left"/>
        <w:rPr>
          <w:rFonts w:eastAsia="宋体" w:cs="宋体"/>
          <w:color w:val="000000"/>
          <w:sz w:val="24"/>
          <w:szCs w:val="24"/>
        </w:rPr>
      </w:pPr>
      <w:r>
        <w:rPr>
          <w:rFonts w:hint="eastAsia" w:eastAsia="宋体" w:cs="宋体"/>
          <w:b/>
          <w:bCs/>
          <w:color w:val="000000"/>
          <w:sz w:val="24"/>
          <w:szCs w:val="24"/>
          <w:u w:val="single"/>
        </w:rPr>
        <w:t>本项目专门面向中小企业采购</w:t>
      </w:r>
      <w:r>
        <w:rPr>
          <w:rFonts w:hint="eastAsia" w:eastAsia="宋体" w:cs="宋体"/>
          <w:color w:val="000000"/>
          <w:sz w:val="24"/>
          <w:szCs w:val="24"/>
        </w:rPr>
        <w:t>。本项目采购标的对应的中小企业划分标准所属行业为</w:t>
      </w:r>
      <w:r>
        <w:rPr>
          <w:rFonts w:hint="eastAsia" w:eastAsia="宋体" w:cs="宋体"/>
          <w:b/>
          <w:bCs/>
          <w:color w:val="000000"/>
          <w:sz w:val="24"/>
          <w:szCs w:val="24"/>
          <w:u w:val="single"/>
        </w:rPr>
        <w:t>软件和信息技术服务业</w:t>
      </w:r>
      <w:r>
        <w:rPr>
          <w:rFonts w:hint="eastAsia" w:eastAsia="宋体" w:cs="宋体"/>
          <w:color w:val="000000"/>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43094152">
      <w:pPr>
        <w:spacing w:line="360" w:lineRule="auto"/>
        <w:ind w:firstLine="480" w:firstLineChars="200"/>
        <w:jc w:val="left"/>
        <w:rPr>
          <w:rFonts w:eastAsia="宋体" w:cs="宋体"/>
          <w:color w:val="000000"/>
          <w:sz w:val="24"/>
          <w:szCs w:val="24"/>
        </w:rPr>
      </w:pPr>
      <w:r>
        <w:rPr>
          <w:rFonts w:hint="eastAsia" w:eastAsia="宋体" w:cs="宋体"/>
          <w:color w:val="000000"/>
          <w:sz w:val="24"/>
          <w:szCs w:val="24"/>
        </w:rPr>
        <w:t>注明：（1）中小企业应当按照财库（2020）46号文《政府采购促进中小企业发展管理办法》和“工信部联企业〔2011〕300号通知中的《中小企业划型标准规定》为准。如实填写并提交《中小企业声明函》。</w:t>
      </w:r>
    </w:p>
    <w:p w14:paraId="32D4302C">
      <w:pPr>
        <w:spacing w:line="360" w:lineRule="auto"/>
        <w:ind w:firstLine="480" w:firstLineChars="200"/>
        <w:jc w:val="left"/>
        <w:rPr>
          <w:rFonts w:eastAsia="宋体" w:cs="宋体"/>
          <w:color w:val="000000"/>
          <w:sz w:val="24"/>
          <w:szCs w:val="24"/>
        </w:rPr>
      </w:pPr>
      <w:r>
        <w:rPr>
          <w:rFonts w:hint="eastAsia" w:eastAsia="宋体" w:cs="宋体"/>
          <w:color w:val="000000"/>
          <w:sz w:val="24"/>
          <w:szCs w:val="24"/>
        </w:rPr>
        <w:t>（2）残疾人福利性单位按照《关于促进残疾人就业政府采购政策的通知》（财库〔2017〕141号）有关规定执行。</w:t>
      </w:r>
    </w:p>
    <w:p w14:paraId="3FAB41CC">
      <w:pPr>
        <w:spacing w:line="360" w:lineRule="auto"/>
        <w:ind w:firstLine="480" w:firstLineChars="200"/>
        <w:jc w:val="left"/>
        <w:rPr>
          <w:rFonts w:eastAsia="宋体" w:cs="宋体"/>
          <w:color w:val="000000"/>
          <w:sz w:val="24"/>
          <w:szCs w:val="24"/>
        </w:rPr>
      </w:pPr>
      <w:r>
        <w:rPr>
          <w:rFonts w:hint="eastAsia" w:eastAsia="宋体" w:cs="宋体"/>
          <w:color w:val="000000"/>
          <w:sz w:val="24"/>
          <w:szCs w:val="24"/>
        </w:rPr>
        <w:t>（3）监狱企业按照《关于政府采购支持监狱企业发展有关问题的通知》（财库【2014】68号）有关规定执行。</w:t>
      </w:r>
    </w:p>
    <w:p w14:paraId="18FA1C84">
      <w:pPr>
        <w:spacing w:line="360" w:lineRule="auto"/>
        <w:ind w:firstLine="480" w:firstLineChars="200"/>
        <w:jc w:val="left"/>
        <w:rPr>
          <w:rFonts w:eastAsia="宋体" w:cs="宋体"/>
          <w:color w:val="000000"/>
          <w:sz w:val="24"/>
          <w:szCs w:val="24"/>
        </w:rPr>
      </w:pPr>
      <w:r>
        <w:rPr>
          <w:rFonts w:hint="eastAsia" w:eastAsia="宋体" w:cs="宋体"/>
          <w:color w:val="000000"/>
          <w:sz w:val="24"/>
          <w:szCs w:val="24"/>
        </w:rPr>
        <w:t>备注：本项目专门面向中小企业，不享受价格扣除优惠政策。</w:t>
      </w:r>
    </w:p>
    <w:p w14:paraId="1AE64C21">
      <w:pPr>
        <w:spacing w:line="360" w:lineRule="auto"/>
        <w:ind w:firstLine="482" w:firstLineChars="200"/>
        <w:contextualSpacing/>
        <w:rPr>
          <w:rFonts w:eastAsia="宋体" w:cs="宋体"/>
          <w:b/>
          <w:color w:val="000000"/>
          <w:sz w:val="24"/>
          <w:szCs w:val="24"/>
        </w:rPr>
      </w:pPr>
      <w:r>
        <w:rPr>
          <w:rFonts w:hint="eastAsia" w:eastAsia="宋体" w:cs="宋体"/>
          <w:b/>
          <w:color w:val="000000"/>
          <w:sz w:val="24"/>
          <w:szCs w:val="24"/>
        </w:rPr>
        <w:t>（三）项目的特定资格要求：</w:t>
      </w:r>
    </w:p>
    <w:p w14:paraId="4EF9D725">
      <w:pPr>
        <w:spacing w:line="360" w:lineRule="auto"/>
        <w:ind w:firstLine="480" w:firstLineChars="200"/>
        <w:contextualSpacing/>
        <w:rPr>
          <w:rFonts w:hint="eastAsia" w:eastAsia="宋体" w:cs="宋体"/>
          <w:color w:val="000000"/>
          <w:sz w:val="24"/>
          <w:szCs w:val="24"/>
        </w:rPr>
      </w:pPr>
      <w:r>
        <w:rPr>
          <w:rFonts w:hint="eastAsia" w:eastAsia="宋体" w:cs="宋体"/>
          <w:color w:val="000000"/>
          <w:sz w:val="24"/>
          <w:szCs w:val="24"/>
        </w:rPr>
        <w:t>1.未被“信用中国”网站（www.creditchina.gov.cn）列入失信被执行人、重大税收违法案件当事人名单、政府采购严重失信行为记录名单。</w:t>
      </w:r>
    </w:p>
    <w:p w14:paraId="3EEA3C44">
      <w:pPr>
        <w:spacing w:line="360" w:lineRule="auto"/>
        <w:ind w:firstLine="480" w:firstLineChars="200"/>
        <w:contextualSpacing/>
        <w:rPr>
          <w:rFonts w:hint="eastAsia" w:eastAsia="宋体" w:cs="宋体"/>
          <w:color w:val="000000"/>
          <w:sz w:val="24"/>
          <w:szCs w:val="24"/>
          <w:lang w:eastAsia="zh-CN"/>
        </w:rPr>
      </w:pPr>
      <w:r>
        <w:rPr>
          <w:rFonts w:hint="eastAsia" w:eastAsia="宋体" w:cs="宋体"/>
          <w:color w:val="000000"/>
          <w:sz w:val="24"/>
          <w:szCs w:val="24"/>
        </w:rPr>
        <w:t>2.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rPr>
          <w:rFonts w:hint="eastAsia" w:eastAsia="宋体" w:cs="宋体"/>
          <w:color w:val="000000"/>
          <w:sz w:val="24"/>
          <w:szCs w:val="24"/>
          <w:lang w:eastAsia="zh-CN"/>
        </w:rPr>
        <w:t>。</w:t>
      </w:r>
    </w:p>
    <w:p w14:paraId="687FF852">
      <w:pPr>
        <w:spacing w:line="360" w:lineRule="auto"/>
        <w:ind w:firstLine="480" w:firstLineChars="200"/>
        <w:contextualSpacing/>
        <w:rPr>
          <w:rFonts w:eastAsia="宋体" w:cs="宋体"/>
          <w:color w:val="000000"/>
          <w:sz w:val="24"/>
          <w:szCs w:val="24"/>
          <w:lang w:val="zh-CN"/>
        </w:rPr>
      </w:pPr>
      <w:r>
        <w:rPr>
          <w:rFonts w:hint="eastAsia" w:eastAsia="宋体" w:cs="宋体"/>
          <w:color w:val="000000"/>
          <w:sz w:val="24"/>
          <w:szCs w:val="24"/>
        </w:rPr>
        <w:t>3.</w:t>
      </w:r>
      <w:r>
        <w:rPr>
          <w:rFonts w:hint="eastAsia" w:eastAsia="宋体" w:cs="宋体"/>
          <w:color w:val="000000"/>
          <w:sz w:val="24"/>
          <w:szCs w:val="24"/>
          <w:lang w:val="zh-CN"/>
        </w:rPr>
        <w:t>拒绝下述投标人参加本次采购活动：</w:t>
      </w:r>
    </w:p>
    <w:p w14:paraId="20A35395">
      <w:pPr>
        <w:spacing w:line="360" w:lineRule="auto"/>
        <w:ind w:firstLine="480" w:firstLineChars="200"/>
        <w:contextualSpacing/>
        <w:rPr>
          <w:rFonts w:eastAsia="宋体" w:cs="宋体"/>
          <w:color w:val="000000"/>
          <w:sz w:val="24"/>
          <w:szCs w:val="24"/>
          <w:lang w:val="zh-CN"/>
        </w:rPr>
      </w:pPr>
      <w:r>
        <w:rPr>
          <w:rFonts w:hint="eastAsia" w:eastAsia="宋体" w:cs="宋体"/>
          <w:color w:val="000000"/>
          <w:sz w:val="24"/>
          <w:szCs w:val="24"/>
        </w:rPr>
        <w:t>3</w:t>
      </w:r>
      <w:r>
        <w:rPr>
          <w:rFonts w:hint="eastAsia" w:eastAsia="宋体" w:cs="宋体"/>
          <w:color w:val="000000"/>
          <w:sz w:val="24"/>
          <w:szCs w:val="24"/>
          <w:lang w:val="zh-CN"/>
        </w:rPr>
        <w:t>.1</w:t>
      </w:r>
      <w:r>
        <w:rPr>
          <w:rFonts w:hint="eastAsia" w:eastAsia="宋体" w:cs="宋体"/>
          <w:color w:val="000000"/>
          <w:sz w:val="24"/>
          <w:szCs w:val="24"/>
        </w:rPr>
        <w:t xml:space="preserve"> </w:t>
      </w:r>
      <w:r>
        <w:rPr>
          <w:rFonts w:hint="eastAsia" w:eastAsia="宋体" w:cs="宋体"/>
          <w:color w:val="000000"/>
          <w:sz w:val="24"/>
          <w:szCs w:val="24"/>
          <w:lang w:val="zh-CN"/>
        </w:rPr>
        <w:t>供应商单位负责人为同一人或者存在直接控股、管理关系的不同供应商，不得参加同一合同项下的政府采购活动；</w:t>
      </w:r>
    </w:p>
    <w:p w14:paraId="28506BE7">
      <w:pPr>
        <w:spacing w:line="360" w:lineRule="auto"/>
        <w:ind w:firstLine="480" w:firstLineChars="200"/>
        <w:contextualSpacing/>
        <w:rPr>
          <w:rFonts w:eastAsia="宋体" w:cs="宋体"/>
          <w:color w:val="000000"/>
          <w:sz w:val="24"/>
          <w:szCs w:val="24"/>
          <w:lang w:val="zh-CN"/>
        </w:rPr>
      </w:pPr>
      <w:r>
        <w:rPr>
          <w:rFonts w:hint="eastAsia" w:eastAsia="宋体" w:cs="宋体"/>
          <w:color w:val="000000"/>
          <w:sz w:val="24"/>
          <w:szCs w:val="24"/>
        </w:rPr>
        <w:t>3</w:t>
      </w:r>
      <w:r>
        <w:rPr>
          <w:rFonts w:hint="eastAsia" w:eastAsia="宋体" w:cs="宋体"/>
          <w:color w:val="000000"/>
          <w:sz w:val="24"/>
          <w:szCs w:val="24"/>
          <w:lang w:val="zh-CN"/>
        </w:rPr>
        <w:t>.2</w:t>
      </w:r>
      <w:r>
        <w:rPr>
          <w:rFonts w:hint="eastAsia" w:eastAsia="宋体" w:cs="宋体"/>
          <w:color w:val="000000"/>
          <w:sz w:val="24"/>
          <w:szCs w:val="24"/>
        </w:rPr>
        <w:t xml:space="preserve"> </w:t>
      </w:r>
      <w:r>
        <w:rPr>
          <w:rFonts w:hint="eastAsia" w:eastAsia="宋体" w:cs="宋体"/>
          <w:color w:val="000000"/>
          <w:sz w:val="24"/>
          <w:szCs w:val="24"/>
          <w:lang w:val="zh-CN"/>
        </w:rPr>
        <w:t>凡为采购项目提供整体设计、规范编制或者项目管理、监理、检测等服务的供应商，不得再参加本项目的采购活动。</w:t>
      </w:r>
    </w:p>
    <w:p w14:paraId="7F2CC490">
      <w:pPr>
        <w:spacing w:line="360" w:lineRule="auto"/>
        <w:ind w:firstLine="482" w:firstLineChars="200"/>
        <w:contextualSpacing/>
        <w:rPr>
          <w:rFonts w:eastAsia="宋体" w:cs="宋体"/>
          <w:b/>
          <w:bCs/>
          <w:color w:val="000000"/>
          <w:sz w:val="24"/>
          <w:szCs w:val="24"/>
        </w:rPr>
      </w:pPr>
      <w:r>
        <w:rPr>
          <w:rFonts w:hint="eastAsia" w:eastAsia="宋体" w:cs="宋体"/>
          <w:b/>
          <w:bCs/>
          <w:color w:val="000000"/>
          <w:sz w:val="24"/>
          <w:szCs w:val="24"/>
          <w:lang w:val="zh-CN"/>
        </w:rPr>
        <w:t>注：以上所有资格要求条件必须在资格审查材料中逐条提供有效证明材料或相关承诺书并加盖公章，否则投标无效。</w:t>
      </w:r>
    </w:p>
    <w:p w14:paraId="00F0A4F2">
      <w:pPr>
        <w:spacing w:line="360" w:lineRule="auto"/>
        <w:ind w:firstLine="482" w:firstLineChars="200"/>
        <w:contextualSpacing/>
        <w:rPr>
          <w:rFonts w:eastAsia="宋体" w:cs="宋体"/>
          <w:b/>
          <w:bCs/>
          <w:color w:val="000000"/>
          <w:sz w:val="24"/>
          <w:szCs w:val="24"/>
        </w:rPr>
      </w:pPr>
      <w:r>
        <w:rPr>
          <w:rFonts w:hint="eastAsia" w:eastAsia="宋体" w:cs="宋体"/>
          <w:b/>
          <w:bCs/>
          <w:color w:val="000000"/>
          <w:sz w:val="24"/>
          <w:szCs w:val="24"/>
        </w:rPr>
        <w:t>具体资格要求详见第八章中的“资格审查文件”。</w:t>
      </w:r>
    </w:p>
    <w:p w14:paraId="547F6BCC">
      <w:pPr>
        <w:spacing w:line="360" w:lineRule="auto"/>
        <w:ind w:firstLine="482" w:firstLineChars="200"/>
        <w:rPr>
          <w:rFonts w:eastAsia="宋体" w:cs="宋体"/>
          <w:b/>
          <w:color w:val="000000"/>
          <w:sz w:val="24"/>
          <w:szCs w:val="24"/>
        </w:rPr>
      </w:pPr>
      <w:r>
        <w:rPr>
          <w:rFonts w:hint="eastAsia" w:eastAsia="宋体" w:cs="宋体"/>
          <w:b/>
          <w:color w:val="000000"/>
          <w:sz w:val="24"/>
          <w:szCs w:val="24"/>
        </w:rPr>
        <w:t>三、获取招标文件</w:t>
      </w:r>
    </w:p>
    <w:p w14:paraId="16B5FDF9">
      <w:pPr>
        <w:spacing w:line="360" w:lineRule="auto"/>
        <w:ind w:firstLine="480" w:firstLineChars="200"/>
        <w:jc w:val="left"/>
        <w:rPr>
          <w:rFonts w:eastAsia="宋体" w:cs="宋体"/>
          <w:bCs/>
          <w:color w:val="000000"/>
          <w:sz w:val="24"/>
          <w:szCs w:val="24"/>
        </w:rPr>
      </w:pPr>
      <w:r>
        <w:rPr>
          <w:rFonts w:hint="eastAsia" w:eastAsia="宋体" w:cs="宋体"/>
          <w:bCs/>
          <w:color w:val="000000"/>
          <w:sz w:val="24"/>
          <w:szCs w:val="24"/>
        </w:rPr>
        <w:t>1.时间：自本项目招标公告发布之日起5个工作日。</w:t>
      </w:r>
    </w:p>
    <w:p w14:paraId="1E143F55">
      <w:pPr>
        <w:spacing w:line="360" w:lineRule="auto"/>
        <w:ind w:firstLine="480" w:firstLineChars="200"/>
        <w:jc w:val="left"/>
        <w:rPr>
          <w:rFonts w:eastAsia="宋体" w:cs="宋体"/>
          <w:bCs/>
          <w:color w:val="000000"/>
          <w:sz w:val="24"/>
          <w:szCs w:val="24"/>
        </w:rPr>
      </w:pPr>
      <w:r>
        <w:rPr>
          <w:rFonts w:hint="eastAsia" w:eastAsia="宋体" w:cs="宋体"/>
          <w:bCs/>
          <w:color w:val="000000"/>
          <w:sz w:val="24"/>
          <w:szCs w:val="24"/>
        </w:rPr>
        <w:t>2.地点：网上注册登记成功后系统内免费下载。</w:t>
      </w:r>
    </w:p>
    <w:p w14:paraId="0DAA7DA8">
      <w:pPr>
        <w:spacing w:line="360" w:lineRule="auto"/>
        <w:ind w:firstLine="480" w:firstLineChars="200"/>
        <w:jc w:val="left"/>
        <w:rPr>
          <w:rFonts w:eastAsia="宋体" w:cs="宋体"/>
          <w:bCs/>
          <w:color w:val="000000"/>
          <w:sz w:val="24"/>
          <w:szCs w:val="24"/>
        </w:rPr>
      </w:pPr>
      <w:r>
        <w:rPr>
          <w:rFonts w:hint="eastAsia" w:eastAsia="宋体" w:cs="宋体"/>
          <w:bCs/>
          <w:color w:val="000000"/>
          <w:sz w:val="24"/>
          <w:szCs w:val="24"/>
        </w:rPr>
        <w:t>3.获取方式：本项目采用网上注册登记方式。</w:t>
      </w:r>
    </w:p>
    <w:p w14:paraId="73BD6D81">
      <w:pPr>
        <w:spacing w:line="360" w:lineRule="auto"/>
        <w:ind w:firstLine="480" w:firstLineChars="200"/>
        <w:jc w:val="left"/>
        <w:rPr>
          <w:rFonts w:eastAsia="宋体" w:cs="宋体"/>
          <w:bCs/>
          <w:color w:val="000000"/>
          <w:sz w:val="24"/>
          <w:szCs w:val="24"/>
        </w:rPr>
      </w:pPr>
      <w:r>
        <w:rPr>
          <w:rFonts w:hint="eastAsia" w:eastAsia="宋体" w:cs="宋体"/>
          <w:bCs/>
          <w:color w:val="000000"/>
          <w:sz w:val="24"/>
          <w:szCs w:val="24"/>
        </w:rPr>
        <w:t>3.1 潜在供应商访问电子招标响应交易平台的网络地址和方法：</w:t>
      </w:r>
    </w:p>
    <w:p w14:paraId="1145BD53">
      <w:pPr>
        <w:spacing w:line="360" w:lineRule="auto"/>
        <w:ind w:firstLine="480" w:firstLineChars="200"/>
        <w:jc w:val="left"/>
        <w:rPr>
          <w:rFonts w:eastAsia="宋体" w:cs="宋体"/>
          <w:bCs/>
          <w:color w:val="000000"/>
          <w:sz w:val="24"/>
          <w:szCs w:val="24"/>
        </w:rPr>
      </w:pPr>
      <w:r>
        <w:rPr>
          <w:rFonts w:hint="eastAsia" w:eastAsia="宋体" w:cs="宋体"/>
          <w:bCs/>
          <w:color w:val="000000"/>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25487675">
      <w:pPr>
        <w:spacing w:line="360" w:lineRule="auto"/>
        <w:ind w:firstLine="480" w:firstLineChars="200"/>
        <w:jc w:val="left"/>
        <w:rPr>
          <w:rFonts w:eastAsia="宋体" w:cs="宋体"/>
          <w:bCs/>
          <w:color w:val="000000"/>
          <w:sz w:val="24"/>
          <w:szCs w:val="24"/>
        </w:rPr>
      </w:pPr>
      <w:r>
        <w:rPr>
          <w:rFonts w:hint="eastAsia" w:eastAsia="宋体" w:cs="宋体"/>
          <w:bCs/>
          <w:color w:val="000000"/>
          <w:sz w:val="24"/>
          <w:szCs w:val="24"/>
        </w:rPr>
        <w:t>3.2 潜在供应商访问“苏采云”系统的网络地址和方法：“苏采云”系统的网址：http：//jszfcg.jsczt.cn/。</w:t>
      </w:r>
    </w:p>
    <w:p w14:paraId="399A7DFE">
      <w:pPr>
        <w:spacing w:line="360" w:lineRule="auto"/>
        <w:ind w:firstLine="480" w:firstLineChars="200"/>
        <w:jc w:val="left"/>
        <w:rPr>
          <w:rFonts w:eastAsia="宋体" w:cs="宋体"/>
          <w:bCs/>
          <w:color w:val="000000"/>
          <w:sz w:val="24"/>
          <w:szCs w:val="24"/>
        </w:rPr>
      </w:pPr>
      <w:r>
        <w:rPr>
          <w:rFonts w:hint="eastAsia" w:eastAsia="宋体" w:cs="宋体"/>
          <w:bCs/>
          <w:color w:val="000000"/>
          <w:sz w:val="24"/>
          <w:szCs w:val="24"/>
        </w:rPr>
        <w:t>3.3 “CA数字证书”的获取：</w:t>
      </w:r>
    </w:p>
    <w:p w14:paraId="4D3338D3">
      <w:pPr>
        <w:spacing w:line="360" w:lineRule="auto"/>
        <w:ind w:firstLine="480" w:firstLineChars="200"/>
        <w:jc w:val="left"/>
        <w:rPr>
          <w:rFonts w:eastAsia="宋体" w:cs="宋体"/>
          <w:bCs/>
          <w:color w:val="000000"/>
          <w:sz w:val="24"/>
          <w:szCs w:val="24"/>
        </w:rPr>
      </w:pPr>
      <w:r>
        <w:rPr>
          <w:rFonts w:hint="eastAsia" w:eastAsia="宋体" w:cs="宋体"/>
          <w:bCs/>
          <w:color w:val="000000"/>
          <w:sz w:val="24"/>
          <w:szCs w:val="24"/>
        </w:rPr>
        <w:t>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38163F0E">
      <w:pPr>
        <w:spacing w:line="360" w:lineRule="auto"/>
        <w:ind w:firstLine="480" w:firstLineChars="200"/>
        <w:jc w:val="left"/>
        <w:rPr>
          <w:rFonts w:eastAsia="宋体" w:cs="宋体"/>
          <w:bCs/>
          <w:color w:val="000000"/>
          <w:sz w:val="24"/>
          <w:szCs w:val="24"/>
        </w:rPr>
      </w:pPr>
      <w:r>
        <w:rPr>
          <w:rFonts w:hint="eastAsia" w:eastAsia="宋体" w:cs="宋体"/>
          <w:bCs/>
          <w:color w:val="000000"/>
          <w:sz w:val="24"/>
          <w:szCs w:val="24"/>
        </w:rPr>
        <w:t>通过苏采云系统首页（http：//jszfcg.jscz.gov.cn/）的“苏采云控件驱动下载”，选择“政务CA、方正签章控件驱动安装包及安装说明”下载安装，具体安装方法详见下载文件内的《安装说明》。</w:t>
      </w:r>
    </w:p>
    <w:p w14:paraId="0042AE00">
      <w:pPr>
        <w:spacing w:line="360" w:lineRule="auto"/>
        <w:ind w:firstLine="480" w:firstLineChars="200"/>
        <w:jc w:val="left"/>
        <w:rPr>
          <w:rFonts w:eastAsia="宋体" w:cs="宋体"/>
          <w:bCs/>
          <w:color w:val="000000"/>
          <w:sz w:val="24"/>
          <w:szCs w:val="24"/>
        </w:rPr>
      </w:pPr>
      <w:r>
        <w:rPr>
          <w:rFonts w:hint="eastAsia" w:eastAsia="宋体" w:cs="宋体"/>
          <w:bCs/>
          <w:color w:val="000000"/>
          <w:sz w:val="24"/>
          <w:szCs w:val="24"/>
        </w:rPr>
        <w:t>3.4 采购文件（后缀名为“.kedt”）、供应商操作手册及政府采购客户端工具可通过“苏采云”系统--已报名项目--报名详情页面内相应链接进行下载。</w:t>
      </w:r>
    </w:p>
    <w:p w14:paraId="13A764A3">
      <w:pPr>
        <w:spacing w:line="360" w:lineRule="auto"/>
        <w:ind w:firstLine="480" w:firstLineChars="200"/>
        <w:jc w:val="left"/>
        <w:rPr>
          <w:rFonts w:eastAsia="宋体" w:cs="宋体"/>
          <w:bCs/>
          <w:color w:val="000000"/>
          <w:sz w:val="24"/>
          <w:szCs w:val="24"/>
        </w:rPr>
      </w:pPr>
      <w:r>
        <w:rPr>
          <w:rFonts w:hint="eastAsia" w:eastAsia="宋体" w:cs="宋体"/>
          <w:bCs/>
          <w:color w:val="000000"/>
          <w:sz w:val="24"/>
          <w:szCs w:val="24"/>
        </w:rPr>
        <w:t>3.5 采购人或招标代理机构（采购代理机构）将数据电文形式的采购文件加载至“苏采云”系统，供潜在供应商下载或者查阅。</w:t>
      </w:r>
    </w:p>
    <w:p w14:paraId="571D9E70">
      <w:pPr>
        <w:spacing w:line="360" w:lineRule="auto"/>
        <w:ind w:firstLine="480" w:firstLineChars="200"/>
        <w:jc w:val="left"/>
        <w:rPr>
          <w:rFonts w:eastAsia="宋体" w:cs="宋体"/>
          <w:bCs/>
          <w:color w:val="000000"/>
          <w:sz w:val="24"/>
          <w:szCs w:val="24"/>
        </w:rPr>
      </w:pPr>
      <w:r>
        <w:rPr>
          <w:rFonts w:hint="eastAsia" w:eastAsia="宋体" w:cs="宋体"/>
          <w:bCs/>
          <w:color w:val="000000"/>
          <w:sz w:val="24"/>
          <w:szCs w:val="24"/>
        </w:rPr>
        <w:t>3.6 请潜在投标单位提前安装相应的控件（详见《江苏省政府采购管理交易系统（苏采云）供应商操作手册》）并使用谷歌浏览器登录“苏采云”系统参与不见面开评标。</w:t>
      </w:r>
    </w:p>
    <w:p w14:paraId="5908ACB1">
      <w:pPr>
        <w:spacing w:line="360" w:lineRule="auto"/>
        <w:ind w:firstLine="480" w:firstLineChars="200"/>
        <w:jc w:val="left"/>
        <w:rPr>
          <w:rFonts w:eastAsia="宋体" w:cs="宋体"/>
          <w:bCs/>
          <w:color w:val="000000"/>
          <w:sz w:val="24"/>
          <w:szCs w:val="24"/>
        </w:rPr>
      </w:pPr>
      <w:r>
        <w:rPr>
          <w:rFonts w:hint="eastAsia" w:eastAsia="宋体" w:cs="宋体"/>
          <w:bCs/>
          <w:color w:val="000000"/>
          <w:sz w:val="24"/>
          <w:szCs w:val="24"/>
        </w:rPr>
        <w:t>3.7 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p>
    <w:p w14:paraId="5ECFEB5B">
      <w:pPr>
        <w:spacing w:line="360" w:lineRule="auto"/>
        <w:ind w:firstLine="482" w:firstLineChars="200"/>
        <w:jc w:val="left"/>
        <w:rPr>
          <w:rFonts w:eastAsia="宋体" w:cs="宋体"/>
          <w:b/>
          <w:color w:val="000000"/>
          <w:sz w:val="24"/>
          <w:szCs w:val="24"/>
        </w:rPr>
      </w:pPr>
      <w:r>
        <w:rPr>
          <w:rFonts w:hint="eastAsia" w:eastAsia="宋体" w:cs="宋体"/>
          <w:b/>
          <w:color w:val="000000"/>
          <w:sz w:val="24"/>
          <w:szCs w:val="24"/>
        </w:rPr>
        <w:t>注：如潜在供应商未按上述要求操作，将自行承担所产生的风险。</w:t>
      </w:r>
    </w:p>
    <w:p w14:paraId="05DC97E8">
      <w:pPr>
        <w:spacing w:line="360" w:lineRule="auto"/>
        <w:ind w:firstLine="482" w:firstLineChars="200"/>
        <w:rPr>
          <w:rFonts w:eastAsia="宋体" w:cs="宋体"/>
          <w:color w:val="000000"/>
          <w:sz w:val="24"/>
          <w:szCs w:val="24"/>
        </w:rPr>
      </w:pPr>
      <w:r>
        <w:rPr>
          <w:rFonts w:hint="eastAsia" w:eastAsia="宋体" w:cs="宋体"/>
          <w:b/>
          <w:color w:val="000000"/>
          <w:sz w:val="24"/>
          <w:szCs w:val="24"/>
        </w:rPr>
        <w:t>四、提交投标文件截止时间、开标时间和地点</w:t>
      </w:r>
    </w:p>
    <w:p w14:paraId="2454AB08">
      <w:pPr>
        <w:spacing w:line="360" w:lineRule="auto"/>
        <w:ind w:firstLine="480" w:firstLineChars="200"/>
        <w:jc w:val="left"/>
        <w:rPr>
          <w:rFonts w:eastAsia="宋体"/>
          <w:color w:val="000000"/>
          <w:sz w:val="24"/>
          <w:szCs w:val="24"/>
        </w:rPr>
      </w:pPr>
      <w:r>
        <w:rPr>
          <w:rFonts w:hint="eastAsia" w:eastAsia="宋体"/>
          <w:color w:val="000000"/>
          <w:sz w:val="24"/>
          <w:szCs w:val="24"/>
        </w:rPr>
        <w:t>1.投标文件提交截止时间：</w:t>
      </w:r>
      <w:r>
        <w:rPr>
          <w:rFonts w:hint="eastAsia" w:eastAsia="宋体" w:cs="宋体"/>
          <w:bCs/>
          <w:color w:val="000000"/>
          <w:sz w:val="24"/>
          <w:szCs w:val="24"/>
          <w:u w:val="single"/>
          <w:lang w:eastAsia="zh-CN"/>
        </w:rPr>
        <w:t>2026年0</w:t>
      </w:r>
      <w:r>
        <w:rPr>
          <w:rFonts w:hint="eastAsia" w:eastAsia="宋体" w:cs="宋体"/>
          <w:bCs/>
          <w:color w:val="000000"/>
          <w:sz w:val="24"/>
          <w:szCs w:val="24"/>
          <w:u w:val="single"/>
          <w:lang w:val="en-US" w:eastAsia="zh-CN"/>
        </w:rPr>
        <w:t>6</w:t>
      </w:r>
      <w:r>
        <w:rPr>
          <w:rFonts w:hint="eastAsia" w:eastAsia="宋体" w:cs="宋体"/>
          <w:bCs/>
          <w:color w:val="000000"/>
          <w:sz w:val="24"/>
          <w:szCs w:val="24"/>
          <w:u w:val="single"/>
          <w:lang w:eastAsia="zh-CN"/>
        </w:rPr>
        <w:t>月</w:t>
      </w:r>
      <w:r>
        <w:rPr>
          <w:rFonts w:hint="eastAsia" w:eastAsia="宋体" w:cs="宋体"/>
          <w:bCs/>
          <w:color w:val="000000"/>
          <w:sz w:val="24"/>
          <w:szCs w:val="24"/>
          <w:u w:val="single"/>
          <w:lang w:val="en-US" w:eastAsia="zh-CN"/>
        </w:rPr>
        <w:t>17</w:t>
      </w:r>
      <w:r>
        <w:rPr>
          <w:rFonts w:hint="eastAsia" w:eastAsia="宋体" w:cs="宋体"/>
          <w:bCs/>
          <w:color w:val="000000"/>
          <w:sz w:val="24"/>
          <w:szCs w:val="24"/>
          <w:u w:val="single"/>
          <w:lang w:eastAsia="zh-CN"/>
        </w:rPr>
        <w:t>日</w:t>
      </w:r>
      <w:r>
        <w:rPr>
          <w:rFonts w:hint="eastAsia" w:eastAsia="宋体" w:cs="宋体"/>
          <w:bCs/>
          <w:color w:val="000000"/>
          <w:sz w:val="24"/>
          <w:szCs w:val="24"/>
          <w:u w:val="single"/>
        </w:rPr>
        <w:t>09时30分</w:t>
      </w:r>
      <w:r>
        <w:rPr>
          <w:rFonts w:hint="eastAsia" w:eastAsia="宋体"/>
          <w:color w:val="000000"/>
          <w:sz w:val="24"/>
          <w:szCs w:val="24"/>
        </w:rPr>
        <w:t>（北京时间）。逾时，“苏采云”系统将拒绝接受上传响应文件电子文档。</w:t>
      </w:r>
    </w:p>
    <w:p w14:paraId="32B76505">
      <w:pPr>
        <w:spacing w:line="360" w:lineRule="auto"/>
        <w:ind w:firstLine="480" w:firstLineChars="200"/>
        <w:jc w:val="left"/>
        <w:rPr>
          <w:rFonts w:eastAsia="宋体"/>
          <w:color w:val="000000"/>
          <w:sz w:val="24"/>
          <w:szCs w:val="24"/>
        </w:rPr>
      </w:pPr>
      <w:r>
        <w:rPr>
          <w:rFonts w:hint="eastAsia" w:eastAsia="宋体"/>
          <w:color w:val="000000"/>
          <w:sz w:val="24"/>
          <w:szCs w:val="24"/>
        </w:rPr>
        <w:t>2.线上开标地点：“苏采云”系统（网址：http：//jszfcg.jsczt.cn/）“开标大厅”。</w:t>
      </w:r>
    </w:p>
    <w:p w14:paraId="3F3200A7">
      <w:pPr>
        <w:spacing w:line="360" w:lineRule="auto"/>
        <w:ind w:firstLine="480" w:firstLineChars="200"/>
        <w:jc w:val="left"/>
        <w:rPr>
          <w:rFonts w:eastAsia="宋体"/>
          <w:color w:val="000000"/>
          <w:sz w:val="24"/>
          <w:szCs w:val="24"/>
          <w:u w:val="single"/>
        </w:rPr>
      </w:pPr>
      <w:r>
        <w:rPr>
          <w:rFonts w:hint="eastAsia" w:eastAsia="宋体"/>
          <w:color w:val="000000"/>
          <w:sz w:val="24"/>
          <w:szCs w:val="24"/>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color w:val="000000"/>
          <w:sz w:val="24"/>
          <w:szCs w:val="24"/>
        </w:rPr>
        <w:t>投标供应商解密限定在开标后30分钟之内完成</w:t>
      </w:r>
      <w:r>
        <w:rPr>
          <w:rFonts w:hint="eastAsia" w:eastAsia="宋体"/>
          <w:color w:val="000000"/>
          <w:sz w:val="24"/>
          <w:szCs w:val="24"/>
        </w:rPr>
        <w:t>。</w:t>
      </w:r>
      <w:r>
        <w:rPr>
          <w:rFonts w:hint="eastAsia" w:eastAsia="宋体"/>
          <w:color w:val="000000"/>
          <w:sz w:val="24"/>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2D5CC520">
      <w:pPr>
        <w:spacing w:line="360" w:lineRule="auto"/>
        <w:ind w:firstLine="482" w:firstLineChars="200"/>
        <w:jc w:val="left"/>
        <w:rPr>
          <w:rFonts w:eastAsia="宋体"/>
          <w:b/>
          <w:color w:val="000000"/>
          <w:sz w:val="24"/>
          <w:szCs w:val="24"/>
        </w:rPr>
      </w:pPr>
      <w:r>
        <w:rPr>
          <w:rFonts w:hint="eastAsia" w:eastAsia="宋体"/>
          <w:b/>
          <w:color w:val="000000"/>
          <w:sz w:val="24"/>
          <w:szCs w:val="24"/>
        </w:rPr>
        <w:t>注：各供应商请关注开标大厅交流区，在开标结束后，请勿离开开标大厅。</w:t>
      </w:r>
    </w:p>
    <w:p w14:paraId="7A21D907">
      <w:pPr>
        <w:spacing w:line="360" w:lineRule="auto"/>
        <w:ind w:firstLine="482" w:firstLineChars="200"/>
        <w:contextualSpacing/>
        <w:rPr>
          <w:rFonts w:eastAsia="宋体" w:cs="宋体"/>
          <w:b/>
          <w:color w:val="000000"/>
          <w:sz w:val="24"/>
          <w:szCs w:val="24"/>
        </w:rPr>
      </w:pPr>
      <w:r>
        <w:rPr>
          <w:rFonts w:hint="eastAsia" w:eastAsia="宋体" w:cs="宋体"/>
          <w:b/>
          <w:color w:val="000000"/>
          <w:sz w:val="24"/>
          <w:szCs w:val="24"/>
        </w:rPr>
        <w:t>五、公告期限</w:t>
      </w:r>
    </w:p>
    <w:p w14:paraId="35F51D18">
      <w:pPr>
        <w:spacing w:line="360" w:lineRule="auto"/>
        <w:ind w:firstLine="480" w:firstLineChars="200"/>
        <w:jc w:val="left"/>
        <w:rPr>
          <w:rFonts w:eastAsia="宋体" w:cs="宋体"/>
          <w:bCs/>
          <w:color w:val="000000"/>
          <w:sz w:val="24"/>
          <w:szCs w:val="24"/>
        </w:rPr>
      </w:pPr>
      <w:r>
        <w:rPr>
          <w:rFonts w:hint="eastAsia" w:eastAsia="宋体" w:cs="宋体"/>
          <w:bCs/>
          <w:color w:val="000000"/>
          <w:sz w:val="24"/>
          <w:szCs w:val="24"/>
        </w:rPr>
        <w:t>自本公告发布之日起5个工作日。</w:t>
      </w:r>
    </w:p>
    <w:p w14:paraId="4756471E">
      <w:pPr>
        <w:spacing w:line="360" w:lineRule="auto"/>
        <w:ind w:firstLine="482" w:firstLineChars="200"/>
        <w:contextualSpacing/>
        <w:rPr>
          <w:rFonts w:eastAsia="宋体" w:cs="宋体"/>
          <w:b/>
          <w:bCs/>
          <w:color w:val="000000"/>
          <w:sz w:val="24"/>
          <w:szCs w:val="24"/>
        </w:rPr>
      </w:pPr>
      <w:r>
        <w:rPr>
          <w:rFonts w:hint="eastAsia" w:eastAsia="宋体" w:cs="宋体"/>
          <w:b/>
          <w:color w:val="000000"/>
          <w:sz w:val="24"/>
          <w:szCs w:val="24"/>
        </w:rPr>
        <w:t>六、其他补充事宜</w:t>
      </w:r>
    </w:p>
    <w:p w14:paraId="50282144">
      <w:pPr>
        <w:spacing w:line="360" w:lineRule="auto"/>
        <w:ind w:firstLine="480" w:firstLineChars="200"/>
        <w:jc w:val="left"/>
        <w:rPr>
          <w:rFonts w:eastAsia="宋体"/>
          <w:bCs/>
          <w:color w:val="000000"/>
          <w:sz w:val="24"/>
          <w:szCs w:val="24"/>
        </w:rPr>
      </w:pPr>
      <w:r>
        <w:rPr>
          <w:rFonts w:hint="eastAsia" w:eastAsia="宋体"/>
          <w:bCs/>
          <w:color w:val="000000"/>
          <w:sz w:val="24"/>
          <w:szCs w:val="24"/>
        </w:rPr>
        <w:t>1.投标保证金：免收；本项目招标文件中涉及投标保证金的事项，均按免收投标保证金执行。</w:t>
      </w:r>
    </w:p>
    <w:p w14:paraId="376D35F8">
      <w:pPr>
        <w:spacing w:line="360" w:lineRule="auto"/>
        <w:ind w:firstLine="480" w:firstLineChars="200"/>
        <w:jc w:val="left"/>
        <w:rPr>
          <w:rFonts w:eastAsia="宋体"/>
          <w:bCs/>
          <w:color w:val="000000"/>
          <w:sz w:val="24"/>
          <w:szCs w:val="24"/>
        </w:rPr>
      </w:pPr>
      <w:r>
        <w:rPr>
          <w:rFonts w:hint="eastAsia" w:eastAsia="宋体"/>
          <w:bCs/>
          <w:color w:val="000000"/>
          <w:sz w:val="24"/>
          <w:szCs w:val="24"/>
        </w:rPr>
        <w:t>2.项目开标活动模式：不见面远程投标模式，供应商在各自地点通过不见面交易系统参加开标会。</w:t>
      </w:r>
    </w:p>
    <w:p w14:paraId="4F9858F2">
      <w:pPr>
        <w:spacing w:line="360" w:lineRule="auto"/>
        <w:ind w:firstLine="480" w:firstLineChars="200"/>
        <w:jc w:val="left"/>
        <w:rPr>
          <w:rFonts w:eastAsia="宋体"/>
          <w:bCs/>
          <w:color w:val="000000"/>
          <w:sz w:val="24"/>
          <w:szCs w:val="24"/>
        </w:rPr>
      </w:pPr>
      <w:r>
        <w:rPr>
          <w:rFonts w:hint="eastAsia" w:eastAsia="宋体"/>
          <w:bCs/>
          <w:color w:val="000000"/>
          <w:sz w:val="24"/>
          <w:szCs w:val="24"/>
        </w:rPr>
        <w:t>3.项目演示、样品、答辩等（如有请描述）：根据“第四章  评审方法和程序”要求提供演示视频，视频文件的格式为*.mp4或*.avi，供应商须将视频文件分段压缩为*.zip文件上传（单个文件不得大于50M，所有文件总共不得大于300M），上传的演示视频将作为投标文件的组成部分，演示时长不超过25分钟。</w:t>
      </w:r>
    </w:p>
    <w:p w14:paraId="222F503F">
      <w:pPr>
        <w:spacing w:line="360" w:lineRule="auto"/>
        <w:ind w:firstLine="480" w:firstLineChars="200"/>
        <w:jc w:val="left"/>
        <w:rPr>
          <w:rFonts w:eastAsia="宋体"/>
          <w:bCs/>
          <w:color w:val="000000"/>
          <w:sz w:val="24"/>
          <w:szCs w:val="24"/>
        </w:rPr>
      </w:pPr>
      <w:r>
        <w:rPr>
          <w:rFonts w:hint="eastAsia" w:eastAsia="宋体"/>
          <w:bCs/>
          <w:color w:val="000000"/>
          <w:sz w:val="24"/>
          <w:szCs w:val="24"/>
        </w:rPr>
        <w:t>4.对项目需求部分（投标人其他资格</w:t>
      </w:r>
      <w:r>
        <w:rPr>
          <w:rFonts w:hint="eastAsia" w:eastAsia="宋体"/>
          <w:color w:val="000000"/>
          <w:sz w:val="24"/>
          <w:szCs w:val="24"/>
        </w:rPr>
        <w:t>要求</w:t>
      </w:r>
      <w:r>
        <w:rPr>
          <w:rFonts w:hint="eastAsia" w:eastAsia="宋体"/>
          <w:bCs/>
          <w:color w:val="000000"/>
          <w:sz w:val="24"/>
          <w:szCs w:val="24"/>
        </w:rPr>
        <w:t>、项目需求、评分标准）的询问、质疑请向招标人提出，由招标人负责答复；对项目招标文件其它部分的询问请向招标人或招标代理提出。</w:t>
      </w:r>
    </w:p>
    <w:p w14:paraId="228730A7">
      <w:pPr>
        <w:spacing w:line="360" w:lineRule="auto"/>
        <w:ind w:firstLine="480" w:firstLineChars="200"/>
        <w:jc w:val="left"/>
        <w:rPr>
          <w:rFonts w:eastAsia="宋体"/>
          <w:bCs/>
          <w:color w:val="000000"/>
          <w:sz w:val="24"/>
          <w:szCs w:val="24"/>
        </w:rPr>
      </w:pPr>
      <w:r>
        <w:rPr>
          <w:rFonts w:hint="eastAsia" w:eastAsia="宋体"/>
          <w:bCs/>
          <w:color w:val="000000"/>
          <w:sz w:val="24"/>
          <w:szCs w:val="24"/>
        </w:rPr>
        <w:t>5.投标人应依照规定提交各类声明函、承诺函，不再同时提供原件备查或提供有关部门出具的相关证明文件。但中标人应做好提交声明函、承诺函相应原件的核查准备；</w:t>
      </w:r>
      <w:bookmarkStart w:id="5" w:name="OLE_LINK5"/>
      <w:r>
        <w:rPr>
          <w:rFonts w:hint="eastAsia" w:eastAsia="宋体"/>
          <w:bCs/>
          <w:color w:val="000000"/>
          <w:sz w:val="24"/>
          <w:szCs w:val="24"/>
        </w:rPr>
        <w:t>核查后发现虚假或违背承诺的，依照相关法律法规规定处理。</w:t>
      </w:r>
      <w:bookmarkEnd w:id="5"/>
    </w:p>
    <w:p w14:paraId="55317E9A">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6.本次采购的有关信息将在江苏政府采购网上发布，敬请留意。</w:t>
      </w:r>
    </w:p>
    <w:p w14:paraId="3C7CFBC9">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7.请各投标人充分考虑项目周期，谨慎参与交易，中标后不得以任何理由放弃中标资格或不按规定履约。</w:t>
      </w:r>
    </w:p>
    <w:p w14:paraId="3111E2EA">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8.勘察现场或答疑：本次采购不组织集中勘察现场。投标人如对采购需求有疑问请与采购联系人沟通。</w:t>
      </w:r>
    </w:p>
    <w:p w14:paraId="4852F259">
      <w:pPr>
        <w:spacing w:line="360" w:lineRule="auto"/>
        <w:ind w:firstLine="482" w:firstLineChars="200"/>
        <w:contextualSpacing/>
        <w:rPr>
          <w:rFonts w:eastAsia="宋体" w:cs="宋体"/>
          <w:b/>
          <w:bCs/>
          <w:color w:val="000000"/>
          <w:sz w:val="24"/>
          <w:szCs w:val="24"/>
        </w:rPr>
      </w:pPr>
      <w:r>
        <w:rPr>
          <w:rFonts w:hint="eastAsia" w:eastAsia="宋体" w:cs="宋体"/>
          <w:b/>
          <w:bCs/>
          <w:color w:val="000000"/>
          <w:sz w:val="24"/>
          <w:szCs w:val="24"/>
        </w:rPr>
        <w:t>七、对本次招标提出询问，请按以下方式联系。</w:t>
      </w:r>
    </w:p>
    <w:p w14:paraId="21469375">
      <w:pPr>
        <w:spacing w:line="360" w:lineRule="auto"/>
        <w:ind w:firstLine="480" w:firstLineChars="200"/>
        <w:rPr>
          <w:rFonts w:eastAsia="宋体" w:cs="宋体"/>
          <w:color w:val="000000"/>
          <w:sz w:val="24"/>
          <w:szCs w:val="24"/>
        </w:rPr>
      </w:pPr>
      <w:bookmarkStart w:id="6" w:name="_Toc363573854"/>
      <w:r>
        <w:rPr>
          <w:rFonts w:hint="eastAsia" w:eastAsia="宋体" w:cs="宋体"/>
          <w:color w:val="000000"/>
          <w:sz w:val="24"/>
          <w:szCs w:val="24"/>
        </w:rPr>
        <w:t>1. 采购人信息</w:t>
      </w:r>
    </w:p>
    <w:p w14:paraId="4A01F02E">
      <w:pPr>
        <w:spacing w:line="360" w:lineRule="auto"/>
        <w:ind w:firstLine="480" w:firstLineChars="200"/>
        <w:rPr>
          <w:rFonts w:eastAsia="宋体" w:cs="宋体"/>
          <w:color w:val="000000"/>
          <w:sz w:val="24"/>
          <w:szCs w:val="24"/>
        </w:rPr>
      </w:pPr>
      <w:r>
        <w:rPr>
          <w:rFonts w:hint="eastAsia" w:eastAsia="宋体" w:cs="宋体"/>
          <w:color w:val="000000"/>
          <w:sz w:val="24"/>
          <w:szCs w:val="24"/>
        </w:rPr>
        <w:t>名 称：江苏航运职业技术学院</w:t>
      </w:r>
    </w:p>
    <w:p w14:paraId="4E670651">
      <w:pPr>
        <w:spacing w:line="360" w:lineRule="auto"/>
        <w:ind w:firstLine="480" w:firstLineChars="200"/>
        <w:rPr>
          <w:rFonts w:eastAsia="宋体" w:cs="宋体"/>
          <w:color w:val="000000"/>
          <w:sz w:val="24"/>
          <w:szCs w:val="24"/>
        </w:rPr>
      </w:pPr>
      <w:r>
        <w:rPr>
          <w:rFonts w:hint="eastAsia" w:eastAsia="宋体" w:cs="宋体"/>
          <w:color w:val="000000"/>
          <w:sz w:val="24"/>
          <w:szCs w:val="24"/>
        </w:rPr>
        <w:t>地 址：江苏省南通市经济技术开发区通盛大道185号</w:t>
      </w:r>
    </w:p>
    <w:p w14:paraId="05B9D9D3">
      <w:pPr>
        <w:spacing w:line="360" w:lineRule="auto"/>
        <w:ind w:firstLine="480" w:firstLineChars="200"/>
        <w:rPr>
          <w:rFonts w:eastAsia="宋体" w:cs="宋体"/>
          <w:color w:val="000000"/>
          <w:sz w:val="24"/>
          <w:szCs w:val="24"/>
        </w:rPr>
      </w:pPr>
      <w:r>
        <w:rPr>
          <w:rFonts w:hint="eastAsia" w:eastAsia="宋体" w:cs="宋体"/>
          <w:color w:val="000000"/>
          <w:sz w:val="24"/>
          <w:szCs w:val="24"/>
        </w:rPr>
        <w:t>联系人：梁老师</w:t>
      </w:r>
    </w:p>
    <w:p w14:paraId="583BE96B">
      <w:pPr>
        <w:spacing w:line="360" w:lineRule="auto"/>
        <w:ind w:firstLine="480" w:firstLineChars="200"/>
        <w:rPr>
          <w:rFonts w:eastAsia="宋体" w:cs="宋体"/>
          <w:color w:val="000000"/>
          <w:sz w:val="24"/>
          <w:szCs w:val="24"/>
        </w:rPr>
      </w:pPr>
      <w:r>
        <w:rPr>
          <w:rFonts w:hint="eastAsia" w:eastAsia="宋体" w:cs="宋体"/>
          <w:color w:val="000000"/>
          <w:sz w:val="24"/>
          <w:szCs w:val="24"/>
        </w:rPr>
        <w:t>联系方式：15950889769</w:t>
      </w:r>
    </w:p>
    <w:p w14:paraId="4EB84387">
      <w:pPr>
        <w:spacing w:line="360" w:lineRule="auto"/>
        <w:ind w:firstLine="480" w:firstLineChars="200"/>
        <w:rPr>
          <w:rFonts w:hint="eastAsia" w:eastAsia="宋体" w:cs="宋体"/>
          <w:color w:val="000000"/>
          <w:sz w:val="24"/>
          <w:szCs w:val="24"/>
        </w:rPr>
      </w:pPr>
      <w:r>
        <w:rPr>
          <w:rFonts w:hint="eastAsia" w:eastAsia="宋体" w:cs="宋体"/>
          <w:color w:val="000000"/>
          <w:sz w:val="24"/>
          <w:szCs w:val="24"/>
        </w:rPr>
        <w:t>国有资产管理处：陆老师，0513-85960975</w:t>
      </w:r>
    </w:p>
    <w:p w14:paraId="33174E8A">
      <w:pPr>
        <w:spacing w:line="360" w:lineRule="auto"/>
        <w:ind w:firstLine="480" w:firstLineChars="200"/>
        <w:rPr>
          <w:rFonts w:eastAsia="宋体" w:cs="宋体"/>
          <w:color w:val="000000"/>
          <w:sz w:val="24"/>
          <w:szCs w:val="24"/>
        </w:rPr>
      </w:pPr>
      <w:r>
        <w:rPr>
          <w:rFonts w:hint="eastAsia" w:eastAsia="宋体" w:cs="宋体"/>
          <w:color w:val="000000"/>
          <w:sz w:val="24"/>
          <w:szCs w:val="24"/>
        </w:rPr>
        <w:t>2. 采购代理机构信息</w:t>
      </w:r>
    </w:p>
    <w:p w14:paraId="0C3FBB17">
      <w:pPr>
        <w:spacing w:line="360" w:lineRule="auto"/>
        <w:ind w:firstLine="480" w:firstLineChars="200"/>
        <w:rPr>
          <w:rFonts w:eastAsia="宋体" w:cs="宋体"/>
          <w:color w:val="000000"/>
          <w:sz w:val="24"/>
          <w:szCs w:val="24"/>
        </w:rPr>
      </w:pPr>
      <w:r>
        <w:rPr>
          <w:rFonts w:hint="eastAsia" w:eastAsia="宋体" w:cs="宋体"/>
          <w:color w:val="000000"/>
          <w:sz w:val="24"/>
          <w:szCs w:val="24"/>
        </w:rPr>
        <w:t>名 称：南通建辰工程咨询有限公司</w:t>
      </w:r>
    </w:p>
    <w:p w14:paraId="4E6DBB9F">
      <w:pPr>
        <w:spacing w:line="360" w:lineRule="auto"/>
        <w:ind w:firstLine="480" w:firstLineChars="200"/>
        <w:rPr>
          <w:rFonts w:eastAsia="宋体" w:cs="宋体"/>
          <w:color w:val="000000"/>
          <w:sz w:val="24"/>
          <w:szCs w:val="24"/>
        </w:rPr>
      </w:pPr>
      <w:r>
        <w:rPr>
          <w:rFonts w:hint="eastAsia" w:eastAsia="宋体" w:cs="宋体"/>
          <w:color w:val="000000"/>
          <w:sz w:val="24"/>
          <w:szCs w:val="24"/>
        </w:rPr>
        <w:t>地 址：南通市红星路1号太阳鑫城1幢东单元6楼</w:t>
      </w:r>
    </w:p>
    <w:p w14:paraId="27492F8F">
      <w:pPr>
        <w:spacing w:line="360" w:lineRule="auto"/>
        <w:ind w:firstLine="480" w:firstLineChars="200"/>
        <w:rPr>
          <w:rFonts w:eastAsia="宋体" w:cs="宋体"/>
          <w:color w:val="000000"/>
          <w:sz w:val="24"/>
          <w:szCs w:val="24"/>
        </w:rPr>
      </w:pPr>
      <w:r>
        <w:rPr>
          <w:rFonts w:hint="eastAsia" w:eastAsia="宋体" w:cs="宋体"/>
          <w:color w:val="000000"/>
          <w:sz w:val="24"/>
          <w:szCs w:val="24"/>
        </w:rPr>
        <w:t>联系方式：0513-89010636</w:t>
      </w:r>
    </w:p>
    <w:p w14:paraId="678F4000">
      <w:pPr>
        <w:spacing w:line="360" w:lineRule="auto"/>
        <w:ind w:firstLine="480" w:firstLineChars="200"/>
        <w:rPr>
          <w:rFonts w:eastAsia="宋体" w:cs="宋体"/>
          <w:color w:val="000000"/>
          <w:sz w:val="24"/>
          <w:szCs w:val="24"/>
        </w:rPr>
      </w:pPr>
      <w:r>
        <w:rPr>
          <w:rFonts w:hint="eastAsia" w:eastAsia="宋体" w:cs="宋体"/>
          <w:color w:val="000000"/>
          <w:sz w:val="24"/>
          <w:szCs w:val="24"/>
        </w:rPr>
        <w:t>3.项目联系方式</w:t>
      </w:r>
    </w:p>
    <w:p w14:paraId="299A0AA6">
      <w:pPr>
        <w:spacing w:line="360" w:lineRule="auto"/>
        <w:ind w:firstLine="480" w:firstLineChars="200"/>
        <w:rPr>
          <w:rFonts w:eastAsia="宋体" w:cs="宋体"/>
          <w:color w:val="000000"/>
          <w:sz w:val="24"/>
          <w:szCs w:val="24"/>
        </w:rPr>
      </w:pPr>
      <w:r>
        <w:rPr>
          <w:rFonts w:hint="eastAsia" w:eastAsia="宋体" w:cs="宋体"/>
          <w:color w:val="000000"/>
          <w:sz w:val="24"/>
          <w:szCs w:val="24"/>
        </w:rPr>
        <w:t>采购文件制作人：陆语石</w:t>
      </w:r>
    </w:p>
    <w:p w14:paraId="74BC6D0F">
      <w:pPr>
        <w:spacing w:line="360" w:lineRule="auto"/>
        <w:ind w:firstLine="480" w:firstLineChars="200"/>
        <w:rPr>
          <w:rFonts w:eastAsia="宋体" w:cs="宋体"/>
          <w:color w:val="000000"/>
          <w:sz w:val="24"/>
          <w:szCs w:val="24"/>
        </w:rPr>
      </w:pPr>
      <w:r>
        <w:rPr>
          <w:rFonts w:hint="eastAsia" w:eastAsia="宋体" w:cs="宋体"/>
          <w:color w:val="000000"/>
          <w:sz w:val="24"/>
          <w:szCs w:val="24"/>
        </w:rPr>
        <w:t>电 话：0513-89010636</w:t>
      </w:r>
    </w:p>
    <w:p w14:paraId="327B676B">
      <w:pPr>
        <w:spacing w:line="360" w:lineRule="auto"/>
        <w:ind w:firstLine="480" w:firstLineChars="200"/>
        <w:contextualSpacing/>
        <w:rPr>
          <w:rFonts w:eastAsia="宋体" w:cs="宋体"/>
          <w:color w:val="000000"/>
          <w:sz w:val="24"/>
          <w:szCs w:val="24"/>
        </w:rPr>
      </w:pPr>
      <w:r>
        <w:rPr>
          <w:rFonts w:hint="eastAsia" w:eastAsia="宋体" w:cs="宋体"/>
          <w:color w:val="000000"/>
          <w:sz w:val="24"/>
          <w:szCs w:val="24"/>
        </w:rPr>
        <w:t>4.软件技术支持：0519-86722801</w:t>
      </w:r>
    </w:p>
    <w:bookmarkEnd w:id="6"/>
    <w:p w14:paraId="56DD7CEB">
      <w:pPr>
        <w:pStyle w:val="2"/>
        <w:pBdr>
          <w:top w:val="none" w:color="000000" w:sz="0" w:space="0"/>
          <w:left w:val="none" w:color="000000" w:sz="0" w:space="0"/>
          <w:bottom w:val="none" w:color="000000" w:sz="0" w:space="0"/>
          <w:right w:val="none" w:color="000000" w:sz="0" w:space="0"/>
        </w:pBdr>
        <w:spacing w:before="0" w:after="0" w:line="360" w:lineRule="auto"/>
        <w:ind w:firstLine="482" w:firstLineChars="200"/>
        <w:rPr>
          <w:rFonts w:ascii="宋体" w:hAnsi="宋体" w:eastAsia="宋体" w:cs="宋体"/>
          <w:b/>
          <w:sz w:val="24"/>
          <w:szCs w:val="24"/>
        </w:rPr>
      </w:pPr>
    </w:p>
    <w:p w14:paraId="7CE44C7B">
      <w:pPr>
        <w:pStyle w:val="2"/>
        <w:pBdr>
          <w:top w:val="none" w:color="000000" w:sz="0" w:space="0"/>
          <w:left w:val="none" w:color="000000" w:sz="0" w:space="0"/>
          <w:bottom w:val="none" w:color="000000" w:sz="0" w:space="0"/>
          <w:right w:val="none" w:color="000000" w:sz="0" w:space="0"/>
        </w:pBdr>
        <w:spacing w:before="0" w:after="0" w:line="360" w:lineRule="auto"/>
        <w:ind w:firstLine="482" w:firstLineChars="200"/>
        <w:rPr>
          <w:rFonts w:ascii="宋体" w:hAnsi="宋体" w:eastAsia="宋体" w:cs="宋体"/>
          <w:b/>
          <w:sz w:val="24"/>
          <w:szCs w:val="24"/>
        </w:rPr>
      </w:pPr>
      <w:r>
        <w:rPr>
          <w:rFonts w:hint="eastAsia" w:ascii="宋体" w:hAnsi="宋体" w:eastAsia="宋体" w:cs="宋体"/>
          <w:b/>
          <w:sz w:val="24"/>
          <w:szCs w:val="24"/>
        </w:rPr>
        <w:t>附件：</w:t>
      </w:r>
    </w:p>
    <w:p w14:paraId="5136A586">
      <w:pPr>
        <w:pStyle w:val="2"/>
        <w:pBdr>
          <w:top w:val="none" w:color="000000" w:sz="0" w:space="0"/>
          <w:left w:val="none" w:color="000000" w:sz="0" w:space="0"/>
          <w:bottom w:val="none" w:color="000000" w:sz="0" w:space="0"/>
          <w:right w:val="none" w:color="000000" w:sz="0" w:space="0"/>
        </w:pBdr>
        <w:spacing w:before="0" w:after="0" w:line="360" w:lineRule="auto"/>
        <w:ind w:firstLine="482" w:firstLineChars="200"/>
        <w:rPr>
          <w:rFonts w:ascii="宋体" w:hAnsi="宋体" w:eastAsia="宋体" w:cs="宋体"/>
          <w:b/>
          <w:sz w:val="24"/>
          <w:szCs w:val="24"/>
        </w:rPr>
      </w:pPr>
      <w:r>
        <w:rPr>
          <w:rFonts w:hint="eastAsia" w:ascii="宋体" w:hAnsi="宋体" w:eastAsia="宋体" w:cs="宋体"/>
          <w:b/>
          <w:sz w:val="24"/>
          <w:szCs w:val="24"/>
        </w:rPr>
        <w:t>1.公开招标文件</w:t>
      </w:r>
    </w:p>
    <w:p w14:paraId="5E273C78">
      <w:pPr>
        <w:pStyle w:val="2"/>
        <w:pBdr>
          <w:top w:val="none" w:color="000000" w:sz="0" w:space="0"/>
          <w:left w:val="none" w:color="000000" w:sz="0" w:space="0"/>
          <w:bottom w:val="none" w:color="000000" w:sz="0" w:space="0"/>
          <w:right w:val="none" w:color="000000" w:sz="0" w:space="0"/>
        </w:pBdr>
        <w:spacing w:before="0" w:after="0" w:line="360" w:lineRule="auto"/>
        <w:ind w:firstLine="482" w:firstLineChars="200"/>
        <w:rPr>
          <w:rFonts w:ascii="宋体" w:hAnsi="宋体" w:eastAsia="宋体" w:cs="宋体"/>
          <w:b/>
          <w:sz w:val="24"/>
          <w:szCs w:val="24"/>
        </w:rPr>
      </w:pPr>
      <w:r>
        <w:rPr>
          <w:rFonts w:hint="eastAsia" w:ascii="宋体" w:hAnsi="宋体" w:eastAsia="宋体" w:cs="宋体"/>
          <w:b/>
          <w:sz w:val="24"/>
          <w:szCs w:val="24"/>
        </w:rPr>
        <w:t>2.政府采购采购人信用承诺书</w:t>
      </w:r>
    </w:p>
    <w:p w14:paraId="3D2D0D74">
      <w:pPr>
        <w:pStyle w:val="2"/>
        <w:pBdr>
          <w:top w:val="none" w:color="000000" w:sz="0" w:space="0"/>
          <w:left w:val="none" w:color="000000" w:sz="0" w:space="0"/>
          <w:bottom w:val="none" w:color="000000" w:sz="0" w:space="0"/>
          <w:right w:val="none" w:color="000000" w:sz="0" w:space="0"/>
        </w:pBdr>
        <w:spacing w:before="0" w:after="0" w:line="360" w:lineRule="auto"/>
        <w:ind w:firstLine="482" w:firstLineChars="200"/>
        <w:rPr>
          <w:rFonts w:ascii="宋体" w:hAnsi="宋体" w:eastAsia="宋体" w:cs="宋体"/>
          <w:b/>
          <w:sz w:val="24"/>
          <w:szCs w:val="24"/>
        </w:rPr>
      </w:pPr>
      <w:r>
        <w:rPr>
          <w:rFonts w:hint="eastAsia" w:ascii="宋体" w:hAnsi="宋体" w:eastAsia="宋体" w:cs="宋体"/>
          <w:b/>
          <w:sz w:val="24"/>
          <w:szCs w:val="24"/>
        </w:rPr>
        <w:t>3.公平竞争审查二维码</w:t>
      </w:r>
    </w:p>
    <w:p w14:paraId="2D9B594A">
      <w:pPr>
        <w:pStyle w:val="2"/>
        <w:pBdr>
          <w:top w:val="none" w:color="000000" w:sz="0" w:space="0"/>
          <w:left w:val="none" w:color="000000" w:sz="0" w:space="0"/>
          <w:bottom w:val="none" w:color="000000" w:sz="0" w:space="0"/>
          <w:right w:val="none" w:color="000000" w:sz="0" w:space="0"/>
        </w:pBdr>
        <w:spacing w:before="0" w:after="0" w:line="360" w:lineRule="auto"/>
        <w:ind w:firstLine="482" w:firstLineChars="200"/>
        <w:rPr>
          <w:rFonts w:ascii="宋体" w:hAnsi="宋体" w:eastAsia="宋体" w:cs="宋体"/>
          <w:b/>
          <w:sz w:val="24"/>
          <w:szCs w:val="24"/>
        </w:rPr>
      </w:pPr>
      <w:r>
        <w:rPr>
          <w:rFonts w:hint="eastAsia" w:ascii="宋体" w:hAnsi="宋体" w:eastAsia="宋体" w:cs="宋体"/>
          <w:b/>
          <w:sz w:val="24"/>
          <w:szCs w:val="24"/>
        </w:rPr>
        <w:t>4.办理政采贷和履约保函（保险）告知函</w:t>
      </w:r>
    </w:p>
    <w:p w14:paraId="6EC28EAE"/>
    <w:p w14:paraId="306C31AC">
      <w:pPr>
        <w:spacing w:line="360" w:lineRule="auto"/>
        <w:contextualSpacing/>
        <w:jc w:val="center"/>
        <w:rPr>
          <w:rFonts w:eastAsia="宋体" w:cs="宋体"/>
          <w:b/>
          <w:color w:val="000000"/>
          <w:sz w:val="36"/>
          <w:szCs w:val="36"/>
        </w:rPr>
      </w:pPr>
      <w:bookmarkStart w:id="7" w:name="_Toc13543213"/>
    </w:p>
    <w:p w14:paraId="0BE4746A">
      <w:pPr>
        <w:jc w:val="center"/>
        <w:rPr>
          <w:rFonts w:eastAsia="宋体"/>
          <w:b/>
          <w:color w:val="000000"/>
          <w:sz w:val="24"/>
          <w:szCs w:val="24"/>
        </w:rPr>
      </w:pPr>
      <w:r>
        <w:rPr>
          <w:rFonts w:hint="eastAsia" w:eastAsia="宋体" w:cs="宋体"/>
          <w:b/>
          <w:color w:val="000000"/>
          <w:sz w:val="36"/>
          <w:szCs w:val="36"/>
        </w:rPr>
        <w:t>第二章  投标人须知</w:t>
      </w:r>
    </w:p>
    <w:p w14:paraId="181B54FD">
      <w:pPr>
        <w:spacing w:line="360" w:lineRule="auto"/>
        <w:ind w:firstLine="422" w:firstLineChars="200"/>
        <w:contextualSpacing/>
        <w:rPr>
          <w:rFonts w:eastAsia="宋体"/>
          <w:b/>
          <w:color w:val="000000"/>
          <w:sz w:val="21"/>
          <w:szCs w:val="21"/>
        </w:rPr>
      </w:pPr>
    </w:p>
    <w:p w14:paraId="7D0C53F1">
      <w:pPr>
        <w:spacing w:line="360" w:lineRule="auto"/>
        <w:ind w:firstLine="482" w:firstLineChars="200"/>
        <w:contextualSpacing/>
        <w:rPr>
          <w:rFonts w:eastAsia="宋体"/>
          <w:b/>
          <w:color w:val="000000"/>
          <w:sz w:val="24"/>
          <w:szCs w:val="24"/>
        </w:rPr>
      </w:pPr>
      <w:r>
        <w:rPr>
          <w:rFonts w:hint="eastAsia" w:eastAsia="宋体"/>
          <w:b/>
          <w:color w:val="000000"/>
          <w:sz w:val="24"/>
          <w:szCs w:val="24"/>
        </w:rPr>
        <w:t>一、总则</w:t>
      </w:r>
    </w:p>
    <w:p w14:paraId="3C22A263">
      <w:pPr>
        <w:spacing w:line="360" w:lineRule="auto"/>
        <w:ind w:firstLine="480" w:firstLineChars="200"/>
        <w:contextualSpacing/>
        <w:rPr>
          <w:rFonts w:eastAsia="宋体"/>
          <w:b/>
          <w:bCs/>
          <w:color w:val="000000"/>
          <w:sz w:val="24"/>
          <w:szCs w:val="24"/>
        </w:rPr>
      </w:pPr>
      <w:r>
        <w:rPr>
          <w:rFonts w:hint="eastAsia" w:eastAsia="宋体"/>
          <w:color w:val="000000"/>
          <w:sz w:val="24"/>
          <w:szCs w:val="24"/>
        </w:rPr>
        <w:t>1.招标方式</w:t>
      </w:r>
    </w:p>
    <w:p w14:paraId="19BE49CC">
      <w:pPr>
        <w:spacing w:line="360" w:lineRule="auto"/>
        <w:ind w:firstLine="480" w:firstLineChars="200"/>
        <w:contextualSpacing/>
        <w:rPr>
          <w:rFonts w:eastAsia="宋体"/>
          <w:color w:val="000000"/>
          <w:sz w:val="24"/>
          <w:szCs w:val="24"/>
        </w:rPr>
      </w:pPr>
      <w:r>
        <w:rPr>
          <w:rFonts w:hint="eastAsia" w:eastAsia="宋体"/>
          <w:color w:val="000000"/>
          <w:sz w:val="24"/>
          <w:szCs w:val="24"/>
        </w:rPr>
        <w:t>1.1 本次招标采取公开招标方式，本招标文件仅适用于招标公告中所述项目。</w:t>
      </w:r>
    </w:p>
    <w:p w14:paraId="00AFF504">
      <w:pPr>
        <w:spacing w:line="360" w:lineRule="auto"/>
        <w:ind w:firstLine="480" w:firstLineChars="200"/>
        <w:contextualSpacing/>
        <w:rPr>
          <w:rFonts w:eastAsia="宋体"/>
          <w:b/>
          <w:bCs/>
          <w:color w:val="000000"/>
          <w:sz w:val="24"/>
          <w:szCs w:val="24"/>
        </w:rPr>
      </w:pPr>
      <w:r>
        <w:rPr>
          <w:rFonts w:hint="eastAsia" w:eastAsia="宋体"/>
          <w:color w:val="000000"/>
          <w:sz w:val="24"/>
          <w:szCs w:val="24"/>
        </w:rPr>
        <w:t>2.合格的投标人</w:t>
      </w:r>
    </w:p>
    <w:p w14:paraId="5403E421">
      <w:pPr>
        <w:spacing w:line="360" w:lineRule="auto"/>
        <w:ind w:firstLine="480" w:firstLineChars="200"/>
        <w:contextualSpacing/>
        <w:rPr>
          <w:rFonts w:eastAsia="宋体"/>
          <w:color w:val="000000"/>
          <w:sz w:val="24"/>
          <w:szCs w:val="24"/>
        </w:rPr>
      </w:pPr>
      <w:r>
        <w:rPr>
          <w:rFonts w:hint="eastAsia" w:eastAsia="宋体"/>
          <w:color w:val="000000"/>
          <w:sz w:val="24"/>
          <w:szCs w:val="24"/>
        </w:rPr>
        <w:t>2.1 满足招标公告中投标人的资格要求的规定。</w:t>
      </w:r>
    </w:p>
    <w:p w14:paraId="654FA925">
      <w:pPr>
        <w:spacing w:line="360" w:lineRule="auto"/>
        <w:ind w:firstLine="480" w:firstLineChars="200"/>
        <w:contextualSpacing/>
        <w:rPr>
          <w:rFonts w:eastAsia="宋体"/>
          <w:color w:val="000000"/>
          <w:sz w:val="24"/>
          <w:szCs w:val="24"/>
        </w:rPr>
      </w:pPr>
      <w:r>
        <w:rPr>
          <w:rFonts w:hint="eastAsia" w:eastAsia="宋体"/>
          <w:color w:val="000000"/>
          <w:sz w:val="24"/>
          <w:szCs w:val="24"/>
        </w:rPr>
        <w:t>2.2 满足本文件实质性要求和条件的规定。</w:t>
      </w:r>
    </w:p>
    <w:p w14:paraId="6BF321FB">
      <w:pPr>
        <w:spacing w:line="360" w:lineRule="auto"/>
        <w:ind w:firstLine="480" w:firstLineChars="200"/>
        <w:contextualSpacing/>
        <w:rPr>
          <w:rFonts w:eastAsia="宋体"/>
          <w:b/>
          <w:bCs/>
          <w:color w:val="000000"/>
          <w:sz w:val="24"/>
          <w:szCs w:val="24"/>
        </w:rPr>
      </w:pPr>
      <w:r>
        <w:rPr>
          <w:rFonts w:hint="eastAsia" w:eastAsia="宋体"/>
          <w:color w:val="000000"/>
          <w:sz w:val="24"/>
          <w:szCs w:val="24"/>
        </w:rPr>
        <w:t>3.适用法律</w:t>
      </w:r>
    </w:p>
    <w:p w14:paraId="5007A597">
      <w:pPr>
        <w:spacing w:line="360" w:lineRule="auto"/>
        <w:ind w:firstLine="480" w:firstLineChars="200"/>
        <w:contextualSpacing/>
        <w:rPr>
          <w:rFonts w:eastAsia="宋体"/>
          <w:color w:val="000000"/>
          <w:sz w:val="24"/>
          <w:szCs w:val="24"/>
        </w:rPr>
      </w:pPr>
      <w:r>
        <w:rPr>
          <w:rFonts w:hint="eastAsia" w:eastAsia="宋体"/>
          <w:color w:val="000000"/>
          <w:sz w:val="24"/>
          <w:szCs w:val="24"/>
        </w:rPr>
        <w:t>3.1 本次招标及由此产生的合同受中华人民共和国有关的法律法规制约和保护。</w:t>
      </w:r>
    </w:p>
    <w:p w14:paraId="19BFDF0C">
      <w:pPr>
        <w:spacing w:line="360" w:lineRule="auto"/>
        <w:ind w:firstLine="480" w:firstLineChars="200"/>
        <w:contextualSpacing/>
        <w:rPr>
          <w:rFonts w:eastAsia="宋体"/>
          <w:color w:val="000000"/>
          <w:sz w:val="24"/>
          <w:szCs w:val="24"/>
        </w:rPr>
      </w:pPr>
      <w:r>
        <w:rPr>
          <w:rFonts w:hint="eastAsia" w:eastAsia="宋体"/>
          <w:color w:val="000000"/>
          <w:sz w:val="24"/>
          <w:szCs w:val="24"/>
        </w:rPr>
        <w:t>4.投标费用</w:t>
      </w:r>
    </w:p>
    <w:p w14:paraId="1552329B">
      <w:pPr>
        <w:spacing w:line="360" w:lineRule="auto"/>
        <w:ind w:firstLine="480" w:firstLineChars="200"/>
        <w:contextualSpacing/>
        <w:rPr>
          <w:rFonts w:hint="eastAsia" w:eastAsia="宋体"/>
          <w:color w:val="000000"/>
          <w:sz w:val="24"/>
          <w:szCs w:val="24"/>
        </w:rPr>
      </w:pPr>
      <w:r>
        <w:rPr>
          <w:rFonts w:hint="eastAsia" w:eastAsia="宋体"/>
          <w:color w:val="000000"/>
          <w:sz w:val="24"/>
          <w:szCs w:val="24"/>
        </w:rPr>
        <w:t>4.1 投标人应自行承担所有与参加投标有关的费用，无论投标过程中的做法和结果如何，招标人及代理机构在任何情况下均无义务和责任承担这些费用。</w:t>
      </w:r>
    </w:p>
    <w:p w14:paraId="03D82F46">
      <w:pPr>
        <w:spacing w:line="360" w:lineRule="auto"/>
        <w:ind w:firstLine="480" w:firstLineChars="200"/>
        <w:contextualSpacing/>
        <w:rPr>
          <w:rFonts w:hint="eastAsia" w:eastAsia="宋体"/>
          <w:color w:val="000000"/>
          <w:sz w:val="24"/>
          <w:szCs w:val="24"/>
        </w:rPr>
      </w:pPr>
      <w:r>
        <w:rPr>
          <w:rFonts w:hint="eastAsia" w:eastAsia="宋体"/>
          <w:color w:val="000000"/>
          <w:sz w:val="24"/>
          <w:szCs w:val="24"/>
        </w:rPr>
        <w:t>4.2 采购人不收取任何费用。</w:t>
      </w:r>
    </w:p>
    <w:p w14:paraId="64CD51F4">
      <w:pPr>
        <w:spacing w:line="360" w:lineRule="auto"/>
        <w:ind w:firstLine="480" w:firstLineChars="200"/>
        <w:contextualSpacing/>
        <w:rPr>
          <w:rFonts w:hint="eastAsia" w:eastAsia="宋体"/>
          <w:color w:val="000000"/>
          <w:sz w:val="24"/>
          <w:szCs w:val="24"/>
        </w:rPr>
      </w:pPr>
      <w:r>
        <w:rPr>
          <w:rFonts w:hint="eastAsia" w:eastAsia="宋体"/>
          <w:color w:val="000000"/>
          <w:sz w:val="24"/>
          <w:szCs w:val="24"/>
        </w:rPr>
        <w:t>4.3 招标代理费：依据财政部《政府采购代理机构管理暂行办法》第十五条规定，约定由中标（成交）供应商向招标代理机构支付代理服务费。代理服务费计取金额按照《江苏省政府采购代理常规服务收费指导价》列明的定额或差额定率分档累进费率和项目中标或者成交金额计算(有分包的以一个项目计算)结果的70%计，此项费用含在投标报价中，并不单独列项，由中标（成交）供应商在取得中标（成交）通知书前，向招标代理机构一次付清。</w:t>
      </w: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53"/>
        <w:gridCol w:w="2020"/>
      </w:tblGrid>
      <w:tr w14:paraId="1B1EC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4353" w:type="dxa"/>
            <w:vAlign w:val="center"/>
          </w:tcPr>
          <w:p w14:paraId="75BBDB7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中标或者成交金额</w:t>
            </w:r>
          </w:p>
        </w:tc>
        <w:tc>
          <w:tcPr>
            <w:tcW w:w="2020" w:type="dxa"/>
            <w:vAlign w:val="center"/>
          </w:tcPr>
          <w:p w14:paraId="2576E79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费率</w:t>
            </w:r>
          </w:p>
        </w:tc>
      </w:tr>
      <w:tr w14:paraId="3F13D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4353" w:type="dxa"/>
            <w:vAlign w:val="center"/>
          </w:tcPr>
          <w:p w14:paraId="7998CE9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最低收费金额</w:t>
            </w:r>
            <w:r>
              <w:rPr>
                <w:rFonts w:hint="eastAsia" w:ascii="宋体" w:hAnsi="宋体" w:eastAsia="宋体" w:cs="宋体"/>
                <w:sz w:val="24"/>
                <w:szCs w:val="24"/>
                <w:lang w:eastAsia="zh-CN"/>
              </w:rPr>
              <w:t>（</w:t>
            </w:r>
            <w:r>
              <w:rPr>
                <w:rFonts w:hint="eastAsia" w:ascii="宋体" w:hAnsi="宋体" w:eastAsia="宋体" w:cs="宋体"/>
                <w:sz w:val="24"/>
                <w:szCs w:val="24"/>
              </w:rPr>
              <w:t>每个委托项目</w:t>
            </w:r>
            <w:r>
              <w:rPr>
                <w:rFonts w:hint="eastAsia" w:ascii="宋体" w:hAnsi="宋体" w:eastAsia="宋体" w:cs="宋体"/>
                <w:sz w:val="24"/>
                <w:szCs w:val="24"/>
                <w:lang w:eastAsia="zh-CN"/>
              </w:rPr>
              <w:t>）</w:t>
            </w:r>
          </w:p>
        </w:tc>
        <w:tc>
          <w:tcPr>
            <w:tcW w:w="2020" w:type="dxa"/>
            <w:vAlign w:val="center"/>
          </w:tcPr>
          <w:p w14:paraId="33E3DD5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5000元</w:t>
            </w:r>
          </w:p>
        </w:tc>
      </w:tr>
      <w:tr w14:paraId="1CDCB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4353" w:type="dxa"/>
            <w:vAlign w:val="center"/>
          </w:tcPr>
          <w:p w14:paraId="1C3B9CB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50万元以下</w:t>
            </w:r>
            <w:r>
              <w:rPr>
                <w:rFonts w:hint="eastAsia" w:ascii="宋体" w:hAnsi="宋体" w:eastAsia="宋体" w:cs="宋体"/>
                <w:sz w:val="24"/>
                <w:szCs w:val="24"/>
                <w:lang w:eastAsia="zh-CN"/>
              </w:rPr>
              <w:t>（</w:t>
            </w:r>
            <w:r>
              <w:rPr>
                <w:rFonts w:hint="eastAsia" w:ascii="宋体" w:hAnsi="宋体" w:eastAsia="宋体" w:cs="宋体"/>
                <w:sz w:val="24"/>
                <w:szCs w:val="24"/>
              </w:rPr>
              <w:t>含50万元</w:t>
            </w:r>
            <w:r>
              <w:rPr>
                <w:rFonts w:hint="eastAsia" w:ascii="宋体" w:hAnsi="宋体" w:eastAsia="宋体" w:cs="宋体"/>
                <w:sz w:val="24"/>
                <w:szCs w:val="24"/>
                <w:lang w:eastAsia="zh-CN"/>
              </w:rPr>
              <w:t>）</w:t>
            </w:r>
          </w:p>
        </w:tc>
        <w:tc>
          <w:tcPr>
            <w:tcW w:w="2020" w:type="dxa"/>
            <w:vAlign w:val="center"/>
          </w:tcPr>
          <w:p w14:paraId="69E43BF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1.6%</w:t>
            </w:r>
          </w:p>
        </w:tc>
      </w:tr>
      <w:tr w14:paraId="3878D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4353" w:type="dxa"/>
            <w:vAlign w:val="center"/>
          </w:tcPr>
          <w:p w14:paraId="6ECF38D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50-400万元</w:t>
            </w:r>
            <w:r>
              <w:rPr>
                <w:rFonts w:hint="eastAsia" w:ascii="宋体" w:hAnsi="宋体" w:eastAsia="宋体" w:cs="宋体"/>
                <w:sz w:val="24"/>
                <w:szCs w:val="24"/>
                <w:lang w:eastAsia="zh-CN"/>
              </w:rPr>
              <w:t>（</w:t>
            </w:r>
            <w:r>
              <w:rPr>
                <w:rFonts w:hint="eastAsia" w:ascii="宋体" w:hAnsi="宋体" w:eastAsia="宋体" w:cs="宋体"/>
                <w:sz w:val="24"/>
                <w:szCs w:val="24"/>
              </w:rPr>
              <w:t>含400万元</w:t>
            </w:r>
            <w:r>
              <w:rPr>
                <w:rFonts w:hint="eastAsia" w:ascii="宋体" w:hAnsi="宋体" w:eastAsia="宋体" w:cs="宋体"/>
                <w:sz w:val="24"/>
                <w:szCs w:val="24"/>
                <w:lang w:eastAsia="zh-CN"/>
              </w:rPr>
              <w:t>）</w:t>
            </w:r>
          </w:p>
        </w:tc>
        <w:tc>
          <w:tcPr>
            <w:tcW w:w="2020" w:type="dxa"/>
            <w:vAlign w:val="center"/>
          </w:tcPr>
          <w:p w14:paraId="0A86853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r>
    </w:tbl>
    <w:p w14:paraId="4A5C69F0">
      <w:pPr>
        <w:spacing w:line="360" w:lineRule="auto"/>
        <w:ind w:firstLine="480" w:firstLineChars="200"/>
        <w:contextualSpacing/>
        <w:rPr>
          <w:rFonts w:eastAsia="宋体"/>
          <w:color w:val="000000"/>
          <w:sz w:val="24"/>
          <w:szCs w:val="24"/>
        </w:rPr>
      </w:pPr>
      <w:r>
        <w:rPr>
          <w:rFonts w:hint="eastAsia" w:eastAsia="宋体"/>
          <w:color w:val="000000"/>
          <w:sz w:val="24"/>
          <w:szCs w:val="24"/>
        </w:rPr>
        <w:t>采购代理服务费收取账户信息如下：</w:t>
      </w:r>
    </w:p>
    <w:p w14:paraId="7B5B1B78">
      <w:pPr>
        <w:spacing w:line="360" w:lineRule="auto"/>
        <w:ind w:firstLine="480" w:firstLineChars="200"/>
        <w:contextualSpacing/>
        <w:rPr>
          <w:rFonts w:eastAsia="宋体"/>
          <w:color w:val="000000"/>
          <w:sz w:val="24"/>
          <w:szCs w:val="24"/>
        </w:rPr>
      </w:pPr>
      <w:r>
        <w:rPr>
          <w:rFonts w:hint="eastAsia" w:eastAsia="宋体"/>
          <w:color w:val="000000"/>
          <w:sz w:val="24"/>
          <w:szCs w:val="24"/>
        </w:rPr>
        <w:t>收款单位：南通建辰工程咨询有限公司；</w:t>
      </w:r>
    </w:p>
    <w:p w14:paraId="7D12E418">
      <w:pPr>
        <w:spacing w:line="360" w:lineRule="auto"/>
        <w:ind w:firstLine="480" w:firstLineChars="200"/>
        <w:contextualSpacing/>
        <w:rPr>
          <w:rFonts w:eastAsia="宋体"/>
          <w:color w:val="000000"/>
          <w:sz w:val="24"/>
          <w:szCs w:val="24"/>
        </w:rPr>
      </w:pPr>
      <w:r>
        <w:rPr>
          <w:rFonts w:hint="eastAsia" w:eastAsia="宋体"/>
          <w:color w:val="000000"/>
          <w:sz w:val="24"/>
          <w:szCs w:val="24"/>
        </w:rPr>
        <w:t>开户行：上海浦东发展银行南通分行；</w:t>
      </w:r>
    </w:p>
    <w:p w14:paraId="06873C86">
      <w:pPr>
        <w:spacing w:line="360" w:lineRule="auto"/>
        <w:ind w:firstLine="480" w:firstLineChars="200"/>
        <w:contextualSpacing/>
        <w:rPr>
          <w:rFonts w:eastAsia="宋体"/>
          <w:color w:val="000000"/>
          <w:sz w:val="24"/>
          <w:szCs w:val="24"/>
        </w:rPr>
      </w:pPr>
      <w:r>
        <w:rPr>
          <w:rFonts w:hint="eastAsia" w:eastAsia="宋体"/>
          <w:color w:val="000000"/>
          <w:sz w:val="24"/>
          <w:szCs w:val="24"/>
        </w:rPr>
        <w:t>账  号：88010154730000186。</w:t>
      </w:r>
    </w:p>
    <w:p w14:paraId="44BB39FA">
      <w:pPr>
        <w:spacing w:line="360" w:lineRule="auto"/>
        <w:ind w:firstLine="480" w:firstLineChars="200"/>
        <w:contextualSpacing/>
        <w:rPr>
          <w:rFonts w:eastAsia="宋体"/>
          <w:b/>
          <w:bCs/>
          <w:color w:val="000000"/>
          <w:sz w:val="24"/>
          <w:szCs w:val="24"/>
        </w:rPr>
      </w:pPr>
      <w:r>
        <w:rPr>
          <w:rFonts w:hint="eastAsia" w:eastAsia="宋体"/>
          <w:color w:val="000000"/>
          <w:sz w:val="24"/>
          <w:szCs w:val="24"/>
        </w:rPr>
        <w:t>5.招标文件的约束力</w:t>
      </w:r>
    </w:p>
    <w:p w14:paraId="4250BCB4">
      <w:pPr>
        <w:spacing w:line="360" w:lineRule="auto"/>
        <w:ind w:firstLine="480" w:firstLineChars="200"/>
        <w:contextualSpacing/>
        <w:rPr>
          <w:rFonts w:eastAsia="宋体"/>
          <w:color w:val="000000"/>
          <w:sz w:val="24"/>
          <w:szCs w:val="24"/>
        </w:rPr>
      </w:pPr>
      <w:r>
        <w:rPr>
          <w:rFonts w:hint="eastAsia" w:eastAsia="宋体"/>
          <w:bCs/>
          <w:color w:val="000000"/>
          <w:sz w:val="24"/>
          <w:szCs w:val="24"/>
        </w:rPr>
        <w:t>5.1</w:t>
      </w:r>
      <w:r>
        <w:rPr>
          <w:rFonts w:hint="eastAsia" w:eastAsia="宋体"/>
          <w:color w:val="000000"/>
          <w:sz w:val="24"/>
          <w:szCs w:val="24"/>
        </w:rPr>
        <w:t xml:space="preserve"> 投标人一旦参加本项目采购活动，即被认为接受了本招标文件的规定和约束。</w:t>
      </w:r>
    </w:p>
    <w:p w14:paraId="165FBBC0">
      <w:pPr>
        <w:spacing w:line="360" w:lineRule="auto"/>
        <w:ind w:firstLine="480" w:firstLineChars="200"/>
        <w:contextualSpacing/>
        <w:rPr>
          <w:rFonts w:eastAsia="宋体"/>
          <w:color w:val="000000"/>
          <w:sz w:val="24"/>
          <w:szCs w:val="24"/>
        </w:rPr>
      </w:pPr>
      <w:r>
        <w:rPr>
          <w:rFonts w:hint="eastAsia" w:eastAsia="宋体"/>
          <w:color w:val="000000"/>
          <w:sz w:val="24"/>
          <w:szCs w:val="24"/>
        </w:rPr>
        <w:t>6.招标文件的解释</w:t>
      </w:r>
    </w:p>
    <w:p w14:paraId="1D020500">
      <w:pPr>
        <w:spacing w:line="360" w:lineRule="auto"/>
        <w:ind w:firstLine="480" w:firstLineChars="200"/>
        <w:contextualSpacing/>
        <w:rPr>
          <w:rFonts w:eastAsia="宋体"/>
          <w:color w:val="000000"/>
          <w:sz w:val="24"/>
          <w:szCs w:val="24"/>
        </w:rPr>
      </w:pPr>
      <w:r>
        <w:rPr>
          <w:rFonts w:hint="eastAsia" w:eastAsia="宋体"/>
          <w:bCs/>
          <w:color w:val="000000"/>
          <w:sz w:val="24"/>
          <w:szCs w:val="24"/>
        </w:rPr>
        <w:t xml:space="preserve">6.1 </w:t>
      </w:r>
      <w:r>
        <w:rPr>
          <w:rFonts w:hint="eastAsia" w:eastAsia="宋体"/>
          <w:color w:val="000000"/>
          <w:sz w:val="24"/>
          <w:szCs w:val="24"/>
        </w:rPr>
        <w:t>招标文件需求部分（投标人资格要求、项目需求、商务技术评分标准）由招标人解释，其它部分由招标代理机构解释。</w:t>
      </w:r>
    </w:p>
    <w:p w14:paraId="476E906E">
      <w:pPr>
        <w:spacing w:line="360" w:lineRule="auto"/>
        <w:ind w:firstLine="482" w:firstLineChars="200"/>
        <w:contextualSpacing/>
        <w:rPr>
          <w:rFonts w:eastAsia="宋体"/>
          <w:b/>
          <w:bCs/>
          <w:color w:val="000000"/>
          <w:sz w:val="24"/>
          <w:szCs w:val="24"/>
        </w:rPr>
      </w:pPr>
      <w:r>
        <w:rPr>
          <w:rFonts w:eastAsia="宋体"/>
          <w:b/>
          <w:bCs/>
          <w:color w:val="000000"/>
          <w:sz w:val="24"/>
          <w:szCs w:val="24"/>
        </w:rPr>
        <w:t>二、</w:t>
      </w:r>
      <w:r>
        <w:rPr>
          <w:rFonts w:hint="eastAsia" w:eastAsia="宋体"/>
          <w:b/>
          <w:bCs/>
          <w:color w:val="000000"/>
          <w:sz w:val="24"/>
          <w:szCs w:val="24"/>
        </w:rPr>
        <w:t>招标文件</w:t>
      </w:r>
    </w:p>
    <w:p w14:paraId="4068A270">
      <w:pPr>
        <w:spacing w:line="360" w:lineRule="auto"/>
        <w:ind w:firstLine="480" w:firstLineChars="200"/>
        <w:contextualSpacing/>
        <w:rPr>
          <w:rFonts w:eastAsia="宋体"/>
          <w:b/>
          <w:bCs/>
          <w:color w:val="000000"/>
          <w:sz w:val="24"/>
          <w:szCs w:val="24"/>
        </w:rPr>
      </w:pPr>
      <w:r>
        <w:rPr>
          <w:rFonts w:hint="eastAsia" w:eastAsia="宋体"/>
          <w:color w:val="000000"/>
          <w:sz w:val="24"/>
          <w:szCs w:val="24"/>
        </w:rPr>
        <w:t>1.招标文件构成</w:t>
      </w:r>
    </w:p>
    <w:p w14:paraId="51B6A7CF">
      <w:pPr>
        <w:spacing w:line="360" w:lineRule="auto"/>
        <w:ind w:firstLine="480" w:firstLineChars="200"/>
        <w:contextualSpacing/>
        <w:rPr>
          <w:rFonts w:eastAsia="宋体"/>
          <w:color w:val="000000"/>
          <w:sz w:val="24"/>
          <w:szCs w:val="24"/>
        </w:rPr>
      </w:pPr>
      <w:r>
        <w:rPr>
          <w:rFonts w:hint="eastAsia" w:eastAsia="宋体"/>
          <w:bCs/>
          <w:color w:val="000000"/>
          <w:sz w:val="24"/>
          <w:szCs w:val="24"/>
        </w:rPr>
        <w:t>1.1</w:t>
      </w:r>
      <w:r>
        <w:rPr>
          <w:rFonts w:hint="eastAsia" w:eastAsia="宋体"/>
          <w:color w:val="000000"/>
          <w:sz w:val="24"/>
          <w:szCs w:val="24"/>
        </w:rPr>
        <w:t xml:space="preserve"> 招标文件由以下部分组成：</w:t>
      </w:r>
    </w:p>
    <w:p w14:paraId="662FAD5C">
      <w:pPr>
        <w:spacing w:line="360" w:lineRule="auto"/>
        <w:ind w:firstLine="480" w:firstLineChars="200"/>
        <w:contextualSpacing/>
        <w:rPr>
          <w:rFonts w:eastAsia="宋体"/>
          <w:color w:val="000000"/>
          <w:sz w:val="24"/>
          <w:szCs w:val="24"/>
        </w:rPr>
      </w:pPr>
      <w:r>
        <w:rPr>
          <w:rFonts w:hint="eastAsia" w:eastAsia="宋体"/>
          <w:color w:val="000000"/>
          <w:sz w:val="24"/>
          <w:szCs w:val="24"/>
        </w:rPr>
        <w:t>（1）招标公告</w:t>
      </w:r>
    </w:p>
    <w:p w14:paraId="00F661D3">
      <w:pPr>
        <w:spacing w:line="360" w:lineRule="auto"/>
        <w:ind w:firstLine="480" w:firstLineChars="200"/>
        <w:contextualSpacing/>
        <w:rPr>
          <w:rFonts w:eastAsia="宋体"/>
          <w:color w:val="000000"/>
          <w:sz w:val="24"/>
          <w:szCs w:val="24"/>
        </w:rPr>
      </w:pPr>
      <w:r>
        <w:rPr>
          <w:rFonts w:hint="eastAsia" w:eastAsia="宋体"/>
          <w:color w:val="000000"/>
          <w:sz w:val="24"/>
          <w:szCs w:val="24"/>
        </w:rPr>
        <w:t>（2）投标人须知</w:t>
      </w:r>
    </w:p>
    <w:p w14:paraId="66668239">
      <w:pPr>
        <w:spacing w:line="360" w:lineRule="auto"/>
        <w:ind w:firstLine="480" w:firstLineChars="200"/>
        <w:contextualSpacing/>
        <w:rPr>
          <w:rFonts w:eastAsia="宋体"/>
          <w:color w:val="000000"/>
          <w:sz w:val="24"/>
          <w:szCs w:val="24"/>
        </w:rPr>
      </w:pPr>
      <w:r>
        <w:rPr>
          <w:rFonts w:hint="eastAsia" w:eastAsia="宋体"/>
          <w:color w:val="000000"/>
          <w:sz w:val="24"/>
          <w:szCs w:val="24"/>
        </w:rPr>
        <w:t>（3）项目需求</w:t>
      </w:r>
    </w:p>
    <w:p w14:paraId="466EF27D">
      <w:pPr>
        <w:spacing w:line="360" w:lineRule="auto"/>
        <w:ind w:firstLine="480" w:firstLineChars="200"/>
        <w:contextualSpacing/>
        <w:rPr>
          <w:rFonts w:eastAsia="宋体"/>
          <w:color w:val="000000"/>
          <w:sz w:val="24"/>
          <w:szCs w:val="24"/>
        </w:rPr>
      </w:pPr>
      <w:r>
        <w:rPr>
          <w:rFonts w:hint="eastAsia" w:eastAsia="宋体"/>
          <w:color w:val="000000"/>
          <w:sz w:val="24"/>
          <w:szCs w:val="24"/>
        </w:rPr>
        <w:t>（4）评审方法和程序</w:t>
      </w:r>
    </w:p>
    <w:p w14:paraId="08668BB2">
      <w:pPr>
        <w:spacing w:line="360" w:lineRule="auto"/>
        <w:ind w:firstLine="480" w:firstLineChars="200"/>
        <w:contextualSpacing/>
        <w:rPr>
          <w:rFonts w:eastAsia="宋体"/>
          <w:color w:val="000000"/>
          <w:sz w:val="24"/>
          <w:szCs w:val="24"/>
        </w:rPr>
      </w:pPr>
      <w:r>
        <w:rPr>
          <w:rFonts w:hint="eastAsia" w:eastAsia="宋体"/>
          <w:color w:val="000000"/>
          <w:sz w:val="24"/>
          <w:szCs w:val="24"/>
        </w:rPr>
        <w:t>（5）合同签订与验收付款</w:t>
      </w:r>
    </w:p>
    <w:p w14:paraId="48D636F1">
      <w:pPr>
        <w:spacing w:line="360" w:lineRule="auto"/>
        <w:ind w:firstLine="480" w:firstLineChars="200"/>
        <w:contextualSpacing/>
        <w:rPr>
          <w:rFonts w:eastAsia="宋体"/>
          <w:color w:val="000000"/>
          <w:sz w:val="24"/>
          <w:szCs w:val="24"/>
        </w:rPr>
      </w:pPr>
      <w:r>
        <w:rPr>
          <w:rFonts w:hint="eastAsia" w:eastAsia="宋体"/>
          <w:color w:val="000000"/>
          <w:sz w:val="24"/>
          <w:szCs w:val="24"/>
        </w:rPr>
        <w:t>（6）合同授予</w:t>
      </w:r>
    </w:p>
    <w:p w14:paraId="1534DAF7">
      <w:pPr>
        <w:spacing w:line="360" w:lineRule="auto"/>
        <w:ind w:firstLine="480" w:firstLineChars="200"/>
        <w:contextualSpacing/>
        <w:rPr>
          <w:rFonts w:eastAsia="宋体"/>
          <w:color w:val="000000"/>
          <w:sz w:val="24"/>
          <w:szCs w:val="24"/>
        </w:rPr>
      </w:pPr>
      <w:r>
        <w:rPr>
          <w:rFonts w:hint="eastAsia" w:eastAsia="宋体"/>
          <w:color w:val="000000"/>
          <w:sz w:val="24"/>
          <w:szCs w:val="24"/>
        </w:rPr>
        <w:t>（7）质疑与投诉</w:t>
      </w:r>
    </w:p>
    <w:p w14:paraId="5B9EBE4F">
      <w:pPr>
        <w:spacing w:line="360" w:lineRule="auto"/>
        <w:ind w:firstLine="480" w:firstLineChars="200"/>
        <w:contextualSpacing/>
        <w:rPr>
          <w:rFonts w:eastAsia="宋体"/>
          <w:color w:val="000000"/>
          <w:sz w:val="24"/>
          <w:szCs w:val="24"/>
        </w:rPr>
      </w:pPr>
      <w:r>
        <w:rPr>
          <w:rFonts w:hint="eastAsia" w:eastAsia="宋体"/>
          <w:color w:val="000000"/>
          <w:sz w:val="24"/>
          <w:szCs w:val="24"/>
        </w:rPr>
        <w:t>（8）投标文件组成及格式</w:t>
      </w:r>
    </w:p>
    <w:p w14:paraId="18CCFCE1">
      <w:pPr>
        <w:spacing w:line="360" w:lineRule="auto"/>
        <w:ind w:firstLine="480" w:firstLineChars="200"/>
        <w:contextualSpacing/>
        <w:rPr>
          <w:rFonts w:eastAsia="宋体"/>
          <w:color w:val="000000"/>
          <w:sz w:val="24"/>
          <w:szCs w:val="24"/>
        </w:rPr>
      </w:pPr>
      <w:r>
        <w:rPr>
          <w:rFonts w:hint="eastAsia" w:eastAsia="宋体"/>
          <w:color w:val="000000"/>
          <w:sz w:val="24"/>
          <w:szCs w:val="24"/>
        </w:rPr>
        <w:t>请仔细检查招标文件是否齐全，如有缺漏请立即与</w:t>
      </w:r>
      <w:r>
        <w:rPr>
          <w:rFonts w:hint="eastAsia" w:eastAsia="宋体"/>
          <w:bCs/>
          <w:color w:val="000000"/>
          <w:sz w:val="24"/>
          <w:szCs w:val="24"/>
        </w:rPr>
        <w:t>招标人或招标代理机构</w:t>
      </w:r>
      <w:r>
        <w:rPr>
          <w:rFonts w:hint="eastAsia" w:eastAsia="宋体"/>
          <w:color w:val="000000"/>
          <w:sz w:val="24"/>
          <w:szCs w:val="24"/>
        </w:rPr>
        <w:t>联系解决。</w:t>
      </w:r>
    </w:p>
    <w:p w14:paraId="2ABBB787">
      <w:pPr>
        <w:spacing w:line="360" w:lineRule="auto"/>
        <w:ind w:firstLine="480" w:firstLineChars="200"/>
        <w:contextualSpacing/>
        <w:rPr>
          <w:rFonts w:eastAsia="宋体"/>
          <w:color w:val="000000"/>
          <w:sz w:val="24"/>
          <w:szCs w:val="24"/>
        </w:rPr>
      </w:pPr>
      <w:r>
        <w:rPr>
          <w:rFonts w:hint="eastAsia" w:eastAsia="宋体"/>
          <w:bCs/>
          <w:color w:val="000000"/>
          <w:sz w:val="24"/>
          <w:szCs w:val="24"/>
        </w:rPr>
        <w:t xml:space="preserve">1.2 </w:t>
      </w:r>
      <w:r>
        <w:rPr>
          <w:rFonts w:hint="eastAsia" w:eastAsia="宋体"/>
          <w:color w:val="000000"/>
          <w:sz w:val="24"/>
          <w:szCs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B7505E5">
      <w:pPr>
        <w:spacing w:line="360" w:lineRule="auto"/>
        <w:ind w:firstLine="480" w:firstLineChars="200"/>
        <w:contextualSpacing/>
        <w:rPr>
          <w:rFonts w:eastAsia="宋体"/>
          <w:b/>
          <w:bCs/>
          <w:color w:val="000000"/>
          <w:sz w:val="24"/>
          <w:szCs w:val="24"/>
        </w:rPr>
      </w:pPr>
      <w:r>
        <w:rPr>
          <w:rFonts w:hint="eastAsia" w:eastAsia="宋体"/>
          <w:color w:val="000000"/>
          <w:sz w:val="24"/>
          <w:szCs w:val="24"/>
        </w:rPr>
        <w:t>2.招标文件的澄清</w:t>
      </w:r>
    </w:p>
    <w:p w14:paraId="691696DA">
      <w:pPr>
        <w:spacing w:line="360" w:lineRule="auto"/>
        <w:ind w:firstLine="480" w:firstLineChars="200"/>
        <w:contextualSpacing/>
        <w:rPr>
          <w:rFonts w:eastAsia="宋体"/>
          <w:color w:val="000000"/>
          <w:sz w:val="24"/>
          <w:szCs w:val="24"/>
        </w:rPr>
      </w:pPr>
      <w:r>
        <w:rPr>
          <w:rFonts w:hint="eastAsia" w:eastAsia="宋体"/>
          <w:bCs/>
          <w:color w:val="000000"/>
          <w:sz w:val="24"/>
          <w:szCs w:val="24"/>
        </w:rPr>
        <w:t xml:space="preserve">2.1 </w:t>
      </w:r>
      <w:r>
        <w:rPr>
          <w:rFonts w:hint="eastAsia" w:eastAsia="宋体"/>
          <w:color w:val="000000"/>
          <w:sz w:val="24"/>
          <w:szCs w:val="24"/>
        </w:rPr>
        <w:t>任何要求对招标文件进行澄清的投标人，应在提交投标文件截止时间十日前按招标公告中的通讯地址，以书面形式通知招标人或招标代理机构。招标人或招标代理机构有权对发出的招标文件进行必要的澄清或修改。</w:t>
      </w:r>
    </w:p>
    <w:p w14:paraId="596CF632">
      <w:pPr>
        <w:spacing w:line="360" w:lineRule="auto"/>
        <w:ind w:firstLine="480" w:firstLineChars="200"/>
        <w:contextualSpacing/>
        <w:rPr>
          <w:rFonts w:eastAsia="宋体"/>
          <w:color w:val="000000"/>
          <w:sz w:val="24"/>
          <w:szCs w:val="24"/>
        </w:rPr>
      </w:pPr>
      <w:r>
        <w:rPr>
          <w:rFonts w:hint="eastAsia" w:eastAsia="宋体"/>
          <w:color w:val="000000"/>
          <w:sz w:val="24"/>
          <w:szCs w:val="24"/>
        </w:rPr>
        <w:t xml:space="preserve">2.2 </w:t>
      </w:r>
      <w:r>
        <w:rPr>
          <w:rFonts w:hint="eastAsia" w:eastAsia="宋体"/>
          <w:bCs/>
          <w:color w:val="000000"/>
          <w:sz w:val="24"/>
          <w:szCs w:val="24"/>
        </w:rPr>
        <w:t>招标人</w:t>
      </w:r>
      <w:r>
        <w:rPr>
          <w:rFonts w:hint="eastAsia" w:eastAsia="宋体"/>
          <w:color w:val="000000"/>
          <w:sz w:val="24"/>
          <w:szCs w:val="24"/>
        </w:rPr>
        <w:t>可以视采购项目的具体情况，组织投标人进行现场考察或召开答疑会，但不单独或分别组织只有一个投标人参加的现场考察和答疑会。</w:t>
      </w:r>
    </w:p>
    <w:p w14:paraId="5C3209CE">
      <w:pPr>
        <w:spacing w:line="360" w:lineRule="auto"/>
        <w:ind w:firstLine="480" w:firstLineChars="200"/>
        <w:contextualSpacing/>
        <w:rPr>
          <w:rFonts w:eastAsia="宋体"/>
          <w:b/>
          <w:bCs/>
          <w:color w:val="000000"/>
          <w:sz w:val="24"/>
          <w:szCs w:val="24"/>
        </w:rPr>
      </w:pPr>
      <w:r>
        <w:rPr>
          <w:rFonts w:hint="eastAsia" w:eastAsia="宋体"/>
          <w:color w:val="000000"/>
          <w:sz w:val="24"/>
          <w:szCs w:val="24"/>
        </w:rPr>
        <w:t>3.招标文件的修改</w:t>
      </w:r>
    </w:p>
    <w:p w14:paraId="096F142A">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3.1 在投标文件提交截止时间前，招标人或招标代理机构可以对招标文件进行修改</w:t>
      </w:r>
      <w:r>
        <w:rPr>
          <w:rFonts w:hint="eastAsia" w:eastAsia="宋体"/>
          <w:color w:val="000000"/>
          <w:sz w:val="24"/>
          <w:szCs w:val="24"/>
        </w:rPr>
        <w:t>，澄清或者修改的内容作为招标文件的组成部分。</w:t>
      </w:r>
    </w:p>
    <w:p w14:paraId="7DCE5BFD">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3.2 招标人或招标代理机构有权按照法定的要求推迟投标文件提交截止日期和开标日期。</w:t>
      </w:r>
    </w:p>
    <w:p w14:paraId="0EC1997C">
      <w:pPr>
        <w:spacing w:line="360" w:lineRule="auto"/>
        <w:ind w:firstLine="480" w:firstLineChars="200"/>
        <w:contextualSpacing/>
        <w:rPr>
          <w:rFonts w:eastAsia="宋体"/>
          <w:color w:val="000000"/>
          <w:sz w:val="24"/>
          <w:szCs w:val="24"/>
        </w:rPr>
      </w:pPr>
      <w:r>
        <w:rPr>
          <w:rFonts w:hint="eastAsia" w:eastAsia="宋体"/>
          <w:bCs/>
          <w:color w:val="000000"/>
          <w:sz w:val="24"/>
          <w:szCs w:val="24"/>
        </w:rPr>
        <w:t>3.3 招标文件的修改将在江苏政府采购网公布，补充文件将作为招标文件的组成部分，并对投标人具有约束力</w:t>
      </w:r>
      <w:r>
        <w:rPr>
          <w:rFonts w:hint="eastAsia" w:eastAsia="宋体"/>
          <w:color w:val="000000"/>
          <w:sz w:val="24"/>
          <w:szCs w:val="24"/>
        </w:rPr>
        <w:t>。</w:t>
      </w:r>
    </w:p>
    <w:p w14:paraId="1532882C">
      <w:pPr>
        <w:spacing w:line="360" w:lineRule="auto"/>
        <w:ind w:firstLine="482" w:firstLineChars="200"/>
        <w:contextualSpacing/>
        <w:rPr>
          <w:rFonts w:eastAsia="宋体"/>
          <w:b/>
          <w:bCs/>
          <w:color w:val="000000"/>
          <w:sz w:val="24"/>
          <w:szCs w:val="24"/>
          <w:u w:val="single"/>
        </w:rPr>
      </w:pPr>
      <w:r>
        <w:rPr>
          <w:rFonts w:hint="eastAsia" w:eastAsia="宋体"/>
          <w:b/>
          <w:bCs/>
          <w:color w:val="000000"/>
          <w:sz w:val="24"/>
          <w:szCs w:val="24"/>
          <w:u w:val="single"/>
        </w:rPr>
        <w:t>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p>
    <w:p w14:paraId="6DAFF1A8">
      <w:pPr>
        <w:spacing w:line="360" w:lineRule="auto"/>
        <w:ind w:firstLine="480" w:firstLineChars="200"/>
        <w:contextualSpacing/>
        <w:rPr>
          <w:rFonts w:eastAsia="宋体"/>
          <w:color w:val="000000"/>
          <w:sz w:val="24"/>
          <w:szCs w:val="24"/>
        </w:rPr>
      </w:pPr>
      <w:r>
        <w:rPr>
          <w:rFonts w:hint="eastAsia" w:eastAsia="宋体"/>
          <w:color w:val="000000"/>
          <w:sz w:val="24"/>
          <w:szCs w:val="24"/>
        </w:rPr>
        <w:t>5.投标人对招标人提供的招标文件所做出的推论、解释和结论，招标人概不负责。投标人由于对招标文件的任何推论和误解以及招标人对有关问题的口头解释所造成的后果，均由各潜在投标人自负。</w:t>
      </w:r>
    </w:p>
    <w:p w14:paraId="48586E0F">
      <w:pPr>
        <w:spacing w:line="360" w:lineRule="auto"/>
        <w:ind w:firstLine="482" w:firstLineChars="200"/>
        <w:contextualSpacing/>
        <w:rPr>
          <w:rFonts w:eastAsia="宋体"/>
          <w:b/>
          <w:bCs/>
          <w:color w:val="000000"/>
          <w:sz w:val="24"/>
          <w:szCs w:val="24"/>
        </w:rPr>
      </w:pPr>
      <w:r>
        <w:rPr>
          <w:rFonts w:hint="eastAsia" w:eastAsia="宋体"/>
          <w:b/>
          <w:bCs/>
          <w:color w:val="000000"/>
          <w:sz w:val="24"/>
          <w:szCs w:val="24"/>
        </w:rPr>
        <w:t>三</w:t>
      </w:r>
      <w:r>
        <w:rPr>
          <w:rFonts w:eastAsia="宋体"/>
          <w:b/>
          <w:bCs/>
          <w:color w:val="000000"/>
          <w:sz w:val="24"/>
          <w:szCs w:val="24"/>
        </w:rPr>
        <w:t>、</w:t>
      </w:r>
      <w:r>
        <w:rPr>
          <w:rFonts w:hint="eastAsia" w:eastAsia="宋体"/>
          <w:b/>
          <w:bCs/>
          <w:color w:val="000000"/>
          <w:sz w:val="24"/>
          <w:szCs w:val="24"/>
        </w:rPr>
        <w:t>投标文件的编制</w:t>
      </w:r>
    </w:p>
    <w:p w14:paraId="055159C5">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1.投标文件的语言及度量衡单位</w:t>
      </w:r>
    </w:p>
    <w:p w14:paraId="2666DE9D">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1.1 投标人提交的投标文件以及投标人与招标人或招标代理机构就有关投标的所有来往通知、函件和文件均应使用简体中文。</w:t>
      </w:r>
    </w:p>
    <w:p w14:paraId="4EA8705C">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1.2 除技术性能另有规定外，投标文件所使用的度量衡单位，均须采用国家法定计量单位。</w:t>
      </w:r>
    </w:p>
    <w:p w14:paraId="1C92CF6F">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2.投标文件构成</w:t>
      </w:r>
    </w:p>
    <w:p w14:paraId="06A6CCA0">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2.1 投标人编写的投标文件应包括资格审查文件、符合性证明文件、投标分项报价表、技术要求响应及偏离表、商务要求响应及偏离表、其他证明文件、投标函、开标一览表等部分。投标人按“第八章 投标文件组成及格式”要求编写投标文件。</w:t>
      </w:r>
    </w:p>
    <w:p w14:paraId="2F26D262">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2.2 如标书制作工具中格式和内容与“江苏政府采购网”发布的招标文件不一致，请以“江苏政府采购网”发布的招标文件为准。</w:t>
      </w:r>
    </w:p>
    <w:p w14:paraId="37ED10EB">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3.证明投标人及投标标的符合招标文件规定的文件</w:t>
      </w:r>
    </w:p>
    <w:p w14:paraId="2EE809BE">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3.1 投标人应按照法律、法规、规章和规范性文件以及招标文件要求提交证明文件，证明其及投标标的符合招标文件规定。</w:t>
      </w:r>
    </w:p>
    <w:p w14:paraId="7D75AFB3">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3.2 招标文件对证明文件无明确形式要求的，证明文件可以以文字资料、图纸和数据等形式提交。</w:t>
      </w:r>
    </w:p>
    <w:p w14:paraId="3C8FD343">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4.投标分项报价表</w:t>
      </w:r>
    </w:p>
    <w:p w14:paraId="2483E440">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4.1 投标人应按照招标文件规定格式填报投标分项报价表。</w:t>
      </w:r>
    </w:p>
    <w:p w14:paraId="6981E6AA">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4.2 投标货币。投标文件中的单价和总价无特殊规定的采用人民币报价，以元为单位标注。招标文件中另有规定的按规定执行。</w:t>
      </w:r>
    </w:p>
    <w:p w14:paraId="4CAB9759">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5.技术要求响应及偏离表、商务要求响应及偏离表</w:t>
      </w:r>
    </w:p>
    <w:p w14:paraId="20F7C3B9">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5.1 投标人需对招标文件中的技术要求与商务要求逐项作出响应或偏离，并说明原因。</w:t>
      </w:r>
    </w:p>
    <w:p w14:paraId="74F82A64">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5.2 投标人可在投标文件中提供认为需要的其他技术文件或说明。</w:t>
      </w:r>
    </w:p>
    <w:p w14:paraId="320DDAE1">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6.投标函和开标一览表</w:t>
      </w:r>
    </w:p>
    <w:p w14:paraId="478674E0">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6.1 投标人应按照招标文件中提供的格式完整、正确填写投标函、开标一览表。</w:t>
      </w:r>
      <w:r>
        <w:rPr>
          <w:rFonts w:hint="eastAsia" w:eastAsia="宋体"/>
          <w:b/>
          <w:color w:val="000000"/>
          <w:sz w:val="24"/>
          <w:szCs w:val="24"/>
          <w:u w:val="single"/>
        </w:rPr>
        <w:t>*每项货物、服务等只允许有一个报价，任何有选择的报价将不予接受，将作为无效投标文件处理。</w:t>
      </w:r>
    </w:p>
    <w:p w14:paraId="2F51134D">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7.投标有效期</w:t>
      </w:r>
    </w:p>
    <w:p w14:paraId="5AAFA960">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7.1 投标有效期为招标文件规定的投标文件提交截止时间后</w:t>
      </w:r>
      <w:r>
        <w:rPr>
          <w:rFonts w:hint="eastAsia" w:eastAsia="宋体"/>
          <w:bCs/>
          <w:color w:val="000000"/>
          <w:sz w:val="24"/>
          <w:szCs w:val="24"/>
          <w:u w:val="single"/>
        </w:rPr>
        <w:t>六十（60）天</w:t>
      </w:r>
      <w:r>
        <w:rPr>
          <w:rFonts w:hint="eastAsia" w:eastAsia="宋体"/>
          <w:bCs/>
          <w:color w:val="000000"/>
          <w:sz w:val="24"/>
          <w:szCs w:val="24"/>
        </w:rPr>
        <w:t>。投标有效期比规定短的将被视为非实质性响应而予以拒绝。</w:t>
      </w:r>
    </w:p>
    <w:p w14:paraId="53656D96">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8.投标有效期的延长</w:t>
      </w:r>
    </w:p>
    <w:p w14:paraId="16C3F596">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8.1 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p>
    <w:p w14:paraId="1FB4BE1E">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9.电子投标文件其他要求</w:t>
      </w:r>
    </w:p>
    <w:p w14:paraId="79FFA316">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9.1 电子招标投标交易平台（即“苏采云”系统）相关要求是本招标文件的组成部分。</w:t>
      </w:r>
    </w:p>
    <w:p w14:paraId="4A9DDE3B">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9.2 投标人应对CA证书妥善保管，如被他人盗用投标，因此带来的结果均由投标人自行承担。</w:t>
      </w:r>
    </w:p>
    <w:p w14:paraId="7E0B6184">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9.3 投标人应当对招标文件提出的实质性要求和条件作出实质性响应，并在电子投标系统逐条应答。</w:t>
      </w:r>
    </w:p>
    <w:p w14:paraId="78646E91">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 xml:space="preserve">9.4 投标人应对要求提供的资格证明文件（如资质证书、资格证书）、技术资料（如白皮书、彩页、手册、检测报告等）扫描上传至投标系统。 </w:t>
      </w:r>
    </w:p>
    <w:p w14:paraId="21B81F37">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10.投标人应当在招标文件要求提交投标文件的截止时间前，将投标文件提交至“苏采云”系统，逾期提交的投标文件，“苏采云”系统将自动拒收。各投标人应在规定时间内凭CA证书进行网上解密。</w:t>
      </w:r>
    </w:p>
    <w:p w14:paraId="16692DC3">
      <w:pPr>
        <w:spacing w:line="360" w:lineRule="auto"/>
        <w:ind w:firstLine="482" w:firstLineChars="200"/>
        <w:contextualSpacing/>
        <w:rPr>
          <w:rFonts w:eastAsia="宋体"/>
          <w:color w:val="000000"/>
          <w:sz w:val="24"/>
          <w:szCs w:val="24"/>
        </w:rPr>
      </w:pPr>
      <w:r>
        <w:rPr>
          <w:rFonts w:hint="eastAsia" w:eastAsia="宋体"/>
          <w:b/>
          <w:bCs/>
          <w:color w:val="000000"/>
          <w:sz w:val="24"/>
          <w:szCs w:val="24"/>
        </w:rPr>
        <w:t>四</w:t>
      </w:r>
      <w:r>
        <w:rPr>
          <w:rFonts w:eastAsia="宋体"/>
          <w:b/>
          <w:bCs/>
          <w:color w:val="000000"/>
          <w:sz w:val="24"/>
          <w:szCs w:val="24"/>
        </w:rPr>
        <w:t>、</w:t>
      </w:r>
      <w:r>
        <w:rPr>
          <w:rFonts w:hint="eastAsia" w:eastAsia="宋体" w:cs="宋体"/>
          <w:b/>
          <w:bCs/>
          <w:color w:val="000000"/>
          <w:sz w:val="24"/>
          <w:szCs w:val="24"/>
        </w:rPr>
        <w:t>投标文件的提交</w:t>
      </w:r>
    </w:p>
    <w:p w14:paraId="6364F086">
      <w:pPr>
        <w:spacing w:line="360" w:lineRule="auto"/>
        <w:ind w:firstLine="480" w:firstLineChars="200"/>
        <w:contextualSpacing/>
        <w:rPr>
          <w:rFonts w:eastAsia="宋体"/>
          <w:b/>
          <w:bCs/>
          <w:color w:val="000000"/>
          <w:sz w:val="24"/>
          <w:szCs w:val="24"/>
        </w:rPr>
      </w:pPr>
      <w:r>
        <w:rPr>
          <w:rFonts w:hint="eastAsia" w:eastAsia="宋体"/>
          <w:bCs/>
          <w:color w:val="000000"/>
          <w:sz w:val="24"/>
          <w:szCs w:val="24"/>
        </w:rPr>
        <w:t>1.投标文件的提交</w:t>
      </w:r>
    </w:p>
    <w:p w14:paraId="3A7CE645">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1.1 线上提交与接收地点：投标人应当通过“苏采云”系统提交数据电文形式的投标文件（即电子投标），“苏采云”系统自动接收。</w:t>
      </w:r>
    </w:p>
    <w:p w14:paraId="42F06644">
      <w:pPr>
        <w:spacing w:line="360" w:lineRule="auto"/>
        <w:ind w:firstLine="482" w:firstLineChars="200"/>
        <w:contextualSpacing/>
        <w:rPr>
          <w:rFonts w:eastAsia="宋体"/>
          <w:b/>
          <w:bCs/>
          <w:color w:val="000000"/>
          <w:sz w:val="24"/>
          <w:szCs w:val="24"/>
        </w:rPr>
      </w:pPr>
      <w:r>
        <w:rPr>
          <w:rFonts w:hint="eastAsia" w:eastAsia="宋体"/>
          <w:b/>
          <w:bCs/>
          <w:color w:val="000000"/>
          <w:sz w:val="24"/>
          <w:szCs w:val="24"/>
        </w:rPr>
        <w:t>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p>
    <w:p w14:paraId="161E80E4">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2.提交投标文件截止日期</w:t>
      </w:r>
    </w:p>
    <w:p w14:paraId="507DE07F">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2.1 投标人上传电子投标文件的时间不得迟于公开招标公告中规定的投标文件提交截止时间。</w:t>
      </w:r>
    </w:p>
    <w:p w14:paraId="19050DDB">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投标人应充分考虑到网络环境、网络带宽等风险因素，如因投标人自身原因造成的电子投标文件上传不成功由投标人自行承担全部责任。</w:t>
      </w:r>
    </w:p>
    <w:p w14:paraId="36688EFA">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2.2 招标人或招标代理机构可以按照规定，通过修改投标文件酌情延长投标文件提交截止日期，在此情况下，投标人的所有权利和义务以及投标人受制的截止日期均应以延长后新的截止日期为准。</w:t>
      </w:r>
    </w:p>
    <w:p w14:paraId="17ED74B3">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3.投标文件的密封（加密）要求：</w:t>
      </w:r>
    </w:p>
    <w:p w14:paraId="01F1B682">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3.1 投标人应当按照招标文件和“苏采云”系统的要求编制并加密投标文件。本项目投标人须通过“苏采云”系统提供的政府采购客户端工具（使用“CA数字证书”）对其数据电文形式的投标文件加密。</w:t>
      </w:r>
    </w:p>
    <w:p w14:paraId="778683FC">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3.2 投标人须通过“苏采云”系统提供的政府采购客户端工具（使用“CA数字证书”）加盖电子签章。</w:t>
      </w:r>
    </w:p>
    <w:p w14:paraId="316D15A3">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说明：投标人应在用CA数字证书以及自备的能够登录“苏采云”系统的电脑，在达到开标时间后，使用CA数字证书解密各自投标文件。</w:t>
      </w:r>
    </w:p>
    <w:p w14:paraId="104DE687">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3.3 投标人未按规定加密的投标文件，“苏采云”系统将拒收并提示。</w:t>
      </w:r>
    </w:p>
    <w:p w14:paraId="4FFB0A7E">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4.投标文件的拒收</w:t>
      </w:r>
    </w:p>
    <w:p w14:paraId="6E35748F">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4.1 招标代理机构拒绝接收在其规定的投标文件提交截止时间后上传的任何投标文件。</w:t>
      </w:r>
    </w:p>
    <w:p w14:paraId="75ECDE4F">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5.投标文件的撤回和修改</w:t>
      </w:r>
    </w:p>
    <w:p w14:paraId="0872E968">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5.1 投标文件的撤回</w:t>
      </w:r>
    </w:p>
    <w:p w14:paraId="407E59C5">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5.1.1 电子投标文件的撤回</w:t>
      </w:r>
    </w:p>
    <w:p w14:paraId="26298696">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投标人可在投标文件提交截止时间前，撤回其电子投标文件，具体操作方法见“苏采云”系统供应商操作手册。</w:t>
      </w:r>
    </w:p>
    <w:p w14:paraId="4A826B75">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5.1.2 投标人撤回电子投标文件，则认为其不再参与本项目投标活动。</w:t>
      </w:r>
    </w:p>
    <w:p w14:paraId="4A493E59">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5.2 投标文件的修改</w:t>
      </w:r>
    </w:p>
    <w:p w14:paraId="2C5F5DDF">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投标人可在投标文件提交截止时间前，对其电子投标文件进行修改。具体操作方法见“苏采云”系统供应商操作手册。</w:t>
      </w:r>
    </w:p>
    <w:p w14:paraId="20CEE1BA">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5.3 在投标文件提交截止时间之后，投标人不得对其电子投标文件作任何修改。</w:t>
      </w:r>
    </w:p>
    <w:p w14:paraId="0E750E20">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5.4 在投标文件提交截止时间至招标文件中规定的投标有效期满之间的这段时间内，投标人不得撤回其投标文件。</w:t>
      </w:r>
    </w:p>
    <w:p w14:paraId="77639B2E">
      <w:pPr>
        <w:spacing w:line="360" w:lineRule="auto"/>
        <w:ind w:firstLine="482" w:firstLineChars="200"/>
        <w:contextualSpacing/>
        <w:rPr>
          <w:rFonts w:eastAsia="宋体"/>
          <w:b/>
          <w:bCs/>
          <w:color w:val="000000"/>
          <w:sz w:val="24"/>
          <w:szCs w:val="24"/>
        </w:rPr>
      </w:pPr>
      <w:r>
        <w:rPr>
          <w:rFonts w:hint="eastAsia" w:eastAsia="宋体"/>
          <w:b/>
          <w:bCs/>
          <w:color w:val="000000"/>
          <w:sz w:val="24"/>
          <w:szCs w:val="24"/>
        </w:rPr>
        <w:t>6.投标文件线上格式要求</w:t>
      </w:r>
    </w:p>
    <w:p w14:paraId="0EDF9F36">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6.1 供应商应当通过“苏采云”系统提交数据电文形式的投标文件（即电子投标）。</w:t>
      </w:r>
    </w:p>
    <w:p w14:paraId="4E74CDD4">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6.2 通过“苏采云”系统提交政府采购客户端工具导出加密的投标文件（后缀名为zip）。响应文件不得超过150M!</w:t>
      </w:r>
    </w:p>
    <w:p w14:paraId="2CC5DF52">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6.3 本项目采用线上投标，即供应商投标文件从政府采购客户端工具制作通过“苏采云”系统提交，未提供线上投标文件的，投标无效。</w:t>
      </w:r>
    </w:p>
    <w:p w14:paraId="706948EE">
      <w:pPr>
        <w:spacing w:line="360" w:lineRule="auto"/>
        <w:ind w:firstLine="482" w:firstLineChars="200"/>
        <w:contextualSpacing/>
        <w:rPr>
          <w:rFonts w:eastAsia="宋体"/>
          <w:b/>
          <w:bCs/>
          <w:color w:val="000000"/>
          <w:sz w:val="24"/>
          <w:szCs w:val="24"/>
        </w:rPr>
      </w:pPr>
      <w:r>
        <w:rPr>
          <w:rFonts w:hint="eastAsia" w:eastAsia="宋体"/>
          <w:b/>
          <w:bCs/>
          <w:color w:val="000000"/>
          <w:sz w:val="24"/>
          <w:szCs w:val="24"/>
        </w:rPr>
        <w:t>五</w:t>
      </w:r>
      <w:r>
        <w:rPr>
          <w:rFonts w:eastAsia="宋体"/>
          <w:b/>
          <w:bCs/>
          <w:color w:val="000000"/>
          <w:sz w:val="24"/>
          <w:szCs w:val="24"/>
        </w:rPr>
        <w:t>、</w:t>
      </w:r>
      <w:r>
        <w:rPr>
          <w:rFonts w:hint="eastAsia" w:eastAsia="宋体"/>
          <w:b/>
          <w:bCs/>
          <w:color w:val="000000"/>
          <w:sz w:val="24"/>
          <w:szCs w:val="24"/>
        </w:rPr>
        <w:t>开标与评标</w:t>
      </w:r>
    </w:p>
    <w:p w14:paraId="519147A9">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1.开标</w:t>
      </w:r>
    </w:p>
    <w:p w14:paraId="4F8E7406">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 xml:space="preserve">1.1 </w:t>
      </w:r>
      <w:r>
        <w:rPr>
          <w:rFonts w:hint="eastAsia" w:eastAsia="宋体"/>
          <w:b/>
          <w:color w:val="000000"/>
          <w:sz w:val="24"/>
          <w:szCs w:val="24"/>
        </w:rPr>
        <w:t>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30分钟之内完成。</w:t>
      </w:r>
    </w:p>
    <w:p w14:paraId="1B192AA1">
      <w:pPr>
        <w:spacing w:line="360" w:lineRule="auto"/>
        <w:ind w:firstLine="482" w:firstLineChars="200"/>
        <w:contextualSpacing/>
        <w:rPr>
          <w:rFonts w:eastAsia="宋体"/>
          <w:b/>
          <w:color w:val="000000"/>
          <w:sz w:val="24"/>
          <w:szCs w:val="24"/>
        </w:rPr>
      </w:pPr>
      <w:r>
        <w:rPr>
          <w:rFonts w:hint="eastAsia" w:eastAsia="宋体"/>
          <w:b/>
          <w:color w:val="000000"/>
          <w:sz w:val="24"/>
          <w:szCs w:val="24"/>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color w:val="000000"/>
          <w:sz w:val="24"/>
          <w:szCs w:val="24"/>
        </w:rPr>
        <w:t>因招标人（或招标代理机构）原因或网上招投标平台发生故障，导致无法按时完成投标文件解密或开、评标工作无法进行的，可根据实际情况相应延迟解密时间或调整开、评标时间。</w:t>
      </w:r>
    </w:p>
    <w:p w14:paraId="592CFFC7">
      <w:pPr>
        <w:spacing w:line="360" w:lineRule="auto"/>
        <w:ind w:firstLine="480" w:firstLineChars="200"/>
        <w:contextualSpacing/>
        <w:rPr>
          <w:rFonts w:eastAsia="宋体"/>
          <w:color w:val="000000"/>
          <w:sz w:val="24"/>
          <w:szCs w:val="24"/>
        </w:rPr>
      </w:pPr>
      <w:r>
        <w:rPr>
          <w:rFonts w:hint="eastAsia" w:eastAsia="宋体"/>
          <w:bCs/>
          <w:color w:val="000000"/>
          <w:sz w:val="24"/>
          <w:szCs w:val="24"/>
        </w:rPr>
        <w:t xml:space="preserve">1.2 </w:t>
      </w:r>
      <w:r>
        <w:rPr>
          <w:rFonts w:hint="eastAsia" w:eastAsia="宋体"/>
          <w:color w:val="000000"/>
          <w:sz w:val="24"/>
          <w:szCs w:val="24"/>
        </w:rPr>
        <w:t>开标仪式由</w:t>
      </w:r>
      <w:r>
        <w:rPr>
          <w:rFonts w:hint="eastAsia" w:eastAsia="宋体"/>
          <w:bCs/>
          <w:color w:val="000000"/>
          <w:sz w:val="24"/>
          <w:szCs w:val="24"/>
        </w:rPr>
        <w:t>招标代理机构</w:t>
      </w:r>
      <w:r>
        <w:rPr>
          <w:rFonts w:hint="eastAsia" w:eastAsia="宋体"/>
          <w:color w:val="000000"/>
          <w:sz w:val="24"/>
          <w:szCs w:val="24"/>
        </w:rPr>
        <w:t>组织。苏采云系统将自动对项目进行开标，并宣布各投标人名称和投标价格。</w:t>
      </w:r>
    </w:p>
    <w:p w14:paraId="3748FF47">
      <w:pPr>
        <w:spacing w:line="360" w:lineRule="auto"/>
        <w:ind w:firstLine="480" w:firstLineChars="200"/>
        <w:contextualSpacing/>
        <w:rPr>
          <w:rFonts w:eastAsia="宋体"/>
          <w:color w:val="000000"/>
          <w:sz w:val="24"/>
          <w:szCs w:val="24"/>
        </w:rPr>
      </w:pPr>
      <w:r>
        <w:rPr>
          <w:rFonts w:hint="eastAsia" w:eastAsia="宋体"/>
          <w:bCs/>
          <w:color w:val="000000"/>
          <w:sz w:val="24"/>
          <w:szCs w:val="24"/>
        </w:rPr>
        <w:t>1.3 投标人在开标过程中涉及到的投标文件解密、开标结果确认等工作，应按照“苏采云”系统供应商操作手册规定执行。</w:t>
      </w:r>
    </w:p>
    <w:p w14:paraId="2AC68DB5">
      <w:pPr>
        <w:spacing w:line="360" w:lineRule="auto"/>
        <w:ind w:firstLine="480" w:firstLineChars="200"/>
        <w:contextualSpacing/>
        <w:rPr>
          <w:rFonts w:eastAsia="宋体"/>
          <w:b/>
          <w:color w:val="000000"/>
          <w:sz w:val="24"/>
          <w:szCs w:val="24"/>
        </w:rPr>
      </w:pPr>
      <w:r>
        <w:rPr>
          <w:rFonts w:hint="eastAsia" w:eastAsia="宋体"/>
          <w:color w:val="000000"/>
          <w:sz w:val="24"/>
          <w:szCs w:val="24"/>
        </w:rPr>
        <w:t>1.4 投标人如果对开标过程和开标记录有疑义，应当根据</w:t>
      </w:r>
      <w:r>
        <w:rPr>
          <w:rFonts w:hint="eastAsia" w:eastAsia="宋体"/>
          <w:bCs/>
          <w:color w:val="000000"/>
          <w:sz w:val="24"/>
          <w:szCs w:val="24"/>
        </w:rPr>
        <w:t>“苏采云”系统供应商操作手册</w:t>
      </w:r>
      <w:r>
        <w:rPr>
          <w:rFonts w:hint="eastAsia" w:eastAsia="宋体"/>
          <w:color w:val="000000"/>
          <w:sz w:val="24"/>
          <w:szCs w:val="24"/>
        </w:rPr>
        <w:t>规定提出，如苏采云系统中《开标记录表》宣布后5分钟内未提出的，视同认可开标结果。</w:t>
      </w:r>
    </w:p>
    <w:p w14:paraId="47621E43">
      <w:pPr>
        <w:spacing w:line="360" w:lineRule="auto"/>
        <w:ind w:firstLine="480" w:firstLineChars="200"/>
        <w:contextualSpacing/>
        <w:rPr>
          <w:rFonts w:eastAsia="宋体"/>
          <w:color w:val="000000"/>
          <w:sz w:val="24"/>
          <w:szCs w:val="24"/>
        </w:rPr>
      </w:pPr>
      <w:r>
        <w:rPr>
          <w:rFonts w:hint="eastAsia" w:eastAsia="宋体"/>
          <w:color w:val="000000"/>
          <w:sz w:val="24"/>
          <w:szCs w:val="24"/>
        </w:rPr>
        <w:t>2.评标委员会</w:t>
      </w:r>
    </w:p>
    <w:p w14:paraId="0E28E45F">
      <w:pPr>
        <w:spacing w:line="360" w:lineRule="auto"/>
        <w:ind w:firstLine="480" w:firstLineChars="200"/>
        <w:contextualSpacing/>
        <w:rPr>
          <w:rFonts w:eastAsia="宋体"/>
          <w:color w:val="000000"/>
          <w:sz w:val="24"/>
          <w:szCs w:val="24"/>
        </w:rPr>
      </w:pPr>
      <w:r>
        <w:rPr>
          <w:rFonts w:hint="eastAsia" w:eastAsia="宋体"/>
          <w:color w:val="000000"/>
          <w:sz w:val="24"/>
          <w:szCs w:val="24"/>
        </w:rPr>
        <w:t>2.1 开标后，招标代理机构将立即组织评标委员会（以下简称评委会）进行评审。</w:t>
      </w:r>
    </w:p>
    <w:p w14:paraId="7D295DA4">
      <w:pPr>
        <w:spacing w:line="360" w:lineRule="auto"/>
        <w:ind w:firstLine="480" w:firstLineChars="200"/>
        <w:contextualSpacing/>
        <w:rPr>
          <w:rFonts w:eastAsia="宋体"/>
          <w:color w:val="000000"/>
          <w:sz w:val="24"/>
          <w:szCs w:val="24"/>
        </w:rPr>
      </w:pPr>
      <w:r>
        <w:rPr>
          <w:rFonts w:hint="eastAsia" w:eastAsia="宋体"/>
          <w:color w:val="000000"/>
          <w:sz w:val="24"/>
          <w:szCs w:val="24"/>
        </w:rPr>
        <w:t>2.2 评委会由招标人代表和有关技术、经济等方面的专家组成，且人员构成符合政府采购有关规定。</w:t>
      </w:r>
    </w:p>
    <w:p w14:paraId="3C50CEA5">
      <w:pPr>
        <w:spacing w:line="360" w:lineRule="auto"/>
        <w:ind w:firstLine="480" w:firstLineChars="200"/>
        <w:contextualSpacing/>
        <w:rPr>
          <w:rFonts w:eastAsia="宋体"/>
          <w:color w:val="000000"/>
          <w:sz w:val="24"/>
          <w:szCs w:val="24"/>
        </w:rPr>
      </w:pPr>
      <w:r>
        <w:rPr>
          <w:rFonts w:hint="eastAsia" w:eastAsia="宋体"/>
          <w:color w:val="000000"/>
          <w:sz w:val="24"/>
          <w:szCs w:val="24"/>
        </w:rPr>
        <w:t>2.3 评标委员会独立工作，负责评审所有投标文件并确定中标候选人。</w:t>
      </w:r>
    </w:p>
    <w:p w14:paraId="571DFCB9">
      <w:pPr>
        <w:spacing w:line="360" w:lineRule="auto"/>
        <w:ind w:firstLine="480" w:firstLineChars="200"/>
        <w:contextualSpacing/>
        <w:rPr>
          <w:rFonts w:eastAsia="宋体"/>
          <w:color w:val="000000"/>
          <w:sz w:val="24"/>
          <w:szCs w:val="24"/>
        </w:rPr>
      </w:pPr>
      <w:r>
        <w:rPr>
          <w:rFonts w:hint="eastAsia" w:eastAsia="宋体"/>
          <w:color w:val="000000"/>
          <w:sz w:val="24"/>
          <w:szCs w:val="24"/>
        </w:rPr>
        <w:t>3.评审过程的保密与公正</w:t>
      </w:r>
    </w:p>
    <w:p w14:paraId="14FED674">
      <w:pPr>
        <w:spacing w:line="360" w:lineRule="auto"/>
        <w:ind w:firstLine="480" w:firstLineChars="200"/>
        <w:contextualSpacing/>
        <w:rPr>
          <w:rFonts w:eastAsia="宋体"/>
          <w:color w:val="000000"/>
          <w:sz w:val="24"/>
          <w:szCs w:val="24"/>
        </w:rPr>
      </w:pPr>
      <w:r>
        <w:rPr>
          <w:rFonts w:hint="eastAsia" w:eastAsia="宋体"/>
          <w:color w:val="000000"/>
          <w:sz w:val="24"/>
          <w:szCs w:val="24"/>
        </w:rPr>
        <w:t>3.1 评标委员会、招标人或招标代理机构、相关监督人员等与评审工作有关的人员，对评审情况以及在评审过程中获悉的国家秘密、商业秘密负有保密责任。</w:t>
      </w:r>
    </w:p>
    <w:p w14:paraId="44A11A3E">
      <w:pPr>
        <w:spacing w:line="360" w:lineRule="auto"/>
        <w:ind w:firstLine="480" w:firstLineChars="200"/>
        <w:contextualSpacing/>
        <w:rPr>
          <w:rFonts w:eastAsia="宋体"/>
          <w:color w:val="000000"/>
          <w:sz w:val="24"/>
          <w:szCs w:val="24"/>
        </w:rPr>
      </w:pPr>
      <w:r>
        <w:rPr>
          <w:rFonts w:hint="eastAsia" w:eastAsia="宋体"/>
          <w:color w:val="000000"/>
          <w:sz w:val="24"/>
          <w:szCs w:val="24"/>
        </w:rPr>
        <w:t>3.2 在评审过程中，投标人不得以任何行为影响评审过程，否则其投标文件将被作为无效投标文件。</w:t>
      </w:r>
    </w:p>
    <w:p w14:paraId="2EE221BF">
      <w:pPr>
        <w:spacing w:line="360" w:lineRule="auto"/>
        <w:ind w:firstLine="480" w:firstLineChars="200"/>
        <w:contextualSpacing/>
        <w:rPr>
          <w:rFonts w:eastAsia="宋体"/>
          <w:color w:val="000000"/>
          <w:sz w:val="24"/>
          <w:szCs w:val="24"/>
        </w:rPr>
      </w:pPr>
      <w:r>
        <w:rPr>
          <w:rFonts w:hint="eastAsia" w:eastAsia="宋体"/>
          <w:color w:val="000000"/>
          <w:sz w:val="24"/>
          <w:szCs w:val="24"/>
        </w:rPr>
        <w:t>3.3 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14:paraId="505B52F3">
      <w:pPr>
        <w:spacing w:line="360" w:lineRule="auto"/>
        <w:ind w:firstLine="480" w:firstLineChars="200"/>
        <w:contextualSpacing/>
        <w:rPr>
          <w:rFonts w:eastAsia="宋体"/>
          <w:color w:val="000000"/>
          <w:sz w:val="24"/>
          <w:szCs w:val="24"/>
        </w:rPr>
      </w:pPr>
      <w:r>
        <w:rPr>
          <w:rFonts w:hint="eastAsia" w:eastAsia="宋体"/>
          <w:color w:val="000000"/>
          <w:sz w:val="24"/>
          <w:szCs w:val="24"/>
        </w:rPr>
        <w:t>3.4 凡是与审查、澄清、评价和比较投标的有关资料以及授标建议等，招标人、评标委员会、招标代理机构均不得向投标人或与评标无关的其他人员透露。</w:t>
      </w:r>
    </w:p>
    <w:p w14:paraId="52AB8948">
      <w:pPr>
        <w:spacing w:line="360" w:lineRule="auto"/>
        <w:ind w:firstLine="480" w:firstLineChars="200"/>
        <w:contextualSpacing/>
        <w:rPr>
          <w:rFonts w:eastAsia="宋体"/>
          <w:color w:val="000000"/>
          <w:sz w:val="24"/>
          <w:szCs w:val="24"/>
        </w:rPr>
      </w:pPr>
      <w:r>
        <w:rPr>
          <w:rFonts w:hint="eastAsia" w:eastAsia="宋体"/>
          <w:color w:val="000000"/>
          <w:sz w:val="24"/>
          <w:szCs w:val="24"/>
        </w:rPr>
        <w:t>3.5 在评审期间，招标代理机构将设专门人员与投标人联系。</w:t>
      </w:r>
    </w:p>
    <w:p w14:paraId="228C85B0">
      <w:pPr>
        <w:spacing w:line="360" w:lineRule="auto"/>
        <w:ind w:firstLine="480" w:firstLineChars="200"/>
        <w:contextualSpacing/>
        <w:rPr>
          <w:rFonts w:eastAsia="宋体"/>
          <w:color w:val="000000"/>
          <w:sz w:val="24"/>
          <w:szCs w:val="24"/>
        </w:rPr>
      </w:pPr>
      <w:r>
        <w:rPr>
          <w:rFonts w:hint="eastAsia" w:eastAsia="宋体"/>
          <w:color w:val="000000"/>
          <w:sz w:val="24"/>
          <w:szCs w:val="24"/>
        </w:rPr>
        <w:t>3.6 招标人、招标代理机构和评标委员会不向未中标的投标人解释未中标原因，也不公布评审过程中的相关细节。</w:t>
      </w:r>
    </w:p>
    <w:p w14:paraId="2C15ED12">
      <w:pPr>
        <w:spacing w:line="360" w:lineRule="auto"/>
        <w:ind w:firstLine="480" w:firstLineChars="200"/>
        <w:contextualSpacing/>
        <w:rPr>
          <w:rFonts w:eastAsia="宋体"/>
          <w:color w:val="000000"/>
          <w:sz w:val="24"/>
          <w:szCs w:val="24"/>
        </w:rPr>
      </w:pPr>
      <w:r>
        <w:rPr>
          <w:rFonts w:hint="eastAsia" w:eastAsia="宋体"/>
          <w:color w:val="000000"/>
          <w:sz w:val="24"/>
          <w:szCs w:val="24"/>
        </w:rPr>
        <w:t>3.7 采用综合评分法的项目，未中标的投标人可于中标结果公告期限届满之日起通过苏采云系统查看自己的评审得分及排序情况。</w:t>
      </w:r>
    </w:p>
    <w:p w14:paraId="2416277A">
      <w:pPr>
        <w:spacing w:line="360" w:lineRule="auto"/>
        <w:ind w:firstLine="480" w:firstLineChars="200"/>
        <w:contextualSpacing/>
        <w:rPr>
          <w:rFonts w:eastAsia="宋体"/>
          <w:color w:val="000000"/>
          <w:sz w:val="24"/>
          <w:szCs w:val="24"/>
        </w:rPr>
      </w:pPr>
      <w:r>
        <w:rPr>
          <w:rFonts w:hint="eastAsia" w:eastAsia="宋体"/>
          <w:color w:val="000000"/>
          <w:sz w:val="24"/>
          <w:szCs w:val="24"/>
        </w:rPr>
        <w:t>4.投标文件的澄清</w:t>
      </w:r>
    </w:p>
    <w:p w14:paraId="0C78C1D3">
      <w:pPr>
        <w:spacing w:line="360" w:lineRule="auto"/>
        <w:ind w:firstLine="480" w:firstLineChars="200"/>
        <w:contextualSpacing/>
        <w:rPr>
          <w:rFonts w:eastAsia="宋体"/>
          <w:color w:val="000000"/>
          <w:sz w:val="24"/>
          <w:szCs w:val="24"/>
        </w:rPr>
      </w:pPr>
      <w:r>
        <w:rPr>
          <w:rFonts w:hint="eastAsia" w:eastAsia="宋体"/>
          <w:color w:val="000000"/>
          <w:sz w:val="24"/>
          <w:szCs w:val="24"/>
        </w:rPr>
        <w:t>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p>
    <w:p w14:paraId="723D73DA">
      <w:pPr>
        <w:spacing w:line="360" w:lineRule="auto"/>
        <w:ind w:firstLine="480" w:firstLineChars="200"/>
        <w:contextualSpacing/>
        <w:rPr>
          <w:rFonts w:eastAsia="宋体"/>
          <w:color w:val="000000"/>
          <w:sz w:val="24"/>
          <w:szCs w:val="24"/>
        </w:rPr>
      </w:pPr>
      <w:r>
        <w:rPr>
          <w:rFonts w:hint="eastAsia" w:eastAsia="宋体"/>
          <w:color w:val="000000"/>
          <w:sz w:val="24"/>
          <w:szCs w:val="24"/>
        </w:rPr>
        <w:t>4.2 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p>
    <w:p w14:paraId="35B4F5FA">
      <w:pPr>
        <w:spacing w:line="360" w:lineRule="auto"/>
        <w:ind w:firstLine="480" w:firstLineChars="200"/>
        <w:contextualSpacing/>
        <w:rPr>
          <w:rFonts w:eastAsia="宋体"/>
          <w:color w:val="000000"/>
          <w:sz w:val="24"/>
          <w:szCs w:val="24"/>
        </w:rPr>
      </w:pPr>
      <w:r>
        <w:rPr>
          <w:rFonts w:hint="eastAsia" w:eastAsia="宋体"/>
          <w:color w:val="000000"/>
          <w:sz w:val="24"/>
          <w:szCs w:val="24"/>
        </w:rPr>
        <w:t>4.3 接到评标委员会澄清、说明和更正要求的投标人如未按规定做出澄清、说明和 更正，其风险由投标人自行承担。</w:t>
      </w:r>
    </w:p>
    <w:p w14:paraId="4E55B46E">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5.对投标文件的审查</w:t>
      </w:r>
    </w:p>
    <w:p w14:paraId="22F95E31">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5.1 投标文件初审分为资格性审查和符合性审查。</w:t>
      </w:r>
    </w:p>
    <w:p w14:paraId="71DF6B6D">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5.1.1 资格性检查：依据法律法规和招标文件的规定，由招标人对投标文件中的资格证明文件进行审查。资格审查的结论，招标人以书面形式向评委会进行反馈。</w:t>
      </w:r>
    </w:p>
    <w:p w14:paraId="35F1F517">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招标人在进行资格性审查的同时，将在“信用中国”网站查询投标人的信用记录，以确定投标人是否具备投标资格，查询结果留存并归档。</w:t>
      </w:r>
    </w:p>
    <w:p w14:paraId="311A7705">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接受联合体的项目，两个以上的自然人、法人或者其他组织组成一个联合体，以一个投标人的身份共同参加政府采购活动的，联合体成员中任何一方存在不良信用记录的，视同联合体存在不良应用记录。</w:t>
      </w:r>
    </w:p>
    <w:p w14:paraId="55C4C6A3">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5.1.2 符合性审查：依据招标文件的规定，由评标委员会从投标文件的有效性、完整性和对招标文件的响应程度进行审查，以确定是否对招标文件的实质性要求作出响应。</w:t>
      </w:r>
    </w:p>
    <w:p w14:paraId="1EB66364">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5.1.3 未通过资格审查或符合性审查的投标人，招标代理机构将在</w:t>
      </w:r>
      <w:r>
        <w:rPr>
          <w:rFonts w:hint="eastAsia" w:eastAsia="宋体"/>
          <w:color w:val="000000"/>
          <w:sz w:val="24"/>
          <w:szCs w:val="24"/>
        </w:rPr>
        <w:t>苏采云系统</w:t>
      </w:r>
      <w:r>
        <w:rPr>
          <w:rFonts w:hint="eastAsia" w:eastAsia="宋体"/>
          <w:bCs/>
          <w:color w:val="000000"/>
          <w:sz w:val="24"/>
          <w:szCs w:val="24"/>
        </w:rPr>
        <w:t>中告知未通过资格审查或符合性审查的原因，评审结束后，招标代理机构将不再告知未通过资格审查或符合性审查的原因。</w:t>
      </w:r>
    </w:p>
    <w:p w14:paraId="3044E9BE">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 xml:space="preserve">5.2 </w:t>
      </w:r>
      <w:r>
        <w:rPr>
          <w:rFonts w:hint="eastAsia" w:eastAsia="宋体"/>
          <w:color w:val="000000"/>
          <w:sz w:val="24"/>
          <w:szCs w:val="24"/>
        </w:rPr>
        <w:t>在详细评审之前</w:t>
      </w:r>
      <w:r>
        <w:rPr>
          <w:rFonts w:hint="eastAsia" w:eastAsia="宋体"/>
          <w:bCs/>
          <w:color w:val="000000"/>
          <w:sz w:val="24"/>
          <w:szCs w:val="24"/>
        </w:rPr>
        <w:t>，评标委员会将首先审查每份投标文件是否实质性响应了招标文件的要求。实质性响应的投标文件应该是与招标文件要求的全部条款、条件和规格相符，没有重大负偏离或保留。</w:t>
      </w:r>
    </w:p>
    <w:p w14:paraId="143EC9BD">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olor w:val="000000"/>
          <w:sz w:val="24"/>
          <w:szCs w:val="24"/>
        </w:rPr>
        <w:t>重大偏离的认定需经过评委会以少数服从多数的原则作出结论</w:t>
      </w:r>
      <w:r>
        <w:rPr>
          <w:rFonts w:hint="eastAsia" w:eastAsia="宋体"/>
          <w:bCs/>
          <w:color w:val="000000"/>
          <w:sz w:val="24"/>
          <w:szCs w:val="24"/>
        </w:rPr>
        <w:t>。评标委员会决定投标文件的响应性只根据投标文件本身的内容，而不寻求外部的证据。</w:t>
      </w:r>
    </w:p>
    <w:p w14:paraId="3B34B87E">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5.3 如果投标文件实质上没有响应招标文件的要求，评标委员会将予以拒绝，投标人不得通过修改或撤销不符合要求的偏离或保留而使其投标文件成为实质性响应的文件。</w:t>
      </w:r>
    </w:p>
    <w:p w14:paraId="7186D3F6">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5.4 评标委员会将对确定为实质性响应的文件进行进一步审核，看其是否有计算上或累加上的算术错误，修正错误的原则如下：</w:t>
      </w:r>
    </w:p>
    <w:p w14:paraId="7E5C6CDD">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（1）投标文件中开标一览表内容与投标文件中相应内容不一致的，以开标一览表为准。</w:t>
      </w:r>
    </w:p>
    <w:p w14:paraId="0FA0765C">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（2）大写金额和小写金额不一致的，以大写金额为准。</w:t>
      </w:r>
    </w:p>
    <w:p w14:paraId="3F432105">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（3）单价金额小数点或者百分比有明显错位的，以开标一览表的总价为准，并修改单价。</w:t>
      </w:r>
    </w:p>
    <w:p w14:paraId="744176E9">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（4）总价金额与按单价汇总金额不一致的，以单价金额计算结果为准。</w:t>
      </w:r>
    </w:p>
    <w:p w14:paraId="7F885CD1">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同时出现两种以上错误的，按照前款规定的顺序修正。</w:t>
      </w:r>
    </w:p>
    <w:p w14:paraId="5D989EC3">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5.5 评标委员会将按上述修正错误的方法调整投标文件中的报价，通过“苏采云系统”告知投标人，调整后的价格应对投标人具有约束力。如果投标人不接受修正后的价格，则其投标文件将被拒绝。</w:t>
      </w:r>
    </w:p>
    <w:p w14:paraId="4526D3D6">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5.6 评标委员会将允许修正投标文件中不构成重大偏离的、微小的、非正规的、不一致的或不规则的地方，但这些修改不能影响任何投标人相应的名次排列。</w:t>
      </w:r>
    </w:p>
    <w:p w14:paraId="10AC0658">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5.7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1BDE5C3E">
      <w:pPr>
        <w:spacing w:line="360" w:lineRule="auto"/>
        <w:ind w:firstLine="482" w:firstLineChars="200"/>
        <w:contextualSpacing/>
        <w:rPr>
          <w:rFonts w:eastAsia="宋体"/>
          <w:b/>
          <w:color w:val="000000"/>
          <w:sz w:val="24"/>
          <w:szCs w:val="24"/>
        </w:rPr>
      </w:pPr>
      <w:r>
        <w:rPr>
          <w:rFonts w:hint="eastAsia" w:eastAsia="宋体"/>
          <w:b/>
          <w:color w:val="000000"/>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C6618D7">
      <w:pPr>
        <w:spacing w:line="360" w:lineRule="auto"/>
        <w:ind w:firstLine="482" w:firstLineChars="200"/>
        <w:contextualSpacing/>
        <w:rPr>
          <w:rFonts w:eastAsia="宋体"/>
          <w:b/>
          <w:color w:val="000000"/>
          <w:sz w:val="24"/>
          <w:szCs w:val="24"/>
        </w:rPr>
      </w:pPr>
      <w:r>
        <w:rPr>
          <w:rFonts w:hint="eastAsia" w:eastAsia="宋体"/>
          <w:b/>
          <w:color w:val="000000"/>
          <w:sz w:val="24"/>
          <w:szCs w:val="24"/>
        </w:rPr>
        <w:t>非单一产品采购项目，招标文件中将载明其中的核心产品。多家投标人提供的核心产品品牌相同的，按前两款规定处理。</w:t>
      </w:r>
    </w:p>
    <w:p w14:paraId="1B5BD9EA">
      <w:pPr>
        <w:spacing w:line="360" w:lineRule="auto"/>
        <w:ind w:firstLine="482" w:firstLineChars="200"/>
        <w:contextualSpacing/>
        <w:rPr>
          <w:rFonts w:eastAsia="宋体"/>
          <w:b/>
          <w:color w:val="000000"/>
          <w:sz w:val="24"/>
          <w:szCs w:val="24"/>
        </w:rPr>
      </w:pPr>
      <w:r>
        <w:rPr>
          <w:rFonts w:hint="eastAsia" w:eastAsia="宋体"/>
          <w:b/>
          <w:color w:val="000000"/>
          <w:sz w:val="24"/>
          <w:szCs w:val="24"/>
        </w:rPr>
        <w:t>5.8 评审委员会启动异常低价投标（响应）审查的情形和具体要求：</w:t>
      </w:r>
    </w:p>
    <w:p w14:paraId="649EC987">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（一）根据财政部财库〔2026〕2号《关于推动解决政府采购异常低价问题的通知》文件精神，评审中出现下列情形之一的，评审委员会应当启动异常低价投标（响应）审查程序：</w:t>
      </w:r>
    </w:p>
    <w:p w14:paraId="0ED2C86B">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1.投标（响应）报价低于全部通过符合性审查供应商投标（响应）报价平均值50%的，即投标（响应）报价&lt;全部通过符合性审查供应商投标（响应）报价平均值×50%；</w:t>
      </w:r>
    </w:p>
    <w:p w14:paraId="43EBA3A5">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2.投标（响应）报价低于通过符合性审查的次低报价供应商投标（响应）报价50%的，即投标（响应）报价&lt;通过符合性审查的次低报价供应商投标（响应）报价×50%；</w:t>
      </w:r>
    </w:p>
    <w:p w14:paraId="68DB67D6">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3.投标（响应）报价低于采购项目最高限价45%的，即投标（响应）报价&lt;采购项目最高限价×45%；</w:t>
      </w:r>
    </w:p>
    <w:p w14:paraId="2B83AE03">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4.评审委员会基于专业判断，认为供应商报价过低，有可能影响产品质量或者不能诚信履约的其他情形。</w:t>
      </w:r>
    </w:p>
    <w:p w14:paraId="3E2C1D86">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相关法律法规对供应商报价有规定的，从其规定。</w:t>
      </w:r>
    </w:p>
    <w:p w14:paraId="543C0F15">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DF6BE69">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5C6F097">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1FED0BC">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异常低价投标（响应）审查的启动原因、审查意见和审查结果应当在评审报告中记录，并随供应商提供的相关书面说明及证明材料，以及评审委员会有关互联网浏览、查询历史一并归档。</w:t>
      </w:r>
    </w:p>
    <w:p w14:paraId="797DBBAF">
      <w:pPr>
        <w:spacing w:line="360" w:lineRule="auto"/>
        <w:ind w:firstLine="480" w:firstLineChars="200"/>
        <w:contextualSpacing/>
        <w:rPr>
          <w:rFonts w:eastAsia="宋体"/>
          <w:color w:val="000000"/>
          <w:sz w:val="24"/>
          <w:szCs w:val="24"/>
        </w:rPr>
      </w:pPr>
      <w:r>
        <w:rPr>
          <w:rFonts w:hint="eastAsia" w:eastAsia="宋体"/>
          <w:color w:val="000000"/>
          <w:sz w:val="24"/>
          <w:szCs w:val="24"/>
        </w:rPr>
        <w:t>5.9 投标人在开、评标全过程中应保持通讯畅通，及时登录苏采云系统查阅、答复相关信息</w:t>
      </w:r>
      <w:r>
        <w:rPr>
          <w:rFonts w:hint="eastAsia" w:eastAsia="宋体"/>
          <w:bCs/>
          <w:color w:val="000000"/>
          <w:sz w:val="24"/>
          <w:szCs w:val="24"/>
        </w:rPr>
        <w:t>，并安排专人与招标人或招标代理机构及评标委员会联系</w:t>
      </w:r>
      <w:r>
        <w:rPr>
          <w:rFonts w:hint="eastAsia" w:eastAsia="宋体"/>
          <w:color w:val="000000"/>
          <w:sz w:val="24"/>
          <w:szCs w:val="24"/>
        </w:rPr>
        <w:t>。</w:t>
      </w:r>
    </w:p>
    <w:p w14:paraId="2EFDEF79">
      <w:pPr>
        <w:spacing w:line="360" w:lineRule="auto"/>
        <w:ind w:firstLine="482" w:firstLineChars="200"/>
        <w:contextualSpacing/>
        <w:rPr>
          <w:rFonts w:eastAsia="宋体"/>
          <w:b/>
          <w:bCs/>
          <w:color w:val="000000"/>
          <w:sz w:val="24"/>
          <w:szCs w:val="24"/>
        </w:rPr>
      </w:pPr>
      <w:r>
        <w:rPr>
          <w:rFonts w:hint="eastAsia" w:eastAsia="宋体"/>
          <w:b/>
          <w:bCs/>
          <w:color w:val="000000"/>
          <w:sz w:val="24"/>
          <w:szCs w:val="24"/>
        </w:rPr>
        <w:t>六</w:t>
      </w:r>
      <w:r>
        <w:rPr>
          <w:rFonts w:eastAsia="宋体"/>
          <w:b/>
          <w:bCs/>
          <w:color w:val="000000"/>
          <w:sz w:val="24"/>
          <w:szCs w:val="24"/>
        </w:rPr>
        <w:t>、</w:t>
      </w:r>
      <w:r>
        <w:rPr>
          <w:rFonts w:hint="eastAsia" w:eastAsia="宋体"/>
          <w:b/>
          <w:bCs/>
          <w:color w:val="000000"/>
          <w:sz w:val="24"/>
          <w:szCs w:val="24"/>
        </w:rPr>
        <w:t>无效投标条款</w:t>
      </w:r>
    </w:p>
    <w:p w14:paraId="5423CF86">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1.同一投标人提交两个（含两个）以上不同的投标报价的。</w:t>
      </w:r>
    </w:p>
    <w:p w14:paraId="57016DCA">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2.投标人不具备招标文件中规定资格要求的。</w:t>
      </w:r>
    </w:p>
    <w:p w14:paraId="5A088DD1">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3.投标人的报价超过了采购预算或最高限价的。</w:t>
      </w:r>
    </w:p>
    <w:p w14:paraId="02679532">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4.未通过符合性审查的。</w:t>
      </w:r>
    </w:p>
    <w:p w14:paraId="6AE8C034">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5.不符合招标文件中规定的实质性要求和条件的。</w:t>
      </w:r>
    </w:p>
    <w:p w14:paraId="3771940E">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73FA50E9">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7.投标文件含有招标人不能接受的附加条件的。</w:t>
      </w:r>
    </w:p>
    <w:p w14:paraId="64B3CB4E">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p>
    <w:p w14:paraId="722B21C2">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p>
    <w:p w14:paraId="2B6BCF15">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10.投标文件未按照招标文件要求加盖CA电子公章的。</w:t>
      </w:r>
    </w:p>
    <w:p w14:paraId="65EBB305">
      <w:pPr>
        <w:spacing w:line="360" w:lineRule="auto"/>
        <w:ind w:firstLine="482" w:firstLineChars="200"/>
        <w:contextualSpacing/>
        <w:rPr>
          <w:rFonts w:eastAsia="宋体"/>
          <w:bCs/>
          <w:color w:val="000000"/>
          <w:sz w:val="24"/>
          <w:szCs w:val="24"/>
        </w:rPr>
      </w:pPr>
      <w:r>
        <w:rPr>
          <w:rFonts w:hint="eastAsia" w:eastAsia="宋体"/>
          <w:b/>
          <w:color w:val="000000"/>
          <w:sz w:val="24"/>
          <w:szCs w:val="24"/>
        </w:rPr>
        <w:t>凡是投标文件中涉及供应商资信认证、人员证书、业绩荣誉等扫描件，和要求法定代表人或授权委托人签字，和以供应商名称落款并注明需要盖章的，均需相应盖章或签字。</w:t>
      </w:r>
    </w:p>
    <w:p w14:paraId="51EB4295">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11.投标人的商务技术部分得分相差悬殊，评标委员会一致认为得分畸低者有可能影响产品质量或者不能诚信履约的。</w:t>
      </w:r>
    </w:p>
    <w:p w14:paraId="7A377059">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12.投标人的商务技术标得分低于本采购文件商务技术标评分分值的50%的，视为未实质性响应采购文件要求。</w:t>
      </w:r>
    </w:p>
    <w:p w14:paraId="5251ECCF">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13.投标人在苏采云系统规定的时间内未成功解密电子投标文件的。</w:t>
      </w:r>
    </w:p>
    <w:p w14:paraId="7D9ECAB0">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14.投标人未按照招标文件要求上传电子投标文件的，或上传的文件打不开的。</w:t>
      </w:r>
    </w:p>
    <w:p w14:paraId="66DAF1DE">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15.不同的投标人投标文件制作机器码、文件创建标识码一致的。</w:t>
      </w:r>
    </w:p>
    <w:p w14:paraId="24058891">
      <w:pPr>
        <w:spacing w:line="360" w:lineRule="auto"/>
        <w:ind w:firstLine="480" w:firstLineChars="200"/>
        <w:contextualSpacing/>
        <w:rPr>
          <w:rFonts w:eastAsia="宋体" w:cs="宋体"/>
          <w:color w:val="000000"/>
          <w:sz w:val="24"/>
          <w:szCs w:val="24"/>
        </w:rPr>
      </w:pPr>
      <w:r>
        <w:rPr>
          <w:rFonts w:hint="eastAsia" w:eastAsia="宋体"/>
          <w:bCs/>
          <w:color w:val="000000"/>
          <w:sz w:val="24"/>
          <w:szCs w:val="24"/>
        </w:rPr>
        <w:t>16.其他法律、法规及本招标文件规定的属无效投标的情形</w:t>
      </w:r>
      <w:r>
        <w:rPr>
          <w:rFonts w:hint="eastAsia" w:eastAsia="宋体" w:cs="宋体"/>
          <w:color w:val="000000"/>
          <w:sz w:val="24"/>
          <w:szCs w:val="24"/>
        </w:rPr>
        <w:t>。</w:t>
      </w:r>
    </w:p>
    <w:p w14:paraId="1AD1EB93">
      <w:pPr>
        <w:spacing w:line="360" w:lineRule="auto"/>
        <w:ind w:firstLine="482" w:firstLineChars="200"/>
        <w:contextualSpacing/>
        <w:rPr>
          <w:rFonts w:eastAsia="宋体" w:cs="宋体"/>
          <w:b/>
          <w:bCs/>
          <w:color w:val="000000"/>
          <w:sz w:val="24"/>
          <w:szCs w:val="24"/>
        </w:rPr>
      </w:pPr>
      <w:r>
        <w:rPr>
          <w:rFonts w:hint="eastAsia" w:eastAsia="宋体" w:cs="宋体"/>
          <w:b/>
          <w:bCs/>
          <w:color w:val="000000"/>
          <w:sz w:val="24"/>
          <w:szCs w:val="24"/>
        </w:rPr>
        <w:t>七</w:t>
      </w:r>
      <w:r>
        <w:rPr>
          <w:rFonts w:eastAsia="宋体" w:cs="宋体"/>
          <w:b/>
          <w:bCs/>
          <w:color w:val="000000"/>
          <w:sz w:val="24"/>
          <w:szCs w:val="24"/>
        </w:rPr>
        <w:t>、</w:t>
      </w:r>
      <w:r>
        <w:rPr>
          <w:rFonts w:hint="eastAsia" w:eastAsia="宋体" w:cs="宋体"/>
          <w:b/>
          <w:bCs/>
          <w:color w:val="000000"/>
          <w:sz w:val="24"/>
          <w:szCs w:val="24"/>
        </w:rPr>
        <w:t>废标条款</w:t>
      </w:r>
    </w:p>
    <w:p w14:paraId="04534525">
      <w:pPr>
        <w:spacing w:line="360" w:lineRule="auto"/>
        <w:ind w:firstLine="480" w:firstLineChars="200"/>
        <w:contextualSpacing/>
        <w:rPr>
          <w:rFonts w:eastAsia="宋体"/>
          <w:color w:val="000000"/>
          <w:sz w:val="24"/>
          <w:szCs w:val="24"/>
        </w:rPr>
      </w:pPr>
      <w:r>
        <w:rPr>
          <w:rFonts w:hint="eastAsia" w:eastAsia="宋体"/>
          <w:color w:val="000000"/>
          <w:sz w:val="24"/>
          <w:szCs w:val="24"/>
        </w:rPr>
        <w:t>1.符合专业条件的供应商或者对招标文件作实质响应的供应商不足三家的（含不同投标人提供的核心产品品牌不足三个的）。</w:t>
      </w:r>
    </w:p>
    <w:p w14:paraId="65E467BB">
      <w:pPr>
        <w:spacing w:line="360" w:lineRule="auto"/>
        <w:ind w:firstLine="480" w:firstLineChars="200"/>
        <w:contextualSpacing/>
        <w:rPr>
          <w:rFonts w:eastAsia="宋体"/>
          <w:color w:val="000000"/>
          <w:sz w:val="24"/>
          <w:szCs w:val="24"/>
        </w:rPr>
      </w:pPr>
      <w:r>
        <w:rPr>
          <w:rFonts w:hint="eastAsia" w:eastAsia="宋体"/>
          <w:color w:val="000000"/>
          <w:sz w:val="24"/>
          <w:szCs w:val="24"/>
        </w:rPr>
        <w:t>2.出现影响采购公正的违法、违规行为的。</w:t>
      </w:r>
    </w:p>
    <w:p w14:paraId="5C3379BF">
      <w:pPr>
        <w:spacing w:line="360" w:lineRule="auto"/>
        <w:ind w:firstLine="480" w:firstLineChars="200"/>
        <w:contextualSpacing/>
        <w:rPr>
          <w:rFonts w:eastAsia="宋体"/>
          <w:color w:val="000000"/>
          <w:sz w:val="24"/>
          <w:szCs w:val="24"/>
        </w:rPr>
      </w:pPr>
      <w:r>
        <w:rPr>
          <w:rFonts w:hint="eastAsia" w:eastAsia="宋体"/>
          <w:color w:val="000000"/>
          <w:sz w:val="24"/>
          <w:szCs w:val="24"/>
        </w:rPr>
        <w:t>3.因重大变故，采购任务取消的。</w:t>
      </w:r>
    </w:p>
    <w:p w14:paraId="28DA2669">
      <w:pPr>
        <w:spacing w:line="360" w:lineRule="auto"/>
        <w:ind w:firstLine="480" w:firstLineChars="200"/>
        <w:contextualSpacing/>
        <w:rPr>
          <w:rFonts w:eastAsia="宋体"/>
          <w:color w:val="000000"/>
          <w:sz w:val="24"/>
          <w:szCs w:val="24"/>
        </w:rPr>
      </w:pPr>
      <w:r>
        <w:rPr>
          <w:rFonts w:hint="eastAsia" w:eastAsia="宋体"/>
          <w:color w:val="000000"/>
          <w:sz w:val="24"/>
          <w:szCs w:val="24"/>
        </w:rPr>
        <w:t>4.评标委员会认定招标文件存在歧义、重大缺陷导致评审工作无法进行。</w:t>
      </w:r>
    </w:p>
    <w:p w14:paraId="6C389506">
      <w:pPr>
        <w:spacing w:line="360" w:lineRule="auto"/>
        <w:ind w:firstLine="480" w:firstLineChars="200"/>
        <w:contextualSpacing/>
        <w:rPr>
          <w:rFonts w:eastAsia="宋体"/>
          <w:color w:val="000000"/>
          <w:sz w:val="24"/>
          <w:szCs w:val="24"/>
        </w:rPr>
      </w:pPr>
      <w:r>
        <w:rPr>
          <w:rFonts w:hint="eastAsia" w:eastAsia="宋体"/>
          <w:color w:val="000000"/>
          <w:sz w:val="24"/>
          <w:szCs w:val="24"/>
        </w:rPr>
        <w:t>5.因苏采云系统系统故障原因造成开标不成功的。</w:t>
      </w:r>
    </w:p>
    <w:p w14:paraId="5D28B04C">
      <w:pPr>
        <w:spacing w:line="360" w:lineRule="auto"/>
        <w:ind w:firstLine="480" w:firstLineChars="200"/>
        <w:contextualSpacing/>
        <w:rPr>
          <w:rFonts w:eastAsia="宋体"/>
          <w:color w:val="000000"/>
          <w:sz w:val="24"/>
          <w:szCs w:val="24"/>
        </w:rPr>
      </w:pPr>
      <w:r>
        <w:rPr>
          <w:rFonts w:hint="eastAsia" w:eastAsia="宋体"/>
          <w:color w:val="000000"/>
          <w:sz w:val="24"/>
          <w:szCs w:val="24"/>
        </w:rPr>
        <w:t>6.投标截止时间结束后参加投标的供应商不足三家的处理：</w:t>
      </w:r>
    </w:p>
    <w:p w14:paraId="2605695E">
      <w:pPr>
        <w:spacing w:line="360" w:lineRule="auto"/>
        <w:ind w:firstLine="480" w:firstLineChars="200"/>
        <w:contextualSpacing/>
        <w:rPr>
          <w:rFonts w:eastAsia="宋体"/>
          <w:b/>
          <w:bCs/>
          <w:color w:val="000000"/>
          <w:sz w:val="24"/>
          <w:szCs w:val="24"/>
        </w:rPr>
      </w:pPr>
      <w:r>
        <w:rPr>
          <w:rFonts w:hint="eastAsia" w:eastAsia="宋体"/>
          <w:color w:val="000000"/>
          <w:sz w:val="24"/>
          <w:szCs w:val="24"/>
        </w:rPr>
        <w:t>6.1如出现投标截止时间结束后参加投标的供应商或者在评标期间对招标文件做出实质响应的供应商不足三家情况，按政府采购相关规定执行。</w:t>
      </w:r>
    </w:p>
    <w:p w14:paraId="190EC45F">
      <w:pPr>
        <w:spacing w:line="360" w:lineRule="auto"/>
        <w:ind w:firstLine="482" w:firstLineChars="200"/>
        <w:contextualSpacing/>
        <w:rPr>
          <w:rFonts w:eastAsia="宋体"/>
          <w:b/>
          <w:bCs/>
          <w:color w:val="000000"/>
          <w:sz w:val="24"/>
          <w:szCs w:val="24"/>
        </w:rPr>
      </w:pPr>
      <w:r>
        <w:rPr>
          <w:rFonts w:hint="eastAsia" w:eastAsia="宋体"/>
          <w:b/>
          <w:bCs/>
          <w:color w:val="000000"/>
          <w:sz w:val="24"/>
          <w:szCs w:val="24"/>
        </w:rPr>
        <w:t>八</w:t>
      </w:r>
      <w:r>
        <w:rPr>
          <w:rFonts w:eastAsia="宋体"/>
          <w:b/>
          <w:bCs/>
          <w:color w:val="000000"/>
          <w:sz w:val="24"/>
          <w:szCs w:val="24"/>
          <w:lang w:val="zh-CN"/>
        </w:rPr>
        <w:t>、</w:t>
      </w:r>
      <w:r>
        <w:rPr>
          <w:rFonts w:hint="eastAsia" w:eastAsia="宋体" w:cs="宋体"/>
          <w:b/>
          <w:bCs/>
          <w:color w:val="000000"/>
          <w:sz w:val="24"/>
          <w:szCs w:val="24"/>
        </w:rPr>
        <w:t>定标</w:t>
      </w:r>
    </w:p>
    <w:p w14:paraId="13752F88">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1.确定中标单位</w:t>
      </w:r>
    </w:p>
    <w:p w14:paraId="2ABF756F">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1.1 中标候选人的选取原则和数量见招标文件第四章规定。</w:t>
      </w:r>
    </w:p>
    <w:p w14:paraId="3E606BFD">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1.2 招标人应根据评委会推荐的中标候选人确定中标人。</w:t>
      </w:r>
    </w:p>
    <w:p w14:paraId="46147AC5">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1.3 招标代理机构将在“江苏政府采购网”发布中标结果公告，公告期限为1个工作日。</w:t>
      </w:r>
    </w:p>
    <w:p w14:paraId="2D25EC12">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1.4 若有充分证据证明，中标人出现下列情况之一的，一经查实，将被取消中标资格：</w:t>
      </w:r>
    </w:p>
    <w:p w14:paraId="3B323B73">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1.4.1 提供虚假材料谋取中标的。</w:t>
      </w:r>
    </w:p>
    <w:p w14:paraId="2E87ACEA">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1.4.2 向招标人或招标代理机构行贿或者评审专家提供其他不正当利益的。</w:t>
      </w:r>
    </w:p>
    <w:p w14:paraId="13A293E1">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1.4.3 恶意竞争，报价明显低于其自身合理成本且又无法提供证明的。</w:t>
      </w:r>
    </w:p>
    <w:p w14:paraId="3B839530">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1.4.4 属于本文件规定的无效条件，但在评审过程中又未被评标委员会发现的。</w:t>
      </w:r>
    </w:p>
    <w:p w14:paraId="5D3170B8">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1.4.5 与评审专家、招标人、其他投标人或者招标代理机构工作人员恶意串通的。</w:t>
      </w:r>
    </w:p>
    <w:p w14:paraId="18B32DE8">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1.4.6 采取不正当手段诋毁、排挤其他投标人的。</w:t>
      </w:r>
    </w:p>
    <w:p w14:paraId="71EAFD03">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1.4.7 中标后无正当理由拒不与招标人签订政府采购合同或者未按照招标文件确定的事项签订政府采购合同的。</w:t>
      </w:r>
    </w:p>
    <w:p w14:paraId="4195EB0C">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1.4.8 将政府采购合同转包的。</w:t>
      </w:r>
    </w:p>
    <w:p w14:paraId="6ADE1801">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1.5 有下列情形之一的，视为投标人串通参与投标，投标无效：</w:t>
      </w:r>
    </w:p>
    <w:p w14:paraId="63D307C7">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1.5.1 不同投标人的投标文件由同一单位或者个人编制；</w:t>
      </w:r>
    </w:p>
    <w:p w14:paraId="62997AA7">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1.5.2 不同投标人委托同一单位或者个人办理投标事宜；</w:t>
      </w:r>
    </w:p>
    <w:p w14:paraId="448839BB">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1.5.3 不同投标人的投标文件载明的项目管理成员或者联系人员为同一人；</w:t>
      </w:r>
    </w:p>
    <w:p w14:paraId="7220BBB4">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1.5.4 不同投标人的投标文件异常一致或者响应报价呈规律性差异；</w:t>
      </w:r>
    </w:p>
    <w:p w14:paraId="006A9A99">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1.5.5 不同投标人的投标文件相互混装。</w:t>
      </w:r>
    </w:p>
    <w:p w14:paraId="7F1EFA68">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2.质疑处理</w:t>
      </w:r>
    </w:p>
    <w:p w14:paraId="3AD5D599">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2.1 提出质疑的投标人应当是参与所质疑项目采购活动的投标人。潜在投标人依法获取其可质疑的招标文件的，可以对招标文件提出质疑。</w:t>
      </w:r>
    </w:p>
    <w:p w14:paraId="641565C8">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2.2 投标人认为招标文件、采购过程和采购结果使自己的权益受到损害的，可以在知道或应知其权益受到损害之日起七个工作日内，以书面形式向招标人或招标代理机构提出质疑。上述应知其权益受到损害之日，是指：</w:t>
      </w:r>
    </w:p>
    <w:p w14:paraId="6B26E9B2">
      <w:pPr>
        <w:spacing w:line="360" w:lineRule="auto"/>
        <w:ind w:firstLine="482" w:firstLineChars="200"/>
        <w:contextualSpacing/>
        <w:rPr>
          <w:rFonts w:eastAsia="宋体"/>
          <w:b/>
          <w:color w:val="000000"/>
          <w:sz w:val="24"/>
          <w:szCs w:val="24"/>
        </w:rPr>
      </w:pPr>
      <w:r>
        <w:rPr>
          <w:rFonts w:hint="eastAsia" w:eastAsia="宋体"/>
          <w:b/>
          <w:color w:val="000000"/>
          <w:sz w:val="24"/>
          <w:szCs w:val="24"/>
        </w:rPr>
        <w:t>2.2.1 对可以质疑的招标文件提出质疑的，为收到招标文件之日或者招标文件公告期限届满之日；</w:t>
      </w:r>
    </w:p>
    <w:p w14:paraId="521F63BC">
      <w:pPr>
        <w:spacing w:line="360" w:lineRule="auto"/>
        <w:ind w:firstLine="482" w:firstLineChars="200"/>
        <w:contextualSpacing/>
        <w:rPr>
          <w:rFonts w:eastAsia="宋体"/>
          <w:b/>
          <w:color w:val="000000"/>
          <w:sz w:val="24"/>
          <w:szCs w:val="24"/>
        </w:rPr>
      </w:pPr>
      <w:r>
        <w:rPr>
          <w:rFonts w:hint="eastAsia" w:eastAsia="宋体"/>
          <w:b/>
          <w:color w:val="000000"/>
          <w:sz w:val="24"/>
          <w:szCs w:val="24"/>
        </w:rPr>
        <w:t>2.2.2 对采购过程提出质疑的，为各采购程序环节结束之日；</w:t>
      </w:r>
    </w:p>
    <w:p w14:paraId="078AB702">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2.2.3 对中标结果提出质疑的，为中标结果公告期限届满之日。</w:t>
      </w:r>
    </w:p>
    <w:p w14:paraId="2E8920B1">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投标人应当在法定质疑期内一次性提出针对同一采购程序环节的质疑。投标人如在法定期限内对同一采购程序环节提出多次质疑的，招标人、招标代理机构将只对投标人第一次质疑作出答复。</w:t>
      </w:r>
    </w:p>
    <w:p w14:paraId="2778D3DF">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2.3 质疑函必须按照本招标文件中《质疑函范本》要求的格式和内容进行填写。投标人如组成联合体参加投标，则《质疑函范本》中要求签字、盖章、加盖公章之处，联合体各方均须按要求签字、盖章、加盖公章。</w:t>
      </w:r>
    </w:p>
    <w:p w14:paraId="2454CD7F">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2.4 质疑答复依据《政府采购质疑和投诉办法》（财政部令第94号）。</w:t>
      </w:r>
    </w:p>
    <w:p w14:paraId="3B5A5A9E">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招标人或招标代理机构质疑接收人及联系方式，见招标文件第一章。</w:t>
      </w:r>
    </w:p>
    <w:p w14:paraId="1EBBDBF5">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2.5 以下情形的质疑不予受理</w:t>
      </w:r>
    </w:p>
    <w:p w14:paraId="02D826E1">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2.5.1 内容不符合《政府采购质疑和投诉办法》第十二条规定的质疑。</w:t>
      </w:r>
    </w:p>
    <w:p w14:paraId="53116CF6">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2.5.2 超出政府采购法定期限的质疑。</w:t>
      </w:r>
    </w:p>
    <w:p w14:paraId="5592EB9B">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2.5.3 未参加投标活动的投标人或在投标活动中自身权益未受到损害的投标人所提出的质疑。</w:t>
      </w:r>
    </w:p>
    <w:p w14:paraId="71846C10">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2.5.4 投标人组成联合体参加投标，联合体中任何一方或多方未按要求签字、盖章、加盖公章的质疑。</w:t>
      </w:r>
    </w:p>
    <w:p w14:paraId="1D6ABB65">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p>
    <w:p w14:paraId="10B33D65">
      <w:pPr>
        <w:spacing w:line="360" w:lineRule="auto"/>
        <w:ind w:firstLine="482" w:firstLineChars="200"/>
        <w:contextualSpacing/>
        <w:rPr>
          <w:rFonts w:eastAsia="宋体"/>
          <w:b/>
          <w:bCs/>
          <w:color w:val="000000"/>
          <w:sz w:val="24"/>
          <w:szCs w:val="24"/>
        </w:rPr>
      </w:pPr>
      <w:r>
        <w:rPr>
          <w:rFonts w:hint="eastAsia" w:eastAsia="宋体"/>
          <w:b/>
          <w:bCs/>
          <w:color w:val="000000"/>
          <w:sz w:val="24"/>
          <w:szCs w:val="24"/>
        </w:rPr>
        <w:t>九</w:t>
      </w:r>
      <w:r>
        <w:rPr>
          <w:rFonts w:eastAsia="宋体"/>
          <w:b/>
          <w:bCs/>
          <w:color w:val="000000"/>
          <w:sz w:val="24"/>
          <w:szCs w:val="24"/>
          <w:lang w:val="zh-CN"/>
        </w:rPr>
        <w:t>、</w:t>
      </w:r>
      <w:r>
        <w:rPr>
          <w:rFonts w:hint="eastAsia" w:eastAsia="宋体"/>
          <w:b/>
          <w:bCs/>
          <w:color w:val="000000"/>
          <w:sz w:val="24"/>
          <w:szCs w:val="24"/>
        </w:rPr>
        <w:t>中标通知书</w:t>
      </w:r>
    </w:p>
    <w:p w14:paraId="3AFAD2EF">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273EB20">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2.中标通知书将是合同的一个组成部分。对招标人和中标人均具有法律效力。中标通知书发出后，招标人改变中标结果的，或者中标人放弃中标项目的，应当依法承担法律责任。</w:t>
      </w:r>
    </w:p>
    <w:p w14:paraId="42C62ECA">
      <w:pPr>
        <w:spacing w:line="360" w:lineRule="auto"/>
        <w:ind w:firstLine="482" w:firstLineChars="200"/>
        <w:contextualSpacing/>
        <w:rPr>
          <w:rFonts w:eastAsia="宋体"/>
          <w:b/>
          <w:bCs/>
          <w:color w:val="000000"/>
          <w:sz w:val="24"/>
          <w:szCs w:val="24"/>
        </w:rPr>
      </w:pPr>
      <w:r>
        <w:rPr>
          <w:rFonts w:hint="eastAsia" w:eastAsia="宋体"/>
          <w:b/>
          <w:bCs/>
          <w:color w:val="000000"/>
          <w:sz w:val="24"/>
          <w:szCs w:val="24"/>
        </w:rPr>
        <w:t>特别说明：中标人在下载或收到中标通知书后须提供3套加盖公章的系统内打印的纸质投标文件交给招标代理机构存档。</w:t>
      </w:r>
    </w:p>
    <w:p w14:paraId="6CDA91B2">
      <w:pPr>
        <w:spacing w:line="360" w:lineRule="auto"/>
        <w:ind w:firstLine="482" w:firstLineChars="200"/>
        <w:contextualSpacing/>
        <w:rPr>
          <w:rFonts w:ascii="宋体" w:hAnsi="宋体" w:eastAsia="宋体" w:cs="宋体"/>
          <w:b/>
          <w:bCs/>
          <w:color w:val="000000"/>
          <w:sz w:val="24"/>
          <w:szCs w:val="24"/>
        </w:rPr>
      </w:pPr>
      <w:r>
        <w:rPr>
          <w:rFonts w:hint="eastAsia" w:ascii="宋体" w:hAnsi="宋体" w:eastAsia="宋体" w:cs="宋体"/>
          <w:b/>
          <w:bCs/>
          <w:color w:val="000000"/>
          <w:sz w:val="24"/>
          <w:szCs w:val="24"/>
        </w:rPr>
        <w:t>十、</w:t>
      </w:r>
      <w:r>
        <w:rPr>
          <w:rFonts w:hint="eastAsia" w:ascii="宋体" w:hAnsi="宋体" w:eastAsia="宋体" w:cs="宋体"/>
          <w:b/>
          <w:bCs/>
          <w:color w:val="000000"/>
          <w:sz w:val="24"/>
          <w:szCs w:val="24"/>
          <w:lang w:val="zh-CN"/>
        </w:rPr>
        <w:t>履约保证金</w:t>
      </w:r>
    </w:p>
    <w:p w14:paraId="27DD19DF">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1.履约保证金是否收取：</w:t>
      </w:r>
      <w:r>
        <w:rPr>
          <w:rFonts w:hint="eastAsia" w:ascii="宋体" w:hAnsi="宋体" w:eastAsia="宋体" w:cs="宋体"/>
          <w:sz w:val="24"/>
          <w:szCs w:val="24"/>
          <w:u w:val="single"/>
        </w:rPr>
        <w:t>是</w:t>
      </w:r>
    </w:p>
    <w:p w14:paraId="27DCB4FE">
      <w:pPr>
        <w:spacing w:line="360" w:lineRule="auto"/>
        <w:ind w:firstLine="480" w:firstLineChars="200"/>
        <w:rPr>
          <w:rFonts w:ascii="宋体" w:hAnsi="宋体" w:eastAsia="宋体" w:cs="宋体"/>
          <w:color w:val="3D4B64"/>
          <w:sz w:val="24"/>
          <w:szCs w:val="24"/>
        </w:rPr>
      </w:pPr>
      <w:r>
        <w:rPr>
          <w:rFonts w:hint="eastAsia" w:ascii="宋体" w:hAnsi="宋体" w:eastAsia="宋体" w:cs="宋体"/>
          <w:sz w:val="24"/>
          <w:szCs w:val="24"/>
        </w:rPr>
        <w:t>2.履约保证金的数额：本项目中标后的履约保证金为项目中标价的</w:t>
      </w:r>
      <w:r>
        <w:rPr>
          <w:rFonts w:hint="eastAsia" w:ascii="宋体" w:hAnsi="宋体" w:eastAsia="宋体" w:cs="宋体"/>
          <w:sz w:val="24"/>
          <w:szCs w:val="24"/>
          <w:u w:val="single"/>
        </w:rPr>
        <w:t xml:space="preserve"> 10%</w:t>
      </w:r>
      <w:r>
        <w:rPr>
          <w:rFonts w:hint="eastAsia" w:ascii="宋体" w:hAnsi="宋体" w:eastAsia="宋体" w:cs="宋体"/>
          <w:sz w:val="24"/>
          <w:szCs w:val="24"/>
        </w:rPr>
        <w:t>。</w:t>
      </w:r>
    </w:p>
    <w:p w14:paraId="3042F3C5">
      <w:pPr>
        <w:spacing w:line="360" w:lineRule="auto"/>
        <w:ind w:firstLine="480" w:firstLineChars="200"/>
        <w:rPr>
          <w:rFonts w:ascii="宋体" w:hAnsi="宋体" w:eastAsia="宋体" w:cs="宋体"/>
          <w:sz w:val="24"/>
          <w:szCs w:val="24"/>
          <w:shd w:val="clear" w:color="auto" w:fill="FFFF00"/>
        </w:rPr>
      </w:pPr>
      <w:r>
        <w:rPr>
          <w:rFonts w:hint="eastAsia" w:ascii="宋体" w:hAnsi="宋体" w:eastAsia="宋体" w:cs="宋体"/>
          <w:sz w:val="24"/>
          <w:szCs w:val="24"/>
        </w:rPr>
        <w:t>3.缴纳履约保证金时间：中标供应商在中标通知书发出之日起</w:t>
      </w:r>
      <w:r>
        <w:rPr>
          <w:rFonts w:hint="eastAsia" w:ascii="宋体" w:hAnsi="宋体" w:eastAsia="宋体" w:cs="宋体"/>
          <w:sz w:val="24"/>
          <w:szCs w:val="24"/>
          <w:u w:val="single"/>
        </w:rPr>
        <w:t>15</w:t>
      </w:r>
      <w:r>
        <w:rPr>
          <w:rFonts w:hint="eastAsia" w:ascii="宋体" w:hAnsi="宋体" w:eastAsia="宋体" w:cs="宋体"/>
          <w:sz w:val="24"/>
          <w:szCs w:val="24"/>
        </w:rPr>
        <w:t>日内。</w:t>
      </w:r>
    </w:p>
    <w:p w14:paraId="66751C8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4.缴纳履约保证金形式：</w:t>
      </w:r>
      <w:r>
        <w:rPr>
          <w:rFonts w:hint="eastAsia" w:ascii="宋体" w:hAnsi="宋体" w:eastAsia="宋体" w:cs="宋体"/>
          <w:sz w:val="24"/>
          <w:szCs w:val="24"/>
          <w:u w:val="single"/>
        </w:rPr>
        <w:t>支票、汇票、本票或者金融机构、担保机构出具的保函、履约保证金保险</w:t>
      </w:r>
      <w:r>
        <w:rPr>
          <w:rFonts w:hint="eastAsia" w:ascii="宋体" w:hAnsi="宋体" w:eastAsia="宋体" w:cs="宋体"/>
          <w:sz w:val="24"/>
          <w:szCs w:val="24"/>
        </w:rPr>
        <w:t>等非现金形式。如选择担保机构出具的保函、履约保证金保险等形式，有效期须与履约时间一致。</w:t>
      </w:r>
    </w:p>
    <w:p w14:paraId="6EDF44D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采购人的账户：</w:t>
      </w:r>
    </w:p>
    <w:p w14:paraId="5CD1F57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单位名称：江苏航运职业技术学院；</w:t>
      </w:r>
    </w:p>
    <w:p w14:paraId="45A2C44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开户行：中国建设银行南通经济技术开发区支行；</w:t>
      </w:r>
    </w:p>
    <w:p w14:paraId="31D9194C">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账号：32001642336052515609；</w:t>
      </w:r>
    </w:p>
    <w:p w14:paraId="56132D8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统一社会信用代码：123200004660042577。</w:t>
      </w:r>
    </w:p>
    <w:p w14:paraId="288059EC">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5.退还履约保证金时间：中标供应商全部履约合同义务，质保期满后无质量、进度等问题的，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lang w:val="en-US" w:eastAsia="zh-CN"/>
        </w:rPr>
        <w:t>凭</w:t>
      </w:r>
      <w:r>
        <w:rPr>
          <w:rFonts w:hint="eastAsia" w:ascii="宋体" w:hAnsi="宋体" w:eastAsia="宋体" w:cs="宋体"/>
          <w:color w:val="auto"/>
          <w:sz w:val="24"/>
          <w:szCs w:val="24"/>
          <w:highlight w:val="none"/>
        </w:rPr>
        <w:t>中标供应商</w:t>
      </w:r>
      <w:r>
        <w:rPr>
          <w:rFonts w:hint="eastAsia" w:ascii="宋体" w:hAnsi="宋体" w:eastAsia="宋体" w:cs="宋体"/>
          <w:color w:val="auto"/>
          <w:sz w:val="24"/>
          <w:szCs w:val="24"/>
          <w:highlight w:val="none"/>
          <w:lang w:val="en-US" w:eastAsia="zh-CN"/>
        </w:rPr>
        <w:t>提交的申请，</w:t>
      </w:r>
      <w:r>
        <w:rPr>
          <w:rFonts w:hint="eastAsia" w:ascii="宋体" w:hAnsi="宋体" w:eastAsia="宋体" w:cs="宋体"/>
          <w:sz w:val="24"/>
          <w:szCs w:val="24"/>
        </w:rPr>
        <w:t>在三十个工作日内一次性退还履约保证金（不计息）</w:t>
      </w:r>
      <w:r>
        <w:rPr>
          <w:rFonts w:hint="eastAsia" w:ascii="宋体" w:hAnsi="宋体" w:eastAsia="宋体" w:cs="宋体"/>
          <w:color w:val="000000"/>
          <w:sz w:val="24"/>
          <w:szCs w:val="24"/>
        </w:rPr>
        <w:t>或者退还履约保证金保函</w:t>
      </w:r>
      <w:r>
        <w:rPr>
          <w:rFonts w:hint="eastAsia" w:ascii="宋体" w:hAnsi="宋体" w:eastAsia="宋体" w:cs="宋体"/>
          <w:sz w:val="24"/>
          <w:szCs w:val="24"/>
        </w:rPr>
        <w:t>，采购人若逾期退还履约保证金的，按照逾期部分的每日</w:t>
      </w:r>
      <w:r>
        <w:rPr>
          <w:rFonts w:hint="eastAsia" w:ascii="宋体" w:hAnsi="宋体" w:eastAsia="宋体" w:cs="宋体"/>
          <w:sz w:val="24"/>
          <w:szCs w:val="24"/>
          <w:u w:val="single"/>
        </w:rPr>
        <w:t>0.05%</w:t>
      </w:r>
      <w:r>
        <w:rPr>
          <w:rFonts w:hint="eastAsia" w:ascii="宋体" w:hAnsi="宋体" w:eastAsia="宋体" w:cs="宋体"/>
          <w:sz w:val="24"/>
          <w:szCs w:val="24"/>
        </w:rPr>
        <w:t xml:space="preserve">支付违约金。   </w:t>
      </w:r>
    </w:p>
    <w:p w14:paraId="738A7096">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6.退还履约保证金方式：同缴纳方式。   </w:t>
      </w:r>
    </w:p>
    <w:p w14:paraId="3E2F542D">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7.退还履约保证金条件：中标供应商全部履约合同义务，质保期满后无质量、进度等问题的，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lang w:val="en-US" w:eastAsia="zh-CN"/>
        </w:rPr>
        <w:t>凭</w:t>
      </w:r>
      <w:r>
        <w:rPr>
          <w:rFonts w:hint="eastAsia" w:ascii="宋体" w:hAnsi="宋体" w:eastAsia="宋体" w:cs="宋体"/>
          <w:color w:val="auto"/>
          <w:sz w:val="24"/>
          <w:szCs w:val="24"/>
          <w:highlight w:val="none"/>
        </w:rPr>
        <w:t>中标供应商</w:t>
      </w:r>
      <w:r>
        <w:rPr>
          <w:rFonts w:hint="eastAsia" w:ascii="宋体" w:hAnsi="宋体" w:eastAsia="宋体" w:cs="宋体"/>
          <w:color w:val="auto"/>
          <w:sz w:val="24"/>
          <w:szCs w:val="24"/>
          <w:highlight w:val="none"/>
          <w:lang w:val="en-US" w:eastAsia="zh-CN"/>
        </w:rPr>
        <w:t>提交的申请，</w:t>
      </w:r>
      <w:r>
        <w:rPr>
          <w:rFonts w:hint="eastAsia" w:ascii="宋体" w:hAnsi="宋体" w:eastAsia="宋体" w:cs="宋体"/>
          <w:sz w:val="24"/>
          <w:szCs w:val="24"/>
        </w:rPr>
        <w:t>在三十个工作日内一次性退还履约保证金（不计息）</w:t>
      </w:r>
      <w:r>
        <w:rPr>
          <w:rFonts w:hint="eastAsia" w:ascii="宋体" w:hAnsi="宋体" w:eastAsia="宋体" w:cs="宋体"/>
          <w:color w:val="000000"/>
          <w:sz w:val="24"/>
          <w:szCs w:val="24"/>
        </w:rPr>
        <w:t>或者退还履约保证金保函</w:t>
      </w:r>
      <w:r>
        <w:rPr>
          <w:rFonts w:hint="eastAsia" w:ascii="宋体" w:hAnsi="宋体" w:eastAsia="宋体" w:cs="宋体"/>
          <w:sz w:val="24"/>
          <w:szCs w:val="24"/>
        </w:rPr>
        <w:t xml:space="preserve">。 </w:t>
      </w:r>
    </w:p>
    <w:p w14:paraId="0B8C0ADE">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8.不予退还履约保证金的情形：</w:t>
      </w:r>
    </w:p>
    <w:p w14:paraId="7A130696">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a.签订合同后，中标人不履行合同义务的，采购</w:t>
      </w:r>
      <w:r>
        <w:rPr>
          <w:rFonts w:hint="eastAsia" w:ascii="宋体" w:hAnsi="宋体" w:eastAsia="宋体" w:cs="宋体"/>
          <w:sz w:val="24"/>
          <w:szCs w:val="24"/>
          <w:lang w:eastAsia="zh-CN"/>
        </w:rPr>
        <w:t>人</w:t>
      </w:r>
      <w:r>
        <w:rPr>
          <w:rFonts w:hint="eastAsia" w:ascii="宋体" w:hAnsi="宋体" w:eastAsia="宋体" w:cs="宋体"/>
          <w:sz w:val="24"/>
          <w:szCs w:val="24"/>
        </w:rPr>
        <w:t>有权全额扣除履约保证金，全额不予退还，同时采购</w:t>
      </w:r>
      <w:r>
        <w:rPr>
          <w:rFonts w:hint="eastAsia" w:ascii="宋体" w:hAnsi="宋体" w:eastAsia="宋体" w:cs="宋体"/>
          <w:sz w:val="24"/>
          <w:szCs w:val="24"/>
          <w:lang w:eastAsia="zh-CN"/>
        </w:rPr>
        <w:t>人</w:t>
      </w:r>
      <w:r>
        <w:rPr>
          <w:rFonts w:hint="eastAsia" w:ascii="宋体" w:hAnsi="宋体" w:eastAsia="宋体" w:cs="宋体"/>
          <w:sz w:val="24"/>
          <w:szCs w:val="24"/>
        </w:rPr>
        <w:t>亦有权终止合同，中标人还须承担相应的法律赔偿责任。</w:t>
      </w:r>
    </w:p>
    <w:p w14:paraId="083E8631">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sz w:val="24"/>
          <w:szCs w:val="24"/>
        </w:rPr>
        <w:t>b.中标人在履约过程中发生违约行为，给采购人造成损失</w:t>
      </w:r>
      <w:r>
        <w:rPr>
          <w:rFonts w:hint="eastAsia" w:ascii="宋体" w:hAnsi="宋体" w:eastAsia="宋体" w:cs="宋体"/>
          <w:color w:val="000000"/>
          <w:sz w:val="24"/>
          <w:szCs w:val="24"/>
        </w:rPr>
        <w:t>或者应承担违约金的</w:t>
      </w:r>
      <w:r>
        <w:rPr>
          <w:rFonts w:hint="eastAsia" w:ascii="宋体" w:hAnsi="宋体" w:eastAsia="宋体" w:cs="宋体"/>
          <w:sz w:val="24"/>
          <w:szCs w:val="24"/>
        </w:rPr>
        <w:t>，采购人有权在中标人缴纳的履约保证金中予以扣款</w:t>
      </w:r>
      <w:r>
        <w:rPr>
          <w:rFonts w:hint="eastAsia" w:ascii="宋体" w:hAnsi="宋体" w:eastAsia="宋体" w:cs="宋体"/>
          <w:color w:val="000000"/>
          <w:sz w:val="24"/>
          <w:szCs w:val="24"/>
        </w:rPr>
        <w:t>或要求担保人按照保函约定向</w:t>
      </w:r>
      <w:r>
        <w:rPr>
          <w:rFonts w:hint="eastAsia" w:ascii="宋体" w:hAnsi="宋体" w:eastAsia="宋体" w:cs="宋体"/>
          <w:sz w:val="24"/>
          <w:szCs w:val="24"/>
        </w:rPr>
        <w:t>采购人</w:t>
      </w:r>
      <w:r>
        <w:rPr>
          <w:rFonts w:hint="eastAsia" w:ascii="宋体" w:hAnsi="宋体" w:eastAsia="宋体" w:cs="宋体"/>
          <w:color w:val="000000"/>
          <w:sz w:val="24"/>
          <w:szCs w:val="24"/>
        </w:rPr>
        <w:t>无条件付款，不足的部分</w:t>
      </w:r>
      <w:r>
        <w:rPr>
          <w:rFonts w:hint="eastAsia" w:ascii="宋体" w:hAnsi="宋体" w:eastAsia="宋体" w:cs="宋体"/>
          <w:color w:val="000000"/>
          <w:sz w:val="24"/>
          <w:szCs w:val="24"/>
          <w:lang w:eastAsia="zh-CN"/>
        </w:rPr>
        <w:t>中标人</w:t>
      </w:r>
      <w:r>
        <w:rPr>
          <w:rFonts w:hint="eastAsia" w:ascii="宋体" w:hAnsi="宋体" w:eastAsia="宋体" w:cs="宋体"/>
          <w:color w:val="000000"/>
          <w:sz w:val="24"/>
          <w:szCs w:val="24"/>
        </w:rPr>
        <w:t>另外补齐。因</w:t>
      </w:r>
      <w:r>
        <w:rPr>
          <w:rFonts w:hint="eastAsia" w:ascii="宋体" w:hAnsi="宋体" w:eastAsia="宋体" w:cs="宋体"/>
          <w:color w:val="000000"/>
          <w:sz w:val="24"/>
          <w:szCs w:val="24"/>
          <w:lang w:eastAsia="zh-CN"/>
        </w:rPr>
        <w:t>中标人</w:t>
      </w:r>
      <w:r>
        <w:rPr>
          <w:rFonts w:hint="eastAsia" w:ascii="宋体" w:hAnsi="宋体" w:eastAsia="宋体" w:cs="宋体"/>
          <w:color w:val="000000"/>
          <w:sz w:val="24"/>
          <w:szCs w:val="24"/>
        </w:rPr>
        <w:t>违约导致</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解除本合同的，</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有权没收全部履约保证金或要求担保人按照保函约定向</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无条件付款。并且，</w:t>
      </w:r>
      <w:r>
        <w:rPr>
          <w:rFonts w:hint="eastAsia" w:ascii="宋体" w:hAnsi="宋体" w:eastAsia="宋体" w:cs="宋体"/>
          <w:color w:val="000000"/>
          <w:sz w:val="24"/>
          <w:szCs w:val="24"/>
          <w:lang w:eastAsia="zh-CN"/>
        </w:rPr>
        <w:t>中标人</w:t>
      </w:r>
      <w:r>
        <w:rPr>
          <w:rFonts w:hint="eastAsia" w:ascii="宋体" w:hAnsi="宋体" w:eastAsia="宋体" w:cs="宋体"/>
          <w:color w:val="000000"/>
          <w:sz w:val="24"/>
          <w:szCs w:val="24"/>
        </w:rPr>
        <w:t>还应承担本合同其他条款约定的违约责任。</w:t>
      </w:r>
    </w:p>
    <w:p w14:paraId="0313B0E2">
      <w:pPr>
        <w:spacing w:line="360" w:lineRule="auto"/>
        <w:ind w:firstLine="480" w:firstLineChars="200"/>
        <w:contextualSpacing/>
        <w:jc w:val="left"/>
        <w:rPr>
          <w:rFonts w:hint="eastAsia" w:eastAsia="宋体"/>
          <w:b/>
          <w:bCs/>
          <w:color w:val="000000"/>
          <w:sz w:val="24"/>
          <w:szCs w:val="24"/>
        </w:rPr>
      </w:pPr>
      <w:r>
        <w:rPr>
          <w:rFonts w:hint="eastAsia" w:ascii="宋体" w:hAnsi="宋体" w:eastAsia="宋体" w:cs="宋体"/>
          <w:color w:val="000000"/>
          <w:sz w:val="24"/>
          <w:szCs w:val="24"/>
          <w:lang w:val="en-US" w:eastAsia="zh-CN"/>
        </w:rPr>
        <w:t>c</w:t>
      </w:r>
      <w:r>
        <w:rPr>
          <w:rFonts w:hint="eastAsia" w:ascii="宋体" w:hAnsi="宋体" w:eastAsia="宋体" w:cs="宋体"/>
          <w:color w:val="000000"/>
          <w:sz w:val="24"/>
          <w:szCs w:val="24"/>
        </w:rPr>
        <w:t>.若</w:t>
      </w:r>
      <w:r>
        <w:rPr>
          <w:rFonts w:hint="eastAsia" w:ascii="宋体" w:hAnsi="宋体" w:eastAsia="宋体" w:cs="宋体"/>
          <w:color w:val="000000"/>
          <w:sz w:val="24"/>
          <w:szCs w:val="24"/>
          <w:lang w:eastAsia="zh-CN"/>
        </w:rPr>
        <w:t>中标人</w:t>
      </w:r>
      <w:r>
        <w:rPr>
          <w:rFonts w:hint="eastAsia" w:ascii="宋体" w:hAnsi="宋体" w:eastAsia="宋体" w:cs="宋体"/>
          <w:color w:val="000000"/>
          <w:sz w:val="24"/>
          <w:szCs w:val="24"/>
        </w:rPr>
        <w:t>以保函形式提供担保的，</w:t>
      </w:r>
      <w:r>
        <w:rPr>
          <w:rFonts w:hint="eastAsia" w:ascii="宋体" w:hAnsi="宋体" w:eastAsia="宋体" w:cs="宋体"/>
          <w:color w:val="000000"/>
          <w:sz w:val="24"/>
          <w:szCs w:val="24"/>
          <w:lang w:eastAsia="zh-CN"/>
        </w:rPr>
        <w:t>中标人</w:t>
      </w:r>
      <w:r>
        <w:rPr>
          <w:rFonts w:hint="eastAsia" w:ascii="宋体" w:hAnsi="宋体" w:eastAsia="宋体" w:cs="宋体"/>
          <w:color w:val="000000"/>
          <w:sz w:val="24"/>
          <w:szCs w:val="24"/>
        </w:rPr>
        <w:t>需将保函正本提交给</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中标人</w:t>
      </w:r>
      <w:r>
        <w:rPr>
          <w:rFonts w:hint="eastAsia" w:ascii="宋体" w:hAnsi="宋体" w:eastAsia="宋体" w:cs="宋体"/>
          <w:color w:val="000000"/>
          <w:sz w:val="24"/>
          <w:szCs w:val="24"/>
        </w:rPr>
        <w:t>在履约过程中发生违约行为，</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有权要求担保人按照保函约定向</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无条件付款。满足本</w:t>
      </w:r>
      <w:r>
        <w:rPr>
          <w:rFonts w:hint="eastAsia" w:ascii="宋体" w:hAnsi="宋体" w:eastAsia="宋体" w:cs="宋体"/>
          <w:color w:val="000000"/>
          <w:sz w:val="24"/>
          <w:szCs w:val="24"/>
          <w:lang w:eastAsia="zh-CN"/>
        </w:rPr>
        <w:t>条</w:t>
      </w:r>
      <w:r>
        <w:rPr>
          <w:rFonts w:hint="eastAsia" w:ascii="宋体" w:hAnsi="宋体" w:eastAsia="宋体" w:cs="宋体"/>
          <w:color w:val="000000"/>
          <w:sz w:val="24"/>
          <w:szCs w:val="24"/>
        </w:rPr>
        <w:t>第</w:t>
      </w:r>
      <w:r>
        <w:rPr>
          <w:rFonts w:hint="eastAsia" w:ascii="宋体" w:hAnsi="宋体" w:eastAsia="宋体" w:cs="宋体"/>
          <w:color w:val="000000"/>
          <w:sz w:val="24"/>
          <w:szCs w:val="24"/>
          <w:lang w:val="en-US" w:eastAsia="zh-CN"/>
        </w:rPr>
        <w:t>7点</w:t>
      </w:r>
      <w:r>
        <w:rPr>
          <w:rFonts w:hint="eastAsia" w:ascii="宋体" w:hAnsi="宋体" w:eastAsia="宋体" w:cs="宋体"/>
          <w:color w:val="000000"/>
          <w:sz w:val="24"/>
          <w:szCs w:val="24"/>
        </w:rPr>
        <w:t>约定的条件时，</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将保函正本退还给</w:t>
      </w:r>
      <w:r>
        <w:rPr>
          <w:rFonts w:hint="eastAsia" w:ascii="宋体" w:hAnsi="宋体" w:eastAsia="宋体" w:cs="宋体"/>
          <w:color w:val="000000"/>
          <w:sz w:val="24"/>
          <w:szCs w:val="24"/>
          <w:lang w:eastAsia="zh-CN"/>
        </w:rPr>
        <w:t>中标人</w:t>
      </w:r>
      <w:r>
        <w:rPr>
          <w:rFonts w:hint="eastAsia" w:ascii="宋体" w:hAnsi="宋体" w:eastAsia="宋体" w:cs="宋体"/>
          <w:color w:val="000000"/>
          <w:sz w:val="24"/>
          <w:szCs w:val="24"/>
        </w:rPr>
        <w:t>。</w:t>
      </w:r>
    </w:p>
    <w:p w14:paraId="60EEE32F">
      <w:pPr>
        <w:spacing w:line="360" w:lineRule="auto"/>
        <w:ind w:firstLine="482" w:firstLineChars="200"/>
        <w:contextualSpacing/>
        <w:jc w:val="left"/>
        <w:rPr>
          <w:rFonts w:eastAsia="宋体"/>
          <w:b/>
          <w:bCs/>
          <w:color w:val="000000"/>
          <w:sz w:val="24"/>
          <w:szCs w:val="24"/>
        </w:rPr>
      </w:pPr>
      <w:r>
        <w:rPr>
          <w:rFonts w:hint="eastAsia" w:eastAsia="宋体"/>
          <w:b/>
          <w:bCs/>
          <w:color w:val="000000"/>
          <w:sz w:val="24"/>
          <w:szCs w:val="24"/>
        </w:rPr>
        <w:t>9.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13CA3816">
      <w:pPr>
        <w:spacing w:line="360" w:lineRule="auto"/>
        <w:ind w:firstLine="482" w:firstLineChars="200"/>
        <w:contextualSpacing/>
        <w:rPr>
          <w:rFonts w:eastAsia="宋体"/>
          <w:b/>
          <w:bCs/>
          <w:color w:val="000000"/>
          <w:sz w:val="24"/>
          <w:szCs w:val="24"/>
        </w:rPr>
      </w:pPr>
      <w:r>
        <w:rPr>
          <w:rFonts w:hint="eastAsia" w:eastAsia="宋体"/>
          <w:b/>
          <w:bCs/>
          <w:color w:val="000000"/>
          <w:sz w:val="24"/>
          <w:szCs w:val="24"/>
        </w:rPr>
        <w:t>十一、授予合同</w:t>
      </w:r>
    </w:p>
    <w:p w14:paraId="13C1205B">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1.签订合同</w:t>
      </w:r>
    </w:p>
    <w:p w14:paraId="1ED9A62A">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1.l 中标人应当在中标通知书发出之日起三十日内，按照招标文件确定的事项与招标人签订政府采购合同。</w:t>
      </w:r>
    </w:p>
    <w:p w14:paraId="01DF3077">
      <w:pPr>
        <w:spacing w:line="360" w:lineRule="auto"/>
        <w:ind w:firstLine="482" w:firstLineChars="200"/>
        <w:contextualSpacing/>
        <w:rPr>
          <w:rFonts w:hint="eastAsia" w:eastAsia="宋体"/>
          <w:b/>
          <w:color w:val="000000"/>
          <w:sz w:val="24"/>
          <w:szCs w:val="24"/>
        </w:rPr>
      </w:pPr>
      <w:r>
        <w:rPr>
          <w:rFonts w:hint="eastAsia" w:eastAsia="宋体"/>
          <w:b/>
          <w:color w:val="000000"/>
          <w:sz w:val="24"/>
          <w:szCs w:val="24"/>
        </w:rPr>
        <w:t>签订合同时需做好提交</w:t>
      </w:r>
      <w:r>
        <w:rPr>
          <w:rFonts w:hint="eastAsia" w:eastAsia="宋体"/>
          <w:b/>
          <w:color w:val="000000"/>
          <w:sz w:val="24"/>
          <w:szCs w:val="24"/>
          <w:lang w:val="en-US" w:eastAsia="zh-CN"/>
        </w:rPr>
        <w:t>生产厂商授权书</w:t>
      </w:r>
      <w:r>
        <w:rPr>
          <w:rFonts w:hint="eastAsia" w:eastAsia="宋体"/>
          <w:b/>
          <w:color w:val="000000"/>
          <w:sz w:val="24"/>
          <w:szCs w:val="24"/>
          <w:lang w:eastAsia="zh-CN"/>
        </w:rPr>
        <w:t>（</w:t>
      </w:r>
      <w:r>
        <w:rPr>
          <w:rFonts w:hint="eastAsia" w:eastAsia="宋体"/>
          <w:b/>
          <w:color w:val="000000"/>
          <w:sz w:val="24"/>
          <w:szCs w:val="24"/>
          <w:lang w:val="en-US" w:eastAsia="zh-CN"/>
        </w:rPr>
        <w:t>若中标人为代理商</w:t>
      </w:r>
      <w:r>
        <w:rPr>
          <w:rFonts w:hint="eastAsia" w:eastAsia="宋体"/>
          <w:b/>
          <w:color w:val="000000"/>
          <w:sz w:val="24"/>
          <w:szCs w:val="24"/>
          <w:lang w:eastAsia="zh-CN"/>
        </w:rPr>
        <w:t>）</w:t>
      </w:r>
      <w:r>
        <w:rPr>
          <w:rFonts w:hint="eastAsia" w:eastAsia="宋体"/>
          <w:b/>
          <w:color w:val="000000"/>
          <w:sz w:val="24"/>
          <w:szCs w:val="24"/>
          <w:lang w:val="en-US" w:eastAsia="zh-CN"/>
        </w:rPr>
        <w:t>、</w:t>
      </w:r>
      <w:r>
        <w:rPr>
          <w:rFonts w:hint="eastAsia" w:eastAsia="宋体"/>
          <w:b/>
          <w:color w:val="000000"/>
          <w:sz w:val="24"/>
          <w:szCs w:val="24"/>
        </w:rPr>
        <w:t>各类声明函、承诺函、业绩证明、资质、职称证书等相应原件的核查准备；核查后发现虚假或违背承诺的，依照相关法律法规规定处理。</w:t>
      </w:r>
    </w:p>
    <w:p w14:paraId="5E693CFB">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1.2 招标文件、中标人的投标文件及投标过程中有关澄清、承诺文件均应作为合同附件。</w:t>
      </w:r>
    </w:p>
    <w:p w14:paraId="633A9A70">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1.3 签订合同后，</w:t>
      </w:r>
      <w:r>
        <w:rPr>
          <w:rFonts w:hint="eastAsia" w:eastAsia="宋体"/>
          <w:bCs/>
          <w:color w:val="000000"/>
          <w:sz w:val="24"/>
          <w:szCs w:val="24"/>
          <w:u w:val="single"/>
        </w:rPr>
        <w:t>中标人不得将合同标的进行转包</w:t>
      </w:r>
      <w:r>
        <w:rPr>
          <w:rFonts w:hint="eastAsia" w:eastAsia="宋体"/>
          <w:bCs/>
          <w:color w:val="000000"/>
          <w:sz w:val="24"/>
          <w:szCs w:val="24"/>
        </w:rPr>
        <w:t>。未经招标人同意，中标人也不得采用分包形式履行合同，否则招标人有权终止合同。转包或分包造成招标人损失的，中标人应承担相应赔偿责任。</w:t>
      </w:r>
    </w:p>
    <w:p w14:paraId="4C2B8642">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2.标的物的追加</w:t>
      </w:r>
    </w:p>
    <w:p w14:paraId="5FAD4135">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2.1 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p>
    <w:p w14:paraId="46EBF83C">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2.2 采购结束后，招标人若由于各种客观原因，必须对采购项目所牵涉的货物和服务进行适当的减少时，在双方协商一致的前提下，可以按照招标采购时的价格水平做相应的调减，并据此签订补充合同。</w:t>
      </w:r>
    </w:p>
    <w:p w14:paraId="4BFECF1C">
      <w:pPr>
        <w:spacing w:line="360" w:lineRule="auto"/>
        <w:ind w:firstLine="482" w:firstLineChars="200"/>
        <w:contextualSpacing/>
        <w:rPr>
          <w:rFonts w:eastAsia="宋体"/>
          <w:b/>
          <w:bCs/>
          <w:color w:val="000000"/>
          <w:sz w:val="24"/>
          <w:szCs w:val="24"/>
        </w:rPr>
      </w:pPr>
      <w:r>
        <w:rPr>
          <w:rFonts w:hint="eastAsia" w:eastAsia="宋体"/>
          <w:b/>
          <w:bCs/>
          <w:color w:val="000000"/>
          <w:sz w:val="24"/>
          <w:szCs w:val="24"/>
        </w:rPr>
        <w:t>3. 政府采购合同信用融资扶持政策</w:t>
      </w:r>
    </w:p>
    <w:p w14:paraId="3A222CE4">
      <w:pPr>
        <w:spacing w:line="360" w:lineRule="auto"/>
        <w:ind w:firstLine="482" w:firstLineChars="200"/>
        <w:contextualSpacing/>
        <w:rPr>
          <w:rFonts w:eastAsia="宋体"/>
          <w:b/>
          <w:bCs/>
          <w:color w:val="000000"/>
          <w:sz w:val="24"/>
          <w:szCs w:val="24"/>
        </w:rPr>
      </w:pPr>
      <w:r>
        <w:rPr>
          <w:rFonts w:hint="eastAsia" w:eastAsia="宋体"/>
          <w:b/>
          <w:bCs/>
          <w:color w:val="000000"/>
          <w:sz w:val="24"/>
          <w:szCs w:val="24"/>
        </w:rPr>
        <w:t>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p>
    <w:p w14:paraId="01DB17B8">
      <w:pPr>
        <w:spacing w:line="360" w:lineRule="auto"/>
        <w:ind w:firstLine="482" w:firstLineChars="200"/>
        <w:contextualSpacing/>
        <w:rPr>
          <w:rFonts w:eastAsia="宋体"/>
          <w:b/>
          <w:bCs/>
          <w:color w:val="000000"/>
          <w:sz w:val="24"/>
          <w:szCs w:val="24"/>
        </w:rPr>
      </w:pPr>
      <w:r>
        <w:rPr>
          <w:rFonts w:hint="eastAsia" w:eastAsia="宋体"/>
          <w:b/>
          <w:bCs/>
          <w:color w:val="000000"/>
          <w:sz w:val="24"/>
          <w:szCs w:val="24"/>
        </w:rPr>
        <w:t>十二、验收</w:t>
      </w:r>
    </w:p>
    <w:p w14:paraId="29F053CB">
      <w:pPr>
        <w:spacing w:line="360" w:lineRule="auto"/>
        <w:ind w:firstLine="480" w:firstLineChars="200"/>
        <w:contextualSpacing/>
        <w:rPr>
          <w:rFonts w:eastAsia="宋体"/>
          <w:color w:val="000000"/>
          <w:sz w:val="24"/>
          <w:szCs w:val="24"/>
        </w:rPr>
      </w:pPr>
      <w:r>
        <w:rPr>
          <w:rFonts w:hint="eastAsia" w:eastAsia="宋体"/>
          <w:color w:val="000000"/>
          <w:sz w:val="24"/>
          <w:szCs w:val="24"/>
        </w:rPr>
        <w:t>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1A12F42D">
      <w:pPr>
        <w:spacing w:line="360" w:lineRule="auto"/>
        <w:ind w:firstLine="480" w:firstLineChars="200"/>
        <w:contextualSpacing/>
        <w:rPr>
          <w:rFonts w:eastAsia="宋体"/>
          <w:color w:val="000000"/>
          <w:sz w:val="24"/>
          <w:szCs w:val="24"/>
        </w:rPr>
      </w:pPr>
      <w:r>
        <w:rPr>
          <w:rFonts w:hint="eastAsia" w:eastAsia="宋体"/>
          <w:color w:val="000000"/>
          <w:sz w:val="24"/>
          <w:szCs w:val="24"/>
        </w:rPr>
        <w:t>2.采购人可以邀请参加本项目的其他投标人或者第三方机构参与验收。参与验收的投标人或者第三方机构的意见作为验收书的参考资料一并存档。</w:t>
      </w:r>
    </w:p>
    <w:p w14:paraId="72C1A93A">
      <w:pPr>
        <w:spacing w:line="360" w:lineRule="auto"/>
        <w:ind w:firstLine="480" w:firstLineChars="200"/>
        <w:contextualSpacing/>
        <w:rPr>
          <w:rFonts w:eastAsia="宋体"/>
          <w:color w:val="000000"/>
          <w:sz w:val="24"/>
          <w:szCs w:val="24"/>
        </w:rPr>
      </w:pPr>
      <w:r>
        <w:rPr>
          <w:rFonts w:hint="eastAsia" w:eastAsia="宋体"/>
          <w:color w:val="000000"/>
          <w:sz w:val="24"/>
          <w:szCs w:val="24"/>
        </w:rPr>
        <w:t>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57748029">
      <w:pPr>
        <w:spacing w:line="360" w:lineRule="auto"/>
        <w:ind w:firstLine="480" w:firstLineChars="200"/>
        <w:contextualSpacing/>
        <w:rPr>
          <w:rFonts w:eastAsia="宋体"/>
          <w:color w:val="000000"/>
          <w:sz w:val="24"/>
          <w:szCs w:val="24"/>
        </w:rPr>
      </w:pPr>
      <w:r>
        <w:rPr>
          <w:rFonts w:hint="eastAsia" w:eastAsia="宋体"/>
          <w:color w:val="000000"/>
          <w:sz w:val="24"/>
          <w:szCs w:val="24"/>
        </w:rPr>
        <w:t>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6B88832D">
      <w:pPr>
        <w:spacing w:line="360" w:lineRule="auto"/>
        <w:ind w:firstLine="482" w:firstLineChars="200"/>
        <w:contextualSpacing/>
        <w:rPr>
          <w:rFonts w:eastAsia="宋体"/>
          <w:b/>
          <w:bCs/>
          <w:color w:val="000000"/>
          <w:sz w:val="24"/>
          <w:szCs w:val="24"/>
        </w:rPr>
      </w:pPr>
      <w:r>
        <w:rPr>
          <w:rFonts w:hint="eastAsia" w:eastAsia="宋体"/>
          <w:b/>
          <w:bCs/>
          <w:color w:val="000000"/>
          <w:sz w:val="24"/>
          <w:szCs w:val="24"/>
        </w:rPr>
        <w:t>十三、电子招标投标交易平台</w:t>
      </w:r>
    </w:p>
    <w:p w14:paraId="1E22A077">
      <w:pPr>
        <w:spacing w:line="360" w:lineRule="auto"/>
        <w:ind w:firstLine="480" w:firstLineChars="200"/>
        <w:contextualSpacing/>
        <w:rPr>
          <w:rFonts w:eastAsia="宋体"/>
          <w:bCs/>
          <w:color w:val="000000"/>
          <w:sz w:val="24"/>
          <w:szCs w:val="24"/>
        </w:rPr>
      </w:pPr>
      <w:r>
        <w:rPr>
          <w:rFonts w:hint="eastAsia" w:eastAsia="宋体"/>
          <w:bCs/>
          <w:color w:val="000000"/>
          <w:sz w:val="24"/>
          <w:szCs w:val="24"/>
        </w:rPr>
        <w:t>电子招标投标交易平台（即“苏采云”系统，网址：</w:t>
      </w:r>
      <w:r>
        <w:fldChar w:fldCharType="begin"/>
      </w:r>
      <w:r>
        <w:instrText xml:space="preserve"> HYPERLINK "http://jszfcg.jsczt.cn/）相关要求是本招标文件的组成部分。" \o "http://jszfcg.jsczt.cn/）相关要求是本招标文件的组成部分。" </w:instrText>
      </w:r>
      <w:r>
        <w:fldChar w:fldCharType="separate"/>
      </w:r>
      <w:r>
        <w:rPr>
          <w:rStyle w:val="21"/>
          <w:rFonts w:hint="eastAsia" w:eastAsia="宋体"/>
          <w:bCs/>
          <w:color w:val="000000"/>
          <w:sz w:val="24"/>
          <w:szCs w:val="24"/>
        </w:rPr>
        <w:t>http：//jszfcg.jsczt.cn/）相关要求是本招标文件的组成部分。</w:t>
      </w:r>
      <w:r>
        <w:rPr>
          <w:rStyle w:val="21"/>
          <w:rFonts w:hint="eastAsia" w:eastAsia="宋体"/>
          <w:bCs/>
          <w:color w:val="000000"/>
          <w:sz w:val="24"/>
          <w:szCs w:val="24"/>
        </w:rPr>
        <w:fldChar w:fldCharType="end"/>
      </w:r>
    </w:p>
    <w:p w14:paraId="603B62F6">
      <w:pPr>
        <w:spacing w:line="360" w:lineRule="auto"/>
        <w:ind w:firstLine="482" w:firstLineChars="200"/>
        <w:contextualSpacing/>
        <w:rPr>
          <w:rFonts w:eastAsia="宋体"/>
          <w:b/>
          <w:bCs/>
          <w:color w:val="000000"/>
          <w:sz w:val="24"/>
          <w:szCs w:val="24"/>
        </w:rPr>
      </w:pPr>
      <w:r>
        <w:rPr>
          <w:rFonts w:hint="eastAsia" w:eastAsia="宋体"/>
          <w:b/>
          <w:bCs/>
          <w:color w:val="000000"/>
          <w:sz w:val="24"/>
          <w:szCs w:val="24"/>
        </w:rPr>
        <w:t>十四、</w:t>
      </w:r>
      <w:r>
        <w:rPr>
          <w:rFonts w:eastAsia="宋体"/>
          <w:b/>
          <w:bCs/>
          <w:color w:val="000000"/>
          <w:sz w:val="24"/>
          <w:szCs w:val="24"/>
        </w:rPr>
        <w:t>未尽事宜</w:t>
      </w:r>
    </w:p>
    <w:p w14:paraId="1BCB6043">
      <w:pPr>
        <w:spacing w:line="360" w:lineRule="auto"/>
        <w:ind w:firstLine="480" w:firstLineChars="200"/>
        <w:contextualSpacing/>
        <w:jc w:val="left"/>
        <w:rPr>
          <w:rFonts w:eastAsia="宋体"/>
          <w:b/>
          <w:bCs/>
          <w:color w:val="000000"/>
          <w:sz w:val="21"/>
          <w:szCs w:val="21"/>
        </w:rPr>
        <w:sectPr>
          <w:headerReference r:id="rId8" w:type="default"/>
          <w:pgSz w:w="11906" w:h="16838"/>
          <w:pgMar w:top="1588" w:right="1418" w:bottom="1418" w:left="1701" w:header="851" w:footer="850" w:gutter="0"/>
          <w:cols w:space="1701" w:num="1"/>
          <w:docGrid w:linePitch="360" w:charSpace="0"/>
        </w:sectPr>
      </w:pPr>
      <w:r>
        <w:rPr>
          <w:rFonts w:hint="eastAsia" w:eastAsia="宋体"/>
          <w:color w:val="000000"/>
          <w:sz w:val="24"/>
          <w:szCs w:val="24"/>
        </w:rPr>
        <w:t>按《中华人民共和国政府采购法》及其他有关法律法规的规定执行。</w:t>
      </w:r>
    </w:p>
    <w:p w14:paraId="23D3FC90">
      <w:pPr>
        <w:spacing w:line="360" w:lineRule="auto"/>
        <w:jc w:val="center"/>
        <w:rPr>
          <w:rFonts w:ascii="宋体" w:hAnsi="宋体" w:eastAsia="宋体" w:cs="宋体"/>
          <w:b/>
          <w:color w:val="000000"/>
          <w:sz w:val="36"/>
          <w:szCs w:val="36"/>
        </w:rPr>
      </w:pPr>
      <w:r>
        <w:rPr>
          <w:rFonts w:hint="eastAsia" w:ascii="宋体" w:hAnsi="宋体" w:eastAsia="宋体" w:cs="宋体"/>
          <w:b/>
          <w:color w:val="000000"/>
          <w:sz w:val="36"/>
          <w:szCs w:val="36"/>
        </w:rPr>
        <w:t>第三章  项目需求</w:t>
      </w:r>
    </w:p>
    <w:p w14:paraId="349B8025">
      <w:pPr>
        <w:pStyle w:val="22"/>
        <w:spacing w:line="360" w:lineRule="auto"/>
        <w:ind w:firstLine="480" w:firstLineChars="200"/>
        <w:rPr>
          <w:rFonts w:eastAsia="宋体" w:cs="宋体"/>
          <w:b w:val="0"/>
          <w:color w:val="000000"/>
          <w:sz w:val="24"/>
          <w:szCs w:val="24"/>
          <w:lang w:val="zh-CN"/>
        </w:rPr>
      </w:pPr>
      <w:bookmarkStart w:id="8" w:name="_Toc182848996"/>
    </w:p>
    <w:p w14:paraId="022EDCF0">
      <w:pPr>
        <w:pStyle w:val="22"/>
        <w:spacing w:line="360" w:lineRule="auto"/>
        <w:ind w:firstLine="480" w:firstLineChars="200"/>
        <w:rPr>
          <w:rFonts w:eastAsia="宋体" w:cs="宋体"/>
          <w:b w:val="0"/>
          <w:color w:val="000000"/>
          <w:sz w:val="24"/>
          <w:szCs w:val="24"/>
        </w:rPr>
      </w:pPr>
      <w:r>
        <w:rPr>
          <w:rFonts w:hint="eastAsia" w:eastAsia="宋体" w:cs="宋体"/>
          <w:b w:val="0"/>
          <w:color w:val="000000"/>
          <w:sz w:val="24"/>
          <w:szCs w:val="24"/>
          <w:lang w:val="zh-CN"/>
        </w:rPr>
        <w:t>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p>
    <w:p w14:paraId="2AAA809A">
      <w:pPr>
        <w:pStyle w:val="22"/>
        <w:keepNext w:val="0"/>
        <w:keepLines w:val="0"/>
        <w:spacing w:line="360" w:lineRule="auto"/>
        <w:ind w:firstLine="480" w:firstLineChars="200"/>
        <w:rPr>
          <w:rFonts w:eastAsia="宋体" w:cs="宋体"/>
          <w:b w:val="0"/>
          <w:color w:val="000000"/>
          <w:sz w:val="24"/>
          <w:szCs w:val="24"/>
        </w:rPr>
      </w:pPr>
      <w:r>
        <w:rPr>
          <w:rFonts w:hint="eastAsia" w:eastAsia="宋体" w:cs="宋体"/>
          <w:b w:val="0"/>
          <w:color w:val="000000"/>
          <w:sz w:val="24"/>
          <w:szCs w:val="24"/>
          <w:lang w:val="zh-CN"/>
        </w:rPr>
        <w:t>供应商不能简单照搬照抄采购文件项目需求说明中的技术、商务要求，必须作实事求是的响应。如供应商提供的货物和服务同采购人提出的项目需求说明中的技术、商务要求不同的，必须在进行必要的说明。</w:t>
      </w:r>
    </w:p>
    <w:p w14:paraId="0C40C7A2">
      <w:pPr>
        <w:spacing w:line="360" w:lineRule="auto"/>
        <w:contextualSpacing/>
        <w:rPr>
          <w:rFonts w:ascii="宋体" w:hAnsi="宋体" w:eastAsia="宋体" w:cs="宋体"/>
          <w:b/>
          <w:bCs/>
          <w:color w:val="000000"/>
          <w:sz w:val="24"/>
          <w:szCs w:val="24"/>
        </w:rPr>
      </w:pPr>
      <w:r>
        <w:rPr>
          <w:rFonts w:hint="eastAsia" w:ascii="宋体" w:hAnsi="宋体" w:eastAsia="宋体" w:cs="宋体"/>
          <w:b/>
          <w:bCs/>
          <w:color w:val="000000"/>
          <w:sz w:val="24"/>
          <w:szCs w:val="24"/>
        </w:rPr>
        <w:t>一、需求总则</w:t>
      </w:r>
    </w:p>
    <w:p w14:paraId="19359C45">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1.关于优先采购：</w:t>
      </w:r>
    </w:p>
    <w:p w14:paraId="710F9183">
      <w:pPr>
        <w:spacing w:line="360" w:lineRule="auto"/>
        <w:ind w:firstLine="482" w:firstLineChars="200"/>
        <w:contextualSpacing/>
        <w:rPr>
          <w:rFonts w:ascii="宋体" w:hAnsi="宋体" w:eastAsia="宋体" w:cs="宋体"/>
          <w:b/>
          <w:color w:val="000000"/>
          <w:sz w:val="24"/>
          <w:szCs w:val="24"/>
        </w:rPr>
      </w:pPr>
      <w:r>
        <w:rPr>
          <w:rFonts w:hint="eastAsia" w:ascii="宋体" w:hAnsi="宋体" w:eastAsia="宋体" w:cs="宋体"/>
          <w:b/>
          <w:color w:val="000000"/>
          <w:sz w:val="24"/>
          <w:szCs w:val="24"/>
        </w:rPr>
        <w:t>（1）政府采购优先采购节能产品和环境标志产品。节能产品是指列入财政部、国家发展和改革委员会制定的《节能产品政府采购清单》。环境标志产品是指财政部、国家环保总局制定的《环境标志产品政府采购清单》。</w:t>
      </w:r>
    </w:p>
    <w:p w14:paraId="5365067A">
      <w:pPr>
        <w:spacing w:line="360" w:lineRule="auto"/>
        <w:ind w:firstLine="482" w:firstLineChars="200"/>
        <w:contextualSpacing/>
        <w:rPr>
          <w:rFonts w:ascii="宋体" w:hAnsi="宋体" w:eastAsia="宋体" w:cs="宋体"/>
          <w:bCs/>
          <w:color w:val="000000"/>
          <w:sz w:val="24"/>
          <w:szCs w:val="24"/>
        </w:rPr>
      </w:pPr>
      <w:r>
        <w:rPr>
          <w:rFonts w:hint="eastAsia" w:ascii="宋体" w:hAnsi="宋体" w:eastAsia="宋体" w:cs="宋体"/>
          <w:b/>
          <w:color w:val="000000"/>
          <w:sz w:val="24"/>
          <w:szCs w:val="24"/>
        </w:rPr>
        <w:t>（2）本次招标采购涉及产品如列入节能产品、环境标志产品实施品目清单的，各公开招标响应供应商应提供国家确定的认证机构出具的、处于有效期之内的节能产品、环境标志产品认证证书。</w:t>
      </w:r>
    </w:p>
    <w:p w14:paraId="1C493589">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2.绿色采购</w:t>
      </w:r>
    </w:p>
    <w:p w14:paraId="11F53783">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1.本次采购需切实履行绿色采购。</w:t>
      </w:r>
    </w:p>
    <w:p w14:paraId="6031114E">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1.1商品包装环保要求：应当按《关于印发〈商品包装政府采购需求标准（试行）〉、〈快递包装政府采购需求标准（试行）〉的通知》（财办库〔2020〕123号）文件执行。</w:t>
      </w:r>
    </w:p>
    <w:p w14:paraId="6A72964A">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（1）商品包装层数不得超过 3 层，空隙率不大于40%；</w:t>
      </w:r>
    </w:p>
    <w:p w14:paraId="54F98625">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（2）商品包装尽可能使用单一材质的包装材料，如因功能需求必需使用不同材质，不同材质间应便于分离；</w:t>
      </w:r>
    </w:p>
    <w:p w14:paraId="4C242D32">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（3）商品包装中铅、汞、镉、六价铬的总含量应不大于100mg/kg；</w:t>
      </w:r>
    </w:p>
    <w:p w14:paraId="69C04DB3">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（4）商品包装印刷使用的油墨中挥发性有机化合物(VOCs)含量应不大于 5%（以重量计）；</w:t>
      </w:r>
    </w:p>
    <w:p w14:paraId="5083224F">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（5）塑料材质商品包装上呈现的印刷颜色不得超过 6 色；</w:t>
      </w:r>
    </w:p>
    <w:p w14:paraId="0DD617E3">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（6）纸质商品包装应使用 75%以上的可再生纤维原料生产；</w:t>
      </w:r>
    </w:p>
    <w:p w14:paraId="0A9441CD">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（7）木质商品包装的原料应来源于可持续性森林。</w:t>
      </w:r>
    </w:p>
    <w:p w14:paraId="6309DF99">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1.2快递包装环保要求：</w:t>
      </w:r>
    </w:p>
    <w:p w14:paraId="2C175191">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（1）快递包装中重金属（铅、汞、镉、六价铬）总量应不大于 100mg/kg；</w:t>
      </w:r>
    </w:p>
    <w:p w14:paraId="5B6012D7">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（2）快递包装印刷使用的油墨中不应添加邻苯二甲酸酯，其挥发性有机化合物(VOCs)含量应不大于5%（以重量计）；</w:t>
      </w:r>
    </w:p>
    <w:p w14:paraId="7B0D6E40">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（3）快递包装中使用纸基材的包装材料，纸基材中的有机氯的含量应不大于 150 mg/kg；</w:t>
      </w:r>
    </w:p>
    <w:p w14:paraId="79A030D7">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737B462B">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（5）快递中使用的塑料包装袋不得使用聚氯乙烯作为原料，且原料应为单一材质制成，生物分解率大于60%；</w:t>
      </w:r>
    </w:p>
    <w:p w14:paraId="4171FC19">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（6）快递中使用的充气类填充物不得使用聚氯乙烯作为原料，且原料为单一材质制成，生物分解率大于60%；</w:t>
      </w:r>
    </w:p>
    <w:p w14:paraId="2B091680">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（7）快递中使用的集装袋应为单一材质制成，其重复使用次数应不小于 80 次；</w:t>
      </w:r>
    </w:p>
    <w:p w14:paraId="7AE1B735">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（8）快递中应使用幅宽不大于45mm 的生物降解胶带；</w:t>
      </w:r>
    </w:p>
    <w:p w14:paraId="2A608149">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（9）快递包装中不得使用溶剂型胶粘剂；</w:t>
      </w:r>
    </w:p>
    <w:p w14:paraId="2FAACE8F">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（10）快递应使用电子面单；</w:t>
      </w:r>
    </w:p>
    <w:p w14:paraId="050FCA75">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（11）直接使用商品包装作为快递包装的商品，其商品包装满足《商品包装政府采购需求标准（试行）》即可；</w:t>
      </w:r>
    </w:p>
    <w:p w14:paraId="08B3EB01">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（12）快递包装产品质量和封装方式应符合相关国家或行业标准技术指标要求。</w:t>
      </w:r>
    </w:p>
    <w:p w14:paraId="524DBCBE">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3.关于招标项目涉及产品：</w:t>
      </w:r>
    </w:p>
    <w:p w14:paraId="501FB485">
      <w:pPr>
        <w:spacing w:line="360" w:lineRule="auto"/>
        <w:ind w:firstLine="480" w:firstLineChars="200"/>
        <w:contextualSpacing/>
        <w:rPr>
          <w:rFonts w:ascii="宋体" w:hAnsi="宋体" w:eastAsia="宋体" w:cs="宋体"/>
          <w:b/>
          <w:bCs/>
          <w:color w:val="000000"/>
          <w:sz w:val="24"/>
          <w:szCs w:val="24"/>
        </w:rPr>
      </w:pPr>
      <w:r>
        <w:rPr>
          <w:rFonts w:hint="eastAsia" w:ascii="宋体" w:hAnsi="宋体" w:eastAsia="宋体" w:cs="宋体"/>
          <w:bCs/>
          <w:color w:val="000000"/>
          <w:sz w:val="24"/>
          <w:szCs w:val="24"/>
        </w:rPr>
        <w:t>（1）产品必须是全新、未使用过的原装合格正品，完全符合采购文件规定的质量、规格和性能的要求，达到国家或行业规定的标准，实行生产许可证制度的，应提供生产许可证；属于国家强制认证的产品，必须通过认证。</w:t>
      </w:r>
    </w:p>
    <w:p w14:paraId="3025B0DE">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（2）若竞标产品涉及政府采购协议供货目录内的产品则必须选择目录内产品（型号及参数），产品报价不得超过江苏省省级或南通市最新一期的政府采购协议供货价格。</w:t>
      </w:r>
    </w:p>
    <w:p w14:paraId="0DF4805F">
      <w:pPr>
        <w:spacing w:line="360" w:lineRule="auto"/>
        <w:ind w:firstLine="480" w:firstLineChars="200"/>
        <w:contextualSpacing/>
        <w:rPr>
          <w:rFonts w:ascii="宋体" w:hAnsi="宋体" w:eastAsia="宋体" w:cs="宋体"/>
          <w:b/>
          <w:bCs/>
          <w:color w:val="000000"/>
          <w:sz w:val="24"/>
          <w:szCs w:val="24"/>
        </w:rPr>
      </w:pPr>
      <w:r>
        <w:rPr>
          <w:rFonts w:hint="eastAsia" w:ascii="宋体" w:hAnsi="宋体" w:eastAsia="宋体" w:cs="宋体"/>
          <w:bCs/>
          <w:color w:val="000000"/>
          <w:sz w:val="24"/>
          <w:szCs w:val="24"/>
        </w:rPr>
        <w:t>（3）本项目采购不接受全套进口设备的投标。进口产品的定义为：指通过中国海关报关验收进入中国境内且产自境外的产品，具体按照苏财购〔2008〕14号江苏省财政厅转发财政部办公厅关于政府采购进口产品管理有关问题的通知的规定。</w:t>
      </w:r>
    </w:p>
    <w:p w14:paraId="4CA7648B">
      <w:pPr>
        <w:spacing w:line="360" w:lineRule="auto"/>
        <w:contextualSpacing/>
        <w:rPr>
          <w:rFonts w:ascii="宋体" w:hAnsi="宋体" w:eastAsia="宋体" w:cs="宋体"/>
          <w:b/>
          <w:bCs/>
          <w:color w:val="000000"/>
          <w:sz w:val="24"/>
          <w:szCs w:val="24"/>
        </w:rPr>
      </w:pPr>
      <w:r>
        <w:rPr>
          <w:rFonts w:hint="eastAsia" w:ascii="宋体" w:hAnsi="宋体" w:eastAsia="宋体" w:cs="宋体"/>
          <w:b/>
          <w:bCs/>
          <w:color w:val="000000"/>
          <w:sz w:val="24"/>
          <w:szCs w:val="24"/>
        </w:rPr>
        <w:t>二、项目公开招标响应说明</w:t>
      </w:r>
    </w:p>
    <w:p w14:paraId="56AB4928">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公开招标响应供应商不能简单照搬照抄招标项目需求说明中的技术要求，必须作实事求是的响应：</w:t>
      </w:r>
    </w:p>
    <w:p w14:paraId="056D6730">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1.照搬照抄项目需求说明中的技术要求，一旦中标，在与采购人签订合同和履约环节中不得提出异议，一切后果和损失由中标人承担。</w:t>
      </w:r>
    </w:p>
    <w:p w14:paraId="3B24A96B">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2.公开招标响应供应商提供的货物和服务与采购人提出的项目需求说明中的技术要求不同，必</w:t>
      </w:r>
      <w:bookmarkStart w:id="9" w:name="_Hlk69896050"/>
      <w:r>
        <w:rPr>
          <w:rFonts w:hint="eastAsia" w:ascii="宋体" w:hAnsi="宋体" w:eastAsia="宋体" w:cs="宋体"/>
          <w:bCs/>
          <w:color w:val="000000"/>
          <w:sz w:val="24"/>
          <w:szCs w:val="24"/>
        </w:rPr>
        <w:t>须在逐一逐条响应的《技术条款响应正负偏离表》上明示偏离的部分。</w:t>
      </w:r>
      <w:bookmarkEnd w:id="9"/>
    </w:p>
    <w:p w14:paraId="27CECDFA">
      <w:pPr>
        <w:spacing w:line="360" w:lineRule="auto"/>
        <w:ind w:firstLine="482" w:firstLineChars="200"/>
        <w:contextualSpacing/>
        <w:rPr>
          <w:rFonts w:ascii="宋体" w:hAnsi="宋体" w:eastAsia="宋体" w:cs="宋体"/>
          <w:b/>
          <w:color w:val="000000"/>
          <w:sz w:val="24"/>
          <w:szCs w:val="24"/>
        </w:rPr>
      </w:pPr>
      <w:r>
        <w:rPr>
          <w:rFonts w:hint="eastAsia" w:ascii="宋体" w:hAnsi="宋体" w:eastAsia="宋体" w:cs="宋体"/>
          <w:b/>
          <w:color w:val="000000"/>
          <w:sz w:val="24"/>
          <w:szCs w:val="24"/>
        </w:rPr>
        <w:t>3.项目需求产品的技术参数响应：</w:t>
      </w:r>
    </w:p>
    <w:p w14:paraId="15E4E991">
      <w:pPr>
        <w:spacing w:line="360" w:lineRule="auto"/>
        <w:ind w:firstLine="482" w:firstLineChars="200"/>
        <w:contextualSpacing/>
        <w:rPr>
          <w:rFonts w:ascii="宋体" w:hAnsi="宋体" w:eastAsia="宋体" w:cs="宋体"/>
          <w:b/>
          <w:color w:val="000000"/>
          <w:sz w:val="24"/>
          <w:szCs w:val="24"/>
        </w:rPr>
      </w:pPr>
      <w:r>
        <w:rPr>
          <w:rFonts w:hint="eastAsia" w:ascii="宋体" w:hAnsi="宋体" w:eastAsia="宋体" w:cs="宋体"/>
          <w:b/>
          <w:color w:val="000000"/>
          <w:sz w:val="24"/>
          <w:szCs w:val="24"/>
        </w:rPr>
        <w:t>为鼓励不同品牌的充分竞争，如某主要技术参数属于个别品牌专有，则该主要技术参数不具有限制性，供应商可以自行调整，但必须保证“正偏离”。公开招标响应供应商可对提供的竞标产品涉及的技术参数进行对比参照，并具体提供以下材料：</w:t>
      </w:r>
    </w:p>
    <w:p w14:paraId="2A29F997">
      <w:pPr>
        <w:spacing w:line="360" w:lineRule="auto"/>
        <w:ind w:firstLine="482" w:firstLineChars="200"/>
        <w:contextualSpacing/>
        <w:rPr>
          <w:rFonts w:ascii="宋体" w:hAnsi="宋体" w:eastAsia="宋体" w:cs="宋体"/>
          <w:b/>
          <w:color w:val="000000"/>
          <w:sz w:val="24"/>
          <w:szCs w:val="24"/>
        </w:rPr>
      </w:pPr>
      <w:r>
        <w:rPr>
          <w:rFonts w:hint="eastAsia" w:ascii="宋体" w:hAnsi="宋体" w:eastAsia="宋体" w:cs="宋体"/>
          <w:b/>
          <w:color w:val="000000"/>
          <w:sz w:val="24"/>
          <w:szCs w:val="24"/>
        </w:rPr>
        <w:t>（1）指标排它性的证明材料；</w:t>
      </w:r>
    </w:p>
    <w:p w14:paraId="7980B735">
      <w:pPr>
        <w:spacing w:line="360" w:lineRule="auto"/>
        <w:ind w:firstLine="482" w:firstLineChars="200"/>
        <w:contextualSpacing/>
        <w:rPr>
          <w:rFonts w:ascii="宋体" w:hAnsi="宋体" w:eastAsia="宋体" w:cs="宋体"/>
          <w:b/>
          <w:color w:val="000000"/>
          <w:sz w:val="24"/>
          <w:szCs w:val="24"/>
        </w:rPr>
      </w:pPr>
      <w:r>
        <w:rPr>
          <w:rFonts w:hint="eastAsia" w:ascii="宋体" w:hAnsi="宋体" w:eastAsia="宋体" w:cs="宋体"/>
          <w:b/>
          <w:color w:val="000000"/>
          <w:sz w:val="24"/>
          <w:szCs w:val="24"/>
        </w:rPr>
        <w:t>（2）产品调整对比表；</w:t>
      </w:r>
    </w:p>
    <w:p w14:paraId="7FE549D0">
      <w:pPr>
        <w:spacing w:line="360" w:lineRule="auto"/>
        <w:ind w:firstLine="482" w:firstLineChars="200"/>
        <w:contextualSpacing/>
        <w:rPr>
          <w:rFonts w:ascii="宋体" w:hAnsi="宋体" w:eastAsia="宋体" w:cs="宋体"/>
          <w:b/>
          <w:color w:val="000000"/>
          <w:sz w:val="24"/>
          <w:szCs w:val="24"/>
        </w:rPr>
      </w:pPr>
      <w:r>
        <w:rPr>
          <w:rFonts w:hint="eastAsia" w:ascii="宋体" w:hAnsi="宋体" w:eastAsia="宋体" w:cs="宋体"/>
          <w:b/>
          <w:color w:val="000000"/>
          <w:sz w:val="24"/>
          <w:szCs w:val="24"/>
        </w:rPr>
        <w:t>（3）调整后产品的详细技术参数；</w:t>
      </w:r>
    </w:p>
    <w:p w14:paraId="734F3006">
      <w:pPr>
        <w:spacing w:line="360" w:lineRule="auto"/>
        <w:contextualSpacing/>
        <w:rPr>
          <w:rFonts w:ascii="宋体" w:hAnsi="宋体" w:eastAsia="宋体" w:cs="宋体"/>
          <w:b/>
          <w:bCs/>
          <w:color w:val="000000"/>
          <w:sz w:val="24"/>
          <w:szCs w:val="24"/>
        </w:rPr>
      </w:pPr>
      <w:r>
        <w:rPr>
          <w:rFonts w:hint="eastAsia" w:ascii="宋体" w:hAnsi="宋体" w:eastAsia="宋体" w:cs="宋体"/>
          <w:b/>
          <w:bCs/>
          <w:color w:val="000000"/>
          <w:sz w:val="24"/>
          <w:szCs w:val="24"/>
        </w:rPr>
        <w:t>三、采购标的数量、采购项目交付或者实施的时间和地点</w:t>
      </w:r>
    </w:p>
    <w:p w14:paraId="099F3C4A">
      <w:pPr>
        <w:spacing w:line="360" w:lineRule="auto"/>
        <w:contextualSpacing/>
        <w:rPr>
          <w:rFonts w:ascii="宋体" w:hAnsi="宋体" w:eastAsia="宋体" w:cs="宋体"/>
          <w:b/>
          <w:bCs/>
          <w:color w:val="000000"/>
          <w:sz w:val="24"/>
          <w:szCs w:val="24"/>
        </w:rPr>
      </w:pPr>
      <w:r>
        <w:rPr>
          <w:rFonts w:hint="eastAsia" w:ascii="宋体" w:hAnsi="宋体" w:eastAsia="宋体" w:cs="宋体"/>
          <w:b/>
          <w:bCs/>
          <w:color w:val="000000"/>
          <w:sz w:val="24"/>
          <w:szCs w:val="24"/>
        </w:rPr>
        <w:t>（一）采购标的需实现的功能或者目标，以及为落实政府采购政策需满足的要求</w:t>
      </w:r>
    </w:p>
    <w:p w14:paraId="570BEDE9">
      <w:pPr>
        <w:pStyle w:val="3"/>
        <w:numPr>
          <w:ilvl w:val="2"/>
          <w:numId w:val="0"/>
        </w:numPr>
        <w:spacing w:line="360" w:lineRule="auto"/>
        <w:ind w:firstLine="482" w:firstLineChars="200"/>
        <w:rPr>
          <w:rFonts w:ascii="宋体" w:hAnsi="宋体" w:eastAsia="宋体" w:cs="宋体"/>
          <w:sz w:val="24"/>
          <w:szCs w:val="24"/>
        </w:rPr>
      </w:pPr>
      <w:bookmarkStart w:id="10" w:name="_Toc18288"/>
      <w:bookmarkStart w:id="11" w:name="_Toc30334"/>
      <w:bookmarkStart w:id="12" w:name="_Toc22465"/>
      <w:bookmarkStart w:id="13" w:name="_Toc23184"/>
      <w:bookmarkStart w:id="14" w:name="_Toc944"/>
      <w:r>
        <w:rPr>
          <w:rFonts w:hint="eastAsia" w:ascii="宋体" w:hAnsi="宋体" w:eastAsia="宋体" w:cs="宋体"/>
          <w:sz w:val="24"/>
          <w:szCs w:val="24"/>
        </w:rPr>
        <w:t>1．</w:t>
      </w:r>
      <w:bookmarkEnd w:id="10"/>
      <w:bookmarkEnd w:id="11"/>
      <w:bookmarkEnd w:id="12"/>
      <w:bookmarkEnd w:id="13"/>
      <w:bookmarkEnd w:id="14"/>
      <w:r>
        <w:rPr>
          <w:rFonts w:hint="eastAsia" w:ascii="宋体" w:hAnsi="宋体" w:eastAsia="宋体" w:cs="宋体"/>
          <w:sz w:val="24"/>
          <w:szCs w:val="24"/>
        </w:rPr>
        <w:t>财务大数据分析平台</w:t>
      </w:r>
    </w:p>
    <w:p w14:paraId="50553249">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要求以全面的教学资源和实训资源，循序渐进地针对目前主流的Microsoft Power BI大数据分析软件和在线Web BI应用内容进行深入剖析，帮助学生从零开始掌握商业大数据分析知识及技能，从而培养学生数据可视化能力、大数据处理和预测能力、财务分析报告能力。一方面帮助学生建立商业大数据分析工作的顶层思维框架，另一方面帮助学生熟练掌握BI大数据分析软件在数据采集、数据清理、数据处理、数据分析、生成可视化图表等技能应用，让学生能够在未来的工作中为企业提供及时、有效的数据分析报表，为经营决策提供依据，提升自身的岗位价值。</w:t>
      </w:r>
    </w:p>
    <w:p w14:paraId="3E30D25B">
      <w:pPr>
        <w:pStyle w:val="4"/>
        <w:numPr>
          <w:ilvl w:val="3"/>
          <w:numId w:val="0"/>
        </w:numPr>
        <w:spacing w:line="360" w:lineRule="auto"/>
        <w:ind w:firstLine="482" w:firstLineChars="200"/>
        <w:rPr>
          <w:rFonts w:ascii="宋体" w:hAnsi="宋体" w:eastAsia="宋体" w:cs="宋体"/>
          <w:sz w:val="24"/>
          <w:szCs w:val="24"/>
        </w:rPr>
      </w:pPr>
      <w:r>
        <w:rPr>
          <w:rFonts w:hint="eastAsia" w:ascii="宋体" w:hAnsi="宋体" w:eastAsia="宋体" w:cs="宋体"/>
          <w:sz w:val="24"/>
          <w:szCs w:val="24"/>
        </w:rPr>
        <w:t>（1）同步商业大数据分析工作内容</w:t>
      </w:r>
    </w:p>
    <w:p w14:paraId="287D8364">
      <w:pPr>
        <w:snapToGrid w:val="0"/>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要求采用Microsoft Power BI和Web BI两种主流大数据分析软件相结合的方式进行实训教学，通过平台学习+软件实操的学习方法，让学生在平台提供的数据资料及步骤详解下，独立应用 BI大数据分析软件进行数据处理、数据建模、数据可视化、数据报表等一系列大数据分析工作，切实模拟实际企业内财务分析师的商业大数据分析工作内容，让学生真实感受商业大数据分析及可视化工作场景，为未来从业奠定商业大数据分析与可视化技能。</w:t>
      </w:r>
    </w:p>
    <w:p w14:paraId="5373DFDB">
      <w:pPr>
        <w:pStyle w:val="4"/>
        <w:numPr>
          <w:ilvl w:val="3"/>
          <w:numId w:val="0"/>
        </w:numPr>
        <w:spacing w:line="360" w:lineRule="auto"/>
        <w:ind w:firstLine="482" w:firstLineChars="200"/>
        <w:rPr>
          <w:rFonts w:ascii="宋体" w:hAnsi="宋体" w:eastAsia="宋体" w:cs="宋体"/>
          <w:sz w:val="24"/>
          <w:szCs w:val="24"/>
        </w:rPr>
      </w:pPr>
      <w:r>
        <w:rPr>
          <w:rFonts w:hint="eastAsia" w:ascii="宋体" w:hAnsi="宋体" w:eastAsia="宋体" w:cs="宋体"/>
          <w:sz w:val="24"/>
          <w:szCs w:val="24"/>
        </w:rPr>
        <w:t>（2）提供大数据中心海量数据资源</w:t>
      </w:r>
    </w:p>
    <w:p w14:paraId="5BAD316C">
      <w:pPr>
        <w:snapToGrid w:val="0"/>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要求配套大数据中心，提供超5000家上市公司数据，以及综合类、国民经济核算、人口等27大类别</w:t>
      </w:r>
      <w:r>
        <w:rPr>
          <w:rFonts w:hint="eastAsia" w:ascii="宋体" w:hAnsi="宋体" w:eastAsia="宋体" w:cs="宋体"/>
          <w:sz w:val="24"/>
          <w:szCs w:val="24"/>
          <w:lang w:val="en-US" w:eastAsia="zh-CN"/>
        </w:rPr>
        <w:t>自1996年以来的</w:t>
      </w:r>
      <w:r>
        <w:rPr>
          <w:rFonts w:hint="eastAsia" w:ascii="宋体" w:hAnsi="宋体" w:eastAsia="宋体" w:cs="宋体"/>
          <w:sz w:val="24"/>
          <w:szCs w:val="24"/>
        </w:rPr>
        <w:t>宏观数据，可实现行业板块查询、区域板块查询、企业数据查询、宏观数据查询、拓展资源查询，且大数据中心内的所有数据要求可直接下载或通过复制链接的方式轻松获取，省去自行爬取数据来源的繁琐步骤，便捷教师开展教学。</w:t>
      </w:r>
    </w:p>
    <w:p w14:paraId="13A76D4D">
      <w:pPr>
        <w:pStyle w:val="4"/>
        <w:numPr>
          <w:ilvl w:val="3"/>
          <w:numId w:val="0"/>
        </w:numPr>
        <w:spacing w:line="360" w:lineRule="auto"/>
        <w:ind w:firstLine="482" w:firstLineChars="200"/>
        <w:rPr>
          <w:rFonts w:ascii="宋体" w:hAnsi="宋体" w:eastAsia="宋体" w:cs="宋体"/>
          <w:sz w:val="24"/>
          <w:szCs w:val="24"/>
        </w:rPr>
      </w:pPr>
      <w:r>
        <w:rPr>
          <w:rFonts w:hint="eastAsia" w:ascii="宋体" w:hAnsi="宋体" w:eastAsia="宋体" w:cs="宋体"/>
          <w:sz w:val="24"/>
          <w:szCs w:val="24"/>
        </w:rPr>
        <w:t>（3）支持URL可视化图表免费生成</w:t>
      </w:r>
    </w:p>
    <w:p w14:paraId="50DD08EC">
      <w:pPr>
        <w:snapToGrid w:val="0"/>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要求支持将数据源导入平台自动生成URL可视化图表。同时，教师可在后台直接查看产出的图表成果，从而实现判分与指导。</w:t>
      </w:r>
    </w:p>
    <w:p w14:paraId="71209B74">
      <w:pPr>
        <w:pStyle w:val="4"/>
        <w:numPr>
          <w:ilvl w:val="3"/>
          <w:numId w:val="0"/>
        </w:numPr>
        <w:spacing w:line="360" w:lineRule="auto"/>
        <w:ind w:firstLine="482" w:firstLineChars="200"/>
        <w:rPr>
          <w:rFonts w:ascii="宋体" w:hAnsi="宋体" w:eastAsia="宋体" w:cs="宋体"/>
          <w:sz w:val="24"/>
          <w:szCs w:val="24"/>
        </w:rPr>
      </w:pPr>
      <w:r>
        <w:rPr>
          <w:rFonts w:hint="eastAsia" w:ascii="宋体" w:hAnsi="宋体" w:eastAsia="宋体" w:cs="宋体"/>
          <w:sz w:val="24"/>
          <w:szCs w:val="24"/>
        </w:rPr>
        <w:t>（4）配套课程资源、实训资源</w:t>
      </w:r>
    </w:p>
    <w:p w14:paraId="0A045E89">
      <w:pPr>
        <w:snapToGrid w:val="0"/>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要求针对BI大数据分析软件实际操作配备PPT、慕课等对其进行详细的步骤讲解，除了课堂学习之外还需设置课后习题，包括单选、多选、判断、BI操作等题型，并将课后习题计入任务之中，推动学生及时进行课后练习，巩固BI大数据分析软件基础知识点，强化BI大数据分析软件实践操作。</w:t>
      </w:r>
    </w:p>
    <w:p w14:paraId="59EAB8FF">
      <w:pPr>
        <w:pStyle w:val="4"/>
        <w:numPr>
          <w:ilvl w:val="3"/>
          <w:numId w:val="0"/>
        </w:numPr>
        <w:spacing w:line="360" w:lineRule="auto"/>
        <w:ind w:firstLine="482" w:firstLineChars="200"/>
        <w:rPr>
          <w:rFonts w:ascii="宋体" w:hAnsi="宋体" w:eastAsia="宋体" w:cs="宋体"/>
          <w:sz w:val="24"/>
          <w:szCs w:val="24"/>
        </w:rPr>
      </w:pPr>
      <w:r>
        <w:rPr>
          <w:rFonts w:hint="eastAsia" w:ascii="宋体" w:hAnsi="宋体" w:eastAsia="宋体" w:cs="宋体"/>
          <w:sz w:val="24"/>
          <w:szCs w:val="24"/>
        </w:rPr>
        <w:t>（5）功能需求列表</w:t>
      </w:r>
    </w:p>
    <w:tbl>
      <w:tblPr>
        <w:tblStyle w:val="12"/>
        <w:tblW w:w="509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autofit"/>
        <w:tblCellMar>
          <w:top w:w="0" w:type="dxa"/>
          <w:left w:w="108" w:type="dxa"/>
          <w:bottom w:w="0" w:type="dxa"/>
          <w:right w:w="108" w:type="dxa"/>
        </w:tblCellMar>
      </w:tblPr>
      <w:tblGrid>
        <w:gridCol w:w="1065"/>
        <w:gridCol w:w="1188"/>
        <w:gridCol w:w="6925"/>
      </w:tblGrid>
      <w:tr w14:paraId="4337B9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81" w:hRule="atLeast"/>
          <w:jc w:val="center"/>
        </w:trPr>
        <w:tc>
          <w:tcPr>
            <w:tcW w:w="580" w:type="pct"/>
            <w:tcBorders>
              <w:top w:val="single" w:color="auto" w:sz="4" w:space="0"/>
              <w:left w:val="single" w:color="auto" w:sz="4" w:space="0"/>
              <w:bottom w:val="single" w:color="auto" w:sz="4" w:space="0"/>
              <w:right w:val="single" w:color="auto" w:sz="4" w:space="0"/>
              <w:tl2br w:val="nil"/>
            </w:tcBorders>
            <w:vAlign w:val="center"/>
          </w:tcPr>
          <w:p w14:paraId="31C78B84">
            <w:pPr>
              <w:spacing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使用者</w:t>
            </w:r>
          </w:p>
        </w:tc>
        <w:tc>
          <w:tcPr>
            <w:tcW w:w="647" w:type="pct"/>
            <w:tcBorders>
              <w:top w:val="single" w:color="auto" w:sz="4" w:space="0"/>
              <w:left w:val="single" w:color="auto" w:sz="4" w:space="0"/>
              <w:bottom w:val="single" w:color="auto" w:sz="4" w:space="0"/>
              <w:right w:val="single" w:color="auto" w:sz="4" w:space="0"/>
            </w:tcBorders>
            <w:vAlign w:val="center"/>
          </w:tcPr>
          <w:p w14:paraId="68765810">
            <w:pPr>
              <w:spacing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项目</w:t>
            </w:r>
          </w:p>
        </w:tc>
        <w:tc>
          <w:tcPr>
            <w:tcW w:w="3772" w:type="pct"/>
            <w:tcBorders>
              <w:top w:val="single" w:color="auto" w:sz="4" w:space="0"/>
              <w:left w:val="single" w:color="auto" w:sz="4" w:space="0"/>
              <w:bottom w:val="single" w:color="auto" w:sz="4" w:space="0"/>
              <w:right w:val="single" w:color="auto" w:sz="4" w:space="0"/>
            </w:tcBorders>
            <w:vAlign w:val="center"/>
          </w:tcPr>
          <w:p w14:paraId="1C673842">
            <w:pPr>
              <w:spacing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具体功能</w:t>
            </w:r>
          </w:p>
        </w:tc>
      </w:tr>
      <w:tr w14:paraId="4BFA84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80"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74FFAA21">
            <w:pPr>
              <w:spacing w:line="320" w:lineRule="exact"/>
              <w:jc w:val="center"/>
              <w:rPr>
                <w:rFonts w:ascii="宋体" w:hAnsi="宋体" w:eastAsia="宋体" w:cs="宋体"/>
                <w:bCs/>
                <w:color w:val="000000"/>
                <w:sz w:val="24"/>
                <w:szCs w:val="24"/>
              </w:rPr>
            </w:pPr>
            <w:r>
              <w:rPr>
                <w:rFonts w:hint="eastAsia" w:ascii="宋体" w:hAnsi="宋体" w:eastAsia="宋体" w:cs="宋体"/>
                <w:color w:val="000000"/>
                <w:sz w:val="24"/>
                <w:szCs w:val="24"/>
              </w:rPr>
              <w:t>学生</w:t>
            </w:r>
          </w:p>
        </w:tc>
        <w:tc>
          <w:tcPr>
            <w:tcW w:w="647" w:type="pct"/>
            <w:tcBorders>
              <w:top w:val="single" w:color="auto" w:sz="4" w:space="0"/>
              <w:left w:val="single" w:color="auto" w:sz="4" w:space="0"/>
              <w:bottom w:val="single" w:color="auto" w:sz="4" w:space="0"/>
              <w:right w:val="single" w:color="auto" w:sz="4" w:space="0"/>
              <w:tl2br w:val="nil"/>
              <w:tr2bl w:val="nil"/>
            </w:tcBorders>
            <w:vAlign w:val="center"/>
          </w:tcPr>
          <w:p w14:paraId="6139CAA0">
            <w:pPr>
              <w:spacing w:line="320" w:lineRule="exact"/>
              <w:jc w:val="center"/>
              <w:rPr>
                <w:rFonts w:ascii="宋体" w:hAnsi="宋体" w:eastAsia="宋体" w:cs="宋体"/>
                <w:color w:val="000000"/>
                <w:sz w:val="24"/>
                <w:szCs w:val="24"/>
              </w:rPr>
            </w:pPr>
            <w:r>
              <w:rPr>
                <w:rFonts w:hint="eastAsia" w:ascii="宋体" w:hAnsi="宋体" w:eastAsia="宋体" w:cs="宋体"/>
                <w:color w:val="000000"/>
                <w:sz w:val="24"/>
                <w:szCs w:val="24"/>
              </w:rPr>
              <w:t>在线平台集成</w:t>
            </w: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3D0F08EC">
            <w:pPr>
              <w:spacing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财务大数据教学平台与Power BI软件结合，提供案例数据和操作演示视频，以供学习参考和应用；</w:t>
            </w:r>
          </w:p>
        </w:tc>
      </w:tr>
      <w:tr w14:paraId="65BAF33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361EB225">
            <w:pPr>
              <w:spacing w:line="320" w:lineRule="exact"/>
              <w:jc w:val="center"/>
              <w:rPr>
                <w:rFonts w:ascii="宋体" w:hAnsi="宋体" w:eastAsia="宋体" w:cs="宋体"/>
                <w:bCs/>
                <w:color w:val="000000"/>
                <w:sz w:val="24"/>
                <w:szCs w:val="24"/>
              </w:rPr>
            </w:pPr>
          </w:p>
        </w:tc>
        <w:tc>
          <w:tcPr>
            <w:tcW w:w="647"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01EB5AC0">
            <w:pPr>
              <w:spacing w:line="320" w:lineRule="exact"/>
              <w:jc w:val="center"/>
              <w:rPr>
                <w:rFonts w:ascii="宋体" w:hAnsi="宋体" w:eastAsia="宋体" w:cs="宋体"/>
                <w:color w:val="000000"/>
                <w:sz w:val="24"/>
                <w:szCs w:val="24"/>
              </w:rPr>
            </w:pPr>
            <w:r>
              <w:rPr>
                <w:rFonts w:hint="eastAsia" w:ascii="宋体" w:hAnsi="宋体" w:eastAsia="宋体" w:cs="宋体"/>
                <w:color w:val="000000"/>
                <w:sz w:val="24"/>
                <w:szCs w:val="24"/>
              </w:rPr>
              <w:t>上传文件</w:t>
            </w: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07D76EC4">
            <w:pPr>
              <w:spacing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上传学生操作源文件；</w:t>
            </w:r>
          </w:p>
        </w:tc>
      </w:tr>
      <w:tr w14:paraId="595106B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1B71C660">
            <w:pPr>
              <w:spacing w:line="320" w:lineRule="exact"/>
              <w:jc w:val="center"/>
              <w:rPr>
                <w:rFonts w:ascii="宋体" w:hAnsi="宋体" w:eastAsia="宋体" w:cs="宋体"/>
                <w:bCs/>
                <w:color w:val="000000"/>
                <w:sz w:val="24"/>
                <w:szCs w:val="24"/>
              </w:rPr>
            </w:pPr>
          </w:p>
        </w:tc>
        <w:tc>
          <w:tcPr>
            <w:tcW w:w="647"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077D677">
            <w:pPr>
              <w:spacing w:line="320" w:lineRule="exact"/>
              <w:jc w:val="center"/>
              <w:rPr>
                <w:rFonts w:ascii="宋体" w:hAnsi="宋体" w:eastAsia="宋体" w:cs="宋体"/>
                <w:color w:val="000000"/>
                <w:sz w:val="24"/>
                <w:szCs w:val="24"/>
              </w:rPr>
            </w:pP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75D64E00">
            <w:pPr>
              <w:spacing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生成在线报表，可直接查看；</w:t>
            </w:r>
          </w:p>
        </w:tc>
      </w:tr>
      <w:tr w14:paraId="59CBCBB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107E9190">
            <w:pPr>
              <w:spacing w:line="320" w:lineRule="exact"/>
              <w:jc w:val="center"/>
              <w:rPr>
                <w:rFonts w:ascii="宋体" w:hAnsi="宋体" w:eastAsia="宋体" w:cs="宋体"/>
                <w:bCs/>
                <w:color w:val="000000"/>
                <w:sz w:val="24"/>
                <w:szCs w:val="24"/>
              </w:rPr>
            </w:pPr>
          </w:p>
        </w:tc>
        <w:tc>
          <w:tcPr>
            <w:tcW w:w="647"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59F1CAF6">
            <w:pPr>
              <w:spacing w:line="320" w:lineRule="exact"/>
              <w:jc w:val="center"/>
              <w:rPr>
                <w:rFonts w:ascii="宋体" w:hAnsi="宋体" w:eastAsia="宋体" w:cs="宋体"/>
                <w:color w:val="000000"/>
                <w:sz w:val="24"/>
                <w:szCs w:val="24"/>
              </w:rPr>
            </w:pP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46835EB7">
            <w:pPr>
              <w:spacing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提供教师参考结果展示；</w:t>
            </w:r>
          </w:p>
        </w:tc>
      </w:tr>
      <w:tr w14:paraId="6D849B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6B08F13">
            <w:pPr>
              <w:spacing w:line="320" w:lineRule="exact"/>
              <w:jc w:val="center"/>
              <w:rPr>
                <w:rFonts w:ascii="宋体" w:hAnsi="宋体" w:eastAsia="宋体" w:cs="宋体"/>
                <w:bCs/>
                <w:color w:val="000000"/>
                <w:sz w:val="24"/>
                <w:szCs w:val="24"/>
              </w:rPr>
            </w:pPr>
          </w:p>
        </w:tc>
        <w:tc>
          <w:tcPr>
            <w:tcW w:w="647"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739388BC">
            <w:pPr>
              <w:spacing w:line="320" w:lineRule="exact"/>
              <w:jc w:val="center"/>
              <w:rPr>
                <w:rFonts w:ascii="宋体" w:hAnsi="宋体" w:eastAsia="宋体" w:cs="宋体"/>
                <w:color w:val="000000"/>
                <w:sz w:val="24"/>
                <w:szCs w:val="24"/>
              </w:rPr>
            </w:pP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0C92968B">
            <w:pPr>
              <w:spacing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复制链接等；</w:t>
            </w:r>
          </w:p>
        </w:tc>
      </w:tr>
      <w:tr w14:paraId="6952A4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E6D9041">
            <w:pPr>
              <w:spacing w:line="320" w:lineRule="exact"/>
              <w:jc w:val="center"/>
              <w:rPr>
                <w:rFonts w:ascii="宋体" w:hAnsi="宋体" w:eastAsia="宋体" w:cs="宋体"/>
                <w:bCs/>
                <w:color w:val="000000"/>
                <w:sz w:val="24"/>
                <w:szCs w:val="24"/>
              </w:rPr>
            </w:pPr>
          </w:p>
        </w:tc>
        <w:tc>
          <w:tcPr>
            <w:tcW w:w="647"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2F7F5B7B">
            <w:pPr>
              <w:spacing w:line="320" w:lineRule="exact"/>
              <w:jc w:val="center"/>
              <w:rPr>
                <w:rFonts w:ascii="宋体" w:hAnsi="宋体" w:eastAsia="宋体" w:cs="宋体"/>
                <w:color w:val="000000"/>
                <w:sz w:val="24"/>
                <w:szCs w:val="24"/>
              </w:rPr>
            </w:pPr>
            <w:r>
              <w:rPr>
                <w:rFonts w:hint="eastAsia" w:ascii="宋体" w:hAnsi="宋体" w:eastAsia="宋体" w:cs="宋体"/>
                <w:color w:val="000000"/>
                <w:sz w:val="24"/>
                <w:szCs w:val="24"/>
              </w:rPr>
              <w:t>大数据中心</w:t>
            </w: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3FBC5C05">
            <w:pPr>
              <w:spacing w:line="320" w:lineRule="exact"/>
              <w:jc w:val="left"/>
              <w:rPr>
                <w:rFonts w:ascii="宋体" w:hAnsi="宋体" w:eastAsia="宋体" w:cs="宋体"/>
                <w:color w:val="000000"/>
                <w:kern w:val="2"/>
                <w:sz w:val="24"/>
                <w:szCs w:val="24"/>
              </w:rPr>
            </w:pPr>
            <w:r>
              <w:rPr>
                <w:rFonts w:hint="eastAsia" w:ascii="宋体" w:hAnsi="宋体" w:eastAsia="宋体" w:cs="宋体"/>
                <w:color w:val="000000"/>
                <w:sz w:val="24"/>
                <w:szCs w:val="24"/>
              </w:rPr>
              <w:t>行业板块查询：需包含种植业与林业、造纸、专用设备、中药、证券、综合、自动化设备、养殖业、医药商业、银行、仪器仪表等110个行业板块；</w:t>
            </w:r>
          </w:p>
        </w:tc>
      </w:tr>
      <w:tr w14:paraId="6E464FE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6E9C5F6A">
            <w:pPr>
              <w:spacing w:line="320" w:lineRule="exact"/>
              <w:jc w:val="center"/>
              <w:rPr>
                <w:rFonts w:ascii="宋体" w:hAnsi="宋体" w:eastAsia="宋体" w:cs="宋体"/>
                <w:bCs/>
                <w:color w:val="000000"/>
                <w:sz w:val="24"/>
                <w:szCs w:val="24"/>
              </w:rPr>
            </w:pPr>
          </w:p>
        </w:tc>
        <w:tc>
          <w:tcPr>
            <w:tcW w:w="647"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7435CAB8">
            <w:pPr>
              <w:spacing w:line="320" w:lineRule="exact"/>
              <w:jc w:val="center"/>
              <w:rPr>
                <w:rFonts w:ascii="宋体" w:hAnsi="宋体" w:eastAsia="宋体" w:cs="宋体"/>
                <w:color w:val="000000"/>
                <w:sz w:val="24"/>
                <w:szCs w:val="24"/>
              </w:rPr>
            </w:pP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5BD708A5">
            <w:pPr>
              <w:spacing w:line="320" w:lineRule="exact"/>
              <w:jc w:val="left"/>
              <w:rPr>
                <w:rFonts w:ascii="宋体" w:hAnsi="宋体" w:eastAsia="宋体" w:cs="宋体"/>
                <w:color w:val="000000"/>
                <w:kern w:val="2"/>
                <w:sz w:val="24"/>
                <w:szCs w:val="24"/>
              </w:rPr>
            </w:pPr>
            <w:r>
              <w:rPr>
                <w:rFonts w:hint="eastAsia" w:ascii="宋体" w:hAnsi="宋体" w:eastAsia="宋体" w:cs="宋体"/>
                <w:color w:val="000000"/>
                <w:sz w:val="24"/>
                <w:szCs w:val="24"/>
              </w:rPr>
              <w:t>区域板块查询：</w:t>
            </w:r>
            <w:r>
              <w:rPr>
                <w:rFonts w:hint="eastAsia" w:ascii="宋体" w:hAnsi="宋体" w:eastAsia="宋体" w:cs="宋体"/>
                <w:color w:val="000000"/>
                <w:sz w:val="24"/>
                <w:szCs w:val="24"/>
                <w:lang w:val="en-US" w:eastAsia="zh-CN"/>
              </w:rPr>
              <w:t>覆盖中国大陆地区31个省（区、市）的区域板块数据</w:t>
            </w:r>
            <w:r>
              <w:rPr>
                <w:rFonts w:hint="eastAsia" w:ascii="宋体" w:hAnsi="宋体" w:eastAsia="宋体" w:cs="宋体"/>
                <w:color w:val="000000"/>
                <w:sz w:val="24"/>
                <w:szCs w:val="24"/>
              </w:rPr>
              <w:t>；</w:t>
            </w:r>
          </w:p>
        </w:tc>
      </w:tr>
      <w:tr w14:paraId="0ECE0D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27" w:hRule="atLeast"/>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364B6DB3">
            <w:pPr>
              <w:spacing w:line="320" w:lineRule="exact"/>
              <w:jc w:val="center"/>
              <w:rPr>
                <w:rFonts w:ascii="宋体" w:hAnsi="宋体" w:eastAsia="宋体" w:cs="宋体"/>
                <w:bCs/>
                <w:color w:val="000000"/>
                <w:sz w:val="24"/>
                <w:szCs w:val="24"/>
              </w:rPr>
            </w:pPr>
          </w:p>
        </w:tc>
        <w:tc>
          <w:tcPr>
            <w:tcW w:w="647"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6D46EFBB">
            <w:pPr>
              <w:spacing w:line="320" w:lineRule="exact"/>
              <w:jc w:val="center"/>
              <w:rPr>
                <w:rFonts w:ascii="宋体" w:hAnsi="宋体" w:eastAsia="宋体" w:cs="宋体"/>
                <w:color w:val="000000"/>
                <w:sz w:val="24"/>
                <w:szCs w:val="24"/>
              </w:rPr>
            </w:pP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4578F23C">
            <w:pPr>
              <w:spacing w:line="320" w:lineRule="exact"/>
              <w:jc w:val="left"/>
              <w:rPr>
                <w:rFonts w:ascii="宋体" w:hAnsi="宋体" w:eastAsia="宋体" w:cs="宋体"/>
                <w:color w:val="000000"/>
                <w:kern w:val="2"/>
                <w:sz w:val="24"/>
                <w:szCs w:val="24"/>
              </w:rPr>
            </w:pPr>
            <w:r>
              <w:rPr>
                <w:rFonts w:hint="eastAsia" w:ascii="宋体" w:hAnsi="宋体" w:eastAsia="宋体" w:cs="宋体"/>
                <w:color w:val="000000"/>
                <w:sz w:val="24"/>
                <w:szCs w:val="24"/>
              </w:rPr>
              <w:t>企业数据查询：提供5000多家上市公司数据，包含公司简介、财务报表摘要、资产负债表、利润表、现金流量表、股价信息表；</w:t>
            </w:r>
          </w:p>
        </w:tc>
      </w:tr>
      <w:tr w14:paraId="71A13E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27" w:hRule="atLeast"/>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3E4D2711">
            <w:pPr>
              <w:spacing w:line="320" w:lineRule="exact"/>
              <w:jc w:val="center"/>
              <w:rPr>
                <w:rFonts w:ascii="宋体" w:hAnsi="宋体" w:eastAsia="宋体" w:cs="宋体"/>
                <w:bCs/>
                <w:color w:val="000000"/>
                <w:sz w:val="24"/>
                <w:szCs w:val="24"/>
              </w:rPr>
            </w:pPr>
          </w:p>
        </w:tc>
        <w:tc>
          <w:tcPr>
            <w:tcW w:w="647"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87565AF">
            <w:pPr>
              <w:spacing w:line="320" w:lineRule="exact"/>
              <w:jc w:val="center"/>
              <w:rPr>
                <w:rFonts w:ascii="宋体" w:hAnsi="宋体" w:eastAsia="宋体" w:cs="宋体"/>
                <w:color w:val="000000"/>
                <w:sz w:val="24"/>
                <w:szCs w:val="24"/>
              </w:rPr>
            </w:pP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76C18530">
            <w:pPr>
              <w:spacing w:line="320" w:lineRule="exact"/>
              <w:jc w:val="left"/>
              <w:rPr>
                <w:rFonts w:ascii="宋体" w:hAnsi="宋体" w:eastAsia="宋体" w:cs="宋体"/>
                <w:color w:val="000000"/>
                <w:kern w:val="2"/>
                <w:sz w:val="24"/>
                <w:szCs w:val="24"/>
              </w:rPr>
            </w:pPr>
            <w:r>
              <w:rPr>
                <w:rFonts w:hint="eastAsia" w:ascii="宋体" w:hAnsi="宋体" w:eastAsia="宋体" w:cs="宋体"/>
                <w:color w:val="000000"/>
                <w:sz w:val="24"/>
                <w:szCs w:val="24"/>
              </w:rPr>
              <w:t>宏观数据查询：提供</w:t>
            </w:r>
            <w:r>
              <w:rPr>
                <w:rFonts w:hint="eastAsia" w:ascii="宋体" w:hAnsi="宋体" w:eastAsia="宋体" w:cs="宋体"/>
                <w:color w:val="000000"/>
                <w:sz w:val="24"/>
                <w:szCs w:val="24"/>
                <w:lang w:val="en-US" w:eastAsia="zh-CN"/>
              </w:rPr>
              <w:t>自1996年以来的</w:t>
            </w:r>
            <w:r>
              <w:rPr>
                <w:rFonts w:hint="eastAsia" w:ascii="宋体" w:hAnsi="宋体" w:eastAsia="宋体" w:cs="宋体"/>
                <w:color w:val="000000"/>
                <w:sz w:val="24"/>
                <w:szCs w:val="24"/>
              </w:rPr>
              <w:t>宏观数据，涵盖综合类、国民经济核算、人口、就业人员和工资、固定资产投资和房地产、对外经济贸易、能源、财政、价格指数、人民生活、城市概况、资源和环境、农业、工业、建筑业、运输和邮电、批发和零售业、住宿和餐饮业、旅游业、金融业、教育、科技、卫生、社会服务、文化、体育、公共管理社会保障及其他等27大类别共不少于550项；</w:t>
            </w:r>
          </w:p>
        </w:tc>
      </w:tr>
      <w:tr w14:paraId="07E8B5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27" w:hRule="atLeast"/>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6B609F54">
            <w:pPr>
              <w:spacing w:line="320" w:lineRule="exact"/>
              <w:jc w:val="center"/>
              <w:rPr>
                <w:rFonts w:ascii="宋体" w:hAnsi="宋体" w:eastAsia="宋体" w:cs="宋体"/>
                <w:bCs/>
                <w:color w:val="000000"/>
                <w:sz w:val="24"/>
                <w:szCs w:val="24"/>
              </w:rPr>
            </w:pPr>
          </w:p>
        </w:tc>
        <w:tc>
          <w:tcPr>
            <w:tcW w:w="647"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388953F3">
            <w:pPr>
              <w:spacing w:line="320" w:lineRule="exact"/>
              <w:jc w:val="center"/>
              <w:rPr>
                <w:rFonts w:ascii="宋体" w:hAnsi="宋体" w:eastAsia="宋体" w:cs="宋体"/>
                <w:color w:val="000000"/>
                <w:sz w:val="24"/>
                <w:szCs w:val="24"/>
              </w:rPr>
            </w:pP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347761E2">
            <w:pPr>
              <w:spacing w:line="320" w:lineRule="exact"/>
              <w:jc w:val="left"/>
              <w:rPr>
                <w:rFonts w:ascii="宋体" w:hAnsi="宋体" w:eastAsia="宋体" w:cs="宋体"/>
                <w:color w:val="000000"/>
                <w:kern w:val="2"/>
                <w:sz w:val="24"/>
                <w:szCs w:val="24"/>
              </w:rPr>
            </w:pPr>
            <w:r>
              <w:rPr>
                <w:rFonts w:hint="eastAsia" w:ascii="宋体" w:hAnsi="宋体" w:eastAsia="宋体" w:cs="宋体"/>
                <w:color w:val="000000"/>
                <w:sz w:val="24"/>
                <w:szCs w:val="24"/>
              </w:rPr>
              <w:t>拓展资源板块：包含国家统计数据、地方公共数据、金融财经数据、前沿动态、研究报告等5个大类，覆盖国家统计局公开数据、工信部公开数据、人社部公开数据、</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发改委公开数据、教育部公开数据、各省市地方公共数据、证券交易所公开数据、财经网站公开数据、大数据前沿网站、大数据行业研究报告等60项；</w:t>
            </w:r>
          </w:p>
        </w:tc>
      </w:tr>
      <w:tr w14:paraId="6748E2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27" w:hRule="atLeast"/>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86B8901">
            <w:pPr>
              <w:spacing w:line="320" w:lineRule="exact"/>
              <w:jc w:val="center"/>
              <w:rPr>
                <w:rFonts w:ascii="宋体" w:hAnsi="宋体" w:eastAsia="宋体" w:cs="宋体"/>
                <w:bCs/>
                <w:color w:val="000000"/>
                <w:sz w:val="24"/>
                <w:szCs w:val="24"/>
              </w:rPr>
            </w:pPr>
          </w:p>
        </w:tc>
        <w:tc>
          <w:tcPr>
            <w:tcW w:w="647"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1C810C50">
            <w:pPr>
              <w:spacing w:line="320" w:lineRule="exact"/>
              <w:jc w:val="center"/>
              <w:rPr>
                <w:rFonts w:ascii="宋体" w:hAnsi="宋体" w:eastAsia="宋体" w:cs="宋体"/>
                <w:color w:val="000000"/>
                <w:sz w:val="24"/>
                <w:szCs w:val="24"/>
              </w:rPr>
            </w:pP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25AA18A8">
            <w:pPr>
              <w:spacing w:line="320" w:lineRule="exact"/>
              <w:jc w:val="left"/>
              <w:rPr>
                <w:rFonts w:ascii="宋体" w:hAnsi="宋体" w:eastAsia="宋体" w:cs="宋体"/>
                <w:color w:val="000000"/>
                <w:kern w:val="2"/>
                <w:sz w:val="24"/>
                <w:szCs w:val="24"/>
              </w:rPr>
            </w:pPr>
            <w:r>
              <w:rPr>
                <w:rFonts w:hint="eastAsia" w:ascii="宋体" w:hAnsi="宋体" w:eastAsia="宋体" w:cs="宋体"/>
                <w:color w:val="000000"/>
                <w:sz w:val="24"/>
                <w:szCs w:val="24"/>
              </w:rPr>
              <w:t>URL链接：可直接复制所查询数据的URL链接，通过URL即可快速爬取上市公司数据；</w:t>
            </w:r>
          </w:p>
        </w:tc>
      </w:tr>
      <w:tr w14:paraId="719888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1695C50">
            <w:pPr>
              <w:spacing w:line="320" w:lineRule="exact"/>
              <w:jc w:val="center"/>
              <w:rPr>
                <w:rFonts w:ascii="宋体" w:hAnsi="宋体" w:eastAsia="宋体" w:cs="宋体"/>
                <w:bCs/>
                <w:color w:val="000000"/>
                <w:sz w:val="24"/>
                <w:szCs w:val="24"/>
              </w:rPr>
            </w:pPr>
          </w:p>
        </w:tc>
        <w:tc>
          <w:tcPr>
            <w:tcW w:w="647"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07D9CF93">
            <w:pPr>
              <w:spacing w:line="320" w:lineRule="exact"/>
              <w:jc w:val="center"/>
              <w:rPr>
                <w:rFonts w:ascii="宋体" w:hAnsi="宋体" w:eastAsia="宋体" w:cs="宋体"/>
                <w:color w:val="000000"/>
                <w:sz w:val="24"/>
                <w:szCs w:val="24"/>
              </w:rPr>
            </w:pPr>
            <w:r>
              <w:rPr>
                <w:rFonts w:hint="eastAsia" w:ascii="宋体" w:hAnsi="宋体" w:eastAsia="宋体" w:cs="宋体"/>
                <w:color w:val="000000"/>
                <w:sz w:val="24"/>
                <w:szCs w:val="24"/>
              </w:rPr>
              <w:t>财务大数据Power BI可视化</w:t>
            </w: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265CBF31">
            <w:pPr>
              <w:spacing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课堂学习：PPT（PDF）、慕课（MP4）、课堂示例；</w:t>
            </w:r>
          </w:p>
        </w:tc>
      </w:tr>
      <w:tr w14:paraId="3994E7A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901A341">
            <w:pPr>
              <w:spacing w:line="320" w:lineRule="exact"/>
              <w:jc w:val="center"/>
              <w:rPr>
                <w:rFonts w:ascii="宋体" w:hAnsi="宋体" w:eastAsia="宋体" w:cs="宋体"/>
                <w:bCs/>
                <w:color w:val="000000"/>
                <w:sz w:val="24"/>
                <w:szCs w:val="24"/>
              </w:rPr>
            </w:pPr>
          </w:p>
        </w:tc>
        <w:tc>
          <w:tcPr>
            <w:tcW w:w="647"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7448042">
            <w:pPr>
              <w:spacing w:line="320" w:lineRule="exact"/>
              <w:jc w:val="center"/>
              <w:rPr>
                <w:rFonts w:ascii="宋体" w:hAnsi="宋体" w:eastAsia="宋体" w:cs="宋体"/>
                <w:color w:val="000000"/>
                <w:sz w:val="24"/>
                <w:szCs w:val="24"/>
              </w:rPr>
            </w:pP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2A77BCA1">
            <w:pPr>
              <w:spacing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课后练习：支持错题重做、查看答案、收藏做题、重新做题、在线生成报表等；</w:t>
            </w:r>
          </w:p>
        </w:tc>
      </w:tr>
      <w:tr w14:paraId="6F9285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331EC132">
            <w:pPr>
              <w:spacing w:line="320" w:lineRule="exact"/>
              <w:jc w:val="center"/>
              <w:rPr>
                <w:rFonts w:ascii="宋体" w:hAnsi="宋体" w:eastAsia="宋体" w:cs="宋体"/>
                <w:bCs/>
                <w:color w:val="000000"/>
                <w:sz w:val="24"/>
                <w:szCs w:val="24"/>
              </w:rPr>
            </w:pPr>
          </w:p>
        </w:tc>
        <w:tc>
          <w:tcPr>
            <w:tcW w:w="647"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155F0FBE">
            <w:pPr>
              <w:spacing w:line="320" w:lineRule="exact"/>
              <w:jc w:val="center"/>
              <w:rPr>
                <w:rFonts w:ascii="宋体" w:hAnsi="宋体" w:eastAsia="宋体" w:cs="宋体"/>
                <w:color w:val="000000"/>
                <w:sz w:val="24"/>
                <w:szCs w:val="24"/>
              </w:rPr>
            </w:pP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305571C5">
            <w:pPr>
              <w:spacing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期末测试：单选、多选、判断、操作题；</w:t>
            </w:r>
          </w:p>
        </w:tc>
      </w:tr>
      <w:tr w14:paraId="2CD24B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55E23958">
            <w:pPr>
              <w:spacing w:line="320" w:lineRule="exact"/>
              <w:jc w:val="center"/>
              <w:rPr>
                <w:rFonts w:ascii="宋体" w:hAnsi="宋体" w:eastAsia="宋体" w:cs="宋体"/>
                <w:color w:val="000000"/>
                <w:sz w:val="24"/>
                <w:szCs w:val="24"/>
              </w:rPr>
            </w:pPr>
          </w:p>
        </w:tc>
        <w:tc>
          <w:tcPr>
            <w:tcW w:w="647" w:type="pct"/>
            <w:tcBorders>
              <w:top w:val="single" w:color="auto" w:sz="4" w:space="0"/>
              <w:left w:val="single" w:color="auto" w:sz="4" w:space="0"/>
              <w:bottom w:val="single" w:color="auto" w:sz="4" w:space="0"/>
              <w:right w:val="single" w:color="auto" w:sz="4" w:space="0"/>
              <w:tl2br w:val="nil"/>
              <w:tr2bl w:val="nil"/>
            </w:tcBorders>
            <w:vAlign w:val="center"/>
          </w:tcPr>
          <w:p w14:paraId="7C1A49FE">
            <w:pPr>
              <w:spacing w:line="320" w:lineRule="exact"/>
              <w:jc w:val="center"/>
              <w:rPr>
                <w:rFonts w:ascii="宋体" w:hAnsi="宋体" w:eastAsia="宋体" w:cs="宋体"/>
                <w:color w:val="000000"/>
                <w:sz w:val="24"/>
                <w:szCs w:val="24"/>
              </w:rPr>
            </w:pPr>
            <w:r>
              <w:rPr>
                <w:rFonts w:hint="eastAsia" w:ascii="宋体" w:hAnsi="宋体" w:eastAsia="宋体" w:cs="宋体"/>
                <w:color w:val="000000"/>
                <w:sz w:val="24"/>
                <w:szCs w:val="24"/>
              </w:rPr>
              <w:t>财务大数据Web BI可视化</w:t>
            </w: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1007C6C3">
            <w:pPr>
              <w:spacing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工具内部包含绘制可视化呈现所需的柱状图、条形图、面积图、折线图、饼图、环形图、玫瑰图、散点图、雷达图等常见的图形图表，以及</w:t>
            </w:r>
            <w:r>
              <w:rPr>
                <w:rFonts w:hint="eastAsia" w:ascii="宋体" w:hAnsi="宋体" w:eastAsia="宋体" w:cs="宋体"/>
                <w:color w:val="000000"/>
                <w:sz w:val="24"/>
                <w:szCs w:val="24"/>
                <w:lang w:eastAsia="zh-CN"/>
              </w:rPr>
              <w:t>不少于</w:t>
            </w:r>
            <w:r>
              <w:rPr>
                <w:rFonts w:hint="eastAsia" w:ascii="宋体" w:hAnsi="宋体" w:eastAsia="宋体" w:cs="宋体"/>
                <w:color w:val="000000"/>
                <w:sz w:val="24"/>
                <w:szCs w:val="24"/>
                <w:lang w:val="en-US" w:eastAsia="zh-CN"/>
              </w:rPr>
              <w:t>150</w:t>
            </w:r>
            <w:r>
              <w:rPr>
                <w:rFonts w:hint="eastAsia" w:ascii="宋体" w:hAnsi="宋体" w:eastAsia="宋体" w:cs="宋体"/>
                <w:color w:val="000000"/>
                <w:sz w:val="24"/>
                <w:szCs w:val="24"/>
              </w:rPr>
              <w:t>种大数据财务分析模型，通过拖拉拽的方式，完成可视化呈现；</w:t>
            </w:r>
          </w:p>
        </w:tc>
      </w:tr>
      <w:tr w14:paraId="1BC46D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80"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09FA9B6B">
            <w:pPr>
              <w:spacing w:line="320" w:lineRule="exact"/>
              <w:jc w:val="center"/>
              <w:rPr>
                <w:rFonts w:ascii="宋体" w:hAnsi="宋体" w:eastAsia="宋体" w:cs="宋体"/>
                <w:bCs/>
                <w:color w:val="000000"/>
                <w:sz w:val="24"/>
                <w:szCs w:val="24"/>
              </w:rPr>
            </w:pPr>
            <w:r>
              <w:rPr>
                <w:rFonts w:hint="eastAsia" w:ascii="宋体" w:hAnsi="宋体" w:eastAsia="宋体" w:cs="宋体"/>
                <w:color w:val="000000"/>
                <w:sz w:val="24"/>
                <w:szCs w:val="24"/>
              </w:rPr>
              <w:t>教师</w:t>
            </w:r>
          </w:p>
        </w:tc>
        <w:tc>
          <w:tcPr>
            <w:tcW w:w="647"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6388197E">
            <w:pPr>
              <w:spacing w:line="320" w:lineRule="exact"/>
              <w:jc w:val="center"/>
              <w:rPr>
                <w:rFonts w:ascii="宋体" w:hAnsi="宋体" w:eastAsia="宋体" w:cs="宋体"/>
                <w:color w:val="000000"/>
                <w:sz w:val="24"/>
                <w:szCs w:val="24"/>
              </w:rPr>
            </w:pPr>
            <w:r>
              <w:rPr>
                <w:rFonts w:hint="eastAsia" w:ascii="宋体" w:hAnsi="宋体" w:eastAsia="宋体" w:cs="宋体"/>
                <w:color w:val="000000"/>
                <w:sz w:val="24"/>
                <w:szCs w:val="24"/>
              </w:rPr>
              <w:t>基本设置</w:t>
            </w: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5FA7E1B6">
            <w:pPr>
              <w:spacing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班级管理；</w:t>
            </w:r>
          </w:p>
        </w:tc>
      </w:tr>
      <w:tr w14:paraId="0C7D39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CF555B2">
            <w:pPr>
              <w:spacing w:line="320" w:lineRule="exact"/>
              <w:jc w:val="center"/>
              <w:rPr>
                <w:rFonts w:ascii="宋体" w:hAnsi="宋体" w:eastAsia="宋体" w:cs="宋体"/>
                <w:bCs/>
                <w:color w:val="000000"/>
                <w:sz w:val="24"/>
                <w:szCs w:val="24"/>
              </w:rPr>
            </w:pPr>
          </w:p>
        </w:tc>
        <w:tc>
          <w:tcPr>
            <w:tcW w:w="647"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59B16BE8">
            <w:pPr>
              <w:spacing w:line="320" w:lineRule="exact"/>
              <w:jc w:val="center"/>
              <w:rPr>
                <w:rFonts w:ascii="宋体" w:hAnsi="宋体" w:eastAsia="宋体" w:cs="宋体"/>
                <w:color w:val="000000"/>
                <w:sz w:val="24"/>
                <w:szCs w:val="24"/>
              </w:rPr>
            </w:pP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2C10038B">
            <w:pPr>
              <w:spacing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学生管理；</w:t>
            </w:r>
          </w:p>
        </w:tc>
      </w:tr>
      <w:tr w14:paraId="1505D4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304F46CF">
            <w:pPr>
              <w:spacing w:line="320" w:lineRule="exact"/>
              <w:jc w:val="center"/>
              <w:rPr>
                <w:rFonts w:ascii="宋体" w:hAnsi="宋体" w:eastAsia="宋体" w:cs="宋体"/>
                <w:bCs/>
                <w:color w:val="000000"/>
                <w:sz w:val="24"/>
                <w:szCs w:val="24"/>
              </w:rPr>
            </w:pPr>
          </w:p>
        </w:tc>
        <w:tc>
          <w:tcPr>
            <w:tcW w:w="647"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55190540">
            <w:pPr>
              <w:spacing w:line="320" w:lineRule="exact"/>
              <w:jc w:val="center"/>
              <w:rPr>
                <w:rFonts w:ascii="宋体" w:hAnsi="宋体" w:eastAsia="宋体" w:cs="宋体"/>
                <w:color w:val="000000"/>
                <w:sz w:val="24"/>
                <w:szCs w:val="24"/>
              </w:rPr>
            </w:pPr>
            <w:r>
              <w:rPr>
                <w:rFonts w:hint="eastAsia" w:ascii="宋体" w:hAnsi="宋体" w:eastAsia="宋体" w:cs="宋体"/>
                <w:color w:val="000000"/>
                <w:sz w:val="24"/>
                <w:szCs w:val="24"/>
              </w:rPr>
              <w:t>课程设置</w:t>
            </w: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4505D49B">
            <w:pPr>
              <w:spacing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课程资源管理：教师可自主上传教学文档、慕课视频、课后练习等；</w:t>
            </w:r>
          </w:p>
        </w:tc>
      </w:tr>
      <w:tr w14:paraId="6C78A61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19A3D4DE">
            <w:pPr>
              <w:spacing w:line="320" w:lineRule="exact"/>
              <w:jc w:val="center"/>
              <w:rPr>
                <w:rFonts w:ascii="宋体" w:hAnsi="宋体" w:eastAsia="宋体" w:cs="宋体"/>
                <w:bCs/>
                <w:color w:val="000000"/>
                <w:sz w:val="24"/>
                <w:szCs w:val="24"/>
              </w:rPr>
            </w:pPr>
          </w:p>
        </w:tc>
        <w:tc>
          <w:tcPr>
            <w:tcW w:w="647"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59C5A697">
            <w:pPr>
              <w:spacing w:line="320" w:lineRule="exact"/>
              <w:jc w:val="center"/>
              <w:rPr>
                <w:rFonts w:ascii="宋体" w:hAnsi="宋体" w:eastAsia="宋体" w:cs="宋体"/>
                <w:color w:val="000000"/>
                <w:sz w:val="24"/>
                <w:szCs w:val="24"/>
              </w:rPr>
            </w:pP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7B5DAA46">
            <w:pPr>
              <w:spacing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案例资源管理：教师可自定义案例；</w:t>
            </w:r>
          </w:p>
        </w:tc>
      </w:tr>
      <w:tr w14:paraId="714E35B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80"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CC4A26A">
            <w:pPr>
              <w:spacing w:line="320" w:lineRule="exact"/>
              <w:jc w:val="center"/>
              <w:rPr>
                <w:rFonts w:ascii="宋体" w:hAnsi="宋体" w:eastAsia="宋体" w:cs="宋体"/>
                <w:bCs/>
                <w:color w:val="000000"/>
                <w:sz w:val="24"/>
                <w:szCs w:val="24"/>
              </w:rPr>
            </w:pPr>
          </w:p>
        </w:tc>
        <w:tc>
          <w:tcPr>
            <w:tcW w:w="647" w:type="pct"/>
            <w:tcBorders>
              <w:top w:val="single" w:color="auto" w:sz="4" w:space="0"/>
              <w:left w:val="single" w:color="auto" w:sz="4" w:space="0"/>
              <w:bottom w:val="single" w:color="auto" w:sz="4" w:space="0"/>
              <w:right w:val="single" w:color="auto" w:sz="4" w:space="0"/>
              <w:tl2br w:val="nil"/>
              <w:tr2bl w:val="nil"/>
            </w:tcBorders>
            <w:vAlign w:val="center"/>
          </w:tcPr>
          <w:p w14:paraId="4BC4F1C2">
            <w:pPr>
              <w:spacing w:line="320" w:lineRule="exact"/>
              <w:jc w:val="center"/>
              <w:rPr>
                <w:rFonts w:ascii="宋体" w:hAnsi="宋体" w:eastAsia="宋体" w:cs="宋体"/>
                <w:color w:val="000000"/>
                <w:sz w:val="24"/>
                <w:szCs w:val="24"/>
              </w:rPr>
            </w:pPr>
            <w:r>
              <w:rPr>
                <w:rFonts w:hint="eastAsia" w:ascii="宋体" w:hAnsi="宋体" w:eastAsia="宋体" w:cs="宋体"/>
                <w:color w:val="000000"/>
                <w:sz w:val="24"/>
                <w:szCs w:val="24"/>
              </w:rPr>
              <w:t>评价设置</w:t>
            </w:r>
          </w:p>
        </w:tc>
        <w:tc>
          <w:tcPr>
            <w:tcW w:w="3772" w:type="pct"/>
            <w:tcBorders>
              <w:top w:val="single" w:color="auto" w:sz="4" w:space="0"/>
              <w:left w:val="single" w:color="auto" w:sz="4" w:space="0"/>
              <w:bottom w:val="single" w:color="auto" w:sz="4" w:space="0"/>
              <w:right w:val="single" w:color="auto" w:sz="4" w:space="0"/>
              <w:tl2br w:val="nil"/>
              <w:tr2bl w:val="nil"/>
            </w:tcBorders>
            <w:vAlign w:val="center"/>
          </w:tcPr>
          <w:p w14:paraId="077D2972">
            <w:pPr>
              <w:spacing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成绩管理；</w:t>
            </w:r>
          </w:p>
        </w:tc>
      </w:tr>
    </w:tbl>
    <w:p w14:paraId="4B214C4A">
      <w:pPr>
        <w:pStyle w:val="4"/>
        <w:numPr>
          <w:ilvl w:val="3"/>
          <w:numId w:val="0"/>
        </w:numPr>
        <w:spacing w:line="360" w:lineRule="auto"/>
        <w:ind w:firstLine="482" w:firstLineChars="200"/>
        <w:rPr>
          <w:rFonts w:ascii="宋体" w:hAnsi="宋体" w:eastAsia="宋体" w:cs="宋体"/>
          <w:sz w:val="24"/>
          <w:szCs w:val="24"/>
        </w:rPr>
      </w:pPr>
      <w:r>
        <w:rPr>
          <w:rFonts w:hint="eastAsia" w:ascii="宋体" w:hAnsi="宋体" w:eastAsia="宋体" w:cs="宋体"/>
          <w:sz w:val="24"/>
          <w:szCs w:val="24"/>
        </w:rPr>
        <w:t>（6）项目任务内容</w:t>
      </w:r>
    </w:p>
    <w:p w14:paraId="4C768787">
      <w:pPr>
        <w:snapToGrid w:val="0"/>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需至少涵盖Power BI认知、Power BI数据获取、Power Query数据清洗、Power BI数据建模、Power BI数据分析表达式(DAX)、Power BI数据分析可视化、Power BI数据分析可视化、Power BI综合案例、技能拓展-Web BI可视化等项目，并包含不少于20个任务内容。</w:t>
      </w:r>
    </w:p>
    <w:p w14:paraId="28D70D95">
      <w:pPr>
        <w:snapToGrid w:val="0"/>
        <w:spacing w:line="360" w:lineRule="auto"/>
        <w:ind w:firstLine="482" w:firstLineChars="200"/>
        <w:contextualSpacing/>
        <w:rPr>
          <w:rFonts w:ascii="宋体" w:hAnsi="宋体" w:eastAsia="宋体" w:cs="宋体"/>
          <w:b/>
          <w:bCs/>
          <w:sz w:val="24"/>
          <w:szCs w:val="24"/>
        </w:rPr>
      </w:pPr>
      <w:r>
        <w:rPr>
          <w:rFonts w:hint="eastAsia" w:ascii="宋体" w:hAnsi="宋体" w:eastAsia="宋体" w:cs="宋体"/>
          <w:b/>
          <w:bCs/>
          <w:sz w:val="24"/>
          <w:szCs w:val="24"/>
        </w:rPr>
        <w:t>（7）教学资源数量</w:t>
      </w:r>
    </w:p>
    <w:p w14:paraId="3B374D1F">
      <w:pPr>
        <w:snapToGrid w:val="0"/>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1.教学PPT/PDF（不少于30个）；</w:t>
      </w:r>
    </w:p>
    <w:p w14:paraId="282D03F3">
      <w:pPr>
        <w:snapToGrid w:val="0"/>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2.随堂示例（不少于90题）；</w:t>
      </w:r>
    </w:p>
    <w:p w14:paraId="4FFB4DFF">
      <w:pPr>
        <w:snapToGrid w:val="0"/>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3.课后习题：单选题（不少于120题）；多选题（不少于120题）；判断题（不少于120题）；操作题（不少于60题）。</w:t>
      </w:r>
    </w:p>
    <w:p w14:paraId="7E38ED51">
      <w:pPr>
        <w:snapToGrid w:val="0"/>
        <w:spacing w:line="360" w:lineRule="auto"/>
        <w:ind w:firstLine="482" w:firstLineChars="200"/>
        <w:contextualSpacing/>
        <w:rPr>
          <w:rFonts w:ascii="宋体" w:hAnsi="宋体" w:eastAsia="宋体" w:cs="宋体"/>
          <w:sz w:val="24"/>
          <w:szCs w:val="24"/>
        </w:rPr>
      </w:pPr>
      <w:r>
        <w:rPr>
          <w:rFonts w:hint="eastAsia" w:ascii="宋体" w:hAnsi="宋体" w:eastAsia="宋体" w:cs="宋体"/>
          <w:b/>
          <w:bCs/>
          <w:sz w:val="24"/>
          <w:szCs w:val="24"/>
        </w:rPr>
        <w:t>2.大数据技术应用基础Python平台</w:t>
      </w:r>
    </w:p>
    <w:p w14:paraId="20887AB9">
      <w:pPr>
        <w:snapToGrid w:val="0"/>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要求采用Python编辑器、Jupyter Notebook双工具进行操作，针对财务大数据Python基础进行全方位的讲解、训练、实训，包含Python语言、Requests爬虫工具、Pandas数据分析工具、Matplotlib可视化图形库、Pyecharts可视化图形库等内容，从基础知识的奠定到实务技能掌握，培养学生形成大数据分析思维、善用大数据分析工具、应用财务大数据分析方法，直至产生可视化分析图形、为企业经营决策提供科学依据。</w:t>
      </w:r>
    </w:p>
    <w:p w14:paraId="095EA4C2">
      <w:pPr>
        <w:pStyle w:val="4"/>
        <w:numPr>
          <w:ilvl w:val="3"/>
          <w:numId w:val="0"/>
        </w:numPr>
        <w:spacing w:line="360" w:lineRule="auto"/>
        <w:ind w:firstLine="482" w:firstLineChars="200"/>
        <w:rPr>
          <w:rFonts w:ascii="宋体" w:hAnsi="宋体" w:eastAsia="宋体" w:cs="宋体"/>
          <w:sz w:val="24"/>
          <w:szCs w:val="24"/>
        </w:rPr>
      </w:pPr>
      <w:bookmarkStart w:id="15" w:name="_Toc24681"/>
      <w:r>
        <w:rPr>
          <w:rFonts w:hint="eastAsia" w:ascii="宋体" w:hAnsi="宋体" w:eastAsia="宋体" w:cs="宋体"/>
          <w:sz w:val="24"/>
          <w:szCs w:val="24"/>
        </w:rPr>
        <w:t>（1）云端平台云学习，无需下载任何数据安装包</w:t>
      </w:r>
    </w:p>
    <w:p w14:paraId="266AD98E">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要求采用云技术，财务大数据分析全程在B/S网页端操作即可，无需下载任何安装包和数据包（第三方库）。平台系统数据需与Pyhton开发环境联合起来，账号登入后即可直接在编辑器上进行代码的编写，无需在编辑器上重新注册账号。</w:t>
      </w:r>
    </w:p>
    <w:p w14:paraId="69E175AF">
      <w:pPr>
        <w:pStyle w:val="4"/>
        <w:numPr>
          <w:ilvl w:val="3"/>
          <w:numId w:val="0"/>
        </w:numPr>
        <w:spacing w:line="360" w:lineRule="auto"/>
        <w:ind w:firstLine="482" w:firstLineChars="200"/>
        <w:rPr>
          <w:rFonts w:ascii="宋体" w:hAnsi="宋体" w:eastAsia="宋体" w:cs="宋体"/>
          <w:sz w:val="24"/>
          <w:szCs w:val="24"/>
        </w:rPr>
      </w:pPr>
      <w:r>
        <w:rPr>
          <w:rFonts w:hint="eastAsia" w:ascii="宋体" w:hAnsi="宋体" w:eastAsia="宋体" w:cs="宋体"/>
          <w:sz w:val="24"/>
          <w:szCs w:val="24"/>
        </w:rPr>
        <w:t>（2）</w:t>
      </w:r>
      <w:bookmarkEnd w:id="15"/>
      <w:r>
        <w:rPr>
          <w:rFonts w:hint="eastAsia" w:ascii="宋体" w:hAnsi="宋体" w:eastAsia="宋体" w:cs="宋体"/>
          <w:sz w:val="24"/>
          <w:szCs w:val="24"/>
        </w:rPr>
        <w:t>内置大数据中心海量数据资源，服务财务大数据分析工作</w:t>
      </w:r>
    </w:p>
    <w:p w14:paraId="21595989">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要求配套大数据中心，提供超5000家上市公司数据，以及综合类、国民经济核算、人口等27大类别</w:t>
      </w:r>
      <w:r>
        <w:rPr>
          <w:rFonts w:hint="eastAsia" w:ascii="宋体" w:hAnsi="宋体" w:eastAsia="宋体" w:cs="宋体"/>
          <w:sz w:val="24"/>
          <w:szCs w:val="24"/>
          <w:lang w:val="en-US" w:eastAsia="zh-CN"/>
        </w:rPr>
        <w:t>自1996年以来的</w:t>
      </w:r>
      <w:r>
        <w:rPr>
          <w:rFonts w:hint="eastAsia" w:ascii="宋体" w:hAnsi="宋体" w:eastAsia="宋体" w:cs="宋体"/>
          <w:sz w:val="24"/>
          <w:szCs w:val="24"/>
        </w:rPr>
        <w:t>宏观数据，可实现行业板块查询、区域板块查询、企业数据查询、宏观数据查询、拓展资源查询，且大数据中心内的所有数据均可直接下载或通过复制链接的方式轻松获取，省去自行爬取数据来源的繁琐步骤，便捷教师开展教学。</w:t>
      </w:r>
    </w:p>
    <w:p w14:paraId="0B36605C">
      <w:pPr>
        <w:pStyle w:val="4"/>
        <w:numPr>
          <w:ilvl w:val="3"/>
          <w:numId w:val="0"/>
        </w:numPr>
        <w:spacing w:line="360" w:lineRule="auto"/>
        <w:ind w:firstLine="482" w:firstLineChars="200"/>
        <w:rPr>
          <w:rFonts w:ascii="宋体" w:hAnsi="宋体" w:eastAsia="宋体" w:cs="宋体"/>
          <w:sz w:val="24"/>
          <w:szCs w:val="24"/>
        </w:rPr>
      </w:pPr>
      <w:r>
        <w:rPr>
          <w:rFonts w:hint="eastAsia" w:ascii="宋体" w:hAnsi="宋体" w:eastAsia="宋体" w:cs="宋体"/>
          <w:sz w:val="24"/>
          <w:szCs w:val="24"/>
        </w:rPr>
        <w:t>（3）任务式驱动学习，引导完成大数据财务分析</w:t>
      </w:r>
    </w:p>
    <w:p w14:paraId="3B896B7A">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以完成任务的形式进行流程设计，通过已定的目标要求和任务成果，按步骤内容完成任务。通过任务式训练，让学员充分了解财务大数据分析的标准流程，并掌握各个流程里的标准步骤，进而完成从数据采集准备到出具项目实验报告的财务大数据分析案例。</w:t>
      </w:r>
    </w:p>
    <w:p w14:paraId="3FF335AE">
      <w:pPr>
        <w:pStyle w:val="4"/>
        <w:numPr>
          <w:ilvl w:val="3"/>
          <w:numId w:val="0"/>
        </w:numPr>
        <w:spacing w:line="360" w:lineRule="auto"/>
        <w:ind w:firstLine="482" w:firstLineChars="200"/>
        <w:rPr>
          <w:rFonts w:ascii="宋体" w:hAnsi="宋体" w:eastAsia="宋体" w:cs="宋体"/>
          <w:sz w:val="24"/>
          <w:szCs w:val="24"/>
        </w:rPr>
      </w:pPr>
      <w:bookmarkStart w:id="16" w:name="_Toc9623"/>
      <w:r>
        <w:rPr>
          <w:rFonts w:hint="eastAsia" w:ascii="宋体" w:hAnsi="宋体" w:eastAsia="宋体" w:cs="宋体"/>
          <w:sz w:val="24"/>
          <w:szCs w:val="24"/>
        </w:rPr>
        <w:t>（4）内置丰富学习资源</w:t>
      </w:r>
    </w:p>
    <w:p w14:paraId="6D27B1D5">
      <w:pPr>
        <w:spacing w:line="360" w:lineRule="auto"/>
        <w:ind w:firstLine="480" w:firstLineChars="200"/>
        <w:rPr>
          <w:rFonts w:ascii="宋体" w:hAnsi="宋体" w:eastAsia="宋体" w:cs="宋体"/>
          <w:sz w:val="24"/>
          <w:szCs w:val="24"/>
        </w:rPr>
      </w:pPr>
      <w:bookmarkStart w:id="17" w:name="_Toc4231"/>
      <w:r>
        <w:rPr>
          <w:rFonts w:hint="eastAsia" w:ascii="宋体" w:hAnsi="宋体" w:eastAsia="宋体" w:cs="宋体"/>
          <w:sz w:val="24"/>
          <w:szCs w:val="24"/>
        </w:rPr>
        <w:t>围绕大数据技术应用基础课程所需内容进行全方面设计，针对Python基础、爬虫、Pandas、Matplotlib&amp;Pyecharts等所教内容进行课程资源的配套，包括PPT、慕课、微课、小游戏等；同时针对授课导师缺失的问题，要求企业导师在线授课培训，手把手辅助课程教学，解决师资、教学难题。</w:t>
      </w:r>
    </w:p>
    <w:p w14:paraId="57DD6104">
      <w:pPr>
        <w:pStyle w:val="4"/>
        <w:numPr>
          <w:ilvl w:val="3"/>
          <w:numId w:val="0"/>
        </w:numPr>
        <w:spacing w:line="360" w:lineRule="auto"/>
        <w:ind w:firstLine="482" w:firstLineChars="200"/>
        <w:rPr>
          <w:rFonts w:ascii="宋体" w:hAnsi="宋体" w:eastAsia="宋体" w:cs="宋体"/>
          <w:sz w:val="24"/>
          <w:szCs w:val="24"/>
        </w:rPr>
      </w:pPr>
      <w:r>
        <w:rPr>
          <w:rFonts w:hint="eastAsia" w:ascii="宋体" w:hAnsi="宋体" w:eastAsia="宋体" w:cs="宋体"/>
          <w:sz w:val="24"/>
          <w:szCs w:val="24"/>
        </w:rPr>
        <w:t>（5）</w:t>
      </w:r>
      <w:bookmarkEnd w:id="17"/>
      <w:r>
        <w:rPr>
          <w:rFonts w:hint="eastAsia" w:ascii="宋体" w:hAnsi="宋体" w:eastAsia="宋体" w:cs="宋体"/>
          <w:sz w:val="24"/>
          <w:szCs w:val="24"/>
        </w:rPr>
        <w:t>功能需求列表</w:t>
      </w:r>
    </w:p>
    <w:tbl>
      <w:tblPr>
        <w:tblStyle w:val="12"/>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autofit"/>
        <w:tblCellMar>
          <w:top w:w="0" w:type="dxa"/>
          <w:left w:w="108" w:type="dxa"/>
          <w:bottom w:w="0" w:type="dxa"/>
          <w:right w:w="108" w:type="dxa"/>
        </w:tblCellMar>
      </w:tblPr>
      <w:tblGrid>
        <w:gridCol w:w="989"/>
        <w:gridCol w:w="1239"/>
        <w:gridCol w:w="6775"/>
      </w:tblGrid>
      <w:tr w14:paraId="2B26C2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05" w:hRule="atLeast"/>
          <w:jc w:val="center"/>
        </w:trPr>
        <w:tc>
          <w:tcPr>
            <w:tcW w:w="549" w:type="pct"/>
            <w:tcBorders>
              <w:top w:val="single" w:color="auto" w:sz="4" w:space="0"/>
              <w:left w:val="single" w:color="auto" w:sz="4" w:space="0"/>
              <w:bottom w:val="single" w:color="auto" w:sz="4" w:space="0"/>
              <w:right w:val="single" w:color="auto" w:sz="4" w:space="0"/>
              <w:tl2br w:val="nil"/>
            </w:tcBorders>
            <w:vAlign w:val="center"/>
          </w:tcPr>
          <w:p w14:paraId="027B4989">
            <w:pPr>
              <w:spacing w:line="320" w:lineRule="exact"/>
              <w:jc w:val="center"/>
              <w:rPr>
                <w:rFonts w:asciiTheme="minorEastAsia" w:hAnsiTheme="minorEastAsia" w:eastAsiaTheme="minorEastAsia" w:cstheme="minorEastAsia"/>
                <w:b/>
                <w:bCs/>
                <w:color w:val="000000" w:themeColor="text1"/>
                <w:sz w:val="24"/>
                <w:szCs w:val="24"/>
                <w14:textFill>
                  <w14:solidFill>
                    <w14:schemeClr w14:val="tx1"/>
                  </w14:solidFill>
                </w14:textFill>
              </w:rPr>
            </w:pPr>
            <w:bookmarkStart w:id="18" w:name="_Toc19166"/>
            <w:r>
              <w:rPr>
                <w:rFonts w:hint="eastAsia" w:asciiTheme="minorEastAsia" w:hAnsiTheme="minorEastAsia" w:eastAsiaTheme="minorEastAsia" w:cstheme="minorEastAsia"/>
                <w:b/>
                <w:bCs/>
                <w:color w:val="000000" w:themeColor="text1"/>
                <w:sz w:val="24"/>
                <w:szCs w:val="24"/>
                <w14:textFill>
                  <w14:solidFill>
                    <w14:schemeClr w14:val="tx1"/>
                  </w14:solidFill>
                </w14:textFill>
              </w:rPr>
              <w:t>使用者</w:t>
            </w:r>
          </w:p>
        </w:tc>
        <w:tc>
          <w:tcPr>
            <w:tcW w:w="688" w:type="pct"/>
            <w:tcBorders>
              <w:top w:val="single" w:color="auto" w:sz="4" w:space="0"/>
              <w:left w:val="single" w:color="auto" w:sz="4" w:space="0"/>
              <w:bottom w:val="single" w:color="auto" w:sz="4" w:space="0"/>
              <w:right w:val="single" w:color="auto" w:sz="4" w:space="0"/>
            </w:tcBorders>
            <w:vAlign w:val="center"/>
          </w:tcPr>
          <w:p w14:paraId="5B4C2286">
            <w:pPr>
              <w:spacing w:line="320" w:lineRule="exact"/>
              <w:jc w:val="center"/>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项目</w:t>
            </w:r>
          </w:p>
        </w:tc>
        <w:tc>
          <w:tcPr>
            <w:tcW w:w="3762" w:type="pct"/>
            <w:tcBorders>
              <w:top w:val="single" w:color="auto" w:sz="4" w:space="0"/>
              <w:left w:val="single" w:color="auto" w:sz="4" w:space="0"/>
              <w:bottom w:val="single" w:color="auto" w:sz="4" w:space="0"/>
              <w:right w:val="single" w:color="auto" w:sz="4" w:space="0"/>
            </w:tcBorders>
            <w:vAlign w:val="center"/>
          </w:tcPr>
          <w:p w14:paraId="402FF497">
            <w:pPr>
              <w:spacing w:line="320" w:lineRule="exact"/>
              <w:jc w:val="center"/>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具体功能</w:t>
            </w:r>
          </w:p>
        </w:tc>
      </w:tr>
      <w:tr w14:paraId="63704E0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49"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54F49C42">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学生</w:t>
            </w:r>
          </w:p>
        </w:tc>
        <w:tc>
          <w:tcPr>
            <w:tcW w:w="688" w:type="pct"/>
            <w:tcBorders>
              <w:top w:val="single" w:color="auto" w:sz="4" w:space="0"/>
              <w:left w:val="single" w:color="auto" w:sz="4" w:space="0"/>
              <w:bottom w:val="single" w:color="auto" w:sz="4" w:space="0"/>
              <w:right w:val="single" w:color="auto" w:sz="4" w:space="0"/>
              <w:tl2br w:val="nil"/>
              <w:tr2bl w:val="nil"/>
            </w:tcBorders>
            <w:vAlign w:val="center"/>
          </w:tcPr>
          <w:p w14:paraId="396E7CAB">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在线平台集成</w:t>
            </w: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2D8062AE">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财务大数据教学平台与Python开发环境无缝衔接，统一账户接口，单点登录，学生在教学平台即可在通过“打开编辑器”按钮直接进行编程练习，无需重复登录</w:t>
            </w:r>
          </w:p>
        </w:tc>
      </w:tr>
      <w:tr w14:paraId="084B9D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D0A2272">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688"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142A1C35">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Python开发环境</w:t>
            </w: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10FF9E9D">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编写代码：支持剪切、复制、删除、重置单元格等</w:t>
            </w:r>
          </w:p>
        </w:tc>
      </w:tr>
      <w:tr w14:paraId="1705C5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71548DB">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69A345F5">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6FE93A01">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代码分块运行：便于学生纠错、反复调试代码</w:t>
            </w:r>
          </w:p>
        </w:tc>
      </w:tr>
      <w:tr w14:paraId="4BDE41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578289C2">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2A85322F">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30EE1039">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查看运行结果：运行结果可自动保存</w:t>
            </w:r>
          </w:p>
        </w:tc>
      </w:tr>
      <w:tr w14:paraId="566C944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5DE0A90C">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F4E5725">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5715A97F">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导出运行结果：运行结果可导出HTML格式</w:t>
            </w:r>
          </w:p>
        </w:tc>
      </w:tr>
      <w:tr w14:paraId="2D9EF4B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1152576D">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9EFE2B4">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3D651D1B">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文件列表：支持删除、新增文件夹、上传文件</w:t>
            </w:r>
          </w:p>
        </w:tc>
      </w:tr>
      <w:tr w14:paraId="35BE21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A3A128C">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64F9F9B6">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大数据</w:t>
            </w:r>
          </w:p>
          <w:p w14:paraId="241498C2">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中心</w:t>
            </w: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663E978B">
            <w:pPr>
              <w:spacing w:line="320" w:lineRule="exact"/>
              <w:rPr>
                <w:rFonts w:asciiTheme="minorEastAsia" w:hAnsiTheme="minorEastAsia" w:eastAsiaTheme="minorEastAsia" w:cstheme="minorEastAsia"/>
                <w:color w:val="000000" w:themeColor="text1"/>
                <w:kern w:val="2"/>
                <w:sz w:val="24"/>
                <w:szCs w:val="24"/>
                <w14:textFill>
                  <w14:solidFill>
                    <w14:schemeClr w14:val="tx1"/>
                  </w14:solidFill>
                </w14:textFill>
              </w:rPr>
            </w:pPr>
            <w:r>
              <w:rPr>
                <w:rFonts w:hint="eastAsia" w:asciiTheme="minorEastAsia" w:hAnsiTheme="minorEastAsia" w:eastAsiaTheme="minorEastAsia" w:cstheme="minorEastAsia"/>
                <w:color w:val="000000"/>
                <w:sz w:val="24"/>
                <w:szCs w:val="24"/>
              </w:rPr>
              <w:t>行业板块查询：需包含种植业与林业、造纸、专用设备、中药、证券、综合、自动化设备、养殖业、医药商业、银行、仪器仪表等110个行业板块；</w:t>
            </w:r>
          </w:p>
        </w:tc>
      </w:tr>
      <w:tr w14:paraId="5DB681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1DC0F59">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379BBD3C">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513F87BC">
            <w:pPr>
              <w:spacing w:line="320" w:lineRule="exact"/>
              <w:rPr>
                <w:rFonts w:asciiTheme="minorEastAsia" w:hAnsiTheme="minorEastAsia" w:eastAsiaTheme="minorEastAsia" w:cstheme="minorEastAsia"/>
                <w:color w:val="000000" w:themeColor="text1"/>
                <w:kern w:val="2"/>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区域板块查询：</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覆盖中国大陆地区31个省（区、市）的区域板块数据</w:t>
            </w:r>
            <w:r>
              <w:rPr>
                <w:rFonts w:hint="eastAsia" w:asciiTheme="minorEastAsia" w:hAnsiTheme="minorEastAsia" w:eastAsiaTheme="minorEastAsia" w:cstheme="minorEastAsia"/>
                <w:color w:val="000000" w:themeColor="text1"/>
                <w:sz w:val="24"/>
                <w:szCs w:val="24"/>
                <w14:textFill>
                  <w14:solidFill>
                    <w14:schemeClr w14:val="tx1"/>
                  </w14:solidFill>
                </w14:textFill>
              </w:rPr>
              <w:t>；</w:t>
            </w:r>
          </w:p>
        </w:tc>
      </w:tr>
      <w:tr w14:paraId="23B33CF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5ACB1E26">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64D71ECF">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1377BBFA">
            <w:pPr>
              <w:spacing w:line="320" w:lineRule="exact"/>
              <w:rPr>
                <w:rFonts w:asciiTheme="minorEastAsia" w:hAnsiTheme="minorEastAsia" w:eastAsiaTheme="minorEastAsia" w:cstheme="minorEastAsia"/>
                <w:color w:val="000000" w:themeColor="text1"/>
                <w:kern w:val="2"/>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企业数据查询：提供5000多家上市公司数据，包含公司简介、财务报表摘要、资产负债表、利润表、现金流量表、股价信息表</w:t>
            </w:r>
          </w:p>
        </w:tc>
      </w:tr>
      <w:tr w14:paraId="43F778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27" w:hRule="atLeast"/>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554C81C">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328F038B">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04130890">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宏观数据查询：提供近</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自1996年以来的</w:t>
            </w:r>
            <w:r>
              <w:rPr>
                <w:rFonts w:hint="eastAsia" w:asciiTheme="minorEastAsia" w:hAnsiTheme="minorEastAsia" w:eastAsiaTheme="minorEastAsia" w:cstheme="minorEastAsia"/>
                <w:color w:val="000000" w:themeColor="text1"/>
                <w:sz w:val="24"/>
                <w:szCs w:val="24"/>
                <w14:textFill>
                  <w14:solidFill>
                    <w14:schemeClr w14:val="tx1"/>
                  </w14:solidFill>
                </w14:textFill>
              </w:rPr>
              <w:t>宏观数据，涵盖综合类、国民经济核算、人口、就业人员和工资、固定资产投资和房地产、对外经济贸易、能源、财政等27大类别共不少于550项</w:t>
            </w:r>
          </w:p>
        </w:tc>
      </w:tr>
      <w:tr w14:paraId="2071632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02" w:hRule="atLeast"/>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730C5AD5">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54994A6">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70510A3F">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拓展资源板块：包含国家统计数据、地方公共数据、金融财经数据、前沿动态、研究报告等5个大类，覆盖国家统计局公开数据、工信部公开数据、人社部公开数据、发改委公开数据等60项</w:t>
            </w:r>
          </w:p>
        </w:tc>
      </w:tr>
      <w:tr w14:paraId="41090A9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77" w:hRule="atLeast"/>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34503CD3">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7CFD018E">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1E3DA097">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URL链接：可直接复制所查询数据的URL链接，通过URL即可快速爬取上市公司数据</w:t>
            </w:r>
          </w:p>
        </w:tc>
      </w:tr>
      <w:tr w14:paraId="7CB34F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5FFB4376">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200AFA3D">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财务大数据分析基础</w:t>
            </w: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24A11AC5">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课堂学习：PPT（PDF）、慕课（MP4）、课堂示例（支持编辑器）</w:t>
            </w:r>
          </w:p>
        </w:tc>
      </w:tr>
      <w:tr w14:paraId="1BCE7E5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62C47550">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C0B57CB">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100078E1">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课后练习：支持错题重做、查看答案、收藏做题、重新做题、生成报告、打开编辑器、编程结果展示等</w:t>
            </w:r>
          </w:p>
        </w:tc>
      </w:tr>
      <w:tr w14:paraId="6220E0A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6CB351D9">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556F9E25">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087BD8B3">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期末测试：单选、多选、判断、编程题</w:t>
            </w:r>
          </w:p>
        </w:tc>
      </w:tr>
      <w:tr w14:paraId="45B6743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68" w:hRule="atLeast"/>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86FEA34">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4BA54BD6">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线上共享记账平台</w:t>
            </w:r>
          </w:p>
        </w:tc>
        <w:tc>
          <w:tcPr>
            <w:tcW w:w="3762" w:type="pct"/>
            <w:vMerge w:val="restart"/>
            <w:tcBorders>
              <w:top w:val="single" w:color="auto" w:sz="4" w:space="0"/>
              <w:left w:val="single" w:color="auto" w:sz="4" w:space="0"/>
              <w:right w:val="single" w:color="auto" w:sz="4" w:space="0"/>
              <w:tl2br w:val="nil"/>
              <w:tr2bl w:val="nil"/>
            </w:tcBorders>
            <w:vAlign w:val="center"/>
          </w:tcPr>
          <w:p w14:paraId="38A8921C">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智能日记账、应收应付、物品管理、费用报销、项目（合同）管理、工资管理、客户管理、工作周记、外部报表等</w:t>
            </w:r>
          </w:p>
        </w:tc>
      </w:tr>
      <w:tr w14:paraId="259D8E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12" w:hRule="atLeast"/>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E44159B">
            <w:pPr>
              <w:spacing w:line="320" w:lineRule="exact"/>
              <w:jc w:val="center"/>
            </w:pPr>
          </w:p>
        </w:tc>
        <w:tc>
          <w:tcPr>
            <w:tcW w:w="688"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12B314E1">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62" w:type="pct"/>
            <w:vMerge w:val="continue"/>
            <w:tcBorders>
              <w:left w:val="single" w:color="auto" w:sz="4" w:space="0"/>
              <w:bottom w:val="single" w:color="auto" w:sz="4" w:space="0"/>
              <w:right w:val="single" w:color="auto" w:sz="4" w:space="0"/>
              <w:tl2br w:val="nil"/>
              <w:tr2bl w:val="nil"/>
            </w:tcBorders>
            <w:vAlign w:val="center"/>
          </w:tcPr>
          <w:p w14:paraId="46359615">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p>
        </w:tc>
      </w:tr>
      <w:tr w14:paraId="54C4ADB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49"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2D30F5D9">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教师</w:t>
            </w:r>
          </w:p>
        </w:tc>
        <w:tc>
          <w:tcPr>
            <w:tcW w:w="688"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26CBB91C">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基本设置</w:t>
            </w: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50B5DB2A">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班级管理</w:t>
            </w:r>
          </w:p>
        </w:tc>
      </w:tr>
      <w:tr w14:paraId="50E312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39CDAD6">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5CACDB6B">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52BAC25D">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学生管理</w:t>
            </w:r>
          </w:p>
        </w:tc>
      </w:tr>
      <w:tr w14:paraId="59C15F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756" w:hRule="atLeast"/>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2895E931">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6D550083">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课程设置</w:t>
            </w: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64A86D6C">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课程资源管理：教师可自主上传教学文档、慕课视频、课后练习等（支持编辑器设置编程题答案）</w:t>
            </w:r>
          </w:p>
        </w:tc>
      </w:tr>
      <w:tr w14:paraId="485056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378A7F65">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2B01AD5B">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0FE38644">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案例资源管理：教师可自定义案例</w:t>
            </w:r>
          </w:p>
        </w:tc>
      </w:tr>
      <w:tr w14:paraId="1B0096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4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6D16CA5">
            <w:pPr>
              <w:spacing w:line="320" w:lineRule="exact"/>
              <w:jc w:val="center"/>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688" w:type="pct"/>
            <w:tcBorders>
              <w:top w:val="single" w:color="auto" w:sz="4" w:space="0"/>
              <w:left w:val="single" w:color="auto" w:sz="4" w:space="0"/>
              <w:bottom w:val="single" w:color="auto" w:sz="4" w:space="0"/>
              <w:right w:val="single" w:color="auto" w:sz="4" w:space="0"/>
              <w:tl2br w:val="nil"/>
              <w:tr2bl w:val="nil"/>
            </w:tcBorders>
            <w:vAlign w:val="center"/>
          </w:tcPr>
          <w:p w14:paraId="3A362D88">
            <w:pPr>
              <w:spacing w:line="320" w:lineRule="exact"/>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评价设置</w:t>
            </w:r>
          </w:p>
        </w:tc>
        <w:tc>
          <w:tcPr>
            <w:tcW w:w="3762" w:type="pct"/>
            <w:tcBorders>
              <w:top w:val="single" w:color="auto" w:sz="4" w:space="0"/>
              <w:left w:val="single" w:color="auto" w:sz="4" w:space="0"/>
              <w:bottom w:val="single" w:color="auto" w:sz="4" w:space="0"/>
              <w:right w:val="single" w:color="auto" w:sz="4" w:space="0"/>
              <w:tl2br w:val="nil"/>
              <w:tr2bl w:val="nil"/>
            </w:tcBorders>
            <w:vAlign w:val="center"/>
          </w:tcPr>
          <w:p w14:paraId="4C837AEF">
            <w:pPr>
              <w:spacing w:line="32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成绩管理</w:t>
            </w:r>
          </w:p>
        </w:tc>
      </w:tr>
    </w:tbl>
    <w:p w14:paraId="02EFB344"/>
    <w:p w14:paraId="33F73F37">
      <w:pPr>
        <w:pStyle w:val="4"/>
        <w:numPr>
          <w:ilvl w:val="3"/>
          <w:numId w:val="0"/>
        </w:numPr>
        <w:spacing w:line="360" w:lineRule="auto"/>
        <w:ind w:firstLine="482" w:firstLineChars="200"/>
        <w:rPr>
          <w:rFonts w:ascii="宋体" w:hAnsi="宋体" w:eastAsia="宋体" w:cs="宋体"/>
          <w:sz w:val="24"/>
          <w:szCs w:val="24"/>
        </w:rPr>
      </w:pPr>
      <w:r>
        <w:rPr>
          <w:rFonts w:hint="eastAsia" w:ascii="宋体" w:hAnsi="宋体" w:eastAsia="宋体" w:cs="宋体"/>
          <w:sz w:val="24"/>
          <w:szCs w:val="24"/>
        </w:rPr>
        <w:t>（6）</w:t>
      </w:r>
      <w:bookmarkEnd w:id="18"/>
      <w:r>
        <w:rPr>
          <w:rFonts w:hint="eastAsia" w:ascii="宋体" w:hAnsi="宋体" w:eastAsia="宋体" w:cs="宋体"/>
          <w:sz w:val="24"/>
          <w:szCs w:val="24"/>
        </w:rPr>
        <w:t>项目任务内容</w:t>
      </w:r>
    </w:p>
    <w:p w14:paraId="7EED8CA2">
      <w:pPr>
        <w:snapToGrid w:val="0"/>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需至少涵盖</w:t>
      </w:r>
      <w:r>
        <w:rPr>
          <w:rFonts w:hint="eastAsia" w:ascii="宋体" w:hAnsi="宋体" w:eastAsia="宋体" w:cs="宋体"/>
          <w:color w:val="000000" w:themeColor="text1"/>
          <w:sz w:val="24"/>
          <w:szCs w:val="24"/>
          <w14:textFill>
            <w14:solidFill>
              <w14:schemeClr w14:val="tx1"/>
            </w14:solidFill>
          </w14:textFill>
        </w:rPr>
        <w:t>Python基础</w:t>
      </w:r>
      <w:r>
        <w:rPr>
          <w:rFonts w:hint="eastAsia" w:ascii="宋体" w:hAnsi="宋体" w:eastAsia="宋体" w:cs="宋体"/>
          <w:sz w:val="24"/>
          <w:szCs w:val="24"/>
        </w:rPr>
        <w:t>、</w:t>
      </w:r>
      <w:r>
        <w:rPr>
          <w:rFonts w:hint="eastAsia" w:ascii="宋体" w:hAnsi="宋体" w:eastAsia="宋体" w:cs="宋体"/>
          <w:color w:val="000000" w:themeColor="text1"/>
          <w:sz w:val="24"/>
          <w:szCs w:val="24"/>
          <w14:textFill>
            <w14:solidFill>
              <w14:schemeClr w14:val="tx1"/>
            </w14:solidFill>
          </w14:textFill>
        </w:rPr>
        <w:t>数据获取（爬虫）</w:t>
      </w:r>
      <w:r>
        <w:rPr>
          <w:rFonts w:hint="eastAsia" w:ascii="宋体" w:hAnsi="宋体" w:eastAsia="宋体" w:cs="宋体"/>
          <w:sz w:val="24"/>
          <w:szCs w:val="24"/>
        </w:rPr>
        <w:t>、</w:t>
      </w:r>
      <w:r>
        <w:rPr>
          <w:rFonts w:hint="eastAsia" w:ascii="宋体" w:hAnsi="宋体" w:eastAsia="宋体" w:cs="宋体"/>
          <w:color w:val="000000" w:themeColor="text1"/>
          <w:sz w:val="24"/>
          <w:szCs w:val="24"/>
          <w14:textFill>
            <w14:solidFill>
              <w14:schemeClr w14:val="tx1"/>
            </w14:solidFill>
          </w14:textFill>
        </w:rPr>
        <w:t>数据处理（Pandas）</w:t>
      </w:r>
      <w:r>
        <w:rPr>
          <w:rFonts w:hint="eastAsia" w:ascii="宋体" w:hAnsi="宋体" w:eastAsia="宋体" w:cs="宋体"/>
          <w:sz w:val="24"/>
          <w:szCs w:val="24"/>
        </w:rPr>
        <w:t>、</w:t>
      </w:r>
      <w:r>
        <w:rPr>
          <w:rFonts w:hint="eastAsia" w:ascii="宋体" w:hAnsi="宋体" w:eastAsia="宋体" w:cs="宋体"/>
          <w:color w:val="000000" w:themeColor="text1"/>
          <w:sz w:val="24"/>
          <w:szCs w:val="24"/>
          <w14:textFill>
            <w14:solidFill>
              <w14:schemeClr w14:val="tx1"/>
            </w14:solidFill>
          </w14:textFill>
        </w:rPr>
        <w:t>数据可视化（Matplotlib&amp;Pyecharts）</w:t>
      </w:r>
      <w:r>
        <w:rPr>
          <w:rFonts w:hint="eastAsia" w:ascii="宋体" w:hAnsi="宋体" w:eastAsia="宋体" w:cs="宋体"/>
          <w:sz w:val="24"/>
          <w:szCs w:val="24"/>
        </w:rPr>
        <w:t>、</w:t>
      </w:r>
      <w:r>
        <w:rPr>
          <w:rFonts w:hint="eastAsia" w:ascii="宋体" w:hAnsi="宋体" w:eastAsia="宋体" w:cs="宋体"/>
          <w:color w:val="000000" w:themeColor="text1"/>
          <w:sz w:val="24"/>
          <w:szCs w:val="24"/>
          <w14:textFill>
            <w14:solidFill>
              <w14:schemeClr w14:val="tx1"/>
            </w14:solidFill>
          </w14:textFill>
        </w:rPr>
        <w:t>实战演练、Python拓展应用</w:t>
      </w:r>
      <w:r>
        <w:rPr>
          <w:rFonts w:hint="eastAsia" w:ascii="宋体" w:hAnsi="宋体" w:eastAsia="宋体" w:cs="宋体"/>
          <w:sz w:val="24"/>
          <w:szCs w:val="24"/>
        </w:rPr>
        <w:t>等项目，并包含不少于30个任务内容</w:t>
      </w:r>
      <w:bookmarkEnd w:id="16"/>
    </w:p>
    <w:p w14:paraId="7DFCB2BF">
      <w:pPr>
        <w:snapToGrid w:val="0"/>
        <w:spacing w:line="360" w:lineRule="auto"/>
        <w:ind w:firstLine="482" w:firstLineChars="200"/>
        <w:contextualSpacing/>
        <w:rPr>
          <w:rFonts w:ascii="宋体" w:hAnsi="宋体" w:eastAsia="宋体" w:cs="宋体"/>
          <w:sz w:val="24"/>
          <w:szCs w:val="24"/>
        </w:rPr>
      </w:pPr>
      <w:r>
        <w:rPr>
          <w:rFonts w:hint="eastAsia" w:ascii="宋体" w:hAnsi="宋体" w:eastAsia="宋体" w:cs="宋体"/>
          <w:b/>
          <w:bCs/>
          <w:sz w:val="24"/>
          <w:szCs w:val="24"/>
        </w:rPr>
        <w:t>3.AI数智财务智能体实战平台</w:t>
      </w:r>
    </w:p>
    <w:p w14:paraId="6CAFE6C7">
      <w:pPr>
        <w:snapToGrid w:val="0"/>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要求专注于财务核心领域智能体开发，以“低代码AI实训平台+真实企业财务场景”为核心，覆盖财务会计、业务会计、财务分析、税务管理、管理会计等关键领域，融入丰富财会案例与实操训练，学生可通过平台完成票据识别、财报分析、个税分析、现金流预测、报销审核、合同管理等业务的智能体开发，构建数据驱动思维，系统掌握大模型交互、工作流设计、知识库构建与工具调用的通用方法框架，学会运用AI智能体解决复杂财务问题，从而为未来的专业实践打下坚实基础。</w:t>
      </w:r>
    </w:p>
    <w:p w14:paraId="18CA692B">
      <w:pPr>
        <w:pStyle w:val="4"/>
        <w:numPr>
          <w:ilvl w:val="3"/>
          <w:numId w:val="0"/>
        </w:numPr>
        <w:spacing w:line="360" w:lineRule="auto"/>
        <w:ind w:firstLine="482" w:firstLineChars="200"/>
        <w:rPr>
          <w:rFonts w:ascii="宋体" w:hAnsi="宋体" w:eastAsia="宋体" w:cs="宋体"/>
          <w:sz w:val="24"/>
          <w:szCs w:val="24"/>
        </w:rPr>
      </w:pPr>
      <w:r>
        <w:rPr>
          <w:rFonts w:hint="eastAsia" w:ascii="宋体" w:hAnsi="宋体" w:eastAsia="宋体" w:cs="宋体"/>
          <w:sz w:val="24"/>
          <w:szCs w:val="24"/>
        </w:rPr>
        <w:t>（1）锚定财务领域核心需求，构建“AI+财务”教学体系</w:t>
      </w:r>
    </w:p>
    <w:p w14:paraId="316D5AB6">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要求聚焦财务专业场景，紧扣财务会计（票据识别、报销审核）、业务会计（合同审查、应收账龄分析）、财务分析（资产负债表分析、利润表分析、现金流量表分析、企业战略分析、企业偿债能力分析、企业盈利能力分析）、税务管理（个税分析、税务预警）、管理会计（现金流预测、项目投资评估）等核心领域，将智能体开发与企业财务真实业务模块深度绑定，打造从理论到实操的“AI+财务”全链路教学。</w:t>
      </w:r>
    </w:p>
    <w:p w14:paraId="5C4EE424">
      <w:pPr>
        <w:pStyle w:val="4"/>
        <w:numPr>
          <w:ilvl w:val="3"/>
          <w:numId w:val="0"/>
        </w:numPr>
        <w:spacing w:line="360" w:lineRule="auto"/>
        <w:ind w:firstLine="482" w:firstLineChars="200"/>
        <w:rPr>
          <w:rFonts w:ascii="宋体" w:hAnsi="宋体" w:eastAsia="宋体" w:cs="宋体"/>
          <w:sz w:val="24"/>
          <w:szCs w:val="24"/>
        </w:rPr>
      </w:pPr>
      <w:r>
        <w:rPr>
          <w:rFonts w:hint="eastAsia" w:ascii="宋体" w:hAnsi="宋体" w:eastAsia="宋体" w:cs="宋体"/>
          <w:sz w:val="24"/>
          <w:szCs w:val="24"/>
        </w:rPr>
        <w:t>（2）以低代码实战为核心，聚焦AI财务问题解决能力转化</w:t>
      </w:r>
    </w:p>
    <w:p w14:paraId="62A1F86E">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AI数智财务实践平台以“低代码AI实训平台”为载体，重点学习“如何运用AI解决实际财务痛点”，掌握大模型交互、工作流设计、知识库构建等，学会不同财务场景AI智能体开发，快速打通“AI技术”与“财务业务”的应用壁垒。</w:t>
      </w:r>
    </w:p>
    <w:p w14:paraId="0422FE2C">
      <w:pPr>
        <w:pStyle w:val="4"/>
        <w:numPr>
          <w:ilvl w:val="3"/>
          <w:numId w:val="0"/>
        </w:numPr>
        <w:spacing w:line="360" w:lineRule="auto"/>
        <w:ind w:firstLine="482" w:firstLineChars="200"/>
        <w:rPr>
          <w:rFonts w:ascii="宋体" w:hAnsi="宋体" w:eastAsia="宋体" w:cs="宋体"/>
          <w:sz w:val="24"/>
          <w:szCs w:val="24"/>
        </w:rPr>
      </w:pPr>
      <w:r>
        <w:rPr>
          <w:rFonts w:hint="eastAsia" w:ascii="宋体" w:hAnsi="宋体" w:eastAsia="宋体" w:cs="宋体"/>
          <w:sz w:val="24"/>
          <w:szCs w:val="24"/>
        </w:rPr>
        <w:t>（3）贴合企业真实业务场景，打造定制化AI智能体开发</w:t>
      </w:r>
    </w:p>
    <w:p w14:paraId="3D189C03">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要求从“企业具体业务场景”出发，提供具体企业的财务制度、业务流程与行业政策，如开发“合同审查智能体”时，提供目标企业的审批标准与风险管控规则；构建“现金流预测智能体”时，融合目标企业的资金计划与收付款业务规则。通过“场景化、定制化”开发教学，让学生学会根据企业实际需求定制化财务AI智能体，为毕业后适配多元化企业财务数智化场景奠定坚实基础。</w:t>
      </w:r>
    </w:p>
    <w:p w14:paraId="1164CD54">
      <w:pPr>
        <w:pStyle w:val="4"/>
        <w:pageBreakBefore w:val="0"/>
        <w:widowControl w:val="0"/>
        <w:numPr>
          <w:ilvl w:val="3"/>
          <w:numId w:val="0"/>
        </w:numPr>
        <w:kinsoku/>
        <w:wordWrap/>
        <w:overflowPunct/>
        <w:topLinePunct w:val="0"/>
        <w:autoSpaceDE/>
        <w:autoSpaceDN/>
        <w:bidi w:val="0"/>
        <w:adjustRightInd/>
        <w:snapToGrid/>
        <w:spacing w:line="360" w:lineRule="auto"/>
        <w:ind w:firstLine="482" w:firstLineChars="200"/>
        <w:textAlignment w:val="auto"/>
        <w:rPr>
          <w:rFonts w:ascii="宋体" w:hAnsi="宋体" w:eastAsia="宋体" w:cs="宋体"/>
          <w:sz w:val="24"/>
          <w:szCs w:val="24"/>
        </w:rPr>
      </w:pPr>
      <w:r>
        <w:rPr>
          <w:rFonts w:hint="eastAsia" w:ascii="宋体" w:hAnsi="宋体" w:eastAsia="宋体" w:cs="宋体"/>
          <w:sz w:val="24"/>
          <w:szCs w:val="24"/>
        </w:rPr>
        <w:t>（4）智能体开发成果可展示</w:t>
      </w:r>
    </w:p>
    <w:p w14:paraId="5BB413D6">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hint="eastAsia" w:ascii="宋体" w:hAnsi="宋体" w:eastAsia="宋体" w:cs="宋体"/>
          <w:sz w:val="24"/>
          <w:szCs w:val="24"/>
        </w:rPr>
        <w:t>要求打破传统学习成果的单一呈现模式，将学生核心学习成果沉淀为可演示、可验证的智能财务应用作品集，可择优收录优秀作品进行展示，让抽象能力转化为具象化证明，生动呈现“AI+财务”教学成效。</w:t>
      </w:r>
    </w:p>
    <w:p w14:paraId="23E2D09D">
      <w:pPr>
        <w:pStyle w:val="4"/>
        <w:pageBreakBefore w:val="0"/>
        <w:widowControl w:val="0"/>
        <w:numPr>
          <w:ilvl w:val="3"/>
          <w:numId w:val="0"/>
        </w:numPr>
        <w:kinsoku/>
        <w:wordWrap/>
        <w:overflowPunct/>
        <w:topLinePunct w:val="0"/>
        <w:autoSpaceDE/>
        <w:autoSpaceDN/>
        <w:bidi w:val="0"/>
        <w:adjustRightInd/>
        <w:snapToGrid/>
        <w:spacing w:line="360" w:lineRule="auto"/>
        <w:ind w:firstLine="482" w:firstLineChars="200"/>
        <w:textAlignment w:val="auto"/>
        <w:rPr>
          <w:rFonts w:ascii="宋体" w:hAnsi="宋体" w:eastAsia="宋体" w:cs="宋体"/>
          <w:sz w:val="24"/>
          <w:szCs w:val="24"/>
        </w:rPr>
      </w:pPr>
      <w:r>
        <w:rPr>
          <w:rFonts w:hint="eastAsia" w:ascii="宋体" w:hAnsi="宋体" w:eastAsia="宋体" w:cs="宋体"/>
          <w:sz w:val="24"/>
          <w:szCs w:val="24"/>
        </w:rPr>
        <w:t>（5）功能需求列表</w:t>
      </w:r>
    </w:p>
    <w:tbl>
      <w:tblPr>
        <w:tblStyle w:val="12"/>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autofit"/>
        <w:tblCellMar>
          <w:top w:w="0" w:type="dxa"/>
          <w:left w:w="108" w:type="dxa"/>
          <w:bottom w:w="0" w:type="dxa"/>
          <w:right w:w="108" w:type="dxa"/>
        </w:tblCellMar>
      </w:tblPr>
      <w:tblGrid>
        <w:gridCol w:w="1043"/>
        <w:gridCol w:w="1288"/>
        <w:gridCol w:w="1091"/>
        <w:gridCol w:w="5581"/>
      </w:tblGrid>
      <w:tr w14:paraId="68E95C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5" w:hRule="atLeast"/>
          <w:jc w:val="center"/>
        </w:trPr>
        <w:tc>
          <w:tcPr>
            <w:tcW w:w="579" w:type="pct"/>
            <w:tcBorders>
              <w:top w:val="single" w:color="auto" w:sz="4" w:space="0"/>
              <w:left w:val="single" w:color="auto" w:sz="4" w:space="0"/>
              <w:bottom w:val="single" w:color="auto" w:sz="4" w:space="0"/>
              <w:right w:val="single" w:color="auto" w:sz="4" w:space="0"/>
              <w:tl2br w:val="nil"/>
            </w:tcBorders>
            <w:vAlign w:val="center"/>
          </w:tcPr>
          <w:p w14:paraId="3E2A3264">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使用者</w:t>
            </w:r>
          </w:p>
        </w:tc>
        <w:tc>
          <w:tcPr>
            <w:tcW w:w="715" w:type="pct"/>
            <w:tcBorders>
              <w:top w:val="single" w:color="auto" w:sz="4" w:space="0"/>
              <w:left w:val="single" w:color="auto" w:sz="4" w:space="0"/>
              <w:bottom w:val="single" w:color="auto" w:sz="4" w:space="0"/>
              <w:right w:val="single" w:color="auto" w:sz="4" w:space="0"/>
            </w:tcBorders>
            <w:vAlign w:val="center"/>
          </w:tcPr>
          <w:p w14:paraId="1D014931">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项目</w:t>
            </w:r>
          </w:p>
        </w:tc>
        <w:tc>
          <w:tcPr>
            <w:tcW w:w="3705" w:type="pct"/>
            <w:gridSpan w:val="2"/>
            <w:tcBorders>
              <w:top w:val="single" w:color="auto" w:sz="4" w:space="0"/>
              <w:left w:val="single" w:color="auto" w:sz="4" w:space="0"/>
              <w:bottom w:val="single" w:color="auto" w:sz="4" w:space="0"/>
              <w:right w:val="single" w:color="auto" w:sz="4" w:space="0"/>
            </w:tcBorders>
            <w:vAlign w:val="center"/>
          </w:tcPr>
          <w:p w14:paraId="31A56469">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具体功能</w:t>
            </w:r>
          </w:p>
        </w:tc>
      </w:tr>
      <w:tr w14:paraId="777E605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48" w:hRule="atLeast"/>
          <w:jc w:val="center"/>
        </w:trPr>
        <w:tc>
          <w:tcPr>
            <w:tcW w:w="579" w:type="pct"/>
            <w:vMerge w:val="restart"/>
            <w:tcBorders>
              <w:top w:val="single" w:color="auto" w:sz="4" w:space="0"/>
              <w:left w:val="single" w:color="auto" w:sz="4" w:space="0"/>
              <w:right w:val="single" w:color="auto" w:sz="4" w:space="0"/>
              <w:tl2br w:val="nil"/>
              <w:tr2bl w:val="nil"/>
            </w:tcBorders>
            <w:vAlign w:val="center"/>
          </w:tcPr>
          <w:p w14:paraId="28C7B4E9">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学生</w:t>
            </w:r>
          </w:p>
        </w:tc>
        <w:tc>
          <w:tcPr>
            <w:tcW w:w="715" w:type="pct"/>
            <w:vMerge w:val="restart"/>
            <w:tcBorders>
              <w:top w:val="single" w:color="auto" w:sz="4" w:space="0"/>
              <w:left w:val="single" w:color="auto" w:sz="4" w:space="0"/>
              <w:right w:val="single" w:color="auto" w:sz="4" w:space="0"/>
              <w:tl2br w:val="nil"/>
              <w:tr2bl w:val="nil"/>
            </w:tcBorders>
            <w:vAlign w:val="center"/>
          </w:tcPr>
          <w:p w14:paraId="6F0CB316">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智能体构建与对话模块</w:t>
            </w:r>
          </w:p>
        </w:tc>
        <w:tc>
          <w:tcPr>
            <w:tcW w:w="3705"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7B8EA64A">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角色与指令配置：支持开发者定义智能体角色身份及核心指令，确保智能体行为与预设目标一致，角色模拟准确率高。</w:t>
            </w:r>
          </w:p>
        </w:tc>
      </w:tr>
      <w:tr w14:paraId="405B45E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48" w:hRule="atLeast"/>
          <w:jc w:val="center"/>
        </w:trPr>
        <w:tc>
          <w:tcPr>
            <w:tcW w:w="579" w:type="pct"/>
            <w:vMerge w:val="continue"/>
            <w:tcBorders>
              <w:left w:val="single" w:color="auto" w:sz="4" w:space="0"/>
              <w:right w:val="single" w:color="auto" w:sz="4" w:space="0"/>
              <w:tl2br w:val="nil"/>
              <w:tr2bl w:val="nil"/>
            </w:tcBorders>
            <w:vAlign w:val="center"/>
          </w:tcPr>
          <w:p w14:paraId="316B484D">
            <w:pPr>
              <w:pageBreakBefore w:val="0"/>
              <w:widowControl w:val="0"/>
              <w:kinsoku/>
              <w:wordWrap/>
              <w:overflowPunct/>
              <w:topLinePunct w:val="0"/>
              <w:autoSpaceDE/>
              <w:autoSpaceDN/>
              <w:bidi w:val="0"/>
              <w:adjustRightInd/>
              <w:snapToGrid/>
              <w:spacing w:line="300" w:lineRule="exact"/>
              <w:textAlignment w:val="auto"/>
            </w:pPr>
          </w:p>
        </w:tc>
        <w:tc>
          <w:tcPr>
            <w:tcW w:w="715" w:type="pct"/>
            <w:vMerge w:val="continue"/>
            <w:tcBorders>
              <w:left w:val="single" w:color="auto" w:sz="4" w:space="0"/>
              <w:right w:val="single" w:color="auto" w:sz="4" w:space="0"/>
              <w:tl2br w:val="nil"/>
              <w:tr2bl w:val="nil"/>
            </w:tcBorders>
            <w:vAlign w:val="center"/>
          </w:tcPr>
          <w:p w14:paraId="7301DF1C">
            <w:pPr>
              <w:pageBreakBefore w:val="0"/>
              <w:widowControl w:val="0"/>
              <w:kinsoku/>
              <w:wordWrap/>
              <w:overflowPunct/>
              <w:topLinePunct w:val="0"/>
              <w:autoSpaceDE/>
              <w:autoSpaceDN/>
              <w:bidi w:val="0"/>
              <w:adjustRightInd/>
              <w:snapToGrid/>
              <w:spacing w:line="300" w:lineRule="exact"/>
              <w:textAlignment w:val="auto"/>
            </w:pPr>
          </w:p>
        </w:tc>
        <w:tc>
          <w:tcPr>
            <w:tcW w:w="3705"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78C48D0D">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上下文增强对话：智能体需能记忆并理解长对话上下文，实现多轮连贯对话，可主动澄清模糊问题。</w:t>
            </w:r>
          </w:p>
        </w:tc>
      </w:tr>
      <w:tr w14:paraId="7E8BEA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48" w:hRule="atLeast"/>
          <w:jc w:val="center"/>
        </w:trPr>
        <w:tc>
          <w:tcPr>
            <w:tcW w:w="579" w:type="pct"/>
            <w:vMerge w:val="continue"/>
            <w:tcBorders>
              <w:left w:val="single" w:color="auto" w:sz="4" w:space="0"/>
              <w:right w:val="single" w:color="auto" w:sz="4" w:space="0"/>
              <w:tl2br w:val="nil"/>
              <w:tr2bl w:val="nil"/>
            </w:tcBorders>
            <w:vAlign w:val="center"/>
          </w:tcPr>
          <w:p w14:paraId="1F257F64">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715" w:type="pct"/>
            <w:vMerge w:val="continue"/>
            <w:tcBorders>
              <w:left w:val="single" w:color="auto" w:sz="4" w:space="0"/>
              <w:right w:val="single" w:color="auto" w:sz="4" w:space="0"/>
              <w:tl2br w:val="nil"/>
              <w:tr2bl w:val="nil"/>
            </w:tcBorders>
            <w:vAlign w:val="center"/>
          </w:tcPr>
          <w:p w14:paraId="3CF364E7">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05"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699E3178">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关联知识库：支持为智能体绑定私有知识库，回答问题时优先基于绑定的专业知识响应。</w:t>
            </w:r>
          </w:p>
        </w:tc>
      </w:tr>
      <w:tr w14:paraId="5940C26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48" w:hRule="atLeast"/>
          <w:jc w:val="center"/>
        </w:trPr>
        <w:tc>
          <w:tcPr>
            <w:tcW w:w="579" w:type="pct"/>
            <w:vMerge w:val="continue"/>
            <w:tcBorders>
              <w:left w:val="single" w:color="auto" w:sz="4" w:space="0"/>
              <w:bottom w:val="single" w:color="auto" w:sz="4" w:space="0"/>
              <w:right w:val="single" w:color="auto" w:sz="4" w:space="0"/>
              <w:tl2br w:val="nil"/>
              <w:tr2bl w:val="nil"/>
            </w:tcBorders>
            <w:vAlign w:val="center"/>
          </w:tcPr>
          <w:p w14:paraId="241A16D1">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715" w:type="pct"/>
            <w:vMerge w:val="continue"/>
            <w:tcBorders>
              <w:left w:val="single" w:color="auto" w:sz="4" w:space="0"/>
              <w:bottom w:val="single" w:color="auto" w:sz="4" w:space="0"/>
              <w:right w:val="single" w:color="auto" w:sz="4" w:space="0"/>
              <w:tl2br w:val="nil"/>
              <w:tr2bl w:val="nil"/>
            </w:tcBorders>
            <w:vAlign w:val="center"/>
          </w:tcPr>
          <w:p w14:paraId="7556776C">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05"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2BA51B76">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多模型灵活切换：支持无缝切换后端大语言模型，可根据成本、性能、场景需求为不同智能体选择适配模型。</w:t>
            </w:r>
          </w:p>
        </w:tc>
      </w:tr>
      <w:tr w14:paraId="3D14CE8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209C5ACC">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715"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0B4DF782">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知识库与RAG引擎模块</w:t>
            </w:r>
          </w:p>
        </w:tc>
        <w:tc>
          <w:tcPr>
            <w:tcW w:w="3705"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1C95F61C">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多格式文档上传：支持上传TXT、PDF、PPT、Word、Excel等格式文档，支持直接录入文本及通过URL抓取网页内容，文档解析兼容性强。</w:t>
            </w:r>
          </w:p>
        </w:tc>
      </w:tr>
      <w:tr w14:paraId="5750D8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6AFE6073">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715"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778AAEC8">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05"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47ABA780">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可配置的检索策略：支持灵活配置检索模式（全文检索、向量检索、混合检索）、返回内容条数及相似度阈值。</w:t>
            </w:r>
          </w:p>
        </w:tc>
      </w:tr>
      <w:tr w14:paraId="56C060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105" w:hRule="atLeast"/>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3B69FE16">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715"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3638231C">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05"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53328EBB">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命中测试与优化：提供知识库命中测试工具，支持开发者验证检索效果，可根据测试结果优化分段策略及检索参数，支持知识召回率与准确率量化评估。</w:t>
            </w:r>
          </w:p>
        </w:tc>
      </w:tr>
      <w:tr w14:paraId="1BF1C3E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81DBACC">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715"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71648AE3">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工作流与逻辑编排模块</w:t>
            </w:r>
          </w:p>
        </w:tc>
        <w:tc>
          <w:tcPr>
            <w:tcW w:w="3705"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312E4CD4">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可视化节点编排：提供代码节点、条件判断节点、知识库检索节点等功能节点，支持构建完整业务流程。</w:t>
            </w:r>
          </w:p>
        </w:tc>
      </w:tr>
      <w:tr w14:paraId="1436657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28D5AB70">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715"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61A7473C">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05"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27DF077B">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条件分支与循环：支持基于条件判断实现流程分支，可配置循环逻辑，处理列表类数据及复杂业务判断、自动化任务。</w:t>
            </w:r>
          </w:p>
        </w:tc>
      </w:tr>
      <w:tr w14:paraId="210C92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7550550D">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715"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5A8A9F97">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05"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2FDE6A23">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流程调试与日志：内置流程调试及执行日志查看功能，可清晰查看每一步输入输出。</w:t>
            </w:r>
          </w:p>
        </w:tc>
      </w:tr>
      <w:tr w14:paraId="13751BA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64" w:hRule="atLeast"/>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263A845D">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715"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8768AF2">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05"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2856F2B1">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插件与工具扩展模块：支持插件系统，可拓展智能体能力边界，实现网页搜索、图片生成等操作。</w:t>
            </w:r>
          </w:p>
        </w:tc>
      </w:tr>
      <w:tr w14:paraId="09AB10C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27" w:hRule="atLeast"/>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7DA41DFC">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715"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64A0691F">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AIGC智教平台</w:t>
            </w:r>
          </w:p>
        </w:tc>
        <w:tc>
          <w:tcPr>
            <w:tcW w:w="606" w:type="pct"/>
            <w:tcBorders>
              <w:top w:val="single" w:color="auto" w:sz="4" w:space="0"/>
              <w:left w:val="single" w:color="auto" w:sz="4" w:space="0"/>
              <w:bottom w:val="single" w:color="auto" w:sz="4" w:space="0"/>
              <w:right w:val="single" w:color="auto" w:sz="4" w:space="0"/>
              <w:tl2br w:val="nil"/>
              <w:tr2bl w:val="nil"/>
            </w:tcBorders>
            <w:vAlign w:val="center"/>
          </w:tcPr>
          <w:p w14:paraId="53C89E36">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智能问答</w:t>
            </w:r>
          </w:p>
        </w:tc>
        <w:tc>
          <w:tcPr>
            <w:tcW w:w="3099" w:type="pct"/>
            <w:tcBorders>
              <w:top w:val="single" w:color="auto" w:sz="4" w:space="0"/>
              <w:left w:val="single" w:color="auto" w:sz="4" w:space="0"/>
              <w:bottom w:val="single" w:color="auto" w:sz="4" w:space="0"/>
              <w:right w:val="single" w:color="auto" w:sz="4" w:space="0"/>
              <w:tl2br w:val="nil"/>
              <w:tr2bl w:val="nil"/>
            </w:tcBorders>
            <w:vAlign w:val="center"/>
          </w:tcPr>
          <w:p w14:paraId="2EA50991">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接入KIMI、智谱AI、DEEPSEEK等知名的AI大模型，包含Python答题助手、平台操作助手等多个AI智能体。</w:t>
            </w:r>
          </w:p>
        </w:tc>
      </w:tr>
      <w:tr w14:paraId="6E499B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53" w:hRule="atLeast"/>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7414510C">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715"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2BC903D1">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606" w:type="pct"/>
            <w:tcBorders>
              <w:top w:val="single" w:color="auto" w:sz="4" w:space="0"/>
              <w:left w:val="single" w:color="auto" w:sz="4" w:space="0"/>
              <w:bottom w:val="single" w:color="auto" w:sz="4" w:space="0"/>
              <w:right w:val="single" w:color="auto" w:sz="4" w:space="0"/>
              <w:tl2br w:val="nil"/>
              <w:tr2bl w:val="nil"/>
            </w:tcBorders>
            <w:vAlign w:val="center"/>
          </w:tcPr>
          <w:p w14:paraId="686CD377">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课程设计</w:t>
            </w:r>
          </w:p>
        </w:tc>
        <w:tc>
          <w:tcPr>
            <w:tcW w:w="3099" w:type="pct"/>
            <w:tcBorders>
              <w:top w:val="single" w:color="auto" w:sz="4" w:space="0"/>
              <w:left w:val="single" w:color="auto" w:sz="4" w:space="0"/>
              <w:bottom w:val="single" w:color="auto" w:sz="4" w:space="0"/>
              <w:right w:val="single" w:color="auto" w:sz="4" w:space="0"/>
              <w:tl2br w:val="nil"/>
              <w:tr2bl w:val="nil"/>
            </w:tcBorders>
            <w:vAlign w:val="center"/>
          </w:tcPr>
          <w:p w14:paraId="4A6C3EAD">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可根据课程的名称及课程定位需求，通过AI大模型智能生成课程设计内容。</w:t>
            </w:r>
          </w:p>
        </w:tc>
      </w:tr>
      <w:tr w14:paraId="3364EB4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3" w:hRule="atLeast"/>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78135E9E">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715"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2C7F93A8">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606" w:type="pct"/>
            <w:tcBorders>
              <w:top w:val="single" w:color="auto" w:sz="4" w:space="0"/>
              <w:left w:val="single" w:color="auto" w:sz="4" w:space="0"/>
              <w:bottom w:val="single" w:color="auto" w:sz="4" w:space="0"/>
              <w:right w:val="single" w:color="auto" w:sz="4" w:space="0"/>
              <w:tl2br w:val="nil"/>
              <w:tr2bl w:val="nil"/>
            </w:tcBorders>
            <w:vAlign w:val="center"/>
          </w:tcPr>
          <w:p w14:paraId="3A3570D1">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大纲设计</w:t>
            </w:r>
          </w:p>
        </w:tc>
        <w:tc>
          <w:tcPr>
            <w:tcW w:w="3099" w:type="pct"/>
            <w:tcBorders>
              <w:top w:val="single" w:color="auto" w:sz="4" w:space="0"/>
              <w:left w:val="single" w:color="auto" w:sz="4" w:space="0"/>
              <w:bottom w:val="single" w:color="auto" w:sz="4" w:space="0"/>
              <w:right w:val="single" w:color="auto" w:sz="4" w:space="0"/>
              <w:tl2br w:val="nil"/>
              <w:tr2bl w:val="nil"/>
            </w:tcBorders>
            <w:vAlign w:val="center"/>
          </w:tcPr>
          <w:p w14:paraId="0CE46DD9">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可根据课程及相关要求，通过AI大模型智能生成教学大纲。</w:t>
            </w:r>
          </w:p>
        </w:tc>
      </w:tr>
      <w:tr w14:paraId="0AE7C1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27" w:hRule="atLeast"/>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22F2699B">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715"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32D5EC49">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606" w:type="pct"/>
            <w:tcBorders>
              <w:top w:val="single" w:color="auto" w:sz="4" w:space="0"/>
              <w:left w:val="single" w:color="auto" w:sz="4" w:space="0"/>
              <w:bottom w:val="single" w:color="auto" w:sz="4" w:space="0"/>
              <w:right w:val="single" w:color="auto" w:sz="4" w:space="0"/>
              <w:tl2br w:val="nil"/>
              <w:tr2bl w:val="nil"/>
            </w:tcBorders>
            <w:vAlign w:val="center"/>
          </w:tcPr>
          <w:p w14:paraId="6445F2A6">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智能出题</w:t>
            </w:r>
          </w:p>
        </w:tc>
        <w:tc>
          <w:tcPr>
            <w:tcW w:w="3099" w:type="pct"/>
            <w:tcBorders>
              <w:top w:val="single" w:color="auto" w:sz="4" w:space="0"/>
              <w:left w:val="single" w:color="auto" w:sz="4" w:space="0"/>
              <w:bottom w:val="single" w:color="auto" w:sz="4" w:space="0"/>
              <w:right w:val="single" w:color="auto" w:sz="4" w:space="0"/>
              <w:tl2br w:val="nil"/>
              <w:tr2bl w:val="nil"/>
            </w:tcBorders>
            <w:vAlign w:val="center"/>
          </w:tcPr>
          <w:p w14:paraId="546AC5B9">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可根据课程或者知识点、题目难度、数量等出题要求，通过AI大模型按照要求生成单选、多选、判断、填空、简答及计算等题型。</w:t>
            </w:r>
          </w:p>
        </w:tc>
      </w:tr>
      <w:tr w14:paraId="270503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65" w:hRule="atLeast"/>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2BF2B6FE">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715"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529BBBB">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606" w:type="pct"/>
            <w:tcBorders>
              <w:top w:val="single" w:color="auto" w:sz="4" w:space="0"/>
              <w:left w:val="single" w:color="auto" w:sz="4" w:space="0"/>
              <w:bottom w:val="single" w:color="auto" w:sz="4" w:space="0"/>
              <w:right w:val="single" w:color="auto" w:sz="4" w:space="0"/>
              <w:tl2br w:val="nil"/>
              <w:tr2bl w:val="nil"/>
            </w:tcBorders>
            <w:vAlign w:val="center"/>
          </w:tcPr>
          <w:p w14:paraId="5A874B34">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PPT生成</w:t>
            </w:r>
          </w:p>
        </w:tc>
        <w:tc>
          <w:tcPr>
            <w:tcW w:w="3099" w:type="pct"/>
            <w:tcBorders>
              <w:top w:val="single" w:color="auto" w:sz="4" w:space="0"/>
              <w:left w:val="single" w:color="auto" w:sz="4" w:space="0"/>
              <w:bottom w:val="single" w:color="auto" w:sz="4" w:space="0"/>
              <w:right w:val="single" w:color="auto" w:sz="4" w:space="0"/>
              <w:tl2br w:val="nil"/>
              <w:tr2bl w:val="nil"/>
            </w:tcBorders>
            <w:vAlign w:val="center"/>
          </w:tcPr>
          <w:p w14:paraId="14EA01E7">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可根据PPT生成的内容要求，通过AI大模型生成PPT大纲，并自动生成PPT文件。</w:t>
            </w:r>
          </w:p>
        </w:tc>
      </w:tr>
      <w:tr w14:paraId="6E4E1D0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748" w:hRule="atLeast"/>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DEA2E13">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715"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05A95522">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课程思政资源库</w:t>
            </w:r>
          </w:p>
        </w:tc>
        <w:tc>
          <w:tcPr>
            <w:tcW w:w="606" w:type="pct"/>
            <w:tcBorders>
              <w:top w:val="single" w:color="auto" w:sz="4" w:space="0"/>
              <w:left w:val="single" w:color="auto" w:sz="4" w:space="0"/>
              <w:bottom w:val="single" w:color="auto" w:sz="4" w:space="0"/>
              <w:right w:val="single" w:color="auto" w:sz="4" w:space="0"/>
              <w:tl2br w:val="nil"/>
              <w:tr2bl w:val="nil"/>
            </w:tcBorders>
            <w:vAlign w:val="center"/>
          </w:tcPr>
          <w:p w14:paraId="648E70F1">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思政案例库</w:t>
            </w:r>
          </w:p>
        </w:tc>
        <w:tc>
          <w:tcPr>
            <w:tcW w:w="3099" w:type="pct"/>
            <w:tcBorders>
              <w:top w:val="single" w:color="auto" w:sz="4" w:space="0"/>
              <w:left w:val="single" w:color="auto" w:sz="4" w:space="0"/>
              <w:bottom w:val="single" w:color="auto" w:sz="4" w:space="0"/>
              <w:right w:val="single" w:color="auto" w:sz="4" w:space="0"/>
              <w:tl2br w:val="nil"/>
              <w:tr2bl w:val="nil"/>
            </w:tcBorders>
            <w:vAlign w:val="center"/>
          </w:tcPr>
          <w:p w14:paraId="72D4F0BD">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涵盖爱岗敬业、诚实守信、廉洁自律、法治精神等不少于10个核心主题，收录超过100个生动案例。</w:t>
            </w:r>
          </w:p>
        </w:tc>
      </w:tr>
      <w:tr w14:paraId="29D0415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12" w:hRule="atLeast"/>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EBABD55">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14:textFill>
                  <w14:solidFill>
                    <w14:schemeClr w14:val="tx1"/>
                  </w14:solidFill>
                </w14:textFill>
              </w:rPr>
            </w:pPr>
          </w:p>
        </w:tc>
        <w:tc>
          <w:tcPr>
            <w:tcW w:w="715"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65184C2D">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14:textFill>
                  <w14:solidFill>
                    <w14:schemeClr w14:val="tx1"/>
                  </w14:solidFill>
                </w14:textFill>
              </w:rPr>
            </w:pPr>
          </w:p>
        </w:tc>
        <w:tc>
          <w:tcPr>
            <w:tcW w:w="606" w:type="pct"/>
            <w:tcBorders>
              <w:top w:val="single" w:color="auto" w:sz="4" w:space="0"/>
              <w:left w:val="single" w:color="auto" w:sz="4" w:space="0"/>
              <w:bottom w:val="single" w:color="auto" w:sz="4" w:space="0"/>
              <w:right w:val="single" w:color="auto" w:sz="4" w:space="0"/>
              <w:tl2br w:val="nil"/>
              <w:tr2bl w:val="nil"/>
            </w:tcBorders>
            <w:vAlign w:val="center"/>
          </w:tcPr>
          <w:p w14:paraId="05452956">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思政专题库</w:t>
            </w:r>
          </w:p>
        </w:tc>
        <w:tc>
          <w:tcPr>
            <w:tcW w:w="3099" w:type="pct"/>
            <w:tcBorders>
              <w:top w:val="single" w:color="auto" w:sz="4" w:space="0"/>
              <w:left w:val="single" w:color="auto" w:sz="4" w:space="0"/>
              <w:bottom w:val="single" w:color="auto" w:sz="4" w:space="0"/>
              <w:right w:val="single" w:color="auto" w:sz="4" w:space="0"/>
              <w:tl2br w:val="nil"/>
              <w:tr2bl w:val="nil"/>
            </w:tcBorders>
            <w:vAlign w:val="center"/>
          </w:tcPr>
          <w:p w14:paraId="0C3D5950">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包含</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如</w:t>
            </w:r>
            <w:r>
              <w:rPr>
                <w:rFonts w:hint="eastAsia" w:asciiTheme="minorEastAsia" w:hAnsiTheme="minorEastAsia" w:eastAsiaTheme="minorEastAsia" w:cstheme="minorEastAsia"/>
                <w:color w:val="000000" w:themeColor="text1"/>
                <w:sz w:val="24"/>
                <w:szCs w:val="24"/>
                <w14:textFill>
                  <w14:solidFill>
                    <w14:schemeClr w14:val="tx1"/>
                  </w14:solidFill>
                </w14:textFill>
              </w:rPr>
              <w:t>“向总书记学习”“红色历史”“时代楷模”等不少于50个专题。</w:t>
            </w:r>
          </w:p>
        </w:tc>
      </w:tr>
      <w:tr w14:paraId="2670D7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12" w:hRule="atLeast"/>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6688074C">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14:textFill>
                  <w14:solidFill>
                    <w14:schemeClr w14:val="tx1"/>
                  </w14:solidFill>
                </w14:textFill>
              </w:rPr>
            </w:pPr>
          </w:p>
        </w:tc>
        <w:tc>
          <w:tcPr>
            <w:tcW w:w="715"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4F8EEAE">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14:textFill>
                  <w14:solidFill>
                    <w14:schemeClr w14:val="tx1"/>
                  </w14:solidFill>
                </w14:textFill>
              </w:rPr>
            </w:pPr>
          </w:p>
        </w:tc>
        <w:tc>
          <w:tcPr>
            <w:tcW w:w="606" w:type="pct"/>
            <w:tcBorders>
              <w:top w:val="single" w:color="auto" w:sz="4" w:space="0"/>
              <w:left w:val="single" w:color="auto" w:sz="4" w:space="0"/>
              <w:bottom w:val="single" w:color="auto" w:sz="4" w:space="0"/>
              <w:right w:val="single" w:color="auto" w:sz="4" w:space="0"/>
              <w:tl2br w:val="nil"/>
              <w:tr2bl w:val="nil"/>
            </w:tcBorders>
            <w:vAlign w:val="center"/>
          </w:tcPr>
          <w:p w14:paraId="09DEBE42">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思政元素库</w:t>
            </w:r>
          </w:p>
        </w:tc>
        <w:tc>
          <w:tcPr>
            <w:tcW w:w="3099" w:type="pct"/>
            <w:tcBorders>
              <w:top w:val="single" w:color="auto" w:sz="4" w:space="0"/>
              <w:left w:val="single" w:color="auto" w:sz="4" w:space="0"/>
              <w:bottom w:val="single" w:color="auto" w:sz="4" w:space="0"/>
              <w:right w:val="single" w:color="auto" w:sz="4" w:space="0"/>
              <w:tl2br w:val="nil"/>
              <w:tr2bl w:val="nil"/>
            </w:tcBorders>
            <w:vAlign w:val="center"/>
          </w:tcPr>
          <w:p w14:paraId="7D111125">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涵盖马克思主义基本观点与方法、社会主义核心价值观、乡村振兴等不少于250个元素案例。</w:t>
            </w:r>
          </w:p>
        </w:tc>
      </w:tr>
      <w:tr w14:paraId="499EBF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30" w:hRule="atLeast"/>
          <w:jc w:val="center"/>
        </w:trPr>
        <w:tc>
          <w:tcPr>
            <w:tcW w:w="579"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71BE740C">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教师</w:t>
            </w:r>
          </w:p>
        </w:tc>
        <w:tc>
          <w:tcPr>
            <w:tcW w:w="715"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1BB34958">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基本设置</w:t>
            </w:r>
          </w:p>
        </w:tc>
        <w:tc>
          <w:tcPr>
            <w:tcW w:w="3705"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10778408">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班级管理</w:t>
            </w:r>
          </w:p>
        </w:tc>
      </w:tr>
      <w:tr w14:paraId="1B1EDF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64" w:hRule="atLeast"/>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E5224C0">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715"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1D8E9537">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05"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1B44CE06">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学生管理</w:t>
            </w:r>
          </w:p>
        </w:tc>
      </w:tr>
      <w:tr w14:paraId="7CDEB10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68" w:hRule="atLeast"/>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27951663">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715"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46504EDD">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课程设置</w:t>
            </w:r>
          </w:p>
        </w:tc>
        <w:tc>
          <w:tcPr>
            <w:tcW w:w="3705"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7378F85A">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课程资源管理：教师可自主上传教学文档、慕课视频、课后练习等（支持编辑器设置编程题答案）</w:t>
            </w:r>
          </w:p>
        </w:tc>
      </w:tr>
      <w:tr w14:paraId="3E07822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47" w:hRule="atLeast"/>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F69726B">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715"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66D87906">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3705"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1296AE10">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案例资源管理：教师可自定义案例</w:t>
            </w:r>
          </w:p>
        </w:tc>
      </w:tr>
      <w:tr w14:paraId="652206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579"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175D8916">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bCs/>
                <w:color w:val="000000" w:themeColor="text1"/>
                <w:sz w:val="24"/>
                <w:szCs w:val="24"/>
                <w14:textFill>
                  <w14:solidFill>
                    <w14:schemeClr w14:val="tx1"/>
                  </w14:solidFill>
                </w14:textFill>
              </w:rPr>
            </w:pPr>
          </w:p>
        </w:tc>
        <w:tc>
          <w:tcPr>
            <w:tcW w:w="715" w:type="pct"/>
            <w:tcBorders>
              <w:top w:val="single" w:color="auto" w:sz="4" w:space="0"/>
              <w:left w:val="single" w:color="auto" w:sz="4" w:space="0"/>
              <w:bottom w:val="single" w:color="auto" w:sz="4" w:space="0"/>
              <w:right w:val="single" w:color="auto" w:sz="4" w:space="0"/>
              <w:tl2br w:val="nil"/>
              <w:tr2bl w:val="nil"/>
            </w:tcBorders>
            <w:vAlign w:val="center"/>
          </w:tcPr>
          <w:p w14:paraId="730BFC2F">
            <w:pPr>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评价设置</w:t>
            </w:r>
          </w:p>
        </w:tc>
        <w:tc>
          <w:tcPr>
            <w:tcW w:w="3705"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7FEA6E6D">
            <w:pPr>
              <w:pageBreakBefore w:val="0"/>
              <w:widowControl w:val="0"/>
              <w:kinsoku/>
              <w:wordWrap/>
              <w:overflowPunct/>
              <w:topLinePunct w:val="0"/>
              <w:autoSpaceDE/>
              <w:autoSpaceDN/>
              <w:bidi w:val="0"/>
              <w:adjustRightInd/>
              <w:snapToGrid/>
              <w:spacing w:line="300" w:lineRule="exact"/>
              <w:textAlignment w:val="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成绩管理</w:t>
            </w:r>
          </w:p>
        </w:tc>
      </w:tr>
    </w:tbl>
    <w:p w14:paraId="34E5F0E7">
      <w:pPr>
        <w:pStyle w:val="4"/>
        <w:pageBreakBefore w:val="0"/>
        <w:widowControl w:val="0"/>
        <w:numPr>
          <w:ilvl w:val="3"/>
          <w:numId w:val="0"/>
        </w:numPr>
        <w:kinsoku/>
        <w:wordWrap/>
        <w:overflowPunct/>
        <w:topLinePunct w:val="0"/>
        <w:autoSpaceDE/>
        <w:autoSpaceDN/>
        <w:bidi w:val="0"/>
        <w:adjustRightInd/>
        <w:snapToGrid/>
        <w:spacing w:line="360" w:lineRule="auto"/>
        <w:ind w:firstLine="482" w:firstLineChars="200"/>
        <w:textAlignment w:val="auto"/>
        <w:rPr>
          <w:rFonts w:ascii="宋体" w:hAnsi="宋体" w:eastAsia="宋体" w:cs="宋体"/>
          <w:sz w:val="24"/>
          <w:szCs w:val="24"/>
        </w:rPr>
      </w:pPr>
      <w:r>
        <w:rPr>
          <w:rFonts w:hint="eastAsia" w:ascii="宋体" w:hAnsi="宋体" w:eastAsia="宋体" w:cs="宋体"/>
          <w:sz w:val="24"/>
          <w:szCs w:val="24"/>
        </w:rPr>
        <w:t>（6）项目任务内容需求列表</w:t>
      </w:r>
    </w:p>
    <w:p w14:paraId="0B192C65">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需包含智能体开发通识素养、技能应用学习等基础知识奠基，涵盖财务会计、业务会计、财务分析、税务管理、管理会计等财会核心场景智能体开发的理论学习及实操训练，并延伸其他案例应用，帮助学生掌握大模型交互、工作流设计、知识库构建与工具调用的通用方法框架。</w:t>
      </w:r>
    </w:p>
    <w:p w14:paraId="2AC0041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eastAsia="宋体" w:cs="宋体"/>
          <w:sz w:val="24"/>
          <w:szCs w:val="24"/>
        </w:rPr>
      </w:pPr>
      <w:r>
        <w:rPr>
          <w:rFonts w:hint="eastAsia" w:ascii="宋体" w:hAnsi="宋体" w:eastAsia="宋体" w:cs="宋体"/>
          <w:b/>
          <w:bCs/>
          <w:sz w:val="24"/>
          <w:szCs w:val="24"/>
        </w:rPr>
        <w:t>4.采购标的功能技术参数要求</w:t>
      </w:r>
    </w:p>
    <w:tbl>
      <w:tblPr>
        <w:tblStyle w:val="12"/>
        <w:tblW w:w="90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5"/>
        <w:gridCol w:w="1237"/>
        <w:gridCol w:w="7307"/>
      </w:tblGrid>
      <w:tr w14:paraId="3D482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515" w:type="dxa"/>
            <w:vAlign w:val="center"/>
          </w:tcPr>
          <w:p w14:paraId="163AAFB1">
            <w:pPr>
              <w:keepNext w:val="0"/>
              <w:keepLines w:val="0"/>
              <w:pageBreakBefore w:val="0"/>
              <w:widowControl w:val="0"/>
              <w:kinsoku/>
              <w:overflowPunct/>
              <w:topLinePunct w:val="0"/>
              <w:autoSpaceDE/>
              <w:autoSpaceDN/>
              <w:bidi w:val="0"/>
              <w:adjustRightInd/>
              <w:snapToGrid/>
              <w:spacing w:before="120" w:beforeLines="50" w:after="120" w:afterLines="50" w:line="300" w:lineRule="exact"/>
              <w:jc w:val="center"/>
              <w:textAlignment w:val="auto"/>
              <w:rPr>
                <w:rFonts w:ascii="宋体" w:hAnsi="宋体" w:eastAsia="宋体" w:cs="宋体"/>
                <w:b/>
                <w:bCs/>
                <w:color w:val="000000"/>
                <w:sz w:val="24"/>
                <w:szCs w:val="24"/>
              </w:rPr>
            </w:pPr>
            <w:r>
              <w:rPr>
                <w:rFonts w:hint="eastAsia" w:ascii="宋体" w:hAnsi="宋体" w:eastAsia="宋体" w:cs="宋体"/>
                <w:b/>
                <w:bCs/>
                <w:color w:val="000000"/>
                <w:sz w:val="24"/>
                <w:szCs w:val="24"/>
              </w:rPr>
              <w:t>序号</w:t>
            </w:r>
          </w:p>
        </w:tc>
        <w:tc>
          <w:tcPr>
            <w:tcW w:w="1237" w:type="dxa"/>
            <w:vAlign w:val="center"/>
          </w:tcPr>
          <w:p w14:paraId="06812C19">
            <w:pPr>
              <w:keepNext w:val="0"/>
              <w:keepLines w:val="0"/>
              <w:pageBreakBefore w:val="0"/>
              <w:widowControl w:val="0"/>
              <w:kinsoku/>
              <w:overflowPunct/>
              <w:topLinePunct w:val="0"/>
              <w:autoSpaceDE/>
              <w:autoSpaceDN/>
              <w:bidi w:val="0"/>
              <w:adjustRightInd/>
              <w:snapToGrid/>
              <w:spacing w:before="120" w:beforeLines="50" w:after="120" w:afterLines="50" w:line="300" w:lineRule="exact"/>
              <w:jc w:val="center"/>
              <w:textAlignment w:val="auto"/>
              <w:rPr>
                <w:rFonts w:ascii="宋体" w:hAnsi="宋体" w:eastAsia="宋体" w:cs="宋体"/>
                <w:b/>
                <w:bCs/>
                <w:color w:val="000000"/>
                <w:sz w:val="24"/>
                <w:szCs w:val="24"/>
              </w:rPr>
            </w:pPr>
            <w:r>
              <w:rPr>
                <w:rFonts w:hint="eastAsia" w:ascii="宋体" w:hAnsi="宋体" w:eastAsia="宋体" w:cs="宋体"/>
                <w:b/>
                <w:bCs/>
                <w:color w:val="000000"/>
                <w:sz w:val="24"/>
                <w:szCs w:val="24"/>
              </w:rPr>
              <w:t>设备名称</w:t>
            </w:r>
          </w:p>
        </w:tc>
        <w:tc>
          <w:tcPr>
            <w:tcW w:w="7307" w:type="dxa"/>
            <w:vAlign w:val="center"/>
          </w:tcPr>
          <w:p w14:paraId="7DFB8BA8">
            <w:pPr>
              <w:keepNext w:val="0"/>
              <w:keepLines w:val="0"/>
              <w:pageBreakBefore w:val="0"/>
              <w:widowControl w:val="0"/>
              <w:kinsoku/>
              <w:overflowPunct/>
              <w:topLinePunct w:val="0"/>
              <w:autoSpaceDE/>
              <w:autoSpaceDN/>
              <w:bidi w:val="0"/>
              <w:adjustRightInd/>
              <w:snapToGrid/>
              <w:spacing w:before="120" w:beforeLines="50" w:after="120" w:afterLines="50" w:line="300" w:lineRule="exact"/>
              <w:jc w:val="center"/>
              <w:textAlignment w:val="auto"/>
              <w:rPr>
                <w:rFonts w:ascii="宋体" w:hAnsi="宋体" w:eastAsia="宋体" w:cs="宋体"/>
                <w:b/>
                <w:bCs/>
                <w:color w:val="000000"/>
                <w:sz w:val="24"/>
                <w:szCs w:val="24"/>
              </w:rPr>
            </w:pPr>
            <w:r>
              <w:rPr>
                <w:rFonts w:hint="eastAsia" w:ascii="宋体" w:hAnsi="宋体" w:eastAsia="宋体" w:cs="宋体"/>
                <w:b/>
                <w:bCs/>
                <w:color w:val="000000"/>
                <w:sz w:val="24"/>
                <w:szCs w:val="24"/>
              </w:rPr>
              <w:t>功能技术参数要求</w:t>
            </w:r>
          </w:p>
        </w:tc>
      </w:tr>
      <w:tr w14:paraId="677C3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dxa"/>
            <w:vAlign w:val="center"/>
          </w:tcPr>
          <w:p w14:paraId="4C3B7A7B">
            <w:pPr>
              <w:keepNext w:val="0"/>
              <w:keepLines w:val="0"/>
              <w:pageBreakBefore w:val="0"/>
              <w:widowControl w:val="0"/>
              <w:kinsoku/>
              <w:overflowPunct/>
              <w:topLinePunct w:val="0"/>
              <w:autoSpaceDE/>
              <w:autoSpaceDN/>
              <w:bidi w:val="0"/>
              <w:adjustRightInd/>
              <w:snapToGrid/>
              <w:spacing w:before="120" w:beforeLines="50" w:after="120" w:afterLines="50" w:line="300" w:lineRule="exact"/>
              <w:jc w:val="center"/>
              <w:textAlignment w:val="auto"/>
              <w:rPr>
                <w:rFonts w:ascii="宋体" w:hAnsi="宋体" w:eastAsia="宋体" w:cs="宋体"/>
                <w:b/>
                <w:bCs/>
                <w:color w:val="000000"/>
                <w:sz w:val="24"/>
                <w:szCs w:val="24"/>
              </w:rPr>
            </w:pPr>
            <w:r>
              <w:rPr>
                <w:rFonts w:hint="eastAsia" w:ascii="宋体" w:hAnsi="宋体" w:eastAsia="宋体" w:cs="宋体"/>
                <w:b/>
                <w:bCs/>
                <w:color w:val="000000"/>
                <w:sz w:val="24"/>
                <w:szCs w:val="24"/>
              </w:rPr>
              <w:t>1</w:t>
            </w:r>
          </w:p>
        </w:tc>
        <w:tc>
          <w:tcPr>
            <w:tcW w:w="1237" w:type="dxa"/>
            <w:vAlign w:val="center"/>
          </w:tcPr>
          <w:p w14:paraId="53CE9195">
            <w:pPr>
              <w:keepNext w:val="0"/>
              <w:keepLines w:val="0"/>
              <w:pageBreakBefore w:val="0"/>
              <w:widowControl w:val="0"/>
              <w:kinsoku/>
              <w:overflowPunct/>
              <w:topLinePunct w:val="0"/>
              <w:autoSpaceDE/>
              <w:autoSpaceDN/>
              <w:bidi w:val="0"/>
              <w:adjustRightInd/>
              <w:snapToGrid/>
              <w:spacing w:before="120" w:beforeLines="50" w:after="120" w:afterLines="50" w:line="300" w:lineRule="exact"/>
              <w:jc w:val="center"/>
              <w:textAlignment w:val="auto"/>
              <w:rPr>
                <w:rFonts w:ascii="宋体" w:hAnsi="宋体" w:eastAsia="宋体" w:cs="宋体"/>
                <w:b/>
                <w:bCs/>
                <w:color w:val="000000"/>
                <w:sz w:val="24"/>
                <w:szCs w:val="24"/>
              </w:rPr>
            </w:pPr>
            <w:r>
              <w:rPr>
                <w:rFonts w:hint="eastAsia" w:ascii="宋体" w:hAnsi="宋体" w:eastAsia="宋体" w:cs="宋体"/>
                <w:b/>
                <w:bCs/>
                <w:color w:val="000000"/>
                <w:sz w:val="24"/>
                <w:szCs w:val="24"/>
              </w:rPr>
              <w:t>财务大数据分析平台</w:t>
            </w:r>
          </w:p>
        </w:tc>
        <w:tc>
          <w:tcPr>
            <w:tcW w:w="7307" w:type="dxa"/>
            <w:vAlign w:val="center"/>
          </w:tcPr>
          <w:p w14:paraId="7A736DCB">
            <w:pPr>
              <w:keepNext w:val="0"/>
              <w:keepLines w:val="0"/>
              <w:pageBreakBefore w:val="0"/>
              <w:widowControl w:val="0"/>
              <w:kinsoku/>
              <w:overflowPunct/>
              <w:topLinePunct w:val="0"/>
              <w:autoSpaceDE/>
              <w:autoSpaceDN/>
              <w:bidi w:val="0"/>
              <w:adjustRightInd/>
              <w:snapToGrid/>
              <w:spacing w:line="300" w:lineRule="exact"/>
              <w:jc w:val="left"/>
              <w:textAlignment w:val="auto"/>
              <w:rPr>
                <w:rFonts w:ascii="宋体" w:hAnsi="宋体" w:eastAsia="宋体" w:cs="宋体"/>
                <w:b/>
                <w:bCs/>
                <w:sz w:val="24"/>
                <w:szCs w:val="24"/>
              </w:rPr>
            </w:pPr>
            <w:r>
              <w:rPr>
                <w:rFonts w:hint="eastAsia" w:ascii="宋体" w:hAnsi="宋体" w:eastAsia="宋体" w:cs="宋体"/>
                <w:b/>
                <w:bCs/>
                <w:sz w:val="24"/>
                <w:szCs w:val="24"/>
              </w:rPr>
              <w:t>（一）技术参数</w:t>
            </w:r>
          </w:p>
          <w:p w14:paraId="427DC36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1.软件要求支持安装在学校本地服务器，无站点限制，同时提供云平台使用服务，只需通过网页登录就可以进行使用。</w:t>
            </w:r>
          </w:p>
          <w:p w14:paraId="49F63AC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1.1 软件采用B/S架构，基于公有云与私有云混合模式，人工智能与会计的融合，打造智慧财务云生态。基于流行的J2EE技术栈，采用JDK1.8、Mysql、Spring Boot、Spring Cloud、MyBatis Plus、Vue、ElementUI、Redis等技术，应用稳定的Spring Cloud微服务框架进行构建，系统支持分布式的部署方式，支持服务的无缝扩展和对接，单个服务功能变更不影响整体系统的正常操作；</w:t>
            </w:r>
          </w:p>
          <w:p w14:paraId="5C92854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1.2 拥有自主知识产权的产品；</w:t>
            </w:r>
          </w:p>
          <w:p w14:paraId="1589A07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1.3 提供五年内的免费云服务技术支持，包含云平台运维服务及云平台内容服务；</w:t>
            </w:r>
          </w:p>
          <w:p w14:paraId="144DA72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2.财务大数据 BI可视化涵盖Power BI认知、Power BI数据获取、Power Query数据清洗、Power BI数据建模、 Power BI数据分析表达式、Power BI数据分析可视化、Power BI综合案例、Web BI可视化等内容；</w:t>
            </w:r>
          </w:p>
          <w:p w14:paraId="43C9113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3.提供大数据中心：</w:t>
            </w:r>
          </w:p>
          <w:p w14:paraId="6897949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3.1 包含5000多家上市公司数据，涵盖公司简介、财务报表摘要、资产负债表、利润表、现金流量表、股票价格等财务数据。系统能够按照公司名称或者股票代码（上市公司）进行检索，可以实时显示上市公司数据的总数量；</w:t>
            </w:r>
          </w:p>
          <w:p w14:paraId="422A984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3.2 提供板块模式，按照行业板块和地域板块对上市公司进行分类，可以实时显示行业板块和地域板块的各个板块的上市公司总数量，其中行业板块包含种植业与林业、造纸、专用设备、中药、证券、综合、自动化设备、养殖业、医药商业、银行、仪器仪表等110个行业板块，地域板块包含天津、河北、山西、内蒙古、辽宁、吉林、黑龙江、上海、江苏等</w:t>
            </w:r>
            <w:r>
              <w:rPr>
                <w:rFonts w:hint="eastAsia" w:ascii="宋体" w:hAnsi="宋体" w:eastAsia="宋体" w:cs="宋体"/>
                <w:sz w:val="24"/>
                <w:szCs w:val="24"/>
                <w:lang w:val="en-US" w:eastAsia="zh-CN"/>
              </w:rPr>
              <w:t>中国大陆地区31个省（区、市）的区域</w:t>
            </w:r>
            <w:r>
              <w:rPr>
                <w:rFonts w:hint="eastAsia" w:ascii="宋体" w:hAnsi="宋体" w:eastAsia="宋体" w:cs="宋体"/>
                <w:sz w:val="24"/>
                <w:szCs w:val="24"/>
              </w:rPr>
              <w:t>板块；大数据中心数据所有数据包括每个行业板块的总数据、任意公司任意一项数据都能够支持直接下载数据或者复制链接的方式获取数据，以上数据每年至少更新一次；</w:t>
            </w:r>
          </w:p>
          <w:p w14:paraId="58D6DE6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3.3 大数据中心数据所有数据包括每个行业板块的总数据、任意公司总数据或者单独一项数据都能够支持直接下载数据或者复制链接的方式获取数据，可支持在PowerBI上通过复制的链接直接获取数据，以上数据每年至少更新一次；</w:t>
            </w:r>
          </w:p>
          <w:p w14:paraId="1F724A0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3.4 宏观数据板块，提供</w:t>
            </w:r>
            <w:r>
              <w:rPr>
                <w:rFonts w:hint="eastAsia" w:ascii="宋体" w:hAnsi="宋体" w:eastAsia="宋体" w:cs="宋体"/>
                <w:sz w:val="24"/>
                <w:szCs w:val="24"/>
                <w:lang w:val="en-US" w:eastAsia="zh-CN"/>
              </w:rPr>
              <w:t>自1996年以来的</w:t>
            </w:r>
            <w:r>
              <w:rPr>
                <w:rFonts w:hint="eastAsia" w:ascii="宋体" w:hAnsi="宋体" w:eastAsia="宋体" w:cs="宋体"/>
                <w:sz w:val="24"/>
                <w:szCs w:val="24"/>
              </w:rPr>
              <w:t>宏观数据，涵盖27大类别共不少于550项，27大类分别为综合类、国民经济核算、人口、就业人员和工资、固定资产投资和房地产、对外经济贸易、能源、财政、价格指数、人民生活、城市概况、资源和环境、农业、工业、建筑业、运输和邮电、批发和零售业、住宿和餐饮业、旅游业、金融业、教育、科技、卫生、社会服务、文化、体育、公共管理社会保障及其他。任意一项数据都能够支持直接下载数据或者复制链接的方式获取数据，以上数据每年至少更新一次；</w:t>
            </w:r>
          </w:p>
          <w:p w14:paraId="528CC8F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3.5 提供拓展资源板块，涵盖5大类别共不少于60项，5大类分别为国家统计数据、地方公共数据、金融财经数据、前沿动态、研究报告；子类别包括但不限于国家统计局公开数据、工信部公开数据、人社部公开数据、发改委公开数据、教育部公开数据、各省市地方公共数据、证券交易所公开数据、财经网站公开数据、大数据前沿网站、大数据行业研究报告等；</w:t>
            </w:r>
          </w:p>
          <w:p w14:paraId="710A3DA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b/>
                <w:bCs/>
                <w:sz w:val="24"/>
                <w:szCs w:val="24"/>
              </w:rPr>
            </w:pPr>
            <w:r>
              <w:rPr>
                <w:rFonts w:hint="eastAsia" w:ascii="宋体" w:hAnsi="宋体" w:eastAsia="宋体" w:cs="宋体"/>
                <w:sz w:val="24"/>
                <w:szCs w:val="24"/>
              </w:rPr>
              <w:t>4.学生可以在系统云平台中上传Power BI脚本文件、报表图片文件及报表报告PDF，上传之后支持生成在线Power BI报表文件，并支持在线预览及下载，同时可通过复制报表链接的方式，将生成的在线报表分享给其他人；教师可在后台浏览学生上传的文件并进行评分，同时学生端提供参考在线报表文件（支持在线预览、复制链接及下载），供学生对比参考；</w:t>
            </w:r>
          </w:p>
          <w:p w14:paraId="19859CD8">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5.系统云平台提供Web BI模块：</w:t>
            </w:r>
          </w:p>
          <w:p w14:paraId="59AFF2A8">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5.1 图表类型：常用基础图表（条形图、柱状图、折线图、面积图、饼图、玫瑰图、旭日图、雷达图、散点图、气泡图、树形图、组合图、KPI指标卡、透视表、筛选器等）； 高级计算图表（计算图表和多源图表，将Excel的数据分析方式和计算公式完整的集成到仪表板设计器中，从而为BI仪表板提供了增强型计算分析能力）；高级可视化插件（桑基图、箱线图、轨迹图、帕累托图、里程碑、组织结构图、甘特图、四象限分布图等）；3D动效组件（3D旋转 KPI、3D旋转图片、动画数字、词云3D、3D地图等）；3D模型（可以将数据绑定到模型上并进行轮播展示，同时可设置条件格式化，用于智慧工厂、智慧企业等等更加立体、真实的展示数据）；数据地图组件（如各地区指标的分布、趋势、流转，并添加数据标签）；</w:t>
            </w:r>
          </w:p>
          <w:p w14:paraId="6C0A24B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5.2 支持图表样式DIY：可随意修改坐标轴、数据表、图表布局与风格设置、图表标题、图例、系列、标签等属性；</w:t>
            </w:r>
          </w:p>
          <w:p w14:paraId="25164E3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b/>
                <w:bCs/>
                <w:sz w:val="24"/>
                <w:szCs w:val="24"/>
              </w:rPr>
            </w:pPr>
            <w:r>
              <w:rPr>
                <w:rFonts w:hint="eastAsia" w:ascii="宋体" w:hAnsi="宋体" w:eastAsia="宋体" w:cs="宋体"/>
                <w:sz w:val="24"/>
                <w:szCs w:val="24"/>
              </w:rPr>
              <w:t>5.3 内置主题样式：内置至少10种风格各异的主题样式（同时用于仪表板和报表）供用户直接使用，无需每次都重复设置所有样式。并提供DIY 功能，用户可以在内置主题的基础上自定义文档主题，包括字体样式，图表颜色等；</w:t>
            </w:r>
          </w:p>
          <w:p w14:paraId="04C269C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5.4 集成Excel计算公式</w:t>
            </w:r>
            <w:r>
              <w:rPr>
                <w:rFonts w:hint="eastAsia" w:ascii="宋体" w:hAnsi="宋体" w:eastAsia="宋体" w:cs="宋体"/>
                <w:sz w:val="24"/>
                <w:szCs w:val="24"/>
                <w:lang w:eastAsia="zh-CN"/>
              </w:rPr>
              <w:t>：</w:t>
            </w:r>
            <w:r>
              <w:rPr>
                <w:rFonts w:hint="eastAsia" w:ascii="宋体" w:hAnsi="宋体" w:eastAsia="宋体" w:cs="宋体"/>
                <w:sz w:val="24"/>
                <w:szCs w:val="24"/>
              </w:rPr>
              <w:t>Web BI将Excel的数据分析方式和计算公式完整的集成到仪表板设计器中，直接在设计器中引用行列、编写Excel公式；</w:t>
            </w:r>
          </w:p>
          <w:p w14:paraId="188AA09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sz w:val="24"/>
                <w:szCs w:val="24"/>
              </w:rPr>
              <w:t>5.5 基于数据绑定快速计算：Web BI提供至少8种常用的快速计算功能，在绑定分析数据后，可以基于绑定字段快速生成新的维度和指标值，比如聚合、环比/同比、占比等常用指标。对数值类型的字段支持的计算方式包括：聚合运算（合计、平均数、最大值、最小值）和快速运算（排名、占比、累计运算、移动运算、以及与时间相关的同/环比运算等）；</w:t>
            </w:r>
          </w:p>
          <w:p w14:paraId="5D65A0F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5.6 多终端自适应：PC端、手机、电视。提供多种屏幕自适应方式，包括：原始大小、高度自适应、宽度自适应和全屏自适应（除了查看仪表板、报表，交互能力也做到了和PC端一致，支持过滤、钻取、联动、跳转等自助式分析。基于HTML5标准开发，无需安装任何客户端，可以在浏览器中可直接打开）；</w:t>
            </w:r>
          </w:p>
          <w:p w14:paraId="03B97B95">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sz w:val="24"/>
                <w:szCs w:val="24"/>
              </w:rPr>
              <w:t>5.7 数据切片&amp;联动&amp;钻取：在设计BI仪表板时，可添加多种数据切片器，包括：日期范围、相对日期、列表、树形列表、文本标签等。在运行BI仪表板时，最终用户不仅可以通过切片器筛选数据，还能通过联动分析发现数据不同维度的表现。同时支持多种钻取模式，智能钻取和自定义钻取路径。而且在建模时建立表关系后，支持跨源、跨库的钻取与联动。Web BI提供的钻取、联动、筛选，可配置成简单的鼠标左右键事件，通过简单的点击即可协助用户快速直观读取数据信息；</w:t>
            </w:r>
          </w:p>
          <w:p w14:paraId="6218254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5.8 图表评分：系统能够对学生的仪表板进行评分（图表的标题、字体、字体对齐方式、数据标签、图表数据等）；</w:t>
            </w:r>
          </w:p>
          <w:p w14:paraId="380461A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sz w:val="24"/>
                <w:szCs w:val="24"/>
              </w:rPr>
              <w:t>6.▲BI功能</w:t>
            </w:r>
            <w:r>
              <w:rPr>
                <w:rFonts w:hint="eastAsia" w:ascii="宋体" w:hAnsi="宋体" w:eastAsia="宋体" w:cs="宋体"/>
                <w:sz w:val="24"/>
                <w:szCs w:val="24"/>
                <w:lang w:val="en-US" w:eastAsia="zh-CN"/>
              </w:rPr>
              <w:t>及分屏</w:t>
            </w:r>
            <w:r>
              <w:rPr>
                <w:rFonts w:hint="eastAsia" w:ascii="宋体" w:hAnsi="宋体" w:eastAsia="宋体" w:cs="宋体"/>
                <w:sz w:val="24"/>
                <w:szCs w:val="24"/>
              </w:rPr>
              <w:t>：支持上传源数据（Excel、CSV等），对数据进行建模（抽取模型和直连模型），创建仪表板（各种图表），对图表进行属性设置等；在BI工具中完成题目要求，可以进行分屏，方便查看题目要求与完成任务；</w:t>
            </w:r>
            <w:r>
              <w:rPr>
                <w:rFonts w:hint="eastAsia" w:ascii="宋体" w:hAnsi="宋体" w:eastAsia="宋体" w:cs="宋体"/>
                <w:b/>
                <w:bCs/>
                <w:sz w:val="24"/>
                <w:szCs w:val="24"/>
                <w:lang w:eastAsia="zh-CN"/>
              </w:rPr>
              <w:t>【佐证材料：提供有CMA（中国计量认证）或CNAS（中国合格评定国家认可委员会认证）标志的，软件测试报告扫描件并加盖投标人公章，测试报告须完整体现以上功能参数，未能完整体现或未提供不得分。】</w:t>
            </w:r>
          </w:p>
          <w:p w14:paraId="4C93D39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sz w:val="24"/>
                <w:szCs w:val="24"/>
                <w:lang w:val="en-US" w:eastAsia="zh-CN"/>
              </w:rPr>
              <w:t>7</w:t>
            </w:r>
            <w:r>
              <w:rPr>
                <w:rFonts w:hint="eastAsia" w:ascii="宋体" w:hAnsi="宋体" w:eastAsia="宋体" w:cs="宋体"/>
                <w:sz w:val="24"/>
                <w:szCs w:val="24"/>
              </w:rPr>
              <w:t>.▲系统云平台支持在线浏览报表</w:t>
            </w:r>
            <w:r>
              <w:rPr>
                <w:rFonts w:hint="eastAsia" w:ascii="宋体" w:hAnsi="宋体" w:eastAsia="宋体" w:cs="宋体"/>
                <w:sz w:val="24"/>
                <w:szCs w:val="24"/>
                <w:lang w:val="en-US" w:eastAsia="zh-CN"/>
              </w:rPr>
              <w:t>及分享</w:t>
            </w:r>
            <w:r>
              <w:rPr>
                <w:rFonts w:hint="eastAsia" w:ascii="宋体" w:hAnsi="宋体" w:eastAsia="宋体" w:cs="宋体"/>
                <w:sz w:val="24"/>
                <w:szCs w:val="24"/>
              </w:rPr>
              <w:t>：学生可以在系统上传Power BI脚本文件，生成在线报表；可通过复制报表链接的方式，将生成的在线报表分享给其他人；</w:t>
            </w:r>
            <w:r>
              <w:rPr>
                <w:rFonts w:hint="eastAsia" w:ascii="宋体" w:hAnsi="宋体" w:eastAsia="宋体" w:cs="宋体"/>
                <w:b/>
                <w:bCs/>
                <w:sz w:val="24"/>
                <w:szCs w:val="24"/>
                <w:lang w:eastAsia="zh-CN"/>
              </w:rPr>
              <w:t>【佐证材料：提供有CMA（中国计量认证）或CNAS（中国合格评定国家认可委员会认证）标志的，软件测试报告扫描件并加盖投标人公章，测试报告须完整体现以上功能参数，未能完整体现或未提供不得分。】</w:t>
            </w:r>
          </w:p>
          <w:p w14:paraId="6FC95CF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.BI报告生成功能：</w:t>
            </w:r>
          </w:p>
          <w:p w14:paraId="7455B8B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.1 ▲仪表板选择</w:t>
            </w:r>
            <w:r>
              <w:rPr>
                <w:rFonts w:hint="eastAsia" w:ascii="宋体" w:hAnsi="宋体" w:eastAsia="宋体" w:cs="宋体"/>
                <w:sz w:val="24"/>
                <w:szCs w:val="24"/>
                <w:lang w:val="en-US" w:eastAsia="zh-CN"/>
              </w:rPr>
              <w:t>及报告编写功能</w:t>
            </w:r>
            <w:r>
              <w:rPr>
                <w:rFonts w:hint="eastAsia" w:ascii="宋体" w:hAnsi="宋体" w:eastAsia="宋体" w:cs="宋体"/>
                <w:sz w:val="24"/>
                <w:szCs w:val="24"/>
              </w:rPr>
              <w:t>：用户可在系统中选择其账号下制作好的仪表板，以便进行后续的可视化分析；系统提供在新标签页查看所选仪表板的功能；同时用户可从选定的仪表板中选择所要分析的图表，进行进一步的可视化分析；用户可基于所选的仪表板和图表，编写分析报告。报告提供输入和下拉两种作答模式，以满足不同的分析需求。输入模式允许用户自由输入文字；下拉模式提供预设选项供用户选择；</w:t>
            </w:r>
            <w:r>
              <w:rPr>
                <w:rFonts w:hint="eastAsia" w:ascii="宋体" w:hAnsi="宋体" w:eastAsia="宋体" w:cs="宋体"/>
                <w:b/>
                <w:bCs/>
                <w:sz w:val="24"/>
                <w:szCs w:val="24"/>
              </w:rPr>
              <w:t>（本条需现场演示，现场未能演示或演示不满足本条要求，则不得分）</w:t>
            </w:r>
          </w:p>
          <w:p w14:paraId="5AED70B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教师后台预置仪表板功能：教师可在后台预置仪表板，对于所选的仪表板，可以进一步设置其下面的各个图表是否也进行预置。该模式下，用户可以在作答界面看到预置的仪表板以及图表，基于预置的仪表板及图表直接进行分析报告的作答；</w:t>
            </w:r>
          </w:p>
          <w:p w14:paraId="204CFD7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自动判分功能：系统支持自动判分功能，可对学生的仪表板和报告内容进行评分，其中仪表板评分项包括：图表的标题、字体、字体对齐方式、数据标签、图表数据等。教师可在后台设置评分项和评分标准，系统根据这些设置自动给出评分结果；</w:t>
            </w:r>
            <w:r>
              <w:rPr>
                <w:rFonts w:hint="eastAsia" w:ascii="宋体" w:hAnsi="宋体" w:eastAsia="宋体" w:cs="宋体"/>
                <w:b/>
                <w:bCs/>
                <w:sz w:val="24"/>
                <w:szCs w:val="24"/>
              </w:rPr>
              <w:t>（本条需现场演示，现场未能演示或演示不满足本条要求，则不得分）</w:t>
            </w:r>
          </w:p>
          <w:p w14:paraId="6A6D5B0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.管理端：</w:t>
            </w:r>
          </w:p>
          <w:p w14:paraId="68809D7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.1 教师管理功能：提供新增、修改和删除教师账号功能，可进行批量新增、批量授权、批量延期等批量操作；提供控制教师账号权限管理，包括课程管理、试卷管理、竞赛试卷管理等权限；提供修改教师账号角色的功能；提供设置教师账号状态功能，状态包括有效、过期、锁定；提供设置教师账号到期时间功能，可选定一个具体的时间点（年月日）；</w:t>
            </w:r>
          </w:p>
          <w:p w14:paraId="01D0780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.2 行政班级功能：提供新增、修改、删除和查找行政班的功能，支持行政班单个学生账号增加，也支持批量添加学生账号和Excel文件导入学生账号；提供根据用户名或者状态对学生信息进行增删改查功能，支持给学生设置有效、锁定、过期等多个状态，支持设置学生账号有效期（年月日）；提供行政班级教师授权功能，可授权其他教师以选择行政班级中的学生开展教学班授课；</w:t>
            </w:r>
          </w:p>
          <w:p w14:paraId="5A08C1B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.3 教学班级功能：提供新增、修改、删除和查找教学班级的功能；支持设置课程和带班老师；提供学生管理、教学管理、考试管理和统计分析功能；</w:t>
            </w:r>
          </w:p>
          <w:p w14:paraId="26FE26DA">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.3.1 学生管理功能：提供新增、查询、移除学生等功能，提供批量移除功能；</w:t>
            </w:r>
          </w:p>
          <w:p w14:paraId="13C0122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.3.2 教学管理功能：提供成绩总览、章节明细、进度控制、签到管理等功能；提供搜索查询学生、导出学生成绩功能，支持详细查看学生各个章节完成情况、学习进度和分数，支持详细查看和导出学生学习报告；支持锁定、隐藏章节节点，支持隐藏题目答案和答题结果（勾选后，学生无法查看题目答案和答题结果），也支持隐藏题目答案但显示答题结果（勾选后，学生无法查看题目答案，但可以查看答题结果）；提供新增、搜索签到活动，支持设置签到开始时间和结束时间，可跟踪学生签到状态及具体签到时间，支持修改学生签到状态（正常、缺勤、迟到、早退、事假、病假）；</w:t>
            </w:r>
          </w:p>
          <w:p w14:paraId="3E9BFA4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.3.3 考试管理功能：提供新增考试功能，可设置考试名称、试卷选择、考试时间、成绩查看权限（无法查看、交卷后可看、结束后可看）、学生范围（全部学生、指定学生）、发布状态和考试描述；支持直接查看学生成绩（交卷状态、总分）、导出成绩、生成和下载班级考试总报告，支持查看和导出学生单人报告，可重置交卷；</w:t>
            </w:r>
          </w:p>
          <w:p w14:paraId="392BF3B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.3.4 成绩报告：支持生成班级所有学生的某个课程章节模块或某次考试的成绩报告，生成时具有进度条显示生成进度，生成完毕时进度条变成下载按钮，支持下载报告为PDF文档，支持单独查看每位学生的成绩报告及单独下载某位学生的成绩报告；</w:t>
            </w:r>
          </w:p>
          <w:p w14:paraId="2205CE9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.3.5 统计分析：支持查看学生课程模块得分率统计图，统计图以条状图形式呈现，并支持按项目-模块-题型-题目多级查看，支持以不同的颜色显示不同的得分率区间，支持选择图例以单独显示某些指标信息；</w:t>
            </w:r>
          </w:p>
          <w:p w14:paraId="4965173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.3.6 在线时长：支持查看学生的在线学习时间统计，包含首次登录时间、最后登录时间、在线总时长、今日在线时长、上次在线时长和在线状态等，并支持通过图表展示在线时长统计情况，图表以线形图形式呈现学生的在线总时长、今日在线时长、上次在线时长的信息，支持按不同维度排序，支持选择图例以单独显示某些指标信息，支持下载图表；</w:t>
            </w:r>
          </w:p>
          <w:p w14:paraId="35857F98">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.4 公告管理功能：提供新增、修改和删除公告的功能，可指定公告的启用时间、截止时间、启用状态；公告内容支持普通本文模式和MarkDown模式；</w:t>
            </w:r>
          </w:p>
          <w:p w14:paraId="550ECFA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.5 日志记录功能：提供查看用户登录时间、退出时间等功能日志，可详细跟踪用户使用平台状态；</w:t>
            </w:r>
          </w:p>
          <w:p w14:paraId="41083F6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.6 课程管理：提供新增、查看、搜索课程功能，包括设置课程名称、课程类型、动态年、课程排序、课程描述、课程备注、LOGO引用或上传并使用；提供进入课程、模拟做题功能；</w:t>
            </w:r>
          </w:p>
          <w:p w14:paraId="07C461E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.7 试卷管理功能：提供新增、查看、搜索试卷功能，包括设置试卷名称、关联产品、发布状态、开放状态、模式选择（普通模式、单题模式、案例模式、综合模式）、题目组合、题目乱序、排序、动态年和备注；查看试卷后提供题型汇总功能，可查看试卷内题目类型、题数和总分情况，可预览和查看题目；</w:t>
            </w:r>
          </w:p>
          <w:p w14:paraId="16006BB8">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.8 资源管理功能：提供新建资源库文件夹，整理资源数据功能，支持删除、移动、分享、上传、重命名等功能；</w:t>
            </w:r>
          </w:p>
          <w:p w14:paraId="3929C2C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.9 统计分析：包含站点统计（管理员账号可查看）和教学统计（教师账号可查看）；</w:t>
            </w:r>
          </w:p>
          <w:p w14:paraId="7CBCD01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.9.1 站点统计；汇总官方课程总数、官方微课总数、官方PPT总数、官方PDF总数、官方试卷总数、教师总数、学生总数、行政班总数、教学班总数；以动态图表的方式展示课程资源汇总、教师开课情况、年度课程学习人数汇总、在线人数统计（支持最近3小时、6小时区间切换）、学生新增人数；</w:t>
            </w:r>
          </w:p>
          <w:p w14:paraId="704E787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.9.2 教学统计：汇总官方课程总数、官方微课总数、官方PPT总数、官方PDF总数、官方试卷总数、学生总数、行政班总数、教学班总数；以动态图表的方式展示课程资源汇总、学生新增人数、年度行政班人数汇总、年度教学班人数汇总；</w:t>
            </w:r>
          </w:p>
          <w:p w14:paraId="7ED5FED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.10 个人信息管理：</w:t>
            </w:r>
          </w:p>
          <w:p w14:paraId="71AA817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.10.1 提供账号姓名、头像和密码等修改功能；</w:t>
            </w:r>
          </w:p>
          <w:p w14:paraId="7655EDE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.10.2 提供绑定手机号码的功能，用户可以将账号与手机号码绑定，绑定后可以通过手机登录平台；</w:t>
            </w:r>
          </w:p>
          <w:p w14:paraId="25967B4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.11 帮助工具：提供帮助手册、密码锁屏和QQ咨询调用功能，用户可选择会计内容咨询或平台技术咨询，自动调用QQ跳转会话框进行咨询；提供数据查询列显隐功能；</w:t>
            </w:r>
          </w:p>
          <w:p w14:paraId="7893B41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.学生端功能：</w:t>
            </w:r>
          </w:p>
          <w:p w14:paraId="17ED518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.1 个人信息管理功能：</w:t>
            </w:r>
          </w:p>
          <w:p w14:paraId="297357C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.1.1 提供账号姓名、密码等修改功能；</w:t>
            </w:r>
          </w:p>
          <w:p w14:paraId="5D80C9B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.1.2 系统云平台提供绑定手机号码的功能，用户可以将账号与手机号码绑定，绑定后可以通过手机号输入验证码登录平台，同时支持绑定微信及QQ登录平台；</w:t>
            </w:r>
          </w:p>
          <w:p w14:paraId="48DF7E3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.2 学习统计功能：提供学生在课程下的学习状况统计雷达图，具有两张雷达图并可交互，一张雷达图显示每个项目的总分、合格分和得分信息，点击任意一个项目，另外一张雷达图对应显示该项目下每个任务的总分、合格分和得分信息；同时可以控制选择雷达图只显示总分、得分、合格分任意一种或组合信息；主界面还具有显示每个项目的总分、得分和正确率的统计列表，点击关闭按钮可隐藏该统计列表；</w:t>
            </w:r>
          </w:p>
          <w:p w14:paraId="466D345A">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.3 章节进度功能：在平台主界面展开任一项目，该项目下的每个子任务都自带有学习进度条，进度条具有百分比数值以及不同的颜色来展示学习进度；</w:t>
            </w:r>
          </w:p>
          <w:p w14:paraId="49725A7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.4 收藏题目功能：提供收藏题目功能，可在收藏列表中查看所有收藏的题目，方便针对性的学习；</w:t>
            </w:r>
          </w:p>
          <w:p w14:paraId="6E12157A">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.5 工具箱功能：提供普通计算器、科学计算器功能；提供金融计算器功能；</w:t>
            </w:r>
          </w:p>
          <w:p w14:paraId="569BFC5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.6 嵌入式网页PPT功能：提供画笔标注功能，包括画笔、荧光笔、橡皮擦；提供上下翻页、单页单独打开功能；提供PPT导航、模糊搜索内容功能；提供场景对话交互功能；内置客观题，包括单选、多选、判断等题型，支持将PPT切换成PDF模式阅览；</w:t>
            </w:r>
          </w:p>
          <w:p w14:paraId="1B1E4C8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.7 答题（试卷）报告功能：根据每个章节的课后练习或者试卷答题情况一一对应生成单独的答题报告或者试卷报告，报告中包含整份课后练习或整套试卷的总正确率以及每种题型的正确率统计图，包含课后练习或试卷的各类型题目的正确数、错误数、已做题目数、未做题目数和题目总数的统计表，可以查看到学生具体答题信息、正确答案以及题目解析，并支持将答题报告及试卷报告导出为PDF文档；</w:t>
            </w:r>
          </w:p>
          <w:p w14:paraId="61203DF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.8 签到系统：内嵌签到模块，在指定时间内进行签到，在表格模式进行签到操作及查看签到情况及状态，在图形模式下统计签到记录情况；</w:t>
            </w:r>
          </w:p>
          <w:p w14:paraId="6179480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.9 排行榜：内嵌排行榜模块，可以查看同班同学的总分得分情况，图形模式以柱状图进行显示总分得分情况；</w:t>
            </w:r>
          </w:p>
          <w:p w14:paraId="31C5DB8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b/>
                <w:bCs/>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.★平台配套提供终端载体单机版，要求支持在无网络状态使用，内置以下功能模块：</w:t>
            </w:r>
            <w:r>
              <w:rPr>
                <w:rFonts w:hint="eastAsia" w:ascii="宋体" w:hAnsi="宋体" w:eastAsia="宋体" w:cs="宋体"/>
                <w:b/>
                <w:bCs/>
                <w:sz w:val="24"/>
                <w:szCs w:val="24"/>
              </w:rPr>
              <w:t>（本条参数为核心参数，现场需演示，现场未能演示或演示不满足本条要求，视为投标无效）</w:t>
            </w:r>
          </w:p>
          <w:p w14:paraId="62FFBBA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.1 互动财会游戏功能模块，满足以下要求：</w:t>
            </w:r>
          </w:p>
          <w:p w14:paraId="284A04A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.1.1 要求游戏总数量不少于50个；要求游戏类型应该是多样性的，具有支持拖拉拽操作、具有闯关模式等典型的游戏特征（不是简单的单选、多选、判断类型）；要求游戏内容与财会专业知识点相关，需随机抽取至少5个不同的游戏展示，游戏内容举例：战略地图游戏：通过拖拉拽的形式完成战略地图绘制。企业经营沙盘游戏：通过小沙盘的形式，模拟一家企业一年的经营，并且包含资产负债表的动态展示。数电发票识别游戏：通过游戏的形式，让学生学习了解财务机器人发票识别的步骤与过程；</w:t>
            </w:r>
          </w:p>
          <w:p w14:paraId="5F9FB89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.1.2 自定义房间名称功能：设置游戏时间及次数限制，游戏开始时间及持续时间；</w:t>
            </w:r>
          </w:p>
          <w:p w14:paraId="0C51E6B5">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.1.3 排行榜功能：支持竞赛比拼并提供排行，增加课堂趣味性，可重复进行游戏；</w:t>
            </w:r>
          </w:p>
          <w:p w14:paraId="6F22BDF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.1.4 在线游戏互动功能：学生可通过手机扫描系统中的会计游戏二维码，实现在手机上进行随堂游戏的互动体验；</w:t>
            </w:r>
          </w:p>
          <w:p w14:paraId="224A1B3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.2 微课制作功能模块，要求具有以下功能：</w:t>
            </w:r>
          </w:p>
          <w:p w14:paraId="5B7B8A1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.2.1 可直接导入PPT并保留PPT所有动画效果，生成视频微课；</w:t>
            </w:r>
          </w:p>
          <w:p w14:paraId="036233B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.2.2 制作过程可自动录音，可合成至生成的视频微课中；</w:t>
            </w:r>
          </w:p>
          <w:p w14:paraId="61FE7C5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.2.3 微课制作时支持两个摄像头切换录制，第一摄像头和第二摄像头可随时切换录制现场人像或现场展示资料，录制内容可合成至生成的视频微课中；</w:t>
            </w:r>
          </w:p>
          <w:p w14:paraId="6C1C5CA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.2.4 微课制作过程中可随时板书，录制板书操作，并合成到生成的视频微课；</w:t>
            </w:r>
          </w:p>
          <w:p w14:paraId="089EF4D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.2.5 微课保存为视频时，可选择添加背景音乐，使制作的微课全程具有背景音乐效果，背景音乐提供多种选择</w:t>
            </w:r>
            <w:r>
              <w:rPr>
                <w:rFonts w:hint="eastAsia" w:ascii="宋体" w:hAnsi="宋体" w:eastAsia="宋体" w:cs="宋体"/>
                <w:sz w:val="24"/>
                <w:szCs w:val="24"/>
                <w:lang w:eastAsia="zh-CN"/>
              </w:rPr>
              <w:t>。</w:t>
            </w:r>
          </w:p>
          <w:p w14:paraId="1595337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.平台配套提供云课堂手机APP，实现云课堂功能，可以为老师学生在互联环境下达到沟通、资源共享、课堂考核的作用，体验互动教学与作业跟踪等新的教学模式：</w:t>
            </w:r>
          </w:p>
          <w:p w14:paraId="07C262F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.1 自定义签到：教师端可自定义课堂签到手势，学生端即可以规定手势进行签到；</w:t>
            </w:r>
          </w:p>
          <w:p w14:paraId="5159D2D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.2 投票管理：教师端可自主编辑投票的标题、投票的内容、投票后是否立即显示结果、投票，学生端即可参与老师编辑好的投票；</w:t>
            </w:r>
          </w:p>
          <w:p w14:paraId="65E7DCD5">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.3 签章划线功能：APP版支持实务题签章划线。记账凭证支持盖章，盖章位置直接通过手势滑动确定位置，记账凭证支持画线，画线起点终点位置直接通过手势滑动确定，实训题支持业务流程，具有提交下一步、退回上一步操作功能，能够进行智能答案判断，错误之处使用深色背景标识；</w:t>
            </w:r>
          </w:p>
          <w:p w14:paraId="761C284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b/>
                <w:bCs/>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.★平台配套提供会计信息化账务处理手机APP，供学生移动学习体验会计信息化常见功能模块：</w:t>
            </w:r>
            <w:r>
              <w:rPr>
                <w:rFonts w:hint="eastAsia" w:ascii="宋体" w:hAnsi="宋体" w:eastAsia="宋体" w:cs="宋体"/>
                <w:b/>
                <w:bCs/>
                <w:sz w:val="24"/>
                <w:szCs w:val="24"/>
              </w:rPr>
              <w:t>（本条参数为核心参数，现场需演示，现场未能演示或演示不满足本条要求，视为投标无效）</w:t>
            </w:r>
          </w:p>
          <w:p w14:paraId="7554621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.1 初始设置：登录后可自定义创建账套，若已有账套，则直接进入角色登录界面；</w:t>
            </w:r>
          </w:p>
          <w:p w14:paraId="4FE61F1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.2 角色登录：提供四个岗位角色登录，支持网络版管理员针对实际情况分配角色登录权限；</w:t>
            </w:r>
          </w:p>
          <w:p w14:paraId="6313952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.3 登录首页：包含凭证列表、审核凭证、记账、期末结账、结转损益、财务报表、查询/修改、明细账、总账、科目余额表等十个子功能模块</w:t>
            </w:r>
            <w:r>
              <w:rPr>
                <w:rFonts w:hint="eastAsia" w:ascii="宋体" w:hAnsi="宋体" w:eastAsia="宋体" w:cs="宋体"/>
                <w:sz w:val="24"/>
                <w:szCs w:val="24"/>
                <w:lang w:eastAsia="zh-CN"/>
              </w:rPr>
              <w:t>。</w:t>
            </w:r>
          </w:p>
          <w:p w14:paraId="48EAA952">
            <w:pPr>
              <w:keepNext w:val="0"/>
              <w:keepLines w:val="0"/>
              <w:pageBreakBefore w:val="0"/>
              <w:widowControl w:val="0"/>
              <w:kinsoku/>
              <w:overflowPunct/>
              <w:topLinePunct w:val="0"/>
              <w:autoSpaceDE/>
              <w:autoSpaceDN/>
              <w:bidi w:val="0"/>
              <w:adjustRightInd/>
              <w:snapToGrid/>
              <w:spacing w:line="300" w:lineRule="exact"/>
              <w:jc w:val="left"/>
              <w:textAlignment w:val="auto"/>
              <w:rPr>
                <w:rFonts w:ascii="宋体" w:hAnsi="宋体" w:eastAsia="宋体" w:cs="宋体"/>
                <w:b/>
                <w:bCs/>
                <w:sz w:val="24"/>
                <w:szCs w:val="24"/>
              </w:rPr>
            </w:pPr>
            <w:r>
              <w:rPr>
                <w:rFonts w:hint="eastAsia" w:ascii="宋体" w:hAnsi="宋体" w:eastAsia="宋体" w:cs="宋体"/>
                <w:b/>
                <w:bCs/>
                <w:sz w:val="24"/>
                <w:szCs w:val="24"/>
              </w:rPr>
              <w:t>（二）内容参数</w:t>
            </w:r>
          </w:p>
          <w:p w14:paraId="6AE5F095">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1.主要内容：</w:t>
            </w:r>
          </w:p>
          <w:p w14:paraId="6C9F145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1.1 项目一 Power BI认知：包含下载和安装Power BI教学、 Power BI 可视化分析流程认知等不少于2个任务；</w:t>
            </w:r>
          </w:p>
          <w:p w14:paraId="72B6EE5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1.2 项目二 Power BI数据获取：包含获取Excel数据、获取PDF数据、获取Web数据、获取文件夹数据等不少于4个任务；</w:t>
            </w:r>
          </w:p>
          <w:p w14:paraId="74456C9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1.3 项目三 Power Query数据清洗：包含批量清洗与追加数据（定义批量导入数据的函数、调用函数自动导入和转换数据、利用函数自动更新功能更新数据）、合并数据（合并查询、折线与簇状柱形图、表）、透视和逆透视数据等不少于3个任务；</w:t>
            </w:r>
          </w:p>
          <w:p w14:paraId="7EC891D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1.4 项目四 Power BI数据建模：包含基于多表关联模型的数据可视化分析（一对多数据模型）、基于度量值模型的数据分析（新建参数）等不少于2个任务；</w:t>
            </w:r>
          </w:p>
          <w:p w14:paraId="6178C80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1.5 项目五 Power BI数据分析表达式：包含基于DAX的数据可视化分析（新建度量值）、基于RFM模型的数据可视化分析（聚合函数、日期函数、逻辑函数应用）、财务报表可视化分析（筛选函数、时间智能函数应用）等不少于3个任务；</w:t>
            </w:r>
          </w:p>
          <w:p w14:paraId="219405C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1.6 项目六 Power BI数据分析可视化：包含可视化视觉对象应用（矩阵、折线、分区、饼图和环形图等）、编辑交互等不少于2个任务：</w:t>
            </w:r>
          </w:p>
          <w:p w14:paraId="7FE094F8">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1.7 项目七 Power BI综合案例：要求提供至少2套案例，每套案例不少于30个可视化视觉对象；</w:t>
            </w:r>
          </w:p>
          <w:p w14:paraId="25E081AA">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1.8 项目八 技能拓展-Web BI可视化：包含Web BI在采购管理中的应用、在生产管理中的应用、在销售管理中的应用、在资产管理中的应用等不少于4个任务，每个任务不少于2套数据模型；</w:t>
            </w:r>
          </w:p>
          <w:p w14:paraId="55D989C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2.教学PPT/PDF（不少于30个）：需与上述项目任务内容对应；</w:t>
            </w:r>
          </w:p>
          <w:p w14:paraId="2E0CDB2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3.随堂示例（不少于90题）；</w:t>
            </w:r>
          </w:p>
          <w:p w14:paraId="7DDDF26A">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4.课后习题：单选题（不少于120题）；多选题（不少于120题）；判断题（不少于120题）；操作题（不少于60题）。</w:t>
            </w:r>
          </w:p>
        </w:tc>
      </w:tr>
      <w:tr w14:paraId="563E9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dxa"/>
            <w:vAlign w:val="center"/>
          </w:tcPr>
          <w:p w14:paraId="47A84738">
            <w:pPr>
              <w:keepNext w:val="0"/>
              <w:keepLines w:val="0"/>
              <w:pageBreakBefore w:val="0"/>
              <w:widowControl w:val="0"/>
              <w:kinsoku/>
              <w:overflowPunct/>
              <w:topLinePunct w:val="0"/>
              <w:autoSpaceDE/>
              <w:autoSpaceDN/>
              <w:bidi w:val="0"/>
              <w:adjustRightInd/>
              <w:snapToGrid/>
              <w:spacing w:before="120" w:beforeLines="50" w:after="120" w:afterLines="50" w:line="300" w:lineRule="exact"/>
              <w:jc w:val="center"/>
              <w:textAlignment w:val="auto"/>
              <w:rPr>
                <w:rFonts w:ascii="宋体" w:hAnsi="宋体" w:eastAsia="宋体" w:cs="宋体"/>
                <w:b/>
                <w:bCs/>
                <w:color w:val="000000"/>
                <w:sz w:val="24"/>
                <w:szCs w:val="24"/>
              </w:rPr>
            </w:pPr>
            <w:r>
              <w:rPr>
                <w:rFonts w:hint="eastAsia" w:ascii="宋体" w:hAnsi="宋体" w:eastAsia="宋体" w:cs="宋体"/>
                <w:b/>
                <w:bCs/>
                <w:color w:val="000000"/>
                <w:sz w:val="24"/>
                <w:szCs w:val="24"/>
              </w:rPr>
              <w:t>2</w:t>
            </w:r>
          </w:p>
        </w:tc>
        <w:tc>
          <w:tcPr>
            <w:tcW w:w="1237" w:type="dxa"/>
            <w:vAlign w:val="center"/>
          </w:tcPr>
          <w:p w14:paraId="5690BC5C">
            <w:pPr>
              <w:keepNext w:val="0"/>
              <w:keepLines w:val="0"/>
              <w:pageBreakBefore w:val="0"/>
              <w:widowControl w:val="0"/>
              <w:kinsoku/>
              <w:overflowPunct/>
              <w:topLinePunct w:val="0"/>
              <w:autoSpaceDE/>
              <w:autoSpaceDN/>
              <w:bidi w:val="0"/>
              <w:adjustRightInd/>
              <w:snapToGrid/>
              <w:spacing w:before="120" w:beforeLines="50" w:after="120" w:afterLines="50" w:line="300" w:lineRule="exact"/>
              <w:jc w:val="center"/>
              <w:textAlignment w:val="auto"/>
              <w:rPr>
                <w:rFonts w:ascii="宋体" w:hAnsi="宋体" w:eastAsia="宋体" w:cs="宋体"/>
                <w:b/>
                <w:bCs/>
                <w:color w:val="000000"/>
                <w:sz w:val="24"/>
                <w:szCs w:val="24"/>
              </w:rPr>
            </w:pPr>
            <w:r>
              <w:rPr>
                <w:rFonts w:hint="eastAsia" w:ascii="宋体" w:hAnsi="宋体" w:eastAsia="宋体" w:cs="宋体"/>
                <w:b/>
                <w:bCs/>
                <w:color w:val="000000"/>
                <w:sz w:val="24"/>
                <w:szCs w:val="24"/>
              </w:rPr>
              <w:t>大数据技术应用基础Python平台</w:t>
            </w:r>
          </w:p>
        </w:tc>
        <w:tc>
          <w:tcPr>
            <w:tcW w:w="7307" w:type="dxa"/>
            <w:vAlign w:val="center"/>
          </w:tcPr>
          <w:p w14:paraId="6E27348E">
            <w:pPr>
              <w:keepNext w:val="0"/>
              <w:keepLines w:val="0"/>
              <w:pageBreakBefore w:val="0"/>
              <w:widowControl w:val="0"/>
              <w:kinsoku/>
              <w:overflowPunct/>
              <w:topLinePunct w:val="0"/>
              <w:autoSpaceDE/>
              <w:autoSpaceDN/>
              <w:bidi w:val="0"/>
              <w:adjustRightInd/>
              <w:snapToGrid/>
              <w:spacing w:line="300" w:lineRule="exact"/>
              <w:jc w:val="left"/>
              <w:textAlignment w:val="auto"/>
              <w:rPr>
                <w:rFonts w:ascii="宋体" w:hAnsi="宋体" w:eastAsia="宋体" w:cs="宋体"/>
                <w:b/>
                <w:bCs/>
                <w:sz w:val="24"/>
                <w:szCs w:val="24"/>
              </w:rPr>
            </w:pPr>
            <w:r>
              <w:rPr>
                <w:rFonts w:hint="eastAsia" w:ascii="宋体" w:hAnsi="宋体" w:eastAsia="宋体" w:cs="宋体"/>
                <w:b/>
                <w:bCs/>
                <w:sz w:val="24"/>
                <w:szCs w:val="24"/>
              </w:rPr>
              <w:t>（一）技术参数</w:t>
            </w:r>
          </w:p>
          <w:p w14:paraId="3EE6F6C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1.软件要求支持安装在学校本地服务器，无站点限制，同时提供云平台使用服务，只需通过网页登录就可以进行使用。</w:t>
            </w:r>
          </w:p>
          <w:p w14:paraId="1E686EE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1.1 软件采用B/S架构，基于公有云与私有云混合模式，人工智能与会计的融合，打造智慧财务云生态。基于流行的J2EE技术栈，采用JDK1.8、Mysql、Spring Boot、Spring Cloud、MyBatis Plus、Vue、ElementUI、Redis等技术，应用稳定的Spring Cloud微服务框架进行构建，系统支持分布式的部署方式，支持服务的无缝扩展和对接，单个服务功能变更不影响整体系统的正常操作；</w:t>
            </w:r>
          </w:p>
          <w:p w14:paraId="24C38B2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1.2 拥有自主知识产权的产品；</w:t>
            </w:r>
          </w:p>
          <w:p w14:paraId="56F87168">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1.3 提供五年内免费的云服务技术支持，包含云平台运维服务及云平台内容服务；</w:t>
            </w:r>
          </w:p>
          <w:p w14:paraId="529C10B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2.财务大数据Python基础涵盖了Python基础、爬虫数据获取、Pandas数据处理、Matplotlib与Pyecharts数据可视化、实战演练五个项目；</w:t>
            </w:r>
          </w:p>
          <w:p w14:paraId="342180E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3.提供内嵌在平台里的在线Python开发环境：</w:t>
            </w:r>
          </w:p>
          <w:p w14:paraId="0268F59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3.1 与系统平台进行深度融合，直接在平台内部如课件、视频界面或者做题界面直接打开Python开发环境，实现边看文档或视频边进行代码编写，方便学生学习；</w:t>
            </w:r>
          </w:p>
          <w:p w14:paraId="1BF5771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3.2 Python开发环境可以直接展示可视化图形，如饼图、柱状图、折线图、地图、雷达图、仪表盘等；</w:t>
            </w:r>
          </w:p>
          <w:p w14:paraId="2268BCCA">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3.3 Python开发环境具有重置功能，支持学生编写完代码之后一键重置，进行重新编写完成任务要求并进行重新评分；具有代码注释提示功能，在编程环境中提供预置的代码注释引导学生完成响应代码的补充；支持导出下载执行结果文件，支持查看参考代码，具有文件列表可查看代码执行之后生成的文件，并支持在文件列表中下载或上传文件；</w:t>
            </w:r>
          </w:p>
          <w:p w14:paraId="1EE6BCF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4.提供大数据中心：</w:t>
            </w:r>
          </w:p>
          <w:p w14:paraId="72B11BF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4.1 包含5000多家上市公司数据，涵盖公司简介、财务报表摘要、资产负债表、利润表、现金流量表、股票价格等财务数据。系统能够按照公司名称或者股票代码（上市公司）进行检索，可以实时显示上市公司数据的总数量；</w:t>
            </w:r>
          </w:p>
          <w:p w14:paraId="24BC92D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b/>
                <w:bCs/>
                <w:sz w:val="24"/>
                <w:szCs w:val="24"/>
              </w:rPr>
            </w:pPr>
            <w:r>
              <w:rPr>
                <w:rFonts w:hint="eastAsia" w:ascii="宋体" w:hAnsi="宋体" w:eastAsia="宋体" w:cs="宋体"/>
                <w:sz w:val="24"/>
                <w:szCs w:val="24"/>
              </w:rPr>
              <w:t>4.2 ★提供板块模式，按照行业板块和地域板块对上市公司进行分类，可以实时显示行业板块和地域板块的各个板块的上市公司总数量，其中行业板块包含种植业与林业、造纸、专用设备、中药、证券、综合、自动化设备、养殖业、医药商业、银行、仪器仪表等110个行业板块，地域板块包含天津、河北、山西、内蒙古、辽宁、吉林、黑龙江、上海、江苏等</w:t>
            </w:r>
            <w:r>
              <w:rPr>
                <w:rFonts w:hint="eastAsia" w:ascii="宋体" w:hAnsi="宋体" w:eastAsia="宋体" w:cs="宋体"/>
                <w:sz w:val="24"/>
                <w:szCs w:val="24"/>
                <w:lang w:val="en-US" w:eastAsia="zh-CN"/>
              </w:rPr>
              <w:t>中国大陆地区31个省（区、市）的区域</w:t>
            </w:r>
            <w:r>
              <w:rPr>
                <w:rFonts w:hint="eastAsia" w:ascii="宋体" w:hAnsi="宋体" w:eastAsia="宋体" w:cs="宋体"/>
                <w:sz w:val="24"/>
                <w:szCs w:val="24"/>
              </w:rPr>
              <w:t>板块；大数据中心数据所有数据包括每个行业板块的总数据、任意公司任意一项数据都能够支持直接下载数据或者复制链接的方式获取数据，可在Python开发环境中直接利用爬虫工具通过复制的数据链接爬取数据，以上数据每年至少更新一次；</w:t>
            </w:r>
            <w:r>
              <w:rPr>
                <w:rFonts w:hint="eastAsia" w:ascii="宋体" w:hAnsi="宋体" w:eastAsia="宋体" w:cs="宋体"/>
                <w:b/>
                <w:bCs/>
                <w:sz w:val="24"/>
                <w:szCs w:val="24"/>
              </w:rPr>
              <w:t>（本条参数为核心参数，现场需演示，现场未能演示或演示不满足本条要求，视为投标无效）</w:t>
            </w:r>
          </w:p>
          <w:p w14:paraId="3F0B9DD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4.3 宏观数据板块，提供</w:t>
            </w:r>
            <w:r>
              <w:rPr>
                <w:rFonts w:hint="eastAsia" w:ascii="宋体" w:hAnsi="宋体" w:eastAsia="宋体" w:cs="宋体"/>
                <w:sz w:val="24"/>
                <w:szCs w:val="24"/>
                <w:lang w:val="en-US" w:eastAsia="zh-CN"/>
              </w:rPr>
              <w:t>自1996年以来的</w:t>
            </w:r>
            <w:r>
              <w:rPr>
                <w:rFonts w:hint="eastAsia" w:ascii="宋体" w:hAnsi="宋体" w:eastAsia="宋体" w:cs="宋体"/>
                <w:sz w:val="24"/>
                <w:szCs w:val="24"/>
              </w:rPr>
              <w:t>宏观数据，涵盖27大类别共不少于550项，27大类分别为综合类、国民经济核算、人口、就业人员和工资、固定资产投资和房地产、对外经济贸易、能源、财政、价格指数、人民生活、城市概况、资源和环境、农业、工业、建筑业、运输和邮电、批发和零售业、住宿和餐饮业、旅游业、金融业、教育、科技、卫生、社会服务、文化、体育、公共管理社会保障及其他。任意一项数据都能够支持直接下载数据或者复制链接的方式获取数据，以上数据每年至少更新一次；</w:t>
            </w:r>
          </w:p>
          <w:p w14:paraId="0BBBB2D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4.4 提供拓展资源板块，涵盖5大类别共60项，5大类分别为国家统计数据、地方公共数据、金融财经数据、前沿动态、研究报告；子类别包括但不限于国家统计局公开数据、工信部公开数据、人社部公开数据、发改委公开数据、教育部公开数据、各省市地方公共数据、证券交易所公开数据、财经网站公开数据、大数据前沿网站、大数据行业研究报告等；</w:t>
            </w:r>
          </w:p>
          <w:p w14:paraId="06D59DB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b/>
                <w:bCs/>
                <w:sz w:val="24"/>
                <w:szCs w:val="24"/>
              </w:rPr>
            </w:pPr>
            <w:r>
              <w:rPr>
                <w:rFonts w:hint="eastAsia" w:ascii="宋体" w:hAnsi="宋体" w:eastAsia="宋体" w:cs="宋体"/>
                <w:sz w:val="24"/>
                <w:szCs w:val="24"/>
              </w:rPr>
              <w:t>5.★Python编程题目支持机器自动判分功能，运行评分代码后，运行结果自动给出评分结果，判分功能采用逻辑判分模式，支持采用与答案不同逻辑结构的代码块，能够正确解决题目要求，逻辑正确即可获得满分；</w:t>
            </w:r>
            <w:r>
              <w:rPr>
                <w:rFonts w:hint="eastAsia" w:ascii="宋体" w:hAnsi="宋体" w:eastAsia="宋体" w:cs="宋体"/>
                <w:b/>
                <w:bCs/>
                <w:sz w:val="24"/>
                <w:szCs w:val="24"/>
              </w:rPr>
              <w:t>（本条参数为核心参数，现场需演示，现场未能演示或演示不满足本条要求，视为投标无效）</w:t>
            </w:r>
          </w:p>
          <w:p w14:paraId="2B2CD0E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b/>
                <w:bCs/>
                <w:sz w:val="24"/>
                <w:szCs w:val="24"/>
              </w:rPr>
            </w:pPr>
            <w:r>
              <w:rPr>
                <w:rFonts w:hint="eastAsia" w:ascii="宋体" w:hAnsi="宋体" w:eastAsia="宋体" w:cs="宋体"/>
                <w:sz w:val="24"/>
                <w:szCs w:val="24"/>
              </w:rPr>
              <w:t>6.平台具有在线jupyter开发环境，可进行 python 代码编写，在线执行并查看执行结果；</w:t>
            </w:r>
          </w:p>
          <w:p w14:paraId="016FD40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sz w:val="24"/>
                <w:szCs w:val="24"/>
              </w:rPr>
              <w:t>7.▲学生案例结果上传及分享：支持学生上传项目源码文件、分析结果文件、项目报告文件，教师可在后台查阅学生案例结果文件，学生可选择分享，分享之后学生案例结果文件可在成果展示区供班级其他学生查阅，并支持班级所有学生点赞，具有点赞排行榜，同时平台提供项目目标教学供学生参考，平台提供参考可视化结果，以及引导性分析报告；</w:t>
            </w:r>
            <w:r>
              <w:rPr>
                <w:rFonts w:hint="eastAsia" w:ascii="宋体" w:hAnsi="宋体" w:eastAsia="宋体" w:cs="宋体"/>
                <w:b/>
                <w:bCs/>
                <w:sz w:val="24"/>
                <w:szCs w:val="24"/>
                <w:lang w:eastAsia="zh-CN"/>
              </w:rPr>
              <w:t>【佐证材料：提供有CMA（中国计量认证）或CNAS（中国合格评定国家认可委员会认证）标志的，软件测试报告扫描件并加盖投标人公章，测试报告须完整体现以上功能参数，未能完整体现或未提供不得分。】</w:t>
            </w:r>
          </w:p>
          <w:p w14:paraId="4FA1CB0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8.管理端：</w:t>
            </w:r>
          </w:p>
          <w:p w14:paraId="107DE80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8.1 教师管理功能：提供新增、修改和删除教师账号功能，可进行批量新增、批量授权、批量延期等批量操作；提供控制教师账号权限管理，包括课程管理、试卷管理、竞赛试卷管理等权限；提供修改教师账号角色的功能；提供设置教师账号状态功能，状态包括有效、过期、锁定；提供设置教师账号到期时间功能，可选定一个具体的时间点（年月日）；</w:t>
            </w:r>
          </w:p>
          <w:p w14:paraId="5FFA977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8.2 行政班级功能：提供新增、修改、删除和查找行政班的功能，支持行政班单个学生账号增加，也支持批量添加学生账号和Excel文件导入学生账号；提供根据用户名或者状态对学生信息进行增删改查功能，支持给学生设置有效、锁定、过期等多个状态，支持设置学生账号有效期（年月日）；提供行政班级教师授权功能，可授权其他教师以选择行政班级中的学生开展教学班授课；</w:t>
            </w:r>
          </w:p>
          <w:p w14:paraId="657B9DE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8.3 教学班级功能：提供新增、修改、删除和查找教学班级的功能；支持设置课程和带班老师；提供学生管理、教学管理、考试管理和统计分析功能；</w:t>
            </w:r>
          </w:p>
          <w:p w14:paraId="7A8F243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8.3.1 学生管理功能：提供新增、查询、移除学生等功能，提供批量移除功能；</w:t>
            </w:r>
          </w:p>
          <w:p w14:paraId="37087EB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8.3.2 教学管理功能：提供成绩总览、章节明细、进度控制、签到管理等功能；提供搜索查询学生、导出学生成绩功能，支持详细查看学生各个章节完成情况、学习进度和分数，支持详细查看和导出学生学习报告；支持锁定、隐藏章节节点，支持隐藏题目答案和答题结果（勾选后，学生无法查看题目答案和答题结果），也支持隐藏题目答案但显示答题结果（勾选后，学生无法查看题目答案，但可以查看答题结果）；提供新增、搜索签到活动，支持设置签到开始时间和结束时间，可跟踪学生签到状态及具体签到时间，支持修改学生签到状态（正常、缺勤、迟到、早退、事假、病假）；</w:t>
            </w:r>
          </w:p>
          <w:p w14:paraId="7A738F9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8.3.3 考试管理功能：提供新增考试功能，可设置考试名称、试卷选择、考试时间、成绩查看权限（无法查看、交卷后可看、结束后可看）、学生范围（全部学生、指定学生）、发布状态和考试描述；支持直接查看学生成绩（交卷状态、总分）、导出成绩、生成和下载班级考试总报告，支持查看和导出学生单人报告，可重置交卷；</w:t>
            </w:r>
          </w:p>
          <w:p w14:paraId="798978D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sz w:val="24"/>
                <w:szCs w:val="24"/>
              </w:rPr>
              <w:t>8.3.4 成绩报告：支持生成班级所有学生的某个课程章节模块或某次考试的成绩报告，生成时具有进度条显示生成进度，生成完毕时进度条变成下载按钮，支持下载报告为PDF文档，支持单独查看每位学生的成绩报告及单独下载某位学生的成绩报告；</w:t>
            </w:r>
          </w:p>
          <w:p w14:paraId="37C7DB3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sz w:val="24"/>
                <w:szCs w:val="24"/>
              </w:rPr>
              <w:t>8.3.5 ▲统计分析：支持查看学生课程模块得分率统计图，统计图以条状图形式呈现，并支持按项目-模块-题型-题目多级查看，支持以不同的颜色显示不同的得分率区间，支持选择图例以单独显示某些指标信息；</w:t>
            </w:r>
            <w:r>
              <w:rPr>
                <w:rFonts w:hint="eastAsia" w:ascii="宋体" w:hAnsi="宋体" w:eastAsia="宋体" w:cs="宋体"/>
                <w:b/>
                <w:bCs/>
                <w:sz w:val="24"/>
                <w:szCs w:val="24"/>
                <w:lang w:eastAsia="zh-CN"/>
              </w:rPr>
              <w:t>【佐证材料：提供有CMA（中国计量认证）或CNAS（中国合格评定国家认可委员会认证）标志的，软件测试报告扫描件并加盖投标人公章，测试报告须完整体现以上功能参数，未能完整体现或未提供不得分。】</w:t>
            </w:r>
          </w:p>
          <w:p w14:paraId="5091880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sz w:val="24"/>
                <w:szCs w:val="24"/>
              </w:rPr>
              <w:t>8.3.6 ▲在线时长：支持查看学生的在线学习时间统计，包含首次登录时间、最后登录时间、在线总时长、今日在线时长、上次在线时长和在线状态等，并支持通过图表展示在线时长统计情况，图表以线形图形式呈现学生的在线总时长、今日在线时长、上次在线时长的信息，支持按不同维度排序，支持选择图例以单独显示某些指标信息，支持下载图表；</w:t>
            </w:r>
            <w:r>
              <w:rPr>
                <w:rFonts w:hint="eastAsia" w:ascii="宋体" w:hAnsi="宋体" w:eastAsia="宋体" w:cs="宋体"/>
                <w:b/>
                <w:bCs/>
                <w:sz w:val="24"/>
                <w:szCs w:val="24"/>
                <w:lang w:eastAsia="zh-CN"/>
              </w:rPr>
              <w:t>【佐证材料：提供有CMA（中国计量认证）或CNAS（中国合格评定国家认可委员会认证）标志的，软件测试报告扫描件并加盖投标人公章，测试报告须完整体现以上功能参数，未能完整体现或未提供不得分。】</w:t>
            </w:r>
          </w:p>
          <w:p w14:paraId="76922B3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8.4 公告管理功能：提供新增、修改和删除公告的功能，可指定公告的启用时间、截止时间、启用状态；公告内容支持普通本文模式和MarkDown模式；</w:t>
            </w:r>
          </w:p>
          <w:p w14:paraId="0EDB63A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8.5 日志记录功能：提供查看用户登录时间、退出时间等功能日志，可详细跟踪用户使用平台状态；</w:t>
            </w:r>
          </w:p>
          <w:p w14:paraId="1B595F6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8.6 课程管理：提供新增、查看、搜索课程功能，包括设置课程名称、课程类型、动态年、课程排序、课程描述、课程备注、LOGO引用或上传并使用；提供进入课程、模拟做题功能；</w:t>
            </w:r>
          </w:p>
          <w:p w14:paraId="52F35A5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8.7 试卷管理功能：提供新增、查看、搜索试卷功能，包括设置试卷名称、关联产品、发布状态、开放状态、模式选择（普通模式、单题模式、案例模式、综合模式）、题目组合、题目乱序、排序、动态年和备注；查看试卷后提供题型汇总功能，可查看试卷内题目类型、题数和总分情况，可预览和查看题目；</w:t>
            </w:r>
          </w:p>
          <w:p w14:paraId="10F174D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8.8 资源管理功能：提供新建资源库文件夹，整理资源数据功能，支持删除、移动、分享、上传、重命名等功能；</w:t>
            </w:r>
          </w:p>
          <w:p w14:paraId="32118CCA">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8.9 统计分析：包含站点统计（管理员账号可查看）和教学统计（教师账号可查看）；</w:t>
            </w:r>
          </w:p>
          <w:p w14:paraId="3756CA1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8.9.1 站点统计；汇总官方课程总数、官方微课总数、官方PPT总数、官方PDF总数、官方试卷总数、教师总数、学生总数、行政班总数、教学班总数；以动态图表的方式展示课程资源汇总、教师开课情况、年度课程学习人数汇总、在线人数统计（支持最近3小时、6小时区间切换）、学生新增人数；</w:t>
            </w:r>
          </w:p>
          <w:p w14:paraId="724FD73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8.9.2 教学统计：汇总官方课程总数、官方微课总数、官方PPT总数、官方PDF总数、官方试卷总数、学生总数、行政班总数、教学班总数；以动态图表的方式展示课程资源汇总、学生新增人数、年度行政班人数汇总、年度教学班人数汇总；</w:t>
            </w:r>
          </w:p>
          <w:p w14:paraId="6B1FCCAA">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8.10 个人信息管理：</w:t>
            </w:r>
          </w:p>
          <w:p w14:paraId="4C2F858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8.10.1 提供账号姓名、头像和密码等修改功能；</w:t>
            </w:r>
          </w:p>
          <w:p w14:paraId="6A518BE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8.10.2 提供绑定手机号码的功能，用户可以将账号与手机号码绑定，绑定后可以通过手机登录平台；</w:t>
            </w:r>
          </w:p>
          <w:p w14:paraId="4949B6C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8.11 帮助工具：提供帮助手册、密码锁屏和QQ咨询调用功能，用户可选择会计内容咨询或平台技术咨询，自动调用QQ跳转会话框进行咨询；提供数据查询列显隐功能；</w:t>
            </w:r>
          </w:p>
          <w:p w14:paraId="67B0293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9.学生端功能：</w:t>
            </w:r>
          </w:p>
          <w:p w14:paraId="0EFDD51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9.1 个人信息管理功能：</w:t>
            </w:r>
          </w:p>
          <w:p w14:paraId="70C0C89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9.1.1 提供账号姓名、密码等修改功能；</w:t>
            </w:r>
          </w:p>
          <w:p w14:paraId="664A281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9.1.2 系统云平台提供绑定手机号码的功能，用户可以将账号与手机号码绑定，绑定后可以通过手机号输入验证码登录平台，同时支持绑定微信及QQ登录平台；</w:t>
            </w:r>
          </w:p>
          <w:p w14:paraId="44DF69A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9.2 学习统计功能：提供学生在课程下的学习状况统计雷达图，具有两张雷达图并可交互，一张雷达图显示每个项目的总分、合格分和得分信息，点击任意一个项目，另外一张雷达图对应显示该项目下每个任务的总分、合格分和得分信息；同时可以控制选择雷达图只显示总分、得分、合格分任意一种或组合信息；主界面还具有显示每个项目的总分、得分和正确率的统计列表，点击关闭按钮可隐藏该统计列表；</w:t>
            </w:r>
          </w:p>
          <w:p w14:paraId="6B477FF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9.3 章节进度功能：在平台主界面展开任一项目，该项目下的每个子任务都自带有学习进度条，进度条具有百分比数值以及不同的颜色来展示学习进度；</w:t>
            </w:r>
          </w:p>
          <w:p w14:paraId="28E826A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9.4 收藏题目功能：提供收藏题目功能，可在收藏列表中查看所有收藏的题目，方便针对性的学习；</w:t>
            </w:r>
          </w:p>
          <w:p w14:paraId="0C4111D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9.5 工具箱功能：提供普通计算器、科学计算器功能；提供金融计算器功能；</w:t>
            </w:r>
          </w:p>
          <w:p w14:paraId="0242E14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9.6 嵌入式网页PPT功能：提供画笔标注功能，包括画笔、荧光笔、橡皮擦；提供上下翻页、单页单独打开功能；提供PPT导航、模糊搜索内容功能；提供场景对话交互功能；内置客观题，包括单选、多选、判断等题型，支持将PPT切换成PDF模式阅览；</w:t>
            </w:r>
          </w:p>
          <w:p w14:paraId="210787A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9.7 答题（试卷）报告功能：根据每个章节的课后练习或者试卷答题情况一一对应生成单独的答题报告或者试卷报告，报告中包含整份课后练习或整套试卷的总正确率以及每种题型的正确率统计图，包含课后练习或试卷的各类型题目的正确数、错误数、已做题目数、未做题目数和题目总数的统计表，可以查看到学生具体答题信息、正确答案以及题目解析，并支持将答题报告及试卷报告导出为PDF文档；</w:t>
            </w:r>
          </w:p>
          <w:p w14:paraId="1BD2BA58">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9.8 签到系统：内嵌签到模块，在指定时间内进行签到，在表格模式进行签到操作及查看签到情况及状态，在图形模式下统计签到记录情况；</w:t>
            </w:r>
          </w:p>
          <w:p w14:paraId="7D1D643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9.9 排行榜：内嵌排行榜模块，可以查看同班同学的总分得分情况，图形模式以柱状图进行显示总分得分情况；</w:t>
            </w:r>
          </w:p>
          <w:p w14:paraId="6DBC8965">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color w:val="0C0C0C"/>
                <w:sz w:val="24"/>
                <w:szCs w:val="24"/>
              </w:rPr>
            </w:pPr>
            <w:r>
              <w:rPr>
                <w:rFonts w:hint="eastAsia" w:ascii="宋体" w:hAnsi="宋体" w:eastAsia="宋体" w:cs="宋体"/>
                <w:sz w:val="24"/>
                <w:szCs w:val="24"/>
              </w:rPr>
              <w:t>10.▲平台配套提供电子游戏沙盘：以Unity引擎为核心，采用趣味小游戏的方式模拟财务共享推演，沙盘包含FSSC战略定位、建设模式设计、选址城市评估、职能调整、组织结构、人员测算、流程优化前提、流程职责切分、流程优化设计共不少于9个关卡；游戏沙盘包含前情提要、集团背景、关卡任务资料、工具箱</w:t>
            </w:r>
            <w:r>
              <w:rPr>
                <w:rFonts w:hint="eastAsia" w:ascii="宋体" w:hAnsi="宋体" w:eastAsia="宋体" w:cs="宋体"/>
                <w:color w:val="0C0C0C"/>
                <w:sz w:val="24"/>
                <w:szCs w:val="24"/>
              </w:rPr>
              <w:t>、自动判分、正确答案查看等功能，采用拖拽小旗、拖拽卡片、动态箭头指示等游戏互动操作方式完成沙盘推演；</w:t>
            </w:r>
            <w:r>
              <w:rPr>
                <w:rFonts w:hint="eastAsia" w:ascii="宋体" w:hAnsi="宋体" w:eastAsia="宋体" w:cs="宋体"/>
                <w:b/>
                <w:bCs/>
                <w:sz w:val="24"/>
                <w:szCs w:val="24"/>
              </w:rPr>
              <w:t>（本条需现场需演示，现场未能演示或演示不满足本条要求，则不得分）</w:t>
            </w:r>
          </w:p>
          <w:p w14:paraId="3E9AD493">
            <w:pPr>
              <w:keepNext w:val="0"/>
              <w:keepLines w:val="0"/>
              <w:pageBreakBefore w:val="0"/>
              <w:widowControl w:val="0"/>
              <w:kinsoku/>
              <w:overflowPunct/>
              <w:topLinePunct w:val="0"/>
              <w:autoSpaceDE/>
              <w:autoSpaceDN/>
              <w:bidi w:val="0"/>
              <w:adjustRightInd/>
              <w:snapToGrid/>
              <w:spacing w:line="300" w:lineRule="exact"/>
              <w:jc w:val="left"/>
              <w:textAlignment w:val="auto"/>
              <w:rPr>
                <w:rFonts w:ascii="宋体" w:hAnsi="宋体" w:eastAsia="宋体" w:cs="宋体"/>
                <w:b/>
                <w:bCs/>
                <w:sz w:val="24"/>
                <w:szCs w:val="24"/>
              </w:rPr>
            </w:pPr>
            <w:r>
              <w:rPr>
                <w:rFonts w:hint="eastAsia" w:ascii="宋体" w:hAnsi="宋体" w:eastAsia="宋体" w:cs="宋体"/>
                <w:b/>
                <w:bCs/>
                <w:sz w:val="24"/>
                <w:szCs w:val="24"/>
              </w:rPr>
              <w:t>（二）内容参数</w:t>
            </w:r>
          </w:p>
          <w:p w14:paraId="1B1178C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1.主要内容：</w:t>
            </w:r>
          </w:p>
          <w:p w14:paraId="539C3B9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1.1 项目一 财务大数据分析-Python基础，包含以下不少于10个任务：任务1 认识Python语言（Python编辑器使用等）；任务2 第一个Python程序（print语句等）；任务3 数据类型-数值（数值类型、运算符等）；任务4 数据类型-字符串；任务5 高级数据类型（列表、元组、字典等）；任务6 流程控制-条件语句；任务7 流程控制-循环语句（while循环、for循环等）；任务8 函数；任务9 函数参数和变量作用域；任务10 高阶函数；</w:t>
            </w:r>
          </w:p>
          <w:p w14:paraId="5AE0ECD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1.2 项目二 财务大数据分析-数据获取（爬虫），包含以下至少2个任务：任务1 了解爬虫（爬虫基本原理、爬虫基本流程等）；任务2 运用爬虫工具获取数据（requests.get方法、数据保存、自定义爬虫函数等）；</w:t>
            </w:r>
          </w:p>
          <w:p w14:paraId="62A1F06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 项目三 财务大数据分析-数据处理（Pandas），包含以下至少8个任务：任务1 Pandas 基础认知（NumPy数组创建、DataFrame创建、DataFrame运算及基本函数等）；任务2 Pandas 数据筛选查询；任务3 Pandas 数据处理；任务4 Pandas 数据清洗；任务5 Pandas 数据特征分析；任务6 Pandas 数据连接；任务7 Pandas 数据分组聚合；任务8 Pandas 数据透视 ；</w:t>
            </w:r>
          </w:p>
          <w:p w14:paraId="4CB92F0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1.4</w:t>
            </w:r>
            <w:r>
              <w:rPr>
                <w:rFonts w:hint="eastAsia" w:ascii="宋体" w:hAnsi="宋体" w:eastAsia="宋体" w:cs="宋体"/>
                <w:sz w:val="24"/>
                <w:szCs w:val="24"/>
              </w:rPr>
              <w:t xml:space="preserve"> 项目四 财务大数据分析-数据可视化（Matplotlib &amp; Pyecharts），包含以下至少2个任务：任务1 Matplotlib基础应用（Matplotlib初级应用、pandas作图函数等）；任务2 Pyecharts基础应用（包括配置项、柱状图、饼图、面积图、并行多图、顺序多图等）；</w:t>
            </w:r>
          </w:p>
          <w:p w14:paraId="2DBB2998">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1.5 项目五 财务大数据分析-实战演练，包含以下至少5个任务：任务1销售情况分析；任务2 企业财务报表分析；任务3 行业指标分析；任务4 多维度盈利能力分析；任务5 电商数据分析；</w:t>
            </w:r>
          </w:p>
          <w:p w14:paraId="2D28B36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1.6 Python拓展应用：需包含机器学习模型、算法应用等内容；</w:t>
            </w:r>
          </w:p>
          <w:p w14:paraId="602B2BA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2.微课（不少于5个）：</w:t>
            </w:r>
            <w:r>
              <w:rPr>
                <w:rFonts w:hint="eastAsia" w:ascii="宋体" w:hAnsi="宋体" w:eastAsia="宋体" w:cs="宋体"/>
                <w:sz w:val="24"/>
                <w:szCs w:val="24"/>
                <w:lang w:val="en-US" w:eastAsia="zh-CN"/>
              </w:rPr>
              <w:t>单条</w:t>
            </w:r>
            <w:r>
              <w:rPr>
                <w:rFonts w:hint="eastAsia" w:ascii="宋体" w:hAnsi="宋体" w:eastAsia="宋体" w:cs="宋体"/>
                <w:sz w:val="24"/>
                <w:szCs w:val="24"/>
              </w:rPr>
              <w:t>时长</w:t>
            </w:r>
            <w:r>
              <w:rPr>
                <w:rFonts w:hint="eastAsia" w:ascii="宋体" w:hAnsi="宋体" w:eastAsia="宋体" w:cs="宋体"/>
                <w:sz w:val="24"/>
                <w:szCs w:val="24"/>
                <w:lang w:val="en-US" w:eastAsia="zh-CN"/>
              </w:rPr>
              <w:t>限定为1至</w:t>
            </w:r>
            <w:r>
              <w:rPr>
                <w:rFonts w:hint="eastAsia" w:ascii="宋体" w:hAnsi="宋体" w:eastAsia="宋体" w:cs="宋体"/>
                <w:sz w:val="24"/>
                <w:szCs w:val="24"/>
              </w:rPr>
              <w:t>10分钟的动画短视频形式，讲解对应知识点。</w:t>
            </w:r>
          </w:p>
          <w:p w14:paraId="79E13BEA">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3.PPT（不少于20个）：与上述项目任务内容对应；</w:t>
            </w:r>
          </w:p>
          <w:p w14:paraId="0975B46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4.慕课（不少于35个）：与上述项目任务内容对应；</w:t>
            </w:r>
          </w:p>
          <w:p w14:paraId="4FFCCE28">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5.课堂示例（不少于100题）；</w:t>
            </w:r>
          </w:p>
          <w:p w14:paraId="371CB47A">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6.课后习题：单选题（不少于160题）；多选题（不少于50题）；判断题（不少于100题）；Python题（不少于</w:t>
            </w:r>
            <w:r>
              <w:rPr>
                <w:rFonts w:hint="eastAsia" w:ascii="宋体" w:hAnsi="宋体" w:eastAsia="宋体" w:cs="宋体"/>
                <w:sz w:val="24"/>
                <w:szCs w:val="24"/>
                <w:lang w:val="en-US" w:eastAsia="zh-CN"/>
              </w:rPr>
              <w:t>30</w:t>
            </w:r>
            <w:r>
              <w:rPr>
                <w:rFonts w:hint="eastAsia" w:ascii="宋体" w:hAnsi="宋体" w:eastAsia="宋体" w:cs="宋体"/>
                <w:sz w:val="24"/>
                <w:szCs w:val="24"/>
              </w:rPr>
              <w:t>题）。</w:t>
            </w:r>
          </w:p>
          <w:p w14:paraId="5730A8A1">
            <w:pPr>
              <w:keepNext w:val="0"/>
              <w:keepLines w:val="0"/>
              <w:pageBreakBefore w:val="0"/>
              <w:widowControl w:val="0"/>
              <w:kinsoku/>
              <w:overflowPunct/>
              <w:topLinePunct w:val="0"/>
              <w:autoSpaceDE/>
              <w:autoSpaceDN/>
              <w:bidi w:val="0"/>
              <w:adjustRightInd/>
              <w:snapToGrid/>
              <w:spacing w:line="300" w:lineRule="exact"/>
              <w:jc w:val="left"/>
              <w:textAlignment w:val="auto"/>
              <w:rPr>
                <w:rFonts w:ascii="宋体" w:hAnsi="宋体" w:eastAsia="宋体" w:cs="宋体"/>
                <w:b/>
                <w:bCs/>
                <w:sz w:val="24"/>
                <w:szCs w:val="24"/>
              </w:rPr>
            </w:pPr>
            <w:r>
              <w:rPr>
                <w:rFonts w:hint="eastAsia" w:ascii="宋体" w:hAnsi="宋体" w:eastAsia="宋体" w:cs="宋体"/>
                <w:b/>
                <w:bCs/>
                <w:sz w:val="24"/>
                <w:szCs w:val="24"/>
              </w:rPr>
              <w:t>（三）线上共享记账平台（配套不少于150个为期36个月在线共享记账平台账号）</w:t>
            </w:r>
          </w:p>
          <w:p w14:paraId="52EA78B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1.智能日记账：</w:t>
            </w:r>
          </w:p>
          <w:p w14:paraId="657817A5">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1.1 日记账能够支持电脑、手机使用，手机上使用时按手机屏幕比例显示清晰，支持权限设置，分登记权限、修改权限、删除权限、对账权限等；可设置账户管理人员，只有具备账户管理权限的人员才能查询、并且管理此账户中的收支记录；</w:t>
            </w:r>
          </w:p>
          <w:p w14:paraId="371D2625">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b/>
                <w:bCs/>
                <w:sz w:val="24"/>
                <w:szCs w:val="24"/>
              </w:rPr>
            </w:pPr>
            <w:r>
              <w:rPr>
                <w:rFonts w:hint="eastAsia" w:ascii="宋体" w:hAnsi="宋体" w:eastAsia="宋体" w:cs="宋体"/>
                <w:sz w:val="24"/>
                <w:szCs w:val="24"/>
              </w:rPr>
              <w:t>1.2 ▲具备智能记账功能，录入一段文字就可智能分析出交易日期、交易金额、收支科目、对方单位、部门、经办人，并且根据部门分析收支科目为销售费用、管理费用等；</w:t>
            </w:r>
            <w:r>
              <w:rPr>
                <w:rFonts w:hint="eastAsia" w:ascii="宋体" w:hAnsi="宋体" w:eastAsia="宋体" w:cs="宋体"/>
                <w:b/>
                <w:bCs/>
                <w:sz w:val="24"/>
                <w:szCs w:val="24"/>
              </w:rPr>
              <w:t>（本条需现场需演示，现场未能演示或演示不满足本条要求，则不得分）</w:t>
            </w:r>
          </w:p>
          <w:p w14:paraId="1FF0E3E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1.3 记账时支持选择本地图片、QQ截图并直接粘贴在界面上、手机微信扫码无缝上传三种方式将原始票据附在账目上，并且可进行放大、缩小、旋转、拖拽显示；</w:t>
            </w:r>
          </w:p>
          <w:p w14:paraId="02B791C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1.4 能生成月报表，按柱状图显示不少于13个月收入、支出、利润、账面余额；可同时选取5个收支科目进行不少于13个月对比，以曲线图方式展示数据的变化趋势及相互作用关系；能将月报表导出成Excel文件格式；</w:t>
            </w:r>
          </w:p>
          <w:p w14:paraId="4BCBF68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sz w:val="24"/>
                <w:szCs w:val="24"/>
              </w:rPr>
              <w:t>1.5 ▲账面总览：展示总金额以及银行账户的余额并按照月份进行图表的呈现。根据需要进行本月收入小计、本月支出小计、本月收支差、本月应收余额、本月应付余额、全部应收余额、全部应付余额以及本月支出TOP5等项目的统计分析；</w:t>
            </w:r>
            <w:r>
              <w:rPr>
                <w:rFonts w:hint="eastAsia" w:ascii="宋体" w:hAnsi="宋体" w:eastAsia="宋体" w:cs="宋体"/>
                <w:b/>
                <w:bCs/>
                <w:sz w:val="24"/>
                <w:szCs w:val="24"/>
                <w:lang w:eastAsia="zh-CN"/>
              </w:rPr>
              <w:t>【佐证材料：提供有CMA（中国计量认证）或CNAS（中国合格评定国家认可委员会认证）标志的，软件测试报告扫描件并加盖投标人公章，测试报告须完整体现以上功能参数，未能完整体现或未提供不得分。】</w:t>
            </w:r>
          </w:p>
          <w:p w14:paraId="44FB75B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2.应收应付：</w:t>
            </w:r>
          </w:p>
          <w:p w14:paraId="576C3A68">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2.1 支持收款核销或付款核销，核销过程中允许抹零扣费，即抹掉零头、扣除手续费、其他扣费，支持两种核销方式，直接录入核销金额或者从已有的收支账目中选取进行核销；</w:t>
            </w:r>
          </w:p>
          <w:p w14:paraId="6AD60F6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2.2登记应收应付时支持选择本地图片、QQ截图并直接粘贴在界面上、手机微信扫码无缝上传三种方式将原始票据附在日记账上；</w:t>
            </w:r>
          </w:p>
          <w:p w14:paraId="0896E44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2.3 支持合并收款或合并付款，多笔应收应付可合并，合并后还可跟未合并的记录进行多次合并，应收应付金额自动根据被合并的记录计算，合并后的记录可取消合并；</w:t>
            </w:r>
          </w:p>
          <w:p w14:paraId="70E41B9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3.物品管理：</w:t>
            </w:r>
          </w:p>
          <w:p w14:paraId="476D77C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sz w:val="24"/>
                <w:szCs w:val="24"/>
              </w:rPr>
              <w:t>3.1 ▲原材料、产成品、礼品管理：对企业的原材料、产成品、礼品进行入库、领用、库存等方面的管理，以及查看领用流水、原材料、产成品、礼品报表等功能，帮助掌握公司的原材料、产成品及礼品的实际情况；</w:t>
            </w:r>
            <w:r>
              <w:rPr>
                <w:rFonts w:hint="eastAsia" w:ascii="宋体" w:hAnsi="宋体" w:eastAsia="宋体" w:cs="宋体"/>
                <w:b/>
                <w:bCs/>
                <w:sz w:val="24"/>
                <w:szCs w:val="24"/>
                <w:lang w:eastAsia="zh-CN"/>
              </w:rPr>
              <w:t>【佐证材料：提供有CMA（中国计量认证）或CNAS（中国合格评定国家认可委员会认证）标志的，软件测试报告扫描件并加盖投标人公章，测试报告须完整体现以上功能参数，未能完整体现或未提供不得分。】</w:t>
            </w:r>
          </w:p>
          <w:p w14:paraId="7416E8F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3.2 ▲支持打印送货单，送货单可根据需要设置是否显示单价、金额，送货单上打印二维码，通过微信扫一扫查看电子送货单；</w:t>
            </w:r>
            <w:r>
              <w:rPr>
                <w:rFonts w:hint="eastAsia" w:ascii="宋体" w:hAnsi="宋体" w:eastAsia="宋体" w:cs="宋体"/>
                <w:b/>
                <w:bCs/>
                <w:sz w:val="24"/>
                <w:szCs w:val="24"/>
              </w:rPr>
              <w:t>（本条需现场需演示，现场未能演示或演示不满足本条要求，则不得分）</w:t>
            </w:r>
          </w:p>
          <w:p w14:paraId="7F42348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sz w:val="24"/>
                <w:szCs w:val="24"/>
              </w:rPr>
              <w:t>3.3 ▲物品统计报表：按月份统计并列表显示出每一种物品的月初余额、本月入库、本月出库、月末库存余额；支持用曲线图表显示出某一种物品在多个月内入库、出库的曲线；</w:t>
            </w:r>
            <w:r>
              <w:rPr>
                <w:rFonts w:hint="eastAsia" w:ascii="宋体" w:hAnsi="宋体" w:eastAsia="宋体" w:cs="宋体"/>
                <w:b/>
                <w:bCs/>
                <w:sz w:val="24"/>
                <w:szCs w:val="24"/>
                <w:lang w:eastAsia="zh-CN"/>
              </w:rPr>
              <w:t>【佐证材料：提供有CMA（中国计量认证）或CNAS（中国合格评定国家认可委员会认证）标志的，软件测试报告扫描件并加盖投标人公章，测试报告须完整体现以上功能参数，未能完整体现或未提供不得分。】</w:t>
            </w:r>
          </w:p>
          <w:p w14:paraId="0D47A3F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4.费用报销：</w:t>
            </w:r>
          </w:p>
          <w:p w14:paraId="091D091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4.1 费用报销支持自定义报销类别，如差旅报销、日常费用报销等；填写报销单时允许自己为自己填写报销单，也允许为他们填写报销单；一笔报销单允许多行明细，如机票费、住宿费等；</w:t>
            </w:r>
          </w:p>
          <w:p w14:paraId="7102692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b/>
                <w:bCs/>
                <w:sz w:val="24"/>
                <w:szCs w:val="24"/>
              </w:rPr>
            </w:pPr>
            <w:r>
              <w:rPr>
                <w:rFonts w:hint="eastAsia" w:ascii="宋体" w:hAnsi="宋体" w:eastAsia="宋体" w:cs="宋体"/>
                <w:sz w:val="24"/>
                <w:szCs w:val="24"/>
              </w:rPr>
              <w:t>4.2 ▲填写报销单时支持选择本地图片、QQ截图并直接粘贴在界面上、手机微信扫码无缝上传三种方式附上原始票据附，最多可附15张原始票据；</w:t>
            </w:r>
            <w:r>
              <w:rPr>
                <w:rFonts w:hint="eastAsia" w:ascii="宋体" w:hAnsi="宋体" w:eastAsia="宋体" w:cs="宋体"/>
                <w:b/>
                <w:bCs/>
                <w:sz w:val="24"/>
                <w:szCs w:val="24"/>
              </w:rPr>
              <w:t>（本条需现场需演示，现场未能演示或演示不满足本条要求，则不得分）</w:t>
            </w:r>
          </w:p>
          <w:p w14:paraId="378E4F7A">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4.3 支持费用报销审批，可一次选择多级审批，也可一次选择一级，等这一级审批通过后填报人再选择一级进行审批的方式，最后一级审批完成可设置为自动交出纳付款；审批过程中，可审批通过、审批不通过，退回，或者提交人可撤回；</w:t>
            </w:r>
          </w:p>
          <w:p w14:paraId="15DF92E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5.项目（合同）管理：</w:t>
            </w:r>
          </w:p>
          <w:p w14:paraId="11F3E28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5.1 项目管理列表显示项目金额、已收金额、应收余额、已付金额、应付余额、利润；</w:t>
            </w:r>
          </w:p>
          <w:p w14:paraId="41880C9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5.2 项目详情显示与本项目（合同）有关的全部收支记录，有关的全部物品入库出库记录，有关的全部应收应付记录；</w:t>
            </w:r>
          </w:p>
          <w:p w14:paraId="2115390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b/>
                <w:bCs/>
                <w:sz w:val="24"/>
                <w:szCs w:val="24"/>
              </w:rPr>
            </w:pPr>
            <w:r>
              <w:rPr>
                <w:rFonts w:hint="eastAsia" w:ascii="宋体" w:hAnsi="宋体" w:eastAsia="宋体" w:cs="宋体"/>
                <w:sz w:val="24"/>
                <w:szCs w:val="24"/>
              </w:rPr>
              <w:t>5.3 ▲项目（合同）利润计算方式，可设置为按已收金额减去已付金额、应收金额减去应付金额、应收金额-已付金额、已收金额-应付金额或者应收金额-应付金额-日记账支出金额等不少于五种方式；</w:t>
            </w:r>
            <w:r>
              <w:rPr>
                <w:rFonts w:hint="eastAsia" w:ascii="宋体" w:hAnsi="宋体" w:eastAsia="宋体" w:cs="宋体"/>
                <w:b/>
                <w:bCs/>
                <w:sz w:val="24"/>
                <w:szCs w:val="24"/>
              </w:rPr>
              <w:t>（本条需现场需演示，现场未能演示或演示不满足本条要求，则不得分）</w:t>
            </w:r>
          </w:p>
          <w:p w14:paraId="252B36B8">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6.工资管理：</w:t>
            </w:r>
          </w:p>
          <w:p w14:paraId="769709E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sz w:val="24"/>
                <w:szCs w:val="24"/>
              </w:rPr>
              <w:t>6.1 ▲工资管理：支持添加、查询工资表。以工资模版的形式对工资表进行工资项目的调整。按年或者部门等方式进行工资的统计分析。工资表可以逐月进行调整、复核以及工资条发放以及工资条的导出备份，同时发放工资条时还可以以短信的方式进行通知；</w:t>
            </w:r>
            <w:r>
              <w:rPr>
                <w:rFonts w:hint="eastAsia" w:ascii="宋体" w:hAnsi="宋体" w:eastAsia="宋体" w:cs="宋体"/>
                <w:b/>
                <w:bCs/>
                <w:sz w:val="24"/>
                <w:szCs w:val="24"/>
                <w:lang w:eastAsia="zh-CN"/>
              </w:rPr>
              <w:t>【佐证材料：提供有CMA（中国计量认证）或CNAS（中国合格评定国家认可委员会认证）标志的，软件测试报告扫描件并加盖投标人公章，测试报告须完整体现以上功能参数，未能完整体现或未提供不得分。】</w:t>
            </w:r>
          </w:p>
          <w:p w14:paraId="72EDA9D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6.2 支持复核工资表，复核时可选择已有工资表进行对比，高亮显示同一员工不同之处，便于领导发现本月工资表与往月不一样之处；</w:t>
            </w:r>
          </w:p>
          <w:p w14:paraId="15CA05C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6.3 支持工资表记账，可将选定的员工工资记录合并为一笔产生一笔日记账，也可批量逐笔自动生成相同数量的日记账记录，支持从已有日记账中选取记录关联到工资表；</w:t>
            </w:r>
          </w:p>
          <w:p w14:paraId="41605C6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6.4 支持将工资表导出为Excel文件，并且可选择是否每一行打印表头，方便打印成工资条；</w:t>
            </w:r>
          </w:p>
          <w:p w14:paraId="5BFBE59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7.其他功能：</w:t>
            </w:r>
          </w:p>
          <w:p w14:paraId="7CDC63C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sz w:val="24"/>
                <w:szCs w:val="24"/>
              </w:rPr>
              <w:t>7.1 客户管理：支持客户的添加、收回、分配以及查询功能，并且支持excel的形式进行客户的导入与导出功能；</w:t>
            </w:r>
          </w:p>
          <w:p w14:paraId="36BAE08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b/>
                <w:bCs/>
                <w:sz w:val="24"/>
                <w:szCs w:val="24"/>
              </w:rPr>
            </w:pPr>
            <w:r>
              <w:rPr>
                <w:rFonts w:hint="eastAsia" w:ascii="宋体" w:hAnsi="宋体" w:eastAsia="宋体" w:cs="宋体"/>
                <w:sz w:val="24"/>
                <w:szCs w:val="24"/>
              </w:rPr>
              <w:t>7.2 ▲项目管理：包括项目开始结束日期，项目类别、项目金额、应付金额、应收金额，自动关联日记账数据，自动计算出已付金额、应付余额或已收金额、应收余额；</w:t>
            </w:r>
            <w:r>
              <w:rPr>
                <w:rFonts w:hint="eastAsia" w:ascii="宋体" w:hAnsi="宋体" w:eastAsia="宋体" w:cs="宋体"/>
                <w:b/>
                <w:bCs/>
                <w:sz w:val="24"/>
                <w:szCs w:val="24"/>
              </w:rPr>
              <w:t>（本条需现场需演示，现场未能演示或演示不满足本条要求，则不得分）</w:t>
            </w:r>
          </w:p>
          <w:p w14:paraId="73CC304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b/>
                <w:bCs/>
                <w:sz w:val="24"/>
                <w:szCs w:val="24"/>
              </w:rPr>
            </w:pPr>
            <w:r>
              <w:rPr>
                <w:rFonts w:hint="eastAsia" w:ascii="宋体" w:hAnsi="宋体" w:eastAsia="宋体" w:cs="宋体"/>
                <w:sz w:val="24"/>
                <w:szCs w:val="24"/>
              </w:rPr>
              <w:t>7.3 ▲工作周记：按照工作计划以及工作日记的形式进行记录，同时可以提供附加图片功能。管理员可以对每个用户进行权限管辖，以控制该用户查看周记的范围；</w:t>
            </w:r>
            <w:r>
              <w:rPr>
                <w:rFonts w:hint="eastAsia" w:ascii="宋体" w:hAnsi="宋体" w:eastAsia="宋体" w:cs="宋体"/>
                <w:b/>
                <w:bCs/>
                <w:sz w:val="24"/>
                <w:szCs w:val="24"/>
              </w:rPr>
              <w:t>（本条需现场需演示，现场未能演示或演示不满足本条要求，则不得分）</w:t>
            </w:r>
          </w:p>
          <w:p w14:paraId="1B81A76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7.4 外部报表功能：供上传税务账报表功能，可接受多种格式excel税务账报表，包括资产负债表，利润表、科目余额表等，上传的表格可设置分栏显示，包括分栏列头，方便在移动设备上查看报表；</w:t>
            </w:r>
          </w:p>
          <w:p w14:paraId="1576B7C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7.5 发票查重：提供发票查重支持两种方式，可通过手机扫一扫扫描电子发票的二维码实现查重，也可通过手工输入发票号码实现查重。</w:t>
            </w:r>
          </w:p>
        </w:tc>
      </w:tr>
      <w:tr w14:paraId="4359A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dxa"/>
            <w:vAlign w:val="center"/>
          </w:tcPr>
          <w:p w14:paraId="79A43AFB">
            <w:pPr>
              <w:keepNext w:val="0"/>
              <w:keepLines w:val="0"/>
              <w:pageBreakBefore w:val="0"/>
              <w:widowControl w:val="0"/>
              <w:kinsoku/>
              <w:overflowPunct/>
              <w:topLinePunct w:val="0"/>
              <w:autoSpaceDE/>
              <w:autoSpaceDN/>
              <w:bidi w:val="0"/>
              <w:adjustRightInd/>
              <w:snapToGrid/>
              <w:spacing w:before="120" w:beforeLines="50" w:after="120" w:afterLines="50" w:line="300" w:lineRule="exact"/>
              <w:jc w:val="center"/>
              <w:textAlignment w:val="auto"/>
              <w:rPr>
                <w:rFonts w:ascii="宋体" w:hAnsi="宋体" w:eastAsia="宋体" w:cs="宋体"/>
                <w:b/>
                <w:bCs/>
                <w:color w:val="000000"/>
                <w:sz w:val="24"/>
                <w:szCs w:val="24"/>
              </w:rPr>
            </w:pPr>
            <w:r>
              <w:rPr>
                <w:rFonts w:hint="eastAsia" w:ascii="宋体" w:hAnsi="宋体" w:eastAsia="宋体" w:cs="宋体"/>
                <w:b/>
                <w:bCs/>
                <w:color w:val="000000"/>
                <w:sz w:val="24"/>
                <w:szCs w:val="24"/>
              </w:rPr>
              <w:t>3</w:t>
            </w:r>
          </w:p>
        </w:tc>
        <w:tc>
          <w:tcPr>
            <w:tcW w:w="1237" w:type="dxa"/>
            <w:vAlign w:val="center"/>
          </w:tcPr>
          <w:p w14:paraId="10036731">
            <w:pPr>
              <w:keepNext w:val="0"/>
              <w:keepLines w:val="0"/>
              <w:pageBreakBefore w:val="0"/>
              <w:widowControl w:val="0"/>
              <w:kinsoku/>
              <w:overflowPunct/>
              <w:topLinePunct w:val="0"/>
              <w:autoSpaceDE/>
              <w:autoSpaceDN/>
              <w:bidi w:val="0"/>
              <w:adjustRightInd/>
              <w:snapToGrid/>
              <w:spacing w:before="120" w:beforeLines="50" w:after="120" w:afterLines="50" w:line="300" w:lineRule="exact"/>
              <w:jc w:val="center"/>
              <w:textAlignment w:val="auto"/>
              <w:rPr>
                <w:rFonts w:ascii="宋体" w:hAnsi="宋体" w:eastAsia="宋体" w:cs="宋体"/>
                <w:b/>
                <w:bCs/>
                <w:color w:val="000000"/>
                <w:sz w:val="24"/>
                <w:szCs w:val="24"/>
              </w:rPr>
            </w:pPr>
            <w:r>
              <w:rPr>
                <w:rFonts w:hint="eastAsia" w:ascii="宋体" w:hAnsi="宋体" w:eastAsia="宋体" w:cs="宋体"/>
                <w:b/>
                <w:bCs/>
                <w:color w:val="000000"/>
                <w:sz w:val="24"/>
                <w:szCs w:val="24"/>
              </w:rPr>
              <w:t>AI数智财务智能体实战平台</w:t>
            </w:r>
          </w:p>
        </w:tc>
        <w:tc>
          <w:tcPr>
            <w:tcW w:w="7307" w:type="dxa"/>
            <w:vAlign w:val="center"/>
          </w:tcPr>
          <w:p w14:paraId="2C991172">
            <w:pPr>
              <w:keepNext w:val="0"/>
              <w:keepLines w:val="0"/>
              <w:pageBreakBefore w:val="0"/>
              <w:widowControl w:val="0"/>
              <w:kinsoku/>
              <w:overflowPunct/>
              <w:topLinePunct w:val="0"/>
              <w:autoSpaceDE/>
              <w:autoSpaceDN/>
              <w:bidi w:val="0"/>
              <w:adjustRightInd/>
              <w:snapToGrid/>
              <w:spacing w:line="300" w:lineRule="exact"/>
              <w:jc w:val="left"/>
              <w:textAlignment w:val="auto"/>
              <w:rPr>
                <w:rFonts w:ascii="宋体" w:hAnsi="宋体" w:eastAsia="宋体" w:cs="宋体"/>
                <w:b/>
                <w:bCs/>
                <w:sz w:val="24"/>
                <w:szCs w:val="24"/>
              </w:rPr>
            </w:pPr>
            <w:r>
              <w:rPr>
                <w:rFonts w:hint="eastAsia" w:ascii="宋体" w:hAnsi="宋体" w:eastAsia="宋体" w:cs="宋体"/>
                <w:b/>
                <w:bCs/>
                <w:sz w:val="24"/>
                <w:szCs w:val="24"/>
              </w:rPr>
              <w:t>（一）技术参数</w:t>
            </w:r>
          </w:p>
          <w:p w14:paraId="2929719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1.软件要求支持安装在学校本地服务器，无站点限制，同时提供云平台使用服务，只需通过网页登录就可以进行使用。</w:t>
            </w:r>
          </w:p>
          <w:p w14:paraId="70124E2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1.1 软件采用B/S架构，基于公有云与私有云混合模式，人工智能与会计的融合，打造智慧财务云生态。基于流行的J2EE技术栈，采用JDK1.8、Mysql、Spring Boot、Spring Cloud、MyBatis Plus、Vue、ElementUI、Redis等技术，应用稳定的Spring Cloud微服务框架进行构建，系统支持分布式的部署方式，支持服务的无缝扩展和对接，单个服务功能变更不影响整体系统的正常操作；</w:t>
            </w:r>
          </w:p>
          <w:p w14:paraId="300FC925">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1.2 拥有自主知识产权的产品；</w:t>
            </w:r>
          </w:p>
          <w:p w14:paraId="29F07CEA">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1.3 提供五年内免费的云服务技术支持，包含云平台运维服务及云平台内容服务；</w:t>
            </w:r>
          </w:p>
          <w:p w14:paraId="68C2BFF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2.平台需涵盖四大核心模块：智能体构建与对话、知识库与RAG引擎、工作流与逻辑编排、插件与工具扩展。</w:t>
            </w:r>
          </w:p>
          <w:p w14:paraId="04D025D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2.1 智能体构建与对话模块：支持开发者创建各类对话型AI助手，提供可视化界面，可配置智能体角色、指令、对话开场白及关联知识库，具体要求如下：</w:t>
            </w:r>
          </w:p>
          <w:p w14:paraId="1290B54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2.1.1 角色与指令配置：支持开发者定义智能体角色身份及核心指令，确保智能体行为与预设目标一致，角色模拟准确率高。</w:t>
            </w:r>
          </w:p>
          <w:p w14:paraId="206F002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2.1.2 上下文增强对话：智能体需能记忆并理解长对话上下文，实现多轮连贯对话，可主动澄清模糊问题。</w:t>
            </w:r>
          </w:p>
          <w:p w14:paraId="0138B2D5">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2.1.3 关联知识库：支持为智能体绑定私有知识库，回答问题时优先基于绑定的专业知识响应。</w:t>
            </w:r>
          </w:p>
          <w:p w14:paraId="095F50F5">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2.1.4 多模型灵活切换：支持无缝切换后端大语言模型，可根据成本、性能、场景需求为不同智能体选择适配模型。</w:t>
            </w:r>
          </w:p>
          <w:p w14:paraId="2FD57C3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2.2 知识库与RAG引擎模块：基于RAG技术，支持开发者将非结构化数据转化为智能体“长期记忆”，具体要求如下：</w:t>
            </w:r>
          </w:p>
          <w:p w14:paraId="636795AA">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2.2.1 多格式文档上传：支持上传TXT、PDF、PPT、Word、Excel等格式文档，支持直接录入文本及通过URL抓取网页内容，文档解析兼容性强。</w:t>
            </w:r>
          </w:p>
          <w:p w14:paraId="1273CA1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2.2.2 可配置的检索策略：支持灵活配置检索模式（全文检索、向量检索、混合检索）、返回内容条数及相似度阈值。</w:t>
            </w:r>
          </w:p>
          <w:p w14:paraId="65064FA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2.2.3 命中测试与优化：提供知识库命中测试工具，支持开发者验证检索效果，可根据测试结果优化分段策略及检索参数，支持知识召回率与准确率量化评估。</w:t>
            </w:r>
          </w:p>
          <w:p w14:paraId="59545A0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2.3 ▲工作流与逻辑编排模块：支持低代码拖拽式界面，实现多步骤业务流程自动化，具体要求如下：</w:t>
            </w:r>
            <w:r>
              <w:rPr>
                <w:rFonts w:hint="eastAsia" w:ascii="宋体" w:hAnsi="宋体" w:eastAsia="宋体" w:cs="宋体"/>
                <w:b/>
                <w:bCs/>
                <w:sz w:val="24"/>
                <w:szCs w:val="24"/>
              </w:rPr>
              <w:t>（本条需现场需演示，现场未能演示或演示不满足本条要求，则不得分）</w:t>
            </w:r>
          </w:p>
          <w:p w14:paraId="38F5F33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2.3.1 可视化节点编排：提供代码节点、条件判断节点、知识库检索节点等功能节点，支持构建完整业务流程。</w:t>
            </w:r>
          </w:p>
          <w:p w14:paraId="3122F48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2.3.2 条件分支与循环：支持基于条件判断实现流程分支，可配置循环逻辑，处理列表类数据及复杂业务判断、自动化任务。</w:t>
            </w:r>
          </w:p>
          <w:p w14:paraId="14E18FA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2.3.3 流程调试与日志：内置流程调试及执行日志查看功能，可清晰查看每一步输入输出。</w:t>
            </w:r>
          </w:p>
          <w:p w14:paraId="1A57C6D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2.4 插件与工具扩展模块：支持插件系统，可拓展智能体能力边界，实现网页搜索、图片生成等操作。</w:t>
            </w:r>
          </w:p>
          <w:p w14:paraId="07D9F94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3.管理端：</w:t>
            </w:r>
          </w:p>
          <w:p w14:paraId="3A47074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3.1 教师管理功能：提供新增、修改和删除教师账号功能，可进行批量新增、批量授权、批量延期等批量操作；提供控制教师账号权限管理，包括课程管理、试卷管理、竞赛试卷管理等权限；提供修改教师账号角色的功能；提供设置教师账号状态功能，状态包括有效、过期、锁定；提供设置教师账号到期时间功能，可选定一个具体的时间点（年月日）；</w:t>
            </w:r>
          </w:p>
          <w:p w14:paraId="09EFC39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3.2 行政班级功能：提供新增、修改、删除和查找行政班的功能，支持行政班单个学生账号增加，也支持批量添加学生账号和Excel文件导入学生账号；提供根据用户名或者状态对学生信息进行增删改查功能，支持给学生设置有效、锁定、过期等多个状态，支持设置学生账号有效期（年月日）；提供行政班级教师授权功能，可授权其他教师以选择行政班级中的学生开展教学班授课；</w:t>
            </w:r>
          </w:p>
          <w:p w14:paraId="6D285DE5">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3.3 教学班级功能：提供新增、修改、删除和查找教学班级的功能；支持设置课程和带班老师；提供学生管理、教学管理、考试管理和统计分析功能；</w:t>
            </w:r>
          </w:p>
          <w:p w14:paraId="20C642E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3.3.1 学生管理功能：提供新增、查询、移除学生等功能，提供批量移除功能；</w:t>
            </w:r>
          </w:p>
          <w:p w14:paraId="5EF79C8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3.3.2 教学管理功能：提供成绩总览、章节明细、进度控制、签到管理等功能；提供搜索查询学生、导出学生成绩功能，支持详细查看学生各个章节完成情况、学习进度和分数，支持详细查看和导出学生学习报告；支持锁定、隐藏章节节点，支持隐藏题目答案和答题结果（勾选后，学生无法查看题目答案和答题结果），也支持隐藏题目答案但显示答题结果（勾选后，学生无法查看题目答案，但可以查看答题结果）；提供新增、搜索签到活动，支持设置签到开始时间和结束时间，可跟踪学生签到状态及具体签到时间，支持修改学生签到状态（正常、缺勤、迟到、早退、事假、病假）；</w:t>
            </w:r>
          </w:p>
          <w:p w14:paraId="2308438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3.3.3 考试管理功能：提供新增考试功能，可设置考试名称、试卷选择、考试时间、成绩查看权限（无法查看、交卷后可看、结束后可看）、学生范围（全部学生、指定学生）、发布状态和考试描述；支持直接查看学生成绩（交卷状态、总分）、导出成绩、生成和下载班级考试总报告，支持查看和导出学生单人报告，可重置交卷；</w:t>
            </w:r>
          </w:p>
          <w:p w14:paraId="0D4FF6D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3.3.4 成绩报告：支持生成班级所有学生的某个课程章节模块或某次考试的成绩报告，生成时具有进度条显示生成进度，生成完毕时进度条变成下载按钮，支持下载报告为PDF文档，支持单独查看每位学生的成绩报告及单独下载某位学生的成绩报告；</w:t>
            </w:r>
          </w:p>
          <w:p w14:paraId="574C3448">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3.3.5 统计分析：支持查看学生课程模块得分率统计图，统计图以条状图形式呈现，并支持按项目-模块-题型-题目多级查看，支持以不同的颜色显示不同的得分率区间，支持选择图例以单独显示某些指标信息；</w:t>
            </w:r>
          </w:p>
          <w:p w14:paraId="58FD8C3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3.3.6 在线时长：支持查看学生的在线学习时间统计，包含首次登录时间、最后登录时间、在线总时长、今日在线时长、上次在线时长和在线状态等，并支持通过图表展示在线时长统计情况，图表以线形图形式呈现学生的在线总时长、今日在线时长、上次在线时长的信息，支持按不同维度排序，支持选择图例以单独显示某些指标信息，支持下载图表；</w:t>
            </w:r>
          </w:p>
          <w:p w14:paraId="57D38C18">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3.4 公告管理功能：提供新增、修改和删除公告的功能，可指定公告的启用时间、截止时间、启用状态；公告内容支持普通本文模式和MarkDown模式；</w:t>
            </w:r>
          </w:p>
          <w:p w14:paraId="0503EFC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3.5 日志记录功能：提供查看用户登录时间、退出时间等功能日志，可详细跟踪用户使用平台状态；</w:t>
            </w:r>
          </w:p>
          <w:p w14:paraId="784369C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3.6 课程管理：提供新增、查看、搜索课程功能，包括设置课程名称、课程类型、动态年、课程排序、课程描述、课程备注、LOGO引用或上传并使用；提供进入课程、模拟做题功能；</w:t>
            </w:r>
          </w:p>
          <w:p w14:paraId="32803308">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3.7 试卷管理功能：提供新增、查看、搜索试卷功能，包括设置试卷名称、关联产品、发布状态、开放状态、模式选择（普通模式、单题模式、案例模式、综合模式）、题目组合、题目乱序、排序、动态年和备注；查看试卷后提供题型汇总功能，可查看试卷内题目类型、题数和总分情况，可预览和查看题目；</w:t>
            </w:r>
          </w:p>
          <w:p w14:paraId="30B61D9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3.8 资源管理功能：提供新建资源库文件夹，整理资源数据功能，支持删除、移动、分享、上传、重命名等功能；</w:t>
            </w:r>
          </w:p>
          <w:p w14:paraId="527C134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3.9 统计分析：包含站点统计（管理员账号可查看）和教学统计（教师账号可查看）；</w:t>
            </w:r>
          </w:p>
          <w:p w14:paraId="43743E9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3.9.1 站点统计；汇总官方课程总数、官方微课总数、官方PPT总数、官方PDF总数、官方试卷总数、教师总数、学生总数、行政班总数、教学班总数；以动态图表的方式展示课程资源汇总、教师开课情况、年度课程学习人数汇总、在线人数统计（支持最近3小时、6小时区间切换）、学生新增人数；</w:t>
            </w:r>
          </w:p>
          <w:p w14:paraId="0BAAF0C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3.9.2 教学统计：汇总官方课程总数、官方微课总数、官方PPT总数、官方PDF总数、官方试卷总数、学生总数、行政班总数、教学班总数；以动态图表的方式展示课程资源汇总、学生新增人数、年度行政班人数汇总、年度教学班人数汇总；</w:t>
            </w:r>
          </w:p>
          <w:p w14:paraId="69EBDA6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3.10 个人信息管理：</w:t>
            </w:r>
          </w:p>
          <w:p w14:paraId="42A16D7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3.10.1 提供账号姓名、头像和密码等修改功能；</w:t>
            </w:r>
          </w:p>
          <w:p w14:paraId="65C7F32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3.10.2 提供绑定手机号码的功能，用户可以将账号与手机号码绑定，绑定后可以通过手机登录平台；</w:t>
            </w:r>
          </w:p>
          <w:p w14:paraId="00E9387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3.11 帮助工具：提供帮助手册、密码锁屏和QQ咨询调用功能，用户可选择会计内容咨询或平台技术咨询，自动调用QQ跳转会话框进行咨询；提供数据查询列显隐功能；</w:t>
            </w:r>
          </w:p>
          <w:p w14:paraId="707DE3F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4.学生端功能：</w:t>
            </w:r>
          </w:p>
          <w:p w14:paraId="623C53D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4.1 个人信息管理功能：</w:t>
            </w:r>
          </w:p>
          <w:p w14:paraId="7EBDCB5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4.1.1 提供账号姓名、密码等修改功能；</w:t>
            </w:r>
          </w:p>
          <w:p w14:paraId="41311C9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4.1.2 系统云平台提供绑定手机号码的功能，用户可以将账号与手机号码绑定，绑定后可以通过手机号输入验证码登录平台，同时支持绑定微信及QQ登录平台；</w:t>
            </w:r>
          </w:p>
          <w:p w14:paraId="6A8F000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4.2 学习统计功能：提供学生在课程下的学习状况统计雷达图，具有两张雷达图并可交互，一张雷达图显示每个项目的总分、合格分和得分信息，点击任意一个项目，另外一张雷达图对应显示该项目下每个任务的总分、合格分和得分信息；同时可以控制选择雷达图只显示总分、得分、合格分任意一种或组合信息；主界面还具有显示每个项目的总分、得分和正确率的统计列表，点击关闭按钮可隐藏该统计列表；</w:t>
            </w:r>
          </w:p>
          <w:p w14:paraId="3CBF4CF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4.3 章节进度功能：在平台主界面展开任一项目，该项目下的每个子任务都自带有学习进度条，进度条具有百分比数值以及不同的颜色来展示学习进度；</w:t>
            </w:r>
          </w:p>
          <w:p w14:paraId="4E6BEDD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4.4 收藏题目功能：提供收藏题目功能，可在收藏列表中查看所有收藏的题目，方便针对性的学习；</w:t>
            </w:r>
          </w:p>
          <w:p w14:paraId="3FB097F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4.5 工具箱功能：提供普通计算器、科学计算器功能；提供金融计算器功能；</w:t>
            </w:r>
          </w:p>
          <w:p w14:paraId="7855536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b/>
                <w:bCs/>
                <w:sz w:val="24"/>
                <w:szCs w:val="24"/>
              </w:rPr>
            </w:pPr>
            <w:r>
              <w:rPr>
                <w:rFonts w:hint="eastAsia" w:ascii="宋体" w:hAnsi="宋体" w:eastAsia="宋体" w:cs="宋体"/>
                <w:sz w:val="24"/>
                <w:szCs w:val="24"/>
              </w:rPr>
              <w:t>4.6 嵌入式网页PPT功能：提供画笔标注功能，包括画笔、荧光笔、橡皮擦；提供上下翻页、单页单独打开功能；提供PPT导航、模糊搜索内容功能；提供场景对话交互功能；内置客观题，包括单选、多选、判断等题型，支持将PPT切换成PDF模式阅览；</w:t>
            </w:r>
          </w:p>
          <w:p w14:paraId="376C53A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4.7 答题（试卷）报告功能：根据每个章节的课后练习或者试卷答题情况一一对应生成单独的答题报告或者试卷报告，报告中包含整份课后练习或整套试卷的总正确率以及每种题型的正确率统计图，包含课后练习或试卷的各类型题目的正确数、错误数、已做题目数、未做题目数和题目总数的统计表，可以查看到学生具体答题信息、正确答案以及题目解析，并支持将答题报告及试卷报告导出为PDF文档；</w:t>
            </w:r>
          </w:p>
          <w:p w14:paraId="22BFA06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4.8 签到系统：内嵌签到模块，在指定时间内进行签到，在表格模式进行签到操作及查看签到情况及状态，在图形模式下统计签到记录情况；</w:t>
            </w:r>
          </w:p>
          <w:p w14:paraId="49B8FCC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4.9 排行榜：内嵌排行榜模块，可以查看同班同学的总分得分情况，图形模式以柱状图进行显示总分得分情况；</w:t>
            </w:r>
          </w:p>
          <w:p w14:paraId="0FE5B8E3">
            <w:pPr>
              <w:keepNext w:val="0"/>
              <w:keepLines w:val="0"/>
              <w:pageBreakBefore w:val="0"/>
              <w:widowControl w:val="0"/>
              <w:kinsoku/>
              <w:wordWrap w:val="0"/>
              <w:overflowPunct/>
              <w:topLinePunct w:val="0"/>
              <w:autoSpaceDE/>
              <w:autoSpaceDN/>
              <w:bidi w:val="0"/>
              <w:adjustRightInd/>
              <w:snapToGrid/>
              <w:spacing w:line="300" w:lineRule="exact"/>
              <w:ind w:firstLine="482" w:firstLineChars="200"/>
              <w:jc w:val="left"/>
              <w:textAlignment w:val="auto"/>
              <w:rPr>
                <w:rFonts w:ascii="宋体" w:hAnsi="宋体" w:eastAsia="宋体" w:cs="宋体"/>
                <w:b/>
                <w:bCs/>
                <w:sz w:val="24"/>
                <w:szCs w:val="24"/>
              </w:rPr>
            </w:pPr>
            <w:r>
              <w:rPr>
                <w:rFonts w:hint="eastAsia" w:ascii="宋体" w:hAnsi="宋体" w:eastAsia="宋体" w:cs="宋体"/>
                <w:b/>
                <w:bCs/>
                <w:sz w:val="24"/>
                <w:szCs w:val="24"/>
              </w:rPr>
              <w:t>（二）内容参数</w:t>
            </w:r>
          </w:p>
          <w:p w14:paraId="162E183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1.项目一 智能体开发通识素养：</w:t>
            </w:r>
          </w:p>
          <w:p w14:paraId="53B5003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任务一 大模型的起源与发展：覆盖AIGC与大模型的基础理论、技术架构、分类体系和发展脉络等内容。</w:t>
            </w:r>
          </w:p>
          <w:p w14:paraId="5AFAD930">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任务二 大模型的内部机制：包含大语言模型的基本原理和构建流程等内容。</w:t>
            </w:r>
          </w:p>
          <w:p w14:paraId="0EF0745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任务三 提示词的认知：涵盖提示词（Prompt）的核心概念、重要性、设计方法及相关设计原则等内容。</w:t>
            </w:r>
          </w:p>
          <w:p w14:paraId="59D76FB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1.4 智能体平台架构：包含智能体平台主页面、五种应用及适用场景、知识库功能及创建方法等内容。</w:t>
            </w:r>
          </w:p>
          <w:p w14:paraId="32B8B6C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2.项目二 智能体开发通识技能应用：</w:t>
            </w:r>
          </w:p>
          <w:p w14:paraId="7DD8DEE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任务一 智能面试官：模拟真实面试场景，可与求职者进行多轮问答，提供面试陪练服务。</w:t>
            </w:r>
          </w:p>
          <w:p w14:paraId="0118304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任务二 会计学习导师：提供个性化会计教学，支持多风格适配、案例驱动教学。</w:t>
            </w:r>
          </w:p>
          <w:p w14:paraId="5EEA9595">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任务三 LOGO设计器：通过对话理解用户需求，利用AI图像生成技术将设计概念可视化。</w:t>
            </w:r>
          </w:p>
          <w:p w14:paraId="635CC2F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任务四 会计名词翻译器：以通俗化方式解读会计名词，辅助教学备课、活跃课堂氛围。</w:t>
            </w:r>
          </w:p>
          <w:p w14:paraId="575B6B5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任务五 智能写作助手：结构化自动生成会计相关专业文稿，确保逻辑清晰、内容翔实。</w:t>
            </w:r>
          </w:p>
          <w:p w14:paraId="49FD484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任务六 专业简历美化助手：为用户提供简历编写指导及优化建议。</w:t>
            </w:r>
          </w:p>
          <w:p w14:paraId="7E3F150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任务七 智能翻译器：实现复杂文档秒级精准翻译，高效可靠。</w:t>
            </w:r>
          </w:p>
          <w:p w14:paraId="7AFB391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任务八 智会出题官：支持上传教材/课件，可设定题型与难度，自动解析内容、生成练习题、校验质量并完成排版。</w:t>
            </w:r>
          </w:p>
          <w:p w14:paraId="4A536D78">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2.9</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任务九 文生视频智能体：通过大模型优化视频提示词，调用文生视频工具生成短片、提取内容并反馈结果。</w:t>
            </w:r>
          </w:p>
          <w:p w14:paraId="6D0565C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3.项目三 财务会计智能体开发：</w:t>
            </w:r>
          </w:p>
          <w:p w14:paraId="2486C938">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任务一 多种票据识别机器人：自动识别多种票据格式，提取发票号码、金额、日期等关键信息，并输出为Excel表格。</w:t>
            </w:r>
          </w:p>
          <w:p w14:paraId="7E94054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任务二 财务智能客服：对用户提问进行智能分类，调用RAG引擎检索财务知识库作答，将对话记录自动写入飞书多维表格。</w:t>
            </w:r>
          </w:p>
          <w:p w14:paraId="2B1EF22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任务三 报销单据智能审核：自动核对发票开票名称、公司代码、付款单金额及票据间信息一致性，识别审核错误。</w:t>
            </w:r>
          </w:p>
          <w:p w14:paraId="546AC8D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3.4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任务四 智能做账系统：支持用户按类型上传原始单据，自动识别单据性质与关键信息，生成标准化会计凭证。</w:t>
            </w:r>
          </w:p>
          <w:p w14:paraId="5AFEC03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4.项目四 业务会计智能体开发：</w:t>
            </w:r>
          </w:p>
          <w:p w14:paraId="0509305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任务一 合同智能审查智能体：支持上传合同，对文本进行风险扫描与合规审查，输出结构化审核报告。</w:t>
            </w:r>
          </w:p>
          <w:p w14:paraId="59A5C61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任务二 合同台账智能体：自动解析合同文件、提取关键要素，生成规范合同台账并同步至飞书多维表格。</w:t>
            </w:r>
          </w:p>
          <w:p w14:paraId="6AEE68C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任务三 应收账款账龄分析智能体：通过自动化工作流实现账龄数据重算与智能分析，为应收账款管理、现金流优化提供决策支持。</w:t>
            </w:r>
          </w:p>
          <w:p w14:paraId="35C2823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任务四 固定资产折旧计算与分析智能体：自动计算与分析固定资产折旧，辅助企业优化资产管理。</w:t>
            </w:r>
          </w:p>
          <w:p w14:paraId="0DFB8C7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任务五 销售数据分析智能体：自动处理销售数据，分析趋势、定位问题、挖掘业务增长点，输出指导性分析结论。</w:t>
            </w:r>
          </w:p>
          <w:p w14:paraId="24FF906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5.项目五 财务分析智能体开发：</w:t>
            </w:r>
          </w:p>
          <w:p w14:paraId="277B84E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任务一 资产负债表分析智能体：一键解析资产负债表，生成可视化报告与战略评估，分析企业财务健康状况。</w:t>
            </w:r>
          </w:p>
          <w:p w14:paraId="45EFE38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5.2 任务二 利润表分析智能体：一键解析利润表数据，拆解利润结构、评估利润质量，输出现可视化图表与结构化报告。</w:t>
            </w:r>
          </w:p>
          <w:p w14:paraId="64FDD0B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5.3 任务三 现金流量表分析智能体：通过上传现金流量表，分析现金流量结构、质量及战略匹配性，输出分析报告。</w:t>
            </w:r>
          </w:p>
          <w:p w14:paraId="17A2E23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5.4 任务四 企业战略分析智能体：基于企业战略，分析三大财务报表。</w:t>
            </w:r>
          </w:p>
          <w:p w14:paraId="0D8114F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5.5 任务五 企业偿债能力分析智能体：通过上传财务报表，计算偿债能力指标，输出偿债能力分析报告。</w:t>
            </w:r>
          </w:p>
          <w:p w14:paraId="6123207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5.6 任务六 企业盈利能力分析智能体：通过上传财务报表，计算盈利能力指标，输出盈利能力分析报告。</w:t>
            </w:r>
          </w:p>
          <w:p w14:paraId="4088D68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6.项目六 税务管理智能体开发：</w:t>
            </w:r>
          </w:p>
          <w:p w14:paraId="3396E71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6.1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任务一 政策解读语音播报助手：自动获取网络政策信息，转化为口语化解读文案并生成语音文件。</w:t>
            </w:r>
          </w:p>
          <w:p w14:paraId="546AEBB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6.2 任务二 进项票分析智能体：智能分析进项发票，提升税务合规性。</w:t>
            </w:r>
          </w:p>
          <w:p w14:paraId="580BD32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6.3 任务三 个税规划智能体：解答个税政策咨询，根据用户收入与家庭情况计算税负、生成筹划方案。</w:t>
            </w:r>
          </w:p>
          <w:p w14:paraId="2E681A1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6.4 任务四 税务预警智能体：计算各项税负指标，对潜在税务问题及时预警，保障企业合规运营。</w:t>
            </w:r>
          </w:p>
          <w:p w14:paraId="617BD7A9">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7.项目七 管理会计智能体开发：</w:t>
            </w:r>
          </w:p>
          <w:p w14:paraId="7C17E80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7.1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任务一 现金流预测分析智能体：处理企业多源财务数据，依据业务规则完成多周期现金流预测，生成包含报表、分析报告、可视化图表的综合结果。</w:t>
            </w:r>
          </w:p>
          <w:p w14:paraId="58BDA844">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7.2 任务二 项目投资评估智能体：计算项目净现值、投资回收期等关键指标，结合行业信息分析项目可行性，支持投资决策。</w:t>
            </w:r>
          </w:p>
          <w:p w14:paraId="2C9303B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7.3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任务三 经营分析与决策智能体：分析企业经营数据，为管理决策提供支持。</w:t>
            </w:r>
          </w:p>
          <w:p w14:paraId="575345C5">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7.4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任务四 融资项目助手：辅助用户选择最优融资方案。</w:t>
            </w:r>
          </w:p>
          <w:p w14:paraId="7AFF051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8.项目八 智能体开发拓展案例：</w:t>
            </w:r>
          </w:p>
          <w:p w14:paraId="34ABEA5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任务一 助学智能体：根据学生需求生成个性化练习题、批改作业并解析，基于学习记录生成学情分析报告。</w:t>
            </w:r>
          </w:p>
          <w:p w14:paraId="2C2895D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8.2 任务二 上市公司股票行情分析：实时追踪股价与市场动态，提供技术面与基本面深度解读。</w:t>
            </w:r>
          </w:p>
          <w:p w14:paraId="0F1695D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8.3 任务三 数据可视化分析报告：将复杂数据转化为直观图表与报告，提升信息传达效率。</w:t>
            </w:r>
          </w:p>
          <w:p w14:paraId="57A3CC3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8.4 任务四 会计知识卡片制作：自动生成精炼的会计知识卡片，便于学习与查阅。</w:t>
            </w:r>
          </w:p>
          <w:p w14:paraId="1F25BD0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8.5 任务五 会计知识分享视频：通过短视频形式讲解会计知识，助力知识传播。</w:t>
            </w:r>
          </w:p>
          <w:p w14:paraId="3B83947E">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8.6 任务六 智能编制银行日记账：自动归集银行流水，生成准确、规范的日记账记录。</w:t>
            </w:r>
          </w:p>
          <w:p w14:paraId="4A42A34D">
            <w:pPr>
              <w:keepNext w:val="0"/>
              <w:keepLines w:val="0"/>
              <w:pageBreakBefore w:val="0"/>
              <w:widowControl w:val="0"/>
              <w:kinsoku/>
              <w:overflowPunct/>
              <w:topLinePunct w:val="0"/>
              <w:autoSpaceDE/>
              <w:autoSpaceDN/>
              <w:bidi w:val="0"/>
              <w:adjustRightInd/>
              <w:snapToGrid/>
              <w:spacing w:line="300" w:lineRule="exact"/>
              <w:jc w:val="left"/>
              <w:textAlignment w:val="auto"/>
              <w:rPr>
                <w:rFonts w:ascii="宋体" w:hAnsi="宋体" w:eastAsia="宋体" w:cs="宋体"/>
                <w:b/>
                <w:bCs/>
                <w:sz w:val="24"/>
                <w:szCs w:val="24"/>
              </w:rPr>
            </w:pPr>
            <w:r>
              <w:rPr>
                <w:rFonts w:hint="eastAsia" w:ascii="宋体" w:hAnsi="宋体" w:eastAsia="宋体" w:cs="宋体"/>
                <w:b/>
                <w:bCs/>
                <w:sz w:val="24"/>
                <w:szCs w:val="24"/>
              </w:rPr>
              <w:t>（三）AIGC智教平台模块及思政案例库</w:t>
            </w:r>
          </w:p>
          <w:p w14:paraId="0066450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sz w:val="24"/>
                <w:szCs w:val="24"/>
                <w:shd w:val="clear"/>
              </w:rPr>
            </w:pPr>
            <w:r>
              <w:rPr>
                <w:rFonts w:hint="eastAsia" w:ascii="宋体" w:hAnsi="宋体" w:eastAsia="宋体" w:cs="宋体"/>
                <w:sz w:val="24"/>
                <w:szCs w:val="24"/>
                <w:shd w:val="clear"/>
              </w:rPr>
              <w:t>1.需要提供AIGC智教云平台使用，平台至少涵盖智能问答、课程设计、教学大纲、教案设计、智能出题、PPT 生成、财务分析等模块。</w:t>
            </w:r>
          </w:p>
          <w:p w14:paraId="17B33B6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shd w:val="clear"/>
              </w:rPr>
              <w:t>2.课程思政资源库，划分为思政案例库、思政专题库和思政元素库等模块。思政案例库内容丰富，涵盖爱岗敬业、诚实守信、廉洁自律、法治精神等不少于10个核心主题，收录超过100个生动案例，旨在通过具体事例引导师生树立正确的价值观念。思政专题库包含</w:t>
            </w:r>
            <w:r>
              <w:rPr>
                <w:rFonts w:hint="eastAsia" w:ascii="宋体" w:hAnsi="宋体" w:eastAsia="宋体" w:cs="宋体"/>
                <w:sz w:val="24"/>
                <w:szCs w:val="24"/>
                <w:shd w:val="clear"/>
                <w:lang w:val="en-US" w:eastAsia="zh-CN"/>
              </w:rPr>
              <w:t>如</w:t>
            </w:r>
            <w:r>
              <w:rPr>
                <w:rFonts w:hint="eastAsia" w:ascii="宋体" w:hAnsi="宋体" w:eastAsia="宋体" w:cs="宋体"/>
                <w:sz w:val="24"/>
                <w:szCs w:val="24"/>
                <w:shd w:val="clear"/>
              </w:rPr>
              <w:t>“向总书记学习”、“红色历史”、“时代楷模”、“科技强国”等不少于50个专题案例，深入挖掘时代主题，传承红色基因。思政元素库涵盖马克思主义基本观点与方法、社会主义核心价值观、乡村振兴等不少于250个元素案例，为教育教学提供了丰富的思政素材，助力全面提升师生的思想政治素养。</w:t>
            </w:r>
          </w:p>
        </w:tc>
      </w:tr>
    </w:tbl>
    <w:p w14:paraId="6ECC9E53">
      <w:pPr>
        <w:spacing w:line="360" w:lineRule="auto"/>
        <w:contextualSpacing/>
        <w:rPr>
          <w:rFonts w:ascii="宋体" w:hAnsi="宋体" w:eastAsia="宋体" w:cs="宋体"/>
          <w:b/>
          <w:bCs/>
          <w:sz w:val="24"/>
          <w:szCs w:val="24"/>
        </w:rPr>
      </w:pPr>
    </w:p>
    <w:p w14:paraId="5E8B767A">
      <w:pPr>
        <w:spacing w:line="360" w:lineRule="auto"/>
        <w:contextualSpacing/>
        <w:rPr>
          <w:rFonts w:ascii="宋体" w:hAnsi="宋体" w:eastAsia="宋体" w:cs="宋体"/>
          <w:b/>
          <w:bCs/>
          <w:sz w:val="24"/>
          <w:szCs w:val="24"/>
        </w:rPr>
      </w:pPr>
      <w:r>
        <w:rPr>
          <w:rFonts w:hint="eastAsia" w:ascii="宋体" w:hAnsi="宋体" w:eastAsia="宋体" w:cs="宋体"/>
          <w:b/>
          <w:bCs/>
          <w:sz w:val="24"/>
          <w:szCs w:val="24"/>
        </w:rPr>
        <w:t>（二）采购标的需执行的国家相关标准、行业标准、地方标准或者其他标准、规范</w:t>
      </w:r>
    </w:p>
    <w:p w14:paraId="0DFCD081">
      <w:pPr>
        <w:spacing w:line="360" w:lineRule="auto"/>
        <w:ind w:firstLine="480" w:firstLineChars="200"/>
        <w:contextualSpacing/>
        <w:rPr>
          <w:rFonts w:hint="eastAsia" w:ascii="宋体" w:hAnsi="宋体" w:eastAsia="宋体" w:cs="宋体"/>
          <w:bCs/>
          <w:color w:val="000000"/>
          <w:sz w:val="24"/>
          <w:szCs w:val="24"/>
        </w:rPr>
      </w:pPr>
      <w:r>
        <w:rPr>
          <w:rFonts w:hint="eastAsia" w:ascii="宋体" w:hAnsi="宋体" w:eastAsia="宋体" w:cs="宋体"/>
          <w:bCs/>
          <w:color w:val="000000"/>
          <w:sz w:val="24"/>
          <w:szCs w:val="24"/>
        </w:rPr>
        <w:t>需执行国家、行业及地方相关标准与规范，主要包括：遵循《中华人民共和国标准化法》</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《中华人民共和国数据安全法》</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《中华人民共和国个人信息保护法》等法律法规；执行 GB/T 25000.51-2016《系统与软件工程 系统与软件质量要求和评价》</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GB/T 20271-2022《信息安全技术 信息系统安全通用技术要求》、GB/T 31168-2014《信息安全技术 云计算服务安全能力要求》、《计算机软件开发规范》GB8566-88等国家信息技术与安全标准；符合教育信息化相关标准及财经行业实训规范；确保软件功能、性能、安全性、兼容性及教学适配性全面达标。</w:t>
      </w:r>
    </w:p>
    <w:p w14:paraId="18A0BF31">
      <w:pPr>
        <w:spacing w:line="360" w:lineRule="auto"/>
        <w:contextualSpacing/>
        <w:rPr>
          <w:rFonts w:ascii="宋体" w:hAnsi="宋体" w:eastAsia="宋体" w:cs="宋体"/>
          <w:b/>
          <w:bCs/>
          <w:sz w:val="24"/>
          <w:szCs w:val="24"/>
        </w:rPr>
      </w:pPr>
      <w:r>
        <w:rPr>
          <w:rFonts w:hint="eastAsia" w:ascii="宋体" w:hAnsi="宋体" w:eastAsia="宋体" w:cs="宋体"/>
          <w:b/>
          <w:bCs/>
          <w:sz w:val="24"/>
          <w:szCs w:val="24"/>
        </w:rPr>
        <w:t>（三）采购标的需满足的质量、安全、技术规格、物理特性等要求</w:t>
      </w:r>
    </w:p>
    <w:p w14:paraId="01AABE33">
      <w:pPr>
        <w:spacing w:line="360" w:lineRule="auto"/>
        <w:ind w:firstLine="482" w:firstLineChars="200"/>
        <w:contextualSpacing/>
        <w:rPr>
          <w:rFonts w:ascii="宋体" w:hAnsi="宋体" w:eastAsia="宋体" w:cs="宋体"/>
          <w:bCs/>
          <w:color w:val="000000"/>
          <w:sz w:val="24"/>
          <w:szCs w:val="24"/>
        </w:rPr>
      </w:pPr>
      <w:r>
        <w:rPr>
          <w:rFonts w:hint="eastAsia" w:ascii="宋体" w:hAnsi="宋体" w:eastAsia="宋体" w:cs="宋体"/>
          <w:b/>
          <w:color w:val="000000"/>
          <w:sz w:val="24"/>
          <w:szCs w:val="24"/>
        </w:rPr>
        <w:t>1.质量要求</w:t>
      </w:r>
    </w:p>
    <w:p w14:paraId="4BDE2AD4">
      <w:pPr>
        <w:spacing w:line="360" w:lineRule="auto"/>
        <w:ind w:firstLine="482" w:firstLineChars="200"/>
        <w:contextualSpacing/>
        <w:rPr>
          <w:rFonts w:ascii="宋体" w:hAnsi="宋体" w:eastAsia="宋体" w:cs="宋体"/>
          <w:bCs/>
          <w:color w:val="000000"/>
          <w:sz w:val="24"/>
          <w:szCs w:val="24"/>
        </w:rPr>
      </w:pPr>
      <w:r>
        <w:rPr>
          <w:rFonts w:hint="eastAsia" w:ascii="宋体" w:hAnsi="宋体" w:eastAsia="宋体" w:cs="宋体"/>
          <w:b/>
          <w:color w:val="000000"/>
          <w:sz w:val="24"/>
          <w:szCs w:val="24"/>
        </w:rPr>
        <w:t>（1）可靠性</w:t>
      </w:r>
    </w:p>
    <w:p w14:paraId="4277CEF7">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软件系统应能保证7×24小时稳定运行，平均无故障时间不低于2000小时。在并发用户数达到设计最大值时，核心功能响应时间应小于3秒。</w:t>
      </w:r>
    </w:p>
    <w:p w14:paraId="5CC48149">
      <w:pPr>
        <w:spacing w:line="360" w:lineRule="auto"/>
        <w:ind w:firstLine="482" w:firstLineChars="200"/>
        <w:contextualSpacing/>
        <w:rPr>
          <w:rFonts w:ascii="宋体" w:hAnsi="宋体" w:eastAsia="宋体" w:cs="宋体"/>
          <w:bCs/>
          <w:color w:val="000000"/>
          <w:sz w:val="24"/>
          <w:szCs w:val="24"/>
        </w:rPr>
      </w:pPr>
      <w:r>
        <w:rPr>
          <w:rFonts w:hint="eastAsia" w:ascii="宋体" w:hAnsi="宋体" w:eastAsia="宋体" w:cs="宋体"/>
          <w:b/>
          <w:color w:val="000000"/>
          <w:sz w:val="24"/>
          <w:szCs w:val="24"/>
        </w:rPr>
        <w:t>（2）易用性与教学适配性</w:t>
      </w:r>
    </w:p>
    <w:p w14:paraId="503F0A94">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软件界面友好，符合师生操作习惯。具备完整的教学管理功能，包括班级管理、学生账户批量导入、任务布置、进度跟踪与控制、成绩自动评测与分析等。</w:t>
      </w:r>
    </w:p>
    <w:p w14:paraId="66B0DB05">
      <w:pPr>
        <w:spacing w:line="360" w:lineRule="auto"/>
        <w:ind w:firstLine="482" w:firstLineChars="200"/>
        <w:contextualSpacing/>
        <w:rPr>
          <w:rFonts w:ascii="宋体" w:hAnsi="宋体" w:eastAsia="宋体" w:cs="宋体"/>
          <w:bCs/>
          <w:color w:val="000000"/>
          <w:sz w:val="24"/>
          <w:szCs w:val="24"/>
        </w:rPr>
      </w:pPr>
      <w:r>
        <w:rPr>
          <w:rFonts w:hint="eastAsia" w:ascii="宋体" w:hAnsi="宋体" w:eastAsia="宋体" w:cs="宋体"/>
          <w:b/>
          <w:color w:val="000000"/>
          <w:sz w:val="24"/>
          <w:szCs w:val="24"/>
        </w:rPr>
        <w:t>（3）可维护性与支持</w:t>
      </w:r>
    </w:p>
    <w:p w14:paraId="3A53954E">
      <w:pPr>
        <w:spacing w:line="360" w:lineRule="auto"/>
        <w:ind w:firstLine="480" w:firstLineChars="200"/>
        <w:contextualSpacing/>
        <w:rPr>
          <w:rFonts w:ascii="宋体" w:hAnsi="宋体" w:eastAsia="宋体" w:cs="宋体"/>
          <w:bCs/>
          <w:color w:val="000000"/>
          <w:sz w:val="24"/>
          <w:szCs w:val="24"/>
          <w:highlight w:val="none"/>
          <w:shd w:val="clear"/>
        </w:rPr>
      </w:pPr>
      <w:r>
        <w:rPr>
          <w:rFonts w:hint="eastAsia" w:ascii="宋体" w:hAnsi="宋体" w:eastAsia="宋体" w:cs="宋体"/>
          <w:bCs/>
          <w:color w:val="000000"/>
          <w:sz w:val="24"/>
          <w:szCs w:val="24"/>
        </w:rPr>
        <w:t>提供完整的安装部署手册、管理员手册、用户操作手册。供应商需承诺提供至少5年免费质保期及原厂技术支持服务，提供7×24小时在线响应与</w:t>
      </w:r>
      <w:r>
        <w:rPr>
          <w:rFonts w:hint="eastAsia" w:ascii="宋体" w:hAnsi="宋体" w:eastAsia="宋体" w:cs="宋体"/>
          <w:bCs/>
          <w:color w:val="000000"/>
          <w:sz w:val="24"/>
          <w:szCs w:val="24"/>
          <w:highlight w:val="none"/>
          <w:shd w:val="clear"/>
        </w:rPr>
        <w:t>2小时</w:t>
      </w:r>
      <w:r>
        <w:rPr>
          <w:rFonts w:hint="eastAsia" w:ascii="宋体" w:hAnsi="宋体" w:eastAsia="宋体" w:cs="宋体"/>
          <w:bCs/>
          <w:color w:val="000000"/>
          <w:sz w:val="24"/>
          <w:szCs w:val="24"/>
          <w:highlight w:val="none"/>
          <w:shd w:val="clear"/>
          <w:lang w:val="en-US" w:eastAsia="zh-CN"/>
        </w:rPr>
        <w:t>内到达</w:t>
      </w:r>
      <w:r>
        <w:rPr>
          <w:rFonts w:hint="eastAsia" w:ascii="宋体" w:hAnsi="宋体" w:eastAsia="宋体" w:cs="宋体"/>
          <w:bCs/>
          <w:color w:val="000000"/>
          <w:sz w:val="24"/>
          <w:szCs w:val="24"/>
          <w:highlight w:val="none"/>
          <w:shd w:val="clear"/>
        </w:rPr>
        <w:t>现场</w:t>
      </w:r>
      <w:r>
        <w:rPr>
          <w:rFonts w:hint="eastAsia" w:ascii="宋体" w:hAnsi="宋体" w:eastAsia="宋体" w:cs="宋体"/>
          <w:bCs/>
          <w:color w:val="000000"/>
          <w:sz w:val="24"/>
          <w:szCs w:val="24"/>
          <w:highlight w:val="none"/>
          <w:shd w:val="clear"/>
          <w:lang w:val="en-US" w:eastAsia="zh-CN"/>
        </w:rPr>
        <w:t>的本地化</w:t>
      </w:r>
      <w:r>
        <w:rPr>
          <w:rFonts w:hint="eastAsia" w:ascii="宋体" w:hAnsi="宋体" w:eastAsia="宋体" w:cs="宋体"/>
          <w:bCs/>
          <w:color w:val="000000"/>
          <w:sz w:val="24"/>
          <w:szCs w:val="24"/>
          <w:highlight w:val="none"/>
          <w:shd w:val="clear"/>
        </w:rPr>
        <w:t>服务。</w:t>
      </w:r>
    </w:p>
    <w:p w14:paraId="6867D4E4">
      <w:pPr>
        <w:spacing w:line="360" w:lineRule="auto"/>
        <w:ind w:firstLine="482" w:firstLineChars="200"/>
        <w:contextualSpacing/>
        <w:rPr>
          <w:rFonts w:ascii="宋体" w:hAnsi="宋体" w:eastAsia="宋体" w:cs="宋体"/>
          <w:bCs/>
          <w:color w:val="000000"/>
          <w:sz w:val="24"/>
          <w:szCs w:val="24"/>
        </w:rPr>
      </w:pPr>
      <w:r>
        <w:rPr>
          <w:rFonts w:hint="eastAsia" w:ascii="宋体" w:hAnsi="宋体" w:eastAsia="宋体" w:cs="宋体"/>
          <w:b/>
          <w:color w:val="000000"/>
          <w:sz w:val="24"/>
          <w:szCs w:val="24"/>
        </w:rPr>
        <w:t>2.安全要求</w:t>
      </w:r>
    </w:p>
    <w:p w14:paraId="7CB184E2">
      <w:pPr>
        <w:spacing w:line="360" w:lineRule="auto"/>
        <w:ind w:firstLine="482" w:firstLineChars="200"/>
        <w:contextualSpacing/>
        <w:rPr>
          <w:rFonts w:ascii="宋体" w:hAnsi="宋体" w:eastAsia="宋体" w:cs="宋体"/>
          <w:bCs/>
          <w:color w:val="000000"/>
          <w:sz w:val="24"/>
          <w:szCs w:val="24"/>
        </w:rPr>
      </w:pPr>
      <w:r>
        <w:rPr>
          <w:rFonts w:hint="eastAsia" w:ascii="宋体" w:hAnsi="宋体" w:eastAsia="宋体" w:cs="宋体"/>
          <w:b/>
          <w:color w:val="000000"/>
          <w:sz w:val="24"/>
          <w:szCs w:val="24"/>
        </w:rPr>
        <w:t>（1）系统安全</w:t>
      </w:r>
    </w:p>
    <w:p w14:paraId="0834E772">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软件自身应无已知高危安全漏洞。支持基于角色的访问控制，实现功能权限和数据权限的精细化管理。</w:t>
      </w:r>
    </w:p>
    <w:p w14:paraId="5F5D1AB9">
      <w:pPr>
        <w:spacing w:line="360" w:lineRule="auto"/>
        <w:ind w:firstLine="482" w:firstLineChars="200"/>
        <w:contextualSpacing/>
        <w:rPr>
          <w:rFonts w:ascii="宋体" w:hAnsi="宋体" w:eastAsia="宋体" w:cs="宋体"/>
          <w:bCs/>
          <w:color w:val="000000"/>
          <w:sz w:val="24"/>
          <w:szCs w:val="24"/>
        </w:rPr>
      </w:pPr>
      <w:r>
        <w:rPr>
          <w:rFonts w:hint="eastAsia" w:ascii="宋体" w:hAnsi="宋体" w:eastAsia="宋体" w:cs="宋体"/>
          <w:b/>
          <w:color w:val="000000"/>
          <w:sz w:val="24"/>
          <w:szCs w:val="24"/>
        </w:rPr>
        <w:t>（2）数据安全</w:t>
      </w:r>
    </w:p>
    <w:p w14:paraId="499AB325">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应具备完善的数据备份与恢复机制，支持定期自动备份。师生操作数据、成绩数据等应加密存储与传输，保障数据完整性、保密性。</w:t>
      </w:r>
    </w:p>
    <w:p w14:paraId="5B016C61">
      <w:pPr>
        <w:spacing w:line="360" w:lineRule="auto"/>
        <w:ind w:firstLine="482" w:firstLineChars="200"/>
        <w:contextualSpacing/>
        <w:rPr>
          <w:rFonts w:ascii="宋体" w:hAnsi="宋体" w:eastAsia="宋体" w:cs="宋体"/>
          <w:bCs/>
          <w:color w:val="000000"/>
          <w:sz w:val="24"/>
          <w:szCs w:val="24"/>
        </w:rPr>
      </w:pPr>
      <w:r>
        <w:rPr>
          <w:rFonts w:hint="eastAsia" w:ascii="宋体" w:hAnsi="宋体" w:eastAsia="宋体" w:cs="宋体"/>
          <w:b/>
          <w:color w:val="000000"/>
          <w:sz w:val="24"/>
          <w:szCs w:val="24"/>
        </w:rPr>
        <w:t>（3）网络安全与合规</w:t>
      </w:r>
    </w:p>
    <w:p w14:paraId="6B474447">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软件部署后，应符合国家网络安全等级保护（二级或以上）相关要求。如为云服务，服务器应位于中国境内。严格遵守《中华人民共和国数据安全法》《中华人民共和国个人信息保护法》等法律法规，不得私自收集、存储、泄露师生个人信息。</w:t>
      </w:r>
    </w:p>
    <w:p w14:paraId="2CD6BB34">
      <w:pPr>
        <w:spacing w:line="360" w:lineRule="auto"/>
        <w:ind w:firstLine="482" w:firstLineChars="200"/>
        <w:contextualSpacing/>
        <w:rPr>
          <w:rFonts w:ascii="宋体" w:hAnsi="宋体" w:eastAsia="宋体" w:cs="宋体"/>
          <w:b/>
          <w:color w:val="000000"/>
          <w:sz w:val="24"/>
          <w:szCs w:val="24"/>
        </w:rPr>
      </w:pPr>
      <w:r>
        <w:rPr>
          <w:rFonts w:hint="eastAsia" w:ascii="宋体" w:hAnsi="宋体" w:eastAsia="宋体" w:cs="宋体"/>
          <w:b/>
          <w:color w:val="000000"/>
          <w:sz w:val="24"/>
          <w:szCs w:val="24"/>
        </w:rPr>
        <w:t>3.技术规格</w:t>
      </w:r>
    </w:p>
    <w:p w14:paraId="4820A9F8">
      <w:pPr>
        <w:spacing w:line="360" w:lineRule="auto"/>
        <w:ind w:firstLine="482" w:firstLineChars="200"/>
        <w:contextualSpacing/>
        <w:rPr>
          <w:rFonts w:ascii="宋体" w:hAnsi="宋体" w:eastAsia="宋体" w:cs="宋体"/>
          <w:b/>
          <w:color w:val="000000"/>
          <w:sz w:val="24"/>
          <w:szCs w:val="24"/>
        </w:rPr>
      </w:pPr>
      <w:r>
        <w:rPr>
          <w:rFonts w:hint="eastAsia" w:ascii="宋体" w:hAnsi="宋体" w:eastAsia="宋体" w:cs="宋体"/>
          <w:b/>
          <w:color w:val="000000"/>
          <w:sz w:val="24"/>
          <w:szCs w:val="24"/>
        </w:rPr>
        <w:t>（1）技术架构</w:t>
      </w:r>
    </w:p>
    <w:p w14:paraId="071CFB2F">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采用主流、先进的技术架构（如B/S架构、微服务架构等），支持跨平台（Windows, macOS, 主流国产操作系统）的浏览器访问。</w:t>
      </w:r>
    </w:p>
    <w:p w14:paraId="51D94952">
      <w:pPr>
        <w:spacing w:line="360" w:lineRule="auto"/>
        <w:ind w:firstLine="482" w:firstLineChars="200"/>
        <w:contextualSpacing/>
        <w:rPr>
          <w:rFonts w:ascii="宋体" w:hAnsi="宋体" w:eastAsia="宋体" w:cs="宋体"/>
          <w:bCs/>
          <w:color w:val="000000"/>
          <w:sz w:val="24"/>
          <w:szCs w:val="24"/>
        </w:rPr>
      </w:pPr>
      <w:r>
        <w:rPr>
          <w:rFonts w:hint="eastAsia" w:ascii="宋体" w:hAnsi="宋体" w:eastAsia="宋体" w:cs="宋体"/>
          <w:b/>
          <w:color w:val="000000"/>
          <w:sz w:val="24"/>
          <w:szCs w:val="24"/>
        </w:rPr>
        <w:t>（2）部署方式</w:t>
      </w:r>
    </w:p>
    <w:p w14:paraId="65D9B895">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支持本地化部署于采购人指定的服务器，并提供全部安装介质与授权。也可采用云服务模式，但需满足数据所有权归学校所有、可完整导出等条款。</w:t>
      </w:r>
    </w:p>
    <w:p w14:paraId="532D78AE">
      <w:pPr>
        <w:spacing w:line="360" w:lineRule="auto"/>
        <w:ind w:firstLine="482" w:firstLineChars="200"/>
        <w:contextualSpacing/>
        <w:rPr>
          <w:rFonts w:ascii="宋体" w:hAnsi="宋体" w:eastAsia="宋体" w:cs="宋体"/>
          <w:b/>
          <w:color w:val="000000"/>
          <w:sz w:val="24"/>
          <w:szCs w:val="24"/>
        </w:rPr>
      </w:pPr>
      <w:r>
        <w:rPr>
          <w:rFonts w:hint="eastAsia" w:ascii="宋体" w:hAnsi="宋体" w:eastAsia="宋体" w:cs="宋体"/>
          <w:b/>
          <w:color w:val="000000"/>
          <w:sz w:val="24"/>
          <w:szCs w:val="24"/>
        </w:rPr>
        <w:t>4.实训环境要求</w:t>
      </w:r>
    </w:p>
    <w:p w14:paraId="64D2749D">
      <w:pPr>
        <w:spacing w:line="360" w:lineRule="auto"/>
        <w:ind w:firstLine="482" w:firstLineChars="200"/>
        <w:contextualSpacing/>
        <w:rPr>
          <w:rFonts w:ascii="宋体" w:hAnsi="宋体" w:eastAsia="宋体" w:cs="宋体"/>
          <w:b/>
          <w:color w:val="000000"/>
          <w:sz w:val="24"/>
          <w:szCs w:val="24"/>
        </w:rPr>
      </w:pPr>
      <w:r>
        <w:rPr>
          <w:rFonts w:hint="eastAsia" w:ascii="宋体" w:hAnsi="宋体" w:eastAsia="宋体" w:cs="宋体"/>
          <w:b/>
          <w:color w:val="000000"/>
          <w:sz w:val="24"/>
          <w:szCs w:val="24"/>
        </w:rPr>
        <w:t>（1）仿真性</w:t>
      </w:r>
    </w:p>
    <w:p w14:paraId="04DF577F">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提供的虚拟实训环境、模拟操作流程、仿真模型等，应高度贴合真实工作场景与行业标准。</w:t>
      </w:r>
    </w:p>
    <w:p w14:paraId="1F27DB94">
      <w:pPr>
        <w:spacing w:line="360" w:lineRule="auto"/>
        <w:ind w:firstLine="482" w:firstLineChars="200"/>
        <w:contextualSpacing/>
        <w:rPr>
          <w:rFonts w:ascii="宋体" w:hAnsi="宋体" w:eastAsia="宋体" w:cs="宋体"/>
          <w:bCs/>
          <w:color w:val="000000"/>
          <w:sz w:val="24"/>
          <w:szCs w:val="24"/>
        </w:rPr>
      </w:pPr>
      <w:r>
        <w:rPr>
          <w:rFonts w:hint="eastAsia" w:ascii="宋体" w:hAnsi="宋体" w:eastAsia="宋体" w:cs="宋体"/>
          <w:b/>
          <w:color w:val="000000"/>
          <w:sz w:val="24"/>
          <w:szCs w:val="24"/>
        </w:rPr>
        <w:t>（2）并发能力</w:t>
      </w:r>
    </w:p>
    <w:p w14:paraId="3A0CACCD">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支持不少于200个用户同时在线进行实训操作，且系统运行流畅。</w:t>
      </w:r>
    </w:p>
    <w:p w14:paraId="301D5993">
      <w:pPr>
        <w:spacing w:line="360" w:lineRule="auto"/>
        <w:ind w:firstLine="482" w:firstLineChars="200"/>
        <w:contextualSpacing/>
        <w:rPr>
          <w:rFonts w:ascii="宋体" w:hAnsi="宋体" w:eastAsia="宋体" w:cs="宋体"/>
          <w:bCs/>
          <w:color w:val="000000"/>
          <w:sz w:val="24"/>
          <w:szCs w:val="24"/>
        </w:rPr>
      </w:pPr>
      <w:r>
        <w:rPr>
          <w:rFonts w:hint="eastAsia" w:ascii="宋体" w:hAnsi="宋体" w:eastAsia="宋体" w:cs="宋体"/>
          <w:b/>
          <w:color w:val="000000"/>
          <w:sz w:val="24"/>
          <w:szCs w:val="24"/>
        </w:rPr>
        <w:t>（3）可扩展性</w:t>
      </w:r>
    </w:p>
    <w:p w14:paraId="7D725EB4">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支持实训课程、实训项目、考核题库的自主添加与配置。</w:t>
      </w:r>
    </w:p>
    <w:p w14:paraId="5243AD3F">
      <w:pPr>
        <w:spacing w:line="360" w:lineRule="auto"/>
        <w:ind w:firstLine="482" w:firstLineChars="200"/>
        <w:contextualSpacing/>
        <w:rPr>
          <w:rFonts w:ascii="宋体" w:hAnsi="宋体" w:eastAsia="宋体" w:cs="宋体"/>
          <w:bCs/>
          <w:color w:val="000000"/>
          <w:sz w:val="24"/>
          <w:szCs w:val="24"/>
        </w:rPr>
      </w:pPr>
      <w:r>
        <w:rPr>
          <w:rFonts w:hint="eastAsia" w:ascii="宋体" w:hAnsi="宋体" w:eastAsia="宋体" w:cs="宋体"/>
          <w:b/>
          <w:color w:val="000000"/>
          <w:sz w:val="24"/>
          <w:szCs w:val="24"/>
        </w:rPr>
        <w:t>5.组织实施要求</w:t>
      </w:r>
    </w:p>
    <w:p w14:paraId="155CB8E6">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为确保本项目的顺利推进与实施，投标文件中需要提供明确的实施方案。要求方案内容包括但不限于组织架构与职责、实施阶段与过程、项目管理、项目实施安装、项目测试方案方面。</w:t>
      </w:r>
    </w:p>
    <w:p w14:paraId="6EEA09C8">
      <w:pPr>
        <w:spacing w:line="360" w:lineRule="auto"/>
        <w:ind w:firstLine="482" w:firstLineChars="200"/>
        <w:contextualSpacing/>
        <w:rPr>
          <w:rFonts w:ascii="宋体" w:hAnsi="宋体" w:eastAsia="宋体" w:cs="宋体"/>
          <w:bCs/>
          <w:color w:val="000000"/>
          <w:sz w:val="24"/>
          <w:szCs w:val="24"/>
        </w:rPr>
      </w:pPr>
      <w:r>
        <w:rPr>
          <w:rFonts w:hint="eastAsia" w:ascii="宋体" w:hAnsi="宋体" w:eastAsia="宋体" w:cs="宋体"/>
          <w:b/>
          <w:color w:val="000000"/>
          <w:sz w:val="24"/>
          <w:szCs w:val="24"/>
        </w:rPr>
        <w:t>6.团队人员保障要</w:t>
      </w:r>
      <w:r>
        <w:rPr>
          <w:rFonts w:hint="eastAsia" w:ascii="宋体" w:hAnsi="宋体" w:eastAsia="宋体" w:cs="宋体"/>
          <w:bCs/>
          <w:color w:val="000000"/>
          <w:sz w:val="24"/>
          <w:szCs w:val="24"/>
        </w:rPr>
        <w:t>求</w:t>
      </w:r>
    </w:p>
    <w:p w14:paraId="098DDDFB">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根据项目建设需要，需配备有与本项目类似项目经验且具有人社部、工信部（教考中心）颁发的相关的证书的项目人员。</w:t>
      </w:r>
    </w:p>
    <w:p w14:paraId="35BF55E6">
      <w:pPr>
        <w:spacing w:line="360" w:lineRule="auto"/>
        <w:ind w:firstLine="482" w:firstLineChars="200"/>
        <w:contextualSpacing/>
        <w:rPr>
          <w:rFonts w:ascii="宋体" w:hAnsi="宋体" w:eastAsia="宋体" w:cs="宋体"/>
          <w:bCs/>
          <w:color w:val="000000"/>
          <w:sz w:val="24"/>
          <w:szCs w:val="24"/>
        </w:rPr>
      </w:pPr>
      <w:r>
        <w:rPr>
          <w:rFonts w:hint="eastAsia" w:ascii="宋体" w:hAnsi="宋体" w:eastAsia="宋体" w:cs="宋体"/>
          <w:b/>
          <w:color w:val="000000"/>
          <w:sz w:val="24"/>
          <w:szCs w:val="24"/>
        </w:rPr>
        <w:t>7.培训服务要求</w:t>
      </w:r>
    </w:p>
    <w:p w14:paraId="05E725C8">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提供使用操作培训，确保学校使用人员可独立自主运用系统能力。能够针对至少部门负责人、系统管理员2种角色分类别进行针对性培训。</w:t>
      </w:r>
    </w:p>
    <w:p w14:paraId="0A8BD1BF">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要求投标文件中提供明确的培训方案，要求方案内容包括但不限于培训目的、培训次数、培训类别、培训方式、培训对象、培训对象及内容、培训场地、培训时间方面。</w:t>
      </w:r>
    </w:p>
    <w:p w14:paraId="459191AD">
      <w:pPr>
        <w:wordWrap w:val="0"/>
        <w:spacing w:line="360" w:lineRule="auto"/>
        <w:jc w:val="left"/>
        <w:rPr>
          <w:rFonts w:ascii="宋体" w:hAnsi="宋体" w:eastAsia="宋体" w:cs="宋体"/>
          <w:b/>
          <w:bCs/>
          <w:kern w:val="2"/>
          <w:sz w:val="24"/>
          <w:szCs w:val="24"/>
        </w:rPr>
      </w:pPr>
      <w:r>
        <w:rPr>
          <w:rFonts w:hint="eastAsia" w:ascii="宋体" w:hAnsi="宋体" w:eastAsia="宋体" w:cs="宋体"/>
          <w:b/>
          <w:bCs/>
          <w:kern w:val="2"/>
          <w:sz w:val="24"/>
          <w:szCs w:val="24"/>
        </w:rPr>
        <w:t>（四）采购标的数量、采购项目交付或者实施的时间和地点</w:t>
      </w:r>
    </w:p>
    <w:p w14:paraId="1473F0DA">
      <w:pPr>
        <w:spacing w:line="360" w:lineRule="auto"/>
        <w:ind w:firstLine="480" w:firstLineChars="200"/>
        <w:contextualSpacing/>
        <w:rPr>
          <w:rFonts w:hint="eastAsia" w:ascii="宋体" w:hAnsi="宋体" w:eastAsia="宋体" w:cs="宋体"/>
          <w:bCs/>
          <w:color w:val="000000"/>
          <w:sz w:val="24"/>
          <w:szCs w:val="24"/>
        </w:rPr>
      </w:pPr>
      <w:r>
        <w:rPr>
          <w:rFonts w:hint="eastAsia" w:ascii="宋体" w:hAnsi="宋体" w:eastAsia="宋体" w:cs="宋体"/>
          <w:bCs/>
          <w:color w:val="000000"/>
          <w:sz w:val="24"/>
          <w:szCs w:val="24"/>
        </w:rPr>
        <w:t>1.采购标的的数量：</w:t>
      </w:r>
    </w:p>
    <w:tbl>
      <w:tblPr>
        <w:tblStyle w:val="12"/>
        <w:tblW w:w="7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1"/>
        <w:gridCol w:w="4930"/>
        <w:gridCol w:w="1928"/>
      </w:tblGrid>
      <w:tr w14:paraId="55097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81" w:type="dxa"/>
            <w:vAlign w:val="center"/>
          </w:tcPr>
          <w:p w14:paraId="4476D58E">
            <w:pPr>
              <w:spacing w:before="120" w:beforeLines="50" w:after="120" w:afterLines="50"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序号</w:t>
            </w:r>
          </w:p>
        </w:tc>
        <w:tc>
          <w:tcPr>
            <w:tcW w:w="4930" w:type="dxa"/>
            <w:vAlign w:val="center"/>
          </w:tcPr>
          <w:p w14:paraId="04DB461F">
            <w:pPr>
              <w:spacing w:before="120" w:beforeLines="50" w:after="120" w:afterLines="50"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设备名称</w:t>
            </w:r>
          </w:p>
        </w:tc>
        <w:tc>
          <w:tcPr>
            <w:tcW w:w="1928" w:type="dxa"/>
            <w:vAlign w:val="center"/>
          </w:tcPr>
          <w:p w14:paraId="6F9C4770">
            <w:pPr>
              <w:spacing w:before="120" w:beforeLines="50" w:after="120" w:afterLines="50"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数量</w:t>
            </w:r>
          </w:p>
        </w:tc>
      </w:tr>
      <w:tr w14:paraId="5557C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81" w:type="dxa"/>
            <w:vAlign w:val="center"/>
          </w:tcPr>
          <w:p w14:paraId="68268933">
            <w:pPr>
              <w:spacing w:before="120" w:beforeLines="50" w:after="120" w:afterLines="50" w:line="320" w:lineRule="exact"/>
              <w:jc w:val="center"/>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1</w:t>
            </w:r>
          </w:p>
        </w:tc>
        <w:tc>
          <w:tcPr>
            <w:tcW w:w="4930" w:type="dxa"/>
            <w:vAlign w:val="center"/>
          </w:tcPr>
          <w:p w14:paraId="47C6C2F1">
            <w:pPr>
              <w:spacing w:before="120" w:beforeLines="50" w:after="120" w:afterLines="50" w:line="320" w:lineRule="exact"/>
              <w:jc w:val="left"/>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财务大数据分析平台</w:t>
            </w:r>
          </w:p>
        </w:tc>
        <w:tc>
          <w:tcPr>
            <w:tcW w:w="1928" w:type="dxa"/>
            <w:vAlign w:val="center"/>
          </w:tcPr>
          <w:p w14:paraId="0D2AD688">
            <w:pPr>
              <w:wordWrap w:val="0"/>
              <w:spacing w:line="320" w:lineRule="exact"/>
              <w:jc w:val="center"/>
              <w:rPr>
                <w:rFonts w:ascii="宋体" w:hAnsi="宋体" w:eastAsia="宋体" w:cs="宋体"/>
                <w:b w:val="0"/>
                <w:bCs w:val="0"/>
                <w:sz w:val="24"/>
                <w:szCs w:val="24"/>
              </w:rPr>
            </w:pPr>
            <w:r>
              <w:rPr>
                <w:rFonts w:hint="eastAsia" w:ascii="宋体" w:hAnsi="宋体" w:eastAsia="宋体" w:cs="宋体"/>
                <w:b w:val="0"/>
                <w:bCs w:val="0"/>
                <w:sz w:val="24"/>
                <w:szCs w:val="24"/>
              </w:rPr>
              <w:t>1套</w:t>
            </w:r>
          </w:p>
        </w:tc>
      </w:tr>
      <w:tr w14:paraId="4A30A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81" w:type="dxa"/>
            <w:vAlign w:val="center"/>
          </w:tcPr>
          <w:p w14:paraId="2FC1D448">
            <w:pPr>
              <w:spacing w:before="120" w:beforeLines="50" w:after="120" w:afterLines="50" w:line="320" w:lineRule="exact"/>
              <w:jc w:val="center"/>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2</w:t>
            </w:r>
          </w:p>
        </w:tc>
        <w:tc>
          <w:tcPr>
            <w:tcW w:w="4930" w:type="dxa"/>
            <w:vAlign w:val="center"/>
          </w:tcPr>
          <w:p w14:paraId="7949AA15">
            <w:pPr>
              <w:spacing w:before="120" w:beforeLines="50" w:after="120" w:afterLines="50" w:line="320" w:lineRule="exact"/>
              <w:jc w:val="left"/>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大数据技术应用基础Python平台</w:t>
            </w:r>
          </w:p>
        </w:tc>
        <w:tc>
          <w:tcPr>
            <w:tcW w:w="1928" w:type="dxa"/>
            <w:vAlign w:val="center"/>
          </w:tcPr>
          <w:p w14:paraId="25DEEF06">
            <w:pPr>
              <w:wordWrap w:val="0"/>
              <w:spacing w:line="320" w:lineRule="exact"/>
              <w:jc w:val="center"/>
              <w:rPr>
                <w:rFonts w:ascii="宋体" w:hAnsi="宋体" w:eastAsia="宋体" w:cs="宋体"/>
                <w:b w:val="0"/>
                <w:bCs w:val="0"/>
                <w:sz w:val="24"/>
                <w:szCs w:val="24"/>
              </w:rPr>
            </w:pPr>
            <w:r>
              <w:rPr>
                <w:rFonts w:hint="eastAsia" w:ascii="宋体" w:hAnsi="宋体" w:eastAsia="宋体" w:cs="宋体"/>
                <w:b w:val="0"/>
                <w:bCs w:val="0"/>
                <w:sz w:val="24"/>
                <w:szCs w:val="24"/>
              </w:rPr>
              <w:t>1套</w:t>
            </w:r>
          </w:p>
        </w:tc>
      </w:tr>
      <w:tr w14:paraId="5086F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81" w:type="dxa"/>
            <w:vAlign w:val="center"/>
          </w:tcPr>
          <w:p w14:paraId="0BB8B710">
            <w:pPr>
              <w:spacing w:before="120" w:beforeLines="50" w:after="120" w:afterLines="50" w:line="320" w:lineRule="exact"/>
              <w:jc w:val="center"/>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3</w:t>
            </w:r>
          </w:p>
        </w:tc>
        <w:tc>
          <w:tcPr>
            <w:tcW w:w="4930" w:type="dxa"/>
            <w:vAlign w:val="center"/>
          </w:tcPr>
          <w:p w14:paraId="13321D73">
            <w:pPr>
              <w:spacing w:before="120" w:beforeLines="50" w:after="120" w:afterLines="50" w:line="320" w:lineRule="exact"/>
              <w:jc w:val="left"/>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AI数智财务智能体实战平台</w:t>
            </w:r>
          </w:p>
        </w:tc>
        <w:tc>
          <w:tcPr>
            <w:tcW w:w="1928" w:type="dxa"/>
            <w:vAlign w:val="center"/>
          </w:tcPr>
          <w:p w14:paraId="091F527D">
            <w:pPr>
              <w:wordWrap w:val="0"/>
              <w:spacing w:line="320" w:lineRule="exact"/>
              <w:jc w:val="center"/>
              <w:rPr>
                <w:rFonts w:ascii="宋体" w:hAnsi="宋体" w:eastAsia="宋体" w:cs="宋体"/>
                <w:b w:val="0"/>
                <w:bCs w:val="0"/>
                <w:sz w:val="24"/>
                <w:szCs w:val="24"/>
              </w:rPr>
            </w:pPr>
            <w:r>
              <w:rPr>
                <w:rFonts w:hint="eastAsia" w:ascii="宋体" w:hAnsi="宋体" w:eastAsia="宋体" w:cs="宋体"/>
                <w:b w:val="0"/>
                <w:bCs w:val="0"/>
                <w:sz w:val="24"/>
                <w:szCs w:val="24"/>
              </w:rPr>
              <w:t>1套</w:t>
            </w:r>
          </w:p>
        </w:tc>
      </w:tr>
    </w:tbl>
    <w:p w14:paraId="2D0BCEBD">
      <w:pPr>
        <w:widowControl/>
        <w:spacing w:line="360" w:lineRule="auto"/>
        <w:ind w:firstLine="480" w:firstLineChars="200"/>
        <w:jc w:val="left"/>
        <w:rPr>
          <w:rFonts w:hint="eastAsia" w:ascii="宋体" w:hAnsi="宋体" w:eastAsia="宋体" w:cs="宋体"/>
          <w:color w:val="000000"/>
          <w:sz w:val="24"/>
          <w:szCs w:val="24"/>
        </w:rPr>
      </w:pPr>
    </w:p>
    <w:p w14:paraId="1B65F006">
      <w:pPr>
        <w:widowControl/>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2.采购项目交付时间：</w:t>
      </w:r>
      <w:r>
        <w:rPr>
          <w:rFonts w:hint="eastAsia" w:ascii="宋体" w:hAnsi="宋体" w:eastAsia="宋体" w:cs="宋体"/>
          <w:color w:val="000000"/>
          <w:sz w:val="24"/>
          <w:szCs w:val="24"/>
          <w:u w:val="single"/>
        </w:rPr>
        <w:t xml:space="preserve">       合同签订后30日内    </w:t>
      </w:r>
      <w:r>
        <w:rPr>
          <w:rFonts w:hint="eastAsia" w:ascii="宋体" w:hAnsi="宋体" w:eastAsia="宋体" w:cs="宋体"/>
          <w:color w:val="000000"/>
          <w:sz w:val="24"/>
          <w:szCs w:val="24"/>
        </w:rPr>
        <w:t>。</w:t>
      </w:r>
    </w:p>
    <w:p w14:paraId="6509C43C">
      <w:pPr>
        <w:widowControl/>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3.采购项目交付地点：</w:t>
      </w:r>
      <w:r>
        <w:rPr>
          <w:rFonts w:hint="eastAsia" w:ascii="宋体" w:hAnsi="宋体" w:eastAsia="宋体" w:cs="宋体"/>
          <w:color w:val="000000"/>
          <w:sz w:val="24"/>
          <w:szCs w:val="24"/>
          <w:u w:val="single"/>
        </w:rPr>
        <w:t>江苏航运职业技术学院指定地点</w:t>
      </w:r>
      <w:r>
        <w:rPr>
          <w:rFonts w:hint="eastAsia" w:ascii="宋体" w:hAnsi="宋体" w:eastAsia="宋体" w:cs="宋体"/>
          <w:color w:val="000000"/>
          <w:sz w:val="24"/>
          <w:szCs w:val="24"/>
        </w:rPr>
        <w:t>。</w:t>
      </w:r>
    </w:p>
    <w:p w14:paraId="2BF28808">
      <w:pPr>
        <w:pStyle w:val="7"/>
        <w:tabs>
          <w:tab w:val="left" w:pos="0"/>
        </w:tabs>
        <w:snapToGrid w:val="0"/>
        <w:spacing w:before="120" w:after="120" w:line="360" w:lineRule="auto"/>
        <w:rPr>
          <w:rFonts w:ascii="宋体" w:hAnsi="宋体" w:eastAsia="宋体" w:cs="宋体"/>
          <w:b/>
          <w:bCs/>
          <w:kern w:val="2"/>
          <w:sz w:val="24"/>
          <w:szCs w:val="24"/>
        </w:rPr>
      </w:pPr>
      <w:r>
        <w:rPr>
          <w:rFonts w:hint="eastAsia" w:ascii="宋体" w:hAnsi="宋体" w:eastAsia="宋体" w:cs="宋体"/>
          <w:b/>
          <w:bCs/>
          <w:kern w:val="2"/>
          <w:sz w:val="24"/>
          <w:szCs w:val="24"/>
        </w:rPr>
        <w:t>四、采购标的需满足的服务标准、期限、效率等要求</w:t>
      </w:r>
    </w:p>
    <w:p w14:paraId="2B3AD635">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1.合同签订后</w:t>
      </w:r>
      <w:r>
        <w:rPr>
          <w:rFonts w:hint="eastAsia" w:ascii="宋体" w:hAnsi="宋体" w:eastAsia="宋体" w:cs="宋体"/>
          <w:bCs/>
          <w:color w:val="000000"/>
          <w:sz w:val="24"/>
          <w:szCs w:val="24"/>
          <w:u w:val="single"/>
        </w:rPr>
        <w:t xml:space="preserve"> 30 </w:t>
      </w:r>
      <w:r>
        <w:rPr>
          <w:rFonts w:hint="eastAsia" w:ascii="宋体" w:hAnsi="宋体" w:eastAsia="宋体" w:cs="宋体"/>
          <w:bCs/>
          <w:color w:val="000000"/>
          <w:sz w:val="24"/>
          <w:szCs w:val="24"/>
        </w:rPr>
        <w:t>日内完成功系统的安装部署、培训及验收。</w:t>
      </w:r>
    </w:p>
    <w:p w14:paraId="4EA3DF68">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2.提供5年免费质保，并提供5年免费云服务，自整体项目验收合格之日起计算，质保期过后产品终生免费升级维护，软件保证长期正常使用。</w:t>
      </w:r>
    </w:p>
    <w:p w14:paraId="7FBE6B80">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3.投标人需提供本地化服务，产品使用中，如遇问题，需在2小时内派出技术人员到达用户现场进行相关服务，现场提供技术指导。</w:t>
      </w:r>
    </w:p>
    <w:p w14:paraId="472EFBB8">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4.中标方对使用方进行免费使用培训，整个服务期间，需根据使用方的要求，提供不低于2次系统性培训，每次培训为期一周，确保培训内容系统、全面，助力用户熟练掌握平台操作。</w:t>
      </w:r>
    </w:p>
    <w:p w14:paraId="707BA32C">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5.质保期内对软件系统的 bug 和安全漏洞提供及时响应及修订。</w:t>
      </w:r>
    </w:p>
    <w:p w14:paraId="6615440E">
      <w:pPr>
        <w:spacing w:line="360" w:lineRule="auto"/>
        <w:ind w:firstLine="480" w:firstLineChars="200"/>
        <w:contextualSpacing/>
        <w:rPr>
          <w:rFonts w:ascii="宋体" w:hAnsi="宋体" w:eastAsia="宋体" w:cs="宋体"/>
          <w:bCs/>
          <w:color w:val="000000"/>
          <w:sz w:val="24"/>
          <w:szCs w:val="24"/>
        </w:rPr>
      </w:pPr>
      <w:r>
        <w:rPr>
          <w:rFonts w:hint="eastAsia" w:ascii="宋体" w:hAnsi="宋体" w:eastAsia="宋体" w:cs="宋体"/>
          <w:bCs/>
          <w:color w:val="000000"/>
          <w:sz w:val="24"/>
          <w:szCs w:val="24"/>
        </w:rPr>
        <w:t>6.其余售后服务要求按照中标人投标文件中提供的售后服务方案执行。</w:t>
      </w:r>
    </w:p>
    <w:p w14:paraId="3871CC35">
      <w:pPr>
        <w:pStyle w:val="7"/>
        <w:tabs>
          <w:tab w:val="left" w:pos="0"/>
        </w:tabs>
        <w:snapToGrid w:val="0"/>
        <w:spacing w:before="120" w:after="120" w:line="360" w:lineRule="auto"/>
        <w:rPr>
          <w:rFonts w:ascii="宋体" w:hAnsi="宋体" w:eastAsia="宋体" w:cs="宋体"/>
          <w:b/>
          <w:bCs/>
          <w:kern w:val="2"/>
          <w:sz w:val="24"/>
          <w:szCs w:val="24"/>
        </w:rPr>
      </w:pPr>
      <w:r>
        <w:rPr>
          <w:rFonts w:hint="eastAsia" w:ascii="宋体" w:hAnsi="宋体" w:eastAsia="宋体" w:cs="宋体"/>
          <w:b/>
          <w:bCs/>
          <w:kern w:val="2"/>
          <w:sz w:val="24"/>
          <w:szCs w:val="24"/>
        </w:rPr>
        <w:t>五、采购标的包装、运输、交货、验收标准</w:t>
      </w:r>
    </w:p>
    <w:p w14:paraId="67EADAD3">
      <w:pPr>
        <w:pStyle w:val="7"/>
        <w:tabs>
          <w:tab w:val="left" w:pos="0"/>
        </w:tabs>
        <w:snapToGrid w:val="0"/>
        <w:spacing w:before="120" w:after="120" w:line="360" w:lineRule="auto"/>
        <w:ind w:firstLine="482" w:firstLineChars="200"/>
        <w:rPr>
          <w:rFonts w:ascii="宋体" w:hAnsi="宋体" w:eastAsia="宋体" w:cs="宋体"/>
          <w:sz w:val="24"/>
          <w:szCs w:val="24"/>
        </w:rPr>
      </w:pPr>
      <w:r>
        <w:rPr>
          <w:rFonts w:hint="eastAsia" w:ascii="宋体" w:hAnsi="宋体" w:eastAsia="宋体" w:cs="宋体"/>
          <w:b/>
          <w:bCs/>
          <w:sz w:val="24"/>
          <w:szCs w:val="24"/>
        </w:rPr>
        <w:t>1.商品包装环保要求：</w:t>
      </w:r>
      <w:r>
        <w:rPr>
          <w:rFonts w:hint="eastAsia" w:ascii="宋体" w:hAnsi="宋体" w:eastAsia="宋体" w:cs="宋体"/>
          <w:sz w:val="24"/>
          <w:szCs w:val="24"/>
        </w:rPr>
        <w:t>应当按《关于印发〈商品包装政府采购需求标准（试行）〉、〈快递包装政府采购需求标准（试行）〉的通知》（财办库〔2020〕123号）文件执行。</w:t>
      </w:r>
    </w:p>
    <w:p w14:paraId="36F96371">
      <w:pPr>
        <w:pStyle w:val="7"/>
        <w:tabs>
          <w:tab w:val="left" w:pos="0"/>
        </w:tabs>
        <w:snapToGrid w:val="0"/>
        <w:spacing w:before="120" w:after="120" w:line="360" w:lineRule="auto"/>
        <w:ind w:firstLine="480" w:firstLineChars="200"/>
        <w:rPr>
          <w:rFonts w:ascii="宋体" w:hAnsi="宋体" w:eastAsia="宋体" w:cs="宋体"/>
          <w:sz w:val="24"/>
          <w:szCs w:val="24"/>
        </w:rPr>
      </w:pPr>
      <w:r>
        <w:rPr>
          <w:rFonts w:hint="eastAsia" w:ascii="宋体" w:hAnsi="宋体" w:eastAsia="宋体" w:cs="宋体"/>
          <w:sz w:val="24"/>
          <w:szCs w:val="24"/>
        </w:rPr>
        <w:t>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718D85E4">
      <w:pPr>
        <w:pStyle w:val="7"/>
        <w:tabs>
          <w:tab w:val="left" w:pos="0"/>
        </w:tabs>
        <w:snapToGrid w:val="0"/>
        <w:spacing w:before="120" w:after="120" w:line="360" w:lineRule="auto"/>
        <w:ind w:firstLine="482" w:firstLineChars="200"/>
        <w:rPr>
          <w:rFonts w:ascii="宋体" w:hAnsi="宋体" w:eastAsia="宋体" w:cs="宋体"/>
          <w:sz w:val="24"/>
          <w:szCs w:val="24"/>
        </w:rPr>
      </w:pPr>
      <w:r>
        <w:rPr>
          <w:rFonts w:hint="eastAsia" w:ascii="宋体" w:hAnsi="宋体" w:eastAsia="宋体" w:cs="宋体"/>
          <w:b/>
          <w:bCs/>
          <w:sz w:val="24"/>
          <w:szCs w:val="24"/>
        </w:rPr>
        <w:t>2.运输：</w:t>
      </w:r>
      <w:r>
        <w:rPr>
          <w:rFonts w:hint="eastAsia" w:ascii="宋体" w:hAnsi="宋体" w:eastAsia="宋体" w:cs="宋体"/>
          <w:sz w:val="24"/>
          <w:szCs w:val="24"/>
        </w:rPr>
        <w:t>货物的运输及风险由中标人负责，运输费用及运输保险费用包含在合同价款中，采购人对此不负任何责任。</w:t>
      </w:r>
    </w:p>
    <w:p w14:paraId="4F163E14">
      <w:pPr>
        <w:pStyle w:val="7"/>
        <w:tabs>
          <w:tab w:val="left" w:pos="0"/>
        </w:tabs>
        <w:snapToGrid w:val="0"/>
        <w:spacing w:before="120" w:after="120" w:line="360" w:lineRule="auto"/>
        <w:ind w:firstLine="482" w:firstLineChars="200"/>
        <w:rPr>
          <w:rFonts w:ascii="宋体" w:hAnsi="宋体" w:eastAsia="宋体" w:cs="宋体"/>
          <w:sz w:val="24"/>
          <w:szCs w:val="24"/>
        </w:rPr>
      </w:pPr>
      <w:r>
        <w:rPr>
          <w:rFonts w:hint="eastAsia" w:ascii="宋体" w:hAnsi="宋体" w:eastAsia="宋体" w:cs="宋体"/>
          <w:b/>
          <w:bCs/>
          <w:sz w:val="24"/>
          <w:szCs w:val="24"/>
        </w:rPr>
        <w:t>3.交货、安装：</w:t>
      </w:r>
      <w:r>
        <w:rPr>
          <w:rFonts w:hint="eastAsia" w:ascii="宋体" w:hAnsi="宋体" w:eastAsia="宋体" w:cs="宋体"/>
          <w:sz w:val="24"/>
          <w:szCs w:val="24"/>
        </w:rPr>
        <w:t>交货方式为中标人送货至采购人指定地点，除不可抗力因素外，中标人必须按合同规定的时间、地点安排交货并安装。</w:t>
      </w:r>
    </w:p>
    <w:p w14:paraId="2FD20E87">
      <w:pPr>
        <w:pStyle w:val="7"/>
        <w:tabs>
          <w:tab w:val="left" w:pos="0"/>
        </w:tabs>
        <w:snapToGrid w:val="0"/>
        <w:spacing w:before="120" w:after="120" w:line="360" w:lineRule="auto"/>
        <w:ind w:firstLine="482" w:firstLineChars="200"/>
        <w:rPr>
          <w:rFonts w:ascii="宋体" w:hAnsi="宋体" w:eastAsia="宋体" w:cs="宋体"/>
          <w:sz w:val="24"/>
          <w:szCs w:val="24"/>
        </w:rPr>
      </w:pPr>
      <w:r>
        <w:rPr>
          <w:rFonts w:hint="eastAsia" w:ascii="宋体" w:hAnsi="宋体" w:eastAsia="宋体" w:cs="宋体"/>
          <w:b/>
          <w:bCs/>
          <w:sz w:val="24"/>
          <w:szCs w:val="24"/>
        </w:rPr>
        <w:t>4.验收标准：</w:t>
      </w:r>
      <w:r>
        <w:rPr>
          <w:rFonts w:hint="eastAsia" w:ascii="宋体" w:hAnsi="宋体" w:eastAsia="宋体" w:cs="宋体"/>
          <w:sz w:val="24"/>
          <w:szCs w:val="24"/>
        </w:rPr>
        <w:t>平台需全面实现招标文件要求的所有功能，特别是带“★”、“▲”标记的关键技术指标；系统性能需满足200用户并发及响应时间要求；安全无中高危漏洞；提供完整文档与培训；整体运行稳定，符合项目全过程管理需求。在本项目的实施过程中和交付使用后，各个阶段都会有各种文档资料。这些文档资料对所交付系统的维护和持续发展起着非常重大的作用。因此，要求将全面、规范的文档资料交付。要交付的文档资料主要包括：各种技术文档，如包括用户操作手册以及系统培训资料等。</w:t>
      </w:r>
    </w:p>
    <w:p w14:paraId="3F35FA21">
      <w:pPr>
        <w:pStyle w:val="7"/>
        <w:tabs>
          <w:tab w:val="left" w:pos="0"/>
        </w:tabs>
        <w:snapToGrid w:val="0"/>
        <w:spacing w:before="120" w:after="120" w:line="360" w:lineRule="auto"/>
        <w:rPr>
          <w:rFonts w:hint="eastAsia" w:ascii="宋体" w:hAnsi="宋体" w:eastAsia="宋体" w:cs="宋体"/>
          <w:b/>
          <w:bCs/>
          <w:kern w:val="2"/>
          <w:sz w:val="24"/>
          <w:szCs w:val="24"/>
        </w:rPr>
      </w:pPr>
      <w:r>
        <w:rPr>
          <w:rFonts w:hint="eastAsia" w:ascii="宋体" w:hAnsi="宋体" w:eastAsia="宋体" w:cs="宋体"/>
          <w:b/>
          <w:bCs/>
          <w:kern w:val="2"/>
          <w:sz w:val="24"/>
          <w:szCs w:val="24"/>
        </w:rPr>
        <w:t>七、采购需求中必须满足的实质性要求和条件（请单独列出）</w:t>
      </w:r>
    </w:p>
    <w:p w14:paraId="12D6515D">
      <w:pPr>
        <w:spacing w:line="360" w:lineRule="auto"/>
        <w:ind w:firstLine="482" w:firstLineChars="200"/>
        <w:contextualSpacing/>
        <w:rPr>
          <w:rFonts w:hint="eastAsia" w:ascii="宋体" w:hAnsi="宋体" w:eastAsia="宋体" w:cs="宋体"/>
          <w:b/>
          <w:bCs/>
          <w:sz w:val="24"/>
          <w:szCs w:val="24"/>
        </w:rPr>
      </w:pPr>
      <w:r>
        <w:rPr>
          <w:rFonts w:hint="eastAsia" w:ascii="宋体" w:hAnsi="宋体" w:eastAsia="宋体" w:cs="宋体"/>
          <w:b/>
          <w:bCs/>
          <w:sz w:val="24"/>
          <w:szCs w:val="24"/>
        </w:rPr>
        <w:t>1.投标人拟投本项目所有标注“★”的为设备技术参数须实质性响应本采购文件技术参数要求，不接受负偏离产品应标。提供《★技术条款响应正负偏离表》，须根据清单中“★”的技术参数要求逐条进行应答；未提供或有遗漏或有负偏离均视为未实质性响应，作废标处理。对本项目能够作为技术参数证明材料的文件如：现场软件演示。</w:t>
      </w:r>
    </w:p>
    <w:p w14:paraId="189428B7">
      <w:pPr>
        <w:pStyle w:val="7"/>
        <w:pageBreakBefore w:val="0"/>
        <w:widowControl w:val="0"/>
        <w:tabs>
          <w:tab w:val="left" w:pos="0"/>
        </w:tabs>
        <w:kinsoku/>
        <w:wordWrap/>
        <w:overflowPunct/>
        <w:topLinePunct w:val="0"/>
        <w:autoSpaceDE/>
        <w:autoSpaceDN/>
        <w:bidi w:val="0"/>
        <w:adjustRightInd/>
        <w:snapToGrid w:val="0"/>
        <w:spacing w:before="120" w:after="120" w:line="360" w:lineRule="auto"/>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八、演示讲解</w:t>
      </w:r>
    </w:p>
    <w:p w14:paraId="1AF28987">
      <w:pPr>
        <w:pStyle w:val="4"/>
        <w:numPr>
          <w:ilvl w:val="3"/>
          <w:numId w:val="0"/>
        </w:numPr>
        <w:spacing w:line="360" w:lineRule="auto"/>
        <w:ind w:firstLine="482" w:firstLineChars="200"/>
        <w:rPr>
          <w:rFonts w:hint="eastAsia" w:ascii="宋体" w:hAnsi="宋体" w:eastAsia="宋体" w:cs="宋体"/>
          <w:sz w:val="24"/>
          <w:szCs w:val="24"/>
        </w:rPr>
      </w:pPr>
      <w:r>
        <w:rPr>
          <w:rFonts w:hint="eastAsia" w:ascii="宋体" w:hAnsi="宋体" w:eastAsia="宋体" w:cs="宋体"/>
          <w:sz w:val="24"/>
          <w:szCs w:val="24"/>
        </w:rPr>
        <w:t>1.带“★”标记的实质要求技术指标部分</w:t>
      </w:r>
    </w:p>
    <w:tbl>
      <w:tblPr>
        <w:tblStyle w:val="13"/>
        <w:tblW w:w="8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2"/>
        <w:gridCol w:w="1200"/>
        <w:gridCol w:w="7070"/>
      </w:tblGrid>
      <w:tr w14:paraId="49988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602" w:type="dxa"/>
            <w:vAlign w:val="center"/>
          </w:tcPr>
          <w:p w14:paraId="587AC834">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sz w:val="24"/>
                <w:szCs w:val="24"/>
              </w:rPr>
              <w:t>序号</w:t>
            </w:r>
          </w:p>
        </w:tc>
        <w:tc>
          <w:tcPr>
            <w:tcW w:w="1200" w:type="dxa"/>
            <w:vAlign w:val="center"/>
          </w:tcPr>
          <w:p w14:paraId="7C81908D">
            <w:pPr>
              <w:pageBreakBefore w:val="0"/>
              <w:widowControl w:val="0"/>
              <w:kinsoku/>
              <w:overflowPunct/>
              <w:topLinePunct w:val="0"/>
              <w:autoSpaceDE/>
              <w:autoSpaceDN/>
              <w:bidi w:val="0"/>
              <w:adjustRightInd/>
              <w:snapToGrid/>
              <w:spacing w:before="120" w:beforeLines="50" w:after="120" w:afterLines="50" w:line="300" w:lineRule="exact"/>
              <w:jc w:val="center"/>
              <w:textAlignment w:val="auto"/>
              <w:rPr>
                <w:rFonts w:ascii="宋体" w:hAnsi="宋体" w:eastAsia="宋体" w:cs="宋体"/>
                <w:b/>
                <w:bCs/>
                <w:color w:val="000000"/>
                <w:sz w:val="24"/>
                <w:szCs w:val="24"/>
              </w:rPr>
            </w:pPr>
            <w:r>
              <w:rPr>
                <w:rFonts w:hint="eastAsia" w:ascii="宋体" w:hAnsi="宋体" w:eastAsia="宋体" w:cs="宋体"/>
                <w:b/>
                <w:bCs/>
                <w:color w:val="000000"/>
                <w:sz w:val="24"/>
                <w:szCs w:val="24"/>
              </w:rPr>
              <w:t>设备名称</w:t>
            </w:r>
          </w:p>
        </w:tc>
        <w:tc>
          <w:tcPr>
            <w:tcW w:w="7070" w:type="dxa"/>
            <w:vAlign w:val="center"/>
          </w:tcPr>
          <w:p w14:paraId="0D2BE38C">
            <w:pPr>
              <w:pageBreakBefore w:val="0"/>
              <w:widowControl w:val="0"/>
              <w:kinsoku/>
              <w:overflowPunct/>
              <w:topLinePunct w:val="0"/>
              <w:autoSpaceDE/>
              <w:autoSpaceDN/>
              <w:bidi w:val="0"/>
              <w:adjustRightInd/>
              <w:snapToGrid/>
              <w:spacing w:before="120" w:beforeLines="50" w:after="120" w:afterLines="50" w:line="300" w:lineRule="exact"/>
              <w:jc w:val="center"/>
              <w:textAlignment w:val="auto"/>
              <w:rPr>
                <w:rFonts w:ascii="宋体" w:hAnsi="宋体" w:eastAsia="宋体" w:cs="宋体"/>
                <w:b/>
                <w:bCs/>
                <w:color w:val="000000"/>
                <w:sz w:val="24"/>
                <w:szCs w:val="24"/>
              </w:rPr>
            </w:pPr>
            <w:r>
              <w:rPr>
                <w:rFonts w:hint="eastAsia" w:ascii="宋体" w:hAnsi="宋体" w:eastAsia="宋体" w:cs="宋体"/>
                <w:b/>
                <w:bCs/>
                <w:color w:val="000000"/>
                <w:sz w:val="24"/>
                <w:szCs w:val="24"/>
              </w:rPr>
              <w:t>功能技术参数要求</w:t>
            </w:r>
          </w:p>
        </w:tc>
      </w:tr>
      <w:tr w14:paraId="5C74F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2" w:type="dxa"/>
            <w:vAlign w:val="center"/>
          </w:tcPr>
          <w:p w14:paraId="0E83B496">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sz w:val="24"/>
                <w:szCs w:val="24"/>
              </w:rPr>
              <w:t>1</w:t>
            </w:r>
          </w:p>
        </w:tc>
        <w:tc>
          <w:tcPr>
            <w:tcW w:w="1200" w:type="dxa"/>
            <w:vMerge w:val="restart"/>
            <w:vAlign w:val="center"/>
          </w:tcPr>
          <w:p w14:paraId="7B687740">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color w:val="000000"/>
                <w:sz w:val="24"/>
                <w:szCs w:val="24"/>
              </w:rPr>
              <w:t>财务大数据分析平台</w:t>
            </w:r>
          </w:p>
        </w:tc>
        <w:tc>
          <w:tcPr>
            <w:tcW w:w="7070" w:type="dxa"/>
            <w:vAlign w:val="center"/>
          </w:tcPr>
          <w:p w14:paraId="11CA394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b/>
                <w:bCs/>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.★平台配套提供终端载体单机版，要求支持在无网络状态使用，内置以下功能模块：</w:t>
            </w:r>
            <w:r>
              <w:rPr>
                <w:rFonts w:hint="eastAsia" w:ascii="宋体" w:hAnsi="宋体" w:eastAsia="宋体" w:cs="宋体"/>
                <w:b/>
                <w:bCs/>
                <w:sz w:val="24"/>
                <w:szCs w:val="24"/>
              </w:rPr>
              <w:t>（本条参数为核心参数，现场需演示，现场未能演示或演示不满足本条要求，视为投标无效）</w:t>
            </w:r>
          </w:p>
          <w:p w14:paraId="3013628C">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.1 互动财会游戏功能模块，满足以下要求：</w:t>
            </w:r>
          </w:p>
          <w:p w14:paraId="159CD9C7">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.1.1 要求游戏总数量不少于50个；要求游戏类型应该是多样性的，具有支持拖拉拽操作、具有闯关模式等典型的游戏特征（不是简单的单选、多选、判断类型）；要求游戏内容与财会专业知识点相关，需随机抽取至少5个不同的游戏展示，游戏内容举例：战略地图游戏：通过拖拉拽的形式完成战略地图绘制。企业经营沙盘游戏：通过小沙盘的形式，模拟一家企业一年的经营，并且包含资产负债表的动态展示。数电发票识别游戏：通过游戏的形式，让学生学习了解财务机器人发票识别的步骤与过程；</w:t>
            </w:r>
          </w:p>
          <w:p w14:paraId="6CF80C7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.1.2 自定义房间名称功能：设置游戏时间及次数限制，游戏开始时间及持续时间；</w:t>
            </w:r>
          </w:p>
          <w:p w14:paraId="58A98FF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.1.3 排行榜功能：支持竞赛比拼并提供排行，增加课堂趣味性，可重复进行游戏；</w:t>
            </w:r>
          </w:p>
          <w:p w14:paraId="31E2040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.1.4 在线游戏互动功能：学生可通过手机扫描系统中的会计游戏二维码，实现在手机上进行随堂游戏的互动体验；</w:t>
            </w:r>
          </w:p>
          <w:p w14:paraId="1DDC6E9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.2 微课制作功能模块，要求具有以下功能：</w:t>
            </w:r>
          </w:p>
          <w:p w14:paraId="1CD993F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.2.1 可直接导入PPT并保留PPT所有动画效果，生成视频微课；</w:t>
            </w:r>
          </w:p>
          <w:p w14:paraId="5A54DBF1">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.2.2 制作过程可自动录音，可合成至生成的视频微课中；</w:t>
            </w:r>
          </w:p>
          <w:p w14:paraId="5CA0DF8B">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.2.3 微课制作时支持两个摄像头切换录制，第一摄像头和第二摄像头可随时切换录制现场人像或现场展示资料，录制内容可合成至生成的视频微课中；</w:t>
            </w:r>
          </w:p>
          <w:p w14:paraId="6739D036">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.2.4 微课制作过程中可随时板书，录制板书操作，并合成到生成的视频微课；</w:t>
            </w:r>
          </w:p>
          <w:p w14:paraId="3E7DAD6D">
            <w:pPr>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.2.5 微课保存为视频时，可选择添加背景音乐，使制作的微课全程具有背景音乐效果，背景音乐提供多种选择</w:t>
            </w:r>
            <w:r>
              <w:rPr>
                <w:rFonts w:hint="eastAsia" w:ascii="宋体" w:hAnsi="宋体" w:eastAsia="宋体" w:cs="宋体"/>
                <w:sz w:val="24"/>
                <w:szCs w:val="24"/>
                <w:lang w:eastAsia="zh-CN"/>
              </w:rPr>
              <w:t>。</w:t>
            </w:r>
          </w:p>
        </w:tc>
      </w:tr>
      <w:tr w14:paraId="3F83E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2" w:type="dxa"/>
            <w:vAlign w:val="center"/>
          </w:tcPr>
          <w:p w14:paraId="7A0DB2EE">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sz w:val="24"/>
                <w:szCs w:val="24"/>
              </w:rPr>
              <w:t>2</w:t>
            </w:r>
          </w:p>
        </w:tc>
        <w:tc>
          <w:tcPr>
            <w:tcW w:w="1200" w:type="dxa"/>
            <w:vMerge w:val="continue"/>
          </w:tcPr>
          <w:p w14:paraId="3ECA0148">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p>
        </w:tc>
        <w:tc>
          <w:tcPr>
            <w:tcW w:w="7070" w:type="dxa"/>
          </w:tcPr>
          <w:p w14:paraId="76FE711F">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b/>
                <w:bCs/>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.★平台配套提供会计信息化账务处理手机APP，供学生移动学习体验会计信息化常见功能模块：</w:t>
            </w:r>
            <w:r>
              <w:rPr>
                <w:rFonts w:hint="eastAsia" w:ascii="宋体" w:hAnsi="宋体" w:eastAsia="宋体" w:cs="宋体"/>
                <w:b/>
                <w:bCs/>
                <w:sz w:val="24"/>
                <w:szCs w:val="24"/>
              </w:rPr>
              <w:t>（本条参数为核心参数，现场需演示，现场未能演示或演示不满足本条要求，视为投标无效）</w:t>
            </w:r>
          </w:p>
          <w:p w14:paraId="522EDC1D">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.1 初始设置：登录后可自定义创建账套，若已有账套，则直接进入角色登录界面；</w:t>
            </w:r>
          </w:p>
          <w:p w14:paraId="6C1AD3EA">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.2 角色登录：提供四个岗位角色登录，支持网络版管理员针对实际情况分配角色登录权限；</w:t>
            </w:r>
          </w:p>
          <w:p w14:paraId="68889E03">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.3 登录首页：包含凭证列表、审核凭证、记账、期末结账、结转损益、财务报表、查询/修改、明细账、总账、科目余额表等十个子功能模块</w:t>
            </w:r>
            <w:r>
              <w:rPr>
                <w:rFonts w:hint="eastAsia" w:ascii="宋体" w:hAnsi="宋体" w:eastAsia="宋体" w:cs="宋体"/>
                <w:sz w:val="24"/>
                <w:szCs w:val="24"/>
                <w:lang w:eastAsia="zh-CN"/>
              </w:rPr>
              <w:t>。</w:t>
            </w:r>
          </w:p>
        </w:tc>
      </w:tr>
      <w:tr w14:paraId="4D1C4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2" w:type="dxa"/>
            <w:vAlign w:val="center"/>
          </w:tcPr>
          <w:p w14:paraId="68BC057C">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sz w:val="24"/>
                <w:szCs w:val="24"/>
              </w:rPr>
              <w:t>3</w:t>
            </w:r>
          </w:p>
        </w:tc>
        <w:tc>
          <w:tcPr>
            <w:tcW w:w="1200" w:type="dxa"/>
            <w:vMerge w:val="restart"/>
            <w:vAlign w:val="center"/>
          </w:tcPr>
          <w:p w14:paraId="7E7E0324">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color w:val="000000"/>
                <w:sz w:val="24"/>
                <w:szCs w:val="24"/>
              </w:rPr>
              <w:t>大数据技术应用基础Python平台</w:t>
            </w:r>
          </w:p>
        </w:tc>
        <w:tc>
          <w:tcPr>
            <w:tcW w:w="7070" w:type="dxa"/>
          </w:tcPr>
          <w:p w14:paraId="7F5D32E4">
            <w:pPr>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4.2 ★提供板块模式，按照行业板块和地域板块对上市公司进行分类，可以实时显示行业板块和地域板块的各个板块的上市公司总数量，其中行业板块包含种植业与林业、造纸、专用设备、中药、证券、综合、自动化设备、养殖业、医药商业、银行、仪器仪表等110个行业板块，地域板块包含天津、河北、山西、内蒙古、辽宁、吉林、黑龙江、上海、江苏等</w:t>
            </w:r>
            <w:r>
              <w:rPr>
                <w:rFonts w:hint="eastAsia" w:ascii="宋体" w:hAnsi="宋体" w:eastAsia="宋体" w:cs="宋体"/>
                <w:sz w:val="24"/>
                <w:szCs w:val="24"/>
                <w:lang w:val="en-US" w:eastAsia="zh-CN"/>
              </w:rPr>
              <w:t>中国大陆地区31个省（区、市）的区域</w:t>
            </w:r>
            <w:r>
              <w:rPr>
                <w:rFonts w:hint="eastAsia" w:ascii="宋体" w:hAnsi="宋体" w:eastAsia="宋体" w:cs="宋体"/>
                <w:sz w:val="24"/>
                <w:szCs w:val="24"/>
              </w:rPr>
              <w:t>板块；大数据中心数据所有数据包括每个行业板块的总数据、任意公司任意一项数据都能够支持直接下载数据或者复制链接的方式获取数据，可在Python开发环境中直接利用爬虫工具通过复制的数据链接爬取数据，以上数据每年至少更新一次；</w:t>
            </w:r>
            <w:r>
              <w:rPr>
                <w:rFonts w:hint="eastAsia" w:ascii="宋体" w:hAnsi="宋体" w:eastAsia="宋体" w:cs="宋体"/>
                <w:b/>
                <w:bCs/>
                <w:sz w:val="24"/>
                <w:szCs w:val="24"/>
              </w:rPr>
              <w:t>（本条参数为核心参数，现场需演示，现场未能演示或演示不满足本条要求，视为投标无效）</w:t>
            </w:r>
          </w:p>
        </w:tc>
      </w:tr>
      <w:tr w14:paraId="6600D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2" w:type="dxa"/>
            <w:vAlign w:val="center"/>
          </w:tcPr>
          <w:p w14:paraId="50495F62">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sz w:val="24"/>
                <w:szCs w:val="24"/>
              </w:rPr>
              <w:t>4</w:t>
            </w:r>
          </w:p>
        </w:tc>
        <w:tc>
          <w:tcPr>
            <w:tcW w:w="1200" w:type="dxa"/>
            <w:vMerge w:val="continue"/>
          </w:tcPr>
          <w:p w14:paraId="1BF4350A">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p>
        </w:tc>
        <w:tc>
          <w:tcPr>
            <w:tcW w:w="7070" w:type="dxa"/>
          </w:tcPr>
          <w:p w14:paraId="172A0B7C">
            <w:pPr>
              <w:pageBreakBefore w:val="0"/>
              <w:widowControl w:val="0"/>
              <w:kinsoku/>
              <w:wordWrap w:val="0"/>
              <w:overflowPunct/>
              <w:topLinePunct w:val="0"/>
              <w:autoSpaceDE/>
              <w:autoSpaceDN/>
              <w:bidi w:val="0"/>
              <w:adjustRightInd/>
              <w:snapToGrid/>
              <w:spacing w:line="3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5.★Python编程题目支持机器自动判分功能，运行评分代码后，运行结果自动给出评分结果，判分功能采用逻辑判分模式，支持采用与答案不同逻辑结构的代码块，能够正确解决题目要求，逻辑正确即可获得满分；</w:t>
            </w:r>
            <w:r>
              <w:rPr>
                <w:rFonts w:hint="eastAsia" w:ascii="宋体" w:hAnsi="宋体" w:eastAsia="宋体" w:cs="宋体"/>
                <w:b/>
                <w:bCs/>
                <w:sz w:val="24"/>
                <w:szCs w:val="24"/>
              </w:rPr>
              <w:t>（本条参数为核心参数，现场需演示，现场未能演示或演示不满足本条要求，视为投标无效）</w:t>
            </w:r>
          </w:p>
        </w:tc>
      </w:tr>
    </w:tbl>
    <w:p w14:paraId="297414E7">
      <w:pPr>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sz w:val="24"/>
          <w:szCs w:val="24"/>
        </w:rPr>
      </w:pPr>
    </w:p>
    <w:p w14:paraId="1E6252F0">
      <w:pPr>
        <w:pStyle w:val="4"/>
        <w:numPr>
          <w:ilvl w:val="3"/>
          <w:numId w:val="0"/>
        </w:numPr>
        <w:spacing w:line="360" w:lineRule="auto"/>
        <w:ind w:firstLine="482" w:firstLineChars="200"/>
        <w:rPr>
          <w:rFonts w:hint="eastAsia" w:ascii="宋体" w:hAnsi="宋体" w:eastAsia="宋体" w:cs="宋体"/>
          <w:sz w:val="24"/>
          <w:szCs w:val="24"/>
        </w:rPr>
      </w:pPr>
      <w:r>
        <w:rPr>
          <w:rFonts w:hint="eastAsia" w:ascii="宋体" w:hAnsi="宋体" w:eastAsia="宋体" w:cs="宋体"/>
          <w:sz w:val="24"/>
          <w:szCs w:val="24"/>
        </w:rPr>
        <w:t>2.带“▲”标记要求演示的技术指标部分</w:t>
      </w:r>
    </w:p>
    <w:tbl>
      <w:tblPr>
        <w:tblStyle w:val="13"/>
        <w:tblW w:w="88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207"/>
        <w:gridCol w:w="7040"/>
      </w:tblGrid>
      <w:tr w14:paraId="5C106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00" w:type="dxa"/>
            <w:vAlign w:val="center"/>
          </w:tcPr>
          <w:p w14:paraId="5CB1D119">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sz w:val="24"/>
                <w:szCs w:val="24"/>
              </w:rPr>
              <w:t>序号</w:t>
            </w:r>
          </w:p>
        </w:tc>
        <w:tc>
          <w:tcPr>
            <w:tcW w:w="1207" w:type="dxa"/>
            <w:vAlign w:val="center"/>
          </w:tcPr>
          <w:p w14:paraId="48E0F802">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color w:val="000000"/>
                <w:sz w:val="24"/>
                <w:szCs w:val="24"/>
              </w:rPr>
              <w:t>设备名称</w:t>
            </w:r>
          </w:p>
        </w:tc>
        <w:tc>
          <w:tcPr>
            <w:tcW w:w="7040" w:type="dxa"/>
            <w:vAlign w:val="center"/>
          </w:tcPr>
          <w:p w14:paraId="73B0D1D2">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sz w:val="24"/>
                <w:szCs w:val="24"/>
              </w:rPr>
              <w:t>功能技术参数条款</w:t>
            </w:r>
          </w:p>
        </w:tc>
      </w:tr>
      <w:tr w14:paraId="64E0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0" w:type="dxa"/>
            <w:vAlign w:val="center"/>
          </w:tcPr>
          <w:p w14:paraId="41B5D1E7">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sz w:val="24"/>
                <w:szCs w:val="24"/>
              </w:rPr>
              <w:t>1</w:t>
            </w:r>
          </w:p>
        </w:tc>
        <w:tc>
          <w:tcPr>
            <w:tcW w:w="1207" w:type="dxa"/>
            <w:vMerge w:val="restart"/>
            <w:vAlign w:val="center"/>
          </w:tcPr>
          <w:p w14:paraId="5637253C">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sz w:val="24"/>
                <w:szCs w:val="24"/>
              </w:rPr>
              <w:t>财务大数据分析平台</w:t>
            </w:r>
          </w:p>
        </w:tc>
        <w:tc>
          <w:tcPr>
            <w:tcW w:w="7040" w:type="dxa"/>
            <w:vAlign w:val="center"/>
          </w:tcPr>
          <w:p w14:paraId="14771E4B">
            <w:pPr>
              <w:pageBreakBefore w:val="0"/>
              <w:widowControl w:val="0"/>
              <w:kinsoku/>
              <w:wordWrap w:val="0"/>
              <w:overflowPunct/>
              <w:topLinePunct w:val="0"/>
              <w:autoSpaceDE/>
              <w:autoSpaceDN/>
              <w:bidi w:val="0"/>
              <w:adjustRightInd/>
              <w:snapToGrid/>
              <w:spacing w:line="300" w:lineRule="exact"/>
              <w:ind w:firstLine="480" w:firstLineChars="200"/>
              <w:jc w:val="both"/>
              <w:textAlignment w:val="auto"/>
              <w:rPr>
                <w:rFonts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.1 ▲仪表板选择</w:t>
            </w:r>
            <w:r>
              <w:rPr>
                <w:rFonts w:hint="eastAsia" w:ascii="宋体" w:hAnsi="宋体" w:eastAsia="宋体" w:cs="宋体"/>
                <w:sz w:val="24"/>
                <w:szCs w:val="24"/>
                <w:lang w:val="en-US" w:eastAsia="zh-CN"/>
              </w:rPr>
              <w:t>及报告编写功能</w:t>
            </w:r>
            <w:r>
              <w:rPr>
                <w:rFonts w:hint="eastAsia" w:ascii="宋体" w:hAnsi="宋体" w:eastAsia="宋体" w:cs="宋体"/>
                <w:sz w:val="24"/>
                <w:szCs w:val="24"/>
              </w:rPr>
              <w:t>：用户可在系统中选择其账号下制作好的仪表板，以便进行后续的可视化分析；系统提供在新标签页查看所选仪表板的功能；同时用户可从选定的仪表板中选择所要分析的图表，进行进一步的可视化分析；用户可基于所选的仪表板和图表，编写分析报告。报告提供输入和下拉两种作答模式，以满足不同的分析需求。输入模式允许用户自由输入文字；下拉模式提供预设选项供用户选择；</w:t>
            </w:r>
            <w:r>
              <w:rPr>
                <w:rFonts w:hint="eastAsia" w:ascii="宋体" w:hAnsi="宋体" w:eastAsia="宋体" w:cs="宋体"/>
                <w:b/>
                <w:bCs/>
                <w:sz w:val="24"/>
                <w:szCs w:val="24"/>
              </w:rPr>
              <w:t>（本条需现场演示，现场未能演示或演示不满足本条要求，则不得分）</w:t>
            </w:r>
          </w:p>
        </w:tc>
      </w:tr>
      <w:tr w14:paraId="7F9E0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0" w:type="dxa"/>
            <w:vAlign w:val="center"/>
          </w:tcPr>
          <w:p w14:paraId="61D3BB58">
            <w:pPr>
              <w:pageBreakBefore w:val="0"/>
              <w:widowControl w:val="0"/>
              <w:kinsoku/>
              <w:overflowPunct/>
              <w:topLinePunct w:val="0"/>
              <w:autoSpaceDE/>
              <w:autoSpaceDN/>
              <w:bidi w:val="0"/>
              <w:adjustRightInd/>
              <w:snapToGrid/>
              <w:spacing w:line="300" w:lineRule="exact"/>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2</w:t>
            </w:r>
          </w:p>
        </w:tc>
        <w:tc>
          <w:tcPr>
            <w:tcW w:w="1207" w:type="dxa"/>
            <w:vMerge w:val="continue"/>
            <w:vAlign w:val="center"/>
          </w:tcPr>
          <w:p w14:paraId="4204266F">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p>
        </w:tc>
        <w:tc>
          <w:tcPr>
            <w:tcW w:w="7040" w:type="dxa"/>
            <w:vAlign w:val="center"/>
          </w:tcPr>
          <w:p w14:paraId="477F9182">
            <w:pPr>
              <w:pageBreakBefore w:val="0"/>
              <w:widowControl w:val="0"/>
              <w:kinsoku/>
              <w:wordWrap w:val="0"/>
              <w:overflowPunct/>
              <w:topLinePunct w:val="0"/>
              <w:autoSpaceDE/>
              <w:autoSpaceDN/>
              <w:bidi w:val="0"/>
              <w:adjustRightInd/>
              <w:snapToGrid/>
              <w:spacing w:line="300" w:lineRule="exact"/>
              <w:ind w:firstLine="480" w:firstLineChars="200"/>
              <w:jc w:val="both"/>
              <w:textAlignment w:val="auto"/>
              <w:rPr>
                <w:rFonts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自动判分功能：系统支持自动判分功能，可对学生的仪表板和报告内容进行评分，其中仪表板评分项包括：图表的标题、字体、字体对齐方式、数据标签、图表数据等。教师可在后台设置评分项和评分标准，系统根据这些设置自动给出评分结果；</w:t>
            </w:r>
            <w:r>
              <w:rPr>
                <w:rFonts w:hint="eastAsia" w:ascii="宋体" w:hAnsi="宋体" w:eastAsia="宋体" w:cs="宋体"/>
                <w:b/>
                <w:bCs/>
                <w:sz w:val="24"/>
                <w:szCs w:val="24"/>
              </w:rPr>
              <w:t>（本条需现场演示，现场未能演示或演示不满足本条要求，则不得分）</w:t>
            </w:r>
          </w:p>
        </w:tc>
      </w:tr>
      <w:tr w14:paraId="56D34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0" w:type="dxa"/>
            <w:vAlign w:val="center"/>
          </w:tcPr>
          <w:p w14:paraId="4DCCE367">
            <w:pPr>
              <w:pageBreakBefore w:val="0"/>
              <w:widowControl w:val="0"/>
              <w:kinsoku/>
              <w:overflowPunct/>
              <w:topLinePunct w:val="0"/>
              <w:autoSpaceDE/>
              <w:autoSpaceDN/>
              <w:bidi w:val="0"/>
              <w:adjustRightInd/>
              <w:snapToGrid/>
              <w:spacing w:line="300" w:lineRule="exact"/>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3</w:t>
            </w:r>
          </w:p>
        </w:tc>
        <w:tc>
          <w:tcPr>
            <w:tcW w:w="1207" w:type="dxa"/>
            <w:vMerge w:val="restart"/>
            <w:vAlign w:val="center"/>
          </w:tcPr>
          <w:p w14:paraId="43636966">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color w:val="000000"/>
                <w:sz w:val="24"/>
                <w:szCs w:val="24"/>
              </w:rPr>
              <w:t>大数据技术应用基础Python平台</w:t>
            </w:r>
          </w:p>
        </w:tc>
        <w:tc>
          <w:tcPr>
            <w:tcW w:w="7040" w:type="dxa"/>
            <w:vAlign w:val="center"/>
          </w:tcPr>
          <w:p w14:paraId="06BE812C">
            <w:pPr>
              <w:pageBreakBefore w:val="0"/>
              <w:widowControl w:val="0"/>
              <w:kinsoku/>
              <w:wordWrap w:val="0"/>
              <w:overflowPunct/>
              <w:topLinePunct w:val="0"/>
              <w:autoSpaceDE/>
              <w:autoSpaceDN/>
              <w:bidi w:val="0"/>
              <w:adjustRightInd/>
              <w:snapToGrid/>
              <w:spacing w:line="300" w:lineRule="exact"/>
              <w:ind w:firstLine="480" w:firstLineChars="200"/>
              <w:jc w:val="both"/>
              <w:textAlignment w:val="auto"/>
              <w:rPr>
                <w:rFonts w:ascii="宋体" w:hAnsi="宋体" w:eastAsia="宋体" w:cs="宋体"/>
                <w:sz w:val="24"/>
                <w:szCs w:val="24"/>
              </w:rPr>
            </w:pPr>
            <w:r>
              <w:rPr>
                <w:rFonts w:hint="eastAsia" w:ascii="宋体" w:hAnsi="宋体" w:eastAsia="宋体" w:cs="宋体"/>
                <w:sz w:val="24"/>
                <w:szCs w:val="24"/>
              </w:rPr>
              <w:t>10.▲平台配套提供电子游戏沙盘：以Unity引擎为核心，采用趣味小游戏的方式模拟财务共享推演，沙盘包含FSSC战略定位、建设模式设计、选址城市评估、职能调整、组织结构、人员测算、流程优化前提、流程职责切分、流程优化设计共不少于9个关卡；游戏沙盘包含前情提要、集团背景、关卡任务资料、工具箱</w:t>
            </w:r>
            <w:r>
              <w:rPr>
                <w:rFonts w:hint="eastAsia" w:ascii="宋体" w:hAnsi="宋体" w:eastAsia="宋体" w:cs="宋体"/>
                <w:color w:val="0C0C0C"/>
                <w:sz w:val="24"/>
                <w:szCs w:val="24"/>
              </w:rPr>
              <w:t>、自动判分、正确答案查看等功能，采用拖拽小旗、拖拽卡片、动态箭头指示等游戏互动操作方式完成沙盘推演；</w:t>
            </w:r>
            <w:r>
              <w:rPr>
                <w:rFonts w:hint="eastAsia" w:ascii="宋体" w:hAnsi="宋体" w:eastAsia="宋体" w:cs="宋体"/>
                <w:b/>
                <w:bCs/>
                <w:sz w:val="24"/>
                <w:szCs w:val="24"/>
              </w:rPr>
              <w:t>（本条需现场需演示，现场未能演示或演示不满足本条要求，则不得分）</w:t>
            </w:r>
          </w:p>
        </w:tc>
      </w:tr>
      <w:tr w14:paraId="3BFE2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0" w:type="dxa"/>
            <w:vAlign w:val="center"/>
          </w:tcPr>
          <w:p w14:paraId="36CB3903">
            <w:pPr>
              <w:pageBreakBefore w:val="0"/>
              <w:widowControl w:val="0"/>
              <w:kinsoku/>
              <w:overflowPunct/>
              <w:topLinePunct w:val="0"/>
              <w:autoSpaceDE/>
              <w:autoSpaceDN/>
              <w:bidi w:val="0"/>
              <w:adjustRightInd/>
              <w:snapToGrid/>
              <w:spacing w:line="300" w:lineRule="exact"/>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4</w:t>
            </w:r>
          </w:p>
        </w:tc>
        <w:tc>
          <w:tcPr>
            <w:tcW w:w="1207" w:type="dxa"/>
            <w:vMerge w:val="continue"/>
            <w:vAlign w:val="center"/>
          </w:tcPr>
          <w:p w14:paraId="36C9A57C">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p>
        </w:tc>
        <w:tc>
          <w:tcPr>
            <w:tcW w:w="7040" w:type="dxa"/>
            <w:vAlign w:val="center"/>
          </w:tcPr>
          <w:p w14:paraId="78F195F2">
            <w:pPr>
              <w:pageBreakBefore w:val="0"/>
              <w:widowControl w:val="0"/>
              <w:kinsoku/>
              <w:wordWrap w:val="0"/>
              <w:overflowPunct/>
              <w:topLinePunct w:val="0"/>
              <w:autoSpaceDE/>
              <w:autoSpaceDN/>
              <w:bidi w:val="0"/>
              <w:adjustRightInd/>
              <w:snapToGrid/>
              <w:spacing w:line="300" w:lineRule="exact"/>
              <w:ind w:firstLine="480" w:firstLineChars="200"/>
              <w:jc w:val="both"/>
              <w:textAlignment w:val="auto"/>
              <w:rPr>
                <w:rFonts w:ascii="宋体" w:hAnsi="宋体" w:eastAsia="宋体" w:cs="宋体"/>
                <w:color w:val="0C0C0C"/>
                <w:sz w:val="24"/>
                <w:szCs w:val="24"/>
              </w:rPr>
            </w:pPr>
            <w:r>
              <w:rPr>
                <w:rFonts w:hint="eastAsia" w:ascii="宋体" w:hAnsi="宋体" w:eastAsia="宋体" w:cs="宋体"/>
                <w:sz w:val="24"/>
                <w:szCs w:val="24"/>
              </w:rPr>
              <w:t>1.2 ▲具备智能记账功能，录入一段文字就可智能分析出交易日期、交易金额、收支科目、对方单位、部门、经办人，并且根据部门分析收支科目为销售费用、管理费用等；</w:t>
            </w:r>
            <w:r>
              <w:rPr>
                <w:rFonts w:hint="eastAsia" w:ascii="宋体" w:hAnsi="宋体" w:eastAsia="宋体" w:cs="宋体"/>
                <w:b/>
                <w:bCs/>
                <w:sz w:val="24"/>
                <w:szCs w:val="24"/>
              </w:rPr>
              <w:t>（本条需现场需演示，现场未能演示或演示不满足本条要求，则不得分）</w:t>
            </w:r>
          </w:p>
        </w:tc>
      </w:tr>
      <w:tr w14:paraId="14291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0" w:type="dxa"/>
            <w:vAlign w:val="center"/>
          </w:tcPr>
          <w:p w14:paraId="494CD7F3">
            <w:pPr>
              <w:pageBreakBefore w:val="0"/>
              <w:widowControl w:val="0"/>
              <w:kinsoku/>
              <w:overflowPunct/>
              <w:topLinePunct w:val="0"/>
              <w:autoSpaceDE/>
              <w:autoSpaceDN/>
              <w:bidi w:val="0"/>
              <w:adjustRightInd/>
              <w:snapToGrid/>
              <w:spacing w:line="300" w:lineRule="exact"/>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5</w:t>
            </w:r>
          </w:p>
        </w:tc>
        <w:tc>
          <w:tcPr>
            <w:tcW w:w="1207" w:type="dxa"/>
            <w:vMerge w:val="continue"/>
            <w:vAlign w:val="center"/>
          </w:tcPr>
          <w:p w14:paraId="28EA40D7">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p>
        </w:tc>
        <w:tc>
          <w:tcPr>
            <w:tcW w:w="7040" w:type="dxa"/>
            <w:vAlign w:val="center"/>
          </w:tcPr>
          <w:p w14:paraId="1697ED85">
            <w:pPr>
              <w:pageBreakBefore w:val="0"/>
              <w:widowControl w:val="0"/>
              <w:kinsoku/>
              <w:wordWrap w:val="0"/>
              <w:overflowPunct/>
              <w:topLinePunct w:val="0"/>
              <w:autoSpaceDE/>
              <w:autoSpaceDN/>
              <w:bidi w:val="0"/>
              <w:adjustRightInd/>
              <w:snapToGrid/>
              <w:spacing w:line="300" w:lineRule="exact"/>
              <w:ind w:firstLine="480" w:firstLineChars="200"/>
              <w:jc w:val="both"/>
              <w:textAlignment w:val="auto"/>
              <w:rPr>
                <w:rFonts w:ascii="宋体" w:hAnsi="宋体" w:eastAsia="宋体" w:cs="宋体"/>
                <w:color w:val="FF0000"/>
                <w:sz w:val="24"/>
                <w:szCs w:val="24"/>
              </w:rPr>
            </w:pPr>
            <w:r>
              <w:rPr>
                <w:rFonts w:hint="eastAsia" w:ascii="宋体" w:hAnsi="宋体" w:eastAsia="宋体" w:cs="宋体"/>
                <w:sz w:val="24"/>
                <w:szCs w:val="24"/>
              </w:rPr>
              <w:t>3.2 ▲支持打印送货单，送货单可根据需要设置是否显示单价、金额，送货单上打印二维码，通过微信扫一扫查看电子送货单；</w:t>
            </w:r>
            <w:r>
              <w:rPr>
                <w:rFonts w:hint="eastAsia" w:ascii="宋体" w:hAnsi="宋体" w:eastAsia="宋体" w:cs="宋体"/>
                <w:b/>
                <w:bCs/>
                <w:sz w:val="24"/>
                <w:szCs w:val="24"/>
              </w:rPr>
              <w:t>（本条需现场需演示，现场未能演示或演示不满足本条要求，则不得分）</w:t>
            </w:r>
          </w:p>
        </w:tc>
      </w:tr>
      <w:tr w14:paraId="7C6E3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0" w:type="dxa"/>
            <w:vAlign w:val="center"/>
          </w:tcPr>
          <w:p w14:paraId="2FAE4AC9">
            <w:pPr>
              <w:pageBreakBefore w:val="0"/>
              <w:widowControl w:val="0"/>
              <w:kinsoku/>
              <w:overflowPunct/>
              <w:topLinePunct w:val="0"/>
              <w:autoSpaceDE/>
              <w:autoSpaceDN/>
              <w:bidi w:val="0"/>
              <w:adjustRightInd/>
              <w:snapToGrid/>
              <w:spacing w:line="300" w:lineRule="exact"/>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6</w:t>
            </w:r>
          </w:p>
        </w:tc>
        <w:tc>
          <w:tcPr>
            <w:tcW w:w="1207" w:type="dxa"/>
            <w:vMerge w:val="continue"/>
            <w:vAlign w:val="center"/>
          </w:tcPr>
          <w:p w14:paraId="42F5B470">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p>
        </w:tc>
        <w:tc>
          <w:tcPr>
            <w:tcW w:w="7040" w:type="dxa"/>
            <w:vAlign w:val="center"/>
          </w:tcPr>
          <w:p w14:paraId="6E93CD35">
            <w:pPr>
              <w:pageBreakBefore w:val="0"/>
              <w:widowControl w:val="0"/>
              <w:kinsoku/>
              <w:wordWrap w:val="0"/>
              <w:overflowPunct/>
              <w:topLinePunct w:val="0"/>
              <w:autoSpaceDE/>
              <w:autoSpaceDN/>
              <w:bidi w:val="0"/>
              <w:adjustRightInd/>
              <w:snapToGrid/>
              <w:spacing w:line="300" w:lineRule="exact"/>
              <w:ind w:firstLine="480" w:firstLineChars="200"/>
              <w:jc w:val="both"/>
              <w:textAlignment w:val="auto"/>
              <w:rPr>
                <w:rFonts w:ascii="宋体" w:hAnsi="宋体" w:eastAsia="宋体" w:cs="宋体"/>
                <w:color w:val="FF0000"/>
                <w:sz w:val="24"/>
                <w:szCs w:val="24"/>
              </w:rPr>
            </w:pPr>
            <w:r>
              <w:rPr>
                <w:rFonts w:hint="eastAsia" w:ascii="宋体" w:hAnsi="宋体" w:eastAsia="宋体" w:cs="宋体"/>
                <w:sz w:val="24"/>
                <w:szCs w:val="24"/>
              </w:rPr>
              <w:t>4.2 ▲填写报销单时支持选择本地图片、QQ截图并直接粘贴在界面上、手机微信扫码无缝上传三种方式附上原始票据附，最多可附15张原始票据；</w:t>
            </w:r>
            <w:r>
              <w:rPr>
                <w:rFonts w:hint="eastAsia" w:ascii="宋体" w:hAnsi="宋体" w:eastAsia="宋体" w:cs="宋体"/>
                <w:b/>
                <w:bCs/>
                <w:sz w:val="24"/>
                <w:szCs w:val="24"/>
              </w:rPr>
              <w:t>（本条需现场需演示，现场未能演示或演示不满足本条要求，则不得分）</w:t>
            </w:r>
          </w:p>
        </w:tc>
      </w:tr>
      <w:tr w14:paraId="22A6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0" w:type="dxa"/>
            <w:vAlign w:val="center"/>
          </w:tcPr>
          <w:p w14:paraId="7487BF35">
            <w:pPr>
              <w:pageBreakBefore w:val="0"/>
              <w:widowControl w:val="0"/>
              <w:kinsoku/>
              <w:overflowPunct/>
              <w:topLinePunct w:val="0"/>
              <w:autoSpaceDE/>
              <w:autoSpaceDN/>
              <w:bidi w:val="0"/>
              <w:adjustRightInd/>
              <w:snapToGrid/>
              <w:spacing w:line="300" w:lineRule="exact"/>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7</w:t>
            </w:r>
          </w:p>
        </w:tc>
        <w:tc>
          <w:tcPr>
            <w:tcW w:w="1207" w:type="dxa"/>
            <w:vMerge w:val="continue"/>
            <w:vAlign w:val="center"/>
          </w:tcPr>
          <w:p w14:paraId="5AA0678B">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p>
        </w:tc>
        <w:tc>
          <w:tcPr>
            <w:tcW w:w="7040" w:type="dxa"/>
            <w:vAlign w:val="center"/>
          </w:tcPr>
          <w:p w14:paraId="73D54F3D">
            <w:pPr>
              <w:pageBreakBefore w:val="0"/>
              <w:widowControl w:val="0"/>
              <w:kinsoku/>
              <w:wordWrap w:val="0"/>
              <w:overflowPunct/>
              <w:topLinePunct w:val="0"/>
              <w:autoSpaceDE/>
              <w:autoSpaceDN/>
              <w:bidi w:val="0"/>
              <w:adjustRightInd/>
              <w:snapToGrid/>
              <w:spacing w:line="300" w:lineRule="exact"/>
              <w:ind w:firstLine="480" w:firstLineChars="200"/>
              <w:jc w:val="both"/>
              <w:textAlignment w:val="auto"/>
              <w:rPr>
                <w:rFonts w:ascii="宋体" w:hAnsi="宋体" w:eastAsia="宋体" w:cs="宋体"/>
                <w:color w:val="FF0000"/>
                <w:sz w:val="24"/>
                <w:szCs w:val="24"/>
              </w:rPr>
            </w:pPr>
            <w:r>
              <w:rPr>
                <w:rFonts w:hint="eastAsia" w:ascii="宋体" w:hAnsi="宋体" w:eastAsia="宋体" w:cs="宋体"/>
                <w:sz w:val="24"/>
                <w:szCs w:val="24"/>
              </w:rPr>
              <w:t>5.3 ▲项目（合同）利润计算方式，可设置为按已收金额减去已付金额、应收金额减去应付金额、应收金额-已付金额、已收金额-应付金额或者应收金额-应付金额-日记账支出金额等不少于五种方式；</w:t>
            </w:r>
            <w:r>
              <w:rPr>
                <w:rFonts w:hint="eastAsia" w:ascii="宋体" w:hAnsi="宋体" w:eastAsia="宋体" w:cs="宋体"/>
                <w:b/>
                <w:bCs/>
                <w:sz w:val="24"/>
                <w:szCs w:val="24"/>
              </w:rPr>
              <w:t>（本条需现场需演示，现场未能演示或演示不满足本条要求，则不得分）</w:t>
            </w:r>
          </w:p>
        </w:tc>
      </w:tr>
      <w:tr w14:paraId="09E78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0" w:type="dxa"/>
            <w:vAlign w:val="center"/>
          </w:tcPr>
          <w:p w14:paraId="0EA4873B">
            <w:pPr>
              <w:pageBreakBefore w:val="0"/>
              <w:widowControl w:val="0"/>
              <w:kinsoku/>
              <w:overflowPunct/>
              <w:topLinePunct w:val="0"/>
              <w:autoSpaceDE/>
              <w:autoSpaceDN/>
              <w:bidi w:val="0"/>
              <w:adjustRightInd/>
              <w:snapToGrid/>
              <w:spacing w:line="300" w:lineRule="exact"/>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8</w:t>
            </w:r>
          </w:p>
        </w:tc>
        <w:tc>
          <w:tcPr>
            <w:tcW w:w="1207" w:type="dxa"/>
            <w:vMerge w:val="continue"/>
            <w:vAlign w:val="center"/>
          </w:tcPr>
          <w:p w14:paraId="48DD541E">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p>
        </w:tc>
        <w:tc>
          <w:tcPr>
            <w:tcW w:w="7040" w:type="dxa"/>
            <w:vAlign w:val="center"/>
          </w:tcPr>
          <w:p w14:paraId="778B1FB2">
            <w:pPr>
              <w:keepNext w:val="0"/>
              <w:keepLines w:val="0"/>
              <w:pageBreakBefore w:val="0"/>
              <w:widowControl w:val="0"/>
              <w:kinsoku/>
              <w:wordWrap w:val="0"/>
              <w:overflowPunct/>
              <w:topLinePunct w:val="0"/>
              <w:autoSpaceDE/>
              <w:autoSpaceDN/>
              <w:bidi w:val="0"/>
              <w:adjustRightInd/>
              <w:snapToGrid/>
              <w:spacing w:line="300" w:lineRule="exact"/>
              <w:ind w:firstLine="480" w:firstLineChars="200"/>
              <w:jc w:val="both"/>
              <w:textAlignment w:val="auto"/>
              <w:rPr>
                <w:rFonts w:ascii="宋体" w:hAnsi="宋体" w:eastAsia="宋体" w:cs="宋体"/>
                <w:color w:val="FF0000"/>
                <w:sz w:val="24"/>
                <w:szCs w:val="24"/>
              </w:rPr>
            </w:pPr>
            <w:r>
              <w:rPr>
                <w:rFonts w:hint="eastAsia" w:ascii="宋体" w:hAnsi="宋体" w:eastAsia="宋体" w:cs="宋体"/>
                <w:sz w:val="24"/>
                <w:szCs w:val="24"/>
              </w:rPr>
              <w:t>7.2 ▲项目管理：包括项目开始结束日期，项目类别、项目金额、应付金额、应收金额，自动关联日记账数据，自动计算出已付金额、应付余额或已收金额、应收余额；</w:t>
            </w:r>
            <w:r>
              <w:rPr>
                <w:rFonts w:hint="eastAsia" w:ascii="宋体" w:hAnsi="宋体" w:eastAsia="宋体" w:cs="宋体"/>
                <w:b/>
                <w:bCs/>
                <w:sz w:val="24"/>
                <w:szCs w:val="24"/>
              </w:rPr>
              <w:t>（本条需现场需演示，现场未能演示或演示不满足本条要求，则不得分）</w:t>
            </w:r>
          </w:p>
        </w:tc>
      </w:tr>
      <w:tr w14:paraId="4544D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0" w:type="dxa"/>
            <w:vAlign w:val="center"/>
          </w:tcPr>
          <w:p w14:paraId="12010CDD">
            <w:pPr>
              <w:pageBreakBefore w:val="0"/>
              <w:widowControl w:val="0"/>
              <w:kinsoku/>
              <w:overflowPunct/>
              <w:topLinePunct w:val="0"/>
              <w:autoSpaceDE/>
              <w:autoSpaceDN/>
              <w:bidi w:val="0"/>
              <w:adjustRightInd/>
              <w:snapToGrid/>
              <w:spacing w:line="300" w:lineRule="exact"/>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9</w:t>
            </w:r>
          </w:p>
        </w:tc>
        <w:tc>
          <w:tcPr>
            <w:tcW w:w="1207" w:type="dxa"/>
            <w:vMerge w:val="continue"/>
            <w:vAlign w:val="center"/>
          </w:tcPr>
          <w:p w14:paraId="782F5C05">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p>
        </w:tc>
        <w:tc>
          <w:tcPr>
            <w:tcW w:w="7040" w:type="dxa"/>
            <w:vAlign w:val="center"/>
          </w:tcPr>
          <w:p w14:paraId="560A82F0">
            <w:pPr>
              <w:pageBreakBefore w:val="0"/>
              <w:widowControl w:val="0"/>
              <w:kinsoku/>
              <w:wordWrap w:val="0"/>
              <w:overflowPunct/>
              <w:topLinePunct w:val="0"/>
              <w:autoSpaceDE/>
              <w:autoSpaceDN/>
              <w:bidi w:val="0"/>
              <w:adjustRightInd/>
              <w:snapToGrid/>
              <w:spacing w:line="300" w:lineRule="exact"/>
              <w:ind w:firstLine="480" w:firstLineChars="200"/>
              <w:jc w:val="both"/>
              <w:textAlignment w:val="auto"/>
              <w:rPr>
                <w:rFonts w:ascii="宋体" w:hAnsi="宋体" w:eastAsia="宋体" w:cs="宋体"/>
                <w:color w:val="FF0000"/>
                <w:sz w:val="24"/>
                <w:szCs w:val="24"/>
              </w:rPr>
            </w:pPr>
            <w:r>
              <w:rPr>
                <w:rFonts w:hint="eastAsia" w:ascii="宋体" w:hAnsi="宋体" w:eastAsia="宋体" w:cs="宋体"/>
                <w:sz w:val="24"/>
                <w:szCs w:val="24"/>
              </w:rPr>
              <w:t>7.3 ▲工作周记：按照工作计划以及工作日记的形式进行记录，同时可以提供附加图片功能。管理员可以对每个用户进行权限管辖，以控制该用户查看周记的范围；</w:t>
            </w:r>
            <w:r>
              <w:rPr>
                <w:rFonts w:hint="eastAsia" w:ascii="宋体" w:hAnsi="宋体" w:eastAsia="宋体" w:cs="宋体"/>
                <w:b/>
                <w:bCs/>
                <w:sz w:val="24"/>
                <w:szCs w:val="24"/>
              </w:rPr>
              <w:t>（本条需现场需演示，现场未能演示或演示不满足本条要求，则不得分）</w:t>
            </w:r>
          </w:p>
        </w:tc>
      </w:tr>
      <w:tr w14:paraId="3C955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0" w:type="dxa"/>
            <w:vAlign w:val="center"/>
          </w:tcPr>
          <w:p w14:paraId="266C3280">
            <w:pPr>
              <w:pageBreakBefore w:val="0"/>
              <w:widowControl w:val="0"/>
              <w:kinsoku/>
              <w:overflowPunct/>
              <w:topLinePunct w:val="0"/>
              <w:autoSpaceDE/>
              <w:autoSpaceDN/>
              <w:bidi w:val="0"/>
              <w:adjustRightInd/>
              <w:snapToGrid/>
              <w:spacing w:line="300" w:lineRule="exact"/>
              <w:jc w:val="center"/>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10</w:t>
            </w:r>
          </w:p>
        </w:tc>
        <w:tc>
          <w:tcPr>
            <w:tcW w:w="1207" w:type="dxa"/>
            <w:vAlign w:val="center"/>
          </w:tcPr>
          <w:p w14:paraId="2388BF2B">
            <w:pPr>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bCs/>
                <w:sz w:val="24"/>
                <w:szCs w:val="24"/>
              </w:rPr>
            </w:pPr>
            <w:r>
              <w:rPr>
                <w:rFonts w:hint="eastAsia" w:ascii="宋体" w:hAnsi="宋体" w:eastAsia="宋体" w:cs="宋体"/>
                <w:b/>
                <w:bCs/>
                <w:color w:val="000000"/>
                <w:sz w:val="24"/>
                <w:szCs w:val="24"/>
              </w:rPr>
              <w:t>AI数智财务智能体实战平台</w:t>
            </w:r>
          </w:p>
        </w:tc>
        <w:tc>
          <w:tcPr>
            <w:tcW w:w="7040" w:type="dxa"/>
            <w:vAlign w:val="center"/>
          </w:tcPr>
          <w:p w14:paraId="2F74A182">
            <w:pPr>
              <w:pageBreakBefore w:val="0"/>
              <w:widowControl w:val="0"/>
              <w:kinsoku/>
              <w:wordWrap w:val="0"/>
              <w:overflowPunct/>
              <w:topLinePunct w:val="0"/>
              <w:autoSpaceDE/>
              <w:autoSpaceDN/>
              <w:bidi w:val="0"/>
              <w:adjustRightInd/>
              <w:snapToGrid/>
              <w:spacing w:line="30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2.3 ▲工作流与逻辑编排模块：支持低代码拖拽式界面，实现多步骤业务流程自动化，具体要求如下：</w:t>
            </w:r>
          </w:p>
          <w:p w14:paraId="29C47203">
            <w:pPr>
              <w:pageBreakBefore w:val="0"/>
              <w:widowControl w:val="0"/>
              <w:kinsoku/>
              <w:wordWrap w:val="0"/>
              <w:overflowPunct/>
              <w:topLinePunct w:val="0"/>
              <w:autoSpaceDE/>
              <w:autoSpaceDN/>
              <w:bidi w:val="0"/>
              <w:adjustRightInd/>
              <w:snapToGrid/>
              <w:spacing w:line="30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2.3.1 可视化节点编排：提供代码节点、条件判断节点、知识库检索节点等功能节点，支持构建完整业务流程。</w:t>
            </w:r>
          </w:p>
          <w:p w14:paraId="3A99141F">
            <w:pPr>
              <w:pageBreakBefore w:val="0"/>
              <w:widowControl w:val="0"/>
              <w:kinsoku/>
              <w:wordWrap w:val="0"/>
              <w:overflowPunct/>
              <w:topLinePunct w:val="0"/>
              <w:autoSpaceDE/>
              <w:autoSpaceDN/>
              <w:bidi w:val="0"/>
              <w:adjustRightInd/>
              <w:snapToGrid/>
              <w:spacing w:line="30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2.3.2 条件分支与循环：支持基于条件判断实现流程分支，可配置循环逻辑，处理列表类数据及复杂业务判断、自动化任务。</w:t>
            </w:r>
          </w:p>
          <w:p w14:paraId="08A22D00">
            <w:pPr>
              <w:pageBreakBefore w:val="0"/>
              <w:widowControl w:val="0"/>
              <w:kinsoku/>
              <w:wordWrap w:val="0"/>
              <w:overflowPunct/>
              <w:topLinePunct w:val="0"/>
              <w:autoSpaceDE/>
              <w:autoSpaceDN/>
              <w:bidi w:val="0"/>
              <w:adjustRightInd/>
              <w:snapToGrid/>
              <w:spacing w:line="300" w:lineRule="exact"/>
              <w:ind w:firstLine="480" w:firstLineChars="200"/>
              <w:jc w:val="both"/>
              <w:textAlignment w:val="auto"/>
              <w:rPr>
                <w:rFonts w:hint="eastAsia" w:ascii="宋体" w:hAnsi="宋体" w:eastAsia="宋体" w:cs="宋体"/>
                <w:b/>
                <w:bCs/>
                <w:sz w:val="24"/>
                <w:szCs w:val="24"/>
              </w:rPr>
            </w:pPr>
            <w:r>
              <w:rPr>
                <w:rFonts w:hint="eastAsia" w:ascii="宋体" w:hAnsi="宋体" w:eastAsia="宋体" w:cs="宋体"/>
                <w:sz w:val="24"/>
                <w:szCs w:val="24"/>
              </w:rPr>
              <w:t>2.3.3 流程调试与日志：内置流程调试及执行日志查看功能，可清晰查看每一步输入输出</w:t>
            </w:r>
            <w:r>
              <w:rPr>
                <w:rFonts w:hint="eastAsia" w:ascii="宋体" w:hAnsi="宋体" w:eastAsia="宋体" w:cs="宋体"/>
                <w:b/>
                <w:bCs/>
                <w:sz w:val="24"/>
                <w:szCs w:val="24"/>
              </w:rPr>
              <w:t>（本条需现场需演示，现场未能演示或演示不满足本条要求，则不得分）</w:t>
            </w:r>
          </w:p>
        </w:tc>
      </w:tr>
    </w:tbl>
    <w:p w14:paraId="3AE9988D">
      <w:pPr>
        <w:pStyle w:val="4"/>
        <w:numPr>
          <w:ilvl w:val="3"/>
          <w:numId w:val="0"/>
        </w:numPr>
        <w:shd w:val="clear" w:color="auto"/>
        <w:spacing w:line="360" w:lineRule="auto"/>
        <w:ind w:firstLine="482" w:firstLineChars="200"/>
        <w:rPr>
          <w:rFonts w:hint="eastAsia" w:ascii="宋体" w:hAnsi="宋体" w:eastAsia="宋体" w:cs="宋体"/>
          <w:sz w:val="24"/>
          <w:szCs w:val="24"/>
          <w:lang w:eastAsia="zh-CN"/>
        </w:rPr>
      </w:pPr>
      <w:r>
        <w:rPr>
          <w:rFonts w:hint="eastAsia" w:ascii="宋体" w:hAnsi="宋体" w:eastAsia="宋体" w:cs="宋体"/>
          <w:sz w:val="24"/>
          <w:szCs w:val="24"/>
        </w:rPr>
        <w:t>3.供应商需按照</w:t>
      </w:r>
      <w:r>
        <w:rPr>
          <w:rFonts w:hint="eastAsia" w:ascii="宋体" w:hAnsi="宋体" w:eastAsia="宋体" w:cs="宋体"/>
          <w:sz w:val="24"/>
          <w:szCs w:val="24"/>
          <w:lang w:eastAsia="zh-CN"/>
        </w:rPr>
        <w:t>以上要求</w:t>
      </w:r>
      <w:r>
        <w:rPr>
          <w:rFonts w:hint="eastAsia" w:ascii="宋体" w:hAnsi="宋体" w:eastAsia="宋体" w:cs="宋体"/>
          <w:sz w:val="24"/>
          <w:szCs w:val="24"/>
        </w:rPr>
        <w:t>的演示内容制作演示视频文件，视频文件的格式为*.mp4或*.avi，供应商须将视频文件分段压缩为*.zip文件上传（单个文件不得大于50M，所有文件总共不得大于300M）。文件上传方式见《江苏省政府采购管理交易系统（苏采云）供应商操作手册》规定，上传的演示视频将作为投标文件的组成部分</w:t>
      </w:r>
      <w:r>
        <w:rPr>
          <w:rFonts w:hint="eastAsia" w:ascii="宋体" w:hAnsi="宋体" w:eastAsia="宋体" w:cs="宋体"/>
          <w:sz w:val="24"/>
          <w:szCs w:val="24"/>
          <w:lang w:eastAsia="zh-CN"/>
        </w:rPr>
        <w:t>。</w:t>
      </w:r>
    </w:p>
    <w:p w14:paraId="04E1E0D2">
      <w:pPr>
        <w:pStyle w:val="4"/>
        <w:numPr>
          <w:ilvl w:val="3"/>
          <w:numId w:val="0"/>
        </w:numPr>
        <w:shd w:val="clear" w:color="auto"/>
        <w:spacing w:line="360" w:lineRule="auto"/>
        <w:ind w:firstLine="482" w:firstLineChars="20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现场演示要求：</w:t>
      </w:r>
    </w:p>
    <w:p w14:paraId="14F1871D">
      <w:pPr>
        <w:shd w:val="clear" w:color="auto"/>
        <w:spacing w:line="360" w:lineRule="auto"/>
        <w:ind w:firstLine="482" w:firstLineChars="200"/>
        <w:outlineLvl w:val="3"/>
        <w:rPr>
          <w:rFonts w:ascii="宋体" w:hAnsi="宋体" w:eastAsia="宋体" w:cs="宋体"/>
          <w:b/>
          <w:bCs/>
          <w:sz w:val="24"/>
          <w:szCs w:val="24"/>
        </w:rPr>
      </w:pPr>
      <w:r>
        <w:rPr>
          <w:rFonts w:hint="eastAsia" w:ascii="宋体" w:hAnsi="宋体" w:eastAsia="宋体" w:cs="宋体"/>
          <w:b/>
          <w:bCs/>
          <w:sz w:val="24"/>
          <w:szCs w:val="24"/>
        </w:rPr>
        <w:t>（1）项目现场演示负责人于2026年</w:t>
      </w:r>
      <w:r>
        <w:rPr>
          <w:rFonts w:hint="eastAsia" w:ascii="宋体" w:hAnsi="宋体" w:eastAsia="宋体" w:cs="宋体"/>
          <w:b/>
          <w:bCs/>
          <w:sz w:val="24"/>
          <w:szCs w:val="24"/>
          <w:lang w:val="en-US" w:eastAsia="zh-CN"/>
        </w:rPr>
        <w:t>06</w:t>
      </w:r>
      <w:r>
        <w:rPr>
          <w:rFonts w:hint="eastAsia" w:ascii="宋体" w:hAnsi="宋体" w:eastAsia="宋体" w:cs="宋体"/>
          <w:b/>
          <w:bCs/>
          <w:sz w:val="24"/>
          <w:szCs w:val="24"/>
        </w:rPr>
        <w:t>月</w:t>
      </w:r>
      <w:r>
        <w:rPr>
          <w:rFonts w:hint="eastAsia" w:ascii="宋体" w:hAnsi="宋体" w:eastAsia="宋体" w:cs="宋体"/>
          <w:b/>
          <w:bCs/>
          <w:sz w:val="24"/>
          <w:szCs w:val="24"/>
          <w:lang w:val="en-US" w:eastAsia="zh-CN"/>
        </w:rPr>
        <w:t>17</w:t>
      </w:r>
      <w:r>
        <w:rPr>
          <w:rFonts w:hint="eastAsia" w:ascii="宋体" w:hAnsi="宋体" w:eastAsia="宋体" w:cs="宋体"/>
          <w:b/>
          <w:bCs/>
          <w:sz w:val="24"/>
          <w:szCs w:val="24"/>
        </w:rPr>
        <w:t>日</w:t>
      </w:r>
      <w:r>
        <w:rPr>
          <w:rFonts w:hint="eastAsia" w:ascii="宋体" w:hAnsi="宋体" w:eastAsia="宋体" w:cs="宋体"/>
          <w:b/>
          <w:bCs/>
          <w:sz w:val="24"/>
          <w:szCs w:val="24"/>
          <w:lang w:val="en-US" w:eastAsia="zh-CN"/>
        </w:rPr>
        <w:t>09</w:t>
      </w:r>
      <w:r>
        <w:rPr>
          <w:rFonts w:hint="eastAsia" w:ascii="宋体" w:hAnsi="宋体" w:eastAsia="宋体" w:cs="宋体"/>
          <w:b/>
          <w:bCs/>
          <w:sz w:val="24"/>
          <w:szCs w:val="24"/>
        </w:rPr>
        <w:t>时</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0分至10时</w:t>
      </w:r>
      <w:r>
        <w:rPr>
          <w:rFonts w:hint="eastAsia" w:ascii="宋体" w:hAnsi="宋体" w:eastAsia="宋体" w:cs="宋体"/>
          <w:b/>
          <w:bCs/>
          <w:sz w:val="24"/>
          <w:szCs w:val="24"/>
          <w:lang w:val="en-US" w:eastAsia="zh-CN"/>
        </w:rPr>
        <w:t>0</w:t>
      </w:r>
      <w:r>
        <w:rPr>
          <w:rFonts w:hint="eastAsia" w:ascii="宋体" w:hAnsi="宋体" w:eastAsia="宋体" w:cs="宋体"/>
          <w:b/>
          <w:bCs/>
          <w:sz w:val="24"/>
          <w:szCs w:val="24"/>
        </w:rPr>
        <w:t>0分（北京时间），携带本人身份证原件及授权委托书原件（以便核验），到南通市红星路1号太阳鑫城1幢东单元6楼会议室现场签到并等候演示。</w:t>
      </w:r>
    </w:p>
    <w:p w14:paraId="7B4B2BF3">
      <w:pPr>
        <w:shd w:val="clear" w:color="auto"/>
        <w:spacing w:line="360" w:lineRule="auto"/>
        <w:ind w:firstLine="482" w:firstLineChars="200"/>
        <w:outlineLvl w:val="3"/>
        <w:rPr>
          <w:rFonts w:ascii="宋体" w:hAnsi="宋体" w:eastAsia="宋体" w:cs="宋体"/>
          <w:b/>
          <w:bCs/>
          <w:sz w:val="24"/>
          <w:szCs w:val="24"/>
        </w:rPr>
      </w:pPr>
      <w:r>
        <w:rPr>
          <w:rFonts w:hint="eastAsia" w:ascii="宋体" w:hAnsi="宋体" w:eastAsia="宋体" w:cs="宋体"/>
          <w:b/>
          <w:bCs/>
          <w:sz w:val="24"/>
          <w:szCs w:val="24"/>
        </w:rPr>
        <w:t>（2）投标文件中须提供项目现场演示负责人身份证扫描件及授权委托书并加盖公章，否则评委会不予计分。</w:t>
      </w:r>
    </w:p>
    <w:p w14:paraId="4A987BFA">
      <w:pPr>
        <w:shd w:val="clear" w:color="auto"/>
        <w:spacing w:line="360" w:lineRule="auto"/>
        <w:ind w:firstLine="482" w:firstLineChars="200"/>
        <w:outlineLvl w:val="3"/>
        <w:rPr>
          <w:rFonts w:ascii="宋体" w:hAnsi="宋体" w:eastAsia="宋体" w:cs="宋体"/>
          <w:b/>
          <w:bCs/>
          <w:sz w:val="24"/>
          <w:szCs w:val="24"/>
        </w:rPr>
      </w:pPr>
      <w:r>
        <w:rPr>
          <w:rFonts w:hint="eastAsia" w:ascii="宋体" w:hAnsi="宋体" w:eastAsia="宋体" w:cs="宋体"/>
          <w:b/>
          <w:bCs/>
          <w:sz w:val="24"/>
          <w:szCs w:val="24"/>
        </w:rPr>
        <w:t>（3）投标供应商自行准备电脑</w:t>
      </w:r>
      <w:r>
        <w:rPr>
          <w:rFonts w:hint="eastAsia" w:ascii="宋体" w:hAnsi="宋体" w:eastAsia="宋体" w:cs="宋体"/>
          <w:b/>
          <w:bCs/>
          <w:sz w:val="24"/>
          <w:szCs w:val="24"/>
          <w:lang w:eastAsia="zh-CN"/>
        </w:rPr>
        <w:t>、网络等</w:t>
      </w:r>
      <w:r>
        <w:rPr>
          <w:rFonts w:hint="eastAsia" w:ascii="宋体" w:hAnsi="宋体" w:eastAsia="宋体" w:cs="宋体"/>
          <w:b/>
          <w:bCs/>
          <w:sz w:val="24"/>
          <w:szCs w:val="24"/>
        </w:rPr>
        <w:t>进行现场演示，必须使用真实的产品操作，演示技术参数要求内容。并与苏采云系统内上传的视频内容一致。评标委员会以现场演示内容为准进行打分，苏采云系统中上传的视频作为参考。</w:t>
      </w:r>
    </w:p>
    <w:p w14:paraId="527B02FA">
      <w:pPr>
        <w:shd w:val="clear" w:color="auto"/>
        <w:spacing w:line="360" w:lineRule="auto"/>
        <w:ind w:firstLine="482" w:firstLineChars="200"/>
        <w:outlineLvl w:val="3"/>
        <w:rPr>
          <w:rFonts w:ascii="宋体" w:hAnsi="宋体" w:eastAsia="宋体" w:cs="宋体"/>
          <w:b/>
          <w:bCs/>
          <w:sz w:val="24"/>
          <w:szCs w:val="24"/>
        </w:rPr>
      </w:pPr>
      <w:r>
        <w:rPr>
          <w:rFonts w:hint="eastAsia" w:ascii="宋体" w:hAnsi="宋体" w:eastAsia="宋体" w:cs="宋体"/>
          <w:b/>
          <w:bCs/>
          <w:sz w:val="24"/>
          <w:szCs w:val="24"/>
        </w:rPr>
        <w:t>（4）项目现场演示负责人演示讲解，时间控制在25分钟以内，超过时间停止演示。由评委根据演示情况进行评定。</w:t>
      </w:r>
    </w:p>
    <w:p w14:paraId="0D34A01E">
      <w:pPr>
        <w:shd w:val="clear" w:color="auto"/>
        <w:spacing w:line="360" w:lineRule="auto"/>
        <w:ind w:firstLine="482" w:firstLineChars="200"/>
        <w:outlineLvl w:val="3"/>
        <w:rPr>
          <w:rFonts w:ascii="宋体" w:hAnsi="宋体" w:eastAsia="宋体" w:cs="宋体"/>
          <w:sz w:val="24"/>
          <w:szCs w:val="24"/>
        </w:rPr>
      </w:pPr>
      <w:r>
        <w:rPr>
          <w:rFonts w:hint="eastAsia" w:ascii="宋体" w:hAnsi="宋体" w:eastAsia="宋体" w:cs="宋体"/>
          <w:b/>
          <w:bCs/>
          <w:sz w:val="24"/>
          <w:szCs w:val="24"/>
        </w:rPr>
        <w:t>（5）未携带身份证原件或未按上述规定时间、地点参加演示的，作无效标处理。</w:t>
      </w:r>
    </w:p>
    <w:p w14:paraId="17A3471F">
      <w:pPr>
        <w:pStyle w:val="7"/>
        <w:tabs>
          <w:tab w:val="left" w:pos="0"/>
        </w:tabs>
        <w:snapToGrid w:val="0"/>
        <w:spacing w:before="120" w:after="120" w:line="360" w:lineRule="auto"/>
        <w:rPr>
          <w:rFonts w:ascii="宋体" w:hAnsi="宋体" w:eastAsia="宋体" w:cs="宋体"/>
          <w:b/>
          <w:bCs/>
          <w:kern w:val="2"/>
          <w:sz w:val="24"/>
          <w:szCs w:val="24"/>
        </w:rPr>
      </w:pPr>
      <w:r>
        <w:rPr>
          <w:rFonts w:hint="eastAsia" w:ascii="宋体" w:hAnsi="宋体" w:eastAsia="宋体" w:cs="宋体"/>
          <w:b/>
          <w:bCs/>
          <w:color w:val="000000"/>
          <w:sz w:val="24"/>
          <w:szCs w:val="24"/>
        </w:rPr>
        <w:t>九、</w:t>
      </w:r>
      <w:r>
        <w:rPr>
          <w:rFonts w:hint="eastAsia" w:ascii="宋体" w:hAnsi="宋体" w:eastAsia="宋体" w:cs="宋体"/>
          <w:b/>
          <w:bCs/>
          <w:kern w:val="2"/>
          <w:sz w:val="24"/>
          <w:szCs w:val="24"/>
        </w:rPr>
        <w:t>采购标的付款方式</w:t>
      </w:r>
    </w:p>
    <w:p w14:paraId="23164F05">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1.付款方式</w:t>
      </w:r>
    </w:p>
    <w:p w14:paraId="4AAE1733">
      <w:pPr>
        <w:spacing w:line="360" w:lineRule="auto"/>
        <w:ind w:firstLine="480" w:firstLineChars="200"/>
        <w:outlineLvl w:val="3"/>
        <w:rPr>
          <w:rFonts w:hint="eastAsia" w:ascii="宋体" w:hAnsi="宋体" w:eastAsia="宋体" w:cs="宋体"/>
          <w:sz w:val="24"/>
          <w:szCs w:val="24"/>
          <w:shd w:val="clear" w:fill="FFFF00"/>
        </w:rPr>
      </w:pPr>
      <w:r>
        <w:rPr>
          <w:rFonts w:hint="eastAsia" w:ascii="宋体" w:hAnsi="宋体" w:eastAsia="宋体" w:cs="宋体"/>
          <w:sz w:val="24"/>
          <w:szCs w:val="24"/>
        </w:rPr>
        <w:t>在合同签订后，中标人按要求将货物(设备)送到指定交货地点，货物(设备)安装调试结束后采购人组织预验收，预验收通过后，进行正式验收，正式验收合格（以采购人正式验收报告为准)</w:t>
      </w:r>
      <w:r>
        <w:rPr>
          <w:rFonts w:hint="eastAsia" w:ascii="宋体" w:hAnsi="宋体" w:eastAsia="宋体" w:cs="宋体"/>
          <w:sz w:val="24"/>
          <w:szCs w:val="24"/>
          <w:lang w:eastAsia="zh-CN"/>
        </w:rPr>
        <w:t>并审计，</w:t>
      </w:r>
      <w:r>
        <w:rPr>
          <w:rFonts w:hint="eastAsia" w:ascii="宋体" w:hAnsi="宋体" w:eastAsia="宋体" w:cs="宋体"/>
          <w:sz w:val="24"/>
          <w:szCs w:val="24"/>
        </w:rPr>
        <w:t>审计结束后</w:t>
      </w:r>
      <w:r>
        <w:rPr>
          <w:rFonts w:hint="eastAsia" w:ascii="宋体" w:hAnsi="宋体" w:eastAsia="宋体" w:cs="宋体"/>
          <w:sz w:val="24"/>
          <w:szCs w:val="24"/>
          <w:lang w:eastAsia="zh-CN"/>
        </w:rPr>
        <w:t>采购人</w:t>
      </w:r>
      <w:r>
        <w:rPr>
          <w:rFonts w:hint="eastAsia" w:ascii="宋体" w:hAnsi="宋体" w:eastAsia="宋体" w:cs="宋体"/>
          <w:sz w:val="24"/>
          <w:szCs w:val="24"/>
        </w:rPr>
        <w:t>付至审定价的100%。</w:t>
      </w:r>
    </w:p>
    <w:p w14:paraId="4138BBF2">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 xml:space="preserve">2.中标人凭以下文件资料申请支付合同款 </w:t>
      </w:r>
    </w:p>
    <w:p w14:paraId="3289D17E">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 xml:space="preserve">（1）采购合同； </w:t>
      </w:r>
    </w:p>
    <w:p w14:paraId="6E6C8224">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 xml:space="preserve">（2）中标通知书复印件或扫描件； </w:t>
      </w:r>
    </w:p>
    <w:p w14:paraId="3977186B">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（3）中标人开具的国家税务机关监制的正式增值税发票；</w:t>
      </w:r>
    </w:p>
    <w:p w14:paraId="4D17DE27">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（4）采购人已收讫货物的验收凭证；</w:t>
      </w:r>
    </w:p>
    <w:p w14:paraId="1095E0FC">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 xml:space="preserve">（5）采购人签发的验收合格文件。 </w:t>
      </w:r>
    </w:p>
    <w:p w14:paraId="376F0786">
      <w:pPr>
        <w:spacing w:line="360" w:lineRule="auto"/>
        <w:ind w:firstLine="480" w:firstLineChars="200"/>
        <w:outlineLvl w:val="3"/>
        <w:rPr>
          <w:rFonts w:ascii="宋体" w:hAnsi="宋体" w:eastAsia="宋体" w:cs="宋体"/>
          <w:color w:val="3D4B64"/>
          <w:sz w:val="24"/>
          <w:szCs w:val="24"/>
        </w:rPr>
      </w:pPr>
      <w:r>
        <w:rPr>
          <w:rFonts w:hint="eastAsia" w:ascii="宋体" w:hAnsi="宋体" w:eastAsia="宋体" w:cs="宋体"/>
          <w:sz w:val="24"/>
          <w:szCs w:val="24"/>
        </w:rPr>
        <w:t>3.因采购人使用的是财政资金，采购人在前款规定的付款时间为向政府采购支付部门提出办理财政支付申请手续的时间（不含政府财政支付部门审核的时间），在规定时间内提出支付申请手续后即视为采购人是按期支付。</w:t>
      </w:r>
    </w:p>
    <w:p w14:paraId="40214DE2">
      <w:pPr>
        <w:pStyle w:val="7"/>
        <w:tabs>
          <w:tab w:val="left" w:pos="0"/>
        </w:tabs>
        <w:snapToGrid w:val="0"/>
        <w:spacing w:before="120" w:after="120"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十、违约责任</w:t>
      </w:r>
    </w:p>
    <w:p w14:paraId="73DD63A9">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1.采购人无正当理由未按合同规定的期限向中标人支付货款的，每逾期1天采购人向中标人支付该批次货款总额的0.04%滞纳金，批次累计滞纳金总额不超过批次欠款总额的0.6%。</w:t>
      </w:r>
    </w:p>
    <w:p w14:paraId="451C9EDA">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2.中标人逾期交付货物的，每逾期1天，中标人向采购人偿付支付该批次货款总额的0.04%滞纳金，批次累计滞纳金总额不超过批次总额的0.6%。</w:t>
      </w:r>
    </w:p>
    <w:p w14:paraId="168EB4FE">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中标人所交付的货物品种、型号、规格不符合合同规定，中标人需在收到书面通知15日内解决退换货问题，因退换货造成逾期交付的，中标人需交纳逾期滞纳金，逾期滞纳金按原收货截止日次日起计至合格货物收到之日止，每逾期1天，按本批次货款总额的0.04%计算。若中标人在15日退换货期限内不能完成供货，除每日按本批次货款总额的0.04%计算滞纳金外，还应支付每日1万元罚款，直至供货日止。若中标人在以上合计60天期限内仍不能完成供货，将被处以此批货款30%的罚款，同时处罚履约保证金的50%，采购人可采取必要的补救措施，但由此引发的风险和费用将由中标人承担。</w:t>
      </w:r>
    </w:p>
    <w:p w14:paraId="46D4234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4.中标人未按合同规定的和“服务承诺”提供的售后服务的，应按合同总价款的8%向采购人承担违约责任。</w:t>
      </w:r>
    </w:p>
    <w:p w14:paraId="6695C2C3">
      <w:pPr>
        <w:pStyle w:val="7"/>
        <w:tabs>
          <w:tab w:val="left" w:pos="0"/>
        </w:tabs>
        <w:snapToGrid w:val="0"/>
        <w:spacing w:before="120" w:after="120"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十一、本项目不接受进口产品投标</w:t>
      </w:r>
    </w:p>
    <w:p w14:paraId="0BECBA14">
      <w:pPr>
        <w:spacing w:line="360" w:lineRule="auto"/>
        <w:jc w:val="center"/>
        <w:rPr>
          <w:rFonts w:eastAsia="宋体" w:cs="宋体"/>
          <w:color w:val="000000"/>
        </w:rPr>
      </w:pPr>
      <w:r>
        <w:rPr>
          <w:rFonts w:hint="eastAsia" w:eastAsia="宋体" w:cs="宋体"/>
          <w:b/>
          <w:color w:val="000000"/>
          <w:sz w:val="36"/>
          <w:szCs w:val="36"/>
        </w:rPr>
        <w:br w:type="page" w:clear="all"/>
      </w:r>
      <w:r>
        <w:rPr>
          <w:rFonts w:hint="eastAsia" w:eastAsia="宋体" w:cs="宋体"/>
          <w:b/>
          <w:color w:val="000000"/>
          <w:sz w:val="36"/>
          <w:szCs w:val="36"/>
        </w:rPr>
        <w:t>第四章  评审方法和程序</w:t>
      </w:r>
      <w:bookmarkEnd w:id="8"/>
    </w:p>
    <w:p w14:paraId="7B5805B3">
      <w:pPr>
        <w:spacing w:line="360" w:lineRule="auto"/>
        <w:ind w:firstLine="480"/>
        <w:rPr>
          <w:rFonts w:eastAsia="宋体" w:cs="宋体"/>
          <w:b/>
          <w:color w:val="000000"/>
          <w:sz w:val="24"/>
          <w:szCs w:val="24"/>
        </w:rPr>
      </w:pPr>
    </w:p>
    <w:p w14:paraId="339AC2A1">
      <w:pPr>
        <w:spacing w:line="360" w:lineRule="auto"/>
        <w:ind w:firstLine="480"/>
        <w:rPr>
          <w:rFonts w:ascii="宋体" w:hAnsi="宋体" w:eastAsia="宋体" w:cs="宋体"/>
          <w:b/>
          <w:color w:val="000000"/>
          <w:sz w:val="24"/>
          <w:szCs w:val="24"/>
        </w:rPr>
      </w:pPr>
      <w:r>
        <w:rPr>
          <w:rFonts w:hint="eastAsia" w:ascii="宋体" w:hAnsi="宋体" w:eastAsia="宋体" w:cs="宋体"/>
          <w:b/>
          <w:color w:val="000000"/>
          <w:sz w:val="24"/>
          <w:szCs w:val="24"/>
        </w:rPr>
        <w:t>一、招标人委托招标代理机构组织招标</w:t>
      </w:r>
    </w:p>
    <w:p w14:paraId="146DA7F0">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1.成立评标委员会小组，评标委员会由招标人代表和评审专家组成，成员人数应当为</w:t>
      </w:r>
      <w:r>
        <w:rPr>
          <w:rFonts w:hint="eastAsia" w:ascii="宋体" w:hAnsi="宋体" w:eastAsia="宋体" w:cs="宋体"/>
          <w:b/>
          <w:bCs/>
          <w:sz w:val="24"/>
          <w:szCs w:val="24"/>
          <w:lang w:val="en-US" w:eastAsia="zh-CN"/>
        </w:rPr>
        <w:t>5</w:t>
      </w:r>
      <w:r>
        <w:rPr>
          <w:rFonts w:hint="eastAsia" w:ascii="宋体" w:hAnsi="宋体" w:eastAsia="宋体" w:cs="宋体"/>
          <w:sz w:val="24"/>
          <w:szCs w:val="24"/>
        </w:rPr>
        <w:t>人以上单数，其中评审专家不得少于成员总数的三分之二。</w:t>
      </w:r>
    </w:p>
    <w:p w14:paraId="75AFE483">
      <w:pPr>
        <w:spacing w:line="360" w:lineRule="auto"/>
        <w:ind w:firstLine="480"/>
        <w:rPr>
          <w:rFonts w:ascii="宋体" w:hAnsi="宋体" w:eastAsia="宋体" w:cs="宋体"/>
          <w:b/>
          <w:color w:val="000000"/>
          <w:sz w:val="24"/>
          <w:szCs w:val="24"/>
        </w:rPr>
      </w:pPr>
      <w:r>
        <w:rPr>
          <w:rFonts w:hint="eastAsia" w:ascii="宋体" w:hAnsi="宋体" w:eastAsia="宋体" w:cs="宋体"/>
          <w:b/>
          <w:color w:val="000000"/>
          <w:sz w:val="24"/>
          <w:szCs w:val="24"/>
        </w:rPr>
        <w:t>二、开标</w:t>
      </w:r>
    </w:p>
    <w:p w14:paraId="4C8F5332">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1.不见面远程开标模式：开标当天各投标人在各自地点通过苏采云系统及时登录不见面开标大厅，参加投标活动。</w:t>
      </w:r>
    </w:p>
    <w:p w14:paraId="5E0CBD0C">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2.招标代理机构主持开标并记录，及时处理投标人代表提出的询问或者回避申请。</w:t>
      </w:r>
    </w:p>
    <w:p w14:paraId="2BD41BD3">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3.投标人不足3家的不得开标。</w:t>
      </w:r>
    </w:p>
    <w:p w14:paraId="2CCE2B17">
      <w:pPr>
        <w:spacing w:line="360" w:lineRule="auto"/>
        <w:ind w:firstLine="480"/>
        <w:rPr>
          <w:rFonts w:ascii="宋体" w:hAnsi="宋体" w:eastAsia="宋体" w:cs="宋体"/>
          <w:b/>
          <w:color w:val="000000"/>
          <w:sz w:val="24"/>
          <w:szCs w:val="24"/>
        </w:rPr>
      </w:pPr>
      <w:r>
        <w:rPr>
          <w:rFonts w:hint="eastAsia" w:ascii="宋体" w:hAnsi="宋体" w:eastAsia="宋体" w:cs="宋体"/>
          <w:b/>
          <w:color w:val="000000"/>
          <w:sz w:val="24"/>
          <w:szCs w:val="24"/>
        </w:rPr>
        <w:t>三、资格审查</w:t>
      </w:r>
    </w:p>
    <w:p w14:paraId="728D0131">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1.开标后，招标人及其委托的采购代理机构依据相关法律政策的规定，根据招标文件载明的资格审查要求，对投标人的资格进行审查。</w:t>
      </w:r>
    </w:p>
    <w:p w14:paraId="067996AE">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2.资格审查合格的投标人进入评标。</w:t>
      </w:r>
    </w:p>
    <w:p w14:paraId="220C5815">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3.合格投标人不足3家的，不得评标。</w:t>
      </w:r>
    </w:p>
    <w:p w14:paraId="27A1D581">
      <w:pPr>
        <w:spacing w:line="360" w:lineRule="auto"/>
        <w:ind w:firstLine="480"/>
        <w:contextualSpacing/>
        <w:outlineLvl w:val="1"/>
        <w:rPr>
          <w:rFonts w:ascii="宋体" w:hAnsi="宋体" w:eastAsia="宋体" w:cs="宋体"/>
          <w:b/>
          <w:color w:val="000000"/>
          <w:sz w:val="24"/>
          <w:szCs w:val="24"/>
        </w:rPr>
      </w:pPr>
      <w:r>
        <w:rPr>
          <w:rFonts w:hint="eastAsia" w:ascii="宋体" w:hAnsi="宋体" w:eastAsia="宋体" w:cs="宋体"/>
          <w:b/>
          <w:color w:val="000000"/>
          <w:sz w:val="24"/>
          <w:szCs w:val="24"/>
        </w:rPr>
        <w:t>四、评标</w:t>
      </w:r>
    </w:p>
    <w:p w14:paraId="0CB15A05">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1.评标时间：</w:t>
      </w:r>
      <w:r>
        <w:rPr>
          <w:rFonts w:hint="eastAsia" w:ascii="宋体" w:hAnsi="宋体" w:eastAsia="宋体" w:cs="宋体"/>
          <w:b/>
          <w:bCs/>
          <w:sz w:val="24"/>
          <w:szCs w:val="24"/>
        </w:rPr>
        <w:t>资格审查结束以后</w:t>
      </w:r>
      <w:r>
        <w:rPr>
          <w:rFonts w:hint="eastAsia" w:ascii="宋体" w:hAnsi="宋体" w:eastAsia="宋体" w:cs="宋体"/>
          <w:sz w:val="24"/>
          <w:szCs w:val="24"/>
        </w:rPr>
        <w:t>。</w:t>
      </w:r>
    </w:p>
    <w:p w14:paraId="7E88A96F">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2.招标代理机构负责组织评标工作，并履行下列职责：</w:t>
      </w:r>
    </w:p>
    <w:p w14:paraId="41179AB4">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（1）核对评审专家身份和招标人代表授权函，对评审专家在招标采购活动中的职责履行情况予以记录，并及时将有关违法违规行为向相关部门报告。</w:t>
      </w:r>
    </w:p>
    <w:p w14:paraId="1BF6B842">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（2）宣布评标纪律。</w:t>
      </w:r>
    </w:p>
    <w:p w14:paraId="15C017E0">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（3）公布投标人名单，告知评审专家应当回避的情形。</w:t>
      </w:r>
    </w:p>
    <w:p w14:paraId="35C0825F">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（4）组织评标委员会推选评标组长，招标人代表不得担任组长。</w:t>
      </w:r>
    </w:p>
    <w:p w14:paraId="5CDE369E">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（5）在评标期间采取必要的通讯管理措施，保证评标活动不受外界干扰；除招标人代表、评标现场组织人员外，招标人的其他工作人员以及与评标工作无关的人员不得进入评标现场。</w:t>
      </w:r>
    </w:p>
    <w:p w14:paraId="2ECDB91D">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（6）根据评标委员会的要求介绍采购相关政策法规、招标文件。</w:t>
      </w:r>
    </w:p>
    <w:p w14:paraId="12582A52">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p>
    <w:p w14:paraId="37E0C323">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（8）核对评标结果，有下列规定情形的，要求评标委员会复核或者书面说明理由，评标委员会拒绝的，则予以书面记录并向本级相关部门报告：</w:t>
      </w:r>
    </w:p>
    <w:p w14:paraId="51532128">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①分值汇总计算错误的；</w:t>
      </w:r>
    </w:p>
    <w:p w14:paraId="13359E91">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②分项评分超出评分标准范围的；</w:t>
      </w:r>
    </w:p>
    <w:p w14:paraId="62BBD148">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③评标委员会成员对客观评审因素评分不一致的；</w:t>
      </w:r>
    </w:p>
    <w:p w14:paraId="2A0394AC">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④经评标委员会认定评分畸高、畸低的。</w:t>
      </w:r>
    </w:p>
    <w:p w14:paraId="1544BF82">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（9）评审工作完成后，按照规定向评审专家支付劳务报酬和异地评审差旅费，不得向评审专家以外的其他人员支付评审劳务报酬；</w:t>
      </w:r>
    </w:p>
    <w:p w14:paraId="5DE1A7EC">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（10）处理与评标有关的其他事项。</w:t>
      </w:r>
    </w:p>
    <w:p w14:paraId="7DFAA22B">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3.评标委员会负责具体评标事务：</w:t>
      </w:r>
    </w:p>
    <w:p w14:paraId="2D50BE92">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14:paraId="24CCAADB">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14:paraId="330697C7">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p>
    <w:p w14:paraId="487AE50B">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4.评标委员会成员独立履行以下职责与义务：</w:t>
      </w:r>
    </w:p>
    <w:p w14:paraId="210FB875">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（1）遵纪守法，客观、公正、廉洁地履行职责；</w:t>
      </w:r>
    </w:p>
    <w:p w14:paraId="55C08210">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（2）审查合格投标人的投标文件是否实质性响应招标文件要求，并做出评价；</w:t>
      </w:r>
    </w:p>
    <w:p w14:paraId="59B209D0">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（3）按照招标文件规定的评标办法和评标标准进行评标，对评审意见承担个人责任；</w:t>
      </w:r>
    </w:p>
    <w:p w14:paraId="4877F3E5">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（4）可以要求投标人对投标文件有关事项做出解释或澄清；</w:t>
      </w:r>
    </w:p>
    <w:p w14:paraId="75643A5A">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（5）对评标过程和结果，以及投标人的商业秘密保密；</w:t>
      </w:r>
    </w:p>
    <w:p w14:paraId="02DEA90F">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（6）配合相关部门的投诉处理工作；</w:t>
      </w:r>
    </w:p>
    <w:p w14:paraId="37F1E49A">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（7）配合招标人或招标代理机构答复投标人提出的质疑。</w:t>
      </w:r>
    </w:p>
    <w:p w14:paraId="18A71553">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5.除招标人代表、评标现场组织人员外，招标人的其他工作人员以及与评标工作无关的人员不得进入评标现场；有关人员对评标情况以及在评标过程中获悉的国家秘密、商业秘密负有保密责任。</w:t>
      </w:r>
    </w:p>
    <w:p w14:paraId="0C9DA33A">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6.开标后直到公告项目中标结果发出中标通知书并授予中标人合同为止，凡属于评审、澄清、评价和比较投标的所有资料及有关授予合同等的相关信息，都不应向投标人或与评标无关的其他人泄露。</w:t>
      </w:r>
    </w:p>
    <w:p w14:paraId="30CEEADF">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7.评审期间，合格投标人的投标文件仍有可能被评标委员会根据规定判为无效投标。</w:t>
      </w:r>
    </w:p>
    <w:p w14:paraId="3016EB26">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8.在投标文件的评审、澄清、评价和比较以及授予合同的过程中，投标人对招标人和评标委员会成员有施加影响的任何行为，都将取消其可能的中标资格。</w:t>
      </w:r>
    </w:p>
    <w:p w14:paraId="723142FB">
      <w:pPr>
        <w:spacing w:line="360" w:lineRule="auto"/>
        <w:ind w:firstLine="480"/>
        <w:rPr>
          <w:rFonts w:ascii="宋体" w:hAnsi="宋体" w:eastAsia="宋体" w:cs="宋体"/>
          <w:b/>
          <w:bCs/>
          <w:color w:val="000000"/>
          <w:sz w:val="24"/>
          <w:szCs w:val="24"/>
        </w:rPr>
      </w:pPr>
      <w:r>
        <w:rPr>
          <w:rFonts w:hint="eastAsia" w:ascii="宋体" w:hAnsi="宋体" w:eastAsia="宋体" w:cs="宋体"/>
          <w:b/>
          <w:bCs/>
          <w:color w:val="000000"/>
          <w:sz w:val="24"/>
          <w:szCs w:val="24"/>
        </w:rPr>
        <w:t>五、评审原则</w:t>
      </w:r>
    </w:p>
    <w:p w14:paraId="4D1601CC">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1.本项目采用</w:t>
      </w:r>
      <w:r>
        <w:rPr>
          <w:rFonts w:hint="eastAsia" w:ascii="宋体" w:hAnsi="宋体" w:eastAsia="宋体" w:cs="宋体"/>
          <w:b/>
          <w:bCs/>
          <w:sz w:val="24"/>
          <w:szCs w:val="24"/>
          <w:u w:val="single"/>
        </w:rPr>
        <w:t>综合评分法</w:t>
      </w:r>
      <w:r>
        <w:rPr>
          <w:rFonts w:hint="eastAsia" w:ascii="宋体" w:hAnsi="宋体" w:eastAsia="宋体" w:cs="宋体"/>
          <w:sz w:val="24"/>
          <w:szCs w:val="24"/>
        </w:rPr>
        <w:t>，即指投标文件满足本项目招标文件全部实质性要求，且按照评审因素的量化指标，经评审后得分最高的投标人推荐为中标人的评标方法。</w:t>
      </w:r>
    </w:p>
    <w:p w14:paraId="5879F5BD">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p>
    <w:p w14:paraId="6EFFAC80">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3.评标委员会严格按照招标文件规定的要求、条件、评分标准，对投标人所提供的完整计划标的物的科学性、可行性、产品质量、服务质量的保证及承诺等实质性响应内容进行比较评价。</w:t>
      </w:r>
    </w:p>
    <w:p w14:paraId="2583DF99">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4.对投标文件的评审判定，只依据投标文件内容本身，不依靠开标后任何外来证明文件。</w:t>
      </w:r>
    </w:p>
    <w:p w14:paraId="4AE421E6">
      <w:pPr>
        <w:spacing w:line="360" w:lineRule="auto"/>
        <w:ind w:firstLine="480"/>
        <w:rPr>
          <w:rFonts w:ascii="宋体" w:hAnsi="宋体" w:eastAsia="宋体" w:cs="宋体"/>
          <w:b/>
          <w:bCs/>
          <w:color w:val="000000"/>
          <w:sz w:val="24"/>
          <w:szCs w:val="24"/>
        </w:rPr>
      </w:pPr>
      <w:r>
        <w:rPr>
          <w:rFonts w:hint="eastAsia" w:ascii="宋体" w:hAnsi="宋体" w:eastAsia="宋体" w:cs="宋体"/>
          <w:b/>
          <w:bCs/>
          <w:color w:val="000000"/>
          <w:sz w:val="24"/>
          <w:szCs w:val="24"/>
        </w:rPr>
        <w:t>六、评审方法</w:t>
      </w:r>
    </w:p>
    <w:p w14:paraId="24FD8A7A">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1.评标程序：</w:t>
      </w:r>
    </w:p>
    <w:p w14:paraId="4B660A46">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资格符合性评审——商务技术标评审——价格标评审——确定中标候选人。</w:t>
      </w:r>
    </w:p>
    <w:p w14:paraId="55714D70">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本次资格审查采用资格后审，各投标人资格审查通过后方能进入商务技术标的开标。先开商务技术标，商务技术标打分结束后再开价格标。</w:t>
      </w:r>
    </w:p>
    <w:p w14:paraId="60B9D451">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2.评标委员会将仅对按本招标文件载明的方法与规定，为实质上响应招标文件要求的投标文件评审并进行评价和比较。</w:t>
      </w:r>
    </w:p>
    <w:p w14:paraId="63FC4214">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3.本次项目的商务技术标和价格标评审总分值为100分。两部分评审因素比重如下：</w:t>
      </w:r>
    </w:p>
    <w:p w14:paraId="1B36A39F">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商务技术标分值占总分值的比重为</w:t>
      </w:r>
      <w:r>
        <w:rPr>
          <w:rFonts w:hint="eastAsia" w:ascii="宋体" w:hAnsi="宋体" w:eastAsia="宋体" w:cs="宋体"/>
          <w:b/>
          <w:bCs/>
          <w:sz w:val="24"/>
          <w:szCs w:val="24"/>
          <w:u w:val="single"/>
        </w:rPr>
        <w:t>70%</w:t>
      </w:r>
      <w:r>
        <w:rPr>
          <w:rFonts w:hint="eastAsia" w:ascii="宋体" w:hAnsi="宋体" w:eastAsia="宋体" w:cs="宋体"/>
          <w:b/>
          <w:bCs/>
          <w:sz w:val="24"/>
          <w:szCs w:val="24"/>
        </w:rPr>
        <w:t>（权重）</w:t>
      </w:r>
      <w:r>
        <w:rPr>
          <w:rFonts w:hint="eastAsia" w:ascii="宋体" w:hAnsi="宋体" w:eastAsia="宋体" w:cs="宋体"/>
          <w:sz w:val="24"/>
          <w:szCs w:val="24"/>
        </w:rPr>
        <w:t>（计算结果均四舍五入保留两位小数）；</w:t>
      </w:r>
    </w:p>
    <w:p w14:paraId="499A3794">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价格标分值占总分值的比重为</w:t>
      </w:r>
      <w:r>
        <w:rPr>
          <w:rFonts w:hint="eastAsia" w:ascii="宋体" w:hAnsi="宋体" w:eastAsia="宋体" w:cs="宋体"/>
          <w:b/>
          <w:bCs/>
          <w:sz w:val="24"/>
          <w:szCs w:val="24"/>
          <w:u w:val="single"/>
        </w:rPr>
        <w:t>30%</w:t>
      </w:r>
      <w:r>
        <w:rPr>
          <w:rFonts w:hint="eastAsia" w:ascii="宋体" w:hAnsi="宋体" w:eastAsia="宋体" w:cs="宋体"/>
          <w:b/>
          <w:bCs/>
          <w:sz w:val="24"/>
          <w:szCs w:val="24"/>
        </w:rPr>
        <w:t>（权重）</w:t>
      </w:r>
      <w:r>
        <w:rPr>
          <w:rFonts w:hint="eastAsia" w:ascii="宋体" w:hAnsi="宋体" w:eastAsia="宋体" w:cs="宋体"/>
          <w:sz w:val="24"/>
          <w:szCs w:val="24"/>
        </w:rPr>
        <w:t xml:space="preserve">（计算结果均四舍五入保留两位小数）； </w:t>
      </w:r>
    </w:p>
    <w:p w14:paraId="7354BD86">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4.评标委员会严格按照招标文件的要求、条件、评分标准，对投标人所提供服务的先进性、可靠性、售后服务承诺、质量保证承诺等实质性响应内容进行比较。</w:t>
      </w:r>
    </w:p>
    <w:p w14:paraId="115E9950">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5.评标专家确定方式：在专家库中随机抽取。评标委员会各成员独立对每个进入打分程序的有效投标人的投标文件的商务技术部分以打分的形式进行评审和评价。</w:t>
      </w:r>
    </w:p>
    <w:p w14:paraId="39FFBF5D">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6.商务技术分按评委的算术平均值计算（计算结果均四舍五入保留两位小数）。</w:t>
      </w:r>
    </w:p>
    <w:p w14:paraId="1307BDF9">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7.开启投标人的价格报价标，现场唱标后由投标人代表在苏采云系统确认。</w:t>
      </w:r>
    </w:p>
    <w:p w14:paraId="6EDF4388">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8.投标人的价格标评审得分直接计算取得，并与其商务技术标得分相加为该投标人的综合得分（计算结果均四舍五入保留两位小数）。</w:t>
      </w:r>
    </w:p>
    <w:p w14:paraId="25C425B0">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9.评标结果按评审后得分由高到低顺序排列。得分相同的，按投标报价由低到高顺序排列。得分且投标报价均相同时则通过抽签方式随机确定排名顺序。投标文件满足招标文件全部实质性要求，且按照评审因素的量化指标评审得分最高的投标人为排名第一的中标候选人。</w:t>
      </w:r>
    </w:p>
    <w:p w14:paraId="7B4C2AC9">
      <w:pPr>
        <w:spacing w:line="360" w:lineRule="auto"/>
        <w:ind w:firstLine="480"/>
        <w:rPr>
          <w:rFonts w:ascii="宋体" w:hAnsi="宋体" w:eastAsia="宋体" w:cs="宋体"/>
          <w:b/>
          <w:bCs/>
          <w:color w:val="000000"/>
          <w:sz w:val="24"/>
          <w:szCs w:val="24"/>
        </w:rPr>
      </w:pPr>
      <w:r>
        <w:rPr>
          <w:rFonts w:hint="eastAsia" w:ascii="宋体" w:hAnsi="宋体" w:eastAsia="宋体" w:cs="宋体"/>
          <w:b/>
          <w:bCs/>
          <w:color w:val="000000"/>
          <w:sz w:val="24"/>
          <w:szCs w:val="24"/>
        </w:rPr>
        <w:t>七、关于投标价格评审</w:t>
      </w:r>
    </w:p>
    <w:p w14:paraId="3273C0FC">
      <w:pPr>
        <w:spacing w:line="360" w:lineRule="auto"/>
        <w:ind w:firstLine="480"/>
        <w:rPr>
          <w:rFonts w:ascii="宋体" w:hAnsi="宋体" w:eastAsia="宋体" w:cs="宋体"/>
          <w:b/>
          <w:color w:val="000000"/>
          <w:sz w:val="24"/>
          <w:szCs w:val="24"/>
        </w:rPr>
      </w:pPr>
      <w:r>
        <w:rPr>
          <w:rFonts w:hint="eastAsia" w:ascii="宋体" w:hAnsi="宋体" w:eastAsia="宋体" w:cs="宋体"/>
          <w:b/>
          <w:color w:val="000000"/>
          <w:sz w:val="24"/>
          <w:szCs w:val="24"/>
        </w:rPr>
        <w:t>1.针对投标价格实质响应的评审</w:t>
      </w:r>
    </w:p>
    <w:p w14:paraId="0D2A74C9">
      <w:pPr>
        <w:spacing w:line="360" w:lineRule="auto"/>
        <w:ind w:firstLine="480" w:firstLineChars="200"/>
        <w:outlineLvl w:val="3"/>
        <w:rPr>
          <w:rFonts w:ascii="宋体" w:hAnsi="宋体" w:eastAsia="宋体" w:cs="宋体"/>
          <w:sz w:val="24"/>
          <w:szCs w:val="24"/>
        </w:rPr>
      </w:pPr>
      <w:r>
        <w:rPr>
          <w:rFonts w:hint="eastAsia" w:ascii="宋体" w:hAnsi="宋体" w:eastAsia="宋体" w:cs="宋体"/>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则按无效投标处理。 </w:t>
      </w:r>
    </w:p>
    <w:p w14:paraId="438BC228">
      <w:pPr>
        <w:spacing w:line="360" w:lineRule="auto"/>
        <w:ind w:firstLine="480"/>
        <w:rPr>
          <w:rFonts w:ascii="宋体" w:hAnsi="宋体" w:eastAsia="宋体" w:cs="宋体"/>
          <w:b/>
          <w:color w:val="000000"/>
          <w:sz w:val="24"/>
          <w:szCs w:val="24"/>
        </w:rPr>
      </w:pPr>
      <w:r>
        <w:rPr>
          <w:rFonts w:hint="eastAsia" w:ascii="宋体" w:hAnsi="宋体" w:eastAsia="宋体" w:cs="宋体"/>
          <w:b/>
          <w:color w:val="000000"/>
          <w:sz w:val="24"/>
          <w:szCs w:val="24"/>
        </w:rPr>
        <w:t>2.针对投标价格合理性的评审</w:t>
      </w:r>
    </w:p>
    <w:p w14:paraId="67F93A38">
      <w:pPr>
        <w:spacing w:line="360" w:lineRule="auto"/>
        <w:ind w:firstLine="480"/>
        <w:rPr>
          <w:rFonts w:ascii="宋体" w:hAnsi="宋体" w:eastAsia="宋体" w:cs="宋体"/>
          <w:b/>
          <w:bCs/>
          <w:color w:val="000000"/>
          <w:sz w:val="24"/>
          <w:szCs w:val="24"/>
        </w:rPr>
      </w:pPr>
      <w:r>
        <w:rPr>
          <w:rFonts w:hint="eastAsia" w:ascii="宋体" w:hAnsi="宋体" w:eastAsia="宋体" w:cs="宋体"/>
          <w:b/>
          <w:bCs/>
          <w:color w:val="000000"/>
          <w:sz w:val="24"/>
          <w:szCs w:val="24"/>
        </w:rPr>
        <w:t>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p>
    <w:p w14:paraId="70CC8FFF">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八、评审评分项 </w:t>
      </w:r>
    </w:p>
    <w:p w14:paraId="5759849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eastAsia="宋体" w:cs="宋体"/>
          <w:b/>
          <w:bCs/>
          <w:color w:val="000000"/>
          <w:sz w:val="24"/>
          <w:szCs w:val="24"/>
        </w:rPr>
      </w:pPr>
      <w:r>
        <w:rPr>
          <w:rFonts w:hint="eastAsia" w:ascii="宋体" w:hAnsi="宋体" w:eastAsia="宋体" w:cs="宋体"/>
          <w:b/>
          <w:bCs/>
          <w:color w:val="000000"/>
          <w:sz w:val="24"/>
          <w:szCs w:val="24"/>
        </w:rPr>
        <w:t>（一）商务技术标评分：（70分）</w:t>
      </w:r>
    </w:p>
    <w:tbl>
      <w:tblPr>
        <w:tblStyle w:val="12"/>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gridCol w:w="1135"/>
        <w:gridCol w:w="7641"/>
        <w:gridCol w:w="534"/>
      </w:tblGrid>
      <w:tr w14:paraId="139B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466" w:type="dxa"/>
            <w:shd w:val="clear" w:color="auto" w:fill="FFFFFF"/>
            <w:vAlign w:val="center"/>
          </w:tcPr>
          <w:p w14:paraId="265D4F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b/>
                <w:sz w:val="21"/>
                <w:szCs w:val="21"/>
              </w:rPr>
            </w:pPr>
            <w:r>
              <w:rPr>
                <w:rFonts w:hint="eastAsia" w:ascii="宋体" w:hAnsi="宋体" w:eastAsia="宋体" w:cs="宋体"/>
                <w:b/>
                <w:sz w:val="21"/>
                <w:szCs w:val="21"/>
              </w:rPr>
              <w:t>序号</w:t>
            </w:r>
          </w:p>
        </w:tc>
        <w:tc>
          <w:tcPr>
            <w:tcW w:w="1135" w:type="dxa"/>
            <w:shd w:val="clear" w:color="auto" w:fill="FFFFFF"/>
            <w:vAlign w:val="center"/>
          </w:tcPr>
          <w:p w14:paraId="64B4369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b/>
                <w:sz w:val="21"/>
                <w:szCs w:val="21"/>
              </w:rPr>
            </w:pPr>
            <w:r>
              <w:rPr>
                <w:rFonts w:hint="eastAsia" w:ascii="宋体" w:hAnsi="宋体" w:eastAsia="宋体" w:cs="宋体"/>
                <w:b/>
                <w:sz w:val="21"/>
                <w:szCs w:val="21"/>
              </w:rPr>
              <w:t>评分因素</w:t>
            </w:r>
          </w:p>
        </w:tc>
        <w:tc>
          <w:tcPr>
            <w:tcW w:w="7641" w:type="dxa"/>
            <w:shd w:val="clear" w:color="auto" w:fill="FFFFFF"/>
            <w:vAlign w:val="center"/>
          </w:tcPr>
          <w:p w14:paraId="709FEB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b/>
                <w:sz w:val="21"/>
                <w:szCs w:val="21"/>
              </w:rPr>
            </w:pPr>
            <w:r>
              <w:rPr>
                <w:rFonts w:hint="eastAsia" w:ascii="宋体" w:hAnsi="宋体" w:eastAsia="宋体" w:cs="宋体"/>
                <w:b/>
                <w:sz w:val="21"/>
                <w:szCs w:val="21"/>
              </w:rPr>
              <w:t>评审标准</w:t>
            </w:r>
          </w:p>
        </w:tc>
        <w:tc>
          <w:tcPr>
            <w:tcW w:w="534" w:type="dxa"/>
            <w:shd w:val="clear" w:color="auto" w:fill="FFFFFF"/>
            <w:vAlign w:val="center"/>
          </w:tcPr>
          <w:p w14:paraId="4224AA0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b/>
                <w:sz w:val="21"/>
                <w:szCs w:val="21"/>
              </w:rPr>
            </w:pPr>
            <w:r>
              <w:rPr>
                <w:rFonts w:hint="eastAsia" w:ascii="宋体" w:hAnsi="宋体" w:eastAsia="宋体" w:cs="宋体"/>
                <w:b/>
                <w:sz w:val="21"/>
                <w:szCs w:val="21"/>
              </w:rPr>
              <w:t>分值</w:t>
            </w:r>
          </w:p>
        </w:tc>
      </w:tr>
      <w:tr w14:paraId="4A803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466" w:type="dxa"/>
            <w:vAlign w:val="center"/>
          </w:tcPr>
          <w:p w14:paraId="520B3224">
            <w:pPr>
              <w:keepNext w:val="0"/>
              <w:keepLines w:val="0"/>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sz w:val="21"/>
                <w:szCs w:val="21"/>
              </w:rPr>
            </w:pPr>
            <w:r>
              <w:rPr>
                <w:rFonts w:hint="eastAsia" w:ascii="宋体" w:hAnsi="宋体" w:eastAsia="宋体" w:cs="宋体"/>
                <w:b/>
                <w:sz w:val="21"/>
                <w:szCs w:val="21"/>
              </w:rPr>
              <w:t>1</w:t>
            </w:r>
          </w:p>
        </w:tc>
        <w:tc>
          <w:tcPr>
            <w:tcW w:w="1135" w:type="dxa"/>
            <w:vAlign w:val="center"/>
          </w:tcPr>
          <w:p w14:paraId="128F665F">
            <w:pPr>
              <w:keepNext w:val="0"/>
              <w:keepLines w:val="0"/>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sz w:val="21"/>
                <w:szCs w:val="21"/>
              </w:rPr>
            </w:pPr>
            <w:r>
              <w:rPr>
                <w:rFonts w:hint="eastAsia" w:ascii="宋体" w:hAnsi="宋体" w:eastAsia="宋体" w:cs="宋体"/>
                <w:b/>
                <w:sz w:val="21"/>
                <w:szCs w:val="21"/>
              </w:rPr>
              <w:t>企业业绩</w:t>
            </w:r>
          </w:p>
        </w:tc>
        <w:tc>
          <w:tcPr>
            <w:tcW w:w="7641" w:type="dxa"/>
            <w:shd w:val="clear" w:color="auto" w:fill="FFFFFF"/>
          </w:tcPr>
          <w:p w14:paraId="04A10677">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bCs/>
                <w:color w:val="000000"/>
                <w:spacing w:val="-4"/>
                <w:sz w:val="21"/>
                <w:szCs w:val="21"/>
              </w:rPr>
            </w:pPr>
            <w:r>
              <w:rPr>
                <w:rFonts w:hint="eastAsia" w:ascii="宋体" w:hAnsi="宋体" w:eastAsia="宋体" w:cs="宋体"/>
                <w:sz w:val="21"/>
                <w:szCs w:val="21"/>
                <w:lang w:val="zh-CN"/>
              </w:rPr>
              <w:t>投标</w:t>
            </w:r>
            <w:r>
              <w:rPr>
                <w:rFonts w:hint="eastAsia" w:ascii="宋体" w:hAnsi="宋体" w:eastAsia="宋体" w:cs="宋体"/>
                <w:bCs/>
                <w:color w:val="000000"/>
                <w:spacing w:val="-4"/>
                <w:sz w:val="21"/>
                <w:szCs w:val="21"/>
                <w:lang w:val="zh-CN"/>
              </w:rPr>
              <w:t>供应商</w:t>
            </w:r>
            <w:r>
              <w:rPr>
                <w:rFonts w:hint="eastAsia" w:ascii="宋体" w:hAnsi="宋体" w:eastAsia="宋体" w:cs="宋体"/>
                <w:bCs/>
                <w:color w:val="000000"/>
                <w:spacing w:val="-4"/>
                <w:sz w:val="21"/>
                <w:szCs w:val="21"/>
              </w:rPr>
              <w:t>自2023年1月1日以来（以合同签订时间为准）具有同类项目经验的业绩，每提供1个得0.5分，最多得2分。</w:t>
            </w:r>
          </w:p>
          <w:p w14:paraId="22571571">
            <w:pPr>
              <w:keepNext w:val="0"/>
              <w:keepLines w:val="0"/>
              <w:pageBreakBefore w:val="0"/>
              <w:widowControl w:val="0"/>
              <w:kinsoku/>
              <w:wordWrap w:val="0"/>
              <w:overflowPunct/>
              <w:topLinePunct w:val="0"/>
              <w:autoSpaceDE/>
              <w:autoSpaceDN/>
              <w:bidi w:val="0"/>
              <w:adjustRightInd/>
              <w:snapToGrid/>
              <w:spacing w:line="300" w:lineRule="exact"/>
              <w:ind w:firstLine="406" w:firstLineChars="200"/>
              <w:jc w:val="left"/>
              <w:textAlignment w:val="auto"/>
              <w:rPr>
                <w:rFonts w:ascii="宋体" w:hAnsi="宋体" w:eastAsia="宋体" w:cs="宋体"/>
                <w:bCs/>
                <w:color w:val="000000"/>
                <w:spacing w:val="-4"/>
                <w:sz w:val="21"/>
                <w:szCs w:val="21"/>
              </w:rPr>
            </w:pPr>
            <w:r>
              <w:rPr>
                <w:rFonts w:hint="eastAsia" w:ascii="宋体" w:hAnsi="宋体" w:eastAsia="宋体" w:cs="宋体"/>
                <w:b/>
                <w:color w:val="000000"/>
                <w:spacing w:val="-4"/>
                <w:sz w:val="21"/>
                <w:szCs w:val="21"/>
                <w:lang w:eastAsia="zh-CN"/>
              </w:rPr>
              <w:t>证明材料</w:t>
            </w:r>
            <w:r>
              <w:rPr>
                <w:rFonts w:hint="eastAsia" w:ascii="宋体" w:hAnsi="宋体" w:eastAsia="宋体" w:cs="宋体"/>
                <w:b/>
                <w:color w:val="000000"/>
                <w:spacing w:val="-4"/>
                <w:sz w:val="21"/>
                <w:szCs w:val="21"/>
              </w:rPr>
              <w:t>：提供合同关键页扫描件（关键页包括签订时间、项目名称、双方盖章、服务内容等）并加盖</w:t>
            </w:r>
            <w:r>
              <w:rPr>
                <w:rFonts w:hint="eastAsia" w:ascii="宋体" w:hAnsi="宋体" w:eastAsia="宋体" w:cs="宋体"/>
                <w:b/>
                <w:bCs w:val="0"/>
                <w:color w:val="000000"/>
                <w:spacing w:val="-4"/>
                <w:sz w:val="21"/>
                <w:szCs w:val="21"/>
              </w:rPr>
              <w:t>投标供应商</w:t>
            </w:r>
            <w:r>
              <w:rPr>
                <w:rFonts w:hint="eastAsia" w:ascii="宋体" w:hAnsi="宋体" w:eastAsia="宋体" w:cs="宋体"/>
                <w:b/>
                <w:color w:val="000000"/>
                <w:spacing w:val="-4"/>
                <w:sz w:val="21"/>
                <w:szCs w:val="21"/>
              </w:rPr>
              <w:t>公章，以合同签订时间为准</w:t>
            </w:r>
            <w:r>
              <w:rPr>
                <w:rFonts w:hint="eastAsia" w:ascii="宋体" w:hAnsi="宋体" w:eastAsia="宋体" w:cs="宋体"/>
                <w:b/>
                <w:color w:val="000000"/>
                <w:spacing w:val="-4"/>
                <w:sz w:val="21"/>
                <w:szCs w:val="21"/>
                <w:lang w:eastAsia="zh-CN"/>
              </w:rPr>
              <w:t>，</w:t>
            </w:r>
            <w:r>
              <w:rPr>
                <w:rFonts w:hint="eastAsia" w:ascii="宋体" w:hAnsi="宋体" w:eastAsia="宋体" w:cs="宋体"/>
                <w:b/>
                <w:color w:val="000000"/>
                <w:spacing w:val="-4"/>
                <w:sz w:val="21"/>
                <w:szCs w:val="21"/>
              </w:rPr>
              <w:t>否则不得分。</w:t>
            </w:r>
          </w:p>
        </w:tc>
        <w:tc>
          <w:tcPr>
            <w:tcW w:w="534" w:type="dxa"/>
            <w:shd w:val="clear" w:color="auto" w:fill="FFFFFF"/>
            <w:vAlign w:val="center"/>
          </w:tcPr>
          <w:p w14:paraId="01DE5C1B">
            <w:pPr>
              <w:keepNext w:val="0"/>
              <w:keepLines w:val="0"/>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sz w:val="21"/>
                <w:szCs w:val="21"/>
              </w:rPr>
            </w:pPr>
            <w:r>
              <w:rPr>
                <w:rFonts w:hint="eastAsia" w:ascii="宋体" w:hAnsi="宋体" w:eastAsia="宋体" w:cs="宋体"/>
                <w:b/>
                <w:sz w:val="21"/>
                <w:szCs w:val="21"/>
              </w:rPr>
              <w:t>2</w:t>
            </w:r>
          </w:p>
        </w:tc>
      </w:tr>
      <w:tr w14:paraId="197D1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466" w:type="dxa"/>
            <w:vAlign w:val="center"/>
          </w:tcPr>
          <w:p w14:paraId="3422E903">
            <w:pPr>
              <w:keepNext w:val="0"/>
              <w:keepLines w:val="0"/>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sz w:val="21"/>
                <w:szCs w:val="21"/>
              </w:rPr>
            </w:pPr>
            <w:r>
              <w:rPr>
                <w:rFonts w:hint="eastAsia" w:ascii="宋体" w:hAnsi="宋体" w:eastAsia="宋体" w:cs="宋体"/>
                <w:b/>
                <w:sz w:val="21"/>
                <w:szCs w:val="21"/>
              </w:rPr>
              <w:t>2</w:t>
            </w:r>
          </w:p>
        </w:tc>
        <w:tc>
          <w:tcPr>
            <w:tcW w:w="1135" w:type="dxa"/>
            <w:vAlign w:val="center"/>
          </w:tcPr>
          <w:p w14:paraId="3A51DEBF">
            <w:pPr>
              <w:keepNext w:val="0"/>
              <w:keepLines w:val="0"/>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sz w:val="21"/>
                <w:szCs w:val="21"/>
              </w:rPr>
            </w:pPr>
            <w:r>
              <w:rPr>
                <w:rFonts w:hint="eastAsia" w:ascii="宋体" w:hAnsi="宋体" w:eastAsia="宋体" w:cs="宋体"/>
                <w:b/>
                <w:sz w:val="21"/>
                <w:szCs w:val="21"/>
              </w:rPr>
              <w:t>企业实力</w:t>
            </w:r>
          </w:p>
        </w:tc>
        <w:tc>
          <w:tcPr>
            <w:tcW w:w="7641" w:type="dxa"/>
            <w:shd w:val="clear" w:color="auto" w:fill="FFFFFF"/>
          </w:tcPr>
          <w:p w14:paraId="7FF052BA">
            <w:pPr>
              <w:keepNext w:val="0"/>
              <w:keepLines w:val="0"/>
              <w:pageBreakBefore w:val="0"/>
              <w:widowControl w:val="0"/>
              <w:numPr>
                <w:ilvl w:val="0"/>
                <w:numId w:val="0"/>
              </w:numPr>
              <w:kinsoku/>
              <w:wordWrap w:val="0"/>
              <w:overflowPunct/>
              <w:topLinePunct w:val="0"/>
              <w:autoSpaceDE/>
              <w:autoSpaceDN/>
              <w:bidi w:val="0"/>
              <w:adjustRightInd/>
              <w:snapToGrid/>
              <w:spacing w:line="300" w:lineRule="exact"/>
              <w:ind w:firstLine="404" w:firstLineChars="200"/>
              <w:jc w:val="left"/>
              <w:textAlignment w:val="auto"/>
              <w:rPr>
                <w:rFonts w:hint="eastAsia" w:ascii="宋体" w:hAnsi="宋体" w:eastAsia="宋体" w:cs="宋体"/>
                <w:bCs/>
                <w:color w:val="000000"/>
                <w:spacing w:val="-4"/>
                <w:sz w:val="21"/>
                <w:szCs w:val="21"/>
              </w:rPr>
            </w:pPr>
            <w:r>
              <w:rPr>
                <w:rFonts w:hint="eastAsia" w:ascii="宋体" w:hAnsi="宋体" w:eastAsia="宋体" w:cs="宋体"/>
                <w:bCs/>
                <w:color w:val="000000"/>
                <w:spacing w:val="-4"/>
                <w:sz w:val="21"/>
                <w:szCs w:val="21"/>
                <w:lang w:val="zh-CN"/>
              </w:rPr>
              <w:t>投标</w:t>
            </w:r>
            <w:r>
              <w:rPr>
                <w:rFonts w:hint="eastAsia" w:ascii="宋体" w:hAnsi="宋体" w:eastAsia="宋体" w:cs="宋体"/>
                <w:sz w:val="21"/>
                <w:szCs w:val="21"/>
                <w:lang w:val="zh-CN"/>
              </w:rPr>
              <w:t>供应商</w:t>
            </w:r>
            <w:r>
              <w:rPr>
                <w:rFonts w:hint="eastAsia" w:ascii="宋体" w:hAnsi="宋体" w:eastAsia="宋体" w:cs="宋体"/>
                <w:bCs/>
                <w:color w:val="000000"/>
                <w:spacing w:val="-4"/>
                <w:sz w:val="21"/>
                <w:szCs w:val="21"/>
              </w:rPr>
              <w:t>具有科学技术局颁发的智慧财务云平台及服务科技成果转化项目证书的，提供证书扫描件，得2分。</w:t>
            </w:r>
          </w:p>
          <w:p w14:paraId="3C0131A7">
            <w:pPr>
              <w:keepNext w:val="0"/>
              <w:keepLines w:val="0"/>
              <w:pageBreakBefore w:val="0"/>
              <w:widowControl w:val="0"/>
              <w:kinsoku/>
              <w:wordWrap w:val="0"/>
              <w:overflowPunct/>
              <w:topLinePunct w:val="0"/>
              <w:autoSpaceDE/>
              <w:autoSpaceDN/>
              <w:bidi w:val="0"/>
              <w:adjustRightInd/>
              <w:snapToGrid/>
              <w:spacing w:line="300" w:lineRule="exact"/>
              <w:ind w:firstLine="406" w:firstLineChars="200"/>
              <w:jc w:val="left"/>
              <w:textAlignment w:val="auto"/>
              <w:rPr>
                <w:rFonts w:hint="eastAsia" w:ascii="宋体" w:hAnsi="宋体" w:eastAsia="宋体" w:cs="宋体"/>
                <w:bCs/>
                <w:color w:val="000000"/>
                <w:spacing w:val="-4"/>
                <w:sz w:val="21"/>
                <w:szCs w:val="21"/>
                <w:lang w:val="en-US" w:eastAsia="zh-CN"/>
              </w:rPr>
            </w:pPr>
            <w:r>
              <w:rPr>
                <w:rFonts w:hint="eastAsia" w:ascii="宋体" w:hAnsi="宋体" w:eastAsia="宋体" w:cs="宋体"/>
                <w:b/>
                <w:bCs w:val="0"/>
                <w:color w:val="000000"/>
                <w:spacing w:val="-4"/>
                <w:sz w:val="21"/>
                <w:szCs w:val="21"/>
                <w:lang w:eastAsia="zh-CN"/>
              </w:rPr>
              <w:t>证明材料</w:t>
            </w:r>
            <w:r>
              <w:rPr>
                <w:rFonts w:hint="eastAsia" w:ascii="宋体" w:hAnsi="宋体" w:eastAsia="宋体" w:cs="宋体"/>
                <w:b/>
                <w:bCs w:val="0"/>
                <w:color w:val="000000"/>
                <w:spacing w:val="-4"/>
                <w:sz w:val="21"/>
                <w:szCs w:val="21"/>
              </w:rPr>
              <w:t>：</w:t>
            </w:r>
            <w:r>
              <w:rPr>
                <w:rFonts w:hint="eastAsia" w:ascii="宋体" w:hAnsi="宋体" w:eastAsia="宋体" w:cs="宋体"/>
                <w:b/>
                <w:bCs w:val="0"/>
                <w:color w:val="000000"/>
                <w:spacing w:val="-4"/>
                <w:sz w:val="21"/>
                <w:szCs w:val="21"/>
                <w:lang w:eastAsia="zh-CN"/>
              </w:rPr>
              <w:t>证书扫描件并</w:t>
            </w:r>
            <w:r>
              <w:rPr>
                <w:rFonts w:hint="eastAsia" w:ascii="宋体" w:hAnsi="宋体" w:eastAsia="宋体" w:cs="宋体"/>
                <w:b/>
                <w:bCs w:val="0"/>
                <w:color w:val="000000"/>
                <w:spacing w:val="-4"/>
                <w:sz w:val="21"/>
                <w:szCs w:val="21"/>
              </w:rPr>
              <w:t>加盖投标供应商公章</w:t>
            </w:r>
            <w:r>
              <w:rPr>
                <w:rFonts w:hint="eastAsia" w:ascii="宋体" w:hAnsi="宋体" w:eastAsia="宋体" w:cs="宋体"/>
                <w:b/>
                <w:bCs w:val="0"/>
                <w:color w:val="000000"/>
                <w:spacing w:val="-4"/>
                <w:sz w:val="21"/>
                <w:szCs w:val="21"/>
                <w:lang w:eastAsia="zh-CN"/>
              </w:rPr>
              <w:t>，</w:t>
            </w:r>
            <w:r>
              <w:rPr>
                <w:rFonts w:hint="eastAsia" w:ascii="宋体" w:hAnsi="宋体" w:eastAsia="宋体" w:cs="宋体"/>
                <w:b/>
                <w:bCs w:val="0"/>
                <w:color w:val="000000"/>
                <w:spacing w:val="-4"/>
                <w:sz w:val="21"/>
                <w:szCs w:val="21"/>
              </w:rPr>
              <w:t>未按要求提供材料的不得分。</w:t>
            </w:r>
          </w:p>
        </w:tc>
        <w:tc>
          <w:tcPr>
            <w:tcW w:w="534" w:type="dxa"/>
            <w:shd w:val="clear" w:color="auto" w:fill="FFFFFF"/>
            <w:vAlign w:val="center"/>
          </w:tcPr>
          <w:p w14:paraId="41A2B16A">
            <w:pPr>
              <w:keepNext w:val="0"/>
              <w:keepLines w:val="0"/>
              <w:pageBreakBefore w:val="0"/>
              <w:widowControl w:val="0"/>
              <w:kinsoku/>
              <w:overflowPunct/>
              <w:topLinePunct w:val="0"/>
              <w:autoSpaceDE/>
              <w:autoSpaceDN/>
              <w:bidi w:val="0"/>
              <w:adjustRightInd/>
              <w:snapToGrid/>
              <w:spacing w:line="300" w:lineRule="exact"/>
              <w:jc w:val="center"/>
              <w:textAlignment w:val="auto"/>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2</w:t>
            </w:r>
          </w:p>
        </w:tc>
      </w:tr>
      <w:tr w14:paraId="7417C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3" w:hRule="atLeast"/>
          <w:jc w:val="center"/>
        </w:trPr>
        <w:tc>
          <w:tcPr>
            <w:tcW w:w="466" w:type="dxa"/>
            <w:vAlign w:val="center"/>
          </w:tcPr>
          <w:p w14:paraId="50A95BE0">
            <w:pPr>
              <w:keepNext w:val="0"/>
              <w:keepLines w:val="0"/>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sz w:val="21"/>
                <w:szCs w:val="21"/>
              </w:rPr>
            </w:pPr>
            <w:r>
              <w:rPr>
                <w:rFonts w:hint="eastAsia" w:ascii="宋体" w:hAnsi="宋体" w:eastAsia="宋体" w:cs="宋体"/>
                <w:b/>
                <w:sz w:val="21"/>
                <w:szCs w:val="21"/>
              </w:rPr>
              <w:t>3</w:t>
            </w:r>
          </w:p>
        </w:tc>
        <w:tc>
          <w:tcPr>
            <w:tcW w:w="1135" w:type="dxa"/>
            <w:vMerge w:val="restart"/>
            <w:vAlign w:val="center"/>
          </w:tcPr>
          <w:p w14:paraId="0C368DB3">
            <w:pPr>
              <w:keepNext w:val="0"/>
              <w:keepLines w:val="0"/>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kern w:val="2"/>
                <w:sz w:val="21"/>
                <w:szCs w:val="21"/>
                <w:lang w:bidi="ar"/>
              </w:rPr>
            </w:pPr>
            <w:r>
              <w:rPr>
                <w:rFonts w:hint="eastAsia" w:ascii="宋体" w:hAnsi="宋体" w:eastAsia="宋体" w:cs="宋体"/>
                <w:b/>
                <w:kern w:val="2"/>
                <w:sz w:val="21"/>
                <w:szCs w:val="21"/>
                <w:lang w:bidi="ar"/>
              </w:rPr>
              <w:t>技术参数响应</w:t>
            </w:r>
          </w:p>
        </w:tc>
        <w:tc>
          <w:tcPr>
            <w:tcW w:w="7641" w:type="dxa"/>
            <w:shd w:val="clear" w:color="auto" w:fill="FFFFFF"/>
            <w:vAlign w:val="center"/>
          </w:tcPr>
          <w:p w14:paraId="23E6C008">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sz w:val="21"/>
                <w:szCs w:val="21"/>
                <w:shd w:val="clear"/>
                <w:lang w:val="zh-CN"/>
              </w:rPr>
            </w:pPr>
            <w:r>
              <w:rPr>
                <w:rFonts w:hint="eastAsia" w:ascii="宋体" w:hAnsi="宋体" w:eastAsia="宋体" w:cs="宋体"/>
                <w:sz w:val="21"/>
                <w:szCs w:val="21"/>
                <w:shd w:val="clear"/>
                <w:lang w:val="zh-CN"/>
              </w:rPr>
              <w:t>根据投标人所投产品的“▲”号技术参数响应程度进行评审，</w:t>
            </w:r>
            <w:r>
              <w:rPr>
                <w:rFonts w:hint="eastAsia" w:ascii="宋体" w:hAnsi="宋体" w:eastAsia="宋体" w:cs="宋体"/>
                <w:sz w:val="21"/>
                <w:szCs w:val="21"/>
                <w:shd w:val="clear"/>
                <w:lang w:val="en-US" w:eastAsia="zh-CN"/>
              </w:rPr>
              <w:t>共计19项</w:t>
            </w:r>
            <w:r>
              <w:rPr>
                <w:rFonts w:hint="eastAsia" w:ascii="宋体" w:hAnsi="宋体" w:eastAsia="宋体" w:cs="宋体"/>
                <w:sz w:val="21"/>
                <w:szCs w:val="21"/>
                <w:shd w:val="clear"/>
                <w:lang w:val="zh-CN"/>
              </w:rPr>
              <w:t>，完全满足，得</w:t>
            </w:r>
            <w:r>
              <w:rPr>
                <w:rFonts w:hint="eastAsia" w:ascii="宋体" w:hAnsi="宋体" w:eastAsia="宋体" w:cs="宋体"/>
                <w:sz w:val="21"/>
                <w:szCs w:val="21"/>
                <w:shd w:val="clear"/>
                <w:lang w:val="en-US" w:eastAsia="zh-CN"/>
              </w:rPr>
              <w:t>38</w:t>
            </w:r>
            <w:r>
              <w:rPr>
                <w:rFonts w:hint="eastAsia" w:ascii="宋体" w:hAnsi="宋体" w:eastAsia="宋体" w:cs="宋体"/>
                <w:sz w:val="21"/>
                <w:szCs w:val="21"/>
                <w:shd w:val="clear"/>
                <w:lang w:val="zh-CN"/>
              </w:rPr>
              <w:t>；每有一项带“▲”号参数负偏离扣</w:t>
            </w:r>
            <w:r>
              <w:rPr>
                <w:rFonts w:hint="eastAsia" w:ascii="宋体" w:hAnsi="宋体" w:eastAsia="宋体" w:cs="宋体"/>
                <w:sz w:val="21"/>
                <w:szCs w:val="21"/>
                <w:shd w:val="clear"/>
                <w:lang w:val="en-US" w:eastAsia="zh-CN"/>
              </w:rPr>
              <w:t>2</w:t>
            </w:r>
            <w:r>
              <w:rPr>
                <w:rFonts w:hint="eastAsia" w:ascii="宋体" w:hAnsi="宋体" w:eastAsia="宋体" w:cs="宋体"/>
                <w:sz w:val="21"/>
                <w:szCs w:val="21"/>
                <w:shd w:val="clear"/>
                <w:lang w:val="zh-CN"/>
              </w:rPr>
              <w:t xml:space="preserve">分，扣完为止。 </w:t>
            </w:r>
          </w:p>
          <w:p w14:paraId="575EAC7A">
            <w:pPr>
              <w:keepNext w:val="0"/>
              <w:keepLines w:val="0"/>
              <w:pageBreakBefore w:val="0"/>
              <w:widowControl w:val="0"/>
              <w:kinsoku/>
              <w:wordWrap w:val="0"/>
              <w:overflowPunct/>
              <w:topLinePunct w:val="0"/>
              <w:autoSpaceDE/>
              <w:autoSpaceDN/>
              <w:bidi w:val="0"/>
              <w:adjustRightInd/>
              <w:snapToGrid/>
              <w:spacing w:line="300" w:lineRule="exact"/>
              <w:ind w:firstLine="422" w:firstLineChars="200"/>
              <w:jc w:val="left"/>
              <w:textAlignment w:val="auto"/>
              <w:rPr>
                <w:rFonts w:ascii="宋体" w:hAnsi="宋体" w:eastAsia="宋体" w:cs="宋体"/>
                <w:b/>
                <w:bCs/>
                <w:sz w:val="21"/>
                <w:szCs w:val="21"/>
                <w:lang w:val="zh-CN"/>
              </w:rPr>
            </w:pPr>
            <w:r>
              <w:rPr>
                <w:rFonts w:hint="eastAsia" w:ascii="宋体" w:hAnsi="宋体" w:eastAsia="宋体" w:cs="宋体"/>
                <w:b/>
                <w:bCs/>
                <w:sz w:val="21"/>
                <w:szCs w:val="21"/>
                <w:lang w:val="zh-CN"/>
              </w:rPr>
              <w:t>注：</w:t>
            </w:r>
          </w:p>
          <w:p w14:paraId="6661A8A1">
            <w:pPr>
              <w:keepNext w:val="0"/>
              <w:keepLines w:val="0"/>
              <w:pageBreakBefore w:val="0"/>
              <w:widowControl w:val="0"/>
              <w:kinsoku/>
              <w:wordWrap w:val="0"/>
              <w:overflowPunct/>
              <w:topLinePunct w:val="0"/>
              <w:autoSpaceDE/>
              <w:autoSpaceDN/>
              <w:bidi w:val="0"/>
              <w:adjustRightInd/>
              <w:snapToGrid/>
              <w:spacing w:line="300" w:lineRule="exact"/>
              <w:ind w:firstLine="422" w:firstLineChars="200"/>
              <w:jc w:val="left"/>
              <w:textAlignment w:val="auto"/>
              <w:rPr>
                <w:rFonts w:ascii="宋体" w:hAnsi="宋体" w:eastAsia="宋体" w:cs="宋体"/>
                <w:b/>
                <w:bCs/>
                <w:sz w:val="21"/>
                <w:szCs w:val="21"/>
                <w:lang w:val="zh-CN"/>
              </w:rPr>
            </w:pPr>
            <w:r>
              <w:rPr>
                <w:rFonts w:hint="eastAsia" w:ascii="宋体" w:hAnsi="宋体" w:eastAsia="宋体" w:cs="宋体"/>
                <w:b/>
                <w:bCs/>
                <w:sz w:val="21"/>
                <w:szCs w:val="21"/>
                <w:lang w:val="zh-CN"/>
              </w:rPr>
              <w:t>1.带“★”的为实质性参数要求不参与评分，任意1条不满足即视为投标无效。</w:t>
            </w:r>
          </w:p>
          <w:p w14:paraId="4B8F0B65">
            <w:pPr>
              <w:keepNext w:val="0"/>
              <w:keepLines w:val="0"/>
              <w:pageBreakBefore w:val="0"/>
              <w:widowControl w:val="0"/>
              <w:kinsoku/>
              <w:wordWrap w:val="0"/>
              <w:overflowPunct/>
              <w:topLinePunct w:val="0"/>
              <w:autoSpaceDE/>
              <w:autoSpaceDN/>
              <w:bidi w:val="0"/>
              <w:adjustRightInd/>
              <w:snapToGrid/>
              <w:spacing w:line="300" w:lineRule="exact"/>
              <w:ind w:firstLine="422" w:firstLineChars="200"/>
              <w:jc w:val="left"/>
              <w:textAlignment w:val="auto"/>
              <w:rPr>
                <w:rFonts w:ascii="宋体" w:hAnsi="宋体" w:eastAsia="宋体" w:cs="宋体"/>
                <w:b/>
                <w:bCs/>
                <w:sz w:val="21"/>
                <w:szCs w:val="21"/>
                <w:lang w:val="zh-CN"/>
              </w:rPr>
            </w:pPr>
            <w:r>
              <w:rPr>
                <w:rFonts w:hint="eastAsia" w:ascii="宋体" w:hAnsi="宋体" w:eastAsia="宋体" w:cs="宋体"/>
                <w:b/>
                <w:bCs/>
                <w:sz w:val="21"/>
                <w:szCs w:val="21"/>
                <w:lang w:val="zh-CN"/>
              </w:rPr>
              <w:t>2.如采购需求中有明确提供证明资料或演示的，则以采购需求要求为准，未按要求提供证明材料或演示/证明材料或演示不满足参数要求则不得分；如采购需求中无明确证明材料或演示的，以投标人的投标文件《技术和服务要求响应表》中的响应情况填写内容为准，未填写或不满足的视为负偏离。</w:t>
            </w:r>
          </w:p>
          <w:p w14:paraId="49B4F28A">
            <w:pPr>
              <w:keepNext w:val="0"/>
              <w:keepLines w:val="0"/>
              <w:pageBreakBefore w:val="0"/>
              <w:widowControl w:val="0"/>
              <w:kinsoku/>
              <w:wordWrap w:val="0"/>
              <w:overflowPunct/>
              <w:topLinePunct w:val="0"/>
              <w:autoSpaceDE/>
              <w:autoSpaceDN/>
              <w:bidi w:val="0"/>
              <w:adjustRightInd/>
              <w:snapToGrid/>
              <w:spacing w:line="300" w:lineRule="exact"/>
              <w:ind w:firstLine="422" w:firstLineChars="200"/>
              <w:jc w:val="left"/>
              <w:textAlignment w:val="auto"/>
              <w:rPr>
                <w:rFonts w:ascii="宋体" w:hAnsi="宋体" w:eastAsia="宋体" w:cs="宋体"/>
                <w:b/>
                <w:bCs/>
                <w:sz w:val="21"/>
                <w:szCs w:val="21"/>
                <w:lang w:val="zh-CN"/>
              </w:rPr>
            </w:pPr>
            <w:r>
              <w:rPr>
                <w:rFonts w:hint="eastAsia" w:ascii="宋体" w:hAnsi="宋体" w:eastAsia="宋体" w:cs="宋体"/>
                <w:b/>
                <w:bCs/>
                <w:sz w:val="21"/>
                <w:szCs w:val="21"/>
                <w:lang w:val="zh-CN"/>
              </w:rPr>
              <w:t>3.</w:t>
            </w:r>
            <w:r>
              <w:rPr>
                <w:rFonts w:hint="eastAsia" w:ascii="宋体" w:hAnsi="宋体" w:eastAsia="宋体" w:cs="宋体"/>
                <w:b/>
                <w:bCs/>
                <w:sz w:val="21"/>
                <w:szCs w:val="21"/>
              </w:rPr>
              <w:t>必须使用真实的产品操作，演示技术参数要求内容，</w:t>
            </w:r>
            <w:r>
              <w:rPr>
                <w:rFonts w:hint="eastAsia" w:ascii="宋体" w:hAnsi="宋体" w:eastAsia="宋体" w:cs="宋体"/>
                <w:b/>
                <w:bCs/>
                <w:sz w:val="21"/>
                <w:szCs w:val="21"/>
                <w:lang w:val="zh-CN"/>
              </w:rPr>
              <w:t>演示时间不超过25分钟，并提供承诺书，承诺演示的为真实产品。无现场演示、演示视频及承诺书者作无效标处理。</w:t>
            </w:r>
          </w:p>
          <w:p w14:paraId="0DF71256">
            <w:pPr>
              <w:keepNext w:val="0"/>
              <w:keepLines w:val="0"/>
              <w:pageBreakBefore w:val="0"/>
              <w:widowControl w:val="0"/>
              <w:kinsoku/>
              <w:wordWrap w:val="0"/>
              <w:overflowPunct/>
              <w:topLinePunct w:val="0"/>
              <w:autoSpaceDE/>
              <w:autoSpaceDN/>
              <w:bidi w:val="0"/>
              <w:adjustRightInd/>
              <w:snapToGrid/>
              <w:spacing w:line="300" w:lineRule="exact"/>
              <w:ind w:firstLine="422" w:firstLineChars="200"/>
              <w:jc w:val="left"/>
              <w:textAlignment w:val="auto"/>
              <w:rPr>
                <w:rFonts w:ascii="宋体" w:hAnsi="宋体" w:eastAsia="宋体" w:cs="宋体"/>
                <w:b/>
                <w:bCs/>
                <w:sz w:val="21"/>
                <w:szCs w:val="21"/>
              </w:rPr>
            </w:pPr>
            <w:r>
              <w:rPr>
                <w:rFonts w:hint="eastAsia" w:ascii="宋体" w:hAnsi="宋体" w:eastAsia="宋体" w:cs="宋体"/>
                <w:b/>
                <w:bCs/>
                <w:sz w:val="21"/>
                <w:szCs w:val="21"/>
              </w:rPr>
              <w:t>4.投标人将演示视频上传到苏采云系统、盖有投标人公章的承诺书、现场演示负责人身份证扫描件及授权委托书等。</w:t>
            </w:r>
          </w:p>
          <w:p w14:paraId="1CBFF241">
            <w:pPr>
              <w:keepNext w:val="0"/>
              <w:keepLines w:val="0"/>
              <w:pageBreakBefore w:val="0"/>
              <w:widowControl w:val="0"/>
              <w:kinsoku/>
              <w:wordWrap w:val="0"/>
              <w:overflowPunct/>
              <w:topLinePunct w:val="0"/>
              <w:autoSpaceDE/>
              <w:autoSpaceDN/>
              <w:bidi w:val="0"/>
              <w:adjustRightInd/>
              <w:snapToGrid/>
              <w:spacing w:line="300" w:lineRule="exact"/>
              <w:ind w:firstLine="422" w:firstLineChars="200"/>
              <w:jc w:val="left"/>
              <w:textAlignment w:val="auto"/>
              <w:rPr>
                <w:rFonts w:ascii="宋体" w:hAnsi="宋体" w:eastAsia="宋体" w:cs="宋体"/>
                <w:b/>
                <w:bCs/>
                <w:sz w:val="21"/>
                <w:szCs w:val="21"/>
                <w:lang w:val="zh-CN"/>
              </w:rPr>
            </w:pPr>
            <w:r>
              <w:rPr>
                <w:rFonts w:hint="eastAsia" w:ascii="宋体" w:hAnsi="宋体" w:eastAsia="宋体" w:cs="宋体"/>
                <w:b/>
                <w:bCs/>
                <w:sz w:val="21"/>
                <w:szCs w:val="21"/>
                <w:lang w:val="zh-CN"/>
              </w:rPr>
              <w:t>注：</w:t>
            </w:r>
          </w:p>
          <w:p w14:paraId="592210CA">
            <w:pPr>
              <w:keepNext w:val="0"/>
              <w:keepLines w:val="0"/>
              <w:pageBreakBefore w:val="0"/>
              <w:widowControl w:val="0"/>
              <w:kinsoku/>
              <w:wordWrap w:val="0"/>
              <w:overflowPunct/>
              <w:topLinePunct w:val="0"/>
              <w:autoSpaceDE/>
              <w:autoSpaceDN/>
              <w:bidi w:val="0"/>
              <w:adjustRightInd/>
              <w:snapToGrid/>
              <w:spacing w:line="300" w:lineRule="exact"/>
              <w:ind w:firstLine="422" w:firstLineChars="200"/>
              <w:jc w:val="left"/>
              <w:textAlignment w:val="auto"/>
              <w:rPr>
                <w:rFonts w:ascii="宋体" w:hAnsi="宋体" w:eastAsia="宋体" w:cs="宋体"/>
                <w:b/>
                <w:bCs/>
                <w:sz w:val="21"/>
                <w:szCs w:val="21"/>
                <w:lang w:val="zh-CN"/>
              </w:rPr>
            </w:pPr>
            <w:r>
              <w:rPr>
                <w:rFonts w:hint="eastAsia" w:ascii="宋体" w:hAnsi="宋体" w:eastAsia="宋体" w:cs="宋体"/>
                <w:b/>
                <w:bCs/>
                <w:sz w:val="21"/>
                <w:szCs w:val="21"/>
                <w:lang w:val="zh-CN"/>
              </w:rPr>
              <w:t>①评标委员会以现场演示内容为准进行打分，苏采云系统中上传的视频作为参考。</w:t>
            </w:r>
          </w:p>
          <w:p w14:paraId="069BC9F4">
            <w:pPr>
              <w:keepNext w:val="0"/>
              <w:keepLines w:val="0"/>
              <w:pageBreakBefore w:val="0"/>
              <w:widowControl w:val="0"/>
              <w:kinsoku/>
              <w:wordWrap w:val="0"/>
              <w:overflowPunct/>
              <w:topLinePunct w:val="0"/>
              <w:autoSpaceDE/>
              <w:autoSpaceDN/>
              <w:bidi w:val="0"/>
              <w:adjustRightInd/>
              <w:snapToGrid/>
              <w:spacing w:line="300" w:lineRule="exact"/>
              <w:ind w:firstLine="422" w:firstLineChars="200"/>
              <w:jc w:val="left"/>
              <w:textAlignment w:val="auto"/>
              <w:rPr>
                <w:lang w:val="zh-CN"/>
              </w:rPr>
            </w:pPr>
            <w:r>
              <w:rPr>
                <w:rFonts w:hint="eastAsia" w:ascii="宋体" w:hAnsi="宋体" w:eastAsia="宋体" w:cs="宋体"/>
                <w:b/>
                <w:bCs/>
                <w:sz w:val="21"/>
                <w:szCs w:val="21"/>
                <w:lang w:val="zh-CN"/>
              </w:rPr>
              <w:t>②因投标人原因，造成的视频不清晰、不能正常播放、现场自备设备故障等，影响评委评审，后果由投标人自行承担。</w:t>
            </w:r>
          </w:p>
        </w:tc>
        <w:tc>
          <w:tcPr>
            <w:tcW w:w="534" w:type="dxa"/>
            <w:shd w:val="clear" w:color="auto" w:fill="FFFFFF"/>
            <w:vAlign w:val="center"/>
          </w:tcPr>
          <w:p w14:paraId="3DC97199">
            <w:pPr>
              <w:keepNext w:val="0"/>
              <w:keepLines w:val="0"/>
              <w:pageBreakBefore w:val="0"/>
              <w:widowControl w:val="0"/>
              <w:kinsoku/>
              <w:overflowPunct/>
              <w:topLinePunct w:val="0"/>
              <w:autoSpaceDE/>
              <w:autoSpaceDN/>
              <w:bidi w:val="0"/>
              <w:adjustRightInd/>
              <w:snapToGrid/>
              <w:spacing w:line="300" w:lineRule="exact"/>
              <w:jc w:val="center"/>
              <w:textAlignment w:val="auto"/>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38</w:t>
            </w:r>
          </w:p>
        </w:tc>
      </w:tr>
      <w:tr w14:paraId="70142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66" w:type="dxa"/>
            <w:vAlign w:val="center"/>
          </w:tcPr>
          <w:p w14:paraId="72A78428">
            <w:pPr>
              <w:keepNext w:val="0"/>
              <w:keepLines w:val="0"/>
              <w:pageBreakBefore w:val="0"/>
              <w:widowControl w:val="0"/>
              <w:kinsoku/>
              <w:overflowPunct/>
              <w:topLinePunct w:val="0"/>
              <w:autoSpaceDE/>
              <w:autoSpaceDN/>
              <w:bidi w:val="0"/>
              <w:adjustRightInd/>
              <w:snapToGrid/>
              <w:spacing w:line="300" w:lineRule="exact"/>
              <w:jc w:val="center"/>
              <w:textAlignment w:val="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4</w:t>
            </w:r>
          </w:p>
        </w:tc>
        <w:tc>
          <w:tcPr>
            <w:tcW w:w="1135" w:type="dxa"/>
            <w:vMerge w:val="continue"/>
            <w:vAlign w:val="center"/>
          </w:tcPr>
          <w:p w14:paraId="3EC62B5D">
            <w:pPr>
              <w:keepNext w:val="0"/>
              <w:keepLines w:val="0"/>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kern w:val="2"/>
                <w:sz w:val="21"/>
                <w:szCs w:val="21"/>
                <w:lang w:bidi="ar"/>
              </w:rPr>
            </w:pPr>
          </w:p>
        </w:tc>
        <w:tc>
          <w:tcPr>
            <w:tcW w:w="7641" w:type="dxa"/>
            <w:shd w:val="clear" w:color="auto" w:fill="FFFFFF"/>
          </w:tcPr>
          <w:p w14:paraId="6F97A081">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sz w:val="21"/>
                <w:szCs w:val="21"/>
                <w:lang w:val="zh-CN"/>
              </w:rPr>
            </w:pPr>
            <w:r>
              <w:rPr>
                <w:rFonts w:hint="eastAsia" w:ascii="宋体" w:hAnsi="宋体" w:eastAsia="宋体" w:cs="宋体"/>
                <w:sz w:val="21"/>
                <w:szCs w:val="21"/>
                <w:lang w:val="zh-CN"/>
              </w:rPr>
              <w:t>根据非“★”和非“▲”一般条款的全部内容响应情况进行评审：完全满足，得</w:t>
            </w:r>
            <w:r>
              <w:rPr>
                <w:rFonts w:hint="eastAsia" w:ascii="宋体" w:hAnsi="宋体" w:eastAsia="宋体" w:cs="宋体"/>
                <w:sz w:val="21"/>
                <w:szCs w:val="21"/>
                <w:lang w:val="en-US" w:eastAsia="zh-CN"/>
              </w:rPr>
              <w:t>10</w:t>
            </w:r>
            <w:r>
              <w:rPr>
                <w:rFonts w:hint="eastAsia" w:ascii="宋体" w:hAnsi="宋体" w:eastAsia="宋体" w:cs="宋体"/>
                <w:sz w:val="21"/>
                <w:szCs w:val="21"/>
                <w:lang w:val="zh-CN"/>
              </w:rPr>
              <w:t>分；有1项不能响应或负偏离扣0.5分，本项分值扣完为止。</w:t>
            </w:r>
          </w:p>
          <w:p w14:paraId="11F811FE">
            <w:pPr>
              <w:keepNext w:val="0"/>
              <w:keepLines w:val="0"/>
              <w:pageBreakBefore w:val="0"/>
              <w:widowControl w:val="0"/>
              <w:kinsoku/>
              <w:wordWrap w:val="0"/>
              <w:overflowPunct/>
              <w:topLinePunct w:val="0"/>
              <w:autoSpaceDE/>
              <w:autoSpaceDN/>
              <w:bidi w:val="0"/>
              <w:adjustRightInd/>
              <w:snapToGrid/>
              <w:spacing w:line="300" w:lineRule="exact"/>
              <w:ind w:firstLine="422" w:firstLineChars="200"/>
              <w:jc w:val="left"/>
              <w:textAlignment w:val="auto"/>
              <w:rPr>
                <w:rFonts w:hint="eastAsia" w:ascii="宋体" w:hAnsi="宋体" w:eastAsia="宋体" w:cs="宋体"/>
                <w:b/>
                <w:bCs/>
                <w:sz w:val="21"/>
                <w:szCs w:val="21"/>
                <w:lang w:val="zh-CN"/>
              </w:rPr>
            </w:pPr>
            <w:r>
              <w:rPr>
                <w:rFonts w:hint="eastAsia" w:ascii="宋体" w:hAnsi="宋体" w:eastAsia="宋体" w:cs="宋体"/>
                <w:b/>
                <w:bCs/>
                <w:sz w:val="21"/>
                <w:szCs w:val="21"/>
                <w:lang w:val="zh-CN"/>
              </w:rPr>
              <w:t>注：如采购需求中无明确证明材料或现场演示的，以投标人的投标文件《技术和服务要求响应表》中的响应情况填写内容为准，未填写或不满足的视为负偏离。</w:t>
            </w:r>
          </w:p>
        </w:tc>
        <w:tc>
          <w:tcPr>
            <w:tcW w:w="534" w:type="dxa"/>
            <w:shd w:val="clear" w:color="auto" w:fill="FFFFFF"/>
            <w:vAlign w:val="center"/>
          </w:tcPr>
          <w:p w14:paraId="2629A5D2">
            <w:pPr>
              <w:keepNext w:val="0"/>
              <w:keepLines w:val="0"/>
              <w:pageBreakBefore w:val="0"/>
              <w:widowControl w:val="0"/>
              <w:kinsoku/>
              <w:overflowPunct/>
              <w:topLinePunct w:val="0"/>
              <w:autoSpaceDE/>
              <w:autoSpaceDN/>
              <w:bidi w:val="0"/>
              <w:adjustRightInd/>
              <w:snapToGrid/>
              <w:spacing w:line="300" w:lineRule="exact"/>
              <w:jc w:val="center"/>
              <w:textAlignment w:val="auto"/>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10</w:t>
            </w:r>
          </w:p>
        </w:tc>
      </w:tr>
      <w:tr w14:paraId="379E8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466" w:type="dxa"/>
            <w:vAlign w:val="center"/>
          </w:tcPr>
          <w:p w14:paraId="16CDD5A1">
            <w:pPr>
              <w:keepNext w:val="0"/>
              <w:keepLines w:val="0"/>
              <w:pageBreakBefore w:val="0"/>
              <w:widowControl w:val="0"/>
              <w:kinsoku/>
              <w:overflowPunct/>
              <w:topLinePunct w:val="0"/>
              <w:autoSpaceDE/>
              <w:autoSpaceDN/>
              <w:bidi w:val="0"/>
              <w:adjustRightInd/>
              <w:snapToGrid/>
              <w:spacing w:line="300" w:lineRule="exact"/>
              <w:jc w:val="center"/>
              <w:textAlignment w:val="auto"/>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5</w:t>
            </w:r>
          </w:p>
        </w:tc>
        <w:tc>
          <w:tcPr>
            <w:tcW w:w="1135" w:type="dxa"/>
            <w:vMerge w:val="restart"/>
            <w:vAlign w:val="center"/>
          </w:tcPr>
          <w:p w14:paraId="1381D576">
            <w:pPr>
              <w:keepNext w:val="0"/>
              <w:keepLines w:val="0"/>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kern w:val="2"/>
                <w:sz w:val="21"/>
                <w:szCs w:val="21"/>
                <w:lang w:bidi="ar"/>
              </w:rPr>
            </w:pPr>
            <w:r>
              <w:rPr>
                <w:rFonts w:hint="eastAsia" w:ascii="宋体" w:hAnsi="宋体" w:eastAsia="宋体" w:cs="宋体"/>
                <w:b/>
                <w:kern w:val="2"/>
                <w:sz w:val="21"/>
                <w:szCs w:val="21"/>
                <w:lang w:bidi="ar"/>
              </w:rPr>
              <w:t>服务承诺</w:t>
            </w:r>
          </w:p>
          <w:p w14:paraId="0290C461">
            <w:pPr>
              <w:keepNext w:val="0"/>
              <w:keepLines w:val="0"/>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kern w:val="2"/>
                <w:sz w:val="21"/>
                <w:szCs w:val="21"/>
                <w:lang w:bidi="ar"/>
              </w:rPr>
            </w:pPr>
          </w:p>
        </w:tc>
        <w:tc>
          <w:tcPr>
            <w:tcW w:w="7641" w:type="dxa"/>
            <w:shd w:val="clear" w:color="auto" w:fill="FFFFFF"/>
            <w:vAlign w:val="center"/>
          </w:tcPr>
          <w:p w14:paraId="24A18FC9">
            <w:pPr>
              <w:keepNext w:val="0"/>
              <w:keepLines w:val="0"/>
              <w:pageBreakBefore w:val="0"/>
              <w:widowControl w:val="0"/>
              <w:kinsoku/>
              <w:wordWrap w:val="0"/>
              <w:overflowPunct/>
              <w:topLinePunct w:val="0"/>
              <w:autoSpaceDE/>
              <w:autoSpaceDN/>
              <w:bidi w:val="0"/>
              <w:adjustRightInd/>
              <w:snapToGrid/>
              <w:spacing w:line="300" w:lineRule="exact"/>
              <w:ind w:firstLine="406" w:firstLineChars="200"/>
              <w:jc w:val="left"/>
              <w:textAlignment w:val="auto"/>
              <w:rPr>
                <w:rFonts w:ascii="宋体" w:hAnsi="宋体" w:eastAsia="宋体" w:cs="宋体"/>
                <w:sz w:val="21"/>
                <w:szCs w:val="21"/>
                <w:lang w:val="zh-CN"/>
              </w:rPr>
            </w:pPr>
            <w:r>
              <w:rPr>
                <w:rFonts w:hint="eastAsia" w:ascii="宋体" w:hAnsi="宋体" w:eastAsia="宋体" w:cs="宋体"/>
                <w:b/>
                <w:color w:val="000000"/>
                <w:spacing w:val="-4"/>
                <w:sz w:val="21"/>
                <w:szCs w:val="21"/>
              </w:rPr>
              <w:t>1.项</w:t>
            </w:r>
            <w:r>
              <w:rPr>
                <w:rFonts w:hint="eastAsia" w:ascii="宋体" w:hAnsi="宋体" w:eastAsia="宋体" w:cs="宋体"/>
                <w:b/>
                <w:sz w:val="21"/>
                <w:szCs w:val="21"/>
                <w:lang w:val="zh-CN"/>
              </w:rPr>
              <w:t>目实施方案：项目实施方案应包括进度安排、人员安排、供货、安装调试、试运行、验收等内容：</w:t>
            </w:r>
          </w:p>
          <w:p w14:paraId="5D2AF1EA">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sz w:val="21"/>
                <w:szCs w:val="21"/>
                <w:lang w:val="zh-CN"/>
              </w:rPr>
            </w:pPr>
            <w:r>
              <w:rPr>
                <w:rFonts w:hint="eastAsia" w:ascii="宋体" w:hAnsi="宋体" w:eastAsia="宋体" w:cs="宋体"/>
                <w:sz w:val="21"/>
                <w:szCs w:val="21"/>
                <w:lang w:val="zh-CN"/>
              </w:rPr>
              <w:t>①方案内容详细完整，能贴合采购人需求，合理可行、针对性强的，得6分；</w:t>
            </w:r>
          </w:p>
          <w:p w14:paraId="4743DADB">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sz w:val="21"/>
                <w:szCs w:val="21"/>
                <w:lang w:val="zh-CN"/>
              </w:rPr>
            </w:pPr>
            <w:r>
              <w:rPr>
                <w:rFonts w:hint="eastAsia" w:ascii="宋体" w:hAnsi="宋体" w:eastAsia="宋体" w:cs="宋体"/>
                <w:sz w:val="21"/>
                <w:szCs w:val="21"/>
                <w:lang w:val="zh-CN"/>
              </w:rPr>
              <w:t>②方案内容基本完整，但表述一般，具有一定的合理性、可行性、针对性的，得3分；</w:t>
            </w:r>
          </w:p>
          <w:p w14:paraId="4C4A3BB1">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sz w:val="21"/>
                <w:szCs w:val="21"/>
                <w:lang w:val="zh-CN"/>
              </w:rPr>
            </w:pPr>
            <w:r>
              <w:rPr>
                <w:rFonts w:hint="eastAsia" w:ascii="宋体" w:hAnsi="宋体" w:eastAsia="宋体" w:cs="宋体"/>
                <w:sz w:val="21"/>
                <w:szCs w:val="21"/>
                <w:lang w:val="zh-CN"/>
              </w:rPr>
              <w:t>③方案内容有缺失，或合理性、可行性、针对性差的，得1分；</w:t>
            </w:r>
          </w:p>
          <w:p w14:paraId="5CEE790F">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bCs/>
                <w:color w:val="000000"/>
                <w:spacing w:val="-4"/>
                <w:sz w:val="21"/>
                <w:szCs w:val="21"/>
                <w:lang w:val="zh-CN"/>
              </w:rPr>
            </w:pPr>
            <w:r>
              <w:rPr>
                <w:rFonts w:hint="eastAsia" w:ascii="宋体" w:hAnsi="宋体" w:eastAsia="宋体" w:cs="宋体"/>
                <w:sz w:val="21"/>
                <w:szCs w:val="21"/>
                <w:lang w:val="zh-CN"/>
              </w:rPr>
              <w:t>④不提供不得分。</w:t>
            </w:r>
          </w:p>
        </w:tc>
        <w:tc>
          <w:tcPr>
            <w:tcW w:w="534" w:type="dxa"/>
            <w:shd w:val="clear" w:color="auto" w:fill="FFFFFF"/>
            <w:vAlign w:val="center"/>
          </w:tcPr>
          <w:p w14:paraId="79FA4B68">
            <w:pPr>
              <w:keepNext w:val="0"/>
              <w:keepLines w:val="0"/>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sz w:val="21"/>
                <w:szCs w:val="21"/>
              </w:rPr>
            </w:pPr>
            <w:r>
              <w:rPr>
                <w:rFonts w:hint="eastAsia" w:ascii="宋体" w:hAnsi="宋体" w:eastAsia="宋体" w:cs="宋体"/>
                <w:b/>
                <w:sz w:val="21"/>
                <w:szCs w:val="21"/>
              </w:rPr>
              <w:t>6</w:t>
            </w:r>
          </w:p>
        </w:tc>
      </w:tr>
      <w:tr w14:paraId="19FED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466" w:type="dxa"/>
            <w:vAlign w:val="center"/>
          </w:tcPr>
          <w:p w14:paraId="3CA16489">
            <w:pPr>
              <w:keepNext w:val="0"/>
              <w:keepLines w:val="0"/>
              <w:pageBreakBefore w:val="0"/>
              <w:widowControl w:val="0"/>
              <w:kinsoku/>
              <w:overflowPunct/>
              <w:topLinePunct w:val="0"/>
              <w:autoSpaceDE/>
              <w:autoSpaceDN/>
              <w:bidi w:val="0"/>
              <w:adjustRightInd/>
              <w:snapToGrid/>
              <w:spacing w:line="300" w:lineRule="exact"/>
              <w:jc w:val="center"/>
              <w:textAlignment w:val="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6</w:t>
            </w:r>
          </w:p>
        </w:tc>
        <w:tc>
          <w:tcPr>
            <w:tcW w:w="1135" w:type="dxa"/>
            <w:vMerge w:val="continue"/>
            <w:vAlign w:val="center"/>
          </w:tcPr>
          <w:p w14:paraId="3C5B4796">
            <w:pPr>
              <w:keepNext w:val="0"/>
              <w:keepLines w:val="0"/>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kern w:val="2"/>
                <w:sz w:val="21"/>
                <w:szCs w:val="21"/>
                <w:lang w:bidi="ar"/>
              </w:rPr>
            </w:pPr>
          </w:p>
        </w:tc>
        <w:tc>
          <w:tcPr>
            <w:tcW w:w="7641" w:type="dxa"/>
            <w:shd w:val="clear" w:color="auto" w:fill="FFFFFF"/>
          </w:tcPr>
          <w:p w14:paraId="180EFE98">
            <w:pPr>
              <w:keepNext w:val="0"/>
              <w:keepLines w:val="0"/>
              <w:pageBreakBefore w:val="0"/>
              <w:widowControl w:val="0"/>
              <w:kinsoku/>
              <w:wordWrap w:val="0"/>
              <w:overflowPunct/>
              <w:topLinePunct w:val="0"/>
              <w:autoSpaceDE/>
              <w:autoSpaceDN/>
              <w:bidi w:val="0"/>
              <w:adjustRightInd/>
              <w:snapToGrid/>
              <w:spacing w:line="300" w:lineRule="exact"/>
              <w:ind w:firstLine="422" w:firstLineChars="200"/>
              <w:jc w:val="left"/>
              <w:textAlignment w:val="auto"/>
              <w:rPr>
                <w:rFonts w:ascii="宋体" w:hAnsi="宋体" w:eastAsia="宋体" w:cs="宋体"/>
                <w:sz w:val="21"/>
                <w:szCs w:val="21"/>
                <w:lang w:val="zh-CN"/>
              </w:rPr>
            </w:pPr>
            <w:r>
              <w:rPr>
                <w:rFonts w:hint="eastAsia" w:ascii="宋体" w:hAnsi="宋体" w:eastAsia="宋体" w:cs="宋体"/>
                <w:b/>
                <w:bCs/>
                <w:sz w:val="21"/>
                <w:szCs w:val="21"/>
                <w:lang w:val="zh-CN"/>
              </w:rPr>
              <w:t>2.售后服务方案：售后方案应包括详细的售后服务承诺、售后服务方式及流程、后续售后技术服务方案、售后服务保障措施等内容：</w:t>
            </w:r>
          </w:p>
          <w:p w14:paraId="4A028F5D">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sz w:val="21"/>
                <w:szCs w:val="21"/>
                <w:lang w:val="zh-CN"/>
              </w:rPr>
            </w:pPr>
            <w:r>
              <w:rPr>
                <w:rFonts w:hint="eastAsia" w:ascii="宋体" w:hAnsi="宋体" w:eastAsia="宋体" w:cs="宋体"/>
                <w:sz w:val="21"/>
                <w:szCs w:val="21"/>
                <w:lang w:val="zh-CN"/>
              </w:rPr>
              <w:t>①售后服务方案内容详细完整，能贴合采购人需求，合理可行、针对性强的得，得6分；</w:t>
            </w:r>
          </w:p>
          <w:p w14:paraId="7A33E54A">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sz w:val="21"/>
                <w:szCs w:val="21"/>
                <w:lang w:val="zh-CN"/>
              </w:rPr>
            </w:pPr>
            <w:r>
              <w:rPr>
                <w:rFonts w:hint="eastAsia" w:ascii="宋体" w:hAnsi="宋体" w:eastAsia="宋体" w:cs="宋体"/>
                <w:sz w:val="21"/>
                <w:szCs w:val="21"/>
                <w:lang w:val="zh-CN"/>
              </w:rPr>
              <w:t>②售后服务方案内容基本完整，但表述一般，具有一定的合理性、可行性、针对性的，得3分；</w:t>
            </w:r>
          </w:p>
          <w:p w14:paraId="1CA06672">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sz w:val="21"/>
                <w:szCs w:val="21"/>
                <w:lang w:val="zh-CN"/>
              </w:rPr>
            </w:pPr>
            <w:r>
              <w:rPr>
                <w:rFonts w:hint="eastAsia" w:ascii="宋体" w:hAnsi="宋体" w:eastAsia="宋体" w:cs="宋体"/>
                <w:sz w:val="21"/>
                <w:szCs w:val="21"/>
                <w:lang w:val="zh-CN"/>
              </w:rPr>
              <w:t>③售后服务方案内容有缺失，或合理性、可行性、针对性差的，得1分；</w:t>
            </w:r>
          </w:p>
          <w:p w14:paraId="28084960">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sz w:val="21"/>
                <w:szCs w:val="21"/>
                <w:lang w:val="zh-CN"/>
              </w:rPr>
            </w:pPr>
            <w:r>
              <w:rPr>
                <w:rFonts w:hint="eastAsia" w:ascii="宋体" w:hAnsi="宋体" w:eastAsia="宋体" w:cs="宋体"/>
                <w:sz w:val="21"/>
                <w:szCs w:val="21"/>
                <w:lang w:val="zh-CN"/>
              </w:rPr>
              <w:t>④不提供不得分。</w:t>
            </w:r>
          </w:p>
        </w:tc>
        <w:tc>
          <w:tcPr>
            <w:tcW w:w="534" w:type="dxa"/>
            <w:shd w:val="clear" w:color="auto" w:fill="FFFFFF"/>
            <w:vAlign w:val="center"/>
          </w:tcPr>
          <w:p w14:paraId="4F15AB8A">
            <w:pPr>
              <w:keepNext w:val="0"/>
              <w:keepLines w:val="0"/>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sz w:val="21"/>
                <w:szCs w:val="21"/>
              </w:rPr>
            </w:pPr>
            <w:r>
              <w:rPr>
                <w:rFonts w:hint="eastAsia" w:ascii="宋体" w:hAnsi="宋体" w:eastAsia="宋体" w:cs="宋体"/>
                <w:b/>
                <w:sz w:val="21"/>
                <w:szCs w:val="21"/>
              </w:rPr>
              <w:t>6</w:t>
            </w:r>
          </w:p>
        </w:tc>
      </w:tr>
      <w:tr w14:paraId="168CF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466" w:type="dxa"/>
            <w:vAlign w:val="center"/>
          </w:tcPr>
          <w:p w14:paraId="40A019DC">
            <w:pPr>
              <w:keepNext w:val="0"/>
              <w:keepLines w:val="0"/>
              <w:pageBreakBefore w:val="0"/>
              <w:widowControl w:val="0"/>
              <w:kinsoku/>
              <w:overflowPunct/>
              <w:topLinePunct w:val="0"/>
              <w:autoSpaceDE/>
              <w:autoSpaceDN/>
              <w:bidi w:val="0"/>
              <w:adjustRightInd/>
              <w:snapToGrid/>
              <w:spacing w:line="300" w:lineRule="exact"/>
              <w:jc w:val="center"/>
              <w:textAlignment w:val="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7</w:t>
            </w:r>
          </w:p>
        </w:tc>
        <w:tc>
          <w:tcPr>
            <w:tcW w:w="1135" w:type="dxa"/>
            <w:vMerge w:val="continue"/>
            <w:vAlign w:val="center"/>
          </w:tcPr>
          <w:p w14:paraId="6A69FBE1">
            <w:pPr>
              <w:keepNext w:val="0"/>
              <w:keepLines w:val="0"/>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kern w:val="2"/>
                <w:sz w:val="21"/>
                <w:szCs w:val="21"/>
                <w:lang w:bidi="ar"/>
              </w:rPr>
            </w:pPr>
          </w:p>
        </w:tc>
        <w:tc>
          <w:tcPr>
            <w:tcW w:w="7641" w:type="dxa"/>
            <w:shd w:val="clear" w:color="auto" w:fill="FFFFFF"/>
          </w:tcPr>
          <w:p w14:paraId="3E643C60">
            <w:pPr>
              <w:keepNext w:val="0"/>
              <w:keepLines w:val="0"/>
              <w:pageBreakBefore w:val="0"/>
              <w:widowControl w:val="0"/>
              <w:kinsoku/>
              <w:wordWrap w:val="0"/>
              <w:overflowPunct/>
              <w:topLinePunct w:val="0"/>
              <w:autoSpaceDE/>
              <w:autoSpaceDN/>
              <w:bidi w:val="0"/>
              <w:adjustRightInd/>
              <w:snapToGrid/>
              <w:spacing w:line="300" w:lineRule="exact"/>
              <w:ind w:firstLine="422" w:firstLineChars="200"/>
              <w:jc w:val="left"/>
              <w:textAlignment w:val="auto"/>
              <w:rPr>
                <w:rFonts w:ascii="宋体" w:hAnsi="宋体" w:eastAsia="宋体" w:cs="宋体"/>
                <w:b/>
                <w:bCs/>
                <w:sz w:val="21"/>
                <w:szCs w:val="21"/>
                <w:lang w:val="zh-CN"/>
              </w:rPr>
            </w:pPr>
            <w:r>
              <w:rPr>
                <w:rFonts w:hint="eastAsia" w:ascii="宋体" w:hAnsi="宋体" w:eastAsia="宋体" w:cs="宋体"/>
                <w:b/>
                <w:bCs/>
                <w:sz w:val="21"/>
                <w:szCs w:val="21"/>
                <w:lang w:val="zh-CN"/>
              </w:rPr>
              <w:t>3.培训方案：培训方案应包括培训流程、培训方式、培训对象、培训内容、培训日程等内容：</w:t>
            </w:r>
          </w:p>
          <w:p w14:paraId="65B6227D">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sz w:val="21"/>
                <w:szCs w:val="21"/>
                <w:lang w:val="zh-CN"/>
              </w:rPr>
            </w:pPr>
            <w:r>
              <w:rPr>
                <w:rFonts w:hint="eastAsia" w:ascii="宋体" w:hAnsi="宋体" w:eastAsia="宋体" w:cs="宋体"/>
                <w:sz w:val="21"/>
                <w:szCs w:val="21"/>
                <w:lang w:val="zh-CN"/>
              </w:rPr>
              <w:t>①方案内容详细完整，能贴合采购人需求，合理可行、针对性强的得6分；</w:t>
            </w:r>
          </w:p>
          <w:p w14:paraId="1A5D60ED">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sz w:val="21"/>
                <w:szCs w:val="21"/>
                <w:lang w:val="zh-CN"/>
              </w:rPr>
            </w:pPr>
            <w:r>
              <w:rPr>
                <w:rFonts w:hint="eastAsia" w:ascii="宋体" w:hAnsi="宋体" w:eastAsia="宋体" w:cs="宋体"/>
                <w:sz w:val="21"/>
                <w:szCs w:val="21"/>
                <w:lang w:val="zh-CN"/>
              </w:rPr>
              <w:t>②方案内容较为基本完整，但表述一般，具有一定的合理性、可行性、针对性的，得3分；</w:t>
            </w:r>
          </w:p>
          <w:p w14:paraId="40ED27CC">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sz w:val="21"/>
                <w:szCs w:val="21"/>
                <w:lang w:val="zh-CN"/>
              </w:rPr>
            </w:pPr>
            <w:r>
              <w:rPr>
                <w:rFonts w:hint="eastAsia" w:ascii="宋体" w:hAnsi="宋体" w:eastAsia="宋体" w:cs="宋体"/>
                <w:sz w:val="21"/>
                <w:szCs w:val="21"/>
                <w:lang w:val="zh-CN"/>
              </w:rPr>
              <w:t>③方案内容有缺失，但能基本贴合采购人需求，合理性、可行性、针对性一般的得1分；</w:t>
            </w:r>
          </w:p>
          <w:p w14:paraId="074A7605">
            <w:pPr>
              <w:keepNext w:val="0"/>
              <w:keepLines w:val="0"/>
              <w:pageBreakBefore w:val="0"/>
              <w:widowControl w:val="0"/>
              <w:kinsoku/>
              <w:wordWrap w:val="0"/>
              <w:overflowPunct/>
              <w:topLinePunct w:val="0"/>
              <w:autoSpaceDE/>
              <w:autoSpaceDN/>
              <w:bidi w:val="0"/>
              <w:adjustRightInd/>
              <w:snapToGrid/>
              <w:spacing w:line="300" w:lineRule="exact"/>
              <w:ind w:firstLine="420" w:firstLineChars="200"/>
              <w:jc w:val="left"/>
              <w:textAlignment w:val="auto"/>
              <w:rPr>
                <w:rFonts w:ascii="宋体" w:hAnsi="宋体" w:eastAsia="宋体" w:cs="宋体"/>
                <w:sz w:val="21"/>
                <w:szCs w:val="21"/>
                <w:lang w:val="zh-CN"/>
              </w:rPr>
            </w:pPr>
            <w:r>
              <w:rPr>
                <w:rFonts w:hint="eastAsia" w:ascii="宋体" w:hAnsi="宋体" w:eastAsia="宋体" w:cs="宋体"/>
                <w:sz w:val="21"/>
                <w:szCs w:val="21"/>
                <w:lang w:val="zh-CN"/>
              </w:rPr>
              <w:t>④不提供不得分。</w:t>
            </w:r>
          </w:p>
        </w:tc>
        <w:tc>
          <w:tcPr>
            <w:tcW w:w="534" w:type="dxa"/>
            <w:shd w:val="clear" w:color="auto" w:fill="FFFFFF"/>
            <w:vAlign w:val="center"/>
          </w:tcPr>
          <w:p w14:paraId="6042F633">
            <w:pPr>
              <w:keepNext w:val="0"/>
              <w:keepLines w:val="0"/>
              <w:pageBreakBefore w:val="0"/>
              <w:widowControl w:val="0"/>
              <w:kinsoku/>
              <w:overflowPunct/>
              <w:topLinePunct w:val="0"/>
              <w:autoSpaceDE/>
              <w:autoSpaceDN/>
              <w:bidi w:val="0"/>
              <w:adjustRightInd/>
              <w:snapToGrid/>
              <w:spacing w:line="300" w:lineRule="exact"/>
              <w:jc w:val="center"/>
              <w:textAlignment w:val="auto"/>
              <w:rPr>
                <w:rFonts w:ascii="宋体" w:hAnsi="宋体" w:eastAsia="宋体" w:cs="宋体"/>
                <w:b/>
                <w:sz w:val="21"/>
                <w:szCs w:val="21"/>
              </w:rPr>
            </w:pPr>
            <w:r>
              <w:rPr>
                <w:rFonts w:hint="eastAsia" w:ascii="宋体" w:hAnsi="宋体" w:eastAsia="宋体" w:cs="宋体"/>
                <w:b/>
                <w:sz w:val="21"/>
                <w:szCs w:val="21"/>
              </w:rPr>
              <w:t>6</w:t>
            </w:r>
          </w:p>
        </w:tc>
      </w:tr>
    </w:tbl>
    <w:p w14:paraId="10A6E939">
      <w:pPr>
        <w:spacing w:line="360" w:lineRule="auto"/>
        <w:ind w:firstLine="482"/>
        <w:rPr>
          <w:rFonts w:ascii="宋体" w:hAnsi="宋体" w:eastAsia="宋体" w:cs="宋体"/>
          <w:b/>
          <w:bCs/>
          <w:color w:val="000000"/>
          <w:sz w:val="24"/>
          <w:szCs w:val="24"/>
        </w:rPr>
      </w:pPr>
      <w:r>
        <w:rPr>
          <w:rFonts w:hint="eastAsia" w:ascii="宋体" w:hAnsi="宋体" w:eastAsia="宋体" w:cs="宋体"/>
          <w:b/>
          <w:bCs/>
          <w:color w:val="000000"/>
          <w:sz w:val="24"/>
          <w:szCs w:val="24"/>
        </w:rPr>
        <w:t>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p>
    <w:p w14:paraId="1B822BE5">
      <w:pPr>
        <w:spacing w:line="360" w:lineRule="auto"/>
        <w:ind w:firstLine="482"/>
        <w:rPr>
          <w:rFonts w:ascii="宋体" w:hAnsi="宋体" w:eastAsia="宋体" w:cs="宋体"/>
          <w:b/>
          <w:bCs/>
          <w:color w:val="000000"/>
          <w:sz w:val="24"/>
          <w:szCs w:val="24"/>
        </w:rPr>
      </w:pPr>
      <w:r>
        <w:rPr>
          <w:rFonts w:hint="eastAsia" w:ascii="宋体" w:hAnsi="宋体" w:eastAsia="宋体" w:cs="宋体"/>
          <w:b/>
          <w:bCs/>
          <w:color w:val="000000"/>
          <w:sz w:val="24"/>
          <w:szCs w:val="24"/>
        </w:rPr>
        <w:t>2.投标文件商务技术标得分低于本采购文件商务技术标评分分值（70分）的50%时，视为未实质性响应采购文件要求，作为无效投标处理。</w:t>
      </w:r>
    </w:p>
    <w:p w14:paraId="45E6EBBD">
      <w:pPr>
        <w:spacing w:line="360" w:lineRule="auto"/>
        <w:ind w:firstLine="482"/>
        <w:rPr>
          <w:rFonts w:ascii="宋体" w:hAnsi="宋体" w:eastAsia="宋体" w:cs="宋体"/>
          <w:b/>
          <w:bCs/>
          <w:color w:val="000000"/>
          <w:sz w:val="24"/>
          <w:szCs w:val="24"/>
        </w:rPr>
      </w:pPr>
      <w:r>
        <w:rPr>
          <w:rFonts w:hint="eastAsia" w:ascii="宋体" w:hAnsi="宋体" w:eastAsia="宋体" w:cs="宋体"/>
          <w:b/>
          <w:bCs/>
          <w:color w:val="000000"/>
          <w:sz w:val="24"/>
          <w:szCs w:val="24"/>
        </w:rPr>
        <w:t>3.评委依据招标文件载明的方法评分，评分四舍五入精确到小数点后两位。</w:t>
      </w:r>
    </w:p>
    <w:p w14:paraId="709D904F">
      <w:pPr>
        <w:spacing w:line="360" w:lineRule="auto"/>
        <w:ind w:firstLine="482"/>
        <w:rPr>
          <w:rFonts w:ascii="宋体" w:hAnsi="宋体" w:eastAsia="宋体" w:cs="宋体"/>
          <w:b/>
          <w:color w:val="000000"/>
          <w:sz w:val="24"/>
          <w:szCs w:val="24"/>
        </w:rPr>
      </w:pPr>
      <w:r>
        <w:rPr>
          <w:rFonts w:hint="eastAsia" w:ascii="宋体" w:hAnsi="宋体" w:eastAsia="宋体" w:cs="宋体"/>
          <w:b/>
          <w:color w:val="000000"/>
          <w:sz w:val="24"/>
          <w:szCs w:val="24"/>
        </w:rPr>
        <w:t>（二）</w:t>
      </w:r>
      <w:r>
        <w:rPr>
          <w:rFonts w:hint="eastAsia" w:ascii="宋体" w:hAnsi="宋体" w:eastAsia="宋体" w:cs="宋体"/>
          <w:b/>
          <w:color w:val="000000"/>
          <w:sz w:val="24"/>
          <w:szCs w:val="24"/>
          <w:lang w:val="zh-CN"/>
        </w:rPr>
        <w:t>价格标</w:t>
      </w:r>
      <w:r>
        <w:rPr>
          <w:rFonts w:hint="eastAsia" w:ascii="宋体" w:hAnsi="宋体" w:eastAsia="宋体" w:cs="宋体"/>
          <w:b/>
          <w:color w:val="000000"/>
          <w:sz w:val="24"/>
          <w:szCs w:val="24"/>
        </w:rPr>
        <w:t>评分：（30分）</w:t>
      </w:r>
    </w:p>
    <w:p w14:paraId="6B087EC5">
      <w:pPr>
        <w:spacing w:line="360" w:lineRule="auto"/>
        <w:ind w:firstLine="482"/>
        <w:contextualSpacing/>
        <w:rPr>
          <w:rFonts w:ascii="宋体" w:hAnsi="宋体" w:eastAsia="宋体" w:cs="宋体"/>
          <w:b/>
          <w:bCs/>
          <w:color w:val="000000"/>
          <w:sz w:val="24"/>
          <w:szCs w:val="24"/>
        </w:rPr>
      </w:pPr>
      <w:r>
        <w:rPr>
          <w:rFonts w:hint="eastAsia" w:ascii="宋体" w:hAnsi="宋体" w:eastAsia="宋体" w:cs="宋体"/>
          <w:b/>
          <w:color w:val="000000"/>
          <w:sz w:val="24"/>
          <w:szCs w:val="24"/>
        </w:rPr>
        <w:t>1.本次项目最高限价：107万元，响应报价超过限价作无效标处理。</w:t>
      </w:r>
    </w:p>
    <w:p w14:paraId="0B2ADC91">
      <w:pPr>
        <w:spacing w:line="360" w:lineRule="auto"/>
        <w:ind w:firstLine="480"/>
        <w:contextualSpacing/>
        <w:rPr>
          <w:rFonts w:ascii="宋体" w:hAnsi="宋体" w:eastAsia="宋体" w:cs="宋体"/>
          <w:color w:val="000000"/>
          <w:sz w:val="24"/>
          <w:szCs w:val="24"/>
        </w:rPr>
      </w:pPr>
      <w:r>
        <w:rPr>
          <w:rFonts w:hint="eastAsia" w:ascii="宋体" w:hAnsi="宋体" w:eastAsia="宋体" w:cs="宋体"/>
          <w:color w:val="000000"/>
          <w:sz w:val="24"/>
          <w:szCs w:val="24"/>
        </w:rPr>
        <w:t>2.满足招标文件要求且投标报价最低的报价为评标基准价，其价格标得分为满分。</w:t>
      </w:r>
    </w:p>
    <w:p w14:paraId="10A463EA">
      <w:pPr>
        <w:spacing w:line="360" w:lineRule="auto"/>
        <w:ind w:firstLine="480"/>
        <w:contextualSpacing/>
        <w:rPr>
          <w:rFonts w:ascii="宋体" w:hAnsi="宋体" w:eastAsia="宋体" w:cs="宋体"/>
          <w:color w:val="000000"/>
          <w:sz w:val="24"/>
          <w:szCs w:val="24"/>
        </w:rPr>
      </w:pPr>
      <w:r>
        <w:rPr>
          <w:rFonts w:hint="eastAsia" w:ascii="宋体" w:hAnsi="宋体" w:eastAsia="宋体" w:cs="宋体"/>
          <w:color w:val="000000"/>
          <w:sz w:val="24"/>
          <w:szCs w:val="24"/>
        </w:rPr>
        <w:t>3.其他投标供应商的价格标得分按照下列公式计算：</w:t>
      </w:r>
    </w:p>
    <w:p w14:paraId="110CCDCA">
      <w:pPr>
        <w:spacing w:line="360" w:lineRule="auto"/>
        <w:ind w:firstLine="480"/>
        <w:contextualSpacing/>
        <w:rPr>
          <w:rFonts w:ascii="宋体" w:hAnsi="宋体" w:eastAsia="宋体" w:cs="宋体"/>
          <w:color w:val="000000"/>
          <w:sz w:val="24"/>
          <w:szCs w:val="24"/>
        </w:rPr>
      </w:pPr>
      <w:r>
        <w:rPr>
          <w:rFonts w:hint="eastAsia" w:ascii="宋体" w:hAnsi="宋体" w:eastAsia="宋体" w:cs="宋体"/>
          <w:color w:val="000000"/>
          <w:sz w:val="24"/>
          <w:szCs w:val="24"/>
        </w:rPr>
        <w:t>价格标得分 =（评标基准价/投标报价）×30%×100</w:t>
      </w:r>
    </w:p>
    <w:p w14:paraId="26C06E12">
      <w:pPr>
        <w:spacing w:line="360" w:lineRule="auto"/>
        <w:ind w:firstLine="482"/>
        <w:rPr>
          <w:rFonts w:ascii="宋体" w:hAnsi="宋体" w:eastAsia="宋体" w:cs="宋体"/>
          <w:b/>
          <w:color w:val="000000"/>
          <w:sz w:val="24"/>
          <w:szCs w:val="24"/>
        </w:rPr>
      </w:pPr>
      <w:r>
        <w:rPr>
          <w:rFonts w:hint="eastAsia" w:ascii="宋体" w:hAnsi="宋体" w:eastAsia="宋体" w:cs="宋体"/>
          <w:b/>
          <w:color w:val="000000"/>
          <w:sz w:val="24"/>
          <w:szCs w:val="24"/>
        </w:rPr>
        <w:t xml:space="preserve">（三）政府采购政策功能落实 </w:t>
      </w:r>
    </w:p>
    <w:p w14:paraId="76AAD518">
      <w:pPr>
        <w:spacing w:line="360" w:lineRule="auto"/>
        <w:ind w:firstLine="480"/>
        <w:rPr>
          <w:rFonts w:ascii="宋体" w:hAnsi="宋体" w:eastAsia="宋体" w:cs="宋体"/>
          <w:color w:val="000000"/>
          <w:sz w:val="24"/>
          <w:szCs w:val="24"/>
        </w:rPr>
      </w:pPr>
      <w:r>
        <w:rPr>
          <w:rFonts w:hint="eastAsia" w:ascii="宋体" w:hAnsi="宋体" w:eastAsia="宋体" w:cs="宋体"/>
          <w:b/>
          <w:sz w:val="24"/>
          <w:szCs w:val="24"/>
        </w:rPr>
        <w:t>专门面向中小企业采购的项目或者采购包，不再执行价格评审优惠的扶持政策。</w:t>
      </w:r>
    </w:p>
    <w:bookmarkEnd w:id="7"/>
    <w:p w14:paraId="3707FD65">
      <w:pPr>
        <w:spacing w:line="360" w:lineRule="auto"/>
        <w:ind w:firstLine="480"/>
        <w:rPr>
          <w:rFonts w:ascii="宋体" w:hAnsi="宋体" w:eastAsia="宋体" w:cs="宋体"/>
          <w:b/>
          <w:color w:val="000000"/>
          <w:sz w:val="24"/>
          <w:szCs w:val="24"/>
        </w:rPr>
      </w:pPr>
      <w:bookmarkStart w:id="19" w:name="_Toc363573857"/>
      <w:r>
        <w:rPr>
          <w:rFonts w:hint="eastAsia" w:ascii="宋体" w:hAnsi="宋体" w:eastAsia="宋体" w:cs="宋体"/>
          <w:b/>
          <w:color w:val="000000"/>
          <w:sz w:val="24"/>
          <w:szCs w:val="24"/>
        </w:rPr>
        <w:t>（四）中标人的确定</w:t>
      </w:r>
    </w:p>
    <w:p w14:paraId="67BA2EDD">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评委会汇总各评委评分后，按照综合得分从高到低的顺序推荐前三名中标候选人，得分相同的，按投标报价由低到高顺序排列。得分且投标报价均相同时则通过抽签方式随机确定排名顺序。投标文件满足招标文件全部实质性要求，且按照评审因素的量化指标评审得分最高的投标人为排名第一的中标候选人，并编写评标报告。</w:t>
      </w:r>
    </w:p>
    <w:p w14:paraId="0A9D3338">
      <w:pPr>
        <w:spacing w:line="360" w:lineRule="auto"/>
        <w:ind w:firstLine="480"/>
        <w:rPr>
          <w:rFonts w:ascii="宋体" w:hAnsi="宋体" w:eastAsia="宋体" w:cs="宋体"/>
          <w:b/>
          <w:color w:val="000000"/>
          <w:sz w:val="24"/>
          <w:szCs w:val="24"/>
        </w:rPr>
      </w:pPr>
      <w:r>
        <w:rPr>
          <w:rFonts w:hint="eastAsia" w:ascii="宋体" w:hAnsi="宋体" w:eastAsia="宋体" w:cs="宋体"/>
          <w:b/>
          <w:color w:val="000000"/>
          <w:sz w:val="24"/>
          <w:szCs w:val="24"/>
        </w:rPr>
        <w:t>招标人委托评标委员会直接确定中标人。</w:t>
      </w:r>
    </w:p>
    <w:p w14:paraId="3C9CC663">
      <w:pPr>
        <w:spacing w:line="360" w:lineRule="auto"/>
        <w:ind w:firstLine="480"/>
        <w:rPr>
          <w:rFonts w:ascii="宋体" w:hAnsi="宋体" w:eastAsia="宋体" w:cs="宋体"/>
          <w:b/>
          <w:color w:val="000000"/>
          <w:sz w:val="24"/>
          <w:szCs w:val="24"/>
        </w:rPr>
      </w:pPr>
      <w:r>
        <w:rPr>
          <w:rFonts w:hint="eastAsia" w:ascii="宋体" w:hAnsi="宋体" w:eastAsia="宋体" w:cs="宋体"/>
          <w:b/>
          <w:bCs/>
          <w:color w:val="000000"/>
          <w:sz w:val="24"/>
          <w:szCs w:val="24"/>
        </w:rPr>
        <w:t>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54AF6155">
      <w:pPr>
        <w:spacing w:line="360" w:lineRule="auto"/>
        <w:ind w:firstLine="480"/>
        <w:rPr>
          <w:rFonts w:ascii="宋体" w:hAnsi="宋体" w:eastAsia="宋体" w:cs="宋体"/>
          <w:b/>
          <w:color w:val="000000"/>
          <w:sz w:val="24"/>
          <w:szCs w:val="24"/>
        </w:rPr>
      </w:pPr>
      <w:r>
        <w:rPr>
          <w:rFonts w:hint="eastAsia" w:ascii="宋体" w:hAnsi="宋体" w:eastAsia="宋体" w:cs="宋体"/>
          <w:b/>
          <w:color w:val="000000"/>
          <w:sz w:val="24"/>
          <w:szCs w:val="24"/>
        </w:rPr>
        <w:t>九、评标争议</w:t>
      </w:r>
    </w:p>
    <w:p w14:paraId="0F8E8C0C">
      <w:pPr>
        <w:spacing w:line="360" w:lineRule="auto"/>
        <w:ind w:firstLine="482"/>
        <w:rPr>
          <w:rFonts w:ascii="宋体" w:hAnsi="宋体" w:eastAsia="宋体" w:cs="宋体"/>
          <w:color w:val="000000"/>
          <w:sz w:val="24"/>
          <w:szCs w:val="24"/>
        </w:rPr>
      </w:pPr>
      <w:r>
        <w:rPr>
          <w:rFonts w:hint="eastAsia" w:ascii="宋体" w:hAnsi="宋体" w:eastAsia="宋体" w:cs="宋体"/>
          <w:color w:val="000000"/>
          <w:sz w:val="24"/>
          <w:szCs w:val="24"/>
        </w:rPr>
        <w:t>评标时评委对评标的细则若有争议，由评标委员会评委集体讨论确定，并对未尽情况有最终解释权。</w:t>
      </w:r>
    </w:p>
    <w:p w14:paraId="13896277">
      <w:pPr>
        <w:spacing w:line="360" w:lineRule="auto"/>
        <w:ind w:firstLine="480"/>
        <w:rPr>
          <w:rFonts w:ascii="宋体" w:hAnsi="宋体" w:eastAsia="宋体" w:cs="宋体"/>
          <w:b/>
          <w:color w:val="000000"/>
          <w:sz w:val="24"/>
          <w:szCs w:val="24"/>
        </w:rPr>
      </w:pPr>
      <w:r>
        <w:rPr>
          <w:rFonts w:hint="eastAsia" w:ascii="宋体" w:hAnsi="宋体" w:eastAsia="宋体" w:cs="宋体"/>
          <w:b/>
          <w:color w:val="000000"/>
          <w:sz w:val="24"/>
          <w:szCs w:val="24"/>
        </w:rPr>
        <w:t>十、落标原因</w:t>
      </w:r>
    </w:p>
    <w:p w14:paraId="1482BFEF">
      <w:pPr>
        <w:spacing w:line="360" w:lineRule="auto"/>
        <w:ind w:firstLine="482"/>
        <w:rPr>
          <w:rFonts w:ascii="宋体" w:hAnsi="宋体" w:eastAsia="宋体" w:cs="宋体"/>
          <w:color w:val="000000"/>
          <w:sz w:val="24"/>
          <w:szCs w:val="24"/>
        </w:rPr>
      </w:pPr>
      <w:r>
        <w:rPr>
          <w:rFonts w:hint="eastAsia" w:ascii="宋体" w:hAnsi="宋体" w:eastAsia="宋体" w:cs="宋体"/>
          <w:color w:val="000000"/>
          <w:sz w:val="24"/>
          <w:szCs w:val="24"/>
        </w:rPr>
        <w:t>评标委员会不对落标的投标人做落标原因的解释。</w:t>
      </w:r>
    </w:p>
    <w:p w14:paraId="26D862F9">
      <w:pPr>
        <w:spacing w:line="360" w:lineRule="auto"/>
        <w:ind w:firstLine="723"/>
        <w:jc w:val="center"/>
        <w:rPr>
          <w:rFonts w:eastAsia="宋体" w:cs="宋体"/>
          <w:b/>
          <w:color w:val="000000"/>
          <w:sz w:val="36"/>
          <w:szCs w:val="36"/>
        </w:rPr>
      </w:pPr>
      <w:r>
        <w:rPr>
          <w:rFonts w:hint="eastAsia" w:eastAsia="宋体" w:cs="宋体"/>
          <w:b/>
          <w:color w:val="000000"/>
          <w:sz w:val="36"/>
          <w:szCs w:val="36"/>
        </w:rPr>
        <w:br w:type="page" w:clear="all"/>
      </w:r>
      <w:r>
        <w:rPr>
          <w:rFonts w:hint="eastAsia" w:eastAsia="宋体" w:cs="宋体"/>
          <w:b/>
          <w:color w:val="000000"/>
          <w:sz w:val="36"/>
          <w:szCs w:val="36"/>
        </w:rPr>
        <w:t>第五章  合同签订与验收付款</w:t>
      </w:r>
    </w:p>
    <w:bookmarkEnd w:id="19"/>
    <w:p w14:paraId="775688E3">
      <w:pPr>
        <w:spacing w:line="360" w:lineRule="auto"/>
        <w:ind w:firstLine="482"/>
        <w:jc w:val="center"/>
        <w:outlineLvl w:val="0"/>
        <w:rPr>
          <w:rFonts w:ascii="宋体" w:hAnsi="宋体" w:eastAsia="宋体" w:cs="宋体"/>
          <w:b/>
          <w:color w:val="000000"/>
          <w:sz w:val="32"/>
          <w:szCs w:val="32"/>
        </w:rPr>
      </w:pPr>
      <w:bookmarkStart w:id="20" w:name="_Toc8219"/>
      <w:bookmarkStart w:id="21" w:name="_Toc363573859"/>
      <w:r>
        <w:rPr>
          <w:rFonts w:hint="eastAsia" w:ascii="宋体" w:hAnsi="宋体" w:eastAsia="宋体" w:cs="宋体"/>
          <w:b/>
          <w:color w:val="000000"/>
          <w:sz w:val="32"/>
          <w:szCs w:val="32"/>
        </w:rPr>
        <w:t>江苏省政府采购合同（货物）</w:t>
      </w:r>
    </w:p>
    <w:p w14:paraId="67B6750E">
      <w:pPr>
        <w:spacing w:line="360" w:lineRule="auto"/>
        <w:ind w:firstLine="482"/>
        <w:jc w:val="center"/>
        <w:outlineLvl w:val="0"/>
        <w:rPr>
          <w:rFonts w:ascii="宋体" w:hAnsi="宋体" w:eastAsia="宋体" w:cs="宋体"/>
          <w:b/>
          <w:bCs/>
          <w:color w:val="000000"/>
          <w:sz w:val="24"/>
          <w:szCs w:val="24"/>
        </w:rPr>
      </w:pPr>
      <w:r>
        <w:rPr>
          <w:rFonts w:hint="eastAsia" w:ascii="宋体" w:hAnsi="宋体" w:eastAsia="宋体" w:cs="宋体"/>
          <w:b/>
          <w:color w:val="000000"/>
          <w:sz w:val="24"/>
          <w:szCs w:val="24"/>
        </w:rPr>
        <w:t>（合同编号：         ）</w:t>
      </w:r>
      <w:bookmarkEnd w:id="20"/>
    </w:p>
    <w:p w14:paraId="022B61D5">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项目名称：智能制造业财融合虚拟仿真实训平台</w:t>
      </w:r>
    </w:p>
    <w:p w14:paraId="10AED4EF">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项目编号：</w:t>
      </w:r>
    </w:p>
    <w:p w14:paraId="681465A7">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甲方（采购人）：</w:t>
      </w:r>
      <w:r>
        <w:rPr>
          <w:rFonts w:hint="eastAsia" w:ascii="宋体" w:hAnsi="宋体" w:eastAsia="宋体" w:cs="宋体"/>
          <w:color w:val="000000"/>
          <w:sz w:val="24"/>
          <w:szCs w:val="24"/>
          <w:u w:val="single"/>
        </w:rPr>
        <w:t>江苏航运职业技术学院</w:t>
      </w:r>
    </w:p>
    <w:p w14:paraId="24AEA0C6">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乙方（中标人）：</w:t>
      </w:r>
    </w:p>
    <w:p w14:paraId="0805F29D">
      <w:pPr>
        <w:spacing w:line="360" w:lineRule="auto"/>
        <w:ind w:firstLine="480" w:firstLineChars="200"/>
        <w:rPr>
          <w:rFonts w:ascii="宋体" w:hAnsi="宋体" w:eastAsia="宋体" w:cs="宋体"/>
          <w:b/>
          <w:color w:val="000000"/>
          <w:sz w:val="24"/>
          <w:szCs w:val="24"/>
        </w:rPr>
      </w:pPr>
      <w:r>
        <w:rPr>
          <w:rFonts w:hint="eastAsia" w:ascii="宋体" w:hAnsi="宋体" w:eastAsia="宋体" w:cs="宋体"/>
          <w:color w:val="000000"/>
          <w:sz w:val="24"/>
          <w:szCs w:val="24"/>
        </w:rPr>
        <w:t>甲、乙双方根据</w:t>
      </w:r>
      <w:r>
        <w:rPr>
          <w:rFonts w:hint="eastAsia" w:ascii="宋体" w:hAnsi="宋体" w:eastAsia="宋体" w:cs="宋体"/>
          <w:color w:val="000000"/>
          <w:sz w:val="24"/>
          <w:szCs w:val="24"/>
          <w:u w:val="single"/>
        </w:rPr>
        <w:t>智能制造业财融合虚拟仿真实训平台</w:t>
      </w:r>
      <w:r>
        <w:rPr>
          <w:rFonts w:hint="eastAsia" w:ascii="宋体" w:hAnsi="宋体" w:eastAsia="宋体" w:cs="宋体"/>
          <w:color w:val="000000"/>
          <w:sz w:val="24"/>
          <w:szCs w:val="24"/>
        </w:rPr>
        <w:t>（项目编号：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）公开招标的结果，签署本合同。</w:t>
      </w:r>
    </w:p>
    <w:p w14:paraId="7D911545">
      <w:pPr>
        <w:spacing w:line="360" w:lineRule="auto"/>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一、合同内容</w:t>
      </w:r>
    </w:p>
    <w:p w14:paraId="7837B62A">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1.1 标的名称：智能制造业财融合虚拟仿真实训平台</w:t>
      </w:r>
    </w:p>
    <w:p w14:paraId="3C7C7589">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1.2 标的质量：合格</w:t>
      </w:r>
    </w:p>
    <w:p w14:paraId="028F4E1A">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1.3 标的数量（规模）：</w:t>
      </w:r>
    </w:p>
    <w:tbl>
      <w:tblPr>
        <w:tblStyle w:val="12"/>
        <w:tblW w:w="9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674"/>
        <w:gridCol w:w="1211"/>
        <w:gridCol w:w="1276"/>
        <w:gridCol w:w="992"/>
        <w:gridCol w:w="851"/>
        <w:gridCol w:w="850"/>
        <w:gridCol w:w="851"/>
        <w:gridCol w:w="965"/>
      </w:tblGrid>
      <w:tr w14:paraId="76F0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trPr>
        <w:tc>
          <w:tcPr>
            <w:tcW w:w="703" w:type="dxa"/>
            <w:vAlign w:val="center"/>
          </w:tcPr>
          <w:p w14:paraId="124C2DEC">
            <w:pPr>
              <w:snapToGrid w:val="0"/>
              <w:spacing w:line="360" w:lineRule="auto"/>
              <w:jc w:val="center"/>
              <w:rPr>
                <w:rFonts w:ascii="宋体" w:hAnsi="宋体" w:eastAsia="宋体" w:cs="宋体"/>
                <w:b/>
                <w:sz w:val="24"/>
                <w:szCs w:val="24"/>
              </w:rPr>
            </w:pPr>
            <w:r>
              <w:rPr>
                <w:rFonts w:hint="eastAsia" w:ascii="宋体" w:hAnsi="宋体" w:eastAsia="宋体" w:cs="宋体"/>
                <w:b/>
                <w:sz w:val="24"/>
                <w:szCs w:val="24"/>
              </w:rPr>
              <w:t>序号</w:t>
            </w:r>
          </w:p>
        </w:tc>
        <w:tc>
          <w:tcPr>
            <w:tcW w:w="1674" w:type="dxa"/>
            <w:vAlign w:val="center"/>
          </w:tcPr>
          <w:p w14:paraId="36ADFC9B">
            <w:pPr>
              <w:snapToGrid w:val="0"/>
              <w:spacing w:line="360" w:lineRule="auto"/>
              <w:jc w:val="center"/>
              <w:rPr>
                <w:rFonts w:ascii="宋体" w:hAnsi="宋体" w:eastAsia="宋体" w:cs="宋体"/>
                <w:b/>
                <w:sz w:val="24"/>
                <w:szCs w:val="24"/>
              </w:rPr>
            </w:pPr>
            <w:r>
              <w:rPr>
                <w:rFonts w:hint="eastAsia" w:ascii="宋体" w:hAnsi="宋体" w:eastAsia="宋体" w:cs="宋体"/>
                <w:b/>
                <w:sz w:val="24"/>
                <w:szCs w:val="24"/>
              </w:rPr>
              <w:t>名称</w:t>
            </w:r>
          </w:p>
        </w:tc>
        <w:tc>
          <w:tcPr>
            <w:tcW w:w="1211" w:type="dxa"/>
            <w:vAlign w:val="center"/>
          </w:tcPr>
          <w:p w14:paraId="6E4EE96F">
            <w:pPr>
              <w:snapToGrid w:val="0"/>
              <w:spacing w:line="360" w:lineRule="auto"/>
              <w:jc w:val="center"/>
              <w:rPr>
                <w:rFonts w:ascii="宋体" w:hAnsi="宋体" w:eastAsia="宋体" w:cs="宋体"/>
                <w:b/>
                <w:sz w:val="24"/>
                <w:szCs w:val="24"/>
              </w:rPr>
            </w:pPr>
            <w:r>
              <w:rPr>
                <w:rFonts w:hint="eastAsia" w:ascii="宋体" w:hAnsi="宋体" w:eastAsia="宋体" w:cs="宋体"/>
                <w:b/>
                <w:sz w:val="24"/>
                <w:szCs w:val="24"/>
              </w:rPr>
              <w:t>规格型号</w:t>
            </w:r>
          </w:p>
        </w:tc>
        <w:tc>
          <w:tcPr>
            <w:tcW w:w="1276" w:type="dxa"/>
            <w:vAlign w:val="center"/>
          </w:tcPr>
          <w:p w14:paraId="01E662BE">
            <w:pPr>
              <w:snapToGrid w:val="0"/>
              <w:spacing w:line="360" w:lineRule="auto"/>
              <w:jc w:val="center"/>
              <w:rPr>
                <w:rFonts w:ascii="宋体" w:hAnsi="宋体" w:eastAsia="宋体" w:cs="宋体"/>
                <w:b/>
                <w:sz w:val="24"/>
                <w:szCs w:val="24"/>
              </w:rPr>
            </w:pPr>
            <w:r>
              <w:rPr>
                <w:rFonts w:hint="eastAsia" w:ascii="宋体" w:hAnsi="宋体" w:eastAsia="宋体" w:cs="宋体"/>
                <w:b/>
                <w:sz w:val="24"/>
                <w:szCs w:val="24"/>
              </w:rPr>
              <w:t>品牌</w:t>
            </w:r>
          </w:p>
        </w:tc>
        <w:tc>
          <w:tcPr>
            <w:tcW w:w="992" w:type="dxa"/>
            <w:vAlign w:val="center"/>
          </w:tcPr>
          <w:p w14:paraId="774A09F7">
            <w:pPr>
              <w:snapToGrid w:val="0"/>
              <w:spacing w:line="360" w:lineRule="auto"/>
              <w:jc w:val="center"/>
              <w:rPr>
                <w:rFonts w:ascii="宋体" w:hAnsi="宋体" w:eastAsia="宋体" w:cs="宋体"/>
                <w:b/>
                <w:sz w:val="24"/>
                <w:szCs w:val="24"/>
              </w:rPr>
            </w:pPr>
            <w:r>
              <w:rPr>
                <w:rFonts w:hint="eastAsia" w:ascii="宋体" w:hAnsi="宋体" w:eastAsia="宋体" w:cs="宋体"/>
                <w:b/>
                <w:sz w:val="24"/>
                <w:szCs w:val="24"/>
              </w:rPr>
              <w:t>单位</w:t>
            </w:r>
          </w:p>
        </w:tc>
        <w:tc>
          <w:tcPr>
            <w:tcW w:w="851" w:type="dxa"/>
            <w:vAlign w:val="center"/>
          </w:tcPr>
          <w:p w14:paraId="12209E47">
            <w:pPr>
              <w:snapToGrid w:val="0"/>
              <w:spacing w:line="360" w:lineRule="auto"/>
              <w:jc w:val="center"/>
              <w:rPr>
                <w:rFonts w:ascii="宋体" w:hAnsi="宋体" w:eastAsia="宋体" w:cs="宋体"/>
                <w:b/>
                <w:sz w:val="24"/>
                <w:szCs w:val="24"/>
              </w:rPr>
            </w:pPr>
            <w:r>
              <w:rPr>
                <w:rFonts w:hint="eastAsia" w:ascii="宋体" w:hAnsi="宋体" w:eastAsia="宋体" w:cs="宋体"/>
                <w:b/>
                <w:sz w:val="24"/>
                <w:szCs w:val="24"/>
              </w:rPr>
              <w:t>数量</w:t>
            </w:r>
          </w:p>
        </w:tc>
        <w:tc>
          <w:tcPr>
            <w:tcW w:w="850" w:type="dxa"/>
            <w:vAlign w:val="center"/>
          </w:tcPr>
          <w:p w14:paraId="30EB0ED7">
            <w:pPr>
              <w:snapToGrid w:val="0"/>
              <w:spacing w:line="360" w:lineRule="auto"/>
              <w:jc w:val="center"/>
              <w:rPr>
                <w:rFonts w:ascii="宋体" w:hAnsi="宋体" w:eastAsia="宋体" w:cs="宋体"/>
                <w:b/>
                <w:sz w:val="24"/>
                <w:szCs w:val="24"/>
              </w:rPr>
            </w:pPr>
            <w:r>
              <w:rPr>
                <w:rFonts w:hint="eastAsia" w:ascii="宋体" w:hAnsi="宋体" w:eastAsia="宋体" w:cs="宋体"/>
                <w:b/>
                <w:sz w:val="24"/>
                <w:szCs w:val="24"/>
              </w:rPr>
              <w:t>单价</w:t>
            </w:r>
          </w:p>
        </w:tc>
        <w:tc>
          <w:tcPr>
            <w:tcW w:w="851" w:type="dxa"/>
            <w:vAlign w:val="center"/>
          </w:tcPr>
          <w:p w14:paraId="5CF3DC3D">
            <w:pPr>
              <w:snapToGrid w:val="0"/>
              <w:spacing w:line="360" w:lineRule="auto"/>
              <w:jc w:val="center"/>
              <w:rPr>
                <w:rFonts w:ascii="宋体" w:hAnsi="宋体" w:eastAsia="宋体" w:cs="宋体"/>
                <w:b/>
                <w:sz w:val="24"/>
                <w:szCs w:val="24"/>
              </w:rPr>
            </w:pPr>
            <w:r>
              <w:rPr>
                <w:rFonts w:hint="eastAsia" w:ascii="宋体" w:hAnsi="宋体" w:eastAsia="宋体" w:cs="宋体"/>
                <w:b/>
                <w:sz w:val="24"/>
                <w:szCs w:val="24"/>
              </w:rPr>
              <w:t>金额</w:t>
            </w:r>
          </w:p>
        </w:tc>
        <w:tc>
          <w:tcPr>
            <w:tcW w:w="965" w:type="dxa"/>
            <w:vAlign w:val="center"/>
          </w:tcPr>
          <w:p w14:paraId="08824C74">
            <w:pPr>
              <w:snapToGrid w:val="0"/>
              <w:spacing w:line="360" w:lineRule="auto"/>
              <w:ind w:firstLine="120" w:firstLineChars="50"/>
              <w:jc w:val="center"/>
              <w:rPr>
                <w:rFonts w:ascii="宋体" w:hAnsi="宋体" w:eastAsia="宋体" w:cs="宋体"/>
                <w:b/>
                <w:sz w:val="24"/>
                <w:szCs w:val="24"/>
              </w:rPr>
            </w:pPr>
            <w:r>
              <w:rPr>
                <w:rFonts w:hint="eastAsia" w:ascii="宋体" w:hAnsi="宋体" w:eastAsia="宋体" w:cs="宋体"/>
                <w:b/>
                <w:sz w:val="24"/>
                <w:szCs w:val="24"/>
              </w:rPr>
              <w:t>备注</w:t>
            </w:r>
          </w:p>
        </w:tc>
      </w:tr>
      <w:tr w14:paraId="1DB91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703" w:type="dxa"/>
            <w:vAlign w:val="center"/>
          </w:tcPr>
          <w:p w14:paraId="12DA3303">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1</w:t>
            </w:r>
          </w:p>
        </w:tc>
        <w:tc>
          <w:tcPr>
            <w:tcW w:w="1674" w:type="dxa"/>
            <w:vAlign w:val="center"/>
          </w:tcPr>
          <w:p w14:paraId="565669B3">
            <w:pPr>
              <w:snapToGrid w:val="0"/>
              <w:spacing w:line="360" w:lineRule="auto"/>
              <w:jc w:val="center"/>
              <w:rPr>
                <w:rFonts w:ascii="宋体" w:hAnsi="宋体" w:eastAsia="宋体" w:cs="宋体"/>
                <w:sz w:val="24"/>
                <w:szCs w:val="24"/>
              </w:rPr>
            </w:pPr>
          </w:p>
        </w:tc>
        <w:tc>
          <w:tcPr>
            <w:tcW w:w="1211" w:type="dxa"/>
            <w:vAlign w:val="center"/>
          </w:tcPr>
          <w:p w14:paraId="7C23D95E">
            <w:pPr>
              <w:snapToGrid w:val="0"/>
              <w:spacing w:line="360" w:lineRule="auto"/>
              <w:jc w:val="center"/>
              <w:rPr>
                <w:rFonts w:ascii="宋体" w:hAnsi="宋体" w:eastAsia="宋体" w:cs="宋体"/>
                <w:sz w:val="24"/>
                <w:szCs w:val="24"/>
              </w:rPr>
            </w:pPr>
          </w:p>
        </w:tc>
        <w:tc>
          <w:tcPr>
            <w:tcW w:w="1276" w:type="dxa"/>
            <w:vAlign w:val="center"/>
          </w:tcPr>
          <w:p w14:paraId="18C37C17">
            <w:pPr>
              <w:snapToGrid w:val="0"/>
              <w:spacing w:line="360" w:lineRule="auto"/>
              <w:jc w:val="center"/>
              <w:rPr>
                <w:rFonts w:ascii="宋体" w:hAnsi="宋体" w:eastAsia="宋体" w:cs="宋体"/>
                <w:sz w:val="24"/>
                <w:szCs w:val="24"/>
              </w:rPr>
            </w:pPr>
          </w:p>
        </w:tc>
        <w:tc>
          <w:tcPr>
            <w:tcW w:w="992" w:type="dxa"/>
            <w:vAlign w:val="center"/>
          </w:tcPr>
          <w:p w14:paraId="668DEBF9">
            <w:pPr>
              <w:snapToGrid w:val="0"/>
              <w:spacing w:line="360" w:lineRule="auto"/>
              <w:jc w:val="center"/>
              <w:rPr>
                <w:rFonts w:ascii="宋体" w:hAnsi="宋体" w:eastAsia="宋体" w:cs="宋体"/>
                <w:sz w:val="24"/>
                <w:szCs w:val="24"/>
              </w:rPr>
            </w:pPr>
          </w:p>
        </w:tc>
        <w:tc>
          <w:tcPr>
            <w:tcW w:w="851" w:type="dxa"/>
            <w:vAlign w:val="center"/>
          </w:tcPr>
          <w:p w14:paraId="228D43AC">
            <w:pPr>
              <w:snapToGrid w:val="0"/>
              <w:spacing w:line="360" w:lineRule="auto"/>
              <w:jc w:val="center"/>
              <w:rPr>
                <w:rFonts w:ascii="宋体" w:hAnsi="宋体" w:eastAsia="宋体" w:cs="宋体"/>
                <w:sz w:val="24"/>
                <w:szCs w:val="24"/>
              </w:rPr>
            </w:pPr>
          </w:p>
        </w:tc>
        <w:tc>
          <w:tcPr>
            <w:tcW w:w="850" w:type="dxa"/>
            <w:vAlign w:val="center"/>
          </w:tcPr>
          <w:p w14:paraId="0C4F0690">
            <w:pPr>
              <w:snapToGrid w:val="0"/>
              <w:spacing w:line="360" w:lineRule="auto"/>
              <w:jc w:val="center"/>
              <w:rPr>
                <w:rFonts w:ascii="宋体" w:hAnsi="宋体" w:eastAsia="宋体" w:cs="宋体"/>
                <w:sz w:val="24"/>
                <w:szCs w:val="24"/>
              </w:rPr>
            </w:pPr>
          </w:p>
        </w:tc>
        <w:tc>
          <w:tcPr>
            <w:tcW w:w="851" w:type="dxa"/>
            <w:vAlign w:val="center"/>
          </w:tcPr>
          <w:p w14:paraId="711A037C">
            <w:pPr>
              <w:snapToGrid w:val="0"/>
              <w:spacing w:line="360" w:lineRule="auto"/>
              <w:jc w:val="center"/>
              <w:rPr>
                <w:rFonts w:ascii="宋体" w:hAnsi="宋体" w:eastAsia="宋体" w:cs="宋体"/>
                <w:sz w:val="24"/>
                <w:szCs w:val="24"/>
              </w:rPr>
            </w:pPr>
          </w:p>
        </w:tc>
        <w:tc>
          <w:tcPr>
            <w:tcW w:w="965" w:type="dxa"/>
            <w:vAlign w:val="center"/>
          </w:tcPr>
          <w:p w14:paraId="74647308">
            <w:pPr>
              <w:snapToGrid w:val="0"/>
              <w:spacing w:line="360" w:lineRule="auto"/>
              <w:jc w:val="center"/>
              <w:rPr>
                <w:rFonts w:ascii="宋体" w:hAnsi="宋体" w:eastAsia="宋体" w:cs="宋体"/>
                <w:sz w:val="24"/>
                <w:szCs w:val="24"/>
              </w:rPr>
            </w:pPr>
          </w:p>
        </w:tc>
      </w:tr>
      <w:tr w14:paraId="7AD6A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trPr>
        <w:tc>
          <w:tcPr>
            <w:tcW w:w="703" w:type="dxa"/>
            <w:vAlign w:val="center"/>
          </w:tcPr>
          <w:p w14:paraId="47A26CF7">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2</w:t>
            </w:r>
          </w:p>
        </w:tc>
        <w:tc>
          <w:tcPr>
            <w:tcW w:w="1674" w:type="dxa"/>
            <w:vAlign w:val="center"/>
          </w:tcPr>
          <w:p w14:paraId="4059B137">
            <w:pPr>
              <w:snapToGrid w:val="0"/>
              <w:spacing w:line="360" w:lineRule="auto"/>
              <w:jc w:val="center"/>
              <w:rPr>
                <w:rFonts w:ascii="宋体" w:hAnsi="宋体" w:eastAsia="宋体" w:cs="宋体"/>
                <w:sz w:val="24"/>
                <w:szCs w:val="24"/>
              </w:rPr>
            </w:pPr>
          </w:p>
        </w:tc>
        <w:tc>
          <w:tcPr>
            <w:tcW w:w="1211" w:type="dxa"/>
            <w:vAlign w:val="center"/>
          </w:tcPr>
          <w:p w14:paraId="2BA6EE37">
            <w:pPr>
              <w:snapToGrid w:val="0"/>
              <w:spacing w:line="360" w:lineRule="auto"/>
              <w:jc w:val="center"/>
              <w:rPr>
                <w:rFonts w:ascii="宋体" w:hAnsi="宋体" w:eastAsia="宋体" w:cs="宋体"/>
                <w:sz w:val="24"/>
                <w:szCs w:val="24"/>
              </w:rPr>
            </w:pPr>
          </w:p>
        </w:tc>
        <w:tc>
          <w:tcPr>
            <w:tcW w:w="1276" w:type="dxa"/>
            <w:vAlign w:val="center"/>
          </w:tcPr>
          <w:p w14:paraId="3D831870">
            <w:pPr>
              <w:snapToGrid w:val="0"/>
              <w:spacing w:line="360" w:lineRule="auto"/>
              <w:jc w:val="center"/>
              <w:rPr>
                <w:rFonts w:ascii="宋体" w:hAnsi="宋体" w:eastAsia="宋体" w:cs="宋体"/>
                <w:sz w:val="24"/>
                <w:szCs w:val="24"/>
              </w:rPr>
            </w:pPr>
          </w:p>
        </w:tc>
        <w:tc>
          <w:tcPr>
            <w:tcW w:w="992" w:type="dxa"/>
            <w:vAlign w:val="center"/>
          </w:tcPr>
          <w:p w14:paraId="1C497B0B">
            <w:pPr>
              <w:snapToGrid w:val="0"/>
              <w:spacing w:line="360" w:lineRule="auto"/>
              <w:jc w:val="center"/>
              <w:rPr>
                <w:rFonts w:ascii="宋体" w:hAnsi="宋体" w:eastAsia="宋体" w:cs="宋体"/>
                <w:sz w:val="24"/>
                <w:szCs w:val="24"/>
              </w:rPr>
            </w:pPr>
          </w:p>
        </w:tc>
        <w:tc>
          <w:tcPr>
            <w:tcW w:w="851" w:type="dxa"/>
            <w:vAlign w:val="center"/>
          </w:tcPr>
          <w:p w14:paraId="7F83425B">
            <w:pPr>
              <w:snapToGrid w:val="0"/>
              <w:spacing w:line="360" w:lineRule="auto"/>
              <w:jc w:val="center"/>
              <w:rPr>
                <w:rFonts w:ascii="宋体" w:hAnsi="宋体" w:eastAsia="宋体" w:cs="宋体"/>
                <w:sz w:val="24"/>
                <w:szCs w:val="24"/>
              </w:rPr>
            </w:pPr>
          </w:p>
        </w:tc>
        <w:tc>
          <w:tcPr>
            <w:tcW w:w="850" w:type="dxa"/>
            <w:vAlign w:val="center"/>
          </w:tcPr>
          <w:p w14:paraId="17B68295">
            <w:pPr>
              <w:snapToGrid w:val="0"/>
              <w:spacing w:line="360" w:lineRule="auto"/>
              <w:jc w:val="center"/>
              <w:rPr>
                <w:rFonts w:ascii="宋体" w:hAnsi="宋体" w:eastAsia="宋体" w:cs="宋体"/>
                <w:sz w:val="24"/>
                <w:szCs w:val="24"/>
              </w:rPr>
            </w:pPr>
          </w:p>
        </w:tc>
        <w:tc>
          <w:tcPr>
            <w:tcW w:w="851" w:type="dxa"/>
            <w:vAlign w:val="center"/>
          </w:tcPr>
          <w:p w14:paraId="22A84972">
            <w:pPr>
              <w:snapToGrid w:val="0"/>
              <w:spacing w:line="360" w:lineRule="auto"/>
              <w:jc w:val="center"/>
              <w:rPr>
                <w:rFonts w:ascii="宋体" w:hAnsi="宋体" w:eastAsia="宋体" w:cs="宋体"/>
                <w:sz w:val="24"/>
                <w:szCs w:val="24"/>
              </w:rPr>
            </w:pPr>
          </w:p>
        </w:tc>
        <w:tc>
          <w:tcPr>
            <w:tcW w:w="965" w:type="dxa"/>
            <w:vAlign w:val="center"/>
          </w:tcPr>
          <w:p w14:paraId="7191F7FF">
            <w:pPr>
              <w:snapToGrid w:val="0"/>
              <w:spacing w:line="360" w:lineRule="auto"/>
              <w:jc w:val="center"/>
              <w:rPr>
                <w:rFonts w:ascii="宋体" w:hAnsi="宋体" w:eastAsia="宋体" w:cs="宋体"/>
                <w:sz w:val="24"/>
                <w:szCs w:val="24"/>
              </w:rPr>
            </w:pPr>
          </w:p>
        </w:tc>
      </w:tr>
      <w:tr w14:paraId="1FC77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trPr>
        <w:tc>
          <w:tcPr>
            <w:tcW w:w="703" w:type="dxa"/>
            <w:vAlign w:val="center"/>
          </w:tcPr>
          <w:p w14:paraId="23A7137A">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3</w:t>
            </w:r>
          </w:p>
        </w:tc>
        <w:tc>
          <w:tcPr>
            <w:tcW w:w="1674" w:type="dxa"/>
            <w:vAlign w:val="center"/>
          </w:tcPr>
          <w:p w14:paraId="68C7EA62">
            <w:pPr>
              <w:snapToGrid w:val="0"/>
              <w:spacing w:line="360" w:lineRule="auto"/>
              <w:jc w:val="center"/>
              <w:rPr>
                <w:rFonts w:ascii="宋体" w:hAnsi="宋体" w:eastAsia="宋体" w:cs="宋体"/>
                <w:sz w:val="24"/>
                <w:szCs w:val="24"/>
              </w:rPr>
            </w:pPr>
          </w:p>
        </w:tc>
        <w:tc>
          <w:tcPr>
            <w:tcW w:w="1211" w:type="dxa"/>
            <w:vAlign w:val="center"/>
          </w:tcPr>
          <w:p w14:paraId="3F62CC8B">
            <w:pPr>
              <w:snapToGrid w:val="0"/>
              <w:spacing w:line="360" w:lineRule="auto"/>
              <w:jc w:val="center"/>
              <w:rPr>
                <w:rFonts w:ascii="宋体" w:hAnsi="宋体" w:eastAsia="宋体" w:cs="宋体"/>
                <w:sz w:val="24"/>
                <w:szCs w:val="24"/>
              </w:rPr>
            </w:pPr>
          </w:p>
        </w:tc>
        <w:tc>
          <w:tcPr>
            <w:tcW w:w="1276" w:type="dxa"/>
            <w:vAlign w:val="center"/>
          </w:tcPr>
          <w:p w14:paraId="069A1386">
            <w:pPr>
              <w:snapToGrid w:val="0"/>
              <w:spacing w:line="360" w:lineRule="auto"/>
              <w:jc w:val="center"/>
              <w:rPr>
                <w:rFonts w:ascii="宋体" w:hAnsi="宋体" w:eastAsia="宋体" w:cs="宋体"/>
                <w:sz w:val="24"/>
                <w:szCs w:val="24"/>
              </w:rPr>
            </w:pPr>
          </w:p>
        </w:tc>
        <w:tc>
          <w:tcPr>
            <w:tcW w:w="992" w:type="dxa"/>
            <w:vAlign w:val="center"/>
          </w:tcPr>
          <w:p w14:paraId="4B334868">
            <w:pPr>
              <w:snapToGrid w:val="0"/>
              <w:spacing w:line="360" w:lineRule="auto"/>
              <w:jc w:val="center"/>
              <w:rPr>
                <w:rFonts w:ascii="宋体" w:hAnsi="宋体" w:eastAsia="宋体" w:cs="宋体"/>
                <w:sz w:val="24"/>
                <w:szCs w:val="24"/>
              </w:rPr>
            </w:pPr>
          </w:p>
        </w:tc>
        <w:tc>
          <w:tcPr>
            <w:tcW w:w="851" w:type="dxa"/>
            <w:vAlign w:val="center"/>
          </w:tcPr>
          <w:p w14:paraId="48913325">
            <w:pPr>
              <w:snapToGrid w:val="0"/>
              <w:spacing w:line="360" w:lineRule="auto"/>
              <w:jc w:val="center"/>
              <w:rPr>
                <w:rFonts w:ascii="宋体" w:hAnsi="宋体" w:eastAsia="宋体" w:cs="宋体"/>
                <w:sz w:val="24"/>
                <w:szCs w:val="24"/>
              </w:rPr>
            </w:pPr>
          </w:p>
        </w:tc>
        <w:tc>
          <w:tcPr>
            <w:tcW w:w="850" w:type="dxa"/>
            <w:vAlign w:val="center"/>
          </w:tcPr>
          <w:p w14:paraId="56AA04A8">
            <w:pPr>
              <w:snapToGrid w:val="0"/>
              <w:spacing w:line="360" w:lineRule="auto"/>
              <w:jc w:val="center"/>
              <w:rPr>
                <w:rFonts w:ascii="宋体" w:hAnsi="宋体" w:eastAsia="宋体" w:cs="宋体"/>
                <w:sz w:val="24"/>
                <w:szCs w:val="24"/>
              </w:rPr>
            </w:pPr>
          </w:p>
        </w:tc>
        <w:tc>
          <w:tcPr>
            <w:tcW w:w="851" w:type="dxa"/>
            <w:vAlign w:val="center"/>
          </w:tcPr>
          <w:p w14:paraId="68696F53">
            <w:pPr>
              <w:snapToGrid w:val="0"/>
              <w:spacing w:line="360" w:lineRule="auto"/>
              <w:jc w:val="center"/>
              <w:rPr>
                <w:rFonts w:ascii="宋体" w:hAnsi="宋体" w:eastAsia="宋体" w:cs="宋体"/>
                <w:sz w:val="24"/>
                <w:szCs w:val="24"/>
              </w:rPr>
            </w:pPr>
          </w:p>
        </w:tc>
        <w:tc>
          <w:tcPr>
            <w:tcW w:w="965" w:type="dxa"/>
            <w:vAlign w:val="center"/>
          </w:tcPr>
          <w:p w14:paraId="330737AF">
            <w:pPr>
              <w:snapToGrid w:val="0"/>
              <w:spacing w:line="360" w:lineRule="auto"/>
              <w:jc w:val="center"/>
              <w:rPr>
                <w:rFonts w:ascii="宋体" w:hAnsi="宋体" w:eastAsia="宋体" w:cs="宋体"/>
                <w:sz w:val="24"/>
                <w:szCs w:val="24"/>
              </w:rPr>
            </w:pPr>
          </w:p>
        </w:tc>
      </w:tr>
      <w:tr w14:paraId="5831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trPr>
        <w:tc>
          <w:tcPr>
            <w:tcW w:w="703" w:type="dxa"/>
            <w:vAlign w:val="center"/>
          </w:tcPr>
          <w:p w14:paraId="50E1991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4</w:t>
            </w:r>
          </w:p>
        </w:tc>
        <w:tc>
          <w:tcPr>
            <w:tcW w:w="1674" w:type="dxa"/>
            <w:vAlign w:val="center"/>
          </w:tcPr>
          <w:p w14:paraId="5CB53ECF">
            <w:pPr>
              <w:snapToGrid w:val="0"/>
              <w:spacing w:line="360" w:lineRule="auto"/>
              <w:jc w:val="center"/>
              <w:rPr>
                <w:rFonts w:ascii="宋体" w:hAnsi="宋体" w:eastAsia="宋体" w:cs="宋体"/>
                <w:sz w:val="24"/>
                <w:szCs w:val="24"/>
              </w:rPr>
            </w:pPr>
          </w:p>
        </w:tc>
        <w:tc>
          <w:tcPr>
            <w:tcW w:w="1211" w:type="dxa"/>
            <w:vAlign w:val="center"/>
          </w:tcPr>
          <w:p w14:paraId="7D092015">
            <w:pPr>
              <w:snapToGrid w:val="0"/>
              <w:spacing w:line="360" w:lineRule="auto"/>
              <w:jc w:val="center"/>
              <w:rPr>
                <w:rFonts w:ascii="宋体" w:hAnsi="宋体" w:eastAsia="宋体" w:cs="宋体"/>
                <w:sz w:val="24"/>
                <w:szCs w:val="24"/>
              </w:rPr>
            </w:pPr>
          </w:p>
        </w:tc>
        <w:tc>
          <w:tcPr>
            <w:tcW w:w="1276" w:type="dxa"/>
            <w:vAlign w:val="center"/>
          </w:tcPr>
          <w:p w14:paraId="74098055">
            <w:pPr>
              <w:snapToGrid w:val="0"/>
              <w:spacing w:line="360" w:lineRule="auto"/>
              <w:jc w:val="center"/>
              <w:rPr>
                <w:rFonts w:ascii="宋体" w:hAnsi="宋体" w:eastAsia="宋体" w:cs="宋体"/>
                <w:sz w:val="24"/>
                <w:szCs w:val="24"/>
              </w:rPr>
            </w:pPr>
          </w:p>
        </w:tc>
        <w:tc>
          <w:tcPr>
            <w:tcW w:w="992" w:type="dxa"/>
            <w:vAlign w:val="center"/>
          </w:tcPr>
          <w:p w14:paraId="19D2E2DC">
            <w:pPr>
              <w:snapToGrid w:val="0"/>
              <w:spacing w:line="360" w:lineRule="auto"/>
              <w:jc w:val="center"/>
              <w:rPr>
                <w:rFonts w:ascii="宋体" w:hAnsi="宋体" w:eastAsia="宋体" w:cs="宋体"/>
                <w:sz w:val="24"/>
                <w:szCs w:val="24"/>
              </w:rPr>
            </w:pPr>
          </w:p>
        </w:tc>
        <w:tc>
          <w:tcPr>
            <w:tcW w:w="851" w:type="dxa"/>
            <w:vAlign w:val="center"/>
          </w:tcPr>
          <w:p w14:paraId="00D33DF1">
            <w:pPr>
              <w:snapToGrid w:val="0"/>
              <w:spacing w:line="360" w:lineRule="auto"/>
              <w:jc w:val="center"/>
              <w:rPr>
                <w:rFonts w:ascii="宋体" w:hAnsi="宋体" w:eastAsia="宋体" w:cs="宋体"/>
                <w:sz w:val="24"/>
                <w:szCs w:val="24"/>
              </w:rPr>
            </w:pPr>
          </w:p>
        </w:tc>
        <w:tc>
          <w:tcPr>
            <w:tcW w:w="850" w:type="dxa"/>
            <w:vAlign w:val="center"/>
          </w:tcPr>
          <w:p w14:paraId="1F4040EF">
            <w:pPr>
              <w:snapToGrid w:val="0"/>
              <w:spacing w:line="360" w:lineRule="auto"/>
              <w:jc w:val="center"/>
              <w:rPr>
                <w:rFonts w:ascii="宋体" w:hAnsi="宋体" w:eastAsia="宋体" w:cs="宋体"/>
                <w:sz w:val="24"/>
                <w:szCs w:val="24"/>
              </w:rPr>
            </w:pPr>
          </w:p>
        </w:tc>
        <w:tc>
          <w:tcPr>
            <w:tcW w:w="851" w:type="dxa"/>
            <w:vAlign w:val="center"/>
          </w:tcPr>
          <w:p w14:paraId="7789942E">
            <w:pPr>
              <w:snapToGrid w:val="0"/>
              <w:spacing w:line="360" w:lineRule="auto"/>
              <w:jc w:val="center"/>
              <w:rPr>
                <w:rFonts w:ascii="宋体" w:hAnsi="宋体" w:eastAsia="宋体" w:cs="宋体"/>
                <w:sz w:val="24"/>
                <w:szCs w:val="24"/>
              </w:rPr>
            </w:pPr>
          </w:p>
        </w:tc>
        <w:tc>
          <w:tcPr>
            <w:tcW w:w="965" w:type="dxa"/>
            <w:vAlign w:val="center"/>
          </w:tcPr>
          <w:p w14:paraId="24C21D47">
            <w:pPr>
              <w:snapToGrid w:val="0"/>
              <w:spacing w:line="360" w:lineRule="auto"/>
              <w:jc w:val="center"/>
              <w:rPr>
                <w:rFonts w:ascii="宋体" w:hAnsi="宋体" w:eastAsia="宋体" w:cs="宋体"/>
                <w:sz w:val="24"/>
                <w:szCs w:val="24"/>
              </w:rPr>
            </w:pPr>
          </w:p>
        </w:tc>
      </w:tr>
      <w:tr w14:paraId="2D659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trPr>
        <w:tc>
          <w:tcPr>
            <w:tcW w:w="703" w:type="dxa"/>
            <w:vAlign w:val="center"/>
          </w:tcPr>
          <w:p w14:paraId="5691B4F1">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w:t>
            </w:r>
          </w:p>
        </w:tc>
        <w:tc>
          <w:tcPr>
            <w:tcW w:w="1674" w:type="dxa"/>
            <w:vAlign w:val="center"/>
          </w:tcPr>
          <w:p w14:paraId="22E25F54">
            <w:pPr>
              <w:snapToGrid w:val="0"/>
              <w:spacing w:line="360" w:lineRule="auto"/>
              <w:jc w:val="center"/>
              <w:rPr>
                <w:rFonts w:ascii="宋体" w:hAnsi="宋体" w:eastAsia="宋体" w:cs="宋体"/>
                <w:sz w:val="24"/>
                <w:szCs w:val="24"/>
              </w:rPr>
            </w:pPr>
          </w:p>
        </w:tc>
        <w:tc>
          <w:tcPr>
            <w:tcW w:w="1211" w:type="dxa"/>
            <w:vAlign w:val="center"/>
          </w:tcPr>
          <w:p w14:paraId="6D739B6C">
            <w:pPr>
              <w:snapToGrid w:val="0"/>
              <w:spacing w:line="360" w:lineRule="auto"/>
              <w:jc w:val="center"/>
              <w:rPr>
                <w:rFonts w:ascii="宋体" w:hAnsi="宋体" w:eastAsia="宋体" w:cs="宋体"/>
                <w:sz w:val="24"/>
                <w:szCs w:val="24"/>
              </w:rPr>
            </w:pPr>
          </w:p>
        </w:tc>
        <w:tc>
          <w:tcPr>
            <w:tcW w:w="1276" w:type="dxa"/>
            <w:vAlign w:val="center"/>
          </w:tcPr>
          <w:p w14:paraId="7BA40A95">
            <w:pPr>
              <w:snapToGrid w:val="0"/>
              <w:spacing w:line="360" w:lineRule="auto"/>
              <w:jc w:val="center"/>
              <w:rPr>
                <w:rFonts w:ascii="宋体" w:hAnsi="宋体" w:eastAsia="宋体" w:cs="宋体"/>
                <w:sz w:val="24"/>
                <w:szCs w:val="24"/>
              </w:rPr>
            </w:pPr>
          </w:p>
        </w:tc>
        <w:tc>
          <w:tcPr>
            <w:tcW w:w="992" w:type="dxa"/>
            <w:vAlign w:val="center"/>
          </w:tcPr>
          <w:p w14:paraId="78D7276C">
            <w:pPr>
              <w:snapToGrid w:val="0"/>
              <w:spacing w:line="360" w:lineRule="auto"/>
              <w:jc w:val="center"/>
              <w:rPr>
                <w:rFonts w:ascii="宋体" w:hAnsi="宋体" w:eastAsia="宋体" w:cs="宋体"/>
                <w:sz w:val="24"/>
                <w:szCs w:val="24"/>
              </w:rPr>
            </w:pPr>
          </w:p>
        </w:tc>
        <w:tc>
          <w:tcPr>
            <w:tcW w:w="851" w:type="dxa"/>
            <w:vAlign w:val="center"/>
          </w:tcPr>
          <w:p w14:paraId="70EF950F">
            <w:pPr>
              <w:snapToGrid w:val="0"/>
              <w:spacing w:line="360" w:lineRule="auto"/>
              <w:jc w:val="center"/>
              <w:rPr>
                <w:rFonts w:ascii="宋体" w:hAnsi="宋体" w:eastAsia="宋体" w:cs="宋体"/>
                <w:sz w:val="24"/>
                <w:szCs w:val="24"/>
              </w:rPr>
            </w:pPr>
          </w:p>
        </w:tc>
        <w:tc>
          <w:tcPr>
            <w:tcW w:w="850" w:type="dxa"/>
            <w:vAlign w:val="center"/>
          </w:tcPr>
          <w:p w14:paraId="536C6815">
            <w:pPr>
              <w:snapToGrid w:val="0"/>
              <w:spacing w:line="360" w:lineRule="auto"/>
              <w:jc w:val="center"/>
              <w:rPr>
                <w:rFonts w:ascii="宋体" w:hAnsi="宋体" w:eastAsia="宋体" w:cs="宋体"/>
                <w:sz w:val="24"/>
                <w:szCs w:val="24"/>
              </w:rPr>
            </w:pPr>
          </w:p>
        </w:tc>
        <w:tc>
          <w:tcPr>
            <w:tcW w:w="851" w:type="dxa"/>
            <w:vAlign w:val="center"/>
          </w:tcPr>
          <w:p w14:paraId="638485B1">
            <w:pPr>
              <w:snapToGrid w:val="0"/>
              <w:spacing w:line="360" w:lineRule="auto"/>
              <w:jc w:val="center"/>
              <w:rPr>
                <w:rFonts w:ascii="宋体" w:hAnsi="宋体" w:eastAsia="宋体" w:cs="宋体"/>
                <w:sz w:val="24"/>
                <w:szCs w:val="24"/>
              </w:rPr>
            </w:pPr>
          </w:p>
        </w:tc>
        <w:tc>
          <w:tcPr>
            <w:tcW w:w="965" w:type="dxa"/>
            <w:vAlign w:val="center"/>
          </w:tcPr>
          <w:p w14:paraId="508FCFFB">
            <w:pPr>
              <w:snapToGrid w:val="0"/>
              <w:spacing w:line="360" w:lineRule="auto"/>
              <w:jc w:val="center"/>
              <w:rPr>
                <w:rFonts w:ascii="宋体" w:hAnsi="宋体" w:eastAsia="宋体" w:cs="宋体"/>
                <w:sz w:val="24"/>
                <w:szCs w:val="24"/>
              </w:rPr>
            </w:pPr>
          </w:p>
        </w:tc>
      </w:tr>
      <w:tr w14:paraId="0EEC2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703" w:type="dxa"/>
            <w:vAlign w:val="center"/>
          </w:tcPr>
          <w:p w14:paraId="5AA1609C">
            <w:pPr>
              <w:snapToGrid w:val="0"/>
              <w:spacing w:line="360" w:lineRule="auto"/>
              <w:jc w:val="center"/>
              <w:rPr>
                <w:rFonts w:ascii="宋体" w:hAnsi="宋体" w:eastAsia="宋体" w:cs="宋体"/>
                <w:sz w:val="24"/>
                <w:szCs w:val="24"/>
              </w:rPr>
            </w:pPr>
            <w:r>
              <w:rPr>
                <w:rFonts w:hint="eastAsia" w:ascii="宋体" w:hAnsi="宋体" w:eastAsia="宋体" w:cs="宋体"/>
                <w:sz w:val="24"/>
                <w:szCs w:val="24"/>
              </w:rPr>
              <w:t>合计</w:t>
            </w:r>
          </w:p>
        </w:tc>
        <w:tc>
          <w:tcPr>
            <w:tcW w:w="8670" w:type="dxa"/>
            <w:gridSpan w:val="8"/>
            <w:vAlign w:val="center"/>
          </w:tcPr>
          <w:p w14:paraId="3E652F70">
            <w:pPr>
              <w:snapToGrid w:val="0"/>
              <w:spacing w:line="360" w:lineRule="auto"/>
              <w:jc w:val="center"/>
              <w:rPr>
                <w:rFonts w:ascii="宋体" w:hAnsi="宋体" w:eastAsia="宋体" w:cs="宋体"/>
                <w:sz w:val="24"/>
                <w:szCs w:val="24"/>
              </w:rPr>
            </w:pPr>
          </w:p>
        </w:tc>
      </w:tr>
    </w:tbl>
    <w:p w14:paraId="04942F13">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1.4 设备交货期：合同签订后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个日历日内完成交货。</w:t>
      </w:r>
    </w:p>
    <w:p w14:paraId="2EE31C88">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 xml:space="preserve">1.5 </w:t>
      </w:r>
      <w:r>
        <w:rPr>
          <w:rFonts w:hint="eastAsia" w:ascii="宋体" w:hAnsi="宋体" w:eastAsia="宋体" w:cs="宋体"/>
          <w:spacing w:val="7"/>
          <w:sz w:val="24"/>
          <w:szCs w:val="24"/>
          <w:shd w:val="clear" w:color="auto" w:fill="FFFFFF"/>
        </w:rPr>
        <w:t>项目交付时间：</w:t>
      </w:r>
      <w:r>
        <w:rPr>
          <w:rFonts w:hint="eastAsia" w:ascii="宋体" w:hAnsi="宋体" w:eastAsia="宋体" w:cs="宋体"/>
          <w:spacing w:val="7"/>
          <w:sz w:val="24"/>
          <w:szCs w:val="24"/>
          <w:u w:val="single"/>
          <w:shd w:val="clear" w:color="auto" w:fill="FFFFFF"/>
        </w:rPr>
        <w:t xml:space="preserve">                  </w:t>
      </w:r>
      <w:r>
        <w:rPr>
          <w:rFonts w:hint="eastAsia" w:ascii="宋体" w:hAnsi="宋体" w:eastAsia="宋体" w:cs="宋体"/>
          <w:spacing w:val="7"/>
          <w:sz w:val="24"/>
          <w:szCs w:val="24"/>
          <w:shd w:val="clear" w:color="auto" w:fill="FFFFFF"/>
        </w:rPr>
        <w:t>完成交付。</w:t>
      </w:r>
    </w:p>
    <w:p w14:paraId="7BE48B87">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1.6 履行地点：江苏航运职业技术学院，具体按甲方指定地点送货安装并提供服务。</w:t>
      </w:r>
    </w:p>
    <w:p w14:paraId="4D5C0E24">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1.7 履行方式：同招标文件要求。</w:t>
      </w:r>
    </w:p>
    <w:p w14:paraId="25555BE5">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1.8 包装方式：同招标文件要求。</w:t>
      </w:r>
    </w:p>
    <w:p w14:paraId="0C524483">
      <w:pPr>
        <w:spacing w:line="360" w:lineRule="auto"/>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二、合同金额</w:t>
      </w:r>
    </w:p>
    <w:p w14:paraId="64573A10">
      <w:pPr>
        <w:widowControl/>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2.1 本合同金额为（大写）：人民币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已包含但不限于本项目所有设备费、劳务费、管理费、材料费、机械费、包装费、运输费、装卸费（含上下力资费）、安装费、云服务费、升级维护费、服务费（包括调试、安装完毕后对相关人员的技术指导、培训、服务等）、措施费、风险费（政策性文件规定及本合同包含的所有风险）、售后服务费等利润和税金、质保期内的维护保养费等。</w:t>
      </w:r>
    </w:p>
    <w:p w14:paraId="147B4C32">
      <w:pPr>
        <w:widowControl/>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2.2 本合同价格形式为固定单价合同，该固定单价在合同履行过程中不因市场变化、政策调整等各种因素而变动。</w:t>
      </w:r>
    </w:p>
    <w:p w14:paraId="3D853DC1">
      <w:pPr>
        <w:widowControl/>
        <w:spacing w:line="360" w:lineRule="auto"/>
        <w:ind w:firstLine="482" w:firstLineChars="200"/>
        <w:jc w:val="left"/>
        <w:rPr>
          <w:rFonts w:ascii="宋体" w:hAnsi="宋体" w:eastAsia="宋体" w:cs="宋体"/>
          <w:b/>
          <w:color w:val="000000"/>
          <w:sz w:val="24"/>
          <w:szCs w:val="24"/>
        </w:rPr>
      </w:pPr>
      <w:r>
        <w:rPr>
          <w:rFonts w:hint="eastAsia" w:ascii="宋体" w:hAnsi="宋体" w:eastAsia="宋体" w:cs="宋体"/>
          <w:b/>
          <w:color w:val="000000"/>
          <w:sz w:val="24"/>
          <w:szCs w:val="24"/>
        </w:rPr>
        <w:t>三、技术资料</w:t>
      </w:r>
    </w:p>
    <w:p w14:paraId="61731A3A">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3.1 乙方应按招标文件规定的时间向甲方提供使用货物(包含与货物相关的服务)的有关技术资料。乙方在签订本合同前对本项目的全部技术要求及说明、质量标准、招标文件、合同条件、现场条件及周围环境、交通道路、现场管理要求等已详细研究并完全明确，在合同价款中已予以充分考虑。</w:t>
      </w:r>
    </w:p>
    <w:p w14:paraId="0772CC42">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C4EB55C">
      <w:pPr>
        <w:spacing w:line="360" w:lineRule="auto"/>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四、知识产权</w:t>
      </w:r>
    </w:p>
    <w:p w14:paraId="54131FEE">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4.1 乙方应保证甲方在使用、接受本合同货物（包含与货物相关的服务）或其任何一部分时不受第三方提出侵犯其专利权、版权、商标权、著作权和工业设计权等知识产权的起诉。一旦出现侵权，由乙方负全部责任。</w:t>
      </w:r>
    </w:p>
    <w:p w14:paraId="090C80AD">
      <w:pPr>
        <w:spacing w:line="360" w:lineRule="auto"/>
        <w:ind w:firstLine="482" w:firstLineChars="200"/>
        <w:rPr>
          <w:rFonts w:ascii="宋体" w:hAnsi="宋体" w:eastAsia="宋体" w:cs="宋体"/>
          <w:color w:val="000000"/>
          <w:sz w:val="24"/>
          <w:szCs w:val="24"/>
          <w:u w:val="single"/>
        </w:rPr>
      </w:pPr>
      <w:r>
        <w:rPr>
          <w:rFonts w:hint="eastAsia" w:ascii="宋体" w:hAnsi="宋体" w:eastAsia="宋体" w:cs="宋体"/>
          <w:b/>
          <w:color w:val="000000"/>
          <w:sz w:val="24"/>
          <w:szCs w:val="24"/>
        </w:rPr>
        <w:t>五、产权担保</w:t>
      </w:r>
    </w:p>
    <w:p w14:paraId="0782FCF6">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5.1 乙方保证所交付的货物（包含与货物相关的服务）的所有权完全属于乙方且无任何抵押、查封等产权瑕疵。乙方应具有所交付软件的软件著作权证明材料或提供软件授权证明材料。</w:t>
      </w:r>
    </w:p>
    <w:p w14:paraId="7EF710B0">
      <w:pPr>
        <w:spacing w:line="360" w:lineRule="auto"/>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六、履约保证金</w:t>
      </w:r>
    </w:p>
    <w:p w14:paraId="0C1D973F">
      <w:pPr>
        <w:spacing w:line="360" w:lineRule="auto"/>
        <w:ind w:left="478" w:leftChars="184"/>
        <w:rPr>
          <w:rFonts w:ascii="宋体" w:hAnsi="宋体" w:eastAsia="宋体" w:cs="宋体"/>
          <w:color w:val="000000"/>
          <w:sz w:val="24"/>
          <w:szCs w:val="24"/>
        </w:rPr>
      </w:pPr>
      <w:r>
        <w:rPr>
          <w:rFonts w:hint="eastAsia" w:ascii="宋体" w:hAnsi="宋体" w:eastAsia="宋体" w:cs="宋体"/>
          <w:color w:val="000000"/>
          <w:sz w:val="24"/>
          <w:szCs w:val="24"/>
        </w:rPr>
        <w:t>6.1 乙方提供的履约保证金额为合同价的10%，本合同履约保证金为：</w:t>
      </w:r>
      <w:r>
        <w:rPr>
          <w:rFonts w:hint="eastAsia" w:ascii="宋体" w:hAnsi="宋体" w:eastAsia="宋体" w:cs="宋体"/>
          <w:bCs/>
          <w:sz w:val="24"/>
          <w:szCs w:val="24"/>
          <w:u w:val="single"/>
        </w:rPr>
        <w:t>人民币 元     （¥     ）</w:t>
      </w:r>
    </w:p>
    <w:p w14:paraId="1EFDD1A1">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6.2 缴纳履约保证金时间：乙方在中标通知书发出之日起15日内。</w:t>
      </w:r>
    </w:p>
    <w:p w14:paraId="5224ED6F">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6.3 缴纳履约保证金形式：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7473D8E">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甲方的账户：</w:t>
      </w:r>
    </w:p>
    <w:p w14:paraId="093F4BC1">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单位名称：江苏航运职业技术学院</w:t>
      </w:r>
    </w:p>
    <w:p w14:paraId="4D91B8B7">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开户行：中国建设银行南通经济技术开发区支行；</w:t>
      </w:r>
    </w:p>
    <w:p w14:paraId="6B0F9BED">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账号：32001642336052515609；</w:t>
      </w:r>
    </w:p>
    <w:p w14:paraId="2C6EBF9F">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统一社会信用代码：123200004660042577。</w:t>
      </w:r>
    </w:p>
    <w:p w14:paraId="5721AD5F">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合同全部履行结束后，甲方应及时退还交纳的履约保证金。</w:t>
      </w:r>
    </w:p>
    <w:p w14:paraId="38072A45">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6.4 退还履约保证金时间：</w:t>
      </w:r>
      <w:r>
        <w:rPr>
          <w:rFonts w:hint="eastAsia" w:ascii="宋体" w:hAnsi="宋体" w:eastAsia="宋体" w:cs="宋体"/>
          <w:sz w:val="24"/>
          <w:szCs w:val="24"/>
          <w:lang w:eastAsia="zh-CN"/>
        </w:rPr>
        <w:t>乙方</w:t>
      </w:r>
      <w:r>
        <w:rPr>
          <w:rFonts w:hint="eastAsia" w:ascii="宋体" w:hAnsi="宋体" w:eastAsia="宋体" w:cs="宋体"/>
          <w:sz w:val="24"/>
          <w:szCs w:val="24"/>
        </w:rPr>
        <w:t>全部履约合同义务，质保期满后无质量、进度等问题的，</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lang w:val="en-US" w:eastAsia="zh-CN"/>
        </w:rPr>
        <w:t>凭</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lang w:val="en-US" w:eastAsia="zh-CN"/>
        </w:rPr>
        <w:t>提交的申请，</w:t>
      </w:r>
      <w:r>
        <w:rPr>
          <w:rFonts w:hint="eastAsia" w:ascii="宋体" w:hAnsi="宋体" w:eastAsia="宋体" w:cs="宋体"/>
          <w:sz w:val="24"/>
          <w:szCs w:val="24"/>
        </w:rPr>
        <w:t>在三十个工作日内一次性退还履约保证金（不计息）</w:t>
      </w:r>
      <w:r>
        <w:rPr>
          <w:rFonts w:hint="eastAsia" w:ascii="宋体" w:hAnsi="宋体" w:eastAsia="宋体" w:cs="宋体"/>
          <w:color w:val="000000"/>
          <w:sz w:val="24"/>
          <w:szCs w:val="24"/>
        </w:rPr>
        <w:t>或者退还履约保证金保函</w:t>
      </w:r>
      <w:r>
        <w:rPr>
          <w:rFonts w:hint="eastAsia" w:ascii="宋体" w:hAnsi="宋体" w:eastAsia="宋体" w:cs="宋体"/>
          <w:sz w:val="24"/>
          <w:szCs w:val="24"/>
        </w:rPr>
        <w:t>，</w:t>
      </w:r>
      <w:r>
        <w:rPr>
          <w:rFonts w:hint="eastAsia" w:ascii="宋体" w:hAnsi="宋体" w:eastAsia="宋体" w:cs="宋体"/>
          <w:sz w:val="24"/>
          <w:szCs w:val="24"/>
          <w:lang w:eastAsia="zh-CN"/>
        </w:rPr>
        <w:t>甲方</w:t>
      </w:r>
      <w:r>
        <w:rPr>
          <w:rFonts w:hint="eastAsia" w:ascii="宋体" w:hAnsi="宋体" w:eastAsia="宋体" w:cs="宋体"/>
          <w:sz w:val="24"/>
          <w:szCs w:val="24"/>
        </w:rPr>
        <w:t>若逾期退还履约保证金的，按照逾期部分的每日</w:t>
      </w:r>
      <w:r>
        <w:rPr>
          <w:rFonts w:hint="eastAsia" w:ascii="宋体" w:hAnsi="宋体" w:eastAsia="宋体" w:cs="宋体"/>
          <w:sz w:val="24"/>
          <w:szCs w:val="24"/>
          <w:u w:val="single"/>
        </w:rPr>
        <w:t>0.05%</w:t>
      </w:r>
      <w:r>
        <w:rPr>
          <w:rFonts w:hint="eastAsia" w:ascii="宋体" w:hAnsi="宋体" w:eastAsia="宋体" w:cs="宋体"/>
          <w:sz w:val="24"/>
          <w:szCs w:val="24"/>
        </w:rPr>
        <w:t>支付违约金。</w:t>
      </w:r>
      <w:r>
        <w:rPr>
          <w:rFonts w:hint="eastAsia" w:ascii="宋体" w:hAnsi="宋体" w:eastAsia="宋体" w:cs="宋体"/>
          <w:color w:val="000000"/>
          <w:sz w:val="24"/>
          <w:szCs w:val="24"/>
        </w:rPr>
        <w:t xml:space="preserve">   </w:t>
      </w:r>
    </w:p>
    <w:p w14:paraId="483CA2A2">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 xml:space="preserve">6.5 退还履约保证金方式：同缴纳方式。   </w:t>
      </w:r>
    </w:p>
    <w:p w14:paraId="52C910F2">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6.6 退还履约保证金条件：</w:t>
      </w:r>
      <w:r>
        <w:rPr>
          <w:rFonts w:hint="eastAsia" w:ascii="宋体" w:hAnsi="宋体" w:eastAsia="宋体" w:cs="宋体"/>
          <w:sz w:val="24"/>
          <w:szCs w:val="24"/>
          <w:lang w:eastAsia="zh-CN"/>
        </w:rPr>
        <w:t>乙方</w:t>
      </w:r>
      <w:r>
        <w:rPr>
          <w:rFonts w:hint="eastAsia" w:ascii="宋体" w:hAnsi="宋体" w:eastAsia="宋体" w:cs="宋体"/>
          <w:sz w:val="24"/>
          <w:szCs w:val="24"/>
        </w:rPr>
        <w:t>全部履约合同义务，质保期满后无质量、进度等问题的，</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lang w:val="en-US" w:eastAsia="zh-CN"/>
        </w:rPr>
        <w:t>凭</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lang w:val="en-US" w:eastAsia="zh-CN"/>
        </w:rPr>
        <w:t>提交的申请，</w:t>
      </w:r>
      <w:r>
        <w:rPr>
          <w:rFonts w:hint="eastAsia" w:ascii="宋体" w:hAnsi="宋体" w:eastAsia="宋体" w:cs="宋体"/>
          <w:sz w:val="24"/>
          <w:szCs w:val="24"/>
        </w:rPr>
        <w:t>在三十个工作日内一次性退还履约保证金（不计息）</w:t>
      </w:r>
      <w:r>
        <w:rPr>
          <w:rFonts w:hint="eastAsia" w:ascii="宋体" w:hAnsi="宋体" w:eastAsia="宋体" w:cs="宋体"/>
          <w:color w:val="000000"/>
          <w:sz w:val="24"/>
          <w:szCs w:val="24"/>
        </w:rPr>
        <w:t>或者退还履约保证金保函。</w:t>
      </w:r>
    </w:p>
    <w:p w14:paraId="5423E03F">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6.7 履约保证金不予退还的情形：</w:t>
      </w:r>
    </w:p>
    <w:p w14:paraId="54071ADD">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a.签订合同后，乙方不履行合同义务的，甲方有权全额扣除履约保证金，全额不予退还，同时甲方亦有权终止合同，乙方还须承担相应的法律赔偿责任。</w:t>
      </w:r>
    </w:p>
    <w:p w14:paraId="1BAD284F">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b.乙方在履约过程中发生违约行为，给甲方造成损失或者应承担违约金的，甲方有权在乙方缴纳的履约保证金中予以扣款或要求担保人按照保函约定向甲方无条件付款，不足的部分乙方另外补齐。因乙方违约导致甲方解除本合同的，甲方有权没收全部履约保证金或要求担保人按照保函约定向甲方无条件付款。并且，乙方还应承担本合同其他条款约定的违约责任。</w:t>
      </w:r>
    </w:p>
    <w:p w14:paraId="58709C4E">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lang w:val="en-US" w:eastAsia="zh-CN"/>
        </w:rPr>
        <w:t>c</w:t>
      </w:r>
      <w:r>
        <w:rPr>
          <w:rFonts w:hint="eastAsia" w:ascii="宋体" w:hAnsi="宋体" w:eastAsia="宋体" w:cs="宋体"/>
          <w:color w:val="000000"/>
          <w:sz w:val="24"/>
          <w:szCs w:val="24"/>
        </w:rPr>
        <w:t>.若乙方以保函形式提供担保的，乙方需将保函正本提交给甲方。乙方在履约过程中发生违约行为，甲方有权要求担保人按照保函约定向甲方无条件付款。满足本合同第6.6约定的条件时，甲方将保函正本退还给乙方。</w:t>
      </w:r>
    </w:p>
    <w:p w14:paraId="5E8D18A3">
      <w:pPr>
        <w:spacing w:line="360" w:lineRule="auto"/>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七、合同转包等事项</w:t>
      </w:r>
    </w:p>
    <w:p w14:paraId="6644E680">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7.1 乙方不得将合同标的转包给他人履行。乙方如有转包，甲方视为乙方根本违约，有权给予解除合同。</w:t>
      </w:r>
    </w:p>
    <w:p w14:paraId="2E105EE6">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7.2 乙方保证提供的产品不得侵犯第三方专利权、商标权和设计权、版权等。否则，乙方负全部责任，并承担由此引起的一切后果。</w:t>
      </w:r>
    </w:p>
    <w:p w14:paraId="49795FB1">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7.3 乙方应保证其货物在正确安装、正常使用下，在其使用寿命期内应具有满意的性能。</w:t>
      </w:r>
    </w:p>
    <w:p w14:paraId="26BC6B02">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7.4 乙方应采取必要的安全措施保证货物的运输及安装的安全，并承担货物的运输及安装过程中产生的风险。</w:t>
      </w:r>
    </w:p>
    <w:p w14:paraId="4D2406D0">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7.5 乙方提供的所有货物必须满足招标文件要求，须与分项报价明细表注明规格型号、价格、数量等相符，否则乙方承担违约责任。货物到货后，需报甲方后方可进场，对于不合格的货物严禁使用到本项目，否则一切损失及后果由乙方自行承担。</w:t>
      </w:r>
    </w:p>
    <w:p w14:paraId="2B906F04">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7.6 乙方提供详细的生产供货及安装计划，并标明主要时间节点。</w:t>
      </w:r>
    </w:p>
    <w:p w14:paraId="5FAC3B33">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发货前乙方均应通知甲方进行验收（但甲方的验收对于乙方应按本合同承担的质量担保责任不予任何减轻或免除）。</w:t>
      </w:r>
    </w:p>
    <w:p w14:paraId="37FE899B">
      <w:pPr>
        <w:spacing w:line="360" w:lineRule="auto"/>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八、合同款项支付</w:t>
      </w:r>
    </w:p>
    <w:p w14:paraId="04034816">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8.1 合同款项的支付方式及进度安排</w:t>
      </w:r>
    </w:p>
    <w:p w14:paraId="465F0E8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在合同签订后，</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按要求将货物(设备)送到指定交货地点，货物(设备)安装调试结束后</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组织预验收，预验收通过后，进行正式验收，正式验收合格（以</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正式验收报告为准)</w:t>
      </w:r>
      <w:r>
        <w:rPr>
          <w:rFonts w:hint="eastAsia" w:ascii="宋体" w:hAnsi="宋体" w:eastAsia="宋体" w:cs="宋体"/>
          <w:color w:val="000000"/>
          <w:sz w:val="24"/>
          <w:szCs w:val="24"/>
          <w:lang w:eastAsia="zh-CN"/>
        </w:rPr>
        <w:t>并审计，</w:t>
      </w:r>
      <w:r>
        <w:rPr>
          <w:rFonts w:hint="eastAsia" w:ascii="宋体" w:hAnsi="宋体" w:eastAsia="宋体" w:cs="宋体"/>
          <w:color w:val="000000"/>
          <w:sz w:val="24"/>
          <w:szCs w:val="24"/>
        </w:rPr>
        <w:t>审计结束后</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付至审定价的100%。</w:t>
      </w:r>
    </w:p>
    <w:p w14:paraId="52A719A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8.2 乙方凭以下文件资料申请支付合同款</w:t>
      </w:r>
    </w:p>
    <w:p w14:paraId="2400415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8.2.1 采购合同； </w:t>
      </w:r>
    </w:p>
    <w:p w14:paraId="04CBAB75">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 xml:space="preserve">8.2.2 中标通知书复印件或扫描件； </w:t>
      </w:r>
    </w:p>
    <w:p w14:paraId="2D83C016">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8.2.3 乙方开具的国家税务机关监制的正式增值税发票；</w:t>
      </w:r>
    </w:p>
    <w:p w14:paraId="5FE1674C">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8.2.4 甲方已收讫货物的验收凭证；</w:t>
      </w:r>
    </w:p>
    <w:p w14:paraId="60F92FC9">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 xml:space="preserve">8.2.5 甲方签发的验收合格文件。  </w:t>
      </w:r>
    </w:p>
    <w:p w14:paraId="004F8423">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8.3 因甲方使用的是财政资金，甲方在前款规定的付款时间为向政府采购支付部门提出办理财政支付申请手续的时间（不含政府财政支付部门审核的时间），在规定时间内提出支付申请手续后即视为甲方是按期支付。</w:t>
      </w:r>
    </w:p>
    <w:p w14:paraId="530C7ACF">
      <w:pPr>
        <w:spacing w:line="360" w:lineRule="auto"/>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九、税费</w:t>
      </w:r>
    </w:p>
    <w:p w14:paraId="1DF95BE1">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9.1 本合同执行中相关的一切税费均由乙方负担。</w:t>
      </w:r>
    </w:p>
    <w:p w14:paraId="3072BF88">
      <w:pPr>
        <w:spacing w:line="360" w:lineRule="auto"/>
        <w:ind w:firstLine="482" w:firstLineChars="200"/>
        <w:rPr>
          <w:rFonts w:ascii="宋体" w:hAnsi="宋体" w:eastAsia="宋体" w:cs="宋体"/>
          <w:color w:val="000000"/>
          <w:sz w:val="24"/>
          <w:szCs w:val="24"/>
        </w:rPr>
      </w:pPr>
      <w:r>
        <w:rPr>
          <w:rFonts w:hint="eastAsia" w:ascii="宋体" w:hAnsi="宋体" w:eastAsia="宋体" w:cs="宋体"/>
          <w:b/>
          <w:color w:val="000000"/>
          <w:sz w:val="24"/>
          <w:szCs w:val="24"/>
        </w:rPr>
        <w:t>十、质量保修范围和保修期及售后服务</w:t>
      </w:r>
    </w:p>
    <w:p w14:paraId="09FE6442">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10.1 乙方应按招标文件规定的货物性能、技术要求、质量标准向甲方提供产品，并不低于投标文件的质量、规格和参数的要求。</w:t>
      </w:r>
    </w:p>
    <w:p w14:paraId="273B42ED">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10.2 乙方提供的货物在质量期内因货物本身的质量问题发生故障，乙方应负责免费更换。对达不到技术要求者，根据实际情况，经双方协商，可按以下办法处理：</w:t>
      </w:r>
    </w:p>
    <w:p w14:paraId="53C931FB">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（1）更换：由乙方承担所发生的全部费用。</w:t>
      </w:r>
    </w:p>
    <w:p w14:paraId="23ACE817">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（2）贬值处理：由甲乙双方合议定价。</w:t>
      </w:r>
    </w:p>
    <w:p w14:paraId="7728B841">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（3）退货处理：乙方应退还甲方支付的合同款，同时应承担该货物的直接费用（运输、保险、检验、货款利息及银行手续费等）。</w:t>
      </w:r>
    </w:p>
    <w:p w14:paraId="52935ADE">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10.3 售后服务要求：</w:t>
      </w:r>
    </w:p>
    <w:p w14:paraId="6537367E">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 xml:space="preserve">10.3.1 产品终生免费升级维护。其他按有关规定执行(国际标准、国家标准、行业标准或企业标准)。 </w:t>
      </w:r>
    </w:p>
    <w:p w14:paraId="125AE717">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 xml:space="preserve">10.3.2 产品使用中，乙方接到甲方电话通知后，在一小时内提供技术指导或远程维护，如需要在12小时（省外单位48小时）内派出技术人员到达用户现场进行相关服务。 </w:t>
      </w:r>
    </w:p>
    <w:p w14:paraId="7438EC36">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10.3.3 安装、调试、培训要求：项目实施阶段乙方安排专业技术人员现场实施，乙方对使用方进行所有设备的免费使用培训。</w:t>
      </w:r>
    </w:p>
    <w:p w14:paraId="76E90C48">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10.4 上述的货物免费保修期为三年（自交货验收合格之日起计）。</w:t>
      </w:r>
    </w:p>
    <w:p w14:paraId="2FA358D1">
      <w:pPr>
        <w:spacing w:line="360" w:lineRule="auto"/>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十一、项目验收</w:t>
      </w:r>
    </w:p>
    <w:p w14:paraId="66FCAA0B">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11.1 甲方依法组织履约验收工作。</w:t>
      </w:r>
    </w:p>
    <w:p w14:paraId="369F987B">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11.2 如有必要，甲方邀请参加本项目的其他供应商或第三方专业机构及专家参与验收，相关意见将作为验收书的参考资料。</w:t>
      </w:r>
    </w:p>
    <w:p w14:paraId="3BDC3414">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11.3 甲方成立验收小组，按照采购合同的约定对乙方的履约情况进行验收。验收时间、验收标准见招标文件验收内容。验收时，甲方按照采购合同的约定对每一项技术、商务要求的履约情况进行确认。验收结束后，验收小组出具验收报告，列明验收结果。验收结果与采购合同约定的资金支付及履约保证金返还条件挂钩。</w:t>
      </w:r>
    </w:p>
    <w:p w14:paraId="4F450AF8">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11.4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5FE334D2">
      <w:pPr>
        <w:spacing w:line="360" w:lineRule="auto"/>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十二、货物的包装、发运及运输</w:t>
      </w:r>
    </w:p>
    <w:p w14:paraId="7055A4B0">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6F021E08">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12.2 使用说明书、质量检验证明书、随配附件和工具以及清单一并附于货物内。</w:t>
      </w:r>
    </w:p>
    <w:p w14:paraId="74D88AA8">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12.3 货物在交付甲方前发生的风险均由乙方负责。</w:t>
      </w:r>
    </w:p>
    <w:p w14:paraId="25B90F4E">
      <w:pPr>
        <w:spacing w:line="360" w:lineRule="auto"/>
        <w:ind w:right="26"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12.4 货物在规定的交付期限内由乙方送达甲方指定的地点视为交付，乙方同时需通知甲方货物已送达。</w:t>
      </w:r>
    </w:p>
    <w:p w14:paraId="6A58FCF8">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12.5 乙方提供的货物必须达到或优于招标文件“采购清单”技术需求中各项指标参数。</w:t>
      </w:r>
    </w:p>
    <w:p w14:paraId="71C6052E">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乙方交付的货物质量不得低于投标样品及投标响应文件中产品生产工艺方案要求，否则甲方有权拒收、部分拒收、退货、部分退货直至解除本合同，同时甲方有权保留使用该产品直至乙方提供合格产品替换，并要求乙方支付因此造成的所有损失。</w:t>
      </w:r>
    </w:p>
    <w:p w14:paraId="60DD2D6A">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12.6 商品包装环保要求：应当按《关于印发〈商品包装政府采购需求标准（试行）〉、〈快递包装政府采购需求标准（试行）〉的通知》（财办库〔2020〕123号）文件执行。</w:t>
      </w:r>
    </w:p>
    <w:p w14:paraId="5664BD64">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（1）商品包装层数不得超过 3 层，空隙率不大于 40%；</w:t>
      </w:r>
    </w:p>
    <w:p w14:paraId="52801343">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（2）商品包装尽可能使用单一材质的包装材料，如因功能需求必需使用不同材质，不同材质间应便于分离；</w:t>
      </w:r>
    </w:p>
    <w:p w14:paraId="587F58E5">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（3）商品包装中铅、汞、镉、六价铬的总含量应不大于100mg/kg；</w:t>
      </w:r>
    </w:p>
    <w:p w14:paraId="39D11A11">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（4）商品包装印刷使用的油墨中挥发性有机化合物(VOCs)含量应不大于 5%（以重量计）；</w:t>
      </w:r>
    </w:p>
    <w:p w14:paraId="3F335BA1">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（5）塑料材质商品包装上呈现的印刷颜色不得超过6色；</w:t>
      </w:r>
    </w:p>
    <w:p w14:paraId="340C359D">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（6）纸质商品包装应使用 75%以上的可再生纤维原料生产；</w:t>
      </w:r>
    </w:p>
    <w:p w14:paraId="0E35F3AB">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（7）木质商品包装的原料应来源于可持续性森林。</w:t>
      </w:r>
    </w:p>
    <w:p w14:paraId="64EB8F4C">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12.7 快递包装环保要求：</w:t>
      </w:r>
    </w:p>
    <w:p w14:paraId="0851C0A2">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（1）快递包装中重金属（铅、汞、镉、六价铬）总量应不大于 100mg/kg；</w:t>
      </w:r>
    </w:p>
    <w:p w14:paraId="4045B254">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（2）快递包装印刷使用的油墨中不应添加邻苯二甲酸酯，其挥发性有机化合物(VOCs)含量应不大于5%（以重量计）；</w:t>
      </w:r>
    </w:p>
    <w:p w14:paraId="05A78C41">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（3）快递包装中使用纸基材的包装材料，纸基材中的有机氯的含量应不大于 150 mg/kg；</w:t>
      </w:r>
    </w:p>
    <w:p w14:paraId="012558D5">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50961EDE">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（5）快递中使用的塑料包装袋不得使用聚氯乙烯作为原料，且原料应为单一材质制成，生物分解率大于60%；</w:t>
      </w:r>
    </w:p>
    <w:p w14:paraId="6D78FC2F">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（6）快递中使用的充气类填充物不得使用聚氯乙烯作为 原料，且原料为单一材质制成，生物分解率大于60%；</w:t>
      </w:r>
    </w:p>
    <w:p w14:paraId="6628EC41">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（7）快递中使用的集装袋应为单一材质制成，其重复使用次数应不小于 80 次；</w:t>
      </w:r>
    </w:p>
    <w:p w14:paraId="36F95E76">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（8）快递中应使用幅宽不大于45mm 的生物降解胶带；</w:t>
      </w:r>
    </w:p>
    <w:p w14:paraId="159307C1">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（9）快递包装中不得使用溶剂型胶粘剂；</w:t>
      </w:r>
    </w:p>
    <w:p w14:paraId="47C32DE2">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（10）快递应使用电子面单；</w:t>
      </w:r>
    </w:p>
    <w:p w14:paraId="4FF8A930">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（11）直接使用商品包装作为快递包装的商品，其商品包装满足《商品包装政府采购需求标准（试行）》即可；</w:t>
      </w:r>
    </w:p>
    <w:p w14:paraId="56B3F7F0">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（12）快递包装产品质量和封装方式应符合相关国家或行业标准技术指标要求。</w:t>
      </w:r>
    </w:p>
    <w:p w14:paraId="6EF73AED">
      <w:pPr>
        <w:spacing w:line="360" w:lineRule="auto"/>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十三、违约责任</w:t>
      </w:r>
    </w:p>
    <w:p w14:paraId="62BFA5C0">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13.1 甲方无正当理由未按合同规定的期限向乙方支付货款的，每逾期1天甲方向乙方支付该批次货款总额的0.04%滞纳金，批次累计滞纳金总额不超过批次欠款总额的0.6%。</w:t>
      </w:r>
    </w:p>
    <w:p w14:paraId="455FA17B">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13.2 乙方逾期交付货物的，每逾期1天，乙方向甲方偿付支付该批次货款总额的0.04%滞纳金，批次累计滞纳金总额不超过批次总额的0.6%。</w:t>
      </w:r>
    </w:p>
    <w:p w14:paraId="72B4395B">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13.3 乙方所交付的货物品种、型号、规格不符合合同规定，乙方需在收到书面通知15日内解决退换货问题，因退换货造成逾期交付的，乙方需交纳逾期滞纳金，逾期滞纳金按原收货截止日次日起计至合格货物收到之日止，每逾期1天，按本批次货款总额的0.04%计算。若乙方在15日退换货期限内不能完成供货，除每日按本批次货款总额的0.04%计算滞纳金外，还应支付每日1万元罚款，直至供货日止。若乙方在以上合计60天期限内仍不能完成供货，将被处以此批货款30%的罚款，同时处罚履约保证金的50%，甲方可采取必要的补救措施，但由此引发的风险和费用将由乙方承担。</w:t>
      </w:r>
    </w:p>
    <w:p w14:paraId="4FCF75E3">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13.4 乙方未按合同规定的和“服务承诺”提供的售后服务的，应按合同总价款的8%向甲方承担违约责任。</w:t>
      </w:r>
    </w:p>
    <w:p w14:paraId="648FB557">
      <w:pPr>
        <w:spacing w:line="360" w:lineRule="auto"/>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十四、不可抗力事件处理</w:t>
      </w:r>
    </w:p>
    <w:p w14:paraId="0F9119FF">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14.1 在合同有效期内，任何一方因不可抗力事件导致不能履行合同，则合同履行期可延长，其延长期与不可抗力影响期相同。</w:t>
      </w:r>
    </w:p>
    <w:p w14:paraId="21FC007E">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14.2 不可抗力事件发生后，应立即通知对方，并寄送有关权威机构出具的证明。</w:t>
      </w:r>
    </w:p>
    <w:p w14:paraId="42EF9B3E">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14.3 不可抗力事件延续120天以上，双方应通过友好协商，确定是否继续履行合同。</w:t>
      </w:r>
    </w:p>
    <w:p w14:paraId="2ACA39C1">
      <w:pPr>
        <w:spacing w:line="360" w:lineRule="auto"/>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十五、解决争议的方法</w:t>
      </w:r>
    </w:p>
    <w:p w14:paraId="582BE3C3">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15.1 甲乙双方因合同签订、履行而发生的一切争议，应通过友好协商解决。如协商不成由甲方所地人民法院管辖。</w:t>
      </w:r>
    </w:p>
    <w:p w14:paraId="0724A177">
      <w:pPr>
        <w:spacing w:line="360" w:lineRule="auto"/>
        <w:ind w:firstLine="482" w:firstLineChars="200"/>
        <w:rPr>
          <w:rFonts w:ascii="宋体" w:hAnsi="宋体" w:eastAsia="宋体" w:cs="宋体"/>
          <w:b/>
          <w:color w:val="000000"/>
          <w:sz w:val="24"/>
          <w:szCs w:val="24"/>
        </w:rPr>
      </w:pPr>
      <w:r>
        <w:rPr>
          <w:rFonts w:hint="eastAsia" w:ascii="宋体" w:hAnsi="宋体" w:eastAsia="宋体" w:cs="宋体"/>
          <w:b/>
          <w:color w:val="000000"/>
          <w:sz w:val="24"/>
          <w:szCs w:val="24"/>
        </w:rPr>
        <w:t>十六、合同生效及其它</w:t>
      </w:r>
    </w:p>
    <w:p w14:paraId="1FFFAC7E">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16.1 合同经双方法定代表人或授权委托代表人签字并加盖单位公章后生效。</w:t>
      </w:r>
    </w:p>
    <w:p w14:paraId="50375B0B">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16.2 本合同未尽事宜，遵照中华人民共和国现行法律法规有关条文执行。</w:t>
      </w:r>
    </w:p>
    <w:p w14:paraId="1EF74383">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16.3 本合同正本一式捌份，具有同等法律效力，甲方、乙方各执肆份。</w:t>
      </w:r>
    </w:p>
    <w:p w14:paraId="14A0F54F">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 xml:space="preserve">16.4 </w:t>
      </w:r>
      <w:r>
        <w:rPr>
          <w:rFonts w:hint="eastAsia" w:ascii="宋体" w:hAnsi="宋体" w:eastAsia="宋体" w:cs="宋体"/>
          <w:color w:val="000000"/>
          <w:sz w:val="24"/>
          <w:szCs w:val="24"/>
          <w:lang w:val="zh-CN"/>
        </w:rPr>
        <w:t>组成本合同的有关文件</w:t>
      </w:r>
    </w:p>
    <w:p w14:paraId="5FC4D735">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组成合同的各项文件应互相解释，互为说明。除专用合同条款另有约定外，解释合同文件的优先顺序如下： </w:t>
      </w:r>
    </w:p>
    <w:p w14:paraId="7E5D823E">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（1）合同协议书； </w:t>
      </w:r>
    </w:p>
    <w:p w14:paraId="41000ADE">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（2）中标通知书； </w:t>
      </w:r>
    </w:p>
    <w:p w14:paraId="2658974B">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（3）投标文件； </w:t>
      </w:r>
    </w:p>
    <w:p w14:paraId="0580FEFB">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lang w:val="zh-CN"/>
        </w:rPr>
        <w:t>（4）</w:t>
      </w:r>
      <w:r>
        <w:rPr>
          <w:rFonts w:hint="eastAsia" w:ascii="宋体" w:hAnsi="宋体" w:eastAsia="宋体" w:cs="宋体"/>
          <w:color w:val="000000"/>
          <w:sz w:val="24"/>
          <w:szCs w:val="24"/>
        </w:rPr>
        <w:t>招标文件；</w:t>
      </w:r>
    </w:p>
    <w:p w14:paraId="446BEA6B">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5</w:t>
      </w:r>
      <w:r>
        <w:rPr>
          <w:rFonts w:hint="eastAsia" w:ascii="宋体" w:hAnsi="宋体" w:eastAsia="宋体" w:cs="宋体"/>
          <w:color w:val="000000"/>
          <w:sz w:val="24"/>
          <w:szCs w:val="24"/>
          <w:lang w:val="zh-CN"/>
        </w:rPr>
        <w:t>）相关服务计划；</w:t>
      </w:r>
    </w:p>
    <w:p w14:paraId="59B0C680">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6</w:t>
      </w:r>
      <w:r>
        <w:rPr>
          <w:rFonts w:hint="eastAsia" w:ascii="宋体" w:hAnsi="宋体" w:eastAsia="宋体" w:cs="宋体"/>
          <w:color w:val="000000"/>
          <w:sz w:val="24"/>
          <w:szCs w:val="24"/>
          <w:lang w:val="zh-CN"/>
        </w:rPr>
        <w:t>）其他合同文件。</w:t>
      </w:r>
    </w:p>
    <w:p w14:paraId="77C34879">
      <w:pPr>
        <w:spacing w:line="360" w:lineRule="auto"/>
        <w:ind w:firstLine="480" w:firstLineChars="200"/>
        <w:rPr>
          <w:rFonts w:ascii="宋体" w:hAnsi="宋体" w:eastAsia="宋体" w:cs="宋体"/>
          <w:color w:val="000000"/>
          <w:sz w:val="24"/>
          <w:szCs w:val="24"/>
        </w:rPr>
      </w:pPr>
    </w:p>
    <w:p w14:paraId="598CEB83">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 xml:space="preserve">甲方：                           乙方： </w:t>
      </w:r>
    </w:p>
    <w:p w14:paraId="2212A603">
      <w:pPr>
        <w:spacing w:line="360" w:lineRule="auto"/>
        <w:ind w:firstLine="480" w:firstLineChars="200"/>
        <w:rPr>
          <w:rFonts w:ascii="宋体" w:hAnsi="宋体" w:eastAsia="宋体" w:cs="宋体"/>
          <w:color w:val="000000"/>
          <w:sz w:val="24"/>
          <w:szCs w:val="24"/>
        </w:rPr>
      </w:pPr>
    </w:p>
    <w:p w14:paraId="7E6338AC">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 xml:space="preserve">地址：                           地址： </w:t>
      </w:r>
    </w:p>
    <w:p w14:paraId="4FF722A2">
      <w:pPr>
        <w:spacing w:line="360" w:lineRule="auto"/>
        <w:ind w:firstLine="480" w:firstLineChars="200"/>
        <w:rPr>
          <w:rFonts w:ascii="宋体" w:hAnsi="宋体" w:eastAsia="宋体" w:cs="宋体"/>
          <w:color w:val="000000"/>
          <w:sz w:val="24"/>
          <w:szCs w:val="24"/>
        </w:rPr>
      </w:pPr>
    </w:p>
    <w:p w14:paraId="2FB42282">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法定代表人或授权代表：           法定代表人或授权代表：</w:t>
      </w:r>
    </w:p>
    <w:p w14:paraId="22ABD585">
      <w:pPr>
        <w:spacing w:line="360" w:lineRule="auto"/>
        <w:ind w:firstLine="480" w:firstLineChars="200"/>
        <w:jc w:val="left"/>
        <w:rPr>
          <w:rFonts w:ascii="宋体" w:hAnsi="宋体" w:eastAsia="宋体" w:cs="宋体"/>
          <w:color w:val="000000"/>
          <w:sz w:val="24"/>
          <w:szCs w:val="24"/>
        </w:rPr>
      </w:pPr>
    </w:p>
    <w:p w14:paraId="673F4B4C">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 xml:space="preserve">联系电话：                       联系电话：     </w:t>
      </w:r>
    </w:p>
    <w:p w14:paraId="12D1655B">
      <w:pPr>
        <w:spacing w:line="360" w:lineRule="auto"/>
        <w:ind w:firstLine="480" w:firstLineChars="200"/>
        <w:jc w:val="left"/>
        <w:rPr>
          <w:rFonts w:ascii="宋体" w:hAnsi="宋体" w:eastAsia="宋体" w:cs="宋体"/>
          <w:color w:val="000000"/>
          <w:sz w:val="24"/>
          <w:szCs w:val="24"/>
        </w:rPr>
      </w:pPr>
    </w:p>
    <w:p w14:paraId="43122376">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签订日期：2026年月  日</w:t>
      </w:r>
      <w:bookmarkStart w:id="22" w:name="_Hlt16619369"/>
      <w:bookmarkEnd w:id="22"/>
      <w:r>
        <w:rPr>
          <w:rFonts w:hint="eastAsia" w:ascii="宋体" w:hAnsi="宋体" w:eastAsia="宋体" w:cs="宋体"/>
          <w:color w:val="000000"/>
          <w:sz w:val="24"/>
          <w:szCs w:val="24"/>
        </w:rPr>
        <w:t xml:space="preserve">          签订日期：2026年月  日</w:t>
      </w:r>
    </w:p>
    <w:p w14:paraId="0C5AC877">
      <w:pPr>
        <w:spacing w:line="360" w:lineRule="auto"/>
        <w:ind w:firstLine="480" w:firstLineChars="200"/>
        <w:rPr>
          <w:rFonts w:ascii="宋体" w:hAnsi="宋体" w:eastAsia="宋体" w:cs="宋体"/>
          <w:color w:val="000000"/>
          <w:sz w:val="24"/>
          <w:szCs w:val="24"/>
        </w:rPr>
      </w:pPr>
    </w:p>
    <w:p w14:paraId="066E8CB1">
      <w:pPr>
        <w:spacing w:line="360" w:lineRule="auto"/>
        <w:contextualSpacing/>
        <w:jc w:val="center"/>
        <w:outlineLvl w:val="0"/>
        <w:rPr>
          <w:rFonts w:ascii="宋体" w:hAnsi="宋体" w:eastAsia="宋体" w:cs="宋体"/>
          <w:b/>
          <w:bCs/>
          <w:color w:val="000000"/>
          <w:sz w:val="24"/>
          <w:szCs w:val="24"/>
        </w:rPr>
      </w:pPr>
      <w:r>
        <w:rPr>
          <w:rFonts w:hint="eastAsia" w:ascii="宋体" w:hAnsi="宋体" w:eastAsia="宋体" w:cs="宋体"/>
          <w:b/>
          <w:color w:val="000000"/>
          <w:sz w:val="24"/>
          <w:szCs w:val="24"/>
        </w:rPr>
        <w:t>采购人保留对合同修改和完善的权利。</w:t>
      </w:r>
    </w:p>
    <w:p w14:paraId="008B9AD6">
      <w:pPr>
        <w:widowControl/>
        <w:spacing w:line="360" w:lineRule="auto"/>
        <w:ind w:firstLine="723" w:firstLineChars="200"/>
        <w:jc w:val="left"/>
        <w:rPr>
          <w:rFonts w:eastAsia="宋体" w:cs="宋体"/>
          <w:b/>
          <w:color w:val="000000"/>
          <w:sz w:val="36"/>
          <w:szCs w:val="36"/>
        </w:rPr>
      </w:pPr>
    </w:p>
    <w:p w14:paraId="7B0D7B0E">
      <w:pPr>
        <w:widowControl/>
        <w:ind w:firstLine="723"/>
        <w:jc w:val="left"/>
        <w:rPr>
          <w:rFonts w:eastAsia="宋体" w:cs="宋体"/>
          <w:b/>
          <w:color w:val="000000"/>
          <w:sz w:val="36"/>
          <w:szCs w:val="36"/>
        </w:rPr>
      </w:pPr>
      <w:r>
        <w:rPr>
          <w:rFonts w:eastAsia="宋体" w:cs="宋体"/>
          <w:b/>
          <w:color w:val="000000"/>
          <w:sz w:val="36"/>
          <w:szCs w:val="36"/>
        </w:rPr>
        <w:br w:type="page" w:clear="all"/>
      </w:r>
    </w:p>
    <w:p w14:paraId="0E610427">
      <w:pPr>
        <w:spacing w:line="360" w:lineRule="auto"/>
        <w:contextualSpacing/>
        <w:jc w:val="center"/>
        <w:outlineLvl w:val="0"/>
        <w:rPr>
          <w:rFonts w:eastAsia="宋体" w:cs="宋体"/>
          <w:b/>
          <w:color w:val="000000"/>
          <w:sz w:val="36"/>
          <w:szCs w:val="36"/>
        </w:rPr>
      </w:pPr>
      <w:r>
        <w:rPr>
          <w:rFonts w:hint="eastAsia" w:eastAsia="宋体" w:cs="宋体"/>
          <w:b/>
          <w:color w:val="000000"/>
          <w:sz w:val="36"/>
          <w:szCs w:val="36"/>
        </w:rPr>
        <w:t>第六章  合同授予</w:t>
      </w:r>
    </w:p>
    <w:p w14:paraId="0784D4B4">
      <w:pPr>
        <w:spacing w:line="360" w:lineRule="auto"/>
        <w:ind w:firstLine="480"/>
        <w:contextualSpacing/>
        <w:rPr>
          <w:rFonts w:eastAsia="宋体" w:cs="宋体"/>
          <w:color w:val="000000"/>
          <w:sz w:val="24"/>
          <w:szCs w:val="21"/>
        </w:rPr>
      </w:pPr>
    </w:p>
    <w:p w14:paraId="5BBB44BF">
      <w:pPr>
        <w:spacing w:line="360" w:lineRule="auto"/>
        <w:ind w:firstLine="480"/>
        <w:contextualSpacing/>
        <w:rPr>
          <w:rFonts w:eastAsia="宋体" w:cs="宋体"/>
          <w:color w:val="000000"/>
          <w:sz w:val="24"/>
          <w:szCs w:val="21"/>
        </w:rPr>
      </w:pPr>
      <w:r>
        <w:rPr>
          <w:rFonts w:hint="eastAsia" w:eastAsia="宋体" w:cs="宋体"/>
          <w:bCs/>
          <w:color w:val="000000"/>
          <w:sz w:val="24"/>
          <w:szCs w:val="24"/>
        </w:rPr>
        <w:t>一、自中标通知书发出之日起30日内，中标人凭“中标通知书”</w:t>
      </w:r>
      <w:r>
        <w:rPr>
          <w:rFonts w:hint="eastAsia" w:eastAsia="宋体" w:cs="宋体"/>
          <w:bCs/>
          <w:color w:val="000000"/>
          <w:sz w:val="24"/>
          <w:szCs w:val="24"/>
          <w:lang w:eastAsia="zh-CN"/>
        </w:rPr>
        <w:t>、</w:t>
      </w:r>
      <w:r>
        <w:rPr>
          <w:rFonts w:hint="eastAsia" w:eastAsia="宋体" w:cs="宋体"/>
          <w:bCs/>
          <w:color w:val="000000"/>
          <w:sz w:val="24"/>
          <w:szCs w:val="24"/>
          <w:lang w:val="en-US" w:eastAsia="zh-CN"/>
        </w:rPr>
        <w:t>生产厂商授权书（若中标人为代理商）</w:t>
      </w:r>
      <w:r>
        <w:rPr>
          <w:rFonts w:hint="eastAsia" w:eastAsia="宋体" w:cs="宋体"/>
          <w:bCs/>
          <w:color w:val="000000"/>
          <w:sz w:val="24"/>
          <w:szCs w:val="24"/>
        </w:rPr>
        <w:t>及履约缴纳凭证与招标人签订合同。</w:t>
      </w:r>
      <w:r>
        <w:rPr>
          <w:rFonts w:hint="eastAsia" w:eastAsia="宋体" w:cs="宋体"/>
          <w:color w:val="000000"/>
          <w:sz w:val="24"/>
          <w:szCs w:val="21"/>
        </w:rPr>
        <w:t>合同一式肆份，招标人、中标人各贰份。所签合同不得对招标文件作实质性修改。招标人不得向中标人提出不合理的要求作为签订合同的条件，不得与中标人私下订立背离招标文件实质性内容的协议。</w:t>
      </w:r>
    </w:p>
    <w:p w14:paraId="17AA7879">
      <w:pPr>
        <w:spacing w:line="360" w:lineRule="auto"/>
        <w:ind w:firstLine="480"/>
        <w:contextualSpacing/>
        <w:rPr>
          <w:rFonts w:eastAsia="宋体" w:cs="宋体"/>
          <w:color w:val="000000"/>
          <w:sz w:val="24"/>
          <w:szCs w:val="21"/>
        </w:rPr>
      </w:pPr>
      <w:r>
        <w:rPr>
          <w:rFonts w:hint="eastAsia" w:eastAsia="宋体" w:cs="宋体"/>
          <w:color w:val="000000"/>
          <w:sz w:val="24"/>
          <w:szCs w:val="21"/>
        </w:rPr>
        <w:t>二、招标人按合同约定积极配合中标人履约，中标人履约到位后，请以书面形式向招标人提出验收申请。</w:t>
      </w:r>
    </w:p>
    <w:p w14:paraId="73F9162C">
      <w:pPr>
        <w:spacing w:line="360" w:lineRule="auto"/>
        <w:ind w:firstLine="480"/>
        <w:contextualSpacing/>
        <w:rPr>
          <w:rFonts w:eastAsia="宋体" w:cs="宋体"/>
          <w:color w:val="000000"/>
          <w:sz w:val="24"/>
          <w:szCs w:val="21"/>
        </w:rPr>
      </w:pPr>
      <w:r>
        <w:rPr>
          <w:rFonts w:hint="eastAsia" w:eastAsia="宋体" w:cs="宋体"/>
          <w:color w:val="000000"/>
          <w:sz w:val="24"/>
          <w:szCs w:val="21"/>
        </w:rPr>
        <w:t>三、中标人出现违约情形，应当及时纠正或补偿；造成损失的，按合同约定追究违约责任。</w:t>
      </w:r>
      <w:bookmarkEnd w:id="21"/>
    </w:p>
    <w:p w14:paraId="627D7E88">
      <w:pPr>
        <w:spacing w:line="360" w:lineRule="auto"/>
        <w:ind w:firstLine="480"/>
        <w:contextualSpacing/>
        <w:rPr>
          <w:rFonts w:eastAsia="宋体" w:cs="宋体"/>
          <w:color w:val="000000"/>
          <w:sz w:val="24"/>
          <w:szCs w:val="21"/>
        </w:rPr>
      </w:pPr>
      <w:bookmarkStart w:id="23" w:name="_Toc363573860"/>
      <w:r>
        <w:rPr>
          <w:rFonts w:hint="eastAsia" w:eastAsia="宋体" w:cs="宋体"/>
          <w:color w:val="000000"/>
          <w:sz w:val="24"/>
          <w:szCs w:val="21"/>
        </w:rPr>
        <w:t>四、不响应付款方式的，视同投标文件无效，按无效投标文件处理。</w:t>
      </w:r>
    </w:p>
    <w:p w14:paraId="73C26D37">
      <w:pPr>
        <w:spacing w:line="360" w:lineRule="auto"/>
        <w:ind w:firstLine="480"/>
        <w:contextualSpacing/>
        <w:rPr>
          <w:rFonts w:eastAsia="宋体" w:cs="宋体"/>
          <w:color w:val="000000"/>
          <w:sz w:val="24"/>
          <w:szCs w:val="21"/>
        </w:rPr>
      </w:pPr>
      <w:r>
        <w:rPr>
          <w:rFonts w:hint="eastAsia" w:eastAsia="宋体" w:cs="宋体"/>
          <w:color w:val="000000"/>
          <w:sz w:val="24"/>
          <w:szCs w:val="21"/>
        </w:rPr>
        <w:t>五、付款方式详见招标文件第五章，以上项目款的支付不计息。</w:t>
      </w:r>
    </w:p>
    <w:p w14:paraId="09CC2AA4">
      <w:pPr>
        <w:spacing w:line="360" w:lineRule="auto"/>
        <w:contextualSpacing/>
        <w:rPr>
          <w:rFonts w:eastAsia="宋体" w:cs="宋体"/>
          <w:color w:val="000000"/>
          <w:sz w:val="24"/>
          <w:szCs w:val="21"/>
        </w:rPr>
      </w:pPr>
    </w:p>
    <w:p w14:paraId="403ED87B">
      <w:pPr>
        <w:pStyle w:val="25"/>
        <w:spacing w:line="360" w:lineRule="auto"/>
        <w:rPr>
          <w:rFonts w:eastAsia="宋体" w:cs="宋体"/>
          <w:color w:val="000000"/>
        </w:rPr>
      </w:pPr>
    </w:p>
    <w:p w14:paraId="6A3830AF">
      <w:pPr>
        <w:spacing w:line="360" w:lineRule="auto"/>
        <w:contextualSpacing/>
        <w:jc w:val="center"/>
        <w:outlineLvl w:val="0"/>
        <w:rPr>
          <w:rFonts w:eastAsia="宋体" w:cs="宋体"/>
          <w:b/>
          <w:color w:val="000000"/>
          <w:sz w:val="36"/>
          <w:szCs w:val="36"/>
        </w:rPr>
      </w:pPr>
      <w:r>
        <w:rPr>
          <w:rFonts w:hint="eastAsia" w:eastAsia="宋体" w:cs="宋体"/>
          <w:b/>
          <w:color w:val="000000"/>
          <w:sz w:val="36"/>
          <w:szCs w:val="36"/>
        </w:rPr>
        <w:br w:type="page" w:clear="all"/>
      </w:r>
      <w:r>
        <w:rPr>
          <w:rFonts w:hint="eastAsia" w:eastAsia="宋体" w:cs="宋体"/>
          <w:b/>
          <w:color w:val="000000"/>
          <w:sz w:val="36"/>
          <w:szCs w:val="36"/>
        </w:rPr>
        <w:t>第七章  质疑与投诉</w:t>
      </w:r>
    </w:p>
    <w:p w14:paraId="17189F38">
      <w:pPr>
        <w:spacing w:line="360" w:lineRule="auto"/>
        <w:ind w:firstLine="482"/>
        <w:contextualSpacing/>
        <w:rPr>
          <w:rFonts w:eastAsia="宋体" w:cs="宋体"/>
          <w:b/>
          <w:color w:val="000000"/>
          <w:sz w:val="24"/>
          <w:szCs w:val="21"/>
        </w:rPr>
      </w:pPr>
    </w:p>
    <w:p w14:paraId="5ED84EBD">
      <w:pPr>
        <w:spacing w:line="360" w:lineRule="auto"/>
        <w:ind w:firstLine="482"/>
        <w:contextualSpacing/>
        <w:rPr>
          <w:rFonts w:eastAsia="宋体" w:cs="宋体"/>
          <w:b/>
          <w:color w:val="000000"/>
          <w:sz w:val="24"/>
          <w:szCs w:val="21"/>
        </w:rPr>
      </w:pPr>
      <w:r>
        <w:rPr>
          <w:rFonts w:hint="eastAsia" w:eastAsia="宋体" w:cs="宋体"/>
          <w:b/>
          <w:color w:val="000000"/>
          <w:sz w:val="24"/>
          <w:szCs w:val="21"/>
        </w:rPr>
        <w:t>一、质疑的提出</w:t>
      </w:r>
    </w:p>
    <w:p w14:paraId="6B885DA2">
      <w:pPr>
        <w:spacing w:line="360" w:lineRule="auto"/>
        <w:ind w:firstLine="480"/>
        <w:contextualSpacing/>
        <w:rPr>
          <w:rFonts w:eastAsia="宋体" w:cs="宋体"/>
          <w:color w:val="000000"/>
          <w:sz w:val="24"/>
          <w:szCs w:val="21"/>
        </w:rPr>
      </w:pPr>
      <w:r>
        <w:rPr>
          <w:rFonts w:hint="eastAsia" w:eastAsia="宋体" w:cs="宋体"/>
          <w:color w:val="000000"/>
          <w:sz w:val="24"/>
          <w:szCs w:val="21"/>
        </w:rPr>
        <w:t>1.提出质疑的投标人应当是参与所质疑项目采购活动的投标人。潜在投标人依法获取其可质疑的招标文件的，可以对招标文件提出质疑。</w:t>
      </w:r>
    </w:p>
    <w:p w14:paraId="5A607B25">
      <w:pPr>
        <w:spacing w:line="360" w:lineRule="auto"/>
        <w:ind w:firstLine="480"/>
        <w:contextualSpacing/>
        <w:rPr>
          <w:rFonts w:eastAsia="宋体" w:cs="宋体"/>
          <w:color w:val="000000"/>
          <w:sz w:val="24"/>
          <w:szCs w:val="21"/>
        </w:rPr>
      </w:pPr>
      <w:r>
        <w:rPr>
          <w:rFonts w:hint="eastAsia" w:eastAsia="宋体" w:cs="宋体"/>
          <w:color w:val="000000"/>
          <w:sz w:val="24"/>
          <w:szCs w:val="21"/>
        </w:rPr>
        <w:t>2.投标人认为招标文件、招投标过程和招标结果使自己的权益受到损害的，可以在知道或应知其权益受到损害之日起七个工作日内，以书面形式向招标人提出质疑。上述应知其权益受到损害之日，是指：</w:t>
      </w:r>
    </w:p>
    <w:p w14:paraId="5E601ACD">
      <w:pPr>
        <w:spacing w:line="360" w:lineRule="auto"/>
        <w:ind w:firstLine="480"/>
        <w:contextualSpacing/>
        <w:rPr>
          <w:rFonts w:eastAsia="宋体" w:cs="宋体"/>
          <w:color w:val="000000"/>
          <w:sz w:val="24"/>
          <w:szCs w:val="21"/>
        </w:rPr>
      </w:pPr>
      <w:r>
        <w:rPr>
          <w:rFonts w:hint="eastAsia" w:eastAsia="宋体" w:cs="宋体"/>
          <w:color w:val="000000"/>
          <w:sz w:val="24"/>
          <w:szCs w:val="21"/>
        </w:rPr>
        <w:t>2.1对可以质疑的招标文件提出质疑的，为收到招标文件之日或者招标文件公告期限届满之日；</w:t>
      </w:r>
    </w:p>
    <w:p w14:paraId="116894EF">
      <w:pPr>
        <w:spacing w:line="360" w:lineRule="auto"/>
        <w:ind w:firstLine="480"/>
        <w:contextualSpacing/>
        <w:rPr>
          <w:rFonts w:eastAsia="宋体" w:cs="宋体"/>
          <w:color w:val="000000"/>
          <w:sz w:val="24"/>
          <w:szCs w:val="21"/>
        </w:rPr>
      </w:pPr>
      <w:r>
        <w:rPr>
          <w:rFonts w:hint="eastAsia" w:eastAsia="宋体" w:cs="宋体"/>
          <w:color w:val="000000"/>
          <w:sz w:val="24"/>
          <w:szCs w:val="21"/>
        </w:rPr>
        <w:t>2.2对采购过程提出质疑的，为各采购程序环节结束之日；</w:t>
      </w:r>
    </w:p>
    <w:p w14:paraId="42E898DD">
      <w:pPr>
        <w:spacing w:line="360" w:lineRule="auto"/>
        <w:ind w:firstLine="480"/>
        <w:contextualSpacing/>
        <w:rPr>
          <w:rFonts w:eastAsia="宋体" w:cs="宋体"/>
          <w:color w:val="000000"/>
          <w:sz w:val="24"/>
          <w:szCs w:val="21"/>
        </w:rPr>
      </w:pPr>
      <w:r>
        <w:rPr>
          <w:rFonts w:hint="eastAsia" w:eastAsia="宋体" w:cs="宋体"/>
          <w:color w:val="000000"/>
          <w:sz w:val="24"/>
          <w:szCs w:val="21"/>
        </w:rPr>
        <w:t>2.3对中标结果提出质疑的，为中标结果公告期限届满之日。</w:t>
      </w:r>
    </w:p>
    <w:p w14:paraId="2561AFF2">
      <w:pPr>
        <w:spacing w:line="360" w:lineRule="auto"/>
        <w:ind w:firstLine="480"/>
        <w:contextualSpacing/>
        <w:rPr>
          <w:rFonts w:eastAsia="宋体" w:cs="宋体"/>
          <w:color w:val="000000"/>
          <w:sz w:val="24"/>
          <w:szCs w:val="21"/>
        </w:rPr>
      </w:pPr>
      <w:r>
        <w:rPr>
          <w:rFonts w:hint="eastAsia" w:eastAsia="宋体" w:cs="宋体"/>
          <w:color w:val="000000"/>
          <w:sz w:val="24"/>
          <w:szCs w:val="21"/>
        </w:rPr>
        <w:t>投标人应当在法定质疑期内一次性提出针对同一采购程序环节的质疑。</w:t>
      </w:r>
    </w:p>
    <w:p w14:paraId="2CEE0488">
      <w:pPr>
        <w:spacing w:line="360" w:lineRule="auto"/>
        <w:ind w:firstLine="480"/>
        <w:contextualSpacing/>
        <w:rPr>
          <w:rFonts w:eastAsia="宋体" w:cs="宋体"/>
          <w:color w:val="000000"/>
          <w:sz w:val="24"/>
          <w:szCs w:val="21"/>
        </w:rPr>
      </w:pPr>
      <w:r>
        <w:rPr>
          <w:rFonts w:hint="eastAsia" w:eastAsia="宋体" w:cs="宋体"/>
          <w:color w:val="000000"/>
          <w:sz w:val="24"/>
          <w:szCs w:val="21"/>
        </w:rPr>
        <w:t>3.质疑函必须按照本招标文件中《质疑函范本》要求的格式和内容进行填写。投标人如组成联合体参加招投标活动，则《质疑函范本》中要求签字、盖章、加盖公章之处，联合体各方均须按要求签字、盖章、加盖公章。</w:t>
      </w:r>
    </w:p>
    <w:p w14:paraId="6822C78B">
      <w:pPr>
        <w:spacing w:line="360" w:lineRule="auto"/>
        <w:ind w:firstLine="480"/>
        <w:contextualSpacing/>
        <w:rPr>
          <w:rFonts w:eastAsia="宋体" w:cs="宋体"/>
          <w:color w:val="000000"/>
          <w:sz w:val="24"/>
          <w:szCs w:val="21"/>
        </w:rPr>
      </w:pPr>
      <w:r>
        <w:rPr>
          <w:rFonts w:hint="eastAsia" w:eastAsia="宋体" w:cs="宋体"/>
          <w:color w:val="000000"/>
          <w:sz w:val="24"/>
          <w:szCs w:val="21"/>
        </w:rPr>
        <w:t>4.对招标方式、招标文件中项目需求、投标人资格条件、评审方法和评审标准、资格审查结果等应当由招标人答复的质疑，请向招标人提出，由招标人负责答复。</w:t>
      </w:r>
    </w:p>
    <w:p w14:paraId="609A914B">
      <w:pPr>
        <w:spacing w:line="360" w:lineRule="auto"/>
        <w:ind w:firstLine="480"/>
        <w:contextualSpacing/>
        <w:rPr>
          <w:rFonts w:eastAsia="宋体" w:cs="宋体"/>
          <w:color w:val="000000"/>
          <w:sz w:val="24"/>
          <w:szCs w:val="21"/>
        </w:rPr>
      </w:pPr>
      <w:r>
        <w:rPr>
          <w:rFonts w:hint="eastAsia" w:eastAsia="宋体" w:cs="宋体"/>
          <w:color w:val="000000"/>
          <w:sz w:val="24"/>
          <w:szCs w:val="21"/>
        </w:rPr>
        <w:t>招标人质疑接收人及联系方式，见招标文件第一章。</w:t>
      </w:r>
    </w:p>
    <w:p w14:paraId="48D0BE8A">
      <w:pPr>
        <w:spacing w:line="360" w:lineRule="auto"/>
        <w:ind w:firstLine="480"/>
        <w:contextualSpacing/>
        <w:rPr>
          <w:rFonts w:eastAsia="宋体" w:cs="宋体"/>
          <w:color w:val="000000"/>
          <w:sz w:val="24"/>
          <w:szCs w:val="21"/>
        </w:rPr>
      </w:pPr>
      <w:r>
        <w:rPr>
          <w:rFonts w:hint="eastAsia" w:eastAsia="宋体" w:cs="宋体"/>
          <w:color w:val="000000"/>
          <w:sz w:val="24"/>
          <w:szCs w:val="21"/>
        </w:rPr>
        <w:t>5. 以下情形的质疑不予受理</w:t>
      </w:r>
    </w:p>
    <w:p w14:paraId="2D2AB8DD">
      <w:pPr>
        <w:spacing w:line="360" w:lineRule="auto"/>
        <w:ind w:firstLine="480"/>
        <w:contextualSpacing/>
        <w:rPr>
          <w:rFonts w:eastAsia="宋体" w:cs="宋体"/>
          <w:color w:val="000000"/>
          <w:sz w:val="24"/>
          <w:szCs w:val="21"/>
        </w:rPr>
      </w:pPr>
      <w:r>
        <w:rPr>
          <w:rFonts w:hint="eastAsia" w:eastAsia="宋体" w:cs="宋体"/>
          <w:color w:val="000000"/>
          <w:sz w:val="24"/>
          <w:szCs w:val="21"/>
        </w:rPr>
        <w:t>5.1 内容不符合《政府采购质疑和投诉办法》财政部第94号令第十二条规定的质疑。</w:t>
      </w:r>
    </w:p>
    <w:p w14:paraId="60B753F8">
      <w:pPr>
        <w:spacing w:line="360" w:lineRule="auto"/>
        <w:ind w:firstLine="480"/>
        <w:contextualSpacing/>
        <w:rPr>
          <w:rFonts w:eastAsia="宋体" w:cs="宋体"/>
          <w:color w:val="000000"/>
          <w:sz w:val="24"/>
          <w:szCs w:val="21"/>
        </w:rPr>
      </w:pPr>
      <w:r>
        <w:rPr>
          <w:rFonts w:hint="eastAsia" w:eastAsia="宋体" w:cs="宋体"/>
          <w:color w:val="000000"/>
          <w:sz w:val="24"/>
          <w:szCs w:val="21"/>
        </w:rPr>
        <w:t>5.2 超出政府采购法定期限的质疑。</w:t>
      </w:r>
    </w:p>
    <w:p w14:paraId="7F5B29B4">
      <w:pPr>
        <w:spacing w:line="360" w:lineRule="auto"/>
        <w:ind w:firstLine="480"/>
        <w:contextualSpacing/>
        <w:rPr>
          <w:rFonts w:eastAsia="宋体" w:cs="宋体"/>
          <w:color w:val="000000"/>
          <w:sz w:val="24"/>
          <w:szCs w:val="21"/>
        </w:rPr>
      </w:pPr>
      <w:r>
        <w:rPr>
          <w:rFonts w:hint="eastAsia" w:eastAsia="宋体" w:cs="宋体"/>
          <w:color w:val="000000"/>
          <w:sz w:val="24"/>
          <w:szCs w:val="21"/>
        </w:rPr>
        <w:t>5.3 未参加招投标活动的投标人。</w:t>
      </w:r>
    </w:p>
    <w:p w14:paraId="6F9C024C">
      <w:pPr>
        <w:spacing w:line="360" w:lineRule="auto"/>
        <w:ind w:firstLine="480"/>
        <w:contextualSpacing/>
        <w:rPr>
          <w:rFonts w:eastAsia="宋体" w:cs="宋体"/>
          <w:color w:val="000000"/>
          <w:sz w:val="24"/>
          <w:szCs w:val="21"/>
        </w:rPr>
      </w:pPr>
      <w:r>
        <w:rPr>
          <w:rFonts w:hint="eastAsia" w:eastAsia="宋体" w:cs="宋体"/>
          <w:color w:val="000000"/>
          <w:sz w:val="24"/>
          <w:szCs w:val="21"/>
        </w:rPr>
        <w:t>5.4投标人组成联合体参加招投标活动，联合体中任何一方或多方未按要求签字、盖章、加盖公章的质疑。</w:t>
      </w:r>
    </w:p>
    <w:p w14:paraId="15DBC146">
      <w:pPr>
        <w:spacing w:line="360" w:lineRule="auto"/>
        <w:ind w:firstLine="480"/>
        <w:contextualSpacing/>
        <w:rPr>
          <w:rFonts w:eastAsia="宋体" w:cs="宋体"/>
          <w:color w:val="000000"/>
          <w:sz w:val="24"/>
          <w:szCs w:val="21"/>
        </w:rPr>
      </w:pPr>
      <w:r>
        <w:rPr>
          <w:rFonts w:hint="eastAsia" w:eastAsia="宋体" w:cs="宋体"/>
          <w:color w:val="000000"/>
          <w:sz w:val="24"/>
          <w:szCs w:val="21"/>
        </w:rPr>
        <w:t>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p>
    <w:p w14:paraId="5032B0DA">
      <w:pPr>
        <w:spacing w:line="360" w:lineRule="auto"/>
        <w:contextualSpacing/>
        <w:rPr>
          <w:rFonts w:eastAsia="宋体" w:cs="宋体"/>
          <w:color w:val="000000"/>
          <w:sz w:val="24"/>
          <w:szCs w:val="21"/>
        </w:rPr>
      </w:pPr>
      <w:r>
        <w:rPr>
          <w:rFonts w:hint="eastAsia" w:eastAsia="宋体" w:cs="宋体"/>
          <w:color w:val="000000"/>
          <w:sz w:val="24"/>
          <w:szCs w:val="21"/>
        </w:rPr>
        <w:t>附件：</w:t>
      </w:r>
    </w:p>
    <w:p w14:paraId="528076D8">
      <w:pPr>
        <w:spacing w:line="360" w:lineRule="auto"/>
        <w:ind w:firstLine="480"/>
        <w:contextualSpacing/>
        <w:jc w:val="center"/>
        <w:rPr>
          <w:rFonts w:eastAsia="宋体" w:cs="宋体"/>
          <w:bCs/>
          <w:color w:val="000000"/>
          <w:sz w:val="24"/>
          <w:szCs w:val="21"/>
        </w:rPr>
      </w:pPr>
      <w:r>
        <w:rPr>
          <w:rFonts w:hint="eastAsia" w:eastAsia="宋体" w:cs="宋体"/>
          <w:bCs/>
          <w:color w:val="000000"/>
          <w:sz w:val="32"/>
          <w:szCs w:val="32"/>
        </w:rPr>
        <w:t>质疑函范本</w:t>
      </w:r>
    </w:p>
    <w:p w14:paraId="33F5B479">
      <w:pPr>
        <w:spacing w:line="360" w:lineRule="auto"/>
        <w:ind w:firstLine="480"/>
        <w:contextualSpacing/>
        <w:rPr>
          <w:rFonts w:eastAsia="宋体" w:cs="宋体"/>
          <w:bCs/>
          <w:color w:val="000000"/>
          <w:sz w:val="24"/>
          <w:szCs w:val="21"/>
        </w:rPr>
      </w:pPr>
      <w:r>
        <w:rPr>
          <w:rFonts w:hint="eastAsia" w:eastAsia="宋体" w:cs="宋体"/>
          <w:bCs/>
          <w:color w:val="000000"/>
          <w:sz w:val="24"/>
          <w:szCs w:val="21"/>
        </w:rPr>
        <w:t>一、质疑</w:t>
      </w:r>
      <w:r>
        <w:rPr>
          <w:rFonts w:hint="eastAsia" w:eastAsia="宋体" w:cs="宋体"/>
          <w:color w:val="000000"/>
          <w:sz w:val="24"/>
          <w:szCs w:val="21"/>
        </w:rPr>
        <w:t>投标人</w:t>
      </w:r>
      <w:r>
        <w:rPr>
          <w:rFonts w:hint="eastAsia" w:eastAsia="宋体" w:cs="宋体"/>
          <w:bCs/>
          <w:color w:val="000000"/>
          <w:sz w:val="24"/>
          <w:szCs w:val="21"/>
        </w:rPr>
        <w:t>基本信息</w:t>
      </w:r>
    </w:p>
    <w:p w14:paraId="46345EC0">
      <w:pPr>
        <w:spacing w:line="360" w:lineRule="auto"/>
        <w:ind w:firstLine="480"/>
        <w:contextualSpacing/>
        <w:rPr>
          <w:rFonts w:eastAsia="宋体" w:cs="宋体"/>
          <w:color w:val="000000"/>
          <w:sz w:val="24"/>
          <w:szCs w:val="21"/>
          <w:u w:val="single"/>
        </w:rPr>
      </w:pPr>
      <w:r>
        <w:rPr>
          <w:rFonts w:hint="eastAsia" w:eastAsia="宋体" w:cs="宋体"/>
          <w:color w:val="000000"/>
          <w:sz w:val="24"/>
          <w:szCs w:val="21"/>
        </w:rPr>
        <w:t>质疑投标人：</w:t>
      </w:r>
    </w:p>
    <w:p w14:paraId="6030B951">
      <w:pPr>
        <w:spacing w:line="360" w:lineRule="auto"/>
        <w:ind w:firstLine="480"/>
        <w:contextualSpacing/>
        <w:rPr>
          <w:rFonts w:eastAsia="宋体" w:cs="宋体"/>
          <w:color w:val="000000"/>
          <w:sz w:val="24"/>
          <w:szCs w:val="21"/>
        </w:rPr>
      </w:pPr>
      <w:r>
        <w:rPr>
          <w:rFonts w:hint="eastAsia" w:eastAsia="宋体" w:cs="宋体"/>
          <w:color w:val="000000"/>
          <w:sz w:val="24"/>
          <w:szCs w:val="21"/>
        </w:rPr>
        <w:t>地址：邮编：</w:t>
      </w:r>
    </w:p>
    <w:p w14:paraId="72BD3DBB">
      <w:pPr>
        <w:spacing w:line="360" w:lineRule="auto"/>
        <w:ind w:firstLine="480"/>
        <w:contextualSpacing/>
        <w:rPr>
          <w:rFonts w:eastAsia="宋体" w:cs="宋体"/>
          <w:color w:val="000000"/>
          <w:sz w:val="24"/>
          <w:szCs w:val="21"/>
        </w:rPr>
      </w:pPr>
      <w:r>
        <w:rPr>
          <w:rFonts w:hint="eastAsia" w:eastAsia="宋体" w:cs="宋体"/>
          <w:color w:val="000000"/>
          <w:sz w:val="24"/>
          <w:szCs w:val="21"/>
        </w:rPr>
        <w:t>联系人：联系电话：</w:t>
      </w:r>
    </w:p>
    <w:p w14:paraId="1A247F2C">
      <w:pPr>
        <w:spacing w:line="360" w:lineRule="auto"/>
        <w:ind w:firstLine="480"/>
        <w:contextualSpacing/>
        <w:rPr>
          <w:rFonts w:eastAsia="宋体" w:cs="宋体"/>
          <w:color w:val="000000"/>
          <w:sz w:val="24"/>
          <w:szCs w:val="21"/>
          <w:u w:val="single"/>
        </w:rPr>
      </w:pPr>
      <w:r>
        <w:rPr>
          <w:rFonts w:hint="eastAsia" w:eastAsia="宋体" w:cs="宋体"/>
          <w:color w:val="000000"/>
          <w:sz w:val="24"/>
          <w:szCs w:val="21"/>
        </w:rPr>
        <w:t>授权代表：</w:t>
      </w:r>
    </w:p>
    <w:p w14:paraId="51DCEB59">
      <w:pPr>
        <w:spacing w:line="360" w:lineRule="auto"/>
        <w:ind w:firstLine="480"/>
        <w:contextualSpacing/>
        <w:rPr>
          <w:rFonts w:eastAsia="宋体" w:cs="宋体"/>
          <w:color w:val="000000"/>
          <w:sz w:val="24"/>
          <w:szCs w:val="21"/>
        </w:rPr>
      </w:pPr>
      <w:r>
        <w:rPr>
          <w:rFonts w:hint="eastAsia" w:eastAsia="宋体" w:cs="宋体"/>
          <w:color w:val="000000"/>
          <w:sz w:val="24"/>
          <w:szCs w:val="21"/>
        </w:rPr>
        <w:t>联系电话：</w:t>
      </w:r>
    </w:p>
    <w:p w14:paraId="33F92FFA">
      <w:pPr>
        <w:spacing w:line="360" w:lineRule="auto"/>
        <w:ind w:firstLine="480"/>
        <w:contextualSpacing/>
        <w:rPr>
          <w:rFonts w:eastAsia="宋体" w:cs="宋体"/>
          <w:color w:val="000000"/>
          <w:sz w:val="24"/>
          <w:szCs w:val="21"/>
        </w:rPr>
      </w:pPr>
      <w:r>
        <w:rPr>
          <w:rFonts w:hint="eastAsia" w:eastAsia="宋体" w:cs="宋体"/>
          <w:color w:val="000000"/>
          <w:sz w:val="24"/>
          <w:szCs w:val="21"/>
        </w:rPr>
        <w:t>地址：邮编：</w:t>
      </w:r>
    </w:p>
    <w:p w14:paraId="531B3668">
      <w:pPr>
        <w:spacing w:line="360" w:lineRule="auto"/>
        <w:ind w:firstLine="480"/>
        <w:contextualSpacing/>
        <w:rPr>
          <w:rFonts w:eastAsia="宋体" w:cs="宋体"/>
          <w:bCs/>
          <w:color w:val="000000"/>
          <w:sz w:val="24"/>
          <w:szCs w:val="21"/>
        </w:rPr>
      </w:pPr>
      <w:r>
        <w:rPr>
          <w:rFonts w:hint="eastAsia" w:eastAsia="宋体" w:cs="宋体"/>
          <w:bCs/>
          <w:color w:val="000000"/>
          <w:sz w:val="24"/>
          <w:szCs w:val="21"/>
        </w:rPr>
        <w:t>二、质疑项目基本情况</w:t>
      </w:r>
    </w:p>
    <w:p w14:paraId="6C6936B6">
      <w:pPr>
        <w:spacing w:line="360" w:lineRule="auto"/>
        <w:ind w:firstLine="480"/>
        <w:contextualSpacing/>
        <w:rPr>
          <w:rFonts w:eastAsia="宋体" w:cs="宋体"/>
          <w:color w:val="000000"/>
          <w:sz w:val="24"/>
          <w:szCs w:val="21"/>
        </w:rPr>
      </w:pPr>
      <w:r>
        <w:rPr>
          <w:rFonts w:hint="eastAsia" w:eastAsia="宋体" w:cs="宋体"/>
          <w:color w:val="000000"/>
          <w:sz w:val="24"/>
          <w:szCs w:val="21"/>
        </w:rPr>
        <w:t>质疑项目的名称：</w:t>
      </w:r>
    </w:p>
    <w:p w14:paraId="69885084">
      <w:pPr>
        <w:spacing w:line="360" w:lineRule="auto"/>
        <w:ind w:firstLine="480"/>
        <w:contextualSpacing/>
        <w:rPr>
          <w:rFonts w:eastAsia="宋体" w:cs="宋体"/>
          <w:color w:val="000000"/>
          <w:sz w:val="24"/>
          <w:szCs w:val="21"/>
        </w:rPr>
      </w:pPr>
      <w:r>
        <w:rPr>
          <w:rFonts w:hint="eastAsia" w:eastAsia="宋体" w:cs="宋体"/>
          <w:color w:val="000000"/>
          <w:sz w:val="24"/>
          <w:szCs w:val="21"/>
        </w:rPr>
        <w:t>质疑项目的编号：包号：</w:t>
      </w:r>
    </w:p>
    <w:p w14:paraId="1EC209FD">
      <w:pPr>
        <w:spacing w:line="360" w:lineRule="auto"/>
        <w:ind w:firstLine="480"/>
        <w:contextualSpacing/>
        <w:rPr>
          <w:rFonts w:eastAsia="宋体" w:cs="宋体"/>
          <w:color w:val="000000"/>
          <w:sz w:val="24"/>
          <w:szCs w:val="21"/>
          <w:u w:val="single"/>
        </w:rPr>
      </w:pPr>
      <w:r>
        <w:rPr>
          <w:rFonts w:hint="eastAsia" w:eastAsia="宋体" w:cs="宋体"/>
          <w:color w:val="000000"/>
          <w:sz w:val="24"/>
          <w:szCs w:val="21"/>
        </w:rPr>
        <w:t>招标人名称：</w:t>
      </w:r>
    </w:p>
    <w:p w14:paraId="24BFEB9F">
      <w:pPr>
        <w:spacing w:line="360" w:lineRule="auto"/>
        <w:ind w:firstLine="480"/>
        <w:contextualSpacing/>
        <w:rPr>
          <w:rFonts w:eastAsia="宋体" w:cs="宋体"/>
          <w:color w:val="000000"/>
          <w:sz w:val="24"/>
          <w:szCs w:val="21"/>
        </w:rPr>
      </w:pPr>
      <w:r>
        <w:rPr>
          <w:rFonts w:hint="eastAsia" w:eastAsia="宋体" w:cs="宋体"/>
          <w:color w:val="000000"/>
          <w:sz w:val="24"/>
          <w:szCs w:val="21"/>
        </w:rPr>
        <w:t>招标文件获取日期：</w:t>
      </w:r>
    </w:p>
    <w:p w14:paraId="33B07F0F">
      <w:pPr>
        <w:spacing w:line="360" w:lineRule="auto"/>
        <w:ind w:firstLine="480"/>
        <w:contextualSpacing/>
        <w:rPr>
          <w:rFonts w:eastAsia="宋体" w:cs="宋体"/>
          <w:bCs/>
          <w:color w:val="000000"/>
          <w:sz w:val="24"/>
          <w:szCs w:val="21"/>
        </w:rPr>
      </w:pPr>
      <w:r>
        <w:rPr>
          <w:rFonts w:hint="eastAsia" w:eastAsia="宋体" w:cs="宋体"/>
          <w:bCs/>
          <w:color w:val="000000"/>
          <w:sz w:val="24"/>
          <w:szCs w:val="21"/>
        </w:rPr>
        <w:t>三、质疑事项具体内容</w:t>
      </w:r>
    </w:p>
    <w:p w14:paraId="4F2BE137">
      <w:pPr>
        <w:spacing w:line="360" w:lineRule="auto"/>
        <w:ind w:firstLine="480"/>
        <w:contextualSpacing/>
        <w:rPr>
          <w:rFonts w:eastAsia="宋体" w:cs="宋体"/>
          <w:color w:val="000000"/>
          <w:sz w:val="24"/>
          <w:szCs w:val="21"/>
          <w:u w:val="single"/>
        </w:rPr>
      </w:pPr>
      <w:r>
        <w:rPr>
          <w:rFonts w:hint="eastAsia" w:eastAsia="宋体" w:cs="宋体"/>
          <w:color w:val="000000"/>
          <w:sz w:val="24"/>
          <w:szCs w:val="21"/>
        </w:rPr>
        <w:t>质疑事项1：</w:t>
      </w:r>
    </w:p>
    <w:p w14:paraId="7235AD33">
      <w:pPr>
        <w:spacing w:line="360" w:lineRule="auto"/>
        <w:ind w:firstLine="480"/>
        <w:contextualSpacing/>
        <w:rPr>
          <w:rFonts w:eastAsia="宋体" w:cs="宋体"/>
          <w:color w:val="000000"/>
          <w:sz w:val="24"/>
          <w:szCs w:val="21"/>
          <w:u w:val="single"/>
        </w:rPr>
      </w:pPr>
      <w:r>
        <w:rPr>
          <w:rFonts w:hint="eastAsia" w:eastAsia="宋体" w:cs="宋体"/>
          <w:color w:val="000000"/>
          <w:sz w:val="24"/>
          <w:szCs w:val="21"/>
        </w:rPr>
        <w:t>事实依据：</w:t>
      </w:r>
    </w:p>
    <w:p w14:paraId="07B1D3C4">
      <w:pPr>
        <w:spacing w:line="360" w:lineRule="auto"/>
        <w:ind w:firstLine="480"/>
        <w:contextualSpacing/>
        <w:rPr>
          <w:rFonts w:eastAsia="宋体" w:cs="宋体"/>
          <w:color w:val="000000"/>
          <w:sz w:val="24"/>
          <w:szCs w:val="21"/>
        </w:rPr>
      </w:pPr>
    </w:p>
    <w:p w14:paraId="5B7BCF82">
      <w:pPr>
        <w:spacing w:line="360" w:lineRule="auto"/>
        <w:ind w:firstLine="480"/>
        <w:contextualSpacing/>
        <w:rPr>
          <w:rFonts w:eastAsia="宋体" w:cs="宋体"/>
          <w:color w:val="000000"/>
          <w:sz w:val="24"/>
          <w:szCs w:val="21"/>
          <w:u w:val="single"/>
        </w:rPr>
      </w:pPr>
      <w:r>
        <w:rPr>
          <w:rFonts w:hint="eastAsia" w:eastAsia="宋体" w:cs="宋体"/>
          <w:color w:val="000000"/>
          <w:sz w:val="24"/>
          <w:szCs w:val="21"/>
        </w:rPr>
        <w:t>法律依据：</w:t>
      </w:r>
    </w:p>
    <w:p w14:paraId="0492AACD">
      <w:pPr>
        <w:spacing w:line="360" w:lineRule="auto"/>
        <w:ind w:firstLine="480"/>
        <w:contextualSpacing/>
        <w:rPr>
          <w:rFonts w:eastAsia="宋体" w:cs="宋体"/>
          <w:color w:val="000000"/>
          <w:sz w:val="24"/>
          <w:szCs w:val="21"/>
          <w:u w:val="single"/>
        </w:rPr>
      </w:pPr>
    </w:p>
    <w:p w14:paraId="7243362B">
      <w:pPr>
        <w:spacing w:line="360" w:lineRule="auto"/>
        <w:ind w:firstLine="480"/>
        <w:contextualSpacing/>
        <w:rPr>
          <w:rFonts w:eastAsia="宋体" w:cs="宋体"/>
          <w:color w:val="000000"/>
          <w:sz w:val="24"/>
          <w:szCs w:val="21"/>
          <w:u w:val="single"/>
        </w:rPr>
      </w:pPr>
      <w:r>
        <w:rPr>
          <w:rFonts w:hint="eastAsia" w:eastAsia="宋体" w:cs="宋体"/>
          <w:color w:val="000000"/>
          <w:sz w:val="24"/>
          <w:szCs w:val="21"/>
        </w:rPr>
        <w:t>质疑事项2</w:t>
      </w:r>
    </w:p>
    <w:p w14:paraId="6EE3ED87">
      <w:pPr>
        <w:spacing w:line="360" w:lineRule="auto"/>
        <w:ind w:firstLine="480"/>
        <w:contextualSpacing/>
        <w:rPr>
          <w:rFonts w:eastAsia="宋体" w:cs="宋体"/>
          <w:color w:val="000000"/>
          <w:sz w:val="24"/>
          <w:szCs w:val="21"/>
        </w:rPr>
      </w:pPr>
      <w:r>
        <w:rPr>
          <w:rFonts w:hint="eastAsia" w:eastAsia="宋体" w:cs="宋体"/>
          <w:color w:val="000000"/>
          <w:sz w:val="24"/>
          <w:szCs w:val="21"/>
        </w:rPr>
        <w:t>……</w:t>
      </w:r>
    </w:p>
    <w:p w14:paraId="2B533EF3">
      <w:pPr>
        <w:spacing w:line="360" w:lineRule="auto"/>
        <w:ind w:firstLine="480"/>
        <w:contextualSpacing/>
        <w:rPr>
          <w:rFonts w:eastAsia="宋体" w:cs="宋体"/>
          <w:bCs/>
          <w:color w:val="000000"/>
          <w:sz w:val="24"/>
          <w:szCs w:val="21"/>
        </w:rPr>
      </w:pPr>
      <w:r>
        <w:rPr>
          <w:rFonts w:hint="eastAsia" w:eastAsia="宋体" w:cs="宋体"/>
          <w:bCs/>
          <w:color w:val="000000"/>
          <w:sz w:val="24"/>
          <w:szCs w:val="21"/>
        </w:rPr>
        <w:t>四、与质疑事项相关的质疑请求</w:t>
      </w:r>
    </w:p>
    <w:p w14:paraId="4481321A">
      <w:pPr>
        <w:spacing w:line="360" w:lineRule="auto"/>
        <w:ind w:firstLine="480"/>
        <w:contextualSpacing/>
        <w:rPr>
          <w:rFonts w:eastAsia="宋体" w:cs="宋体"/>
          <w:color w:val="000000"/>
          <w:sz w:val="24"/>
          <w:szCs w:val="21"/>
          <w:u w:val="single"/>
        </w:rPr>
      </w:pPr>
      <w:r>
        <w:rPr>
          <w:rFonts w:hint="eastAsia" w:eastAsia="宋体" w:cs="宋体"/>
          <w:color w:val="000000"/>
          <w:sz w:val="24"/>
          <w:szCs w:val="21"/>
        </w:rPr>
        <w:t>请求：</w:t>
      </w:r>
    </w:p>
    <w:p w14:paraId="301EEFAD">
      <w:pPr>
        <w:spacing w:line="360" w:lineRule="auto"/>
        <w:ind w:firstLine="480"/>
        <w:contextualSpacing/>
        <w:rPr>
          <w:rFonts w:eastAsia="宋体" w:cs="宋体"/>
          <w:color w:val="000000"/>
          <w:sz w:val="24"/>
          <w:szCs w:val="21"/>
        </w:rPr>
      </w:pPr>
      <w:r>
        <w:rPr>
          <w:rFonts w:hint="eastAsia" w:eastAsia="宋体" w:cs="宋体"/>
          <w:color w:val="000000"/>
          <w:sz w:val="24"/>
          <w:szCs w:val="21"/>
        </w:rPr>
        <w:t xml:space="preserve">签字(签章)：                   公章：                      </w:t>
      </w:r>
    </w:p>
    <w:p w14:paraId="0E1C5369">
      <w:pPr>
        <w:spacing w:line="360" w:lineRule="auto"/>
        <w:ind w:firstLine="480"/>
        <w:contextualSpacing/>
        <w:rPr>
          <w:rFonts w:eastAsia="宋体" w:cs="宋体"/>
          <w:color w:val="000000"/>
          <w:sz w:val="24"/>
          <w:szCs w:val="21"/>
        </w:rPr>
      </w:pPr>
      <w:r>
        <w:rPr>
          <w:rFonts w:hint="eastAsia" w:eastAsia="宋体" w:cs="宋体"/>
          <w:color w:val="000000"/>
          <w:sz w:val="24"/>
          <w:szCs w:val="21"/>
        </w:rPr>
        <w:t xml:space="preserve">日期：    </w:t>
      </w:r>
    </w:p>
    <w:p w14:paraId="77E43696">
      <w:pPr>
        <w:spacing w:line="360" w:lineRule="auto"/>
        <w:ind w:firstLine="480"/>
        <w:contextualSpacing/>
        <w:rPr>
          <w:rFonts w:eastAsia="宋体" w:cs="宋体"/>
          <w:color w:val="000000"/>
          <w:sz w:val="24"/>
          <w:szCs w:val="21"/>
        </w:rPr>
      </w:pPr>
    </w:p>
    <w:p w14:paraId="2F642B36">
      <w:pPr>
        <w:spacing w:line="360" w:lineRule="auto"/>
        <w:ind w:firstLine="482"/>
        <w:contextualSpacing/>
        <w:rPr>
          <w:rFonts w:eastAsia="宋体" w:cs="宋体"/>
          <w:b/>
          <w:color w:val="000000"/>
          <w:sz w:val="24"/>
          <w:szCs w:val="21"/>
        </w:rPr>
      </w:pPr>
    </w:p>
    <w:p w14:paraId="5F93D614">
      <w:pPr>
        <w:spacing w:line="360" w:lineRule="auto"/>
        <w:ind w:firstLine="482"/>
        <w:contextualSpacing/>
        <w:rPr>
          <w:rFonts w:eastAsia="宋体" w:cs="宋体"/>
          <w:b/>
          <w:color w:val="000000"/>
          <w:sz w:val="24"/>
          <w:szCs w:val="21"/>
        </w:rPr>
      </w:pPr>
    </w:p>
    <w:p w14:paraId="53DAAE22">
      <w:pPr>
        <w:spacing w:line="360" w:lineRule="auto"/>
        <w:ind w:firstLine="482"/>
        <w:contextualSpacing/>
        <w:rPr>
          <w:rFonts w:eastAsia="宋体" w:cs="宋体"/>
          <w:b/>
          <w:color w:val="000000"/>
          <w:sz w:val="24"/>
          <w:szCs w:val="21"/>
        </w:rPr>
      </w:pPr>
      <w:r>
        <w:rPr>
          <w:rFonts w:hint="eastAsia" w:eastAsia="宋体" w:cs="宋体"/>
          <w:b/>
          <w:color w:val="000000"/>
          <w:sz w:val="24"/>
          <w:szCs w:val="21"/>
        </w:rPr>
        <w:t>质疑函制作说明：</w:t>
      </w:r>
    </w:p>
    <w:p w14:paraId="420341DC">
      <w:pPr>
        <w:spacing w:line="360" w:lineRule="auto"/>
        <w:ind w:firstLine="480"/>
        <w:contextualSpacing/>
        <w:rPr>
          <w:rFonts w:eastAsia="宋体" w:cs="宋体"/>
          <w:color w:val="000000"/>
          <w:sz w:val="24"/>
          <w:szCs w:val="21"/>
        </w:rPr>
      </w:pPr>
      <w:r>
        <w:rPr>
          <w:rFonts w:hint="eastAsia" w:eastAsia="宋体" w:cs="宋体"/>
          <w:color w:val="000000"/>
          <w:sz w:val="24"/>
          <w:szCs w:val="21"/>
        </w:rPr>
        <w:t>1.投标人提出质疑时，应提交质疑函和必要的证明材料。</w:t>
      </w:r>
    </w:p>
    <w:p w14:paraId="6C9CDF24">
      <w:pPr>
        <w:spacing w:line="360" w:lineRule="auto"/>
        <w:ind w:firstLine="480"/>
        <w:contextualSpacing/>
        <w:rPr>
          <w:rFonts w:eastAsia="宋体" w:cs="宋体"/>
          <w:color w:val="000000"/>
          <w:sz w:val="24"/>
          <w:szCs w:val="21"/>
        </w:rPr>
      </w:pPr>
      <w:r>
        <w:rPr>
          <w:rFonts w:hint="eastAsia" w:eastAsia="宋体" w:cs="宋体"/>
          <w:color w:val="000000"/>
          <w:sz w:val="24"/>
          <w:szCs w:val="21"/>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0D5A0172">
      <w:pPr>
        <w:spacing w:line="360" w:lineRule="auto"/>
        <w:ind w:firstLine="480"/>
        <w:contextualSpacing/>
        <w:rPr>
          <w:rFonts w:eastAsia="宋体" w:cs="宋体"/>
          <w:color w:val="000000"/>
          <w:sz w:val="24"/>
          <w:szCs w:val="21"/>
        </w:rPr>
      </w:pPr>
      <w:r>
        <w:rPr>
          <w:rFonts w:hint="eastAsia" w:eastAsia="宋体" w:cs="宋体"/>
          <w:color w:val="000000"/>
          <w:sz w:val="24"/>
          <w:szCs w:val="21"/>
        </w:rPr>
        <w:t>3.质疑投标人若对项目的某一分包进行质疑，质疑函中应列明具体分包号。</w:t>
      </w:r>
    </w:p>
    <w:p w14:paraId="0B6EFD77">
      <w:pPr>
        <w:spacing w:line="360" w:lineRule="auto"/>
        <w:ind w:firstLine="480"/>
        <w:contextualSpacing/>
        <w:rPr>
          <w:rFonts w:eastAsia="宋体" w:cs="宋体"/>
          <w:color w:val="000000"/>
          <w:sz w:val="24"/>
          <w:szCs w:val="21"/>
        </w:rPr>
      </w:pPr>
      <w:r>
        <w:rPr>
          <w:rFonts w:hint="eastAsia" w:eastAsia="宋体" w:cs="宋体"/>
          <w:color w:val="000000"/>
          <w:sz w:val="24"/>
          <w:szCs w:val="21"/>
        </w:rPr>
        <w:t>4.质疑函的质疑事项应具体、明确，并有必要的事实依据和法律依据。</w:t>
      </w:r>
    </w:p>
    <w:p w14:paraId="33D7B579">
      <w:pPr>
        <w:spacing w:line="360" w:lineRule="auto"/>
        <w:ind w:firstLine="480"/>
        <w:contextualSpacing/>
        <w:rPr>
          <w:rFonts w:eastAsia="宋体" w:cs="宋体"/>
          <w:color w:val="000000"/>
          <w:sz w:val="24"/>
          <w:szCs w:val="21"/>
        </w:rPr>
      </w:pPr>
      <w:r>
        <w:rPr>
          <w:rFonts w:hint="eastAsia" w:eastAsia="宋体" w:cs="宋体"/>
          <w:color w:val="000000"/>
          <w:sz w:val="24"/>
          <w:szCs w:val="21"/>
        </w:rPr>
        <w:t>5.质疑函的质疑请求应与质疑事项相关。</w:t>
      </w:r>
    </w:p>
    <w:p w14:paraId="5157E6AD">
      <w:pPr>
        <w:spacing w:line="360" w:lineRule="auto"/>
        <w:ind w:firstLine="480"/>
        <w:contextualSpacing/>
        <w:rPr>
          <w:rFonts w:eastAsia="宋体" w:cs="宋体"/>
          <w:color w:val="000000"/>
          <w:sz w:val="24"/>
          <w:szCs w:val="21"/>
        </w:rPr>
      </w:pPr>
      <w:r>
        <w:rPr>
          <w:rFonts w:hint="eastAsia" w:eastAsia="宋体" w:cs="宋体"/>
          <w:color w:val="000000"/>
          <w:sz w:val="24"/>
          <w:szCs w:val="21"/>
        </w:rPr>
        <w:t>6.质疑投标人为自然人的，质疑函应由本人签字；质疑投标人为法人或者其他组织的，质疑函应由法定代表人、主要负责人，或者其授权代表签字或者盖章，并加盖公章。</w:t>
      </w:r>
    </w:p>
    <w:p w14:paraId="36A38FF9">
      <w:pPr>
        <w:spacing w:line="360" w:lineRule="auto"/>
        <w:contextualSpacing/>
        <w:jc w:val="center"/>
        <w:outlineLvl w:val="0"/>
        <w:rPr>
          <w:rFonts w:eastAsia="宋体" w:cs="宋体"/>
          <w:b/>
          <w:color w:val="000000"/>
          <w:sz w:val="36"/>
          <w:szCs w:val="36"/>
        </w:rPr>
      </w:pPr>
      <w:r>
        <w:rPr>
          <w:rFonts w:hint="eastAsia" w:eastAsia="宋体" w:cs="宋体"/>
          <w:b/>
          <w:color w:val="000000"/>
          <w:sz w:val="24"/>
          <w:szCs w:val="21"/>
        </w:rPr>
        <w:br w:type="page" w:clear="all"/>
      </w:r>
      <w:r>
        <w:rPr>
          <w:rFonts w:hint="eastAsia" w:eastAsia="宋体" w:cs="宋体"/>
          <w:b/>
          <w:color w:val="000000"/>
          <w:sz w:val="36"/>
          <w:szCs w:val="36"/>
        </w:rPr>
        <w:t>第八章  投标文件组成及格式</w:t>
      </w:r>
      <w:bookmarkEnd w:id="23"/>
    </w:p>
    <w:p w14:paraId="0ADDE784">
      <w:pPr>
        <w:spacing w:line="360" w:lineRule="auto"/>
        <w:ind w:firstLine="482"/>
        <w:contextualSpacing/>
        <w:jc w:val="left"/>
        <w:rPr>
          <w:rFonts w:eastAsia="宋体" w:cs="宋体"/>
          <w:b/>
          <w:color w:val="000000"/>
          <w:sz w:val="24"/>
          <w:szCs w:val="21"/>
        </w:rPr>
      </w:pPr>
    </w:p>
    <w:p w14:paraId="3DBFBBF5">
      <w:pPr>
        <w:spacing w:line="360" w:lineRule="auto"/>
        <w:ind w:firstLine="482"/>
        <w:contextualSpacing/>
        <w:jc w:val="left"/>
        <w:rPr>
          <w:rFonts w:eastAsia="宋体" w:cs="宋体"/>
          <w:b/>
          <w:color w:val="000000"/>
          <w:sz w:val="24"/>
          <w:szCs w:val="21"/>
        </w:rPr>
      </w:pPr>
      <w:r>
        <w:rPr>
          <w:rFonts w:hint="eastAsia" w:eastAsia="宋体" w:cs="宋体"/>
          <w:b/>
          <w:color w:val="000000"/>
          <w:sz w:val="24"/>
          <w:szCs w:val="21"/>
        </w:rPr>
        <w:t>一、基本目录</w:t>
      </w:r>
    </w:p>
    <w:p w14:paraId="6EA554C9">
      <w:pPr>
        <w:spacing w:line="360" w:lineRule="auto"/>
        <w:ind w:firstLine="480"/>
        <w:contextualSpacing/>
        <w:rPr>
          <w:rFonts w:eastAsia="宋体" w:cs="宋体"/>
          <w:bCs/>
          <w:color w:val="000000"/>
          <w:sz w:val="24"/>
          <w:szCs w:val="24"/>
        </w:rPr>
      </w:pPr>
      <w:r>
        <w:rPr>
          <w:rFonts w:hint="eastAsia" w:eastAsia="宋体" w:cs="宋体"/>
          <w:bCs/>
          <w:color w:val="000000"/>
          <w:sz w:val="24"/>
          <w:szCs w:val="24"/>
        </w:rPr>
        <w:t>1.开标一览表（格式参见附件）。</w:t>
      </w:r>
    </w:p>
    <w:p w14:paraId="790E5A0C">
      <w:pPr>
        <w:spacing w:line="360" w:lineRule="auto"/>
        <w:ind w:firstLine="480"/>
        <w:contextualSpacing/>
        <w:rPr>
          <w:rFonts w:eastAsia="宋体" w:cs="宋体"/>
          <w:bCs/>
          <w:color w:val="000000"/>
          <w:sz w:val="24"/>
          <w:szCs w:val="24"/>
        </w:rPr>
      </w:pPr>
      <w:r>
        <w:rPr>
          <w:rFonts w:hint="eastAsia" w:eastAsia="宋体" w:cs="宋体"/>
          <w:bCs/>
          <w:color w:val="000000"/>
          <w:sz w:val="24"/>
          <w:szCs w:val="24"/>
        </w:rPr>
        <w:t>2.分项报价明细表</w:t>
      </w:r>
      <w:bookmarkStart w:id="26" w:name="_GoBack"/>
      <w:bookmarkEnd w:id="26"/>
      <w:r>
        <w:rPr>
          <w:rFonts w:hint="eastAsia" w:eastAsia="宋体" w:cs="宋体"/>
          <w:bCs/>
          <w:color w:val="000000"/>
          <w:sz w:val="24"/>
          <w:szCs w:val="24"/>
        </w:rPr>
        <w:t>（格式参见附件）。</w:t>
      </w:r>
    </w:p>
    <w:p w14:paraId="69CEB986">
      <w:pPr>
        <w:spacing w:line="360" w:lineRule="auto"/>
        <w:ind w:firstLine="480"/>
        <w:contextualSpacing/>
        <w:rPr>
          <w:rFonts w:eastAsia="宋体" w:cs="宋体"/>
          <w:bCs/>
          <w:color w:val="000000"/>
          <w:sz w:val="24"/>
          <w:szCs w:val="24"/>
        </w:rPr>
      </w:pPr>
      <w:r>
        <w:rPr>
          <w:rFonts w:hint="eastAsia" w:eastAsia="宋体" w:cs="宋体"/>
          <w:bCs/>
          <w:color w:val="000000"/>
          <w:sz w:val="24"/>
          <w:szCs w:val="24"/>
        </w:rPr>
        <w:t>3.供应商信用承诺书（格式参见附件）。</w:t>
      </w:r>
    </w:p>
    <w:p w14:paraId="7CB0B161">
      <w:pPr>
        <w:spacing w:line="360" w:lineRule="auto"/>
        <w:ind w:firstLine="480"/>
        <w:contextualSpacing/>
        <w:rPr>
          <w:rFonts w:eastAsia="宋体" w:cs="宋体"/>
          <w:bCs/>
          <w:color w:val="000000"/>
          <w:sz w:val="24"/>
          <w:szCs w:val="24"/>
        </w:rPr>
      </w:pPr>
      <w:r>
        <w:rPr>
          <w:rFonts w:hint="eastAsia" w:eastAsia="宋体" w:cs="宋体"/>
          <w:bCs/>
          <w:color w:val="000000"/>
          <w:sz w:val="24"/>
          <w:szCs w:val="24"/>
        </w:rPr>
        <w:t>4.供应商情况表（格式参见附件）。</w:t>
      </w:r>
    </w:p>
    <w:p w14:paraId="36A4A407">
      <w:pPr>
        <w:spacing w:line="360" w:lineRule="auto"/>
        <w:ind w:firstLine="482"/>
        <w:contextualSpacing/>
        <w:jc w:val="left"/>
        <w:rPr>
          <w:rFonts w:eastAsia="宋体" w:cs="宋体"/>
          <w:b/>
          <w:color w:val="000000"/>
          <w:sz w:val="24"/>
          <w:szCs w:val="21"/>
        </w:rPr>
      </w:pPr>
      <w:r>
        <w:rPr>
          <w:rFonts w:hint="eastAsia" w:eastAsia="宋体" w:cs="宋体"/>
          <w:b/>
          <w:color w:val="000000"/>
          <w:sz w:val="24"/>
          <w:szCs w:val="21"/>
        </w:rPr>
        <w:t>二、</w:t>
      </w:r>
      <w:r>
        <w:rPr>
          <w:rFonts w:eastAsia="宋体" w:cs="宋体"/>
          <w:b/>
          <w:color w:val="000000"/>
          <w:sz w:val="24"/>
          <w:szCs w:val="21"/>
        </w:rPr>
        <w:t>资格审查文件</w:t>
      </w:r>
    </w:p>
    <w:p w14:paraId="4183C291">
      <w:pPr>
        <w:spacing w:line="360" w:lineRule="auto"/>
        <w:ind w:firstLine="480"/>
        <w:contextualSpacing/>
        <w:rPr>
          <w:rFonts w:eastAsia="宋体" w:cs="宋体"/>
          <w:bCs/>
          <w:color w:val="000000"/>
          <w:sz w:val="24"/>
          <w:szCs w:val="24"/>
        </w:rPr>
      </w:pPr>
      <w:r>
        <w:rPr>
          <w:rFonts w:hint="eastAsia" w:eastAsia="宋体" w:cs="宋体"/>
          <w:bCs/>
          <w:color w:val="000000"/>
          <w:sz w:val="24"/>
          <w:szCs w:val="24"/>
        </w:rPr>
        <w:t>1.投标人符合《中华人民共和国政府采购法》第二十二条规定条件的声明函（格式参见附件）。</w:t>
      </w:r>
    </w:p>
    <w:p w14:paraId="3ACECC08">
      <w:pPr>
        <w:spacing w:line="360" w:lineRule="auto"/>
        <w:ind w:firstLine="480"/>
        <w:contextualSpacing/>
        <w:rPr>
          <w:rFonts w:eastAsia="宋体" w:cs="宋体"/>
          <w:bCs/>
          <w:color w:val="000000"/>
          <w:sz w:val="24"/>
          <w:szCs w:val="24"/>
        </w:rPr>
      </w:pPr>
      <w:r>
        <w:rPr>
          <w:rFonts w:hint="eastAsia" w:eastAsia="宋体" w:cs="宋体"/>
          <w:bCs/>
          <w:color w:val="000000"/>
          <w:sz w:val="24"/>
          <w:szCs w:val="24"/>
        </w:rPr>
        <w:t>2.提供法人或者其他组织的营业执照等证明文件，如供应商为自然人的，提供其身份证明。</w:t>
      </w:r>
    </w:p>
    <w:p w14:paraId="414539CC">
      <w:pPr>
        <w:spacing w:line="360" w:lineRule="auto"/>
        <w:ind w:firstLine="480"/>
        <w:contextualSpacing/>
        <w:rPr>
          <w:rFonts w:eastAsia="宋体" w:cs="宋体"/>
          <w:bCs/>
          <w:color w:val="000000"/>
          <w:sz w:val="24"/>
          <w:szCs w:val="24"/>
        </w:rPr>
      </w:pPr>
      <w:r>
        <w:rPr>
          <w:rFonts w:hint="eastAsia" w:eastAsia="宋体" w:cs="宋体"/>
          <w:bCs/>
          <w:color w:val="000000"/>
          <w:sz w:val="24"/>
          <w:szCs w:val="24"/>
        </w:rPr>
        <w:t>3.如为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格式参见附件）。</w:t>
      </w:r>
    </w:p>
    <w:p w14:paraId="1CCC22C8">
      <w:pPr>
        <w:spacing w:line="360" w:lineRule="auto"/>
        <w:ind w:firstLine="480"/>
        <w:contextualSpacing/>
        <w:rPr>
          <w:rFonts w:hint="eastAsia" w:eastAsia="宋体" w:cs="宋体"/>
          <w:bCs/>
          <w:color w:val="000000"/>
          <w:sz w:val="24"/>
          <w:szCs w:val="24"/>
          <w:lang w:val="en-US" w:eastAsia="zh-CN"/>
        </w:rPr>
      </w:pPr>
      <w:r>
        <w:rPr>
          <w:rFonts w:hint="eastAsia" w:eastAsia="宋体" w:cs="宋体"/>
          <w:bCs/>
          <w:color w:val="000000"/>
          <w:sz w:val="24"/>
          <w:szCs w:val="24"/>
          <w:lang w:val="en-US" w:eastAsia="zh-CN"/>
        </w:rPr>
        <w:t>4.</w:t>
      </w:r>
      <w:r>
        <w:rPr>
          <w:rFonts w:hint="eastAsia" w:eastAsia="宋体" w:cs="宋体"/>
          <w:bCs/>
          <w:color w:val="000000"/>
          <w:sz w:val="24"/>
          <w:szCs w:val="24"/>
        </w:rPr>
        <w:t>未被“信用中国”网站（www.creditchina.gov.cn）列入失信被执行人、重大税收违法案件当事人名单、政府采购严重失信行为记录名单。</w:t>
      </w:r>
    </w:p>
    <w:p w14:paraId="7211FD2A">
      <w:pP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5</w:t>
      </w:r>
      <w:r>
        <w:rPr>
          <w:rFonts w:hint="eastAsia" w:eastAsia="宋体" w:cs="宋体"/>
          <w:bCs/>
          <w:color w:val="000000"/>
          <w:sz w:val="24"/>
          <w:szCs w:val="24"/>
        </w:rPr>
        <w:t>.拒绝下述供应商参加本次采购活动（提供声明，格式参见附件）：</w:t>
      </w:r>
    </w:p>
    <w:p w14:paraId="1877B7BE">
      <w:pP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5</w:t>
      </w:r>
      <w:r>
        <w:rPr>
          <w:rFonts w:hint="eastAsia" w:eastAsia="宋体" w:cs="宋体"/>
          <w:bCs/>
          <w:color w:val="000000"/>
          <w:sz w:val="24"/>
          <w:szCs w:val="24"/>
        </w:rPr>
        <w:t>.1</w:t>
      </w:r>
      <w:r>
        <w:rPr>
          <w:rFonts w:hint="eastAsia" w:eastAsia="宋体" w:cs="宋体"/>
          <w:bCs/>
          <w:color w:val="000000"/>
          <w:sz w:val="24"/>
          <w:szCs w:val="24"/>
          <w:lang w:val="en-US" w:eastAsia="zh-CN"/>
        </w:rPr>
        <w:t xml:space="preserve"> </w:t>
      </w:r>
      <w:r>
        <w:rPr>
          <w:rFonts w:hint="eastAsia" w:eastAsia="宋体" w:cs="宋体"/>
          <w:bCs/>
          <w:color w:val="000000"/>
          <w:sz w:val="24"/>
          <w:szCs w:val="24"/>
        </w:rPr>
        <w:t>供应商单位负责人为同一人或者存在直接控股、管理关系的不同供应商，不得参加同一合同项下的政府采购活动。</w:t>
      </w:r>
    </w:p>
    <w:p w14:paraId="35BC1E95">
      <w:pP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5</w:t>
      </w:r>
      <w:r>
        <w:rPr>
          <w:rFonts w:hint="eastAsia" w:eastAsia="宋体" w:cs="宋体"/>
          <w:bCs/>
          <w:color w:val="000000"/>
          <w:sz w:val="24"/>
          <w:szCs w:val="24"/>
        </w:rPr>
        <w:t>.2凡为采购项目提供整体设计、规范编制或者项目管理、监理、检测等服务的供应商，不得再参加本项目的采购活动。</w:t>
      </w:r>
    </w:p>
    <w:p w14:paraId="31196492">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Times New Roman" w:hAnsi="Times New Roman" w:eastAsia="宋体" w:cs="宋体"/>
          <w:bCs/>
          <w:color w:val="000000"/>
          <w:sz w:val="24"/>
          <w:szCs w:val="24"/>
          <w:lang w:val="en-US" w:eastAsia="zh-CN"/>
        </w:rPr>
      </w:pPr>
      <w:r>
        <w:rPr>
          <w:rFonts w:hint="eastAsia" w:eastAsia="宋体" w:cs="宋体"/>
          <w:bCs/>
          <w:color w:val="000000"/>
          <w:sz w:val="24"/>
          <w:szCs w:val="24"/>
          <w:lang w:val="en-US" w:eastAsia="zh-CN"/>
        </w:rPr>
        <w:t>6</w:t>
      </w:r>
      <w:r>
        <w:rPr>
          <w:rFonts w:hint="eastAsia" w:eastAsia="宋体" w:cs="宋体"/>
          <w:bCs/>
          <w:color w:val="000000"/>
          <w:sz w:val="24"/>
          <w:szCs w:val="24"/>
        </w:rPr>
        <w:t>.</w:t>
      </w:r>
      <w:r>
        <w:rPr>
          <w:rFonts w:hint="eastAsia" w:ascii="Times New Roman" w:hAnsi="Times New Roman" w:eastAsia="宋体" w:cs="宋体"/>
          <w:bCs/>
          <w:color w:val="000000"/>
          <w:sz w:val="24"/>
          <w:szCs w:val="24"/>
          <w:lang w:val="en-US" w:eastAsia="zh-CN"/>
        </w:rPr>
        <w:t>其它需要提交的资格审查证明材料（以下满足其一即可）（格式见附件）：</w:t>
      </w:r>
    </w:p>
    <w:p w14:paraId="1B72961E">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Times New Roman" w:hAnsi="Times New Roman" w:eastAsia="宋体" w:cs="宋体"/>
          <w:bCs/>
          <w:color w:val="000000"/>
          <w:sz w:val="24"/>
          <w:szCs w:val="24"/>
          <w:lang w:val="en-US" w:eastAsia="zh-CN"/>
        </w:rPr>
      </w:pPr>
      <w:r>
        <w:rPr>
          <w:rFonts w:hint="eastAsia" w:ascii="Times New Roman" w:hAnsi="Times New Roman" w:eastAsia="宋体" w:cs="宋体"/>
          <w:bCs/>
          <w:color w:val="000000"/>
          <w:sz w:val="24"/>
          <w:szCs w:val="24"/>
          <w:lang w:val="en-US" w:eastAsia="zh-CN"/>
        </w:rPr>
        <w:t>6.1 中小企业声明函</w:t>
      </w:r>
      <w:r>
        <w:rPr>
          <w:rFonts w:hint="eastAsia" w:ascii="Times New Roman" w:hAnsi="Times New Roman" w:eastAsia="宋体" w:cs="宋体"/>
          <w:bCs/>
          <w:color w:val="000000"/>
          <w:sz w:val="24"/>
          <w:szCs w:val="24"/>
        </w:rPr>
        <w:t>（货物）</w:t>
      </w:r>
      <w:r>
        <w:rPr>
          <w:rFonts w:hint="eastAsia" w:ascii="Times New Roman" w:hAnsi="Times New Roman" w:eastAsia="宋体" w:cs="宋体"/>
          <w:bCs/>
          <w:color w:val="000000"/>
          <w:sz w:val="24"/>
          <w:szCs w:val="24"/>
          <w:lang w:val="en-US" w:eastAsia="zh-CN"/>
        </w:rPr>
        <w:t>；</w:t>
      </w:r>
    </w:p>
    <w:p w14:paraId="7EECFC51">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Times New Roman" w:hAnsi="Times New Roman" w:eastAsia="宋体" w:cs="宋体"/>
          <w:bCs/>
          <w:color w:val="000000"/>
          <w:sz w:val="24"/>
          <w:szCs w:val="24"/>
          <w:lang w:val="en-US" w:eastAsia="zh-CN"/>
        </w:rPr>
      </w:pPr>
      <w:r>
        <w:rPr>
          <w:rFonts w:hint="eastAsia" w:ascii="Times New Roman" w:hAnsi="Times New Roman" w:eastAsia="宋体" w:cs="宋体"/>
          <w:bCs/>
          <w:color w:val="000000"/>
          <w:sz w:val="24"/>
          <w:szCs w:val="24"/>
          <w:lang w:val="en-US" w:eastAsia="zh-CN"/>
        </w:rPr>
        <w:t>6.2 残疾人福利性单位声明函；</w:t>
      </w:r>
    </w:p>
    <w:p w14:paraId="63FC9694">
      <w:pPr>
        <w:spacing w:line="360" w:lineRule="auto"/>
        <w:ind w:firstLine="480"/>
        <w:contextualSpacing/>
        <w:rPr>
          <w:rFonts w:hint="eastAsia" w:eastAsia="宋体" w:cs="宋体"/>
          <w:bCs/>
          <w:color w:val="000000"/>
          <w:sz w:val="24"/>
          <w:szCs w:val="24"/>
        </w:rPr>
      </w:pPr>
      <w:r>
        <w:rPr>
          <w:rFonts w:hint="eastAsia" w:ascii="Times New Roman" w:hAnsi="Times New Roman" w:eastAsia="宋体" w:cs="宋体"/>
          <w:bCs/>
          <w:color w:val="000000"/>
          <w:sz w:val="24"/>
          <w:szCs w:val="24"/>
          <w:lang w:val="en-US" w:eastAsia="zh-CN"/>
        </w:rPr>
        <w:t>6.3 监狱和戒毒企业证明材料；</w:t>
      </w:r>
    </w:p>
    <w:p w14:paraId="35E1C562">
      <w:pPr>
        <w:spacing w:line="360" w:lineRule="auto"/>
        <w:ind w:firstLine="480"/>
        <w:contextualSpacing/>
        <w:rPr>
          <w:rFonts w:eastAsia="宋体" w:cs="宋体"/>
          <w:bCs/>
          <w:color w:val="000000"/>
          <w:sz w:val="24"/>
          <w:szCs w:val="24"/>
        </w:rPr>
      </w:pPr>
      <w:r>
        <w:rPr>
          <w:rFonts w:hint="eastAsia" w:eastAsia="宋体" w:cs="宋体"/>
          <w:bCs/>
          <w:color w:val="000000"/>
          <w:sz w:val="24"/>
          <w:szCs w:val="24"/>
          <w:lang w:val="en-US" w:eastAsia="zh-CN"/>
        </w:rPr>
        <w:t>7.</w:t>
      </w:r>
      <w:r>
        <w:rPr>
          <w:rFonts w:hint="eastAsia" w:eastAsia="宋体" w:cs="宋体"/>
          <w:bCs/>
          <w:color w:val="000000"/>
          <w:sz w:val="24"/>
          <w:szCs w:val="24"/>
        </w:rPr>
        <w:t>供应商认为需提供的其他材料。</w:t>
      </w:r>
    </w:p>
    <w:p w14:paraId="41B8179A">
      <w:pPr>
        <w:spacing w:line="360" w:lineRule="auto"/>
        <w:ind w:firstLine="482"/>
        <w:contextualSpacing/>
        <w:jc w:val="left"/>
        <w:rPr>
          <w:rFonts w:eastAsia="宋体" w:cs="宋体"/>
          <w:b/>
          <w:color w:val="000000"/>
          <w:sz w:val="24"/>
          <w:szCs w:val="24"/>
          <w:lang w:val="zh-CN"/>
        </w:rPr>
      </w:pPr>
      <w:r>
        <w:rPr>
          <w:rFonts w:hint="eastAsia" w:eastAsia="宋体" w:cs="宋体"/>
          <w:b/>
          <w:color w:val="000000"/>
          <w:sz w:val="24"/>
          <w:szCs w:val="24"/>
          <w:lang w:val="zh-CN"/>
        </w:rPr>
        <w:t>注：以上所有资格要求条件必须在资格审查材料中逐条提供有效证明材料及相关承诺书并加盖公章，否则投标无效。</w:t>
      </w:r>
    </w:p>
    <w:p w14:paraId="3FA6C77D">
      <w:pPr>
        <w:spacing w:line="360" w:lineRule="auto"/>
        <w:ind w:firstLine="482"/>
        <w:contextualSpacing/>
        <w:jc w:val="left"/>
        <w:rPr>
          <w:rFonts w:eastAsia="宋体" w:cs="宋体"/>
          <w:b/>
          <w:color w:val="000000"/>
          <w:sz w:val="24"/>
          <w:szCs w:val="21"/>
        </w:rPr>
      </w:pPr>
      <w:r>
        <w:rPr>
          <w:rFonts w:hint="eastAsia" w:eastAsia="宋体" w:cs="宋体"/>
          <w:b/>
          <w:color w:val="000000"/>
          <w:sz w:val="24"/>
          <w:szCs w:val="21"/>
        </w:rPr>
        <w:t>三、符合性审查文件</w:t>
      </w:r>
    </w:p>
    <w:p w14:paraId="5D5A711F">
      <w:pPr>
        <w:spacing w:line="360" w:lineRule="auto"/>
        <w:ind w:firstLine="480"/>
        <w:contextualSpacing/>
        <w:rPr>
          <w:rFonts w:eastAsia="宋体" w:cs="宋体"/>
          <w:bCs/>
          <w:color w:val="000000"/>
          <w:sz w:val="24"/>
          <w:szCs w:val="24"/>
        </w:rPr>
      </w:pPr>
      <w:r>
        <w:rPr>
          <w:rFonts w:hint="eastAsia" w:eastAsia="宋体" w:cs="宋体"/>
          <w:bCs/>
          <w:color w:val="000000"/>
          <w:sz w:val="24"/>
          <w:szCs w:val="24"/>
        </w:rPr>
        <w:t>1.投标声明函（格式参见附件）。</w:t>
      </w:r>
    </w:p>
    <w:p w14:paraId="07F0770D">
      <w:pPr>
        <w:spacing w:line="360" w:lineRule="auto"/>
        <w:ind w:firstLine="480"/>
        <w:contextualSpacing/>
        <w:rPr>
          <w:rFonts w:eastAsia="宋体" w:cs="宋体"/>
          <w:bCs/>
          <w:color w:val="000000"/>
          <w:sz w:val="24"/>
          <w:szCs w:val="24"/>
        </w:rPr>
      </w:pPr>
      <w:r>
        <w:rPr>
          <w:rFonts w:hint="eastAsia" w:eastAsia="宋体" w:cs="宋体"/>
          <w:bCs/>
          <w:color w:val="000000"/>
          <w:sz w:val="24"/>
          <w:szCs w:val="24"/>
        </w:rPr>
        <w:t>2.投标响应函（格式参见附件）。</w:t>
      </w:r>
    </w:p>
    <w:p w14:paraId="37EBE71F">
      <w:pPr>
        <w:spacing w:line="360" w:lineRule="auto"/>
        <w:ind w:firstLine="480"/>
        <w:contextualSpacing/>
        <w:rPr>
          <w:rFonts w:eastAsia="宋体" w:cs="宋体"/>
          <w:bCs/>
          <w:color w:val="000000"/>
          <w:sz w:val="24"/>
          <w:szCs w:val="24"/>
        </w:rPr>
      </w:pPr>
      <w:r>
        <w:rPr>
          <w:rFonts w:hint="eastAsia" w:eastAsia="宋体" w:cs="宋体"/>
          <w:bCs/>
          <w:color w:val="000000"/>
          <w:sz w:val="24"/>
          <w:szCs w:val="24"/>
        </w:rPr>
        <w:t>3.商务条款正负偏离表（格式参见附件）。</w:t>
      </w:r>
    </w:p>
    <w:p w14:paraId="7CC32F87">
      <w:pPr>
        <w:spacing w:line="360" w:lineRule="auto"/>
        <w:ind w:firstLine="482"/>
        <w:outlineLvl w:val="1"/>
        <w:rPr>
          <w:rFonts w:eastAsia="宋体" w:cs="宋体"/>
          <w:b/>
          <w:bCs/>
          <w:color w:val="000000"/>
          <w:sz w:val="24"/>
          <w:szCs w:val="24"/>
        </w:rPr>
      </w:pPr>
      <w:r>
        <w:rPr>
          <w:rFonts w:hint="eastAsia" w:eastAsia="宋体" w:cs="宋体"/>
          <w:b/>
          <w:bCs/>
          <w:color w:val="000000"/>
          <w:sz w:val="24"/>
          <w:szCs w:val="24"/>
        </w:rPr>
        <w:t>4.采购需求中必须满足的实质性要求：</w:t>
      </w:r>
    </w:p>
    <w:p w14:paraId="7891E08E">
      <w:pPr>
        <w:spacing w:line="360" w:lineRule="auto"/>
        <w:ind w:firstLine="482"/>
        <w:outlineLvl w:val="1"/>
        <w:rPr>
          <w:rFonts w:hint="eastAsia" w:eastAsia="宋体" w:cs="宋体"/>
          <w:b/>
          <w:bCs/>
          <w:color w:val="000000"/>
          <w:sz w:val="24"/>
          <w:szCs w:val="24"/>
        </w:rPr>
      </w:pPr>
      <w:r>
        <w:rPr>
          <w:rFonts w:hint="eastAsia" w:eastAsia="宋体" w:cs="宋体"/>
          <w:b/>
          <w:bCs/>
          <w:color w:val="000000"/>
          <w:sz w:val="24"/>
          <w:szCs w:val="24"/>
        </w:rPr>
        <w:t>4.1 投标人拟投本项目所有标注“★”的为设备技术参数须实质性响应本采购文件技术参数要求，不接受负偏离产品应标。提供《★技术条款响应正负偏离表》，须根据清单中“★”的技术参数要求逐条进行应答；未提供或有遗漏或有负偏离均视为未实质性响应，作废标处理。对本项目能够作为技术参数证明材料的文件如：现场软件演示。</w:t>
      </w:r>
    </w:p>
    <w:p w14:paraId="61B32EDC">
      <w:pPr>
        <w:spacing w:line="360" w:lineRule="auto"/>
        <w:ind w:firstLine="480"/>
        <w:contextualSpacing/>
        <w:rPr>
          <w:rFonts w:eastAsia="宋体" w:cs="宋体"/>
          <w:bCs/>
          <w:color w:val="000000"/>
          <w:sz w:val="24"/>
          <w:szCs w:val="24"/>
        </w:rPr>
      </w:pPr>
      <w:r>
        <w:rPr>
          <w:rFonts w:hint="eastAsia" w:eastAsia="宋体" w:cs="宋体"/>
          <w:bCs/>
          <w:color w:val="000000"/>
          <w:sz w:val="24"/>
          <w:szCs w:val="24"/>
        </w:rPr>
        <w:t>5.投标人认为需要提交的其他资料。</w:t>
      </w:r>
    </w:p>
    <w:p w14:paraId="5C307608">
      <w:pPr>
        <w:spacing w:line="360" w:lineRule="auto"/>
        <w:ind w:firstLine="480"/>
        <w:contextualSpacing/>
        <w:rPr>
          <w:rFonts w:eastAsia="宋体" w:cs="宋体"/>
          <w:b/>
          <w:bCs/>
          <w:color w:val="000000"/>
          <w:sz w:val="24"/>
          <w:szCs w:val="24"/>
        </w:rPr>
      </w:pPr>
      <w:r>
        <w:rPr>
          <w:rFonts w:hint="eastAsia" w:eastAsia="宋体" w:cs="宋体"/>
          <w:b/>
          <w:bCs/>
          <w:color w:val="000000"/>
          <w:sz w:val="24"/>
          <w:szCs w:val="24"/>
        </w:rPr>
        <w:t>四、商务技术标文件</w:t>
      </w:r>
    </w:p>
    <w:p w14:paraId="4E0BFACF">
      <w:pPr>
        <w:spacing w:line="360" w:lineRule="auto"/>
        <w:ind w:firstLine="480"/>
        <w:contextualSpacing/>
        <w:rPr>
          <w:rFonts w:eastAsia="宋体" w:cs="宋体"/>
          <w:bCs/>
          <w:color w:val="000000"/>
          <w:sz w:val="24"/>
          <w:szCs w:val="24"/>
        </w:rPr>
      </w:pPr>
      <w:r>
        <w:rPr>
          <w:rFonts w:hint="eastAsia" w:eastAsia="宋体" w:cs="宋体"/>
          <w:bCs/>
          <w:color w:val="000000"/>
          <w:sz w:val="24"/>
          <w:szCs w:val="24"/>
        </w:rPr>
        <w:t>1.评标办法中所涉及的事项需提供的所有资料。</w:t>
      </w:r>
    </w:p>
    <w:p w14:paraId="0AD6600E">
      <w:pPr>
        <w:spacing w:line="360" w:lineRule="auto"/>
        <w:ind w:firstLine="480"/>
        <w:contextualSpacing/>
        <w:rPr>
          <w:rFonts w:eastAsia="宋体" w:cs="宋体"/>
          <w:bCs/>
          <w:color w:val="000000"/>
          <w:sz w:val="24"/>
          <w:szCs w:val="24"/>
        </w:rPr>
      </w:pPr>
      <w:r>
        <w:rPr>
          <w:rFonts w:hint="eastAsia" w:eastAsia="宋体" w:cs="宋体"/>
          <w:bCs/>
          <w:color w:val="000000"/>
          <w:sz w:val="24"/>
          <w:szCs w:val="24"/>
        </w:rPr>
        <w:t>2.项目需求中涉及需要投标人提交的材料。</w:t>
      </w:r>
    </w:p>
    <w:p w14:paraId="6260ACCD">
      <w:pPr>
        <w:spacing w:line="360" w:lineRule="auto"/>
        <w:ind w:firstLine="480"/>
        <w:contextualSpacing/>
        <w:rPr>
          <w:rFonts w:eastAsia="宋体" w:cs="宋体"/>
          <w:bCs/>
          <w:color w:val="000000"/>
          <w:sz w:val="24"/>
          <w:szCs w:val="24"/>
        </w:rPr>
      </w:pPr>
      <w:r>
        <w:rPr>
          <w:rFonts w:hint="eastAsia" w:eastAsia="宋体" w:cs="宋体"/>
          <w:bCs/>
          <w:color w:val="000000"/>
          <w:sz w:val="24"/>
          <w:szCs w:val="24"/>
        </w:rPr>
        <w:t>3.技术条款响应正负偏离表（格式参见附件）。</w:t>
      </w:r>
    </w:p>
    <w:p w14:paraId="3920CE04">
      <w:pPr>
        <w:spacing w:line="360" w:lineRule="auto"/>
        <w:ind w:firstLine="480"/>
        <w:contextualSpacing/>
        <w:rPr>
          <w:rFonts w:eastAsia="宋体" w:cs="宋体"/>
          <w:bCs/>
          <w:color w:val="000000"/>
          <w:sz w:val="24"/>
          <w:szCs w:val="24"/>
        </w:rPr>
      </w:pPr>
      <w:r>
        <w:rPr>
          <w:rFonts w:hint="eastAsia" w:eastAsia="宋体" w:cs="宋体"/>
          <w:bCs/>
          <w:color w:val="000000"/>
          <w:sz w:val="24"/>
          <w:szCs w:val="24"/>
        </w:rPr>
        <w:t>4.招标文件中未涉及的事项，投标人认为需要提交的其他资料。</w:t>
      </w:r>
    </w:p>
    <w:p w14:paraId="58BF5B92">
      <w:pPr>
        <w:spacing w:line="360" w:lineRule="auto"/>
        <w:ind w:firstLine="482"/>
        <w:contextualSpacing/>
        <w:jc w:val="left"/>
        <w:rPr>
          <w:rFonts w:hint="eastAsia" w:eastAsia="宋体" w:cs="宋体"/>
          <w:bCs/>
          <w:color w:val="000000"/>
          <w:sz w:val="24"/>
          <w:szCs w:val="24"/>
        </w:rPr>
      </w:pPr>
      <w:r>
        <w:rPr>
          <w:rFonts w:hint="eastAsia" w:eastAsia="宋体" w:cs="宋体"/>
          <w:bCs/>
          <w:color w:val="000000"/>
          <w:sz w:val="24"/>
          <w:szCs w:val="24"/>
        </w:rPr>
        <w:t>注：为方便评委评审，请投标人按评标办法中所涉及的事项顺序进行编制，可以补充相关材料。</w:t>
      </w:r>
    </w:p>
    <w:p w14:paraId="0ECF5D3A">
      <w:pPr>
        <w:numPr>
          <w:ilvl w:val="0"/>
          <w:numId w:val="0"/>
        </w:numPr>
        <w:spacing w:line="360" w:lineRule="auto"/>
        <w:ind w:firstLine="480" w:firstLineChars="0"/>
        <w:contextualSpacing/>
        <w:rPr>
          <w:rFonts w:hint="eastAsia" w:eastAsia="宋体" w:cs="宋体"/>
          <w:b/>
          <w:bCs/>
          <w:color w:val="000000"/>
          <w:sz w:val="24"/>
          <w:szCs w:val="24"/>
        </w:rPr>
      </w:pPr>
      <w:r>
        <w:rPr>
          <w:rFonts w:hint="eastAsia" w:ascii="Times New Roman" w:hAnsi="Times New Roman" w:eastAsia="宋体" w:cs="宋体"/>
          <w:b/>
          <w:bCs/>
          <w:color w:val="000000"/>
          <w:sz w:val="24"/>
          <w:szCs w:val="24"/>
          <w:lang w:val="en-US" w:eastAsia="zh-CN" w:bidi="ar-SA"/>
        </w:rPr>
        <w:t>五、</w:t>
      </w:r>
      <w:r>
        <w:rPr>
          <w:rFonts w:hint="eastAsia" w:eastAsia="宋体" w:cs="宋体"/>
          <w:b/>
          <w:bCs/>
          <w:color w:val="000000"/>
          <w:sz w:val="24"/>
          <w:szCs w:val="24"/>
        </w:rPr>
        <w:t>价格折扣文件格式</w:t>
      </w:r>
    </w:p>
    <w:p w14:paraId="53530EE7">
      <w:pPr>
        <w:spacing w:line="360" w:lineRule="auto"/>
        <w:ind w:firstLine="480"/>
        <w:contextualSpacing/>
        <w:rPr>
          <w:rFonts w:hint="eastAsia" w:eastAsia="宋体" w:cs="宋体"/>
          <w:bCs/>
          <w:color w:val="000000"/>
          <w:sz w:val="24"/>
          <w:szCs w:val="24"/>
        </w:rPr>
      </w:pPr>
      <w:r>
        <w:rPr>
          <w:rFonts w:hint="eastAsia" w:eastAsia="宋体" w:cs="宋体"/>
          <w:bCs/>
          <w:color w:val="000000"/>
          <w:sz w:val="24"/>
          <w:szCs w:val="24"/>
          <w:lang w:val="en-US" w:eastAsia="zh-CN"/>
        </w:rPr>
        <w:t>1.</w:t>
      </w:r>
      <w:r>
        <w:rPr>
          <w:rFonts w:hint="eastAsia" w:eastAsia="宋体" w:cs="宋体"/>
          <w:bCs/>
          <w:color w:val="000000"/>
          <w:sz w:val="24"/>
          <w:szCs w:val="24"/>
        </w:rPr>
        <w:t>关于符合本国产品标准的声明函（格式参见附件）。</w:t>
      </w:r>
    </w:p>
    <w:p w14:paraId="1F0B1C97">
      <w:pPr>
        <w:spacing w:line="360" w:lineRule="auto"/>
        <w:ind w:firstLine="480"/>
        <w:contextualSpacing/>
        <w:rPr>
          <w:rFonts w:eastAsia="宋体" w:cs="宋体"/>
          <w:bCs/>
          <w:color w:val="000000"/>
          <w:sz w:val="24"/>
          <w:szCs w:val="21"/>
        </w:rPr>
      </w:pPr>
    </w:p>
    <w:p w14:paraId="6C1C41A7">
      <w:pPr>
        <w:spacing w:line="360" w:lineRule="auto"/>
        <w:ind w:firstLine="480"/>
        <w:contextualSpacing/>
        <w:rPr>
          <w:rFonts w:eastAsia="宋体" w:cs="宋体"/>
          <w:bCs/>
          <w:color w:val="000000"/>
          <w:sz w:val="24"/>
          <w:szCs w:val="24"/>
        </w:rPr>
      </w:pPr>
      <w:r>
        <w:rPr>
          <w:rFonts w:hint="eastAsia" w:eastAsia="宋体" w:cs="宋体"/>
          <w:bCs/>
          <w:color w:val="000000"/>
          <w:sz w:val="24"/>
          <w:szCs w:val="24"/>
        </w:rPr>
        <w:t xml:space="preserve">         </w:t>
      </w:r>
    </w:p>
    <w:p w14:paraId="0848FDA5">
      <w:pPr>
        <w:spacing w:line="360" w:lineRule="auto"/>
        <w:rPr>
          <w:rFonts w:eastAsia="宋体" w:cs="宋体"/>
          <w:color w:val="000000"/>
          <w:sz w:val="24"/>
          <w:szCs w:val="24"/>
        </w:rPr>
      </w:pPr>
      <w:r>
        <w:rPr>
          <w:rFonts w:hint="eastAsia" w:eastAsia="宋体" w:cs="宋体"/>
          <w:bCs/>
          <w:color w:val="000000"/>
          <w:sz w:val="24"/>
          <w:szCs w:val="21"/>
        </w:rPr>
        <w:br w:type="page" w:clear="all"/>
      </w:r>
      <w:r>
        <w:rPr>
          <w:rFonts w:hint="eastAsia" w:eastAsia="宋体" w:cs="宋体"/>
          <w:b/>
          <w:bCs/>
          <w:color w:val="000000"/>
          <w:sz w:val="24"/>
          <w:szCs w:val="21"/>
        </w:rPr>
        <w:t>附件：相关格式</w:t>
      </w:r>
    </w:p>
    <w:p w14:paraId="6482E49A">
      <w:pPr>
        <w:spacing w:line="360" w:lineRule="auto"/>
        <w:jc w:val="center"/>
        <w:outlineLvl w:val="3"/>
        <w:rPr>
          <w:rFonts w:eastAsia="宋体" w:cs="宋体"/>
          <w:b/>
          <w:bCs/>
          <w:color w:val="000000"/>
          <w:sz w:val="28"/>
          <w:szCs w:val="28"/>
        </w:rPr>
      </w:pPr>
      <w:r>
        <w:rPr>
          <w:rFonts w:hint="eastAsia" w:eastAsia="宋体" w:cs="宋体"/>
          <w:b/>
          <w:bCs/>
          <w:color w:val="000000"/>
          <w:sz w:val="28"/>
          <w:szCs w:val="28"/>
        </w:rPr>
        <w:t>1.开标 一 览表</w:t>
      </w:r>
    </w:p>
    <w:p w14:paraId="13EBD345">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sz w:val="28"/>
          <w:szCs w:val="28"/>
          <w:u w:val="single"/>
        </w:rPr>
      </w:pPr>
      <w:r>
        <w:rPr>
          <w:rFonts w:hint="eastAsia" w:ascii="宋体" w:hAnsi="宋体" w:eastAsia="宋体" w:cs="宋体"/>
          <w:sz w:val="28"/>
          <w:szCs w:val="28"/>
        </w:rPr>
        <w:t>投标人全称（加盖公章）：</w:t>
      </w:r>
    </w:p>
    <w:p w14:paraId="6DDF29D4">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sz w:val="28"/>
          <w:szCs w:val="28"/>
          <w:u w:val="single"/>
        </w:rPr>
      </w:pPr>
      <w:r>
        <w:rPr>
          <w:rFonts w:hint="eastAsia" w:ascii="宋体" w:hAnsi="宋体" w:eastAsia="宋体" w:cs="宋体"/>
          <w:sz w:val="28"/>
          <w:szCs w:val="28"/>
        </w:rPr>
        <w:t>项目名称：</w:t>
      </w:r>
    </w:p>
    <w:p w14:paraId="44A22B5B">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sz w:val="28"/>
          <w:szCs w:val="28"/>
        </w:rPr>
      </w:pPr>
      <w:r>
        <w:rPr>
          <w:rFonts w:hint="eastAsia" w:ascii="宋体" w:hAnsi="宋体" w:eastAsia="宋体" w:cs="宋体"/>
          <w:sz w:val="28"/>
          <w:szCs w:val="28"/>
        </w:rPr>
        <w:t>项目编号：</w:t>
      </w:r>
    </w:p>
    <w:tbl>
      <w:tblPr>
        <w:tblStyle w:val="1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607"/>
      </w:tblGrid>
      <w:tr w14:paraId="754DA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4148" w:type="dxa"/>
            <w:vAlign w:val="center"/>
          </w:tcPr>
          <w:p w14:paraId="0A978D43">
            <w:pPr>
              <w:jc w:val="center"/>
              <w:rPr>
                <w:rFonts w:ascii="宋体" w:hAnsi="宋体" w:eastAsia="宋体" w:cs="宋体"/>
                <w:szCs w:val="22"/>
              </w:rPr>
            </w:pPr>
            <w:r>
              <w:rPr>
                <w:rFonts w:hint="eastAsia" w:ascii="宋体" w:hAnsi="宋体" w:eastAsia="宋体" w:cs="宋体"/>
                <w:sz w:val="28"/>
                <w:szCs w:val="28"/>
              </w:rPr>
              <w:t>投标货物、服务名称</w:t>
            </w:r>
          </w:p>
        </w:tc>
        <w:tc>
          <w:tcPr>
            <w:tcW w:w="4607" w:type="dxa"/>
            <w:vAlign w:val="center"/>
          </w:tcPr>
          <w:p w14:paraId="53876C8E">
            <w:pPr>
              <w:jc w:val="center"/>
              <w:rPr>
                <w:rFonts w:ascii="宋体" w:hAnsi="宋体" w:eastAsia="宋体" w:cs="宋体"/>
                <w:szCs w:val="22"/>
              </w:rPr>
            </w:pPr>
            <w:r>
              <w:rPr>
                <w:rFonts w:hint="eastAsia" w:ascii="宋体" w:hAnsi="宋体" w:eastAsia="宋体" w:cs="宋体"/>
                <w:sz w:val="28"/>
                <w:szCs w:val="28"/>
              </w:rPr>
              <w:t>投标总报价</w:t>
            </w:r>
          </w:p>
        </w:tc>
      </w:tr>
      <w:tr w14:paraId="5C27D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4148" w:type="dxa"/>
            <w:vAlign w:val="center"/>
          </w:tcPr>
          <w:p w14:paraId="2B6F5303">
            <w:pPr>
              <w:rPr>
                <w:rFonts w:ascii="宋体" w:hAnsi="宋体" w:eastAsia="宋体" w:cs="宋体"/>
                <w:szCs w:val="22"/>
              </w:rPr>
            </w:pPr>
          </w:p>
        </w:tc>
        <w:tc>
          <w:tcPr>
            <w:tcW w:w="4607" w:type="dxa"/>
            <w:vAlign w:val="center"/>
          </w:tcPr>
          <w:p w14:paraId="58F2113D">
            <w:pPr>
              <w:rPr>
                <w:rFonts w:ascii="宋体" w:hAnsi="宋体" w:eastAsia="宋体" w:cs="宋体"/>
                <w:sz w:val="28"/>
                <w:szCs w:val="28"/>
              </w:rPr>
            </w:pPr>
            <w:r>
              <w:rPr>
                <w:rFonts w:hint="eastAsia" w:ascii="宋体" w:hAnsi="宋体" w:eastAsia="宋体" w:cs="宋体"/>
                <w:sz w:val="28"/>
                <w:szCs w:val="28"/>
              </w:rPr>
              <w:t>大写：</w:t>
            </w:r>
          </w:p>
          <w:p w14:paraId="1D467D19">
            <w:pPr>
              <w:rPr>
                <w:rFonts w:ascii="宋体" w:hAnsi="宋体" w:eastAsia="宋体" w:cs="宋体"/>
                <w:szCs w:val="22"/>
                <w:u w:val="single"/>
              </w:rPr>
            </w:pPr>
            <w:r>
              <w:rPr>
                <w:rFonts w:hint="eastAsia" w:ascii="宋体" w:hAnsi="宋体" w:eastAsia="宋体" w:cs="宋体"/>
                <w:sz w:val="28"/>
                <w:szCs w:val="28"/>
              </w:rPr>
              <w:t>小写：元（人民币）</w:t>
            </w:r>
          </w:p>
        </w:tc>
      </w:tr>
    </w:tbl>
    <w:p w14:paraId="664285C6">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sz w:val="28"/>
          <w:szCs w:val="28"/>
        </w:rPr>
      </w:pPr>
      <w:r>
        <w:rPr>
          <w:rFonts w:hint="eastAsia" w:ascii="宋体" w:hAnsi="宋体" w:eastAsia="宋体" w:cs="宋体"/>
          <w:sz w:val="28"/>
          <w:szCs w:val="28"/>
        </w:rPr>
        <w:t>日期：</w:t>
      </w:r>
    </w:p>
    <w:p w14:paraId="62387ED6">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sz w:val="28"/>
          <w:szCs w:val="28"/>
        </w:rPr>
      </w:pPr>
      <w:r>
        <w:rPr>
          <w:rFonts w:hint="eastAsia" w:ascii="宋体" w:hAnsi="宋体" w:eastAsia="宋体" w:cs="宋体"/>
          <w:sz w:val="28"/>
          <w:szCs w:val="28"/>
        </w:rPr>
        <w:t>填写说明：</w:t>
      </w:r>
    </w:p>
    <w:p w14:paraId="2491D725">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sz w:val="28"/>
          <w:szCs w:val="28"/>
        </w:rPr>
      </w:pPr>
      <w:r>
        <w:rPr>
          <w:rFonts w:hint="eastAsia" w:ascii="宋体" w:hAnsi="宋体" w:eastAsia="宋体" w:cs="宋体"/>
          <w:sz w:val="28"/>
          <w:szCs w:val="28"/>
        </w:rPr>
        <w:t>1.开标一览表必须加盖投标单位公章（复印件无效）。</w:t>
      </w:r>
    </w:p>
    <w:p w14:paraId="1D562779">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sz w:val="28"/>
          <w:szCs w:val="28"/>
        </w:rPr>
      </w:pPr>
      <w:r>
        <w:rPr>
          <w:rFonts w:hint="eastAsia" w:ascii="宋体" w:hAnsi="宋体" w:eastAsia="宋体" w:cs="宋体"/>
          <w:sz w:val="28"/>
          <w:szCs w:val="28"/>
        </w:rPr>
        <w:t>2.如有分包，投标人投任何一个包的标的，都需单独填写开标一览表。</w:t>
      </w:r>
    </w:p>
    <w:p w14:paraId="1E7AA7C7">
      <w:pPr>
        <w:spacing w:line="360" w:lineRule="auto"/>
        <w:jc w:val="center"/>
        <w:outlineLvl w:val="3"/>
        <w:rPr>
          <w:rFonts w:eastAsia="宋体" w:cs="宋体"/>
          <w:b/>
          <w:bCs/>
          <w:color w:val="000000"/>
          <w:sz w:val="28"/>
          <w:szCs w:val="28"/>
          <w:shd w:val="clear" w:color="auto" w:fill="00B0F0"/>
        </w:rPr>
      </w:pPr>
      <w:r>
        <w:rPr>
          <w:rFonts w:eastAsia="宋体" w:cs="宋体"/>
          <w:b/>
          <w:color w:val="000000"/>
        </w:rPr>
        <w:br w:type="page" w:clear="all"/>
      </w:r>
      <w:r>
        <w:rPr>
          <w:rFonts w:hint="eastAsia" w:eastAsia="宋体" w:cs="宋体"/>
          <w:b/>
          <w:bCs/>
          <w:color w:val="000000"/>
          <w:sz w:val="28"/>
          <w:szCs w:val="28"/>
        </w:rPr>
        <w:t>2.分项报价明细表</w:t>
      </w:r>
    </w:p>
    <w:p w14:paraId="60D28B1C">
      <w:pPr>
        <w:rPr>
          <w:rFonts w:ascii="宋体" w:hAnsi="宋体" w:eastAsia="宋体" w:cs="宋体"/>
          <w:sz w:val="24"/>
          <w:szCs w:val="24"/>
          <w:u w:val="single"/>
        </w:rPr>
      </w:pPr>
      <w:r>
        <w:rPr>
          <w:rFonts w:hint="eastAsia" w:ascii="宋体" w:hAnsi="宋体" w:eastAsia="宋体" w:cs="宋体"/>
          <w:sz w:val="24"/>
          <w:szCs w:val="24"/>
        </w:rPr>
        <w:t>项目名称：</w:t>
      </w:r>
    </w:p>
    <w:p w14:paraId="18DC6A39">
      <w:pPr>
        <w:snapToGrid w:val="0"/>
        <w:spacing w:line="360" w:lineRule="auto"/>
        <w:jc w:val="left"/>
        <w:outlineLvl w:val="4"/>
        <w:rPr>
          <w:rFonts w:eastAsia="宋体" w:cs="宋体"/>
          <w:b/>
          <w:bCs/>
          <w:color w:val="000000"/>
          <w:sz w:val="28"/>
          <w:szCs w:val="28"/>
          <w:shd w:val="clear" w:color="auto" w:fill="00B0F0"/>
          <w:lang w:val="zh-CN"/>
        </w:rPr>
      </w:pPr>
      <w:r>
        <w:rPr>
          <w:rFonts w:hint="eastAsia" w:ascii="宋体" w:hAnsi="宋体" w:eastAsia="宋体" w:cs="宋体"/>
          <w:sz w:val="24"/>
          <w:szCs w:val="24"/>
        </w:rPr>
        <w:t>项目编号：</w:t>
      </w:r>
    </w:p>
    <w:tbl>
      <w:tblPr>
        <w:tblStyle w:val="12"/>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6"/>
        <w:gridCol w:w="2000"/>
        <w:gridCol w:w="1286"/>
        <w:gridCol w:w="1286"/>
        <w:gridCol w:w="1286"/>
        <w:gridCol w:w="1286"/>
        <w:gridCol w:w="1290"/>
      </w:tblGrid>
      <w:tr w14:paraId="35639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6" w:type="dxa"/>
            <w:vAlign w:val="center"/>
          </w:tcPr>
          <w:p w14:paraId="6721D9EE">
            <w:pPr>
              <w:spacing w:before="120" w:beforeLines="50" w:after="120" w:afterLines="50"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序号</w:t>
            </w:r>
          </w:p>
        </w:tc>
        <w:tc>
          <w:tcPr>
            <w:tcW w:w="2000" w:type="dxa"/>
            <w:vAlign w:val="center"/>
          </w:tcPr>
          <w:p w14:paraId="53C38F24">
            <w:pPr>
              <w:spacing w:before="120" w:beforeLines="50" w:after="120" w:afterLines="50"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设备名称</w:t>
            </w:r>
          </w:p>
        </w:tc>
        <w:tc>
          <w:tcPr>
            <w:tcW w:w="1286" w:type="dxa"/>
            <w:vAlign w:val="center"/>
          </w:tcPr>
          <w:p w14:paraId="44E67189">
            <w:pPr>
              <w:spacing w:before="120" w:beforeLines="50" w:after="120" w:afterLines="50"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品牌</w:t>
            </w:r>
          </w:p>
        </w:tc>
        <w:tc>
          <w:tcPr>
            <w:tcW w:w="1286" w:type="dxa"/>
            <w:vAlign w:val="center"/>
          </w:tcPr>
          <w:p w14:paraId="18AA2AEC">
            <w:pPr>
              <w:spacing w:before="120" w:beforeLines="50" w:after="120" w:afterLines="50"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规格型号</w:t>
            </w:r>
          </w:p>
        </w:tc>
        <w:tc>
          <w:tcPr>
            <w:tcW w:w="1286" w:type="dxa"/>
            <w:vAlign w:val="center"/>
          </w:tcPr>
          <w:p w14:paraId="307F60C6">
            <w:pPr>
              <w:spacing w:before="120" w:beforeLines="50" w:after="120" w:afterLines="50"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数量</w:t>
            </w:r>
          </w:p>
        </w:tc>
        <w:tc>
          <w:tcPr>
            <w:tcW w:w="1286" w:type="dxa"/>
            <w:vAlign w:val="center"/>
          </w:tcPr>
          <w:p w14:paraId="5CE03CA7">
            <w:pPr>
              <w:spacing w:before="120" w:beforeLines="50" w:after="120" w:afterLines="50"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单价</w:t>
            </w:r>
          </w:p>
          <w:p w14:paraId="1F32B45D">
            <w:pPr>
              <w:spacing w:before="120" w:beforeLines="50" w:after="120" w:afterLines="50"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（元）</w:t>
            </w:r>
          </w:p>
        </w:tc>
        <w:tc>
          <w:tcPr>
            <w:tcW w:w="1290" w:type="dxa"/>
            <w:vAlign w:val="center"/>
          </w:tcPr>
          <w:p w14:paraId="4AB4E7AE">
            <w:pPr>
              <w:spacing w:before="120" w:beforeLines="50" w:after="120" w:afterLines="50"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合价</w:t>
            </w:r>
          </w:p>
          <w:p w14:paraId="19ED9E41">
            <w:pPr>
              <w:spacing w:before="120" w:beforeLines="50" w:after="120" w:afterLines="50"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（元）</w:t>
            </w:r>
          </w:p>
        </w:tc>
      </w:tr>
      <w:tr w14:paraId="4F3A8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6" w:type="dxa"/>
            <w:vAlign w:val="center"/>
          </w:tcPr>
          <w:p w14:paraId="420868C8">
            <w:pPr>
              <w:spacing w:before="120" w:beforeLines="50" w:after="120" w:afterLines="50"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1</w:t>
            </w:r>
          </w:p>
        </w:tc>
        <w:tc>
          <w:tcPr>
            <w:tcW w:w="2000" w:type="dxa"/>
            <w:vAlign w:val="center"/>
          </w:tcPr>
          <w:p w14:paraId="4E7C9A80">
            <w:pPr>
              <w:spacing w:before="120" w:beforeLines="50" w:after="120" w:afterLines="50"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财务大数据分析平台</w:t>
            </w:r>
          </w:p>
        </w:tc>
        <w:tc>
          <w:tcPr>
            <w:tcW w:w="1286" w:type="dxa"/>
            <w:vAlign w:val="center"/>
          </w:tcPr>
          <w:p w14:paraId="29560A0F">
            <w:pPr>
              <w:wordWrap w:val="0"/>
              <w:spacing w:line="320" w:lineRule="exact"/>
              <w:ind w:firstLine="480" w:firstLineChars="200"/>
              <w:jc w:val="left"/>
              <w:rPr>
                <w:rFonts w:ascii="宋体" w:hAnsi="宋体" w:eastAsia="宋体" w:cs="宋体"/>
                <w:sz w:val="24"/>
                <w:szCs w:val="24"/>
              </w:rPr>
            </w:pPr>
          </w:p>
        </w:tc>
        <w:tc>
          <w:tcPr>
            <w:tcW w:w="1286" w:type="dxa"/>
            <w:vAlign w:val="center"/>
          </w:tcPr>
          <w:p w14:paraId="75C185EB">
            <w:pPr>
              <w:wordWrap w:val="0"/>
              <w:spacing w:line="320" w:lineRule="exact"/>
              <w:ind w:firstLine="480" w:firstLineChars="200"/>
              <w:jc w:val="left"/>
              <w:rPr>
                <w:rFonts w:ascii="宋体" w:hAnsi="宋体" w:eastAsia="宋体" w:cs="宋体"/>
                <w:sz w:val="24"/>
                <w:szCs w:val="24"/>
              </w:rPr>
            </w:pPr>
          </w:p>
        </w:tc>
        <w:tc>
          <w:tcPr>
            <w:tcW w:w="1286" w:type="dxa"/>
            <w:vAlign w:val="center"/>
          </w:tcPr>
          <w:p w14:paraId="12375264">
            <w:pPr>
              <w:wordWrap w:val="0"/>
              <w:spacing w:line="320" w:lineRule="exact"/>
              <w:jc w:val="center"/>
              <w:rPr>
                <w:rFonts w:ascii="宋体" w:hAnsi="宋体" w:eastAsia="宋体" w:cs="宋体"/>
                <w:sz w:val="24"/>
                <w:szCs w:val="24"/>
              </w:rPr>
            </w:pPr>
            <w:r>
              <w:rPr>
                <w:rFonts w:hint="eastAsia" w:ascii="宋体" w:hAnsi="宋体" w:eastAsia="宋体" w:cs="宋体"/>
                <w:sz w:val="24"/>
                <w:szCs w:val="24"/>
              </w:rPr>
              <w:t>1套</w:t>
            </w:r>
          </w:p>
        </w:tc>
        <w:tc>
          <w:tcPr>
            <w:tcW w:w="1286" w:type="dxa"/>
            <w:vAlign w:val="center"/>
          </w:tcPr>
          <w:p w14:paraId="339E9F4A">
            <w:pPr>
              <w:wordWrap w:val="0"/>
              <w:spacing w:line="320" w:lineRule="exact"/>
              <w:ind w:firstLine="480" w:firstLineChars="200"/>
              <w:jc w:val="left"/>
              <w:rPr>
                <w:rFonts w:ascii="宋体" w:hAnsi="宋体" w:eastAsia="宋体" w:cs="宋体"/>
                <w:sz w:val="24"/>
                <w:szCs w:val="24"/>
              </w:rPr>
            </w:pPr>
          </w:p>
        </w:tc>
        <w:tc>
          <w:tcPr>
            <w:tcW w:w="1290" w:type="dxa"/>
            <w:vAlign w:val="center"/>
          </w:tcPr>
          <w:p w14:paraId="7BDBC4F6">
            <w:pPr>
              <w:wordWrap w:val="0"/>
              <w:spacing w:line="320" w:lineRule="exact"/>
              <w:ind w:firstLine="480" w:firstLineChars="200"/>
              <w:jc w:val="left"/>
              <w:rPr>
                <w:rFonts w:ascii="宋体" w:hAnsi="宋体" w:eastAsia="宋体" w:cs="宋体"/>
                <w:sz w:val="24"/>
                <w:szCs w:val="24"/>
              </w:rPr>
            </w:pPr>
          </w:p>
        </w:tc>
      </w:tr>
      <w:tr w14:paraId="7A36A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6" w:type="dxa"/>
            <w:vAlign w:val="center"/>
          </w:tcPr>
          <w:p w14:paraId="42E83C74">
            <w:pPr>
              <w:spacing w:before="120" w:beforeLines="50" w:after="120" w:afterLines="50"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2</w:t>
            </w:r>
          </w:p>
        </w:tc>
        <w:tc>
          <w:tcPr>
            <w:tcW w:w="2000" w:type="dxa"/>
            <w:vAlign w:val="center"/>
          </w:tcPr>
          <w:p w14:paraId="07C52343">
            <w:pPr>
              <w:spacing w:before="120" w:beforeLines="50" w:after="120" w:afterLines="50"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大数据技术应用基础Python平台</w:t>
            </w:r>
          </w:p>
        </w:tc>
        <w:tc>
          <w:tcPr>
            <w:tcW w:w="1286" w:type="dxa"/>
            <w:vAlign w:val="center"/>
          </w:tcPr>
          <w:p w14:paraId="4868D9B8">
            <w:pPr>
              <w:wordWrap w:val="0"/>
              <w:spacing w:line="320" w:lineRule="exact"/>
              <w:ind w:firstLine="480" w:firstLineChars="200"/>
              <w:jc w:val="left"/>
              <w:rPr>
                <w:rFonts w:ascii="宋体" w:hAnsi="宋体" w:eastAsia="宋体" w:cs="宋体"/>
                <w:sz w:val="24"/>
                <w:szCs w:val="24"/>
              </w:rPr>
            </w:pPr>
          </w:p>
        </w:tc>
        <w:tc>
          <w:tcPr>
            <w:tcW w:w="1286" w:type="dxa"/>
            <w:vAlign w:val="center"/>
          </w:tcPr>
          <w:p w14:paraId="2B741252">
            <w:pPr>
              <w:wordWrap w:val="0"/>
              <w:spacing w:line="320" w:lineRule="exact"/>
              <w:ind w:firstLine="480" w:firstLineChars="200"/>
              <w:jc w:val="left"/>
              <w:rPr>
                <w:rFonts w:ascii="宋体" w:hAnsi="宋体" w:eastAsia="宋体" w:cs="宋体"/>
                <w:sz w:val="24"/>
                <w:szCs w:val="24"/>
              </w:rPr>
            </w:pPr>
          </w:p>
        </w:tc>
        <w:tc>
          <w:tcPr>
            <w:tcW w:w="1286" w:type="dxa"/>
            <w:vAlign w:val="center"/>
          </w:tcPr>
          <w:p w14:paraId="32273922">
            <w:pPr>
              <w:wordWrap w:val="0"/>
              <w:spacing w:line="320" w:lineRule="exact"/>
              <w:jc w:val="center"/>
              <w:rPr>
                <w:rFonts w:ascii="宋体" w:hAnsi="宋体" w:eastAsia="宋体" w:cs="宋体"/>
                <w:sz w:val="24"/>
                <w:szCs w:val="24"/>
              </w:rPr>
            </w:pPr>
            <w:r>
              <w:rPr>
                <w:rFonts w:hint="eastAsia" w:ascii="宋体" w:hAnsi="宋体" w:eastAsia="宋体" w:cs="宋体"/>
                <w:sz w:val="24"/>
                <w:szCs w:val="24"/>
              </w:rPr>
              <w:t>1套</w:t>
            </w:r>
          </w:p>
        </w:tc>
        <w:tc>
          <w:tcPr>
            <w:tcW w:w="1286" w:type="dxa"/>
            <w:vAlign w:val="center"/>
          </w:tcPr>
          <w:p w14:paraId="6B01DB00">
            <w:pPr>
              <w:wordWrap w:val="0"/>
              <w:spacing w:line="320" w:lineRule="exact"/>
              <w:ind w:firstLine="480" w:firstLineChars="200"/>
              <w:jc w:val="left"/>
              <w:rPr>
                <w:rFonts w:ascii="宋体" w:hAnsi="宋体" w:eastAsia="宋体" w:cs="宋体"/>
                <w:sz w:val="24"/>
                <w:szCs w:val="24"/>
              </w:rPr>
            </w:pPr>
          </w:p>
        </w:tc>
        <w:tc>
          <w:tcPr>
            <w:tcW w:w="1290" w:type="dxa"/>
            <w:vAlign w:val="center"/>
          </w:tcPr>
          <w:p w14:paraId="5A1E26C9">
            <w:pPr>
              <w:wordWrap w:val="0"/>
              <w:spacing w:line="320" w:lineRule="exact"/>
              <w:ind w:firstLine="480" w:firstLineChars="200"/>
              <w:jc w:val="left"/>
              <w:rPr>
                <w:rFonts w:ascii="宋体" w:hAnsi="宋体" w:eastAsia="宋体" w:cs="宋体"/>
                <w:sz w:val="24"/>
                <w:szCs w:val="24"/>
              </w:rPr>
            </w:pPr>
          </w:p>
        </w:tc>
      </w:tr>
      <w:tr w14:paraId="7D67F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6" w:type="dxa"/>
            <w:vAlign w:val="center"/>
          </w:tcPr>
          <w:p w14:paraId="0F5B3349">
            <w:pPr>
              <w:spacing w:before="120" w:beforeLines="50" w:after="120" w:afterLines="50"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3</w:t>
            </w:r>
          </w:p>
        </w:tc>
        <w:tc>
          <w:tcPr>
            <w:tcW w:w="2000" w:type="dxa"/>
            <w:vAlign w:val="center"/>
          </w:tcPr>
          <w:p w14:paraId="33ACFA9C">
            <w:pPr>
              <w:spacing w:before="120" w:beforeLines="50" w:after="120" w:afterLines="50" w:line="320" w:lineRule="exact"/>
              <w:jc w:val="left"/>
              <w:rPr>
                <w:rFonts w:ascii="宋体" w:hAnsi="宋体" w:eastAsia="宋体" w:cs="宋体"/>
                <w:color w:val="000000"/>
                <w:sz w:val="24"/>
                <w:szCs w:val="24"/>
              </w:rPr>
            </w:pPr>
            <w:r>
              <w:rPr>
                <w:rFonts w:hint="eastAsia" w:ascii="宋体" w:hAnsi="宋体" w:eastAsia="宋体" w:cs="宋体"/>
                <w:color w:val="000000"/>
                <w:sz w:val="24"/>
                <w:szCs w:val="24"/>
              </w:rPr>
              <w:t>AI数智财务智能体实战平台</w:t>
            </w:r>
          </w:p>
        </w:tc>
        <w:tc>
          <w:tcPr>
            <w:tcW w:w="1286" w:type="dxa"/>
            <w:vAlign w:val="center"/>
          </w:tcPr>
          <w:p w14:paraId="46A253E6">
            <w:pPr>
              <w:wordWrap w:val="0"/>
              <w:spacing w:line="320" w:lineRule="exact"/>
              <w:ind w:firstLine="480" w:firstLineChars="200"/>
              <w:jc w:val="left"/>
              <w:rPr>
                <w:rFonts w:ascii="宋体" w:hAnsi="宋体" w:eastAsia="宋体" w:cs="宋体"/>
                <w:sz w:val="24"/>
                <w:szCs w:val="24"/>
              </w:rPr>
            </w:pPr>
          </w:p>
        </w:tc>
        <w:tc>
          <w:tcPr>
            <w:tcW w:w="1286" w:type="dxa"/>
            <w:vAlign w:val="center"/>
          </w:tcPr>
          <w:p w14:paraId="0E12C773">
            <w:pPr>
              <w:wordWrap w:val="0"/>
              <w:spacing w:line="320" w:lineRule="exact"/>
              <w:ind w:firstLine="480" w:firstLineChars="200"/>
              <w:jc w:val="left"/>
              <w:rPr>
                <w:rFonts w:ascii="宋体" w:hAnsi="宋体" w:eastAsia="宋体" w:cs="宋体"/>
                <w:sz w:val="24"/>
                <w:szCs w:val="24"/>
              </w:rPr>
            </w:pPr>
          </w:p>
        </w:tc>
        <w:tc>
          <w:tcPr>
            <w:tcW w:w="1286" w:type="dxa"/>
            <w:vAlign w:val="center"/>
          </w:tcPr>
          <w:p w14:paraId="1BF220AE">
            <w:pPr>
              <w:wordWrap w:val="0"/>
              <w:spacing w:line="320" w:lineRule="exact"/>
              <w:jc w:val="center"/>
              <w:rPr>
                <w:rFonts w:ascii="宋体" w:hAnsi="宋体" w:eastAsia="宋体" w:cs="宋体"/>
                <w:sz w:val="24"/>
                <w:szCs w:val="24"/>
              </w:rPr>
            </w:pPr>
            <w:r>
              <w:rPr>
                <w:rFonts w:hint="eastAsia" w:ascii="宋体" w:hAnsi="宋体" w:eastAsia="宋体" w:cs="宋体"/>
                <w:sz w:val="24"/>
                <w:szCs w:val="24"/>
              </w:rPr>
              <w:t>1套</w:t>
            </w:r>
          </w:p>
        </w:tc>
        <w:tc>
          <w:tcPr>
            <w:tcW w:w="1286" w:type="dxa"/>
            <w:vAlign w:val="center"/>
          </w:tcPr>
          <w:p w14:paraId="6A85E977">
            <w:pPr>
              <w:wordWrap w:val="0"/>
              <w:spacing w:line="320" w:lineRule="exact"/>
              <w:ind w:firstLine="480" w:firstLineChars="200"/>
              <w:jc w:val="left"/>
              <w:rPr>
                <w:rFonts w:ascii="宋体" w:hAnsi="宋体" w:eastAsia="宋体" w:cs="宋体"/>
                <w:sz w:val="24"/>
                <w:szCs w:val="24"/>
              </w:rPr>
            </w:pPr>
          </w:p>
        </w:tc>
        <w:tc>
          <w:tcPr>
            <w:tcW w:w="1290" w:type="dxa"/>
            <w:vAlign w:val="center"/>
          </w:tcPr>
          <w:p w14:paraId="35E5846F">
            <w:pPr>
              <w:wordWrap w:val="0"/>
              <w:spacing w:line="320" w:lineRule="exact"/>
              <w:ind w:firstLine="480" w:firstLineChars="200"/>
              <w:jc w:val="left"/>
              <w:rPr>
                <w:rFonts w:ascii="宋体" w:hAnsi="宋体" w:eastAsia="宋体" w:cs="宋体"/>
                <w:sz w:val="24"/>
                <w:szCs w:val="24"/>
              </w:rPr>
            </w:pPr>
          </w:p>
        </w:tc>
      </w:tr>
      <w:tr w14:paraId="5F148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566" w:type="dxa"/>
            <w:vAlign w:val="center"/>
          </w:tcPr>
          <w:p w14:paraId="4EEE8312">
            <w:pPr>
              <w:spacing w:before="120" w:beforeLines="50" w:after="120" w:afterLines="50" w:line="320" w:lineRule="exact"/>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4</w:t>
            </w:r>
          </w:p>
        </w:tc>
        <w:tc>
          <w:tcPr>
            <w:tcW w:w="2000" w:type="dxa"/>
            <w:vAlign w:val="center"/>
          </w:tcPr>
          <w:p w14:paraId="6AEC52B4">
            <w:pPr>
              <w:spacing w:before="120" w:beforeLines="50" w:after="120" w:afterLines="50" w:line="320" w:lineRule="exact"/>
              <w:jc w:val="center"/>
              <w:rPr>
                <w:rFonts w:ascii="宋体" w:hAnsi="宋体" w:eastAsia="宋体" w:cs="宋体"/>
                <w:color w:val="000000"/>
                <w:sz w:val="24"/>
                <w:szCs w:val="24"/>
              </w:rPr>
            </w:pPr>
            <w:r>
              <w:rPr>
                <w:rFonts w:hint="eastAsia" w:ascii="宋体" w:hAnsi="宋体" w:eastAsia="宋体" w:cs="宋体"/>
                <w:color w:val="000000"/>
                <w:sz w:val="24"/>
                <w:szCs w:val="24"/>
              </w:rPr>
              <w:t>合计</w:t>
            </w:r>
          </w:p>
        </w:tc>
        <w:tc>
          <w:tcPr>
            <w:tcW w:w="1286" w:type="dxa"/>
            <w:vAlign w:val="center"/>
          </w:tcPr>
          <w:p w14:paraId="5B501C34">
            <w:pPr>
              <w:wordWrap w:val="0"/>
              <w:spacing w:line="320" w:lineRule="exact"/>
              <w:ind w:firstLine="480" w:firstLineChars="200"/>
              <w:jc w:val="left"/>
              <w:rPr>
                <w:rFonts w:ascii="宋体" w:hAnsi="宋体" w:eastAsia="宋体" w:cs="宋体"/>
                <w:sz w:val="24"/>
                <w:szCs w:val="24"/>
              </w:rPr>
            </w:pPr>
          </w:p>
        </w:tc>
        <w:tc>
          <w:tcPr>
            <w:tcW w:w="1286" w:type="dxa"/>
            <w:vAlign w:val="center"/>
          </w:tcPr>
          <w:p w14:paraId="12D99FD9">
            <w:pPr>
              <w:wordWrap w:val="0"/>
              <w:spacing w:line="320" w:lineRule="exact"/>
              <w:ind w:firstLine="480" w:firstLineChars="200"/>
              <w:jc w:val="left"/>
              <w:rPr>
                <w:rFonts w:ascii="宋体" w:hAnsi="宋体" w:eastAsia="宋体" w:cs="宋体"/>
                <w:sz w:val="24"/>
                <w:szCs w:val="24"/>
              </w:rPr>
            </w:pPr>
          </w:p>
        </w:tc>
        <w:tc>
          <w:tcPr>
            <w:tcW w:w="1286" w:type="dxa"/>
            <w:vAlign w:val="center"/>
          </w:tcPr>
          <w:p w14:paraId="522397CD">
            <w:pPr>
              <w:wordWrap w:val="0"/>
              <w:spacing w:line="320" w:lineRule="exact"/>
              <w:ind w:firstLine="480" w:firstLineChars="200"/>
              <w:jc w:val="left"/>
              <w:rPr>
                <w:rFonts w:ascii="宋体" w:hAnsi="宋体" w:eastAsia="宋体" w:cs="宋体"/>
                <w:sz w:val="24"/>
                <w:szCs w:val="24"/>
              </w:rPr>
            </w:pPr>
          </w:p>
        </w:tc>
        <w:tc>
          <w:tcPr>
            <w:tcW w:w="1286" w:type="dxa"/>
            <w:vAlign w:val="center"/>
          </w:tcPr>
          <w:p w14:paraId="4D536478">
            <w:pPr>
              <w:wordWrap w:val="0"/>
              <w:spacing w:line="320" w:lineRule="exact"/>
              <w:ind w:firstLine="480" w:firstLineChars="200"/>
              <w:jc w:val="left"/>
              <w:rPr>
                <w:rFonts w:ascii="宋体" w:hAnsi="宋体" w:eastAsia="宋体" w:cs="宋体"/>
                <w:sz w:val="24"/>
                <w:szCs w:val="24"/>
              </w:rPr>
            </w:pPr>
          </w:p>
        </w:tc>
        <w:tc>
          <w:tcPr>
            <w:tcW w:w="1290" w:type="dxa"/>
            <w:vAlign w:val="center"/>
          </w:tcPr>
          <w:p w14:paraId="793C3EED">
            <w:pPr>
              <w:wordWrap w:val="0"/>
              <w:spacing w:line="320" w:lineRule="exact"/>
              <w:ind w:firstLine="480" w:firstLineChars="200"/>
              <w:jc w:val="left"/>
              <w:rPr>
                <w:rFonts w:ascii="宋体" w:hAnsi="宋体" w:eastAsia="宋体" w:cs="宋体"/>
                <w:sz w:val="24"/>
                <w:szCs w:val="24"/>
              </w:rPr>
            </w:pPr>
          </w:p>
        </w:tc>
      </w:tr>
    </w:tbl>
    <w:p w14:paraId="2508125A">
      <w:pPr>
        <w:snapToGrid w:val="0"/>
        <w:spacing w:line="360" w:lineRule="auto"/>
        <w:jc w:val="left"/>
        <w:outlineLvl w:val="4"/>
        <w:rPr>
          <w:rFonts w:ascii="宋体" w:hAnsi="宋体" w:eastAsia="宋体" w:cs="宋体"/>
          <w:b/>
          <w:sz w:val="24"/>
          <w:lang w:val="zh-CN"/>
        </w:rPr>
      </w:pPr>
    </w:p>
    <w:p w14:paraId="5507E07B">
      <w:pPr>
        <w:snapToGrid w:val="0"/>
        <w:spacing w:line="360" w:lineRule="auto"/>
        <w:jc w:val="left"/>
        <w:outlineLvl w:val="4"/>
        <w:rPr>
          <w:rFonts w:ascii="宋体" w:hAnsi="宋体" w:eastAsia="宋体" w:cs="宋体"/>
          <w:b/>
          <w:sz w:val="24"/>
          <w:lang w:val="zh-CN"/>
        </w:rPr>
      </w:pPr>
      <w:r>
        <w:rPr>
          <w:rFonts w:hint="eastAsia" w:ascii="宋体" w:hAnsi="宋体" w:eastAsia="宋体" w:cs="宋体"/>
          <w:b/>
          <w:sz w:val="24"/>
          <w:lang w:val="zh-CN"/>
        </w:rPr>
        <w:t>注：投标人必须详细报出采购清单中各个子项的名称、品牌、规格型号、数量、单价。本表各分项报价合计应当与投标报价总表报价合计相等。请各供应商务必按照以上要求填报，否则作为无效投标处理。</w:t>
      </w:r>
    </w:p>
    <w:p w14:paraId="2FBB6F96">
      <w:pPr>
        <w:snapToGrid w:val="0"/>
        <w:spacing w:line="360" w:lineRule="auto"/>
        <w:jc w:val="left"/>
        <w:outlineLvl w:val="4"/>
        <w:rPr>
          <w:rFonts w:ascii="宋体" w:hAnsi="宋体" w:eastAsia="宋体" w:cs="宋体"/>
          <w:bCs/>
          <w:sz w:val="24"/>
        </w:rPr>
      </w:pPr>
      <w:r>
        <w:rPr>
          <w:rFonts w:hint="eastAsia" w:ascii="宋体" w:hAnsi="宋体" w:eastAsia="宋体" w:cs="宋体"/>
          <w:bCs/>
          <w:sz w:val="24"/>
        </w:rPr>
        <w:t xml:space="preserve">投标人（加盖CA电子签章）： </w:t>
      </w:r>
    </w:p>
    <w:p w14:paraId="4622EEDF">
      <w:pPr>
        <w:snapToGrid w:val="0"/>
        <w:spacing w:line="360" w:lineRule="auto"/>
        <w:jc w:val="left"/>
        <w:outlineLvl w:val="4"/>
        <w:rPr>
          <w:rFonts w:ascii="宋体" w:hAnsi="宋体" w:eastAsia="宋体" w:cs="宋体"/>
          <w:bCs/>
          <w:sz w:val="24"/>
        </w:rPr>
      </w:pPr>
      <w:r>
        <w:rPr>
          <w:rFonts w:hint="eastAsia" w:ascii="宋体" w:hAnsi="宋体" w:eastAsia="宋体" w:cs="宋体"/>
          <w:bCs/>
          <w:sz w:val="24"/>
        </w:rPr>
        <w:t xml:space="preserve">法定代表人或被授权人（签字或加盖CA电子签章）： </w:t>
      </w:r>
    </w:p>
    <w:p w14:paraId="3BFBDB46">
      <w:pPr>
        <w:spacing w:line="360" w:lineRule="auto"/>
        <w:rPr>
          <w:rFonts w:eastAsia="宋体"/>
          <w:bCs/>
          <w:color w:val="000000"/>
          <w:sz w:val="24"/>
          <w:szCs w:val="24"/>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428FD09C">
      <w:pPr>
        <w:spacing w:line="360" w:lineRule="auto"/>
        <w:rPr>
          <w:rFonts w:eastAsia="宋体"/>
          <w:bCs/>
          <w:color w:val="000000"/>
          <w:sz w:val="24"/>
          <w:szCs w:val="24"/>
        </w:rPr>
      </w:pPr>
      <w:r>
        <w:rPr>
          <w:rFonts w:hint="eastAsia" w:eastAsia="宋体"/>
          <w:bCs/>
          <w:color w:val="000000"/>
          <w:sz w:val="24"/>
          <w:szCs w:val="24"/>
        </w:rPr>
        <w:t>注：①如果按单价计算的结果与总价不一致，以单价为准，修正总价。</w:t>
      </w:r>
    </w:p>
    <w:p w14:paraId="28DDC28C">
      <w:pPr>
        <w:spacing w:line="360" w:lineRule="auto"/>
        <w:ind w:firstLine="480"/>
        <w:rPr>
          <w:rFonts w:eastAsia="宋体" w:cs="宋体"/>
          <w:b/>
          <w:bCs/>
          <w:color w:val="000000"/>
          <w:sz w:val="28"/>
          <w:szCs w:val="28"/>
        </w:rPr>
      </w:pPr>
      <w:r>
        <w:rPr>
          <w:rFonts w:hint="eastAsia" w:eastAsia="宋体"/>
          <w:bCs/>
          <w:color w:val="000000"/>
          <w:sz w:val="24"/>
          <w:szCs w:val="24"/>
        </w:rPr>
        <w:t>②如果不提供详细分项报价将视为未实质性响应招标文件。</w:t>
      </w:r>
      <w:r>
        <w:rPr>
          <w:rFonts w:hint="eastAsia" w:eastAsia="宋体"/>
          <w:bCs/>
          <w:color w:val="000000"/>
          <w:sz w:val="24"/>
          <w:szCs w:val="24"/>
        </w:rPr>
        <w:br w:type="page"/>
      </w:r>
    </w:p>
    <w:p w14:paraId="244B7942">
      <w:pPr>
        <w:spacing w:line="360" w:lineRule="auto"/>
        <w:jc w:val="center"/>
        <w:outlineLvl w:val="3"/>
        <w:rPr>
          <w:rFonts w:eastAsia="宋体" w:cs="宋体"/>
          <w:b/>
          <w:bCs/>
          <w:color w:val="000000"/>
          <w:sz w:val="28"/>
          <w:szCs w:val="28"/>
        </w:rPr>
      </w:pPr>
      <w:r>
        <w:rPr>
          <w:rFonts w:hint="eastAsia" w:eastAsia="宋体" w:cs="宋体"/>
          <w:b/>
          <w:bCs/>
          <w:color w:val="000000"/>
          <w:sz w:val="28"/>
          <w:szCs w:val="28"/>
        </w:rPr>
        <w:t>3.供应商信用承诺书</w:t>
      </w:r>
    </w:p>
    <w:p w14:paraId="165C335F">
      <w:pPr>
        <w:spacing w:line="360" w:lineRule="auto"/>
        <w:ind w:firstLine="480"/>
        <w:rPr>
          <w:rFonts w:eastAsia="宋体" w:cs="宋体"/>
          <w:color w:val="000000"/>
          <w:sz w:val="24"/>
          <w:szCs w:val="21"/>
          <w:lang w:val="zh-CN"/>
        </w:rPr>
      </w:pPr>
    </w:p>
    <w:p w14:paraId="34ECD563">
      <w:pPr>
        <w:spacing w:line="360" w:lineRule="auto"/>
        <w:ind w:firstLine="480"/>
        <w:rPr>
          <w:rFonts w:eastAsia="宋体" w:cs="宋体"/>
          <w:color w:val="000000"/>
          <w:sz w:val="24"/>
          <w:szCs w:val="21"/>
          <w:lang w:val="zh-CN"/>
        </w:rPr>
      </w:pPr>
      <w:r>
        <w:rPr>
          <w:rFonts w:hint="eastAsia" w:eastAsia="宋体" w:cs="宋体"/>
          <w:color w:val="000000"/>
          <w:sz w:val="24"/>
          <w:szCs w:val="21"/>
          <w:lang w:val="zh-CN"/>
        </w:rPr>
        <w:t>为营造公开、公平、公正的公共资源交易环境，树立诚信守法的投标人形象，本人代表本单位作出以下承诺：</w:t>
      </w:r>
    </w:p>
    <w:p w14:paraId="3BA68C11">
      <w:pPr>
        <w:spacing w:line="360" w:lineRule="auto"/>
        <w:ind w:firstLine="480"/>
        <w:rPr>
          <w:rFonts w:eastAsia="宋体" w:cs="宋体"/>
          <w:color w:val="000000"/>
          <w:sz w:val="24"/>
          <w:szCs w:val="21"/>
          <w:lang w:val="zh-CN"/>
        </w:rPr>
      </w:pPr>
      <w:r>
        <w:rPr>
          <w:rFonts w:hint="eastAsia" w:eastAsia="宋体" w:cs="宋体"/>
          <w:color w:val="000000"/>
          <w:sz w:val="24"/>
          <w:szCs w:val="21"/>
          <w:lang w:val="zh-CN"/>
        </w:rPr>
        <w:t>一、本单位对所提交的单位基本信息、单位负责人、项目负责人、技术负责人、从业资质和资格、业绩、财务状况、信誉等所有资料，均合法、真实、准确、有效，无任何伪造、修改、虚假成分；</w:t>
      </w:r>
    </w:p>
    <w:p w14:paraId="29D2D82B">
      <w:pPr>
        <w:spacing w:line="360" w:lineRule="auto"/>
        <w:ind w:firstLine="480"/>
        <w:rPr>
          <w:rFonts w:eastAsia="宋体" w:cs="宋体"/>
          <w:color w:val="000000"/>
          <w:sz w:val="24"/>
          <w:szCs w:val="21"/>
          <w:lang w:val="zh-CN"/>
        </w:rPr>
      </w:pPr>
      <w:r>
        <w:rPr>
          <w:rFonts w:hint="eastAsia" w:eastAsia="宋体" w:cs="宋体"/>
          <w:color w:val="000000"/>
          <w:sz w:val="24"/>
          <w:szCs w:val="21"/>
          <w:lang w:val="zh-CN"/>
        </w:rPr>
        <w:t>二、严格依照国家和省、市、县关于招标投标等方面的法律、法规、规章、规范性文件，参加公共资源交易招标投标活动；积极履行社会责任，促进廉政建设；</w:t>
      </w:r>
    </w:p>
    <w:p w14:paraId="70A7F379">
      <w:pPr>
        <w:spacing w:line="360" w:lineRule="auto"/>
        <w:ind w:firstLine="480"/>
        <w:rPr>
          <w:rFonts w:eastAsia="宋体" w:cs="宋体"/>
          <w:color w:val="000000"/>
          <w:sz w:val="24"/>
          <w:szCs w:val="21"/>
          <w:lang w:val="zh-CN"/>
        </w:rPr>
      </w:pPr>
      <w:r>
        <w:rPr>
          <w:rFonts w:hint="eastAsia" w:eastAsia="宋体" w:cs="宋体"/>
          <w:color w:val="000000"/>
          <w:sz w:val="24"/>
          <w:szCs w:val="21"/>
          <w:lang w:val="zh-CN"/>
        </w:rPr>
        <w:t>三、严格遵守即时信息公示规定，及时更新公共资源交易中心主体信息库中信息；</w:t>
      </w:r>
    </w:p>
    <w:p w14:paraId="63694308">
      <w:pPr>
        <w:spacing w:line="360" w:lineRule="auto"/>
        <w:ind w:firstLine="480"/>
        <w:rPr>
          <w:rFonts w:eastAsia="宋体" w:cs="宋体"/>
          <w:color w:val="000000"/>
          <w:sz w:val="24"/>
          <w:szCs w:val="21"/>
          <w:lang w:val="zh-CN"/>
        </w:rPr>
      </w:pPr>
      <w:r>
        <w:rPr>
          <w:rFonts w:hint="eastAsia" w:eastAsia="宋体" w:cs="宋体"/>
          <w:color w:val="000000"/>
          <w:sz w:val="24"/>
          <w:szCs w:val="21"/>
          <w:lang w:val="zh-CN"/>
        </w:rPr>
        <w:t>四、自我约束、自我管理，守合同、重信用，不参与围标串标、弄虚作假、骗取中标、干扰评标、违约毁约、恶意投诉等行为，主动维护公共资源交易招标投标的良好秩序；</w:t>
      </w:r>
    </w:p>
    <w:p w14:paraId="692DF378">
      <w:pPr>
        <w:spacing w:line="360" w:lineRule="auto"/>
        <w:ind w:firstLine="480"/>
        <w:rPr>
          <w:rFonts w:eastAsia="宋体" w:cs="宋体"/>
          <w:color w:val="000000"/>
          <w:sz w:val="24"/>
          <w:szCs w:val="21"/>
          <w:lang w:val="zh-CN"/>
        </w:rPr>
      </w:pPr>
      <w:r>
        <w:rPr>
          <w:rFonts w:hint="eastAsia" w:eastAsia="宋体" w:cs="宋体"/>
          <w:color w:val="000000"/>
          <w:sz w:val="24"/>
          <w:szCs w:val="21"/>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770FDAA6">
      <w:pPr>
        <w:spacing w:line="360" w:lineRule="auto"/>
        <w:ind w:firstLine="480"/>
        <w:rPr>
          <w:rFonts w:eastAsia="宋体" w:cs="宋体"/>
          <w:color w:val="000000"/>
          <w:sz w:val="24"/>
          <w:szCs w:val="21"/>
          <w:lang w:val="zh-CN"/>
        </w:rPr>
      </w:pPr>
      <w:r>
        <w:rPr>
          <w:rFonts w:hint="eastAsia" w:eastAsia="宋体" w:cs="宋体"/>
          <w:color w:val="000000"/>
          <w:sz w:val="24"/>
          <w:szCs w:val="21"/>
          <w:lang w:val="zh-CN"/>
        </w:rPr>
        <w:t>六、自觉接受政府部门、行业组织、社会公众、新闻舆论等监督；</w:t>
      </w:r>
    </w:p>
    <w:p w14:paraId="2DA82141">
      <w:pPr>
        <w:spacing w:line="360" w:lineRule="auto"/>
        <w:ind w:firstLine="480"/>
        <w:rPr>
          <w:rFonts w:eastAsia="宋体" w:cs="宋体"/>
          <w:color w:val="000000"/>
          <w:sz w:val="24"/>
          <w:szCs w:val="21"/>
          <w:lang w:val="zh-CN"/>
        </w:rPr>
      </w:pPr>
      <w:r>
        <w:rPr>
          <w:rFonts w:hint="eastAsia" w:eastAsia="宋体" w:cs="宋体"/>
          <w:color w:val="000000"/>
          <w:sz w:val="24"/>
          <w:szCs w:val="21"/>
          <w:lang w:val="zh-CN"/>
        </w:rPr>
        <w:t>七、上述承诺已向本单位员工作了宣传教育；</w:t>
      </w:r>
    </w:p>
    <w:p w14:paraId="50FD78E0">
      <w:pPr>
        <w:spacing w:line="360" w:lineRule="auto"/>
        <w:ind w:firstLine="480"/>
        <w:rPr>
          <w:rFonts w:eastAsia="宋体" w:cs="宋体"/>
          <w:color w:val="000000"/>
          <w:sz w:val="24"/>
          <w:szCs w:val="21"/>
        </w:rPr>
      </w:pPr>
      <w:r>
        <w:rPr>
          <w:rFonts w:hint="eastAsia" w:eastAsia="宋体" w:cs="宋体"/>
          <w:b/>
          <w:bCs/>
          <w:color w:val="000000"/>
          <w:sz w:val="24"/>
          <w:szCs w:val="21"/>
          <w:lang w:val="zh-CN"/>
        </w:rPr>
        <w:t>如有违反上述承诺的不良行为，本单位同意将其予以上网公示。</w:t>
      </w:r>
    </w:p>
    <w:p w14:paraId="70946FA1">
      <w:pPr>
        <w:snapToGrid w:val="0"/>
        <w:spacing w:line="360" w:lineRule="auto"/>
        <w:outlineLvl w:val="4"/>
        <w:rPr>
          <w:rFonts w:ascii="宋体" w:hAnsi="宋体" w:eastAsia="宋体" w:cs="宋体"/>
          <w:bCs/>
          <w:sz w:val="24"/>
        </w:rPr>
      </w:pPr>
    </w:p>
    <w:p w14:paraId="4B09F372">
      <w:pPr>
        <w:snapToGrid w:val="0"/>
        <w:spacing w:line="360" w:lineRule="auto"/>
        <w:jc w:val="center"/>
        <w:outlineLvl w:val="4"/>
        <w:rPr>
          <w:rFonts w:ascii="宋体" w:hAnsi="宋体" w:eastAsia="宋体" w:cs="宋体"/>
          <w:bCs/>
          <w:sz w:val="24"/>
        </w:rPr>
      </w:pPr>
      <w:r>
        <w:rPr>
          <w:rFonts w:hint="eastAsia" w:ascii="宋体" w:hAnsi="宋体" w:eastAsia="宋体" w:cs="宋体"/>
          <w:bCs/>
          <w:sz w:val="24"/>
        </w:rPr>
        <w:t xml:space="preserve"> 投标人（加盖CA电子签章）： </w:t>
      </w:r>
    </w:p>
    <w:p w14:paraId="12A85432">
      <w:pPr>
        <w:spacing w:line="360" w:lineRule="auto"/>
        <w:ind w:firstLine="566"/>
        <w:rPr>
          <w:rFonts w:ascii="宋体" w:hAnsi="宋体" w:eastAsia="宋体" w:cs="宋体"/>
          <w:bCs/>
          <w:sz w:val="24"/>
        </w:rPr>
      </w:pPr>
      <w:r>
        <w:rPr>
          <w:rFonts w:hint="eastAsia" w:ascii="宋体" w:hAnsi="宋体" w:eastAsia="宋体" w:cs="宋体"/>
          <w:bCs/>
          <w:sz w:val="24"/>
        </w:rPr>
        <w:t xml:space="preserve">                   法定代表人或被授权人（签字或加盖CA电子签章）： </w:t>
      </w:r>
    </w:p>
    <w:p w14:paraId="41E53A25">
      <w:pPr>
        <w:snapToGrid w:val="0"/>
        <w:spacing w:line="360" w:lineRule="auto"/>
        <w:ind w:firstLine="2880" w:firstLineChars="1200"/>
        <w:outlineLvl w:val="4"/>
        <w:rPr>
          <w:rFonts w:eastAsia="宋体" w:cs="宋体"/>
          <w:color w:val="000000"/>
          <w:sz w:val="24"/>
          <w:szCs w:val="24"/>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79B78F5C">
      <w:pPr>
        <w:rPr>
          <w:rFonts w:eastAsia="宋体" w:cs="宋体"/>
          <w:b/>
          <w:bCs/>
          <w:color w:val="000000"/>
          <w:sz w:val="28"/>
          <w:szCs w:val="28"/>
        </w:rPr>
      </w:pPr>
    </w:p>
    <w:p w14:paraId="250E427E">
      <w:pPr>
        <w:rPr>
          <w:rFonts w:eastAsia="宋体" w:cs="宋体"/>
          <w:b/>
          <w:bCs/>
          <w:color w:val="000000"/>
          <w:sz w:val="28"/>
          <w:szCs w:val="28"/>
        </w:rPr>
      </w:pPr>
      <w:r>
        <w:rPr>
          <w:rFonts w:hint="eastAsia" w:eastAsia="宋体" w:cs="宋体"/>
          <w:b/>
          <w:bCs/>
          <w:color w:val="000000"/>
          <w:sz w:val="28"/>
          <w:szCs w:val="28"/>
        </w:rPr>
        <w:br w:type="page"/>
      </w:r>
    </w:p>
    <w:p w14:paraId="43A8DA36">
      <w:pPr>
        <w:spacing w:line="360" w:lineRule="auto"/>
        <w:jc w:val="center"/>
        <w:outlineLvl w:val="3"/>
        <w:rPr>
          <w:rFonts w:eastAsia="宋体" w:cs="宋体"/>
          <w:b/>
          <w:bCs/>
          <w:color w:val="000000"/>
          <w:sz w:val="28"/>
          <w:szCs w:val="28"/>
        </w:rPr>
      </w:pPr>
      <w:r>
        <w:rPr>
          <w:rFonts w:hint="eastAsia" w:eastAsia="宋体" w:cs="宋体"/>
          <w:b/>
          <w:bCs/>
          <w:color w:val="000000"/>
          <w:sz w:val="28"/>
          <w:szCs w:val="28"/>
        </w:rPr>
        <w:t>4.供应商情况表</w:t>
      </w:r>
    </w:p>
    <w:tbl>
      <w:tblPr>
        <w:tblStyle w:val="12"/>
        <w:tblW w:w="9464" w:type="dxa"/>
        <w:jc w:val="center"/>
        <w:tblLayout w:type="fixed"/>
        <w:tblCellMar>
          <w:top w:w="0" w:type="dxa"/>
          <w:left w:w="108" w:type="dxa"/>
          <w:bottom w:w="0" w:type="dxa"/>
          <w:right w:w="108" w:type="dxa"/>
        </w:tblCellMar>
      </w:tblPr>
      <w:tblGrid>
        <w:gridCol w:w="2235"/>
        <w:gridCol w:w="708"/>
        <w:gridCol w:w="851"/>
        <w:gridCol w:w="849"/>
        <w:gridCol w:w="568"/>
        <w:gridCol w:w="1307"/>
        <w:gridCol w:w="159"/>
        <w:gridCol w:w="1320"/>
        <w:gridCol w:w="1467"/>
      </w:tblGrid>
      <w:tr w14:paraId="539FE3D8">
        <w:tblPrEx>
          <w:tblCellMar>
            <w:top w:w="0" w:type="dxa"/>
            <w:left w:w="108" w:type="dxa"/>
            <w:bottom w:w="0" w:type="dxa"/>
            <w:right w:w="108" w:type="dxa"/>
          </w:tblCellMar>
        </w:tblPrEx>
        <w:trPr>
          <w:cantSplit/>
          <w:trHeight w:val="286" w:hRule="atLeas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63B28C44">
            <w:pPr>
              <w:spacing w:line="360" w:lineRule="auto"/>
              <w:jc w:val="center"/>
              <w:rPr>
                <w:rFonts w:eastAsia="宋体" w:cs="宋体"/>
                <w:color w:val="000000"/>
                <w:sz w:val="24"/>
                <w:szCs w:val="24"/>
              </w:rPr>
            </w:pPr>
            <w:r>
              <w:rPr>
                <w:rFonts w:hint="eastAsia" w:eastAsia="宋体" w:cs="宋体"/>
                <w:color w:val="000000"/>
                <w:sz w:val="24"/>
                <w:szCs w:val="24"/>
              </w:rPr>
              <w:t>企业名称</w:t>
            </w:r>
          </w:p>
        </w:tc>
        <w:tc>
          <w:tcPr>
            <w:tcW w:w="7229" w:type="dxa"/>
            <w:gridSpan w:val="8"/>
            <w:tcBorders>
              <w:top w:val="single" w:color="000000" w:sz="4" w:space="0"/>
              <w:left w:val="nil"/>
              <w:bottom w:val="single" w:color="000000" w:sz="4" w:space="0"/>
              <w:right w:val="single" w:color="000000" w:sz="4" w:space="0"/>
            </w:tcBorders>
          </w:tcPr>
          <w:p w14:paraId="5FF223AB">
            <w:pPr>
              <w:spacing w:line="360" w:lineRule="auto"/>
              <w:rPr>
                <w:rFonts w:eastAsia="宋体" w:cs="宋体"/>
                <w:color w:val="000000"/>
                <w:sz w:val="24"/>
                <w:szCs w:val="24"/>
              </w:rPr>
            </w:pPr>
          </w:p>
        </w:tc>
      </w:tr>
      <w:tr w14:paraId="0FE4966B">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6E42F98D">
            <w:pPr>
              <w:spacing w:line="360" w:lineRule="auto"/>
              <w:jc w:val="center"/>
              <w:rPr>
                <w:rFonts w:eastAsia="宋体" w:cs="宋体"/>
                <w:color w:val="000000"/>
                <w:sz w:val="24"/>
                <w:szCs w:val="24"/>
              </w:rPr>
            </w:pPr>
            <w:r>
              <w:rPr>
                <w:rFonts w:hint="eastAsia" w:eastAsia="宋体" w:cs="宋体"/>
                <w:color w:val="000000"/>
                <w:sz w:val="24"/>
                <w:szCs w:val="24"/>
              </w:rPr>
              <w:t>总部地址</w:t>
            </w:r>
          </w:p>
        </w:tc>
        <w:tc>
          <w:tcPr>
            <w:tcW w:w="7229" w:type="dxa"/>
            <w:gridSpan w:val="8"/>
            <w:tcBorders>
              <w:top w:val="single" w:color="000000" w:sz="4" w:space="0"/>
              <w:left w:val="nil"/>
              <w:bottom w:val="single" w:color="000000" w:sz="4" w:space="0"/>
              <w:right w:val="single" w:color="000000" w:sz="4" w:space="0"/>
            </w:tcBorders>
          </w:tcPr>
          <w:p w14:paraId="125A0A59">
            <w:pPr>
              <w:spacing w:line="360" w:lineRule="auto"/>
              <w:rPr>
                <w:rFonts w:eastAsia="宋体" w:cs="宋体"/>
                <w:color w:val="000000"/>
                <w:sz w:val="24"/>
                <w:szCs w:val="24"/>
              </w:rPr>
            </w:pPr>
          </w:p>
        </w:tc>
      </w:tr>
      <w:tr w14:paraId="3816C258">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6C103F79">
            <w:pPr>
              <w:spacing w:line="360" w:lineRule="auto"/>
              <w:jc w:val="center"/>
              <w:rPr>
                <w:rFonts w:eastAsia="宋体" w:cs="宋体"/>
                <w:color w:val="000000"/>
                <w:sz w:val="24"/>
                <w:szCs w:val="24"/>
              </w:rPr>
            </w:pPr>
            <w:r>
              <w:rPr>
                <w:rFonts w:hint="eastAsia" w:eastAsia="宋体" w:cs="宋体"/>
                <w:color w:val="000000"/>
                <w:sz w:val="24"/>
                <w:szCs w:val="24"/>
              </w:rPr>
              <w:t>分支机构</w:t>
            </w:r>
          </w:p>
        </w:tc>
        <w:tc>
          <w:tcPr>
            <w:tcW w:w="7229" w:type="dxa"/>
            <w:gridSpan w:val="8"/>
            <w:tcBorders>
              <w:top w:val="single" w:color="000000" w:sz="4" w:space="0"/>
              <w:left w:val="nil"/>
              <w:bottom w:val="single" w:color="000000" w:sz="4" w:space="0"/>
              <w:right w:val="single" w:color="000000" w:sz="4" w:space="0"/>
            </w:tcBorders>
          </w:tcPr>
          <w:p w14:paraId="68B5E4CF">
            <w:pPr>
              <w:spacing w:line="360" w:lineRule="auto"/>
              <w:rPr>
                <w:rFonts w:eastAsia="宋体" w:cs="宋体"/>
                <w:color w:val="000000"/>
                <w:sz w:val="24"/>
                <w:szCs w:val="24"/>
              </w:rPr>
            </w:pPr>
          </w:p>
        </w:tc>
      </w:tr>
      <w:tr w14:paraId="13100CA9">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74CEE075">
            <w:pPr>
              <w:spacing w:line="360" w:lineRule="auto"/>
              <w:jc w:val="center"/>
              <w:rPr>
                <w:rFonts w:eastAsia="宋体" w:cs="宋体"/>
                <w:color w:val="000000"/>
                <w:sz w:val="24"/>
                <w:szCs w:val="24"/>
              </w:rPr>
            </w:pPr>
            <w:r>
              <w:rPr>
                <w:rFonts w:hint="eastAsia" w:eastAsia="宋体" w:cs="宋体"/>
                <w:color w:val="000000"/>
                <w:sz w:val="24"/>
                <w:szCs w:val="24"/>
              </w:rPr>
              <w:t>当地代表处地址</w:t>
            </w:r>
          </w:p>
        </w:tc>
        <w:tc>
          <w:tcPr>
            <w:tcW w:w="7229" w:type="dxa"/>
            <w:gridSpan w:val="8"/>
            <w:tcBorders>
              <w:top w:val="single" w:color="000000" w:sz="4" w:space="0"/>
              <w:left w:val="nil"/>
              <w:bottom w:val="single" w:color="000000" w:sz="4" w:space="0"/>
              <w:right w:val="single" w:color="000000" w:sz="4" w:space="0"/>
            </w:tcBorders>
          </w:tcPr>
          <w:p w14:paraId="3D9665F3">
            <w:pPr>
              <w:spacing w:line="360" w:lineRule="auto"/>
              <w:rPr>
                <w:rFonts w:eastAsia="宋体" w:cs="宋体"/>
                <w:color w:val="000000"/>
                <w:sz w:val="24"/>
                <w:szCs w:val="24"/>
              </w:rPr>
            </w:pPr>
          </w:p>
        </w:tc>
      </w:tr>
      <w:tr w14:paraId="3E20EA4D">
        <w:tblPrEx>
          <w:tblCellMar>
            <w:top w:w="0" w:type="dxa"/>
            <w:left w:w="108" w:type="dxa"/>
            <w:bottom w:w="0" w:type="dxa"/>
            <w:right w:w="108" w:type="dxa"/>
          </w:tblCellMar>
        </w:tblPrEx>
        <w:trPr>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1339D625">
            <w:pPr>
              <w:spacing w:line="360" w:lineRule="auto"/>
              <w:jc w:val="center"/>
              <w:rPr>
                <w:rFonts w:eastAsia="宋体" w:cs="宋体"/>
                <w:color w:val="000000"/>
                <w:sz w:val="24"/>
                <w:szCs w:val="24"/>
              </w:rPr>
            </w:pPr>
            <w:r>
              <w:rPr>
                <w:rFonts w:hint="eastAsia" w:eastAsia="宋体" w:cs="宋体"/>
                <w:color w:val="000000"/>
                <w:sz w:val="24"/>
                <w:szCs w:val="24"/>
              </w:rPr>
              <w:t>电话</w:t>
            </w:r>
          </w:p>
        </w:tc>
        <w:tc>
          <w:tcPr>
            <w:tcW w:w="2408" w:type="dxa"/>
            <w:gridSpan w:val="3"/>
            <w:tcBorders>
              <w:top w:val="single" w:color="000000" w:sz="4" w:space="0"/>
              <w:left w:val="nil"/>
              <w:bottom w:val="single" w:color="000000" w:sz="4" w:space="0"/>
              <w:right w:val="single" w:color="000000" w:sz="4" w:space="0"/>
            </w:tcBorders>
          </w:tcPr>
          <w:p w14:paraId="099B8F7A">
            <w:pPr>
              <w:spacing w:line="360" w:lineRule="auto"/>
              <w:rPr>
                <w:rFonts w:eastAsia="宋体" w:cs="宋体"/>
                <w:color w:val="000000"/>
                <w:sz w:val="24"/>
                <w:szCs w:val="24"/>
              </w:rPr>
            </w:pPr>
          </w:p>
        </w:tc>
        <w:tc>
          <w:tcPr>
            <w:tcW w:w="1875" w:type="dxa"/>
            <w:gridSpan w:val="2"/>
            <w:tcBorders>
              <w:top w:val="single" w:color="000000" w:sz="4" w:space="0"/>
              <w:left w:val="nil"/>
              <w:bottom w:val="single" w:color="000000" w:sz="4" w:space="0"/>
              <w:right w:val="single" w:color="000000" w:sz="4" w:space="0"/>
            </w:tcBorders>
          </w:tcPr>
          <w:p w14:paraId="34EDA6D5">
            <w:pPr>
              <w:spacing w:line="360" w:lineRule="auto"/>
              <w:jc w:val="center"/>
              <w:rPr>
                <w:rFonts w:eastAsia="宋体" w:cs="宋体"/>
                <w:color w:val="000000"/>
                <w:sz w:val="24"/>
                <w:szCs w:val="24"/>
              </w:rPr>
            </w:pPr>
            <w:r>
              <w:rPr>
                <w:rFonts w:hint="eastAsia" w:eastAsia="宋体" w:cs="宋体"/>
                <w:color w:val="000000"/>
                <w:sz w:val="24"/>
                <w:szCs w:val="24"/>
              </w:rPr>
              <w:t>联系人</w:t>
            </w:r>
          </w:p>
        </w:tc>
        <w:tc>
          <w:tcPr>
            <w:tcW w:w="2946" w:type="dxa"/>
            <w:gridSpan w:val="3"/>
            <w:tcBorders>
              <w:top w:val="single" w:color="000000" w:sz="4" w:space="0"/>
              <w:left w:val="nil"/>
              <w:bottom w:val="single" w:color="000000" w:sz="4" w:space="0"/>
              <w:right w:val="single" w:color="000000" w:sz="4" w:space="0"/>
            </w:tcBorders>
          </w:tcPr>
          <w:p w14:paraId="1619DDF4">
            <w:pPr>
              <w:spacing w:line="360" w:lineRule="auto"/>
              <w:rPr>
                <w:rFonts w:eastAsia="宋体" w:cs="宋体"/>
                <w:color w:val="000000"/>
                <w:sz w:val="24"/>
                <w:szCs w:val="24"/>
              </w:rPr>
            </w:pPr>
          </w:p>
        </w:tc>
      </w:tr>
      <w:tr w14:paraId="1FFB80D3">
        <w:tblPrEx>
          <w:tblCellMar>
            <w:top w:w="0" w:type="dxa"/>
            <w:left w:w="108" w:type="dxa"/>
            <w:bottom w:w="0" w:type="dxa"/>
            <w:right w:w="108" w:type="dxa"/>
          </w:tblCellMar>
        </w:tblPrEx>
        <w:trPr>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6A50EEED">
            <w:pPr>
              <w:spacing w:line="360" w:lineRule="auto"/>
              <w:jc w:val="center"/>
              <w:rPr>
                <w:rFonts w:eastAsia="宋体" w:cs="宋体"/>
                <w:color w:val="000000"/>
                <w:sz w:val="24"/>
                <w:szCs w:val="24"/>
              </w:rPr>
            </w:pPr>
            <w:r>
              <w:rPr>
                <w:rFonts w:hint="eastAsia" w:eastAsia="宋体" w:cs="宋体"/>
                <w:color w:val="000000"/>
                <w:sz w:val="24"/>
                <w:szCs w:val="24"/>
              </w:rPr>
              <w:t>传真</w:t>
            </w:r>
          </w:p>
        </w:tc>
        <w:tc>
          <w:tcPr>
            <w:tcW w:w="2408" w:type="dxa"/>
            <w:gridSpan w:val="3"/>
            <w:tcBorders>
              <w:top w:val="single" w:color="000000" w:sz="4" w:space="0"/>
              <w:left w:val="nil"/>
              <w:bottom w:val="single" w:color="000000" w:sz="4" w:space="0"/>
              <w:right w:val="single" w:color="000000" w:sz="4" w:space="0"/>
            </w:tcBorders>
          </w:tcPr>
          <w:p w14:paraId="59FAD209">
            <w:pPr>
              <w:spacing w:line="360" w:lineRule="auto"/>
              <w:rPr>
                <w:rFonts w:eastAsia="宋体" w:cs="宋体"/>
                <w:color w:val="000000"/>
                <w:sz w:val="24"/>
                <w:szCs w:val="24"/>
              </w:rPr>
            </w:pPr>
          </w:p>
        </w:tc>
        <w:tc>
          <w:tcPr>
            <w:tcW w:w="1875" w:type="dxa"/>
            <w:gridSpan w:val="2"/>
            <w:tcBorders>
              <w:top w:val="single" w:color="000000" w:sz="4" w:space="0"/>
              <w:left w:val="nil"/>
              <w:bottom w:val="single" w:color="000000" w:sz="4" w:space="0"/>
              <w:right w:val="single" w:color="000000" w:sz="4" w:space="0"/>
            </w:tcBorders>
          </w:tcPr>
          <w:p w14:paraId="73EB8A35">
            <w:pPr>
              <w:spacing w:line="360" w:lineRule="auto"/>
              <w:jc w:val="center"/>
              <w:rPr>
                <w:rFonts w:eastAsia="宋体" w:cs="宋体"/>
                <w:color w:val="000000"/>
                <w:sz w:val="24"/>
                <w:szCs w:val="24"/>
              </w:rPr>
            </w:pPr>
            <w:r>
              <w:rPr>
                <w:rFonts w:hint="eastAsia" w:eastAsia="宋体" w:cs="宋体"/>
                <w:color w:val="000000"/>
                <w:sz w:val="24"/>
                <w:szCs w:val="24"/>
              </w:rPr>
              <w:t>电子邮件</w:t>
            </w:r>
          </w:p>
        </w:tc>
        <w:tc>
          <w:tcPr>
            <w:tcW w:w="2946" w:type="dxa"/>
            <w:gridSpan w:val="3"/>
            <w:tcBorders>
              <w:top w:val="single" w:color="000000" w:sz="4" w:space="0"/>
              <w:left w:val="nil"/>
              <w:bottom w:val="single" w:color="000000" w:sz="4" w:space="0"/>
              <w:right w:val="single" w:color="000000" w:sz="4" w:space="0"/>
            </w:tcBorders>
          </w:tcPr>
          <w:p w14:paraId="4EA4A8D4">
            <w:pPr>
              <w:spacing w:line="360" w:lineRule="auto"/>
              <w:rPr>
                <w:rFonts w:eastAsia="宋体" w:cs="宋体"/>
                <w:color w:val="000000"/>
                <w:sz w:val="24"/>
                <w:szCs w:val="24"/>
              </w:rPr>
            </w:pPr>
          </w:p>
        </w:tc>
      </w:tr>
      <w:tr w14:paraId="48C3A8C1">
        <w:tblPrEx>
          <w:tblCellMar>
            <w:top w:w="0" w:type="dxa"/>
            <w:left w:w="108" w:type="dxa"/>
            <w:bottom w:w="0" w:type="dxa"/>
            <w:right w:w="108" w:type="dxa"/>
          </w:tblCellMar>
        </w:tblPrEx>
        <w:trPr>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7DA15AEB">
            <w:pPr>
              <w:spacing w:line="360" w:lineRule="auto"/>
              <w:jc w:val="center"/>
              <w:rPr>
                <w:rFonts w:eastAsia="宋体" w:cs="宋体"/>
                <w:color w:val="000000"/>
                <w:sz w:val="24"/>
                <w:szCs w:val="24"/>
              </w:rPr>
            </w:pPr>
            <w:r>
              <w:rPr>
                <w:rFonts w:hint="eastAsia" w:eastAsia="宋体" w:cs="宋体"/>
                <w:color w:val="000000"/>
                <w:sz w:val="24"/>
                <w:szCs w:val="24"/>
              </w:rPr>
              <w:t>注册地</w:t>
            </w:r>
          </w:p>
        </w:tc>
        <w:tc>
          <w:tcPr>
            <w:tcW w:w="2408" w:type="dxa"/>
            <w:gridSpan w:val="3"/>
            <w:tcBorders>
              <w:top w:val="single" w:color="000000" w:sz="4" w:space="0"/>
              <w:left w:val="nil"/>
              <w:bottom w:val="single" w:color="000000" w:sz="4" w:space="0"/>
              <w:right w:val="single" w:color="000000" w:sz="4" w:space="0"/>
            </w:tcBorders>
          </w:tcPr>
          <w:p w14:paraId="369AC5BD">
            <w:pPr>
              <w:spacing w:line="360" w:lineRule="auto"/>
              <w:rPr>
                <w:rFonts w:eastAsia="宋体" w:cs="宋体"/>
                <w:color w:val="000000"/>
                <w:sz w:val="24"/>
                <w:szCs w:val="24"/>
              </w:rPr>
            </w:pPr>
          </w:p>
        </w:tc>
        <w:tc>
          <w:tcPr>
            <w:tcW w:w="1875" w:type="dxa"/>
            <w:gridSpan w:val="2"/>
            <w:tcBorders>
              <w:top w:val="single" w:color="000000" w:sz="4" w:space="0"/>
              <w:left w:val="nil"/>
              <w:bottom w:val="single" w:color="000000" w:sz="4" w:space="0"/>
              <w:right w:val="single" w:color="000000" w:sz="4" w:space="0"/>
            </w:tcBorders>
          </w:tcPr>
          <w:p w14:paraId="08E6A98A">
            <w:pPr>
              <w:spacing w:line="360" w:lineRule="auto"/>
              <w:jc w:val="center"/>
              <w:rPr>
                <w:rFonts w:eastAsia="宋体" w:cs="宋体"/>
                <w:color w:val="000000"/>
                <w:sz w:val="24"/>
                <w:szCs w:val="24"/>
              </w:rPr>
            </w:pPr>
            <w:r>
              <w:rPr>
                <w:rFonts w:hint="eastAsia" w:eastAsia="宋体" w:cs="宋体"/>
                <w:color w:val="000000"/>
                <w:sz w:val="24"/>
                <w:szCs w:val="24"/>
              </w:rPr>
              <w:t>注册年份</w:t>
            </w:r>
          </w:p>
        </w:tc>
        <w:tc>
          <w:tcPr>
            <w:tcW w:w="2946" w:type="dxa"/>
            <w:gridSpan w:val="3"/>
            <w:tcBorders>
              <w:top w:val="single" w:color="000000" w:sz="4" w:space="0"/>
              <w:left w:val="nil"/>
              <w:bottom w:val="single" w:color="000000" w:sz="4" w:space="0"/>
              <w:right w:val="single" w:color="000000" w:sz="4" w:space="0"/>
            </w:tcBorders>
          </w:tcPr>
          <w:p w14:paraId="236D7630">
            <w:pPr>
              <w:spacing w:line="360" w:lineRule="auto"/>
              <w:rPr>
                <w:rFonts w:eastAsia="宋体" w:cs="宋体"/>
                <w:color w:val="000000"/>
                <w:sz w:val="24"/>
                <w:szCs w:val="24"/>
              </w:rPr>
            </w:pPr>
          </w:p>
        </w:tc>
      </w:tr>
      <w:tr w14:paraId="02DAA40A">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5C2A2CC8">
            <w:pPr>
              <w:spacing w:line="360" w:lineRule="auto"/>
              <w:jc w:val="center"/>
              <w:rPr>
                <w:rFonts w:eastAsia="宋体" w:cs="宋体"/>
                <w:color w:val="000000"/>
                <w:sz w:val="24"/>
                <w:szCs w:val="24"/>
              </w:rPr>
            </w:pPr>
            <w:r>
              <w:rPr>
                <w:rFonts w:hint="eastAsia" w:eastAsia="宋体" w:cs="宋体"/>
                <w:color w:val="000000"/>
                <w:sz w:val="24"/>
                <w:szCs w:val="24"/>
              </w:rPr>
              <w:t>资质等级</w:t>
            </w:r>
          </w:p>
        </w:tc>
        <w:tc>
          <w:tcPr>
            <w:tcW w:w="7229" w:type="dxa"/>
            <w:gridSpan w:val="8"/>
            <w:tcBorders>
              <w:top w:val="single" w:color="000000" w:sz="4" w:space="0"/>
              <w:left w:val="nil"/>
              <w:bottom w:val="single" w:color="000000" w:sz="4" w:space="0"/>
              <w:right w:val="single" w:color="000000" w:sz="4" w:space="0"/>
            </w:tcBorders>
          </w:tcPr>
          <w:p w14:paraId="1822C752">
            <w:pPr>
              <w:spacing w:line="360" w:lineRule="auto"/>
              <w:rPr>
                <w:rFonts w:eastAsia="宋体" w:cs="宋体"/>
                <w:color w:val="000000"/>
                <w:sz w:val="24"/>
                <w:szCs w:val="24"/>
              </w:rPr>
            </w:pPr>
            <w:r>
              <w:rPr>
                <w:rFonts w:hint="eastAsia" w:eastAsia="宋体" w:cs="宋体"/>
                <w:color w:val="000000"/>
                <w:sz w:val="24"/>
                <w:szCs w:val="24"/>
              </w:rPr>
              <w:t>公司具备的相关资质等级及相应的证书号</w:t>
            </w:r>
          </w:p>
          <w:p w14:paraId="5CFDAB14">
            <w:pPr>
              <w:spacing w:line="360" w:lineRule="auto"/>
              <w:rPr>
                <w:rFonts w:eastAsia="宋体" w:cs="宋体"/>
                <w:color w:val="000000"/>
                <w:sz w:val="24"/>
                <w:szCs w:val="24"/>
              </w:rPr>
            </w:pPr>
            <w:r>
              <w:rPr>
                <w:rFonts w:hint="eastAsia" w:eastAsia="宋体" w:cs="宋体"/>
                <w:color w:val="000000"/>
                <w:sz w:val="24"/>
                <w:szCs w:val="24"/>
              </w:rPr>
              <w:t>（请附有关证书的复印件）</w:t>
            </w:r>
          </w:p>
        </w:tc>
      </w:tr>
      <w:tr w14:paraId="0B52EEAE">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5098CE93">
            <w:pPr>
              <w:spacing w:line="360" w:lineRule="auto"/>
              <w:jc w:val="center"/>
              <w:rPr>
                <w:rFonts w:eastAsia="宋体" w:cs="宋体"/>
                <w:color w:val="000000"/>
                <w:sz w:val="24"/>
                <w:szCs w:val="24"/>
              </w:rPr>
            </w:pPr>
            <w:r>
              <w:rPr>
                <w:rFonts w:hint="eastAsia" w:eastAsia="宋体" w:cs="宋体"/>
                <w:color w:val="000000"/>
                <w:sz w:val="24"/>
                <w:szCs w:val="24"/>
              </w:rPr>
              <w:t>质量管理体系</w:t>
            </w:r>
          </w:p>
        </w:tc>
        <w:tc>
          <w:tcPr>
            <w:tcW w:w="7229" w:type="dxa"/>
            <w:gridSpan w:val="8"/>
            <w:tcBorders>
              <w:top w:val="single" w:color="000000" w:sz="4" w:space="0"/>
              <w:left w:val="nil"/>
              <w:bottom w:val="single" w:color="000000" w:sz="4" w:space="0"/>
              <w:right w:val="single" w:color="000000" w:sz="4" w:space="0"/>
            </w:tcBorders>
          </w:tcPr>
          <w:p w14:paraId="48D5C052">
            <w:pPr>
              <w:spacing w:line="360" w:lineRule="auto"/>
              <w:rPr>
                <w:rFonts w:eastAsia="宋体" w:cs="宋体"/>
                <w:color w:val="000000"/>
                <w:sz w:val="24"/>
                <w:szCs w:val="24"/>
              </w:rPr>
            </w:pPr>
            <w:r>
              <w:rPr>
                <w:rFonts w:hint="eastAsia" w:eastAsia="宋体" w:cs="宋体"/>
                <w:color w:val="000000"/>
                <w:sz w:val="24"/>
                <w:szCs w:val="24"/>
              </w:rPr>
              <w:t>公司</w:t>
            </w:r>
            <w:r>
              <w:rPr>
                <w:rFonts w:hint="eastAsia" w:eastAsia="宋体" w:cs="宋体"/>
                <w:color w:val="000000"/>
                <w:sz w:val="24"/>
                <w:szCs w:val="24"/>
                <w:u w:val="single"/>
              </w:rPr>
              <w:t xml:space="preserve">   （是否通过，何种）   </w:t>
            </w:r>
            <w:r>
              <w:rPr>
                <w:rFonts w:hint="eastAsia" w:eastAsia="宋体" w:cs="宋体"/>
                <w:color w:val="000000"/>
                <w:sz w:val="24"/>
                <w:szCs w:val="24"/>
              </w:rPr>
              <w:t>质量保证体系认证（如通过请附相关在有效期内的证书复印件）</w:t>
            </w:r>
          </w:p>
        </w:tc>
      </w:tr>
      <w:tr w14:paraId="467C1363">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2EBBFFFC">
            <w:pPr>
              <w:spacing w:line="360" w:lineRule="auto"/>
              <w:jc w:val="center"/>
              <w:rPr>
                <w:rFonts w:eastAsia="宋体" w:cs="宋体"/>
                <w:color w:val="000000"/>
                <w:sz w:val="24"/>
                <w:szCs w:val="24"/>
              </w:rPr>
            </w:pPr>
            <w:r>
              <w:rPr>
                <w:rFonts w:hint="eastAsia" w:eastAsia="宋体" w:cs="宋体"/>
                <w:color w:val="000000"/>
                <w:sz w:val="24"/>
                <w:szCs w:val="24"/>
              </w:rPr>
              <w:t>项目负责人</w:t>
            </w:r>
          </w:p>
        </w:tc>
        <w:tc>
          <w:tcPr>
            <w:tcW w:w="1559" w:type="dxa"/>
            <w:gridSpan w:val="2"/>
            <w:tcBorders>
              <w:top w:val="single" w:color="000000" w:sz="4" w:space="0"/>
              <w:left w:val="nil"/>
              <w:bottom w:val="single" w:color="000000" w:sz="4" w:space="0"/>
              <w:right w:val="single" w:color="000000" w:sz="4" w:space="0"/>
            </w:tcBorders>
          </w:tcPr>
          <w:p w14:paraId="12C91391">
            <w:pPr>
              <w:spacing w:line="360" w:lineRule="auto"/>
              <w:jc w:val="center"/>
              <w:rPr>
                <w:rFonts w:eastAsia="宋体" w:cs="宋体"/>
                <w:color w:val="000000"/>
                <w:sz w:val="24"/>
                <w:szCs w:val="24"/>
              </w:rPr>
            </w:pPr>
          </w:p>
        </w:tc>
        <w:tc>
          <w:tcPr>
            <w:tcW w:w="1417" w:type="dxa"/>
            <w:gridSpan w:val="2"/>
            <w:tcBorders>
              <w:top w:val="single" w:color="000000" w:sz="4" w:space="0"/>
              <w:left w:val="nil"/>
              <w:bottom w:val="single" w:color="000000" w:sz="4" w:space="0"/>
              <w:right w:val="single" w:color="000000" w:sz="4" w:space="0"/>
            </w:tcBorders>
          </w:tcPr>
          <w:p w14:paraId="45225F70">
            <w:pPr>
              <w:spacing w:line="360" w:lineRule="auto"/>
              <w:jc w:val="center"/>
              <w:rPr>
                <w:rFonts w:eastAsia="宋体" w:cs="宋体"/>
                <w:color w:val="000000"/>
                <w:sz w:val="24"/>
                <w:szCs w:val="24"/>
              </w:rPr>
            </w:pPr>
            <w:r>
              <w:rPr>
                <w:rFonts w:hint="eastAsia" w:eastAsia="宋体" w:cs="宋体"/>
                <w:color w:val="000000"/>
                <w:sz w:val="24"/>
                <w:szCs w:val="24"/>
              </w:rPr>
              <w:t>年龄</w:t>
            </w:r>
          </w:p>
        </w:tc>
        <w:tc>
          <w:tcPr>
            <w:tcW w:w="1466" w:type="dxa"/>
            <w:gridSpan w:val="2"/>
            <w:tcBorders>
              <w:top w:val="single" w:color="000000" w:sz="4" w:space="0"/>
              <w:left w:val="nil"/>
              <w:bottom w:val="single" w:color="000000" w:sz="4" w:space="0"/>
              <w:right w:val="single" w:color="000000" w:sz="4" w:space="0"/>
            </w:tcBorders>
          </w:tcPr>
          <w:p w14:paraId="44078EB7">
            <w:pPr>
              <w:spacing w:line="360" w:lineRule="auto"/>
              <w:jc w:val="center"/>
              <w:rPr>
                <w:rFonts w:eastAsia="宋体" w:cs="宋体"/>
                <w:color w:val="000000"/>
                <w:sz w:val="24"/>
                <w:szCs w:val="24"/>
              </w:rPr>
            </w:pPr>
          </w:p>
        </w:tc>
        <w:tc>
          <w:tcPr>
            <w:tcW w:w="1320" w:type="dxa"/>
            <w:tcBorders>
              <w:top w:val="single" w:color="000000" w:sz="4" w:space="0"/>
              <w:left w:val="nil"/>
              <w:bottom w:val="single" w:color="000000" w:sz="4" w:space="0"/>
              <w:right w:val="single" w:color="000000" w:sz="4" w:space="0"/>
            </w:tcBorders>
          </w:tcPr>
          <w:p w14:paraId="706E580E">
            <w:pPr>
              <w:spacing w:line="360" w:lineRule="auto"/>
              <w:jc w:val="center"/>
              <w:rPr>
                <w:rFonts w:eastAsia="宋体" w:cs="宋体"/>
                <w:color w:val="000000"/>
                <w:sz w:val="24"/>
                <w:szCs w:val="24"/>
              </w:rPr>
            </w:pPr>
            <w:r>
              <w:rPr>
                <w:rFonts w:hint="eastAsia" w:eastAsia="宋体" w:cs="宋体"/>
                <w:color w:val="000000"/>
                <w:sz w:val="24"/>
                <w:szCs w:val="24"/>
              </w:rPr>
              <w:t>性别</w:t>
            </w:r>
          </w:p>
        </w:tc>
        <w:tc>
          <w:tcPr>
            <w:tcW w:w="1467" w:type="dxa"/>
            <w:tcBorders>
              <w:top w:val="single" w:color="000000" w:sz="4" w:space="0"/>
              <w:left w:val="nil"/>
              <w:bottom w:val="single" w:color="000000" w:sz="4" w:space="0"/>
              <w:right w:val="single" w:color="000000" w:sz="4" w:space="0"/>
            </w:tcBorders>
          </w:tcPr>
          <w:p w14:paraId="2A958166">
            <w:pPr>
              <w:spacing w:line="360" w:lineRule="auto"/>
              <w:jc w:val="center"/>
              <w:rPr>
                <w:rFonts w:eastAsia="宋体" w:cs="宋体"/>
                <w:color w:val="000000"/>
                <w:sz w:val="24"/>
                <w:szCs w:val="24"/>
              </w:rPr>
            </w:pPr>
          </w:p>
        </w:tc>
      </w:tr>
      <w:tr w14:paraId="2051BF6B">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3BDC7B14">
            <w:pPr>
              <w:spacing w:line="360" w:lineRule="auto"/>
              <w:jc w:val="center"/>
              <w:rPr>
                <w:rFonts w:eastAsia="宋体" w:cs="宋体"/>
                <w:color w:val="000000"/>
                <w:sz w:val="24"/>
                <w:szCs w:val="24"/>
              </w:rPr>
            </w:pPr>
            <w:r>
              <w:rPr>
                <w:rFonts w:hint="eastAsia" w:eastAsia="宋体" w:cs="宋体"/>
                <w:color w:val="000000"/>
                <w:sz w:val="24"/>
                <w:szCs w:val="24"/>
              </w:rPr>
              <w:t>职务职称</w:t>
            </w:r>
          </w:p>
        </w:tc>
        <w:tc>
          <w:tcPr>
            <w:tcW w:w="2976" w:type="dxa"/>
            <w:gridSpan w:val="4"/>
            <w:tcBorders>
              <w:top w:val="single" w:color="000000" w:sz="4" w:space="0"/>
              <w:left w:val="nil"/>
              <w:bottom w:val="single" w:color="000000" w:sz="4" w:space="0"/>
              <w:right w:val="single" w:color="000000" w:sz="4" w:space="0"/>
            </w:tcBorders>
          </w:tcPr>
          <w:p w14:paraId="11229482">
            <w:pPr>
              <w:spacing w:line="360" w:lineRule="auto"/>
              <w:rPr>
                <w:rFonts w:eastAsia="宋体" w:cs="宋体"/>
                <w:color w:val="000000"/>
                <w:sz w:val="24"/>
                <w:szCs w:val="24"/>
              </w:rPr>
            </w:pPr>
          </w:p>
        </w:tc>
        <w:tc>
          <w:tcPr>
            <w:tcW w:w="1466" w:type="dxa"/>
            <w:gridSpan w:val="2"/>
            <w:tcBorders>
              <w:top w:val="single" w:color="000000" w:sz="4" w:space="0"/>
              <w:left w:val="nil"/>
              <w:bottom w:val="single" w:color="000000" w:sz="4" w:space="0"/>
              <w:right w:val="single" w:color="000000" w:sz="4" w:space="0"/>
            </w:tcBorders>
          </w:tcPr>
          <w:p w14:paraId="74B6A584">
            <w:pPr>
              <w:spacing w:line="360" w:lineRule="auto"/>
              <w:rPr>
                <w:rFonts w:eastAsia="宋体" w:cs="宋体"/>
                <w:color w:val="000000"/>
                <w:sz w:val="24"/>
                <w:szCs w:val="24"/>
              </w:rPr>
            </w:pPr>
            <w:r>
              <w:rPr>
                <w:rFonts w:hint="eastAsia" w:eastAsia="宋体" w:cs="宋体"/>
                <w:color w:val="000000"/>
                <w:sz w:val="24"/>
                <w:szCs w:val="24"/>
              </w:rPr>
              <w:t>执业资格</w:t>
            </w:r>
          </w:p>
        </w:tc>
        <w:tc>
          <w:tcPr>
            <w:tcW w:w="2787" w:type="dxa"/>
            <w:gridSpan w:val="2"/>
            <w:tcBorders>
              <w:top w:val="single" w:color="000000" w:sz="4" w:space="0"/>
              <w:left w:val="nil"/>
              <w:bottom w:val="single" w:color="000000" w:sz="4" w:space="0"/>
              <w:right w:val="single" w:color="000000" w:sz="4" w:space="0"/>
            </w:tcBorders>
          </w:tcPr>
          <w:p w14:paraId="795CF0EE">
            <w:pPr>
              <w:spacing w:line="360" w:lineRule="auto"/>
              <w:rPr>
                <w:rFonts w:eastAsia="宋体" w:cs="宋体"/>
                <w:color w:val="000000"/>
                <w:sz w:val="24"/>
                <w:szCs w:val="24"/>
              </w:rPr>
            </w:pPr>
          </w:p>
        </w:tc>
      </w:tr>
      <w:tr w14:paraId="52BA9638">
        <w:tblPrEx>
          <w:tblCellMar>
            <w:top w:w="0" w:type="dxa"/>
            <w:left w:w="108" w:type="dxa"/>
            <w:bottom w:w="0" w:type="dxa"/>
            <w:right w:w="108" w:type="dxa"/>
          </w:tblCellMar>
        </w:tblPrEx>
        <w:trPr>
          <w:cantSplit/>
          <w:trHeight w:val="2234" w:hRule="atLeast"/>
          <w:jc w:val="center"/>
        </w:trPr>
        <w:tc>
          <w:tcPr>
            <w:tcW w:w="2235" w:type="dxa"/>
            <w:tcBorders>
              <w:top w:val="single" w:color="000000" w:sz="4" w:space="0"/>
              <w:left w:val="single" w:color="000000" w:sz="4" w:space="0"/>
              <w:bottom w:val="single" w:color="000000" w:sz="4" w:space="0"/>
              <w:right w:val="single" w:color="000000" w:sz="4" w:space="0"/>
            </w:tcBorders>
            <w:vAlign w:val="center"/>
          </w:tcPr>
          <w:p w14:paraId="04F815E2">
            <w:pPr>
              <w:spacing w:line="360" w:lineRule="auto"/>
              <w:jc w:val="center"/>
              <w:rPr>
                <w:rFonts w:eastAsia="宋体" w:cs="宋体"/>
                <w:color w:val="000000"/>
                <w:sz w:val="24"/>
                <w:szCs w:val="24"/>
              </w:rPr>
            </w:pPr>
            <w:r>
              <w:rPr>
                <w:rFonts w:hint="eastAsia" w:eastAsia="宋体" w:cs="宋体"/>
                <w:color w:val="000000"/>
                <w:sz w:val="24"/>
                <w:szCs w:val="24"/>
              </w:rPr>
              <w:t>经营范围</w:t>
            </w:r>
          </w:p>
        </w:tc>
        <w:tc>
          <w:tcPr>
            <w:tcW w:w="7229" w:type="dxa"/>
            <w:gridSpan w:val="8"/>
            <w:tcBorders>
              <w:top w:val="single" w:color="000000" w:sz="4" w:space="0"/>
              <w:left w:val="nil"/>
              <w:bottom w:val="single" w:color="000000" w:sz="4" w:space="0"/>
              <w:right w:val="single" w:color="000000" w:sz="4" w:space="0"/>
            </w:tcBorders>
          </w:tcPr>
          <w:p w14:paraId="6B9E2C32">
            <w:pPr>
              <w:spacing w:line="360" w:lineRule="auto"/>
              <w:rPr>
                <w:rFonts w:eastAsia="宋体" w:cs="宋体"/>
                <w:color w:val="000000"/>
                <w:sz w:val="24"/>
                <w:szCs w:val="24"/>
              </w:rPr>
            </w:pPr>
            <w:r>
              <w:rPr>
                <w:rFonts w:hint="eastAsia" w:eastAsia="宋体" w:cs="宋体"/>
                <w:color w:val="000000"/>
                <w:sz w:val="24"/>
                <w:szCs w:val="24"/>
              </w:rPr>
              <w:t>营业执照载明：</w:t>
            </w:r>
          </w:p>
          <w:p w14:paraId="43AA675B">
            <w:pPr>
              <w:spacing w:line="360" w:lineRule="auto"/>
              <w:rPr>
                <w:rFonts w:eastAsia="宋体" w:cs="宋体"/>
                <w:color w:val="000000"/>
                <w:sz w:val="24"/>
                <w:szCs w:val="24"/>
                <w:u w:val="single"/>
              </w:rPr>
            </w:pPr>
            <w:r>
              <w:rPr>
                <w:rFonts w:hint="eastAsia" w:eastAsia="宋体" w:cs="宋体"/>
                <w:color w:val="000000"/>
                <w:sz w:val="24"/>
                <w:szCs w:val="24"/>
              </w:rPr>
              <w:t>1.</w:t>
            </w:r>
            <w:r>
              <w:rPr>
                <w:rFonts w:hint="eastAsia" w:eastAsia="宋体" w:cs="宋体"/>
                <w:color w:val="000000"/>
                <w:sz w:val="24"/>
                <w:szCs w:val="24"/>
                <w:u w:val="single"/>
              </w:rPr>
              <w:t xml:space="preserve">                                               </w:t>
            </w:r>
          </w:p>
          <w:p w14:paraId="52DEFCBD">
            <w:pPr>
              <w:spacing w:line="360" w:lineRule="auto"/>
              <w:rPr>
                <w:rFonts w:eastAsia="宋体" w:cs="宋体"/>
                <w:color w:val="000000"/>
                <w:sz w:val="24"/>
                <w:szCs w:val="24"/>
                <w:u w:val="single"/>
              </w:rPr>
            </w:pPr>
            <w:r>
              <w:rPr>
                <w:rFonts w:hint="eastAsia" w:eastAsia="宋体" w:cs="宋体"/>
                <w:color w:val="000000"/>
                <w:sz w:val="24"/>
                <w:szCs w:val="24"/>
              </w:rPr>
              <w:t>2.</w:t>
            </w:r>
            <w:r>
              <w:rPr>
                <w:rFonts w:hint="eastAsia" w:eastAsia="宋体" w:cs="宋体"/>
                <w:color w:val="000000"/>
                <w:sz w:val="24"/>
                <w:szCs w:val="24"/>
                <w:u w:val="single"/>
              </w:rPr>
              <w:t xml:space="preserve">                                               </w:t>
            </w:r>
          </w:p>
          <w:p w14:paraId="50EED9DF">
            <w:pPr>
              <w:spacing w:line="360" w:lineRule="auto"/>
              <w:rPr>
                <w:rFonts w:eastAsia="宋体" w:cs="宋体"/>
                <w:color w:val="000000"/>
                <w:sz w:val="24"/>
                <w:szCs w:val="24"/>
              </w:rPr>
            </w:pPr>
            <w:r>
              <w:rPr>
                <w:rFonts w:hint="eastAsia" w:eastAsia="宋体" w:cs="宋体"/>
                <w:color w:val="000000"/>
                <w:sz w:val="24"/>
                <w:szCs w:val="24"/>
              </w:rPr>
              <w:t>………………………</w:t>
            </w:r>
          </w:p>
        </w:tc>
      </w:tr>
      <w:tr w14:paraId="6242C79D">
        <w:tblPrEx>
          <w:tblCellMar>
            <w:top w:w="0" w:type="dxa"/>
            <w:left w:w="108" w:type="dxa"/>
            <w:bottom w:w="0" w:type="dxa"/>
            <w:right w:w="108" w:type="dxa"/>
          </w:tblCellMar>
        </w:tblPrEx>
        <w:trPr>
          <w:trHeight w:val="471" w:hRule="atLeast"/>
          <w:jc w:val="center"/>
        </w:trPr>
        <w:tc>
          <w:tcPr>
            <w:tcW w:w="2943" w:type="dxa"/>
            <w:gridSpan w:val="2"/>
            <w:tcBorders>
              <w:top w:val="single" w:color="000000" w:sz="4" w:space="0"/>
              <w:left w:val="single" w:color="000000" w:sz="4" w:space="0"/>
              <w:bottom w:val="single" w:color="000000" w:sz="4" w:space="0"/>
              <w:right w:val="single" w:color="000000" w:sz="4" w:space="0"/>
            </w:tcBorders>
            <w:vAlign w:val="center"/>
          </w:tcPr>
          <w:p w14:paraId="4F907C71">
            <w:pPr>
              <w:spacing w:line="360" w:lineRule="auto"/>
              <w:rPr>
                <w:rFonts w:eastAsia="宋体" w:cs="宋体"/>
                <w:color w:val="000000"/>
                <w:sz w:val="24"/>
                <w:szCs w:val="24"/>
              </w:rPr>
            </w:pPr>
            <w:r>
              <w:rPr>
                <w:rFonts w:hint="eastAsia" w:eastAsia="宋体" w:cs="宋体"/>
                <w:color w:val="000000"/>
                <w:sz w:val="24"/>
                <w:szCs w:val="24"/>
              </w:rPr>
              <w:t>从事类似相关项目的经历及年数</w:t>
            </w:r>
          </w:p>
        </w:tc>
        <w:tc>
          <w:tcPr>
            <w:tcW w:w="6521" w:type="dxa"/>
            <w:gridSpan w:val="7"/>
            <w:tcBorders>
              <w:top w:val="single" w:color="000000" w:sz="4" w:space="0"/>
              <w:left w:val="nil"/>
              <w:bottom w:val="single" w:color="000000" w:sz="4" w:space="0"/>
              <w:right w:val="single" w:color="000000" w:sz="4" w:space="0"/>
            </w:tcBorders>
          </w:tcPr>
          <w:p w14:paraId="1C780F29">
            <w:pPr>
              <w:spacing w:line="360" w:lineRule="auto"/>
              <w:rPr>
                <w:rFonts w:eastAsia="宋体" w:cs="宋体"/>
                <w:color w:val="000000"/>
                <w:sz w:val="24"/>
                <w:szCs w:val="24"/>
              </w:rPr>
            </w:pPr>
          </w:p>
        </w:tc>
      </w:tr>
      <w:tr w14:paraId="125B5455">
        <w:tblPrEx>
          <w:tblCellMar>
            <w:top w:w="0" w:type="dxa"/>
            <w:left w:w="108" w:type="dxa"/>
            <w:bottom w:w="0" w:type="dxa"/>
            <w:right w:w="108" w:type="dxa"/>
          </w:tblCellMar>
        </w:tblPrEx>
        <w:trPr>
          <w:trHeight w:val="471" w:hRule="atLeast"/>
          <w:jc w:val="center"/>
        </w:trPr>
        <w:tc>
          <w:tcPr>
            <w:tcW w:w="2943" w:type="dxa"/>
            <w:gridSpan w:val="2"/>
            <w:tcBorders>
              <w:top w:val="single" w:color="000000" w:sz="4" w:space="0"/>
              <w:left w:val="single" w:color="000000" w:sz="4" w:space="0"/>
              <w:bottom w:val="single" w:color="000000" w:sz="4" w:space="0"/>
              <w:right w:val="single" w:color="000000" w:sz="4" w:space="0"/>
            </w:tcBorders>
            <w:vAlign w:val="center"/>
          </w:tcPr>
          <w:p w14:paraId="71ED5032">
            <w:pPr>
              <w:spacing w:line="360" w:lineRule="auto"/>
              <w:rPr>
                <w:rFonts w:eastAsia="宋体" w:cs="宋体"/>
                <w:color w:val="000000"/>
                <w:sz w:val="24"/>
                <w:szCs w:val="24"/>
              </w:rPr>
            </w:pPr>
            <w:r>
              <w:rPr>
                <w:rFonts w:hint="eastAsia" w:eastAsia="宋体" w:cs="宋体"/>
                <w:color w:val="000000"/>
                <w:sz w:val="24"/>
                <w:szCs w:val="24"/>
              </w:rPr>
              <w:t>其他认为有必要提供的内容，可自行添加</w:t>
            </w:r>
          </w:p>
        </w:tc>
        <w:tc>
          <w:tcPr>
            <w:tcW w:w="6521" w:type="dxa"/>
            <w:gridSpan w:val="7"/>
            <w:tcBorders>
              <w:top w:val="single" w:color="000000" w:sz="4" w:space="0"/>
              <w:left w:val="nil"/>
              <w:bottom w:val="single" w:color="000000" w:sz="4" w:space="0"/>
              <w:right w:val="single" w:color="000000" w:sz="4" w:space="0"/>
            </w:tcBorders>
          </w:tcPr>
          <w:p w14:paraId="57FDAF51">
            <w:pPr>
              <w:spacing w:line="360" w:lineRule="auto"/>
              <w:rPr>
                <w:rFonts w:eastAsia="宋体" w:cs="宋体"/>
                <w:color w:val="000000"/>
                <w:sz w:val="24"/>
                <w:szCs w:val="24"/>
              </w:rPr>
            </w:pPr>
          </w:p>
        </w:tc>
      </w:tr>
    </w:tbl>
    <w:p w14:paraId="462360EB">
      <w:pPr>
        <w:spacing w:line="360" w:lineRule="auto"/>
        <w:ind w:firstLine="480"/>
        <w:jc w:val="right"/>
        <w:rPr>
          <w:rFonts w:eastAsia="宋体" w:cs="宋体"/>
          <w:color w:val="000000"/>
          <w:sz w:val="24"/>
          <w:szCs w:val="24"/>
        </w:rPr>
      </w:pPr>
    </w:p>
    <w:p w14:paraId="72B7B982">
      <w:pPr>
        <w:snapToGrid w:val="0"/>
        <w:spacing w:line="360" w:lineRule="auto"/>
        <w:jc w:val="right"/>
        <w:outlineLvl w:val="4"/>
        <w:rPr>
          <w:rFonts w:ascii="宋体" w:hAnsi="宋体" w:eastAsia="宋体" w:cs="宋体"/>
          <w:bCs/>
          <w:sz w:val="24"/>
        </w:rPr>
      </w:pPr>
      <w:r>
        <w:rPr>
          <w:rFonts w:hint="eastAsia" w:ascii="宋体" w:hAnsi="宋体" w:eastAsia="宋体" w:cs="宋体"/>
          <w:bCs/>
          <w:sz w:val="24"/>
        </w:rPr>
        <w:t xml:space="preserve">投标人（加盖CA电子签章）： </w:t>
      </w:r>
    </w:p>
    <w:p w14:paraId="1A0AB596">
      <w:pPr>
        <w:snapToGrid w:val="0"/>
        <w:spacing w:line="360" w:lineRule="auto"/>
        <w:jc w:val="right"/>
        <w:outlineLvl w:val="4"/>
        <w:rPr>
          <w:rFonts w:ascii="宋体" w:hAnsi="宋体" w:eastAsia="宋体" w:cs="宋体"/>
          <w:bCs/>
          <w:sz w:val="24"/>
        </w:rPr>
      </w:pPr>
      <w:r>
        <w:rPr>
          <w:rFonts w:hint="eastAsia" w:ascii="宋体" w:hAnsi="宋体" w:eastAsia="宋体" w:cs="宋体"/>
          <w:bCs/>
          <w:sz w:val="24"/>
        </w:rPr>
        <w:t xml:space="preserve">法定代表人或被授权人（签字或加盖CA电子签章）： </w:t>
      </w:r>
    </w:p>
    <w:p w14:paraId="052E108F">
      <w:pPr>
        <w:spacing w:line="360" w:lineRule="auto"/>
        <w:ind w:firstLine="480"/>
        <w:jc w:val="right"/>
        <w:rPr>
          <w:rFonts w:eastAsia="宋体" w:cs="宋体"/>
          <w:color w:val="000000"/>
          <w:sz w:val="24"/>
          <w:szCs w:val="24"/>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027B5D92">
      <w:pPr>
        <w:rPr>
          <w:rFonts w:eastAsia="宋体" w:cs="宋体"/>
          <w:b/>
          <w:bCs/>
          <w:color w:val="000000"/>
          <w:sz w:val="28"/>
          <w:szCs w:val="28"/>
        </w:rPr>
      </w:pPr>
    </w:p>
    <w:p w14:paraId="0E70B814">
      <w:pPr>
        <w:rPr>
          <w:rFonts w:eastAsia="宋体" w:cs="宋体"/>
          <w:b/>
          <w:bCs/>
          <w:color w:val="000000"/>
          <w:sz w:val="28"/>
          <w:szCs w:val="28"/>
        </w:rPr>
      </w:pPr>
      <w:r>
        <w:rPr>
          <w:rFonts w:hint="eastAsia" w:eastAsia="宋体" w:cs="宋体"/>
          <w:b/>
          <w:bCs/>
          <w:color w:val="000000"/>
          <w:sz w:val="28"/>
          <w:szCs w:val="28"/>
        </w:rPr>
        <w:br w:type="page"/>
      </w:r>
    </w:p>
    <w:p w14:paraId="7B0E0E66">
      <w:pPr>
        <w:numPr>
          <w:ilvl w:val="0"/>
          <w:numId w:val="0"/>
        </w:numPr>
        <w:spacing w:line="360" w:lineRule="auto"/>
        <w:jc w:val="center"/>
        <w:outlineLvl w:val="3"/>
        <w:rPr>
          <w:rFonts w:hint="eastAsia" w:eastAsia="宋体" w:cs="宋体"/>
          <w:b/>
          <w:bCs/>
          <w:color w:val="000000"/>
          <w:sz w:val="28"/>
          <w:szCs w:val="28"/>
        </w:rPr>
      </w:pPr>
      <w:r>
        <w:rPr>
          <w:rFonts w:hint="eastAsia" w:ascii="Times New Roman" w:hAnsi="Times New Roman" w:eastAsia="宋体" w:cs="宋体"/>
          <w:b/>
          <w:bCs/>
          <w:color w:val="000000"/>
          <w:sz w:val="28"/>
          <w:szCs w:val="28"/>
          <w:lang w:val="en-US" w:eastAsia="zh-CN" w:bidi="ar-SA"/>
        </w:rPr>
        <w:t>5.</w:t>
      </w:r>
      <w:r>
        <w:rPr>
          <w:rFonts w:hint="eastAsia" w:eastAsia="宋体" w:cs="宋体"/>
          <w:b/>
          <w:bCs/>
          <w:color w:val="000000"/>
          <w:sz w:val="28"/>
          <w:szCs w:val="28"/>
        </w:rPr>
        <w:t>投标人符合《中华人民共和国政府采购法》第二十二条规定条件</w:t>
      </w:r>
    </w:p>
    <w:p w14:paraId="2A170324">
      <w:pPr>
        <w:numPr>
          <w:ilvl w:val="0"/>
          <w:numId w:val="0"/>
        </w:numPr>
        <w:spacing w:line="360" w:lineRule="auto"/>
        <w:jc w:val="center"/>
        <w:outlineLvl w:val="3"/>
        <w:rPr>
          <w:rFonts w:eastAsia="宋体" w:cs="宋体"/>
          <w:b/>
          <w:bCs/>
          <w:color w:val="000000"/>
          <w:sz w:val="28"/>
          <w:szCs w:val="28"/>
        </w:rPr>
      </w:pPr>
      <w:r>
        <w:rPr>
          <w:rFonts w:hint="eastAsia" w:eastAsia="宋体" w:cs="宋体"/>
          <w:b/>
          <w:bCs/>
          <w:color w:val="000000"/>
          <w:sz w:val="28"/>
          <w:szCs w:val="28"/>
        </w:rPr>
        <w:t>的声明函</w:t>
      </w:r>
    </w:p>
    <w:p w14:paraId="0121ECDA">
      <w:pPr>
        <w:spacing w:line="360" w:lineRule="auto"/>
        <w:rPr>
          <w:rFonts w:eastAsia="宋体" w:cs="宋体"/>
          <w:color w:val="000000"/>
          <w:sz w:val="24"/>
          <w:szCs w:val="21"/>
          <w:u w:val="single"/>
        </w:rPr>
      </w:pPr>
    </w:p>
    <w:p w14:paraId="0553DBE4">
      <w:pPr>
        <w:spacing w:line="360" w:lineRule="auto"/>
        <w:ind w:firstLine="480"/>
        <w:rPr>
          <w:rFonts w:eastAsia="宋体" w:cs="宋体"/>
          <w:b/>
          <w:bCs/>
          <w:color w:val="000000"/>
          <w:sz w:val="24"/>
          <w:szCs w:val="21"/>
        </w:rPr>
      </w:pPr>
      <w:r>
        <w:rPr>
          <w:rFonts w:hint="eastAsia" w:eastAsia="宋体" w:cs="宋体"/>
          <w:bCs/>
          <w:color w:val="000000"/>
          <w:sz w:val="24"/>
          <w:szCs w:val="21"/>
        </w:rPr>
        <w:t>我单位参加</w:t>
      </w:r>
      <w:r>
        <w:rPr>
          <w:rFonts w:hint="eastAsia" w:eastAsia="宋体" w:cs="宋体"/>
          <w:bCs/>
          <w:color w:val="000000"/>
          <w:sz w:val="24"/>
          <w:szCs w:val="21"/>
          <w:u w:val="single"/>
        </w:rPr>
        <w:t xml:space="preserve">                   </w:t>
      </w:r>
      <w:r>
        <w:rPr>
          <w:rFonts w:hint="eastAsia" w:eastAsia="宋体" w:cs="宋体"/>
          <w:bCs/>
          <w:color w:val="000000"/>
          <w:sz w:val="24"/>
          <w:szCs w:val="21"/>
        </w:rPr>
        <w:t>（项目名称），</w:t>
      </w:r>
      <w:r>
        <w:rPr>
          <w:rFonts w:hint="eastAsia" w:eastAsia="宋体" w:cs="宋体"/>
          <w:bCs/>
          <w:color w:val="000000"/>
          <w:sz w:val="24"/>
          <w:szCs w:val="21"/>
          <w:u w:val="single"/>
        </w:rPr>
        <w:t xml:space="preserve">               </w:t>
      </w:r>
      <w:r>
        <w:rPr>
          <w:rFonts w:hint="eastAsia" w:eastAsia="宋体" w:cs="宋体"/>
          <w:bCs/>
          <w:color w:val="000000"/>
          <w:sz w:val="24"/>
          <w:szCs w:val="21"/>
        </w:rPr>
        <w:t>（项目编号）投标活动。针对《中华人民共和国政府采购法》第二十二条规定做出如下声明：</w:t>
      </w:r>
    </w:p>
    <w:p w14:paraId="6BC58A86">
      <w:pPr>
        <w:spacing w:line="360" w:lineRule="auto"/>
        <w:ind w:firstLine="480"/>
        <w:rPr>
          <w:rFonts w:eastAsia="宋体" w:cs="宋体"/>
          <w:color w:val="000000"/>
          <w:sz w:val="24"/>
          <w:szCs w:val="21"/>
        </w:rPr>
      </w:pPr>
      <w:r>
        <w:rPr>
          <w:rFonts w:hint="eastAsia" w:eastAsia="宋体" w:cs="宋体"/>
          <w:bCs/>
          <w:color w:val="000000"/>
          <w:sz w:val="24"/>
          <w:szCs w:val="21"/>
        </w:rPr>
        <w:t>1.我单位具有独立承担民事责任的能力；</w:t>
      </w:r>
    </w:p>
    <w:p w14:paraId="4965AFCE">
      <w:pPr>
        <w:spacing w:line="360" w:lineRule="auto"/>
        <w:ind w:firstLine="480"/>
        <w:rPr>
          <w:rFonts w:eastAsia="宋体" w:cs="宋体"/>
          <w:color w:val="000000"/>
          <w:sz w:val="24"/>
          <w:szCs w:val="21"/>
        </w:rPr>
      </w:pPr>
      <w:r>
        <w:rPr>
          <w:rFonts w:hint="eastAsia" w:eastAsia="宋体" w:cs="宋体"/>
          <w:color w:val="000000"/>
          <w:sz w:val="24"/>
          <w:szCs w:val="21"/>
        </w:rPr>
        <w:t>2.我单位具有良好的商业信誉和健全的财务会计制度；</w:t>
      </w:r>
    </w:p>
    <w:p w14:paraId="2168AA11">
      <w:pPr>
        <w:spacing w:line="360" w:lineRule="auto"/>
        <w:ind w:firstLine="480"/>
        <w:rPr>
          <w:rFonts w:eastAsia="宋体" w:cs="宋体"/>
          <w:color w:val="000000"/>
          <w:sz w:val="24"/>
          <w:szCs w:val="21"/>
        </w:rPr>
      </w:pPr>
      <w:r>
        <w:rPr>
          <w:rFonts w:hint="eastAsia" w:eastAsia="宋体" w:cs="宋体"/>
          <w:color w:val="000000"/>
          <w:sz w:val="24"/>
          <w:szCs w:val="21"/>
        </w:rPr>
        <w:t>3.我单位具有履行合同所必需的设备和专业技术能力；</w:t>
      </w:r>
    </w:p>
    <w:p w14:paraId="284BB6D5">
      <w:pPr>
        <w:spacing w:line="360" w:lineRule="auto"/>
        <w:ind w:firstLine="480"/>
        <w:rPr>
          <w:rFonts w:eastAsia="宋体" w:cs="宋体"/>
          <w:color w:val="000000"/>
          <w:sz w:val="24"/>
          <w:szCs w:val="21"/>
        </w:rPr>
      </w:pPr>
      <w:r>
        <w:rPr>
          <w:rFonts w:hint="eastAsia" w:eastAsia="宋体" w:cs="宋体"/>
          <w:color w:val="000000"/>
          <w:sz w:val="24"/>
          <w:szCs w:val="21"/>
        </w:rPr>
        <w:t>4.我单位有依法缴纳税收和社会保障资金的良好记录；</w:t>
      </w:r>
    </w:p>
    <w:p w14:paraId="483EF4EF">
      <w:pPr>
        <w:spacing w:line="360" w:lineRule="auto"/>
        <w:ind w:firstLine="480"/>
        <w:rPr>
          <w:rFonts w:eastAsia="宋体" w:cs="宋体"/>
          <w:color w:val="000000"/>
          <w:sz w:val="24"/>
          <w:szCs w:val="21"/>
        </w:rPr>
      </w:pPr>
      <w:r>
        <w:rPr>
          <w:rFonts w:hint="eastAsia" w:eastAsia="宋体" w:cs="宋体"/>
          <w:color w:val="000000"/>
          <w:sz w:val="24"/>
          <w:szCs w:val="21"/>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6DAB82C7">
      <w:pPr>
        <w:spacing w:line="360" w:lineRule="auto"/>
        <w:ind w:firstLine="480"/>
        <w:rPr>
          <w:rFonts w:eastAsia="宋体" w:cs="宋体"/>
          <w:bCs/>
          <w:color w:val="000000"/>
          <w:sz w:val="24"/>
          <w:szCs w:val="21"/>
        </w:rPr>
      </w:pPr>
      <w:r>
        <w:rPr>
          <w:rFonts w:hint="eastAsia" w:eastAsia="宋体" w:cs="宋体"/>
          <w:color w:val="000000"/>
          <w:sz w:val="24"/>
          <w:szCs w:val="21"/>
        </w:rPr>
        <w:t>6.我单位满足法律、行政法规规定的其他条件。</w:t>
      </w:r>
    </w:p>
    <w:p w14:paraId="78B3CF65">
      <w:pPr>
        <w:pStyle w:val="19"/>
        <w:spacing w:line="360" w:lineRule="auto"/>
        <w:ind w:firstLine="560"/>
        <w:rPr>
          <w:rFonts w:ascii="Times New Roman" w:eastAsia="宋体" w:cs="宋体"/>
          <w:color w:val="000000"/>
        </w:rPr>
      </w:pPr>
    </w:p>
    <w:p w14:paraId="5EFCD951">
      <w:pPr>
        <w:snapToGrid w:val="0"/>
        <w:spacing w:line="360" w:lineRule="auto"/>
        <w:jc w:val="center"/>
        <w:outlineLvl w:val="4"/>
        <w:rPr>
          <w:rFonts w:ascii="宋体" w:hAnsi="宋体" w:eastAsia="宋体" w:cs="宋体"/>
          <w:bCs/>
          <w:sz w:val="24"/>
        </w:rPr>
      </w:pPr>
      <w:r>
        <w:rPr>
          <w:rFonts w:hint="eastAsia" w:ascii="宋体" w:hAnsi="宋体" w:eastAsia="宋体" w:cs="宋体"/>
          <w:bCs/>
          <w:sz w:val="24"/>
        </w:rPr>
        <w:t xml:space="preserve"> 投标人（加盖CA电子签章）： </w:t>
      </w:r>
    </w:p>
    <w:p w14:paraId="0761AB6D">
      <w:pPr>
        <w:spacing w:line="360" w:lineRule="auto"/>
        <w:ind w:firstLine="566"/>
        <w:rPr>
          <w:rFonts w:ascii="宋体" w:hAnsi="宋体" w:eastAsia="宋体" w:cs="宋体"/>
          <w:bCs/>
          <w:sz w:val="24"/>
        </w:rPr>
      </w:pPr>
      <w:r>
        <w:rPr>
          <w:rFonts w:hint="eastAsia" w:ascii="宋体" w:hAnsi="宋体" w:eastAsia="宋体" w:cs="宋体"/>
          <w:bCs/>
          <w:sz w:val="24"/>
        </w:rPr>
        <w:t xml:space="preserve">                   法定代表人或被授权人（签字或加盖CA电子签章）： </w:t>
      </w:r>
    </w:p>
    <w:p w14:paraId="511CB9C5">
      <w:pPr>
        <w:spacing w:line="360" w:lineRule="auto"/>
        <w:ind w:firstLine="2920" w:firstLineChars="1217"/>
        <w:rPr>
          <w:rFonts w:eastAsia="宋体" w:cs="宋体"/>
          <w:color w:val="000000"/>
          <w:sz w:val="24"/>
          <w:szCs w:val="24"/>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7E345BFD">
      <w:pPr>
        <w:pStyle w:val="19"/>
        <w:spacing w:line="360" w:lineRule="auto"/>
        <w:ind w:firstLine="560"/>
        <w:rPr>
          <w:rFonts w:ascii="Times New Roman" w:eastAsia="宋体" w:cs="宋体"/>
          <w:color w:val="000000"/>
        </w:rPr>
      </w:pPr>
    </w:p>
    <w:p w14:paraId="67133ACC">
      <w:pPr>
        <w:spacing w:line="360" w:lineRule="auto"/>
        <w:jc w:val="center"/>
        <w:outlineLvl w:val="3"/>
        <w:rPr>
          <w:rFonts w:eastAsia="宋体" w:cs="宋体"/>
          <w:b/>
          <w:bCs/>
          <w:color w:val="000000"/>
          <w:sz w:val="28"/>
          <w:szCs w:val="28"/>
        </w:rPr>
      </w:pPr>
      <w:r>
        <w:rPr>
          <w:rFonts w:hint="eastAsia" w:eastAsia="宋体" w:cs="宋体"/>
          <w:color w:val="000000"/>
          <w:sz w:val="24"/>
          <w:szCs w:val="21"/>
        </w:rPr>
        <w:br w:type="page" w:clear="all"/>
      </w:r>
      <w:r>
        <w:rPr>
          <w:rFonts w:hint="eastAsia" w:eastAsia="宋体" w:cs="宋体"/>
          <w:b/>
          <w:bCs/>
          <w:color w:val="000000"/>
          <w:sz w:val="28"/>
          <w:szCs w:val="28"/>
        </w:rPr>
        <w:t>6.法定代表人身份证明</w:t>
      </w:r>
    </w:p>
    <w:p w14:paraId="41D82A39">
      <w:pPr>
        <w:spacing w:line="360" w:lineRule="auto"/>
        <w:jc w:val="center"/>
        <w:rPr>
          <w:rFonts w:eastAsia="宋体" w:cs="宋体"/>
          <w:color w:val="000000"/>
          <w:sz w:val="24"/>
          <w:szCs w:val="21"/>
          <w:u w:val="single"/>
        </w:rPr>
      </w:pPr>
      <w:r>
        <w:rPr>
          <w:rFonts w:hint="eastAsia" w:eastAsia="宋体" w:cs="宋体"/>
          <w:color w:val="000000"/>
          <w:sz w:val="24"/>
          <w:szCs w:val="21"/>
          <w:u w:val="single"/>
        </w:rPr>
        <w:t>（法定代表人参加投标时，须出示此证明）</w:t>
      </w:r>
    </w:p>
    <w:p w14:paraId="633AE5AC">
      <w:pPr>
        <w:spacing w:line="360" w:lineRule="auto"/>
        <w:jc w:val="center"/>
        <w:rPr>
          <w:rFonts w:eastAsia="宋体" w:cs="宋体"/>
          <w:color w:val="000000"/>
          <w:sz w:val="24"/>
          <w:szCs w:val="21"/>
        </w:rPr>
      </w:pPr>
    </w:p>
    <w:p w14:paraId="1CA0BAF0">
      <w:pPr>
        <w:spacing w:line="360" w:lineRule="auto"/>
        <w:rPr>
          <w:rFonts w:ascii="宋体" w:hAnsi="宋体" w:cs="宋体"/>
          <w:sz w:val="24"/>
        </w:rPr>
      </w:pPr>
    </w:p>
    <w:p w14:paraId="0A76E2D8">
      <w:pPr>
        <w:spacing w:line="360" w:lineRule="auto"/>
        <w:ind w:firstLine="480"/>
        <w:rPr>
          <w:rFonts w:ascii="宋体" w:hAnsi="宋体" w:cs="宋体"/>
          <w:sz w:val="24"/>
        </w:rPr>
      </w:pPr>
      <w:r>
        <w:rPr>
          <w:rFonts w:hint="eastAsia" w:ascii="宋体" w:hAnsi="宋体" w:eastAsia="宋体" w:cs="宋体"/>
          <w:sz w:val="24"/>
          <w:u w:val="single"/>
        </w:rPr>
        <w:t xml:space="preserve">        </w:t>
      </w:r>
      <w:r>
        <w:rPr>
          <w:rFonts w:hint="eastAsia" w:ascii="宋体" w:hAnsi="宋体" w:eastAsia="宋体" w:cs="宋体"/>
          <w:sz w:val="24"/>
        </w:rPr>
        <w:t>先生/女士： 现任我单位</w:t>
      </w:r>
      <w:r>
        <w:rPr>
          <w:rFonts w:hint="eastAsia" w:ascii="宋体" w:hAnsi="宋体" w:eastAsia="宋体" w:cs="宋体"/>
          <w:sz w:val="24"/>
          <w:u w:val="single"/>
        </w:rPr>
        <w:t xml:space="preserve">        </w:t>
      </w:r>
      <w:r>
        <w:rPr>
          <w:rFonts w:hint="eastAsia" w:ascii="宋体" w:hAnsi="宋体" w:eastAsia="宋体" w:cs="宋体"/>
          <w:sz w:val="24"/>
        </w:rPr>
        <w:t>职务，为法定代表人，特此证明。</w:t>
      </w:r>
    </w:p>
    <w:p w14:paraId="25578BCA">
      <w:pPr>
        <w:spacing w:line="360" w:lineRule="auto"/>
        <w:rPr>
          <w:rFonts w:eastAsia="宋体" w:cs="宋体"/>
          <w:color w:val="000000"/>
          <w:sz w:val="24"/>
          <w:szCs w:val="21"/>
        </w:rPr>
      </w:pPr>
    </w:p>
    <w:p w14:paraId="5022EE4D">
      <w:pPr>
        <w:spacing w:line="360" w:lineRule="auto"/>
        <w:ind w:firstLine="480"/>
        <w:rPr>
          <w:rFonts w:eastAsia="宋体" w:cs="宋体"/>
          <w:color w:val="000000"/>
          <w:sz w:val="24"/>
          <w:szCs w:val="21"/>
        </w:rPr>
      </w:pPr>
      <w:r>
        <w:rPr>
          <w:rFonts w:hint="eastAsia" w:eastAsia="宋体" w:cs="宋体"/>
          <w:color w:val="000000"/>
          <w:sz w:val="24"/>
          <w:szCs w:val="21"/>
        </w:rPr>
        <w:t>附：法定代表人情况：</w:t>
      </w:r>
    </w:p>
    <w:p w14:paraId="1DEE803A">
      <w:pPr>
        <w:spacing w:line="360" w:lineRule="auto"/>
        <w:ind w:firstLine="480"/>
        <w:rPr>
          <w:rFonts w:eastAsia="宋体" w:cs="宋体"/>
          <w:color w:val="000000"/>
          <w:sz w:val="24"/>
          <w:szCs w:val="21"/>
          <w:u w:val="single"/>
        </w:rPr>
      </w:pPr>
      <w:r>
        <w:rPr>
          <w:rFonts w:hint="eastAsia" w:eastAsia="宋体" w:cs="宋体"/>
          <w:color w:val="000000"/>
          <w:sz w:val="24"/>
          <w:szCs w:val="21"/>
        </w:rPr>
        <w:t>姓名：</w:t>
      </w:r>
      <w:r>
        <w:rPr>
          <w:rFonts w:hint="eastAsia" w:eastAsia="宋体" w:cs="宋体"/>
          <w:color w:val="000000"/>
          <w:sz w:val="24"/>
          <w:szCs w:val="21"/>
          <w:u w:val="single"/>
        </w:rPr>
        <w:t xml:space="preserve">         </w:t>
      </w:r>
      <w:r>
        <w:rPr>
          <w:rFonts w:hint="eastAsia" w:eastAsia="宋体" w:cs="宋体"/>
          <w:color w:val="000000"/>
          <w:sz w:val="24"/>
          <w:szCs w:val="21"/>
        </w:rPr>
        <w:t>性别：</w:t>
      </w:r>
      <w:r>
        <w:rPr>
          <w:rFonts w:hint="eastAsia" w:eastAsia="宋体" w:cs="宋体"/>
          <w:color w:val="000000"/>
          <w:sz w:val="24"/>
          <w:szCs w:val="21"/>
          <w:u w:val="single"/>
        </w:rPr>
        <w:t xml:space="preserve">    </w:t>
      </w:r>
      <w:r>
        <w:rPr>
          <w:rFonts w:hint="eastAsia" w:eastAsia="宋体" w:cs="宋体"/>
          <w:color w:val="000000"/>
          <w:sz w:val="24"/>
          <w:szCs w:val="21"/>
        </w:rPr>
        <w:t>年龄：</w:t>
      </w:r>
      <w:r>
        <w:rPr>
          <w:rFonts w:hint="eastAsia" w:eastAsia="宋体" w:cs="宋体"/>
          <w:color w:val="000000"/>
          <w:sz w:val="24"/>
          <w:szCs w:val="21"/>
          <w:u w:val="single"/>
        </w:rPr>
        <w:t xml:space="preserve">      </w:t>
      </w:r>
      <w:r>
        <w:rPr>
          <w:rFonts w:hint="eastAsia" w:eastAsia="宋体" w:cs="宋体"/>
          <w:color w:val="000000"/>
          <w:sz w:val="24"/>
          <w:szCs w:val="21"/>
        </w:rPr>
        <w:t>职务：</w:t>
      </w:r>
      <w:r>
        <w:rPr>
          <w:rFonts w:hint="eastAsia" w:eastAsia="宋体" w:cs="宋体"/>
          <w:color w:val="000000"/>
          <w:sz w:val="24"/>
          <w:szCs w:val="21"/>
          <w:u w:val="single"/>
        </w:rPr>
        <w:t xml:space="preserve">          </w:t>
      </w:r>
    </w:p>
    <w:p w14:paraId="4D80DF35">
      <w:pPr>
        <w:spacing w:line="360" w:lineRule="auto"/>
        <w:ind w:firstLine="480"/>
        <w:rPr>
          <w:rFonts w:eastAsia="宋体" w:cs="宋体"/>
          <w:color w:val="000000"/>
          <w:sz w:val="24"/>
          <w:szCs w:val="21"/>
        </w:rPr>
      </w:pPr>
      <w:r>
        <w:rPr>
          <w:rFonts w:hint="eastAsia" w:eastAsia="宋体" w:cs="宋体"/>
          <w:color w:val="000000"/>
          <w:sz w:val="24"/>
          <w:szCs w:val="21"/>
        </w:rPr>
        <w:t>身份证号码：</w:t>
      </w:r>
      <w:r>
        <w:rPr>
          <w:rFonts w:hint="eastAsia" w:eastAsia="宋体" w:cs="宋体"/>
          <w:color w:val="000000"/>
          <w:sz w:val="24"/>
          <w:szCs w:val="21"/>
          <w:u w:val="single"/>
        </w:rPr>
        <w:t xml:space="preserve">                                         </w:t>
      </w:r>
    </w:p>
    <w:p w14:paraId="3AEEB63C">
      <w:pPr>
        <w:spacing w:line="360" w:lineRule="auto"/>
        <w:ind w:firstLine="480"/>
        <w:rPr>
          <w:rFonts w:eastAsia="宋体" w:cs="宋体"/>
          <w:color w:val="000000"/>
          <w:sz w:val="24"/>
          <w:szCs w:val="21"/>
        </w:rPr>
      </w:pPr>
      <w:r>
        <w:rPr>
          <w:rFonts w:hint="eastAsia" w:eastAsia="宋体" w:cs="宋体"/>
          <w:color w:val="000000"/>
          <w:sz w:val="24"/>
          <w:szCs w:val="21"/>
        </w:rPr>
        <w:t>手机：</w:t>
      </w:r>
      <w:r>
        <w:rPr>
          <w:rFonts w:hint="eastAsia" w:eastAsia="宋体" w:cs="宋体"/>
          <w:color w:val="000000"/>
          <w:sz w:val="24"/>
          <w:szCs w:val="21"/>
          <w:u w:val="single"/>
        </w:rPr>
        <w:t xml:space="preserve">                  </w:t>
      </w:r>
      <w:r>
        <w:rPr>
          <w:rFonts w:hint="eastAsia" w:eastAsia="宋体" w:cs="宋体"/>
          <w:color w:val="000000"/>
          <w:sz w:val="24"/>
          <w:szCs w:val="21"/>
        </w:rPr>
        <w:t>传真：</w:t>
      </w:r>
      <w:r>
        <w:rPr>
          <w:rFonts w:hint="eastAsia" w:eastAsia="宋体" w:cs="宋体"/>
          <w:color w:val="000000"/>
          <w:sz w:val="24"/>
          <w:szCs w:val="21"/>
          <w:u w:val="single"/>
        </w:rPr>
        <w:t xml:space="preserve">                       </w:t>
      </w:r>
    </w:p>
    <w:p w14:paraId="0DBAAAAB">
      <w:pPr>
        <w:spacing w:line="360" w:lineRule="auto"/>
        <w:rPr>
          <w:rFonts w:eastAsia="宋体" w:cs="宋体"/>
          <w:b/>
          <w:bCs/>
          <w:color w:val="000000"/>
          <w:sz w:val="24"/>
          <w:szCs w:val="21"/>
        </w:rPr>
      </w:pPr>
    </w:p>
    <w:p w14:paraId="18DFDE9A">
      <w:pPr>
        <w:spacing w:line="360" w:lineRule="auto"/>
        <w:rPr>
          <w:rFonts w:eastAsia="宋体" w:cs="宋体"/>
          <w:color w:val="000000"/>
          <w:sz w:val="24"/>
          <w:szCs w:val="21"/>
        </w:rPr>
      </w:pPr>
      <w:r>
        <w:rPr>
          <w:rFonts w:hint="eastAsia" w:eastAsia="宋体" w:cs="宋体"/>
          <w:b/>
          <w:bCs/>
          <w:color w:val="000000"/>
          <w:sz w:val="24"/>
          <w:szCs w:val="21"/>
        </w:rPr>
        <w:t> 注：提供法定代表人的身份证复印件盖公章</w:t>
      </w:r>
    </w:p>
    <w:p w14:paraId="00734A5B">
      <w:pPr>
        <w:spacing w:line="360" w:lineRule="auto"/>
        <w:rPr>
          <w:rFonts w:eastAsia="宋体" w:cs="宋体"/>
          <w:color w:val="000000"/>
          <w:sz w:val="24"/>
          <w:szCs w:val="21"/>
        </w:rPr>
      </w:pPr>
    </w:p>
    <w:p w14:paraId="389A496F">
      <w:pPr>
        <w:spacing w:line="360" w:lineRule="auto"/>
        <w:ind w:firstLine="2920" w:firstLineChars="1217"/>
        <w:rPr>
          <w:rFonts w:ascii="宋体" w:hAnsi="宋体" w:eastAsia="宋体" w:cs="宋体"/>
          <w:bCs/>
          <w:sz w:val="24"/>
        </w:rPr>
      </w:pPr>
    </w:p>
    <w:p w14:paraId="27AD197E">
      <w:pPr>
        <w:spacing w:line="360" w:lineRule="auto"/>
        <w:ind w:firstLine="2920" w:firstLineChars="1217"/>
        <w:rPr>
          <w:rFonts w:ascii="宋体" w:hAnsi="宋体" w:eastAsia="宋体" w:cs="宋体"/>
          <w:bCs/>
          <w:sz w:val="24"/>
        </w:rPr>
      </w:pPr>
      <w:r>
        <w:rPr>
          <w:rFonts w:hint="eastAsia" w:ascii="宋体" w:hAnsi="宋体" w:eastAsia="宋体" w:cs="宋体"/>
          <w:bCs/>
          <w:sz w:val="24"/>
        </w:rPr>
        <w:t>投标人（加盖CA电子签章）：</w:t>
      </w:r>
    </w:p>
    <w:p w14:paraId="31E54604">
      <w:pPr>
        <w:spacing w:line="360" w:lineRule="auto"/>
        <w:ind w:firstLine="2920" w:firstLineChars="1217"/>
        <w:rPr>
          <w:rFonts w:ascii="宋体" w:hAnsi="宋体" w:eastAsia="宋体" w:cs="宋体"/>
          <w:bCs/>
          <w:sz w:val="24"/>
        </w:rPr>
      </w:pPr>
      <w:r>
        <w:rPr>
          <w:rFonts w:hint="eastAsia" w:eastAsia="宋体" w:cs="宋体"/>
          <w:color w:val="000000"/>
          <w:sz w:val="24"/>
          <w:szCs w:val="21"/>
        </w:rPr>
        <w:t>法定代表人（签字或加盖CA电子签章）</w:t>
      </w:r>
    </w:p>
    <w:p w14:paraId="39D94246">
      <w:pPr>
        <w:spacing w:line="360" w:lineRule="auto"/>
        <w:ind w:firstLine="2920" w:firstLineChars="1217"/>
        <w:rPr>
          <w:rFonts w:eastAsia="宋体" w:cs="宋体"/>
          <w:color w:val="000000"/>
          <w:sz w:val="24"/>
          <w:szCs w:val="24"/>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1471EFD7">
      <w:pPr>
        <w:spacing w:line="360" w:lineRule="auto"/>
        <w:rPr>
          <w:rFonts w:eastAsia="宋体" w:cs="宋体"/>
          <w:color w:val="000000"/>
          <w:sz w:val="24"/>
          <w:szCs w:val="21"/>
        </w:rPr>
      </w:pPr>
      <w:r>
        <w:rPr>
          <w:rFonts w:hint="eastAsia" w:eastAsia="宋体" w:cs="宋体"/>
          <w:color w:val="000000"/>
          <w:sz w:val="24"/>
          <w:szCs w:val="21"/>
        </w:rPr>
        <w:t xml:space="preserve">         </w:t>
      </w:r>
    </w:p>
    <w:p w14:paraId="490E2800">
      <w:pPr>
        <w:spacing w:line="360" w:lineRule="auto"/>
        <w:rPr>
          <w:rFonts w:eastAsia="宋体" w:cs="宋体"/>
          <w:color w:val="000000"/>
          <w:sz w:val="24"/>
          <w:szCs w:val="21"/>
        </w:rPr>
      </w:pPr>
    </w:p>
    <w:p w14:paraId="7A26017B">
      <w:pPr>
        <w:spacing w:line="360" w:lineRule="auto"/>
        <w:ind w:firstLine="720" w:firstLineChars="300"/>
        <w:rPr>
          <w:rFonts w:eastAsia="宋体" w:cs="宋体"/>
          <w:color w:val="000000"/>
          <w:sz w:val="24"/>
          <w:szCs w:val="21"/>
        </w:rPr>
      </w:pPr>
    </w:p>
    <w:p w14:paraId="43D70F97">
      <w:pPr>
        <w:spacing w:line="360" w:lineRule="auto"/>
        <w:ind w:firstLine="720" w:firstLineChars="300"/>
        <w:rPr>
          <w:rFonts w:eastAsia="宋体" w:cs="宋体"/>
          <w:color w:val="000000"/>
          <w:sz w:val="24"/>
          <w:szCs w:val="21"/>
        </w:rPr>
      </w:pPr>
      <w:r>
        <w:rPr>
          <w:rFonts w:hint="eastAsia" w:eastAsia="宋体" w:cs="宋体"/>
          <w:color w:val="000000"/>
          <w:sz w:val="24"/>
          <w:szCs w:val="21"/>
        </w:rPr>
        <w:t xml:space="preserve"> </w:t>
      </w:r>
    </w:p>
    <w:p w14:paraId="0C7BB184">
      <w:pPr>
        <w:spacing w:line="360" w:lineRule="auto"/>
        <w:rPr>
          <w:rFonts w:eastAsia="宋体" w:cs="宋体"/>
          <w:color w:val="000000"/>
          <w:sz w:val="24"/>
          <w:szCs w:val="21"/>
        </w:rPr>
      </w:pPr>
    </w:p>
    <w:p w14:paraId="37A86090">
      <w:pPr>
        <w:spacing w:line="360" w:lineRule="auto"/>
        <w:ind w:firstLine="480"/>
        <w:rPr>
          <w:rFonts w:eastAsia="宋体" w:cs="宋体"/>
          <w:color w:val="000000"/>
          <w:sz w:val="24"/>
          <w:szCs w:val="21"/>
        </w:rPr>
      </w:pPr>
    </w:p>
    <w:p w14:paraId="66155FFB">
      <w:pPr>
        <w:spacing w:line="360" w:lineRule="auto"/>
        <w:ind w:firstLine="482"/>
        <w:rPr>
          <w:rFonts w:eastAsia="宋体" w:cs="宋体"/>
          <w:b/>
          <w:bCs/>
          <w:color w:val="000000"/>
          <w:sz w:val="24"/>
          <w:szCs w:val="21"/>
        </w:rPr>
      </w:pPr>
    </w:p>
    <w:p w14:paraId="3FA6E91F">
      <w:pPr>
        <w:spacing w:line="360" w:lineRule="auto"/>
        <w:jc w:val="center"/>
        <w:outlineLvl w:val="3"/>
        <w:rPr>
          <w:rFonts w:eastAsia="宋体" w:cs="宋体"/>
          <w:b/>
          <w:bCs/>
          <w:color w:val="000000"/>
          <w:sz w:val="28"/>
          <w:szCs w:val="28"/>
        </w:rPr>
      </w:pPr>
      <w:r>
        <w:rPr>
          <w:rFonts w:hint="eastAsia" w:eastAsia="宋体" w:cs="宋体"/>
          <w:b/>
          <w:bCs/>
          <w:color w:val="000000"/>
          <w:sz w:val="24"/>
          <w:szCs w:val="21"/>
        </w:rPr>
        <w:br w:type="page" w:clear="all"/>
      </w:r>
      <w:r>
        <w:rPr>
          <w:rFonts w:hint="eastAsia" w:eastAsia="宋体" w:cs="宋体"/>
          <w:b/>
          <w:bCs/>
          <w:color w:val="000000"/>
          <w:sz w:val="28"/>
          <w:szCs w:val="28"/>
        </w:rPr>
        <w:t>7.授权委托书</w:t>
      </w:r>
    </w:p>
    <w:p w14:paraId="253E3894">
      <w:pPr>
        <w:spacing w:line="360" w:lineRule="auto"/>
        <w:jc w:val="center"/>
        <w:rPr>
          <w:rFonts w:eastAsia="宋体" w:cs="宋体"/>
          <w:color w:val="000000"/>
          <w:sz w:val="24"/>
          <w:szCs w:val="21"/>
          <w:u w:val="single"/>
        </w:rPr>
      </w:pPr>
      <w:r>
        <w:rPr>
          <w:rFonts w:hint="eastAsia" w:eastAsia="宋体" w:cs="宋体"/>
          <w:color w:val="000000"/>
          <w:sz w:val="24"/>
          <w:szCs w:val="21"/>
          <w:u w:val="single"/>
        </w:rPr>
        <w:t>（被授权人参加投标时，须出示此证明）</w:t>
      </w:r>
    </w:p>
    <w:p w14:paraId="5A569934">
      <w:pPr>
        <w:spacing w:line="360" w:lineRule="auto"/>
        <w:ind w:firstLine="480" w:firstLineChars="200"/>
        <w:rPr>
          <w:rFonts w:ascii="宋体" w:hAnsi="宋体"/>
          <w:sz w:val="24"/>
        </w:rPr>
      </w:pPr>
    </w:p>
    <w:p w14:paraId="688B5303">
      <w:pPr>
        <w:spacing w:line="360" w:lineRule="auto"/>
        <w:ind w:firstLine="480" w:firstLineChars="200"/>
        <w:rPr>
          <w:rFonts w:ascii="宋体" w:hAnsi="宋体" w:eastAsia="宋体" w:cs="宋体"/>
          <w:sz w:val="24"/>
        </w:rPr>
      </w:pPr>
      <w:r>
        <w:rPr>
          <w:rFonts w:hint="eastAsia" w:ascii="宋体" w:hAnsi="宋体" w:eastAsia="宋体" w:cs="宋体"/>
          <w:sz w:val="24"/>
        </w:rPr>
        <w:t>本人</w:t>
      </w:r>
      <w:r>
        <w:rPr>
          <w:rFonts w:hint="eastAsia" w:ascii="宋体" w:hAnsi="宋体" w:eastAsia="宋体" w:cs="宋体"/>
          <w:sz w:val="24"/>
          <w:u w:val="single"/>
        </w:rPr>
        <w:t xml:space="preserve">   </w:t>
      </w:r>
      <w:r>
        <w:rPr>
          <w:rFonts w:hint="eastAsia" w:ascii="宋体" w:hAnsi="宋体" w:eastAsia="宋体" w:cs="宋体"/>
          <w:sz w:val="24"/>
        </w:rPr>
        <w:t>（姓名）系</w:t>
      </w:r>
      <w:r>
        <w:rPr>
          <w:rFonts w:hint="eastAsia" w:ascii="宋体" w:hAnsi="宋体" w:eastAsia="宋体" w:cs="宋体"/>
          <w:sz w:val="24"/>
          <w:u w:val="single"/>
        </w:rPr>
        <w:t xml:space="preserve">      </w:t>
      </w:r>
      <w:r>
        <w:rPr>
          <w:rFonts w:hint="eastAsia" w:ascii="宋体" w:hAnsi="宋体" w:eastAsia="宋体" w:cs="宋体"/>
          <w:sz w:val="24"/>
        </w:rPr>
        <w:t>（授权单位名称）的法定代表人，现委托</w:t>
      </w:r>
      <w:r>
        <w:rPr>
          <w:rFonts w:hint="eastAsia" w:ascii="宋体" w:hAnsi="宋体" w:eastAsia="宋体" w:cs="宋体"/>
          <w:sz w:val="24"/>
          <w:u w:val="single"/>
        </w:rPr>
        <w:t xml:space="preserve">    </w:t>
      </w:r>
      <w:r>
        <w:rPr>
          <w:rFonts w:hint="eastAsia" w:ascii="宋体" w:hAnsi="宋体" w:eastAsia="宋体" w:cs="宋体"/>
          <w:sz w:val="24"/>
        </w:rPr>
        <w:t>（姓名）（身份证号：</w:t>
      </w:r>
      <w:r>
        <w:rPr>
          <w:rFonts w:hint="eastAsia" w:ascii="宋体" w:hAnsi="宋体" w:eastAsia="宋体" w:cs="宋体"/>
          <w:sz w:val="24"/>
          <w:u w:val="single"/>
        </w:rPr>
        <w:t xml:space="preserve">          </w:t>
      </w:r>
      <w:r>
        <w:rPr>
          <w:rFonts w:hint="eastAsia" w:ascii="宋体" w:hAnsi="宋体" w:eastAsia="宋体" w:cs="宋体"/>
          <w:sz w:val="24"/>
        </w:rPr>
        <w:t>）为我方代理人，以我方名义全权处理与本次采购项目</w:t>
      </w:r>
      <w:r>
        <w:rPr>
          <w:rFonts w:hint="eastAsia" w:ascii="宋体" w:hAnsi="宋体" w:eastAsia="宋体" w:cs="宋体"/>
          <w:sz w:val="24"/>
          <w:u w:val="single"/>
        </w:rPr>
        <w:t xml:space="preserve">          </w:t>
      </w:r>
      <w:r>
        <w:rPr>
          <w:rFonts w:hint="eastAsia" w:ascii="宋体" w:hAnsi="宋体" w:eastAsia="宋体" w:cs="宋体"/>
          <w:sz w:val="24"/>
        </w:rPr>
        <w:t>（项目编号：</w:t>
      </w:r>
      <w:r>
        <w:rPr>
          <w:rFonts w:hint="eastAsia" w:ascii="宋体" w:hAnsi="宋体" w:eastAsia="宋体" w:cs="宋体"/>
          <w:sz w:val="24"/>
          <w:u w:val="single"/>
        </w:rPr>
        <w:t xml:space="preserve">           </w:t>
      </w:r>
      <w:r>
        <w:rPr>
          <w:rFonts w:hint="eastAsia" w:ascii="宋体" w:hAnsi="宋体" w:eastAsia="宋体" w:cs="宋体"/>
          <w:sz w:val="24"/>
        </w:rPr>
        <w:t>）有关的一切事务，其法律后果由我方承担。</w:t>
      </w:r>
    </w:p>
    <w:p w14:paraId="1AF82A23">
      <w:pPr>
        <w:spacing w:line="360" w:lineRule="auto"/>
        <w:ind w:firstLine="480" w:firstLineChars="200"/>
        <w:rPr>
          <w:rFonts w:ascii="宋体" w:hAnsi="宋体" w:eastAsia="宋体" w:cs="宋体"/>
          <w:sz w:val="24"/>
        </w:rPr>
      </w:pPr>
      <w:r>
        <w:rPr>
          <w:rFonts w:hint="eastAsia" w:ascii="宋体" w:hAnsi="宋体" w:eastAsia="宋体" w:cs="宋体"/>
          <w:sz w:val="24"/>
        </w:rPr>
        <w:t>本授权书于2026年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日起生效。代理人无转委托权。</w:t>
      </w:r>
    </w:p>
    <w:p w14:paraId="503FD12D">
      <w:pPr>
        <w:spacing w:line="360" w:lineRule="auto"/>
        <w:ind w:firstLine="360" w:firstLineChars="150"/>
        <w:rPr>
          <w:rFonts w:ascii="宋体" w:hAnsi="宋体" w:eastAsia="宋体" w:cs="宋体"/>
          <w:sz w:val="24"/>
        </w:rPr>
      </w:pPr>
      <w:r>
        <w:rPr>
          <w:rFonts w:hint="eastAsia" w:ascii="宋体" w:hAnsi="宋体" w:eastAsia="宋体" w:cs="宋体"/>
          <w:sz w:val="24"/>
        </w:rPr>
        <w:t>代理人(被授权人)：</w:t>
      </w:r>
    </w:p>
    <w:p w14:paraId="3A60559D">
      <w:pPr>
        <w:spacing w:line="360" w:lineRule="auto"/>
        <w:ind w:firstLine="360" w:firstLineChars="150"/>
        <w:rPr>
          <w:rFonts w:ascii="宋体" w:hAnsi="宋体" w:eastAsia="宋体" w:cs="宋体"/>
          <w:sz w:val="24"/>
        </w:rPr>
      </w:pPr>
      <w:r>
        <w:rPr>
          <w:rFonts w:hint="eastAsia" w:ascii="宋体" w:hAnsi="宋体" w:eastAsia="宋体" w:cs="宋体"/>
          <w:sz w:val="24"/>
        </w:rPr>
        <w:t>授权单位名称（加盖CA电子签章）：</w:t>
      </w:r>
    </w:p>
    <w:p w14:paraId="5D54DB0A">
      <w:pPr>
        <w:spacing w:line="360" w:lineRule="auto"/>
        <w:ind w:firstLine="360" w:firstLineChars="150"/>
        <w:rPr>
          <w:rFonts w:ascii="宋体" w:hAnsi="宋体" w:eastAsia="宋体" w:cs="宋体"/>
          <w:sz w:val="24"/>
        </w:rPr>
      </w:pPr>
      <w:r>
        <w:rPr>
          <w:rFonts w:hint="eastAsia" w:ascii="宋体" w:hAnsi="宋体" w:eastAsia="宋体" w:cs="宋体"/>
          <w:sz w:val="24"/>
        </w:rPr>
        <w:t>授权单位法定代表人（签字或加盖CA电子签章）：</w:t>
      </w:r>
    </w:p>
    <w:p w14:paraId="6F8428D0">
      <w:pPr>
        <w:spacing w:line="360" w:lineRule="auto"/>
        <w:jc w:val="right"/>
        <w:rPr>
          <w:rFonts w:ascii="宋体" w:hAnsi="宋体" w:eastAsia="宋体" w:cs="宋体"/>
          <w:sz w:val="24"/>
        </w:rPr>
      </w:pPr>
    </w:p>
    <w:p w14:paraId="1A8F28EA">
      <w:pPr>
        <w:spacing w:line="360" w:lineRule="auto"/>
        <w:jc w:val="right"/>
        <w:rPr>
          <w:rFonts w:ascii="宋体" w:hAnsi="宋体" w:eastAsia="宋体" w:cs="宋体"/>
          <w:sz w:val="24"/>
        </w:rPr>
      </w:pPr>
      <w:r>
        <w:rPr>
          <w:rFonts w:hint="eastAsia" w:ascii="宋体" w:hAnsi="宋体" w:eastAsia="宋体" w:cs="宋体"/>
          <w:sz w:val="24"/>
          <w:lang w:val="zh-CN" w:bidi="ar"/>
        </w:rPr>
        <w:t>时间：</w:t>
      </w:r>
      <w:r>
        <w:rPr>
          <w:rFonts w:hint="eastAsia" w:ascii="宋体" w:hAnsi="宋体" w:eastAsia="宋体" w:cs="宋体"/>
          <w:sz w:val="24"/>
          <w:lang w:bidi="ar"/>
        </w:rPr>
        <w:t>2026年</w:t>
      </w:r>
      <w:r>
        <w:rPr>
          <w:rFonts w:hint="eastAsia" w:ascii="宋体" w:hAnsi="宋体" w:eastAsia="宋体" w:cs="宋体"/>
          <w:sz w:val="24"/>
          <w:lang w:val="zh-CN" w:bidi="ar"/>
        </w:rPr>
        <w:t xml:space="preserve">  月   日</w:t>
      </w:r>
    </w:p>
    <w:p w14:paraId="020AC867">
      <w:pPr>
        <w:snapToGrid w:val="0"/>
        <w:spacing w:line="360" w:lineRule="auto"/>
        <w:ind w:firstLine="463" w:firstLineChars="192"/>
        <w:contextualSpacing/>
        <w:rPr>
          <w:rFonts w:ascii="宋体" w:hAnsi="宋体" w:eastAsia="宋体" w:cs="宋体"/>
          <w:b/>
          <w:sz w:val="24"/>
        </w:rPr>
      </w:pPr>
    </w:p>
    <w:p w14:paraId="0D3B7696">
      <w:pPr>
        <w:snapToGrid w:val="0"/>
        <w:spacing w:line="360" w:lineRule="auto"/>
        <w:ind w:firstLine="463" w:firstLineChars="192"/>
        <w:contextualSpacing/>
        <w:rPr>
          <w:rFonts w:ascii="宋体" w:hAnsi="宋体" w:eastAsia="宋体" w:cs="宋体"/>
          <w:b/>
          <w:sz w:val="24"/>
        </w:rPr>
      </w:pPr>
      <w:r>
        <w:rPr>
          <w:rFonts w:hint="eastAsia" w:ascii="宋体" w:hAnsi="宋体" w:eastAsia="宋体" w:cs="宋体"/>
          <w:b/>
          <w:sz w:val="24"/>
        </w:rPr>
        <w:t>注：法定代表人本人身份证复印件及被授权人本人身份证复印件盖公章</w:t>
      </w:r>
    </w:p>
    <w:p w14:paraId="5A6126EE">
      <w:pPr>
        <w:spacing w:line="360" w:lineRule="auto"/>
        <w:jc w:val="center"/>
        <w:rPr>
          <w:rFonts w:eastAsia="宋体" w:cs="宋体"/>
          <w:color w:val="000000"/>
          <w:sz w:val="24"/>
          <w:szCs w:val="21"/>
        </w:rPr>
      </w:pPr>
    </w:p>
    <w:p w14:paraId="7E3D38C2">
      <w:pPr>
        <w:spacing w:line="360" w:lineRule="auto"/>
        <w:ind w:firstLine="482"/>
        <w:rPr>
          <w:rFonts w:eastAsia="宋体" w:cs="宋体"/>
          <w:b/>
          <w:bCs/>
          <w:color w:val="000000"/>
          <w:sz w:val="24"/>
          <w:szCs w:val="21"/>
        </w:rPr>
      </w:pPr>
    </w:p>
    <w:p w14:paraId="1DE62E7A">
      <w:pPr>
        <w:spacing w:line="360" w:lineRule="auto"/>
        <w:rPr>
          <w:rFonts w:eastAsia="宋体" w:cs="宋体"/>
          <w:color w:val="000000"/>
          <w:sz w:val="24"/>
          <w:szCs w:val="21"/>
        </w:rPr>
      </w:pPr>
      <w:r>
        <w:rPr>
          <w:rFonts w:hint="eastAsia" w:eastAsia="宋体" w:cs="宋体"/>
          <w:b/>
          <w:bCs/>
          <w:color w:val="000000"/>
          <w:sz w:val="24"/>
          <w:szCs w:val="21"/>
        </w:rPr>
        <w:br w:type="page" w:clear="all"/>
      </w:r>
    </w:p>
    <w:p w14:paraId="36CDBCA4">
      <w:pPr>
        <w:spacing w:line="360" w:lineRule="auto"/>
        <w:jc w:val="center"/>
        <w:outlineLvl w:val="3"/>
        <w:rPr>
          <w:rFonts w:eastAsia="宋体" w:cs="宋体"/>
          <w:b/>
          <w:bCs/>
          <w:color w:val="000000"/>
          <w:sz w:val="28"/>
          <w:szCs w:val="28"/>
        </w:rPr>
      </w:pPr>
      <w:r>
        <w:rPr>
          <w:rFonts w:hint="eastAsia" w:eastAsia="宋体" w:cs="宋体"/>
          <w:b/>
          <w:bCs/>
          <w:color w:val="000000"/>
          <w:sz w:val="28"/>
          <w:szCs w:val="28"/>
        </w:rPr>
        <w:t>8.声 明</w:t>
      </w:r>
    </w:p>
    <w:p w14:paraId="2A47A762">
      <w:pPr>
        <w:spacing w:line="360" w:lineRule="auto"/>
        <w:ind w:firstLine="420"/>
        <w:rPr>
          <w:rFonts w:ascii="宋体" w:hAnsi="宋体" w:cs="宋体"/>
          <w:sz w:val="24"/>
          <w:u w:val="single"/>
        </w:rPr>
      </w:pPr>
    </w:p>
    <w:p w14:paraId="754C5B95">
      <w:pPr>
        <w:spacing w:line="360" w:lineRule="auto"/>
        <w:ind w:firstLine="420"/>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（采购人）：</w:t>
      </w:r>
    </w:p>
    <w:p w14:paraId="7C6D0581">
      <w:pPr>
        <w:spacing w:line="360" w:lineRule="auto"/>
        <w:ind w:firstLine="420"/>
        <w:rPr>
          <w:rFonts w:ascii="宋体" w:hAnsi="宋体" w:eastAsia="宋体" w:cs="宋体"/>
          <w:bCs/>
          <w:sz w:val="24"/>
        </w:rPr>
      </w:pPr>
      <w:r>
        <w:rPr>
          <w:rFonts w:hint="eastAsia" w:ascii="宋体" w:hAnsi="宋体" w:eastAsia="宋体" w:cs="宋体"/>
          <w:bCs/>
          <w:sz w:val="24"/>
        </w:rPr>
        <w:t>我单位不存在以下情况：</w:t>
      </w:r>
    </w:p>
    <w:p w14:paraId="3C86A3DF">
      <w:pPr>
        <w:spacing w:line="360" w:lineRule="auto"/>
        <w:ind w:firstLine="420"/>
        <w:rPr>
          <w:rFonts w:ascii="宋体" w:hAnsi="宋体" w:eastAsia="宋体" w:cs="宋体"/>
          <w:bCs/>
          <w:sz w:val="24"/>
        </w:rPr>
      </w:pPr>
      <w:r>
        <w:rPr>
          <w:rFonts w:hint="eastAsia" w:ascii="宋体" w:hAnsi="宋体" w:eastAsia="宋体" w:cs="宋体"/>
          <w:bCs/>
          <w:sz w:val="24"/>
        </w:rPr>
        <w:t>1.单位负责人为同一人或者存在直接控股、管理关系的不同供应商，同时参加同一合同项下的政府采购活动。</w:t>
      </w:r>
    </w:p>
    <w:p w14:paraId="276EC508">
      <w:pPr>
        <w:widowControl/>
        <w:spacing w:line="360" w:lineRule="auto"/>
        <w:ind w:left="18" w:right="1" w:firstLine="420"/>
        <w:jc w:val="left"/>
        <w:rPr>
          <w:rFonts w:ascii="宋体" w:hAnsi="宋体" w:eastAsia="宋体" w:cs="宋体"/>
          <w:sz w:val="24"/>
        </w:rPr>
      </w:pPr>
      <w:r>
        <w:rPr>
          <w:rFonts w:hint="eastAsia" w:ascii="宋体" w:hAnsi="宋体" w:eastAsia="宋体" w:cs="宋体"/>
          <w:sz w:val="24"/>
        </w:rPr>
        <w:t>2.为采购项目提供整体设计、规范编制或者项目管理、监理、检测等服务的供应商，再参加该采购项目的其他采购活动。</w:t>
      </w:r>
    </w:p>
    <w:p w14:paraId="30948DC9">
      <w:pPr>
        <w:widowControl/>
        <w:spacing w:line="360" w:lineRule="auto"/>
        <w:ind w:left="18" w:right="1" w:firstLine="420"/>
        <w:jc w:val="left"/>
        <w:rPr>
          <w:rFonts w:ascii="宋体" w:hAnsi="宋体" w:eastAsia="宋体" w:cs="宋体"/>
          <w:sz w:val="24"/>
        </w:rPr>
      </w:pPr>
      <w:r>
        <w:rPr>
          <w:rFonts w:hint="eastAsia" w:ascii="宋体" w:hAnsi="宋体" w:eastAsia="宋体" w:cs="宋体"/>
          <w:sz w:val="24"/>
        </w:rPr>
        <w:t>特此声明。</w:t>
      </w:r>
    </w:p>
    <w:p w14:paraId="09C36CE3">
      <w:pPr>
        <w:spacing w:line="360" w:lineRule="auto"/>
        <w:rPr>
          <w:rFonts w:ascii="宋体" w:hAnsi="宋体" w:eastAsia="宋体" w:cs="宋体"/>
          <w:sz w:val="32"/>
          <w:szCs w:val="32"/>
        </w:rPr>
      </w:pPr>
    </w:p>
    <w:p w14:paraId="279E2396">
      <w:pPr>
        <w:snapToGrid w:val="0"/>
        <w:spacing w:line="360" w:lineRule="auto"/>
        <w:jc w:val="center"/>
        <w:outlineLvl w:val="4"/>
        <w:rPr>
          <w:rFonts w:ascii="宋体" w:hAnsi="宋体" w:eastAsia="宋体" w:cs="宋体"/>
          <w:bCs/>
          <w:sz w:val="24"/>
        </w:rPr>
      </w:pPr>
      <w:r>
        <w:rPr>
          <w:rFonts w:hint="eastAsia" w:ascii="宋体" w:hAnsi="宋体" w:eastAsia="宋体" w:cs="宋体"/>
          <w:bCs/>
          <w:sz w:val="24"/>
        </w:rPr>
        <w:t xml:space="preserve">     投标人（加盖CA电子签章）： </w:t>
      </w:r>
    </w:p>
    <w:p w14:paraId="44AB276A">
      <w:pPr>
        <w:spacing w:line="360" w:lineRule="auto"/>
        <w:ind w:firstLine="566"/>
        <w:rPr>
          <w:rFonts w:ascii="宋体" w:hAnsi="宋体" w:eastAsia="宋体" w:cs="宋体"/>
          <w:bCs/>
          <w:sz w:val="24"/>
        </w:rPr>
      </w:pPr>
      <w:r>
        <w:rPr>
          <w:rFonts w:hint="eastAsia" w:ascii="宋体" w:hAnsi="宋体" w:eastAsia="宋体" w:cs="宋体"/>
          <w:bCs/>
          <w:sz w:val="24"/>
        </w:rPr>
        <w:t xml:space="preserve">                     法定代表人或被授权人（签字或加盖CA电子签章）： </w:t>
      </w:r>
    </w:p>
    <w:p w14:paraId="27810E38">
      <w:pPr>
        <w:spacing w:line="360" w:lineRule="auto"/>
        <w:ind w:firstLine="3160" w:firstLineChars="1317"/>
        <w:rPr>
          <w:rFonts w:ascii="宋体" w:hAnsi="宋体" w:eastAsia="宋体" w:cs="宋体"/>
          <w:color w:val="000000"/>
          <w:sz w:val="24"/>
          <w:szCs w:val="26"/>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314563A9">
      <w:pPr>
        <w:widowControl/>
        <w:spacing w:line="360" w:lineRule="auto"/>
        <w:jc w:val="center"/>
        <w:rPr>
          <w:rFonts w:eastAsia="宋体" w:cs="宋体"/>
          <w:color w:val="000000"/>
          <w:sz w:val="24"/>
          <w:szCs w:val="21"/>
        </w:rPr>
      </w:pPr>
    </w:p>
    <w:p w14:paraId="1DD1940A">
      <w:pPr>
        <w:widowControl/>
        <w:ind w:firstLine="482"/>
        <w:jc w:val="left"/>
        <w:rPr>
          <w:rFonts w:eastAsia="宋体" w:cs="宋体"/>
          <w:b/>
          <w:bCs/>
          <w:color w:val="000000"/>
          <w:sz w:val="24"/>
          <w:szCs w:val="21"/>
        </w:rPr>
      </w:pPr>
      <w:r>
        <w:rPr>
          <w:rFonts w:eastAsia="宋体" w:cs="宋体"/>
          <w:b/>
          <w:bCs/>
          <w:color w:val="000000"/>
          <w:sz w:val="24"/>
          <w:szCs w:val="21"/>
        </w:rPr>
        <w:br w:type="page" w:clear="all"/>
      </w:r>
    </w:p>
    <w:p w14:paraId="099D3E14">
      <w:pPr>
        <w:spacing w:line="360" w:lineRule="auto"/>
        <w:jc w:val="center"/>
        <w:outlineLvl w:val="3"/>
        <w:rPr>
          <w:rFonts w:eastAsia="宋体" w:cs="宋体"/>
          <w:b/>
          <w:bCs/>
          <w:color w:val="000000"/>
          <w:sz w:val="28"/>
          <w:szCs w:val="28"/>
        </w:rPr>
      </w:pPr>
      <w:r>
        <w:rPr>
          <w:rFonts w:hint="eastAsia" w:eastAsia="宋体" w:cs="宋体"/>
          <w:b/>
          <w:bCs/>
          <w:color w:val="000000"/>
          <w:sz w:val="28"/>
          <w:szCs w:val="28"/>
        </w:rPr>
        <w:t>9.投标声明函</w:t>
      </w:r>
    </w:p>
    <w:p w14:paraId="4E5D3080">
      <w:pPr>
        <w:spacing w:line="360" w:lineRule="auto"/>
        <w:ind w:firstLine="482"/>
        <w:rPr>
          <w:rFonts w:eastAsia="宋体" w:cs="宋体"/>
          <w:color w:val="000000"/>
          <w:sz w:val="24"/>
          <w:szCs w:val="21"/>
        </w:rPr>
      </w:pPr>
    </w:p>
    <w:p w14:paraId="163FE6D2">
      <w:pPr>
        <w:spacing w:line="360" w:lineRule="auto"/>
        <w:ind w:firstLine="482"/>
        <w:rPr>
          <w:rFonts w:eastAsia="宋体" w:cs="宋体"/>
          <w:b/>
          <w:bCs/>
          <w:color w:val="000000"/>
          <w:sz w:val="24"/>
          <w:szCs w:val="21"/>
        </w:rPr>
      </w:pPr>
      <w:r>
        <w:rPr>
          <w:rFonts w:hint="eastAsia" w:eastAsia="宋体" w:cs="宋体"/>
          <w:color w:val="000000"/>
          <w:sz w:val="24"/>
          <w:szCs w:val="21"/>
        </w:rPr>
        <w:t>致：</w:t>
      </w:r>
      <w:r>
        <w:rPr>
          <w:rFonts w:hint="eastAsia" w:eastAsia="宋体" w:cs="宋体"/>
          <w:color w:val="000000"/>
          <w:sz w:val="24"/>
          <w:szCs w:val="21"/>
          <w:u w:val="single"/>
          <w:shd w:val="clear" w:color="auto" w:fill="FFFFFF"/>
        </w:rPr>
        <w:t xml:space="preserve">           </w:t>
      </w:r>
      <w:r>
        <w:rPr>
          <w:rFonts w:hint="eastAsia" w:eastAsia="宋体" w:cs="宋体"/>
          <w:color w:val="000000"/>
          <w:sz w:val="24"/>
          <w:szCs w:val="21"/>
          <w:shd w:val="clear" w:color="auto" w:fill="FFFFFF"/>
        </w:rPr>
        <w:t>（采购人）</w:t>
      </w:r>
      <w:r>
        <w:rPr>
          <w:rFonts w:hint="eastAsia" w:eastAsia="宋体" w:cs="宋体"/>
          <w:color w:val="000000"/>
          <w:sz w:val="24"/>
          <w:szCs w:val="21"/>
        </w:rPr>
        <w:t>：</w:t>
      </w:r>
      <w:r>
        <w:rPr>
          <w:rFonts w:hint="eastAsia" w:eastAsia="宋体" w:cs="宋体"/>
          <w:b/>
          <w:bCs/>
          <w:color w:val="000000"/>
          <w:sz w:val="24"/>
          <w:szCs w:val="21"/>
        </w:rPr>
        <w:t xml:space="preserve">   </w:t>
      </w:r>
    </w:p>
    <w:p w14:paraId="2FF3C6DD">
      <w:pPr>
        <w:tabs>
          <w:tab w:val="left" w:pos="420"/>
          <w:tab w:val="left" w:pos="562"/>
          <w:tab w:val="left" w:pos="945"/>
          <w:tab w:val="left" w:pos="5382"/>
          <w:tab w:val="left" w:pos="7560"/>
        </w:tabs>
        <w:spacing w:line="360" w:lineRule="auto"/>
        <w:ind w:firstLine="480"/>
        <w:jc w:val="left"/>
        <w:rPr>
          <w:rFonts w:eastAsia="宋体" w:cs="宋体"/>
          <w:color w:val="000000"/>
          <w:sz w:val="24"/>
          <w:szCs w:val="21"/>
        </w:rPr>
      </w:pPr>
      <w:bookmarkStart w:id="24" w:name="_Toc396833717"/>
      <w:r>
        <w:rPr>
          <w:rFonts w:hint="eastAsia" w:eastAsia="宋体" w:cs="宋体"/>
          <w:color w:val="000000"/>
          <w:sz w:val="24"/>
          <w:szCs w:val="21"/>
        </w:rPr>
        <w:t>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p>
    <w:p w14:paraId="4E4DEDEF">
      <w:pPr>
        <w:numPr>
          <w:ilvl w:val="1"/>
          <w:numId w:val="0"/>
        </w:numPr>
        <w:tabs>
          <w:tab w:val="left" w:pos="420"/>
          <w:tab w:val="left" w:pos="945"/>
          <w:tab w:val="left" w:pos="5382"/>
          <w:tab w:val="left" w:pos="7560"/>
        </w:tabs>
        <w:spacing w:line="360" w:lineRule="auto"/>
        <w:ind w:firstLine="480"/>
        <w:jc w:val="left"/>
        <w:rPr>
          <w:rFonts w:eastAsia="宋体" w:cs="宋体"/>
          <w:color w:val="000000"/>
          <w:sz w:val="24"/>
          <w:szCs w:val="21"/>
        </w:rPr>
      </w:pPr>
      <w:r>
        <w:rPr>
          <w:rFonts w:eastAsia="宋体"/>
          <w:color w:val="000000"/>
          <w:sz w:val="24"/>
          <w:szCs w:val="21"/>
        </w:rPr>
        <w:t>1</w:t>
      </w:r>
      <w:r>
        <w:rPr>
          <w:rFonts w:hint="eastAsia" w:eastAsia="宋体"/>
          <w:color w:val="000000"/>
          <w:sz w:val="24"/>
          <w:szCs w:val="21"/>
        </w:rPr>
        <w:t>.</w:t>
      </w:r>
      <w:r>
        <w:rPr>
          <w:rFonts w:hint="eastAsia" w:eastAsia="宋体" w:cs="宋体"/>
          <w:color w:val="000000"/>
          <w:sz w:val="24"/>
          <w:szCs w:val="21"/>
        </w:rPr>
        <w:t>我方承诺信用记录中未</w:t>
      </w:r>
      <w:r>
        <w:rPr>
          <w:rFonts w:hint="eastAsia" w:eastAsia="宋体" w:cs="宋体"/>
          <w:color w:val="000000"/>
          <w:sz w:val="24"/>
          <w:szCs w:val="24"/>
        </w:rPr>
        <w:t>被“信用中国”网站(</w:t>
      </w:r>
      <w:r>
        <w:fldChar w:fldCharType="begin"/>
      </w:r>
      <w:r>
        <w:instrText xml:space="preserve"> HYPERLINK "http://www.creditchina.gov.cn" \o "http://www.creditchina.gov.cn" </w:instrText>
      </w:r>
      <w:r>
        <w:fldChar w:fldCharType="separate"/>
      </w:r>
      <w:r>
        <w:rPr>
          <w:rFonts w:hint="eastAsia" w:eastAsia="宋体" w:cs="宋体"/>
          <w:color w:val="000000"/>
          <w:sz w:val="24"/>
          <w:szCs w:val="24"/>
        </w:rPr>
        <w:t>www.creditchina.gov.cn</w:t>
      </w:r>
      <w:r>
        <w:rPr>
          <w:rFonts w:hint="eastAsia" w:eastAsia="宋体" w:cs="宋体"/>
          <w:color w:val="000000"/>
          <w:sz w:val="24"/>
          <w:szCs w:val="24"/>
        </w:rPr>
        <w:fldChar w:fldCharType="end"/>
      </w:r>
      <w:r>
        <w:rPr>
          <w:rFonts w:hint="eastAsia" w:eastAsia="宋体" w:cs="宋体"/>
          <w:color w:val="000000"/>
          <w:sz w:val="24"/>
          <w:szCs w:val="24"/>
        </w:rPr>
        <w:t>)、中华人民共和国最高人民法院网站（</w:t>
      </w:r>
      <w:r>
        <w:fldChar w:fldCharType="begin"/>
      </w:r>
      <w:r>
        <w:instrText xml:space="preserve"> HYPERLINK "http://www.court.gov.cn/" \o "http://www.court.gov.cn/" </w:instrText>
      </w:r>
      <w:r>
        <w:fldChar w:fldCharType="separate"/>
      </w:r>
      <w:r>
        <w:rPr>
          <w:rFonts w:hint="eastAsia" w:eastAsia="宋体" w:cs="宋体"/>
          <w:color w:val="000000"/>
          <w:sz w:val="24"/>
          <w:szCs w:val="24"/>
        </w:rPr>
        <w:t>http：//www.court.gov.cn</w:t>
      </w:r>
      <w:r>
        <w:rPr>
          <w:rFonts w:hint="eastAsia" w:eastAsia="宋体" w:cs="宋体"/>
          <w:color w:val="000000"/>
          <w:sz w:val="24"/>
          <w:szCs w:val="24"/>
        </w:rPr>
        <w:fldChar w:fldCharType="end"/>
      </w:r>
      <w:r>
        <w:rPr>
          <w:rFonts w:hint="eastAsia" w:eastAsia="宋体" w:cs="宋体"/>
          <w:color w:val="000000"/>
          <w:sz w:val="24"/>
          <w:szCs w:val="24"/>
        </w:rPr>
        <w:t>）等渠道列入信用记录失信被执行人，未被中国政府采购网(</w:t>
      </w:r>
      <w:r>
        <w:fldChar w:fldCharType="begin"/>
      </w:r>
      <w:r>
        <w:instrText xml:space="preserve"> HYPERLINK "http://www.ccgp.gov.cn" \o "http://www.ccgp.gov.cn" </w:instrText>
      </w:r>
      <w:r>
        <w:fldChar w:fldCharType="separate"/>
      </w:r>
      <w:r>
        <w:rPr>
          <w:rFonts w:hint="eastAsia" w:eastAsia="宋体" w:cs="宋体"/>
          <w:color w:val="000000"/>
          <w:sz w:val="24"/>
          <w:szCs w:val="24"/>
        </w:rPr>
        <w:t>www.ccgp.gov.cn</w:t>
      </w:r>
      <w:r>
        <w:rPr>
          <w:rFonts w:hint="eastAsia" w:eastAsia="宋体" w:cs="宋体"/>
          <w:color w:val="000000"/>
          <w:sz w:val="24"/>
          <w:szCs w:val="24"/>
        </w:rPr>
        <w:fldChar w:fldCharType="end"/>
      </w:r>
      <w:r>
        <w:rPr>
          <w:rFonts w:hint="eastAsia" w:eastAsia="宋体" w:cs="宋体"/>
          <w:color w:val="000000"/>
          <w:sz w:val="24"/>
          <w:szCs w:val="24"/>
        </w:rPr>
        <w:t>)等渠道列入政府采购严重违法失信行为记录名单，未被中华人民共和国应急管理部网站（http：//www.mem.gov.cn/）等渠道列入安全生产失信联合惩戒“黑名单”，未被国家税务总局网站（</w:t>
      </w:r>
      <w:r>
        <w:fldChar w:fldCharType="begin"/>
      </w:r>
      <w:r>
        <w:instrText xml:space="preserve"> HYPERLINK "http://hd.chinatax.gov.cn/xxk/" \o "http://hd.chinatax.gov.cn/xxk/" </w:instrText>
      </w:r>
      <w:r>
        <w:fldChar w:fldCharType="separate"/>
      </w:r>
      <w:r>
        <w:rPr>
          <w:rFonts w:hint="eastAsia" w:eastAsia="宋体" w:cs="宋体"/>
          <w:color w:val="000000"/>
          <w:sz w:val="24"/>
          <w:szCs w:val="24"/>
        </w:rPr>
        <w:t>http：//hd.chinatax.gov.cn/xxk</w:t>
      </w:r>
      <w:r>
        <w:rPr>
          <w:rFonts w:hint="eastAsia" w:eastAsia="宋体" w:cs="宋体"/>
          <w:color w:val="000000"/>
          <w:sz w:val="24"/>
          <w:szCs w:val="24"/>
        </w:rPr>
        <w:fldChar w:fldCharType="end"/>
      </w:r>
      <w:r>
        <w:rPr>
          <w:rFonts w:hint="eastAsia" w:eastAsia="宋体" w:cs="宋体"/>
          <w:color w:val="000000"/>
          <w:sz w:val="24"/>
          <w:szCs w:val="24"/>
        </w:rPr>
        <w:t>）等渠道列入重大税收违法案件当事人名单，未被国家企业信用信息公示系统（</w:t>
      </w:r>
      <w:r>
        <w:fldChar w:fldCharType="begin"/>
      </w:r>
      <w:r>
        <w:instrText xml:space="preserve"> HYPERLINK "http://www.gsxt.gov.cn" \o "http://www.gsxt.gov.cn" </w:instrText>
      </w:r>
      <w:r>
        <w:fldChar w:fldCharType="separate"/>
      </w:r>
      <w:r>
        <w:rPr>
          <w:rFonts w:hint="eastAsia" w:eastAsia="宋体" w:cs="宋体"/>
          <w:color w:val="000000"/>
          <w:sz w:val="24"/>
          <w:szCs w:val="24"/>
        </w:rPr>
        <w:t>http：//www.gsxt.gov.cn</w:t>
      </w:r>
      <w:r>
        <w:rPr>
          <w:rFonts w:hint="eastAsia" w:eastAsia="宋体" w:cs="宋体"/>
          <w:color w:val="000000"/>
          <w:sz w:val="24"/>
          <w:szCs w:val="24"/>
        </w:rPr>
        <w:fldChar w:fldCharType="end"/>
      </w:r>
      <w:r>
        <w:rPr>
          <w:rFonts w:hint="eastAsia" w:eastAsia="宋体" w:cs="宋体"/>
          <w:color w:val="000000"/>
          <w:sz w:val="24"/>
          <w:szCs w:val="24"/>
        </w:rPr>
        <w:t>）等渠道列入经营异常名录、严重违法失信企业名单，未被全国公共资源交易平台（</w:t>
      </w:r>
      <w:r>
        <w:fldChar w:fldCharType="begin"/>
      </w:r>
      <w:r>
        <w:instrText xml:space="preserve"> HYPERLINK "http://www.ggzy.gov.cn" \o "http://www.ggzy.gov.cn" </w:instrText>
      </w:r>
      <w:r>
        <w:fldChar w:fldCharType="separate"/>
      </w:r>
      <w:r>
        <w:rPr>
          <w:rFonts w:hint="eastAsia" w:eastAsia="宋体" w:cs="宋体"/>
          <w:color w:val="000000"/>
          <w:sz w:val="24"/>
          <w:szCs w:val="24"/>
        </w:rPr>
        <w:t>http：//www.ggzy.gov.cn</w:t>
      </w:r>
      <w:r>
        <w:rPr>
          <w:rFonts w:hint="eastAsia" w:eastAsia="宋体" w:cs="宋体"/>
          <w:color w:val="000000"/>
          <w:sz w:val="24"/>
          <w:szCs w:val="24"/>
        </w:rPr>
        <w:fldChar w:fldCharType="end"/>
      </w:r>
      <w:r>
        <w:rPr>
          <w:rFonts w:hint="eastAsia" w:eastAsia="宋体" w:cs="宋体"/>
          <w:color w:val="000000"/>
          <w:sz w:val="24"/>
          <w:szCs w:val="24"/>
        </w:rPr>
        <w:t>）等渠道列入黑名单</w:t>
      </w:r>
      <w:r>
        <w:rPr>
          <w:rFonts w:hint="eastAsia" w:eastAsia="宋体" w:cs="宋体"/>
          <w:color w:val="000000"/>
          <w:sz w:val="24"/>
          <w:szCs w:val="21"/>
        </w:rPr>
        <w:t>，否则，可将我方的投标文件按照无效投标文件处理。</w:t>
      </w:r>
    </w:p>
    <w:p w14:paraId="5D08581A">
      <w:pPr>
        <w:tabs>
          <w:tab w:val="left" w:pos="420"/>
          <w:tab w:val="left" w:pos="945"/>
          <w:tab w:val="left" w:pos="5382"/>
          <w:tab w:val="left" w:pos="7560"/>
        </w:tabs>
        <w:spacing w:line="360" w:lineRule="auto"/>
        <w:ind w:firstLine="480"/>
        <w:jc w:val="left"/>
        <w:rPr>
          <w:rFonts w:eastAsia="宋体" w:cs="宋体"/>
          <w:color w:val="000000"/>
          <w:sz w:val="24"/>
          <w:szCs w:val="21"/>
        </w:rPr>
      </w:pPr>
      <w:r>
        <w:rPr>
          <w:rFonts w:hint="eastAsia" w:eastAsia="宋体" w:cs="宋体"/>
          <w:color w:val="000000"/>
          <w:sz w:val="24"/>
          <w:szCs w:val="21"/>
        </w:rPr>
        <w:t>2.我方承诺参加本次采购活动前三年内，在经营活动中没有重大违法记录，否则，可将我方的投标文件按照无效投标文件处理。</w:t>
      </w:r>
    </w:p>
    <w:p w14:paraId="0EFFBB5F">
      <w:pPr>
        <w:tabs>
          <w:tab w:val="left" w:pos="420"/>
          <w:tab w:val="left" w:pos="945"/>
          <w:tab w:val="left" w:pos="5382"/>
          <w:tab w:val="left" w:pos="7560"/>
        </w:tabs>
        <w:spacing w:line="360" w:lineRule="auto"/>
        <w:ind w:firstLine="480"/>
        <w:jc w:val="left"/>
        <w:rPr>
          <w:rFonts w:eastAsia="宋体" w:cs="宋体"/>
          <w:color w:val="000000"/>
          <w:sz w:val="24"/>
          <w:szCs w:val="21"/>
        </w:rPr>
      </w:pPr>
      <w:r>
        <w:rPr>
          <w:rFonts w:hint="eastAsia" w:eastAsia="宋体" w:cs="宋体"/>
          <w:color w:val="000000"/>
          <w:sz w:val="24"/>
          <w:szCs w:val="21"/>
        </w:rPr>
        <w:t>3.我方承诺按照本项目招标文件和相关技术标准的条件，提供货物及相关服务，并承担因货物质量或服务等引起的一切责任。</w:t>
      </w:r>
    </w:p>
    <w:p w14:paraId="2BC31D2E">
      <w:pPr>
        <w:tabs>
          <w:tab w:val="left" w:pos="525"/>
          <w:tab w:val="left" w:pos="945"/>
          <w:tab w:val="left" w:pos="5382"/>
        </w:tabs>
        <w:spacing w:line="360" w:lineRule="auto"/>
        <w:ind w:firstLine="480"/>
        <w:jc w:val="left"/>
        <w:rPr>
          <w:rFonts w:eastAsia="宋体" w:cs="宋体"/>
          <w:color w:val="000000"/>
          <w:sz w:val="24"/>
          <w:szCs w:val="21"/>
        </w:rPr>
      </w:pPr>
      <w:r>
        <w:rPr>
          <w:rFonts w:hint="eastAsia" w:eastAsia="宋体" w:cs="宋体"/>
          <w:color w:val="000000"/>
          <w:sz w:val="24"/>
          <w:szCs w:val="21"/>
        </w:rPr>
        <w:t>4.我方对本项目招标文件（包括修改文件及有关附件）完全理解，并承诺在发生争议时，不会以对招标文件存在误解、不明为由，向你方行使任何法律上的抗辩权。</w:t>
      </w:r>
    </w:p>
    <w:p w14:paraId="111CBCE8">
      <w:pPr>
        <w:tabs>
          <w:tab w:val="left" w:pos="525"/>
          <w:tab w:val="left" w:pos="945"/>
          <w:tab w:val="left" w:pos="5382"/>
        </w:tabs>
        <w:spacing w:line="360" w:lineRule="auto"/>
        <w:ind w:firstLine="480"/>
        <w:jc w:val="left"/>
        <w:rPr>
          <w:rFonts w:eastAsia="宋体" w:cs="宋体"/>
          <w:color w:val="000000"/>
          <w:sz w:val="24"/>
          <w:szCs w:val="21"/>
        </w:rPr>
      </w:pPr>
      <w:r>
        <w:rPr>
          <w:rFonts w:hint="eastAsia" w:eastAsia="宋体" w:cs="宋体"/>
          <w:color w:val="000000"/>
          <w:sz w:val="24"/>
          <w:szCs w:val="21"/>
        </w:rPr>
        <w:t>5.我方投标文件有效期为自开标日起</w:t>
      </w:r>
      <w:r>
        <w:rPr>
          <w:rFonts w:hint="eastAsia" w:eastAsia="宋体" w:cs="宋体"/>
          <w:color w:val="000000"/>
          <w:sz w:val="24"/>
          <w:szCs w:val="21"/>
          <w:u w:val="single"/>
        </w:rPr>
        <w:t>60</w:t>
      </w:r>
      <w:r>
        <w:rPr>
          <w:rFonts w:hint="eastAsia" w:eastAsia="宋体" w:cs="宋体"/>
          <w:color w:val="000000"/>
          <w:sz w:val="24"/>
          <w:szCs w:val="21"/>
        </w:rPr>
        <w:t>天，若中标，则投标有效期自动延续至合同履行完毕。</w:t>
      </w:r>
    </w:p>
    <w:p w14:paraId="10A7F5C3">
      <w:pPr>
        <w:tabs>
          <w:tab w:val="left" w:pos="525"/>
          <w:tab w:val="left" w:pos="945"/>
          <w:tab w:val="left" w:pos="5382"/>
        </w:tabs>
        <w:spacing w:line="360" w:lineRule="auto"/>
        <w:ind w:firstLine="480"/>
        <w:jc w:val="left"/>
        <w:rPr>
          <w:rFonts w:eastAsia="宋体" w:cs="宋体"/>
          <w:color w:val="000000"/>
          <w:sz w:val="24"/>
          <w:szCs w:val="21"/>
        </w:rPr>
      </w:pPr>
      <w:r>
        <w:rPr>
          <w:rFonts w:hint="eastAsia" w:eastAsia="宋体" w:cs="宋体"/>
          <w:color w:val="000000"/>
          <w:sz w:val="24"/>
          <w:szCs w:val="21"/>
        </w:rPr>
        <w:t>6.我方承诺接受招标文件规定的付款方式。</w:t>
      </w:r>
    </w:p>
    <w:p w14:paraId="5614DB7F">
      <w:pPr>
        <w:tabs>
          <w:tab w:val="left" w:pos="525"/>
          <w:tab w:val="left" w:pos="945"/>
          <w:tab w:val="left" w:pos="5382"/>
        </w:tabs>
        <w:spacing w:line="360" w:lineRule="auto"/>
        <w:ind w:firstLine="480"/>
        <w:jc w:val="left"/>
        <w:rPr>
          <w:rFonts w:eastAsia="宋体" w:cs="宋体"/>
          <w:color w:val="000000"/>
          <w:sz w:val="24"/>
          <w:szCs w:val="21"/>
        </w:rPr>
      </w:pPr>
      <w:r>
        <w:rPr>
          <w:rFonts w:hint="eastAsia" w:eastAsia="宋体" w:cs="宋体"/>
          <w:color w:val="000000"/>
          <w:sz w:val="24"/>
          <w:szCs w:val="21"/>
        </w:rPr>
        <w:t>7.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p>
    <w:p w14:paraId="416E5148">
      <w:pPr>
        <w:tabs>
          <w:tab w:val="left" w:pos="525"/>
          <w:tab w:val="left" w:pos="945"/>
          <w:tab w:val="left" w:pos="5382"/>
        </w:tabs>
        <w:spacing w:line="360" w:lineRule="auto"/>
        <w:ind w:firstLine="480"/>
        <w:jc w:val="left"/>
        <w:rPr>
          <w:rFonts w:eastAsia="宋体" w:cs="宋体"/>
          <w:color w:val="000000"/>
          <w:sz w:val="24"/>
          <w:szCs w:val="21"/>
        </w:rPr>
      </w:pPr>
      <w:r>
        <w:rPr>
          <w:rFonts w:hint="eastAsia" w:eastAsia="宋体" w:cs="宋体"/>
          <w:color w:val="000000"/>
          <w:sz w:val="24"/>
          <w:szCs w:val="21"/>
        </w:rPr>
        <w:t>8.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p>
    <w:p w14:paraId="6F531258">
      <w:pPr>
        <w:tabs>
          <w:tab w:val="left" w:pos="525"/>
          <w:tab w:val="left" w:pos="945"/>
          <w:tab w:val="left" w:pos="5382"/>
        </w:tabs>
        <w:spacing w:line="360" w:lineRule="auto"/>
        <w:ind w:firstLine="480"/>
        <w:jc w:val="left"/>
        <w:rPr>
          <w:rFonts w:eastAsia="宋体" w:cs="宋体"/>
          <w:color w:val="000000"/>
          <w:sz w:val="24"/>
          <w:szCs w:val="21"/>
        </w:rPr>
      </w:pPr>
      <w:r>
        <w:rPr>
          <w:rFonts w:hint="eastAsia" w:eastAsia="宋体" w:cs="宋体"/>
          <w:color w:val="000000"/>
          <w:sz w:val="24"/>
          <w:szCs w:val="21"/>
        </w:rPr>
        <w:t>9.我方委托授权（姓名：</w:t>
      </w:r>
      <w:r>
        <w:rPr>
          <w:rFonts w:hint="eastAsia" w:eastAsia="宋体" w:cs="宋体"/>
          <w:color w:val="000000"/>
          <w:sz w:val="24"/>
          <w:szCs w:val="21"/>
          <w:u w:val="single"/>
        </w:rPr>
        <w:t xml:space="preserve">       </w:t>
      </w:r>
      <w:r>
        <w:rPr>
          <w:rFonts w:hint="eastAsia" w:eastAsia="宋体" w:cs="宋体"/>
          <w:color w:val="000000"/>
          <w:sz w:val="24"/>
          <w:szCs w:val="21"/>
        </w:rPr>
        <w:t>，身份证号：_________，联系电话：________）作为我方的代理人参加本项目投标，负责提交投标文件以及其它相关资料，参加开标，接受质询并予以澄清，签署、接受招投标过程中的各种法律文件，办理投标过程中的其他相关事务。</w:t>
      </w:r>
    </w:p>
    <w:p w14:paraId="6A368D92">
      <w:pPr>
        <w:tabs>
          <w:tab w:val="left" w:pos="525"/>
          <w:tab w:val="left" w:pos="945"/>
          <w:tab w:val="left" w:pos="5382"/>
        </w:tabs>
        <w:spacing w:line="360" w:lineRule="auto"/>
        <w:ind w:firstLine="480"/>
        <w:jc w:val="left"/>
        <w:rPr>
          <w:rFonts w:eastAsia="宋体" w:cs="宋体"/>
          <w:color w:val="000000"/>
          <w:sz w:val="24"/>
          <w:szCs w:val="21"/>
        </w:rPr>
      </w:pPr>
      <w:r>
        <w:rPr>
          <w:rFonts w:hint="eastAsia" w:eastAsia="宋体" w:cs="宋体"/>
          <w:color w:val="000000"/>
          <w:sz w:val="24"/>
          <w:szCs w:val="21"/>
        </w:rPr>
        <w:t>10.我方承诺将严格遵守相关法律法规，若存在违法违规行为，将承担相应的法律后果。</w:t>
      </w:r>
    </w:p>
    <w:p w14:paraId="08F6FA30">
      <w:pPr>
        <w:tabs>
          <w:tab w:val="left" w:pos="945"/>
        </w:tabs>
        <w:spacing w:line="360" w:lineRule="auto"/>
        <w:jc w:val="right"/>
        <w:rPr>
          <w:rFonts w:eastAsia="宋体" w:cs="宋体"/>
          <w:color w:val="000000"/>
          <w:sz w:val="24"/>
          <w:szCs w:val="21"/>
        </w:rPr>
      </w:pPr>
    </w:p>
    <w:p w14:paraId="391DF8DC">
      <w:pPr>
        <w:tabs>
          <w:tab w:val="left" w:pos="945"/>
        </w:tabs>
        <w:spacing w:line="360" w:lineRule="auto"/>
        <w:jc w:val="right"/>
        <w:rPr>
          <w:rFonts w:eastAsia="宋体" w:cs="宋体"/>
          <w:color w:val="000000"/>
          <w:sz w:val="24"/>
          <w:szCs w:val="21"/>
        </w:rPr>
      </w:pPr>
    </w:p>
    <w:bookmarkEnd w:id="24"/>
    <w:p w14:paraId="14024178">
      <w:pPr>
        <w:snapToGrid w:val="0"/>
        <w:spacing w:line="360" w:lineRule="auto"/>
        <w:jc w:val="center"/>
        <w:outlineLvl w:val="4"/>
        <w:rPr>
          <w:rFonts w:ascii="宋体" w:hAnsi="宋体" w:eastAsia="宋体" w:cs="宋体"/>
          <w:bCs/>
          <w:sz w:val="24"/>
        </w:rPr>
      </w:pPr>
      <w:r>
        <w:rPr>
          <w:rFonts w:hint="eastAsia" w:ascii="宋体" w:hAnsi="宋体" w:eastAsia="宋体" w:cs="宋体"/>
          <w:bCs/>
          <w:sz w:val="24"/>
        </w:rPr>
        <w:t xml:space="preserve">  投标人（加盖CA电子签章）： </w:t>
      </w:r>
    </w:p>
    <w:p w14:paraId="13173607">
      <w:pPr>
        <w:spacing w:line="360" w:lineRule="auto"/>
        <w:ind w:firstLine="566"/>
        <w:rPr>
          <w:rFonts w:ascii="宋体" w:hAnsi="宋体" w:eastAsia="宋体" w:cs="宋体"/>
          <w:bCs/>
          <w:sz w:val="24"/>
        </w:rPr>
      </w:pPr>
      <w:r>
        <w:rPr>
          <w:rFonts w:hint="eastAsia" w:ascii="宋体" w:hAnsi="宋体" w:eastAsia="宋体" w:cs="宋体"/>
          <w:bCs/>
          <w:sz w:val="24"/>
        </w:rPr>
        <w:t xml:space="preserve">                    法定代表人或被授权人（签字或加盖CA电子签章）： </w:t>
      </w:r>
    </w:p>
    <w:p w14:paraId="1A53167F">
      <w:pPr>
        <w:spacing w:line="360" w:lineRule="auto"/>
        <w:ind w:firstLine="2920" w:firstLineChars="1217"/>
        <w:rPr>
          <w:rFonts w:eastAsia="宋体" w:cs="宋体"/>
          <w:color w:val="000000"/>
          <w:sz w:val="24"/>
          <w:szCs w:val="21"/>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1AD3F9DF">
      <w:pPr>
        <w:rPr>
          <w:rFonts w:eastAsia="宋体" w:cs="宋体"/>
          <w:b/>
          <w:bCs/>
          <w:color w:val="000000"/>
          <w:sz w:val="28"/>
          <w:szCs w:val="28"/>
        </w:rPr>
      </w:pPr>
      <w:r>
        <w:rPr>
          <w:rFonts w:hint="eastAsia" w:eastAsia="宋体" w:cs="宋体"/>
          <w:color w:val="000000"/>
          <w:sz w:val="24"/>
          <w:szCs w:val="21"/>
        </w:rPr>
        <w:br w:type="page" w:clear="all"/>
      </w:r>
    </w:p>
    <w:p w14:paraId="0F3F99D8">
      <w:pPr>
        <w:spacing w:line="360" w:lineRule="auto"/>
        <w:jc w:val="center"/>
        <w:outlineLvl w:val="3"/>
        <w:rPr>
          <w:rFonts w:eastAsia="宋体" w:cs="宋体"/>
          <w:b/>
          <w:bCs/>
          <w:color w:val="000000"/>
          <w:sz w:val="28"/>
          <w:szCs w:val="28"/>
        </w:rPr>
      </w:pPr>
      <w:r>
        <w:rPr>
          <w:rFonts w:hint="eastAsia" w:eastAsia="宋体" w:cs="宋体"/>
          <w:b/>
          <w:bCs/>
          <w:color w:val="000000"/>
          <w:sz w:val="28"/>
          <w:szCs w:val="28"/>
        </w:rPr>
        <w:t>10.投标响应函（格式不得变动）</w:t>
      </w:r>
    </w:p>
    <w:p w14:paraId="5AFAB1B2">
      <w:pPr>
        <w:spacing w:line="360" w:lineRule="auto"/>
        <w:jc w:val="left"/>
        <w:rPr>
          <w:rFonts w:eastAsia="宋体" w:cs="宋体"/>
          <w:color w:val="000000"/>
          <w:sz w:val="24"/>
          <w:szCs w:val="21"/>
          <w:u w:val="single"/>
        </w:rPr>
      </w:pPr>
    </w:p>
    <w:p w14:paraId="51B3B7E5">
      <w:pPr>
        <w:spacing w:line="360" w:lineRule="auto"/>
        <w:jc w:val="left"/>
        <w:rPr>
          <w:rFonts w:eastAsia="宋体" w:cs="宋体"/>
          <w:color w:val="000000"/>
          <w:sz w:val="24"/>
          <w:szCs w:val="21"/>
        </w:rPr>
      </w:pPr>
      <w:r>
        <w:rPr>
          <w:rFonts w:hint="eastAsia" w:eastAsia="宋体" w:cs="宋体"/>
          <w:color w:val="000000"/>
          <w:sz w:val="24"/>
          <w:szCs w:val="21"/>
          <w:u w:val="single"/>
        </w:rPr>
        <w:t xml:space="preserve">                </w:t>
      </w:r>
      <w:r>
        <w:rPr>
          <w:rFonts w:hint="eastAsia" w:eastAsia="宋体" w:cs="宋体"/>
          <w:color w:val="000000"/>
          <w:sz w:val="24"/>
          <w:szCs w:val="21"/>
        </w:rPr>
        <w:t>（采购人）：</w:t>
      </w:r>
    </w:p>
    <w:p w14:paraId="410B1D58">
      <w:pPr>
        <w:spacing w:line="360" w:lineRule="auto"/>
        <w:ind w:firstLine="480"/>
        <w:rPr>
          <w:rFonts w:eastAsia="宋体" w:cs="宋体"/>
          <w:color w:val="000000"/>
          <w:sz w:val="24"/>
          <w:szCs w:val="21"/>
        </w:rPr>
      </w:pPr>
      <w:r>
        <w:rPr>
          <w:rFonts w:hint="eastAsia" w:eastAsia="宋体" w:cs="宋体"/>
          <w:color w:val="000000"/>
          <w:sz w:val="24"/>
          <w:szCs w:val="21"/>
        </w:rPr>
        <w:t>依据贵单位</w:t>
      </w:r>
      <w:r>
        <w:rPr>
          <w:rFonts w:hint="eastAsia" w:eastAsia="宋体" w:cs="宋体"/>
          <w:color w:val="000000"/>
          <w:sz w:val="24"/>
          <w:szCs w:val="21"/>
          <w:u w:val="single"/>
        </w:rPr>
        <w:t xml:space="preserve">         </w:t>
      </w:r>
      <w:r>
        <w:rPr>
          <w:rFonts w:hint="eastAsia" w:eastAsia="宋体" w:cs="宋体"/>
          <w:color w:val="000000"/>
          <w:sz w:val="24"/>
          <w:szCs w:val="21"/>
        </w:rPr>
        <w:t>（招标项目名称）项目公开招标采购的邀请，我方授权</w:t>
      </w:r>
      <w:r>
        <w:rPr>
          <w:rFonts w:hint="eastAsia" w:eastAsia="宋体" w:cs="宋体"/>
          <w:color w:val="000000"/>
          <w:sz w:val="24"/>
          <w:szCs w:val="21"/>
          <w:u w:val="single"/>
        </w:rPr>
        <w:t xml:space="preserve">       </w:t>
      </w:r>
      <w:r>
        <w:rPr>
          <w:rFonts w:hint="eastAsia" w:eastAsia="宋体" w:cs="宋体"/>
          <w:color w:val="000000"/>
          <w:sz w:val="24"/>
          <w:szCs w:val="21"/>
        </w:rPr>
        <w:t>（姓名）</w:t>
      </w:r>
      <w:r>
        <w:rPr>
          <w:rFonts w:hint="eastAsia" w:eastAsia="宋体" w:cs="宋体"/>
          <w:color w:val="000000"/>
          <w:sz w:val="24"/>
          <w:szCs w:val="21"/>
          <w:u w:val="single"/>
        </w:rPr>
        <w:t xml:space="preserve">      </w:t>
      </w:r>
      <w:r>
        <w:rPr>
          <w:rFonts w:hint="eastAsia" w:eastAsia="宋体" w:cs="宋体"/>
          <w:color w:val="000000"/>
          <w:sz w:val="24"/>
          <w:szCs w:val="21"/>
        </w:rPr>
        <w:t>（职务）为全权代表参加该项目的投标工作，全权处理本次投标的有关事宜。同时，我公司声明如下：</w:t>
      </w:r>
    </w:p>
    <w:p w14:paraId="18A203F1">
      <w:pPr>
        <w:spacing w:line="360" w:lineRule="auto"/>
        <w:ind w:firstLine="480"/>
        <w:rPr>
          <w:rFonts w:eastAsia="宋体" w:cs="宋体"/>
          <w:color w:val="000000"/>
          <w:sz w:val="24"/>
          <w:szCs w:val="21"/>
        </w:rPr>
      </w:pPr>
      <w:r>
        <w:rPr>
          <w:rFonts w:hint="eastAsia" w:eastAsia="宋体" w:cs="宋体"/>
          <w:color w:val="000000"/>
          <w:sz w:val="24"/>
          <w:szCs w:val="21"/>
        </w:rPr>
        <w:t>1.我方同意并接受本项目招标文件的各项要求，遵守招标文件中的各项规定，按招标文件的要求提供报价。</w:t>
      </w:r>
    </w:p>
    <w:p w14:paraId="0DC41F6F">
      <w:pPr>
        <w:spacing w:line="360" w:lineRule="auto"/>
        <w:ind w:firstLine="480"/>
        <w:rPr>
          <w:rFonts w:eastAsia="宋体" w:cs="宋体"/>
          <w:color w:val="000000"/>
          <w:sz w:val="24"/>
          <w:szCs w:val="21"/>
        </w:rPr>
      </w:pPr>
      <w:r>
        <w:rPr>
          <w:rFonts w:hint="eastAsia" w:eastAsia="宋体" w:cs="宋体"/>
          <w:color w:val="000000"/>
          <w:sz w:val="24"/>
          <w:szCs w:val="21"/>
        </w:rPr>
        <w:t>2.我方已经详细审查了全部招标文件，我方已完全清晰理解招标文件的要求，不存在任何含糊不清和误解之处，同意放弃对这些文件所提出的异议和质疑的权利。</w:t>
      </w:r>
    </w:p>
    <w:p w14:paraId="3EAEAEA2">
      <w:pPr>
        <w:spacing w:line="360" w:lineRule="auto"/>
        <w:ind w:firstLine="480"/>
        <w:rPr>
          <w:rFonts w:eastAsia="宋体" w:cs="宋体"/>
          <w:color w:val="000000"/>
          <w:sz w:val="24"/>
          <w:szCs w:val="21"/>
        </w:rPr>
      </w:pPr>
      <w:r>
        <w:rPr>
          <w:rFonts w:hint="eastAsia" w:eastAsia="宋体" w:cs="宋体"/>
          <w:color w:val="000000"/>
          <w:sz w:val="24"/>
          <w:szCs w:val="21"/>
        </w:rPr>
        <w:t>3.我方愿意提供招标人在招标文件中要求的所有资料。</w:t>
      </w:r>
    </w:p>
    <w:p w14:paraId="494FD7CE">
      <w:pPr>
        <w:spacing w:line="360" w:lineRule="auto"/>
        <w:ind w:firstLine="480"/>
        <w:rPr>
          <w:rFonts w:eastAsia="宋体" w:cs="宋体"/>
          <w:color w:val="000000"/>
          <w:sz w:val="24"/>
          <w:szCs w:val="21"/>
        </w:rPr>
      </w:pPr>
      <w:r>
        <w:rPr>
          <w:rFonts w:hint="eastAsia" w:eastAsia="宋体" w:cs="宋体"/>
          <w:color w:val="000000"/>
          <w:sz w:val="24"/>
          <w:szCs w:val="21"/>
        </w:rPr>
        <w:t>4.我方承诺在本次招标响应中提供的一切文件，无论是原件还是复印件均真实有效，绝无任何虚假、伪造和夸大的成份。否则，愿承担相应的后果和法律责任。</w:t>
      </w:r>
    </w:p>
    <w:p w14:paraId="47525B70">
      <w:pPr>
        <w:spacing w:line="360" w:lineRule="auto"/>
        <w:ind w:firstLine="480"/>
        <w:rPr>
          <w:rFonts w:eastAsia="宋体" w:cs="宋体"/>
          <w:color w:val="000000"/>
          <w:sz w:val="24"/>
          <w:szCs w:val="21"/>
        </w:rPr>
      </w:pPr>
      <w:r>
        <w:rPr>
          <w:rFonts w:hint="eastAsia" w:eastAsia="宋体" w:cs="宋体"/>
          <w:color w:val="000000"/>
          <w:sz w:val="24"/>
          <w:szCs w:val="21"/>
        </w:rPr>
        <w:t>5.我方尊重评标小组所作的评定结果，同时也清楚理解到投标报价最低并非意味着必定获得中标资格。</w:t>
      </w:r>
    </w:p>
    <w:p w14:paraId="45C2DC1E">
      <w:pPr>
        <w:spacing w:line="360" w:lineRule="auto"/>
        <w:ind w:firstLine="480"/>
        <w:rPr>
          <w:rFonts w:eastAsia="宋体" w:cs="宋体"/>
          <w:color w:val="000000"/>
          <w:sz w:val="24"/>
          <w:szCs w:val="21"/>
        </w:rPr>
      </w:pPr>
      <w:r>
        <w:rPr>
          <w:rFonts w:hint="eastAsia" w:eastAsia="宋体" w:cs="宋体"/>
          <w:color w:val="000000"/>
          <w:sz w:val="24"/>
          <w:szCs w:val="21"/>
        </w:rPr>
        <w:t xml:space="preserve">6.一旦我方中标，我方将根据招标文件的规定，严格履行招标文件中规定的每一项要求，按期、按质、按量履行合同的义务。 </w:t>
      </w:r>
    </w:p>
    <w:p w14:paraId="3AF8F5E3">
      <w:pPr>
        <w:spacing w:line="360" w:lineRule="auto"/>
        <w:ind w:firstLine="480"/>
        <w:jc w:val="right"/>
        <w:rPr>
          <w:rFonts w:eastAsia="宋体" w:cs="宋体"/>
          <w:color w:val="000000"/>
          <w:sz w:val="24"/>
          <w:szCs w:val="21"/>
        </w:rPr>
      </w:pPr>
    </w:p>
    <w:p w14:paraId="6E46BD15">
      <w:pPr>
        <w:snapToGrid w:val="0"/>
        <w:spacing w:line="360" w:lineRule="auto"/>
        <w:jc w:val="center"/>
        <w:outlineLvl w:val="4"/>
        <w:rPr>
          <w:rFonts w:ascii="宋体" w:hAnsi="宋体" w:eastAsia="宋体" w:cs="宋体"/>
          <w:bCs/>
          <w:sz w:val="24"/>
        </w:rPr>
      </w:pPr>
      <w:r>
        <w:rPr>
          <w:rFonts w:hint="eastAsia" w:ascii="宋体" w:hAnsi="宋体" w:eastAsia="宋体" w:cs="宋体"/>
          <w:bCs/>
          <w:sz w:val="24"/>
        </w:rPr>
        <w:t xml:space="preserve">    投标人（加盖CA电子签章）： </w:t>
      </w:r>
    </w:p>
    <w:p w14:paraId="03727E15">
      <w:pPr>
        <w:spacing w:line="360" w:lineRule="auto"/>
        <w:ind w:firstLine="566"/>
        <w:rPr>
          <w:rFonts w:ascii="宋体" w:hAnsi="宋体" w:eastAsia="宋体" w:cs="宋体"/>
          <w:bCs/>
          <w:sz w:val="24"/>
        </w:rPr>
      </w:pPr>
      <w:r>
        <w:rPr>
          <w:rFonts w:hint="eastAsia" w:ascii="宋体" w:hAnsi="宋体" w:eastAsia="宋体" w:cs="宋体"/>
          <w:bCs/>
          <w:sz w:val="24"/>
        </w:rPr>
        <w:t xml:space="preserve">                     法定代表人或被授权人（签字或加盖CA电子签章）： </w:t>
      </w:r>
    </w:p>
    <w:p w14:paraId="10264786">
      <w:pPr>
        <w:spacing w:line="360" w:lineRule="auto"/>
        <w:jc w:val="center"/>
        <w:rPr>
          <w:rFonts w:eastAsia="宋体" w:cs="宋体"/>
          <w:color w:val="000000"/>
          <w:sz w:val="24"/>
          <w:szCs w:val="21"/>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78582C7D">
      <w:pPr>
        <w:pStyle w:val="20"/>
        <w:ind w:firstLine="723"/>
        <w:rPr>
          <w:rFonts w:ascii="Times New Roman" w:hAnsi="Times New Roman"/>
          <w:color w:val="000000"/>
        </w:rPr>
      </w:pPr>
    </w:p>
    <w:p w14:paraId="627698A6">
      <w:pPr>
        <w:spacing w:line="360" w:lineRule="auto"/>
        <w:ind w:firstLine="482"/>
        <w:jc w:val="center"/>
        <w:rPr>
          <w:rFonts w:eastAsia="宋体" w:cs="宋体"/>
          <w:b/>
          <w:bCs/>
          <w:color w:val="000000"/>
          <w:sz w:val="24"/>
          <w:szCs w:val="24"/>
        </w:rPr>
      </w:pPr>
      <w:r>
        <w:rPr>
          <w:rFonts w:hint="eastAsia" w:eastAsia="宋体" w:cs="宋体"/>
          <w:b/>
          <w:bCs/>
          <w:color w:val="000000"/>
          <w:szCs w:val="21"/>
        </w:rPr>
        <w:br w:type="page" w:clear="all"/>
      </w:r>
    </w:p>
    <w:p w14:paraId="4B8C2C29">
      <w:pPr>
        <w:spacing w:line="360" w:lineRule="auto"/>
        <w:jc w:val="center"/>
        <w:outlineLvl w:val="3"/>
        <w:rPr>
          <w:rFonts w:eastAsia="宋体" w:cs="宋体"/>
          <w:b/>
          <w:bCs/>
          <w:color w:val="000000"/>
          <w:sz w:val="28"/>
          <w:szCs w:val="28"/>
        </w:rPr>
      </w:pPr>
      <w:r>
        <w:rPr>
          <w:rFonts w:hint="eastAsia" w:eastAsia="宋体" w:cs="宋体"/>
          <w:b/>
          <w:bCs/>
          <w:color w:val="000000"/>
          <w:sz w:val="28"/>
          <w:szCs w:val="28"/>
        </w:rPr>
        <w:t>11.商务条款正负偏离表</w:t>
      </w:r>
    </w:p>
    <w:p w14:paraId="07DDA7B7">
      <w:pPr>
        <w:pStyle w:val="26"/>
        <w:spacing w:line="360" w:lineRule="auto"/>
        <w:rPr>
          <w:rFonts w:eastAsia="宋体" w:cs="宋体"/>
          <w:color w:val="000000"/>
          <w:szCs w:val="24"/>
        </w:rPr>
      </w:pPr>
      <w:r>
        <w:rPr>
          <w:rFonts w:hint="eastAsia" w:eastAsia="宋体" w:cs="宋体"/>
          <w:color w:val="000000"/>
          <w:szCs w:val="24"/>
        </w:rPr>
        <w:t>项目名称：</w:t>
      </w:r>
    </w:p>
    <w:p w14:paraId="2D73612C">
      <w:pPr>
        <w:pStyle w:val="26"/>
        <w:spacing w:line="360" w:lineRule="auto"/>
        <w:rPr>
          <w:rFonts w:eastAsia="宋体" w:cs="宋体"/>
          <w:color w:val="000000"/>
          <w:szCs w:val="24"/>
        </w:rPr>
      </w:pPr>
      <w:r>
        <w:rPr>
          <w:rFonts w:hint="eastAsia" w:eastAsia="宋体" w:cs="宋体"/>
          <w:color w:val="000000"/>
          <w:szCs w:val="24"/>
        </w:rPr>
        <w:t>项目编号：</w:t>
      </w:r>
    </w:p>
    <w:tbl>
      <w:tblPr>
        <w:tblStyle w:val="1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5"/>
        <w:gridCol w:w="2255"/>
        <w:gridCol w:w="2223"/>
        <w:gridCol w:w="2285"/>
        <w:gridCol w:w="1405"/>
      </w:tblGrid>
      <w:tr w14:paraId="002D7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4" w:hRule="atLeast"/>
        </w:trPr>
        <w:tc>
          <w:tcPr>
            <w:tcW w:w="851" w:type="dxa"/>
            <w:vAlign w:val="center"/>
          </w:tcPr>
          <w:p w14:paraId="618E535A">
            <w:pPr>
              <w:spacing w:line="360" w:lineRule="auto"/>
              <w:jc w:val="center"/>
              <w:rPr>
                <w:rFonts w:eastAsia="宋体" w:cs="宋体"/>
                <w:color w:val="000000"/>
                <w:sz w:val="24"/>
                <w:szCs w:val="24"/>
              </w:rPr>
            </w:pPr>
            <w:r>
              <w:rPr>
                <w:rFonts w:hint="eastAsia" w:eastAsia="宋体" w:cs="宋体"/>
                <w:color w:val="000000"/>
                <w:sz w:val="24"/>
                <w:szCs w:val="24"/>
              </w:rPr>
              <w:t>序号</w:t>
            </w:r>
          </w:p>
        </w:tc>
        <w:tc>
          <w:tcPr>
            <w:tcW w:w="2331" w:type="dxa"/>
            <w:vAlign w:val="center"/>
          </w:tcPr>
          <w:p w14:paraId="340436BE">
            <w:pPr>
              <w:spacing w:line="360" w:lineRule="auto"/>
              <w:jc w:val="center"/>
              <w:rPr>
                <w:rFonts w:eastAsia="宋体" w:cs="宋体"/>
                <w:color w:val="000000"/>
                <w:sz w:val="24"/>
                <w:szCs w:val="24"/>
              </w:rPr>
            </w:pPr>
            <w:r>
              <w:rPr>
                <w:rFonts w:hint="eastAsia" w:eastAsia="宋体" w:cs="宋体"/>
                <w:color w:val="000000"/>
                <w:sz w:val="24"/>
                <w:szCs w:val="24"/>
              </w:rPr>
              <w:t>招标文件要求的商务条款</w:t>
            </w:r>
          </w:p>
        </w:tc>
        <w:tc>
          <w:tcPr>
            <w:tcW w:w="2297" w:type="dxa"/>
            <w:vAlign w:val="center"/>
          </w:tcPr>
          <w:p w14:paraId="014F1A2D">
            <w:pPr>
              <w:spacing w:line="360" w:lineRule="auto"/>
              <w:jc w:val="center"/>
              <w:rPr>
                <w:rFonts w:eastAsia="宋体" w:cs="宋体"/>
                <w:color w:val="000000"/>
                <w:sz w:val="24"/>
                <w:szCs w:val="24"/>
              </w:rPr>
            </w:pPr>
            <w:r>
              <w:rPr>
                <w:rFonts w:hint="eastAsia" w:eastAsia="宋体" w:cs="宋体"/>
                <w:color w:val="000000"/>
                <w:sz w:val="24"/>
                <w:szCs w:val="24"/>
              </w:rPr>
              <w:t>投标文件响应情况</w:t>
            </w:r>
          </w:p>
        </w:tc>
        <w:tc>
          <w:tcPr>
            <w:tcW w:w="2362" w:type="dxa"/>
            <w:vAlign w:val="center"/>
          </w:tcPr>
          <w:p w14:paraId="7D1EA238">
            <w:pPr>
              <w:spacing w:line="360" w:lineRule="auto"/>
              <w:jc w:val="center"/>
              <w:rPr>
                <w:rFonts w:eastAsia="宋体" w:cs="宋体"/>
                <w:color w:val="000000"/>
                <w:sz w:val="24"/>
                <w:szCs w:val="24"/>
              </w:rPr>
            </w:pPr>
            <w:r>
              <w:rPr>
                <w:rFonts w:hint="eastAsia" w:eastAsia="宋体" w:cs="宋体"/>
                <w:color w:val="000000"/>
                <w:sz w:val="24"/>
                <w:szCs w:val="24"/>
              </w:rPr>
              <w:t>偏离说明</w:t>
            </w:r>
          </w:p>
        </w:tc>
        <w:tc>
          <w:tcPr>
            <w:tcW w:w="1445" w:type="dxa"/>
            <w:vAlign w:val="center"/>
          </w:tcPr>
          <w:p w14:paraId="76C66348">
            <w:pPr>
              <w:spacing w:line="360" w:lineRule="auto"/>
              <w:jc w:val="center"/>
              <w:rPr>
                <w:rFonts w:eastAsia="宋体" w:cs="宋体"/>
                <w:color w:val="000000"/>
                <w:sz w:val="24"/>
                <w:szCs w:val="24"/>
              </w:rPr>
            </w:pPr>
            <w:r>
              <w:rPr>
                <w:rFonts w:hint="eastAsia" w:eastAsia="宋体" w:cs="宋体"/>
                <w:color w:val="000000"/>
                <w:sz w:val="24"/>
                <w:szCs w:val="24"/>
              </w:rPr>
              <w:t>备注</w:t>
            </w:r>
          </w:p>
        </w:tc>
      </w:tr>
      <w:tr w14:paraId="104EE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851" w:type="dxa"/>
            <w:vAlign w:val="center"/>
          </w:tcPr>
          <w:p w14:paraId="0501AC83">
            <w:pPr>
              <w:spacing w:line="360" w:lineRule="auto"/>
              <w:jc w:val="center"/>
              <w:rPr>
                <w:rFonts w:eastAsia="宋体" w:cs="宋体"/>
                <w:color w:val="000000"/>
                <w:sz w:val="24"/>
                <w:szCs w:val="24"/>
              </w:rPr>
            </w:pPr>
            <w:r>
              <w:rPr>
                <w:rFonts w:hint="eastAsia" w:eastAsia="宋体" w:cs="宋体"/>
                <w:color w:val="000000"/>
                <w:sz w:val="24"/>
                <w:szCs w:val="24"/>
              </w:rPr>
              <w:t>1</w:t>
            </w:r>
          </w:p>
        </w:tc>
        <w:tc>
          <w:tcPr>
            <w:tcW w:w="2331" w:type="dxa"/>
            <w:vAlign w:val="center"/>
          </w:tcPr>
          <w:p w14:paraId="1BAEF722">
            <w:pPr>
              <w:spacing w:line="360" w:lineRule="auto"/>
              <w:jc w:val="left"/>
              <w:rPr>
                <w:rFonts w:eastAsia="宋体" w:cs="宋体"/>
                <w:color w:val="000000"/>
                <w:sz w:val="24"/>
                <w:szCs w:val="24"/>
              </w:rPr>
            </w:pPr>
          </w:p>
        </w:tc>
        <w:tc>
          <w:tcPr>
            <w:tcW w:w="2297" w:type="dxa"/>
            <w:vAlign w:val="center"/>
          </w:tcPr>
          <w:p w14:paraId="395A5195">
            <w:pPr>
              <w:spacing w:line="360" w:lineRule="auto"/>
              <w:jc w:val="left"/>
              <w:rPr>
                <w:rFonts w:eastAsia="宋体" w:cs="宋体"/>
                <w:color w:val="000000"/>
                <w:sz w:val="24"/>
                <w:szCs w:val="24"/>
              </w:rPr>
            </w:pPr>
          </w:p>
        </w:tc>
        <w:tc>
          <w:tcPr>
            <w:tcW w:w="2362" w:type="dxa"/>
            <w:vAlign w:val="center"/>
          </w:tcPr>
          <w:p w14:paraId="52C65631">
            <w:pPr>
              <w:spacing w:line="360" w:lineRule="auto"/>
              <w:jc w:val="left"/>
              <w:rPr>
                <w:rFonts w:eastAsia="宋体" w:cs="宋体"/>
                <w:color w:val="000000"/>
                <w:sz w:val="24"/>
                <w:szCs w:val="24"/>
              </w:rPr>
            </w:pPr>
          </w:p>
        </w:tc>
        <w:tc>
          <w:tcPr>
            <w:tcW w:w="1445" w:type="dxa"/>
          </w:tcPr>
          <w:p w14:paraId="4737EE4E">
            <w:pPr>
              <w:spacing w:line="360" w:lineRule="auto"/>
              <w:jc w:val="left"/>
              <w:rPr>
                <w:rFonts w:eastAsia="宋体" w:cs="宋体"/>
                <w:color w:val="000000"/>
                <w:sz w:val="24"/>
                <w:szCs w:val="24"/>
              </w:rPr>
            </w:pPr>
          </w:p>
        </w:tc>
      </w:tr>
      <w:tr w14:paraId="68D10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851" w:type="dxa"/>
            <w:vAlign w:val="center"/>
          </w:tcPr>
          <w:p w14:paraId="01EC850F">
            <w:pPr>
              <w:spacing w:line="360" w:lineRule="auto"/>
              <w:jc w:val="center"/>
              <w:rPr>
                <w:rFonts w:eastAsia="宋体" w:cs="宋体"/>
                <w:color w:val="000000"/>
                <w:sz w:val="24"/>
                <w:szCs w:val="24"/>
              </w:rPr>
            </w:pPr>
            <w:r>
              <w:rPr>
                <w:rFonts w:hint="eastAsia" w:eastAsia="宋体" w:cs="宋体"/>
                <w:color w:val="000000"/>
                <w:sz w:val="24"/>
                <w:szCs w:val="24"/>
              </w:rPr>
              <w:t>2</w:t>
            </w:r>
          </w:p>
        </w:tc>
        <w:tc>
          <w:tcPr>
            <w:tcW w:w="2331" w:type="dxa"/>
            <w:vAlign w:val="center"/>
          </w:tcPr>
          <w:p w14:paraId="31F18EED">
            <w:pPr>
              <w:spacing w:line="360" w:lineRule="auto"/>
              <w:jc w:val="left"/>
              <w:rPr>
                <w:rFonts w:eastAsia="宋体" w:cs="宋体"/>
                <w:color w:val="000000"/>
                <w:sz w:val="24"/>
                <w:szCs w:val="24"/>
              </w:rPr>
            </w:pPr>
          </w:p>
        </w:tc>
        <w:tc>
          <w:tcPr>
            <w:tcW w:w="2297" w:type="dxa"/>
            <w:vAlign w:val="center"/>
          </w:tcPr>
          <w:p w14:paraId="7C560D78">
            <w:pPr>
              <w:spacing w:line="360" w:lineRule="auto"/>
              <w:jc w:val="left"/>
              <w:rPr>
                <w:rFonts w:eastAsia="宋体" w:cs="宋体"/>
                <w:color w:val="000000"/>
                <w:sz w:val="24"/>
                <w:szCs w:val="24"/>
              </w:rPr>
            </w:pPr>
          </w:p>
        </w:tc>
        <w:tc>
          <w:tcPr>
            <w:tcW w:w="2362" w:type="dxa"/>
            <w:vAlign w:val="center"/>
          </w:tcPr>
          <w:p w14:paraId="4F5D8392">
            <w:pPr>
              <w:spacing w:line="360" w:lineRule="auto"/>
              <w:jc w:val="left"/>
              <w:rPr>
                <w:rFonts w:eastAsia="宋体" w:cs="宋体"/>
                <w:color w:val="000000"/>
                <w:sz w:val="24"/>
                <w:szCs w:val="24"/>
              </w:rPr>
            </w:pPr>
          </w:p>
        </w:tc>
        <w:tc>
          <w:tcPr>
            <w:tcW w:w="1445" w:type="dxa"/>
          </w:tcPr>
          <w:p w14:paraId="321A738D">
            <w:pPr>
              <w:spacing w:line="360" w:lineRule="auto"/>
              <w:jc w:val="left"/>
              <w:rPr>
                <w:rFonts w:eastAsia="宋体" w:cs="宋体"/>
                <w:color w:val="000000"/>
                <w:sz w:val="24"/>
                <w:szCs w:val="24"/>
              </w:rPr>
            </w:pPr>
          </w:p>
        </w:tc>
      </w:tr>
      <w:tr w14:paraId="6F408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851" w:type="dxa"/>
            <w:vAlign w:val="center"/>
          </w:tcPr>
          <w:p w14:paraId="227A5F6C">
            <w:pPr>
              <w:spacing w:line="360" w:lineRule="auto"/>
              <w:jc w:val="center"/>
              <w:rPr>
                <w:rFonts w:eastAsia="宋体" w:cs="宋体"/>
                <w:color w:val="000000"/>
                <w:sz w:val="24"/>
                <w:szCs w:val="24"/>
              </w:rPr>
            </w:pPr>
            <w:r>
              <w:rPr>
                <w:rFonts w:hint="eastAsia" w:eastAsia="宋体" w:cs="宋体"/>
                <w:color w:val="000000"/>
                <w:sz w:val="24"/>
                <w:szCs w:val="24"/>
              </w:rPr>
              <w:t>3</w:t>
            </w:r>
          </w:p>
        </w:tc>
        <w:tc>
          <w:tcPr>
            <w:tcW w:w="2331" w:type="dxa"/>
            <w:vAlign w:val="center"/>
          </w:tcPr>
          <w:p w14:paraId="36C01E41">
            <w:pPr>
              <w:spacing w:line="360" w:lineRule="auto"/>
              <w:jc w:val="left"/>
              <w:rPr>
                <w:rFonts w:eastAsia="宋体" w:cs="宋体"/>
                <w:color w:val="000000"/>
                <w:sz w:val="24"/>
                <w:szCs w:val="24"/>
              </w:rPr>
            </w:pPr>
          </w:p>
        </w:tc>
        <w:tc>
          <w:tcPr>
            <w:tcW w:w="2297" w:type="dxa"/>
            <w:vAlign w:val="center"/>
          </w:tcPr>
          <w:p w14:paraId="7BA5F744">
            <w:pPr>
              <w:spacing w:line="360" w:lineRule="auto"/>
              <w:jc w:val="left"/>
              <w:rPr>
                <w:rFonts w:eastAsia="宋体" w:cs="宋体"/>
                <w:color w:val="000000"/>
                <w:sz w:val="24"/>
                <w:szCs w:val="24"/>
              </w:rPr>
            </w:pPr>
          </w:p>
        </w:tc>
        <w:tc>
          <w:tcPr>
            <w:tcW w:w="2362" w:type="dxa"/>
            <w:vAlign w:val="center"/>
          </w:tcPr>
          <w:p w14:paraId="6DFFDF96">
            <w:pPr>
              <w:spacing w:line="360" w:lineRule="auto"/>
              <w:jc w:val="left"/>
              <w:rPr>
                <w:rFonts w:eastAsia="宋体" w:cs="宋体"/>
                <w:color w:val="000000"/>
                <w:sz w:val="24"/>
                <w:szCs w:val="24"/>
              </w:rPr>
            </w:pPr>
          </w:p>
        </w:tc>
        <w:tc>
          <w:tcPr>
            <w:tcW w:w="1445" w:type="dxa"/>
          </w:tcPr>
          <w:p w14:paraId="683C499F">
            <w:pPr>
              <w:spacing w:line="360" w:lineRule="auto"/>
              <w:jc w:val="left"/>
              <w:rPr>
                <w:rFonts w:eastAsia="宋体" w:cs="宋体"/>
                <w:color w:val="000000"/>
                <w:sz w:val="24"/>
                <w:szCs w:val="24"/>
              </w:rPr>
            </w:pPr>
          </w:p>
        </w:tc>
      </w:tr>
      <w:tr w14:paraId="55FAA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851" w:type="dxa"/>
            <w:vAlign w:val="center"/>
          </w:tcPr>
          <w:p w14:paraId="61C64B00">
            <w:pPr>
              <w:spacing w:line="360" w:lineRule="auto"/>
              <w:jc w:val="center"/>
              <w:rPr>
                <w:rFonts w:eastAsia="宋体" w:cs="宋体"/>
                <w:color w:val="000000"/>
                <w:sz w:val="24"/>
                <w:szCs w:val="24"/>
              </w:rPr>
            </w:pPr>
            <w:r>
              <w:rPr>
                <w:rFonts w:hint="eastAsia" w:eastAsia="宋体" w:cs="宋体"/>
                <w:color w:val="000000"/>
                <w:sz w:val="24"/>
                <w:szCs w:val="24"/>
              </w:rPr>
              <w:t>4</w:t>
            </w:r>
          </w:p>
        </w:tc>
        <w:tc>
          <w:tcPr>
            <w:tcW w:w="2331" w:type="dxa"/>
            <w:vAlign w:val="center"/>
          </w:tcPr>
          <w:p w14:paraId="2F5E6AE2">
            <w:pPr>
              <w:spacing w:line="360" w:lineRule="auto"/>
              <w:jc w:val="left"/>
              <w:rPr>
                <w:rFonts w:eastAsia="宋体" w:cs="宋体"/>
                <w:color w:val="000000"/>
                <w:sz w:val="24"/>
                <w:szCs w:val="24"/>
              </w:rPr>
            </w:pPr>
          </w:p>
        </w:tc>
        <w:tc>
          <w:tcPr>
            <w:tcW w:w="2297" w:type="dxa"/>
            <w:vAlign w:val="center"/>
          </w:tcPr>
          <w:p w14:paraId="5EB182B0">
            <w:pPr>
              <w:spacing w:line="360" w:lineRule="auto"/>
              <w:jc w:val="left"/>
              <w:rPr>
                <w:rFonts w:eastAsia="宋体" w:cs="宋体"/>
                <w:color w:val="000000"/>
                <w:sz w:val="24"/>
                <w:szCs w:val="24"/>
              </w:rPr>
            </w:pPr>
          </w:p>
        </w:tc>
        <w:tc>
          <w:tcPr>
            <w:tcW w:w="2362" w:type="dxa"/>
            <w:vAlign w:val="center"/>
          </w:tcPr>
          <w:p w14:paraId="35D7D5C8">
            <w:pPr>
              <w:spacing w:line="360" w:lineRule="auto"/>
              <w:jc w:val="left"/>
              <w:rPr>
                <w:rFonts w:eastAsia="宋体" w:cs="宋体"/>
                <w:color w:val="000000"/>
                <w:sz w:val="24"/>
                <w:szCs w:val="24"/>
              </w:rPr>
            </w:pPr>
          </w:p>
        </w:tc>
        <w:tc>
          <w:tcPr>
            <w:tcW w:w="1445" w:type="dxa"/>
          </w:tcPr>
          <w:p w14:paraId="1E3940CE">
            <w:pPr>
              <w:spacing w:line="360" w:lineRule="auto"/>
              <w:jc w:val="left"/>
              <w:rPr>
                <w:rFonts w:eastAsia="宋体" w:cs="宋体"/>
                <w:color w:val="000000"/>
                <w:sz w:val="24"/>
                <w:szCs w:val="24"/>
              </w:rPr>
            </w:pPr>
          </w:p>
        </w:tc>
      </w:tr>
    </w:tbl>
    <w:p w14:paraId="5DEDE361">
      <w:pPr>
        <w:spacing w:line="360" w:lineRule="auto"/>
        <w:rPr>
          <w:rFonts w:eastAsia="宋体" w:cs="宋体"/>
          <w:color w:val="000000"/>
          <w:sz w:val="24"/>
          <w:szCs w:val="24"/>
        </w:rPr>
      </w:pPr>
    </w:p>
    <w:p w14:paraId="5D869902">
      <w:pPr>
        <w:snapToGrid w:val="0"/>
        <w:spacing w:line="360" w:lineRule="auto"/>
        <w:jc w:val="left"/>
        <w:outlineLvl w:val="4"/>
        <w:rPr>
          <w:rFonts w:ascii="宋体" w:hAnsi="宋体" w:eastAsia="宋体" w:cs="宋体"/>
          <w:bCs/>
          <w:sz w:val="24"/>
        </w:rPr>
      </w:pPr>
      <w:r>
        <w:rPr>
          <w:rFonts w:hint="eastAsia" w:ascii="宋体" w:hAnsi="宋体" w:eastAsia="宋体" w:cs="宋体"/>
          <w:bCs/>
          <w:sz w:val="24"/>
        </w:rPr>
        <w:t xml:space="preserve">投标人（加盖CA电子签章）： </w:t>
      </w:r>
    </w:p>
    <w:p w14:paraId="4FCA5C60">
      <w:pPr>
        <w:snapToGrid w:val="0"/>
        <w:spacing w:line="360" w:lineRule="auto"/>
        <w:jc w:val="left"/>
        <w:outlineLvl w:val="4"/>
        <w:rPr>
          <w:rFonts w:ascii="宋体" w:hAnsi="宋体" w:eastAsia="宋体" w:cs="宋体"/>
          <w:bCs/>
          <w:sz w:val="24"/>
        </w:rPr>
      </w:pPr>
      <w:r>
        <w:rPr>
          <w:rFonts w:hint="eastAsia" w:ascii="宋体" w:hAnsi="宋体" w:eastAsia="宋体" w:cs="宋体"/>
          <w:bCs/>
          <w:sz w:val="24"/>
        </w:rPr>
        <w:t xml:space="preserve">法定代表人或被授权人（签字或加盖CA电子签章）： </w:t>
      </w:r>
    </w:p>
    <w:p w14:paraId="7DAB11C5">
      <w:pPr>
        <w:pStyle w:val="26"/>
        <w:spacing w:line="360" w:lineRule="auto"/>
        <w:rPr>
          <w:rFonts w:eastAsia="宋体" w:cs="宋体"/>
          <w:color w:val="000000"/>
          <w:szCs w:val="24"/>
        </w:rPr>
      </w:pPr>
      <w:r>
        <w:rPr>
          <w:rFonts w:hint="eastAsia" w:ascii="宋体" w:hAnsi="宋体" w:eastAsia="宋体" w:cs="宋体"/>
          <w:bCs/>
          <w:lang w:val="zh-CN"/>
        </w:rPr>
        <w:t>时间：</w:t>
      </w:r>
      <w:r>
        <w:rPr>
          <w:rFonts w:hint="eastAsia" w:ascii="宋体" w:hAnsi="宋体" w:eastAsia="宋体" w:cs="宋体"/>
          <w:bCs/>
        </w:rPr>
        <w:t>2026年</w:t>
      </w:r>
      <w:r>
        <w:rPr>
          <w:rFonts w:hint="eastAsia" w:ascii="宋体" w:hAnsi="宋体" w:eastAsia="宋体" w:cs="宋体"/>
          <w:bCs/>
          <w:lang w:val="zh-CN"/>
        </w:rPr>
        <w:t xml:space="preserve">  月   日</w:t>
      </w:r>
    </w:p>
    <w:p w14:paraId="7FD6D712">
      <w:pPr>
        <w:pStyle w:val="26"/>
        <w:spacing w:line="360" w:lineRule="auto"/>
        <w:rPr>
          <w:rFonts w:eastAsia="宋体" w:cs="宋体"/>
          <w:color w:val="000000"/>
          <w:szCs w:val="24"/>
        </w:rPr>
      </w:pPr>
    </w:p>
    <w:p w14:paraId="3B9CFB56">
      <w:pPr>
        <w:spacing w:line="360" w:lineRule="auto"/>
        <w:ind w:firstLine="480"/>
        <w:rPr>
          <w:rFonts w:eastAsia="宋体" w:cs="宋体"/>
          <w:color w:val="000000"/>
          <w:sz w:val="24"/>
          <w:szCs w:val="24"/>
        </w:rPr>
      </w:pPr>
      <w:r>
        <w:rPr>
          <w:rFonts w:hint="eastAsia" w:eastAsia="宋体" w:cs="宋体"/>
          <w:color w:val="000000"/>
          <w:sz w:val="24"/>
          <w:szCs w:val="24"/>
          <w:lang w:val="zh-CN"/>
        </w:rPr>
        <w:t>注：1</w:t>
      </w:r>
      <w:r>
        <w:rPr>
          <w:rFonts w:hint="eastAsia" w:eastAsia="宋体" w:cs="宋体"/>
          <w:color w:val="000000"/>
          <w:sz w:val="24"/>
          <w:szCs w:val="24"/>
        </w:rPr>
        <w:t>.</w:t>
      </w:r>
      <w:r>
        <w:rPr>
          <w:rFonts w:hint="eastAsia" w:eastAsia="宋体" w:cs="宋体"/>
          <w:color w:val="000000"/>
          <w:sz w:val="24"/>
          <w:szCs w:val="24"/>
          <w:lang w:val="zh-CN"/>
        </w:rPr>
        <w:t>供应商提交的响应文件中与招标文件第三部分“项目需求”中的</w:t>
      </w:r>
      <w:r>
        <w:rPr>
          <w:rFonts w:hint="eastAsia" w:eastAsia="宋体" w:cs="宋体"/>
          <w:b/>
          <w:bCs/>
          <w:color w:val="000000"/>
          <w:sz w:val="24"/>
          <w:szCs w:val="24"/>
          <w:lang w:val="zh-CN"/>
        </w:rPr>
        <w:t>商务</w:t>
      </w:r>
      <w:r>
        <w:rPr>
          <w:rFonts w:hint="eastAsia" w:eastAsia="宋体" w:cs="宋体"/>
          <w:color w:val="000000"/>
          <w:sz w:val="24"/>
          <w:szCs w:val="24"/>
          <w:lang w:val="zh-CN"/>
        </w:rPr>
        <w:t>要求，应逐条填列在偏离表中。也可以提供经签署、盖章的空白表格，招标人将视为供应商完全接受第三部分“项目需求”中的商务部分的条款内容。</w:t>
      </w:r>
    </w:p>
    <w:p w14:paraId="55FFE753">
      <w:pPr>
        <w:spacing w:line="360" w:lineRule="auto"/>
        <w:ind w:firstLine="480"/>
        <w:rPr>
          <w:rFonts w:eastAsia="宋体" w:cs="宋体"/>
          <w:color w:val="000000"/>
          <w:sz w:val="24"/>
          <w:szCs w:val="24"/>
        </w:rPr>
      </w:pPr>
      <w:r>
        <w:rPr>
          <w:rFonts w:hint="eastAsia" w:eastAsia="宋体" w:cs="宋体"/>
          <w:color w:val="000000"/>
          <w:sz w:val="24"/>
          <w:szCs w:val="24"/>
          <w:lang w:val="zh-CN"/>
        </w:rPr>
        <w:t>2</w:t>
      </w:r>
      <w:r>
        <w:rPr>
          <w:rFonts w:hint="eastAsia" w:eastAsia="宋体" w:cs="宋体"/>
          <w:color w:val="000000"/>
          <w:sz w:val="24"/>
          <w:szCs w:val="24"/>
        </w:rPr>
        <w:t>.</w:t>
      </w:r>
      <w:r>
        <w:rPr>
          <w:rFonts w:hint="eastAsia" w:eastAsia="宋体" w:cs="宋体"/>
          <w:color w:val="000000"/>
          <w:sz w:val="24"/>
          <w:szCs w:val="24"/>
          <w:lang w:val="zh-CN"/>
        </w:rPr>
        <w:t>“偏离说明”一栏选择“正偏离”、“负偏离”进行填写。正偏离的确认和负偏离的是否响应采购文件，经三分之二评委认定。</w:t>
      </w:r>
    </w:p>
    <w:p w14:paraId="418B9C0B">
      <w:pPr>
        <w:spacing w:line="360" w:lineRule="auto"/>
        <w:ind w:firstLine="480"/>
        <w:rPr>
          <w:rFonts w:eastAsia="宋体" w:cs="宋体"/>
          <w:color w:val="000000"/>
          <w:sz w:val="24"/>
          <w:szCs w:val="24"/>
        </w:rPr>
      </w:pPr>
      <w:r>
        <w:rPr>
          <w:rFonts w:hint="eastAsia" w:eastAsia="宋体" w:cs="宋体"/>
          <w:color w:val="000000"/>
          <w:sz w:val="24"/>
          <w:szCs w:val="24"/>
          <w:lang w:val="zh-CN"/>
        </w:rPr>
        <w:t>3</w:t>
      </w:r>
      <w:r>
        <w:rPr>
          <w:rFonts w:hint="eastAsia" w:eastAsia="宋体" w:cs="宋体"/>
          <w:color w:val="000000"/>
          <w:sz w:val="24"/>
          <w:szCs w:val="24"/>
        </w:rPr>
        <w:t>.</w:t>
      </w:r>
      <w:r>
        <w:rPr>
          <w:rFonts w:hint="eastAsia" w:eastAsia="宋体" w:cs="宋体"/>
          <w:color w:val="000000"/>
          <w:sz w:val="24"/>
          <w:szCs w:val="24"/>
          <w:lang w:val="zh-CN"/>
        </w:rPr>
        <w:t>供应商如果虚假响应，将承担被暂停参加招标人招标活动的风险。</w:t>
      </w:r>
    </w:p>
    <w:p w14:paraId="187B5DE0">
      <w:pPr>
        <w:spacing w:line="360" w:lineRule="auto"/>
        <w:ind w:firstLine="480"/>
        <w:rPr>
          <w:rFonts w:eastAsia="宋体" w:cs="宋体"/>
          <w:color w:val="000000"/>
          <w:sz w:val="24"/>
          <w:szCs w:val="24"/>
        </w:rPr>
      </w:pPr>
      <w:r>
        <w:rPr>
          <w:rFonts w:hint="eastAsia" w:eastAsia="宋体" w:cs="宋体"/>
          <w:color w:val="000000"/>
          <w:sz w:val="24"/>
          <w:szCs w:val="24"/>
          <w:lang w:val="zh-CN"/>
        </w:rPr>
        <w:t>4</w:t>
      </w:r>
      <w:r>
        <w:rPr>
          <w:rFonts w:hint="eastAsia" w:eastAsia="宋体" w:cs="宋体"/>
          <w:color w:val="000000"/>
          <w:sz w:val="24"/>
          <w:szCs w:val="24"/>
        </w:rPr>
        <w:t>.</w:t>
      </w:r>
      <w:r>
        <w:rPr>
          <w:rFonts w:hint="eastAsia" w:eastAsia="宋体" w:cs="宋体"/>
          <w:color w:val="000000"/>
          <w:sz w:val="24"/>
          <w:szCs w:val="24"/>
          <w:lang w:val="zh-CN"/>
        </w:rPr>
        <w:t>供应商若提供其他增值服务，可以在表中自行据实填写。</w:t>
      </w:r>
    </w:p>
    <w:p w14:paraId="78BB3C56">
      <w:pPr>
        <w:spacing w:line="360" w:lineRule="auto"/>
        <w:rPr>
          <w:rFonts w:eastAsia="宋体" w:cs="宋体"/>
          <w:color w:val="000000"/>
          <w:sz w:val="24"/>
          <w:szCs w:val="24"/>
        </w:rPr>
      </w:pPr>
    </w:p>
    <w:p w14:paraId="391BE24F">
      <w:pPr>
        <w:spacing w:line="360" w:lineRule="auto"/>
        <w:jc w:val="center"/>
        <w:outlineLvl w:val="3"/>
        <w:rPr>
          <w:rFonts w:eastAsia="宋体" w:cs="宋体"/>
          <w:b/>
          <w:bCs/>
          <w:color w:val="000000"/>
          <w:sz w:val="28"/>
          <w:szCs w:val="28"/>
        </w:rPr>
      </w:pPr>
      <w:r>
        <w:rPr>
          <w:rFonts w:hint="eastAsia"/>
          <w:color w:val="000000"/>
          <w:szCs w:val="21"/>
        </w:rPr>
        <w:br w:type="page" w:clear="all"/>
      </w:r>
      <w:r>
        <w:rPr>
          <w:rFonts w:hint="eastAsia" w:eastAsia="宋体" w:cs="宋体"/>
          <w:b/>
          <w:bCs/>
          <w:color w:val="000000"/>
          <w:sz w:val="28"/>
          <w:szCs w:val="28"/>
        </w:rPr>
        <w:t>12.《</w:t>
      </w:r>
      <w:r>
        <w:rPr>
          <w:rFonts w:hint="eastAsia" w:ascii="宋体" w:hAnsi="宋体" w:eastAsia="宋体" w:cs="宋体"/>
          <w:b/>
          <w:bCs/>
          <w:kern w:val="2"/>
          <w:sz w:val="24"/>
          <w:szCs w:val="24"/>
        </w:rPr>
        <w:t>★</w:t>
      </w:r>
      <w:r>
        <w:rPr>
          <w:rFonts w:hint="eastAsia" w:eastAsia="宋体" w:cs="宋体"/>
          <w:b/>
          <w:bCs/>
          <w:color w:val="000000"/>
          <w:sz w:val="28"/>
          <w:szCs w:val="28"/>
        </w:rPr>
        <w:t>技术条款响应正负偏离表》</w:t>
      </w:r>
    </w:p>
    <w:p w14:paraId="54178B35">
      <w:pPr>
        <w:spacing w:line="420" w:lineRule="exact"/>
        <w:ind w:firstLine="480"/>
        <w:jc w:val="left"/>
        <w:rPr>
          <w:rFonts w:eastAsia="宋体" w:cs="宋体"/>
          <w:color w:val="000000"/>
          <w:sz w:val="24"/>
          <w:szCs w:val="24"/>
        </w:rPr>
      </w:pPr>
      <w:r>
        <w:rPr>
          <w:rFonts w:hint="eastAsia" w:eastAsia="宋体" w:cs="宋体"/>
          <w:color w:val="000000"/>
          <w:sz w:val="24"/>
          <w:szCs w:val="24"/>
        </w:rPr>
        <w:t>1.供应商必须满足响应文件中</w:t>
      </w:r>
      <w:r>
        <w:rPr>
          <w:rFonts w:hint="eastAsia" w:ascii="宋体" w:hAnsi="宋体" w:eastAsia="宋体" w:cs="宋体"/>
          <w:b/>
          <w:bCs/>
          <w:kern w:val="2"/>
          <w:sz w:val="24"/>
          <w:szCs w:val="24"/>
        </w:rPr>
        <w:t>“★”</w:t>
      </w:r>
      <w:r>
        <w:rPr>
          <w:rFonts w:hint="eastAsia" w:eastAsia="宋体" w:cs="宋体"/>
          <w:color w:val="000000"/>
          <w:sz w:val="24"/>
          <w:szCs w:val="24"/>
        </w:rPr>
        <w:t>针对产品设备提出的全部技术规格与要求，逐一逐条响应填写《</w:t>
      </w:r>
      <w:r>
        <w:rPr>
          <w:rFonts w:hint="eastAsia" w:ascii="宋体" w:hAnsi="宋体" w:eastAsia="宋体" w:cs="宋体"/>
          <w:b/>
          <w:bCs/>
          <w:kern w:val="2"/>
          <w:sz w:val="24"/>
          <w:szCs w:val="24"/>
        </w:rPr>
        <w:t>★</w:t>
      </w:r>
      <w:r>
        <w:rPr>
          <w:rFonts w:hint="eastAsia" w:eastAsia="宋体" w:cs="宋体"/>
          <w:color w:val="000000"/>
          <w:sz w:val="24"/>
          <w:szCs w:val="24"/>
        </w:rPr>
        <w:t>技术条款响应正负偏离表》；</w:t>
      </w:r>
    </w:p>
    <w:p w14:paraId="7BED0B65">
      <w:pPr>
        <w:tabs>
          <w:tab w:val="left" w:pos="720"/>
        </w:tabs>
        <w:spacing w:line="420" w:lineRule="exact"/>
        <w:ind w:firstLine="485"/>
        <w:jc w:val="center"/>
        <w:rPr>
          <w:rFonts w:eastAsia="宋体" w:cs="宋体"/>
          <w:color w:val="000000"/>
          <w:sz w:val="24"/>
          <w:szCs w:val="24"/>
        </w:rPr>
      </w:pPr>
      <w:r>
        <w:rPr>
          <w:rFonts w:hint="eastAsia" w:eastAsia="宋体" w:cs="宋体"/>
          <w:color w:val="000000"/>
          <w:sz w:val="24"/>
          <w:szCs w:val="24"/>
        </w:rPr>
        <w:t>《★技术条款响应正负偏离表》</w:t>
      </w: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3"/>
        <w:gridCol w:w="1243"/>
        <w:gridCol w:w="1599"/>
        <w:gridCol w:w="1767"/>
        <w:gridCol w:w="2019"/>
        <w:gridCol w:w="1363"/>
        <w:gridCol w:w="809"/>
      </w:tblGrid>
      <w:tr w14:paraId="64140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743" w:type="dxa"/>
            <w:vAlign w:val="center"/>
          </w:tcPr>
          <w:p w14:paraId="5AC1B16D">
            <w:pPr>
              <w:spacing w:line="420" w:lineRule="exact"/>
              <w:jc w:val="center"/>
              <w:rPr>
                <w:rFonts w:eastAsia="宋体" w:cs="宋体"/>
                <w:color w:val="000000"/>
                <w:sz w:val="24"/>
                <w:szCs w:val="24"/>
              </w:rPr>
            </w:pPr>
            <w:r>
              <w:rPr>
                <w:rFonts w:hint="eastAsia" w:eastAsia="宋体" w:cs="宋体"/>
                <w:color w:val="000000"/>
                <w:sz w:val="24"/>
                <w:szCs w:val="24"/>
              </w:rPr>
              <w:t>序号</w:t>
            </w:r>
          </w:p>
        </w:tc>
        <w:tc>
          <w:tcPr>
            <w:tcW w:w="1243" w:type="dxa"/>
            <w:vAlign w:val="center"/>
          </w:tcPr>
          <w:p w14:paraId="218CBFFB">
            <w:pPr>
              <w:spacing w:line="420" w:lineRule="exact"/>
              <w:jc w:val="center"/>
              <w:rPr>
                <w:rFonts w:eastAsia="宋体" w:cs="宋体"/>
                <w:color w:val="000000"/>
                <w:sz w:val="24"/>
                <w:szCs w:val="24"/>
              </w:rPr>
            </w:pPr>
            <w:r>
              <w:rPr>
                <w:rFonts w:hint="eastAsia" w:eastAsia="宋体" w:cs="宋体"/>
                <w:color w:val="000000"/>
                <w:sz w:val="24"/>
                <w:szCs w:val="24"/>
              </w:rPr>
              <w:t>项目名称</w:t>
            </w:r>
          </w:p>
        </w:tc>
        <w:tc>
          <w:tcPr>
            <w:tcW w:w="1599" w:type="dxa"/>
            <w:vAlign w:val="center"/>
          </w:tcPr>
          <w:p w14:paraId="28BA1C0E">
            <w:pPr>
              <w:spacing w:line="420" w:lineRule="exact"/>
              <w:jc w:val="center"/>
              <w:rPr>
                <w:rFonts w:eastAsia="宋体" w:cs="宋体"/>
                <w:color w:val="000000"/>
                <w:sz w:val="24"/>
                <w:szCs w:val="24"/>
              </w:rPr>
            </w:pPr>
            <w:r>
              <w:rPr>
                <w:rFonts w:hint="eastAsia" w:eastAsia="宋体" w:cs="宋体"/>
                <w:color w:val="000000"/>
                <w:sz w:val="24"/>
                <w:szCs w:val="24"/>
              </w:rPr>
              <w:t>品牌型号</w:t>
            </w:r>
          </w:p>
        </w:tc>
        <w:tc>
          <w:tcPr>
            <w:tcW w:w="1767" w:type="dxa"/>
            <w:vAlign w:val="center"/>
          </w:tcPr>
          <w:p w14:paraId="25729E5D">
            <w:pPr>
              <w:spacing w:line="420" w:lineRule="exact"/>
              <w:jc w:val="center"/>
              <w:rPr>
                <w:rFonts w:eastAsia="宋体" w:cs="宋体"/>
                <w:color w:val="000000"/>
                <w:sz w:val="24"/>
                <w:szCs w:val="24"/>
              </w:rPr>
            </w:pPr>
            <w:r>
              <w:rPr>
                <w:rFonts w:hint="eastAsia" w:eastAsia="宋体" w:cs="宋体"/>
                <w:color w:val="000000"/>
                <w:sz w:val="24"/>
                <w:szCs w:val="24"/>
              </w:rPr>
              <w:t>公开招标文件设备参数要求</w:t>
            </w:r>
          </w:p>
        </w:tc>
        <w:tc>
          <w:tcPr>
            <w:tcW w:w="2019" w:type="dxa"/>
            <w:vAlign w:val="center"/>
          </w:tcPr>
          <w:p w14:paraId="54D2DBF7">
            <w:pPr>
              <w:spacing w:line="420" w:lineRule="exact"/>
              <w:jc w:val="center"/>
              <w:rPr>
                <w:rFonts w:eastAsia="宋体" w:cs="宋体"/>
                <w:color w:val="000000"/>
                <w:sz w:val="24"/>
                <w:szCs w:val="24"/>
              </w:rPr>
            </w:pPr>
            <w:r>
              <w:rPr>
                <w:rFonts w:hint="eastAsia" w:eastAsia="宋体" w:cs="宋体"/>
                <w:color w:val="000000"/>
                <w:sz w:val="24"/>
                <w:szCs w:val="24"/>
              </w:rPr>
              <w:t>所投设备</w:t>
            </w:r>
          </w:p>
          <w:p w14:paraId="66F24600">
            <w:pPr>
              <w:spacing w:line="420" w:lineRule="exact"/>
              <w:jc w:val="center"/>
              <w:rPr>
                <w:rFonts w:eastAsia="宋体" w:cs="宋体"/>
                <w:color w:val="000000"/>
                <w:sz w:val="24"/>
                <w:szCs w:val="24"/>
              </w:rPr>
            </w:pPr>
            <w:r>
              <w:rPr>
                <w:rFonts w:hint="eastAsia" w:eastAsia="宋体" w:cs="宋体"/>
                <w:color w:val="000000"/>
                <w:sz w:val="24"/>
                <w:szCs w:val="24"/>
              </w:rPr>
              <w:t>技术响应参数</w:t>
            </w:r>
          </w:p>
        </w:tc>
        <w:tc>
          <w:tcPr>
            <w:tcW w:w="1363" w:type="dxa"/>
            <w:vAlign w:val="center"/>
          </w:tcPr>
          <w:p w14:paraId="67A7DED3">
            <w:pPr>
              <w:spacing w:line="420" w:lineRule="exact"/>
              <w:jc w:val="center"/>
              <w:rPr>
                <w:rFonts w:eastAsia="宋体" w:cs="宋体"/>
                <w:color w:val="000000"/>
                <w:sz w:val="24"/>
                <w:szCs w:val="24"/>
              </w:rPr>
            </w:pPr>
            <w:r>
              <w:rPr>
                <w:rFonts w:hint="eastAsia" w:eastAsia="宋体" w:cs="宋体"/>
                <w:color w:val="000000"/>
                <w:sz w:val="24"/>
                <w:szCs w:val="24"/>
              </w:rPr>
              <w:t>偏离/响应</w:t>
            </w:r>
          </w:p>
        </w:tc>
        <w:tc>
          <w:tcPr>
            <w:tcW w:w="809" w:type="dxa"/>
            <w:vAlign w:val="center"/>
          </w:tcPr>
          <w:p w14:paraId="74ADCEEE">
            <w:pPr>
              <w:spacing w:line="420" w:lineRule="exact"/>
              <w:jc w:val="center"/>
              <w:rPr>
                <w:rFonts w:eastAsia="宋体" w:cs="宋体"/>
                <w:color w:val="000000"/>
                <w:sz w:val="24"/>
                <w:szCs w:val="24"/>
              </w:rPr>
            </w:pPr>
            <w:r>
              <w:rPr>
                <w:rFonts w:hint="eastAsia" w:eastAsia="宋体" w:cs="宋体"/>
                <w:color w:val="000000"/>
                <w:sz w:val="24"/>
                <w:szCs w:val="24"/>
              </w:rPr>
              <w:t>说明</w:t>
            </w:r>
          </w:p>
        </w:tc>
      </w:tr>
      <w:tr w14:paraId="66D7C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43" w:type="dxa"/>
            <w:vAlign w:val="center"/>
          </w:tcPr>
          <w:p w14:paraId="25FE336C">
            <w:pPr>
              <w:spacing w:line="420" w:lineRule="exact"/>
              <w:jc w:val="center"/>
              <w:rPr>
                <w:rFonts w:eastAsia="宋体" w:cs="宋体"/>
                <w:color w:val="000000"/>
                <w:sz w:val="24"/>
                <w:szCs w:val="24"/>
              </w:rPr>
            </w:pPr>
            <w:r>
              <w:rPr>
                <w:rFonts w:hint="eastAsia" w:eastAsia="宋体" w:cs="宋体"/>
                <w:color w:val="000000"/>
                <w:sz w:val="24"/>
                <w:szCs w:val="24"/>
              </w:rPr>
              <w:t>1</w:t>
            </w:r>
          </w:p>
        </w:tc>
        <w:tc>
          <w:tcPr>
            <w:tcW w:w="1243" w:type="dxa"/>
            <w:vAlign w:val="center"/>
          </w:tcPr>
          <w:p w14:paraId="77137F4C">
            <w:pPr>
              <w:spacing w:line="420" w:lineRule="exact"/>
              <w:jc w:val="center"/>
              <w:rPr>
                <w:rFonts w:eastAsia="宋体" w:cs="宋体"/>
                <w:color w:val="000000"/>
                <w:sz w:val="24"/>
                <w:szCs w:val="24"/>
              </w:rPr>
            </w:pPr>
          </w:p>
        </w:tc>
        <w:tc>
          <w:tcPr>
            <w:tcW w:w="1599" w:type="dxa"/>
            <w:vAlign w:val="center"/>
          </w:tcPr>
          <w:p w14:paraId="73293B2E">
            <w:pPr>
              <w:spacing w:line="420" w:lineRule="exact"/>
              <w:jc w:val="center"/>
              <w:rPr>
                <w:rFonts w:eastAsia="宋体" w:cs="宋体"/>
                <w:color w:val="000000"/>
                <w:sz w:val="24"/>
                <w:szCs w:val="24"/>
              </w:rPr>
            </w:pPr>
          </w:p>
        </w:tc>
        <w:tc>
          <w:tcPr>
            <w:tcW w:w="1767" w:type="dxa"/>
            <w:vAlign w:val="center"/>
          </w:tcPr>
          <w:p w14:paraId="7F6F6D50">
            <w:pPr>
              <w:spacing w:line="420" w:lineRule="exact"/>
              <w:jc w:val="center"/>
              <w:rPr>
                <w:rFonts w:eastAsia="宋体" w:cs="宋体"/>
                <w:color w:val="000000"/>
                <w:sz w:val="24"/>
                <w:szCs w:val="24"/>
              </w:rPr>
            </w:pPr>
          </w:p>
        </w:tc>
        <w:tc>
          <w:tcPr>
            <w:tcW w:w="2019" w:type="dxa"/>
            <w:vAlign w:val="center"/>
          </w:tcPr>
          <w:p w14:paraId="1FC27414">
            <w:pPr>
              <w:spacing w:line="420" w:lineRule="exact"/>
              <w:jc w:val="center"/>
              <w:rPr>
                <w:rFonts w:eastAsia="宋体" w:cs="宋体"/>
                <w:color w:val="000000"/>
                <w:sz w:val="24"/>
                <w:szCs w:val="24"/>
              </w:rPr>
            </w:pPr>
          </w:p>
        </w:tc>
        <w:tc>
          <w:tcPr>
            <w:tcW w:w="1363" w:type="dxa"/>
            <w:vAlign w:val="center"/>
          </w:tcPr>
          <w:p w14:paraId="08AB3649">
            <w:pPr>
              <w:spacing w:line="420" w:lineRule="exact"/>
              <w:jc w:val="center"/>
              <w:rPr>
                <w:rFonts w:eastAsia="宋体" w:cs="宋体"/>
                <w:color w:val="000000"/>
                <w:sz w:val="24"/>
                <w:szCs w:val="24"/>
              </w:rPr>
            </w:pPr>
          </w:p>
        </w:tc>
        <w:tc>
          <w:tcPr>
            <w:tcW w:w="809" w:type="dxa"/>
            <w:vAlign w:val="center"/>
          </w:tcPr>
          <w:p w14:paraId="52F1AA13">
            <w:pPr>
              <w:spacing w:line="420" w:lineRule="exact"/>
              <w:jc w:val="center"/>
              <w:rPr>
                <w:rFonts w:eastAsia="宋体" w:cs="宋体"/>
                <w:color w:val="000000"/>
                <w:sz w:val="24"/>
                <w:szCs w:val="24"/>
              </w:rPr>
            </w:pPr>
          </w:p>
        </w:tc>
      </w:tr>
      <w:tr w14:paraId="6F3A5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43" w:type="dxa"/>
            <w:vAlign w:val="center"/>
          </w:tcPr>
          <w:p w14:paraId="07AE19CE">
            <w:pPr>
              <w:spacing w:line="420" w:lineRule="exact"/>
              <w:jc w:val="center"/>
              <w:rPr>
                <w:rFonts w:eastAsia="宋体" w:cs="宋体"/>
                <w:color w:val="000000"/>
                <w:sz w:val="24"/>
                <w:szCs w:val="24"/>
              </w:rPr>
            </w:pPr>
            <w:r>
              <w:rPr>
                <w:rFonts w:hint="eastAsia" w:eastAsia="宋体" w:cs="宋体"/>
                <w:color w:val="000000"/>
                <w:sz w:val="24"/>
                <w:szCs w:val="24"/>
              </w:rPr>
              <w:t>……</w:t>
            </w:r>
          </w:p>
        </w:tc>
        <w:tc>
          <w:tcPr>
            <w:tcW w:w="1243" w:type="dxa"/>
            <w:vAlign w:val="center"/>
          </w:tcPr>
          <w:p w14:paraId="6A8A32CA">
            <w:pPr>
              <w:spacing w:line="420" w:lineRule="exact"/>
              <w:jc w:val="center"/>
              <w:rPr>
                <w:rFonts w:eastAsia="宋体" w:cs="宋体"/>
                <w:color w:val="000000"/>
                <w:sz w:val="24"/>
                <w:szCs w:val="24"/>
              </w:rPr>
            </w:pPr>
          </w:p>
        </w:tc>
        <w:tc>
          <w:tcPr>
            <w:tcW w:w="1599" w:type="dxa"/>
            <w:vAlign w:val="center"/>
          </w:tcPr>
          <w:p w14:paraId="2EC16C25">
            <w:pPr>
              <w:spacing w:line="420" w:lineRule="exact"/>
              <w:jc w:val="center"/>
              <w:rPr>
                <w:rFonts w:eastAsia="宋体" w:cs="宋体"/>
                <w:color w:val="000000"/>
                <w:sz w:val="24"/>
                <w:szCs w:val="24"/>
              </w:rPr>
            </w:pPr>
          </w:p>
        </w:tc>
        <w:tc>
          <w:tcPr>
            <w:tcW w:w="1767" w:type="dxa"/>
            <w:vAlign w:val="center"/>
          </w:tcPr>
          <w:p w14:paraId="361B282D">
            <w:pPr>
              <w:spacing w:line="420" w:lineRule="exact"/>
              <w:jc w:val="center"/>
              <w:rPr>
                <w:rFonts w:eastAsia="宋体" w:cs="宋体"/>
                <w:color w:val="000000"/>
                <w:sz w:val="24"/>
                <w:szCs w:val="24"/>
              </w:rPr>
            </w:pPr>
          </w:p>
        </w:tc>
        <w:tc>
          <w:tcPr>
            <w:tcW w:w="2019" w:type="dxa"/>
            <w:vAlign w:val="center"/>
          </w:tcPr>
          <w:p w14:paraId="2D771641">
            <w:pPr>
              <w:spacing w:line="420" w:lineRule="exact"/>
              <w:jc w:val="center"/>
              <w:rPr>
                <w:rFonts w:eastAsia="宋体" w:cs="宋体"/>
                <w:color w:val="000000"/>
                <w:sz w:val="24"/>
                <w:szCs w:val="24"/>
              </w:rPr>
            </w:pPr>
          </w:p>
        </w:tc>
        <w:tc>
          <w:tcPr>
            <w:tcW w:w="1363" w:type="dxa"/>
            <w:vAlign w:val="center"/>
          </w:tcPr>
          <w:p w14:paraId="0E8B8BD9">
            <w:pPr>
              <w:spacing w:line="420" w:lineRule="exact"/>
              <w:jc w:val="center"/>
              <w:rPr>
                <w:rFonts w:eastAsia="宋体" w:cs="宋体"/>
                <w:color w:val="000000"/>
                <w:sz w:val="24"/>
                <w:szCs w:val="24"/>
              </w:rPr>
            </w:pPr>
          </w:p>
        </w:tc>
        <w:tc>
          <w:tcPr>
            <w:tcW w:w="809" w:type="dxa"/>
            <w:vAlign w:val="center"/>
          </w:tcPr>
          <w:p w14:paraId="7D2C481B">
            <w:pPr>
              <w:spacing w:line="420" w:lineRule="exact"/>
              <w:jc w:val="center"/>
              <w:rPr>
                <w:rFonts w:eastAsia="宋体" w:cs="宋体"/>
                <w:color w:val="000000"/>
                <w:sz w:val="24"/>
                <w:szCs w:val="24"/>
              </w:rPr>
            </w:pPr>
          </w:p>
        </w:tc>
      </w:tr>
    </w:tbl>
    <w:p w14:paraId="5E73C6CC">
      <w:pPr>
        <w:spacing w:line="420" w:lineRule="exact"/>
        <w:ind w:firstLine="485"/>
        <w:rPr>
          <w:rFonts w:eastAsia="宋体" w:cs="宋体"/>
          <w:color w:val="000000"/>
          <w:sz w:val="24"/>
          <w:szCs w:val="24"/>
        </w:rPr>
      </w:pPr>
      <w:r>
        <w:rPr>
          <w:rFonts w:hint="eastAsia" w:eastAsia="宋体" w:cs="宋体"/>
          <w:color w:val="000000"/>
          <w:sz w:val="24"/>
          <w:szCs w:val="24"/>
        </w:rPr>
        <w:t>注：</w:t>
      </w:r>
    </w:p>
    <w:p w14:paraId="7573B8F4">
      <w:pPr>
        <w:spacing w:line="420" w:lineRule="exact"/>
        <w:ind w:firstLine="485"/>
        <w:rPr>
          <w:rFonts w:eastAsia="宋体" w:cs="宋体"/>
          <w:color w:val="000000"/>
          <w:sz w:val="24"/>
          <w:szCs w:val="24"/>
        </w:rPr>
      </w:pPr>
      <w:r>
        <w:rPr>
          <w:rFonts w:hint="eastAsia" w:eastAsia="宋体" w:cs="宋体"/>
          <w:color w:val="000000"/>
          <w:sz w:val="24"/>
          <w:szCs w:val="24"/>
        </w:rPr>
        <w:t>①公开招标响应供应商应对照公开招标文件第三章项目需求内的要求，逐一填写。</w:t>
      </w:r>
    </w:p>
    <w:p w14:paraId="2ACA25BE">
      <w:pPr>
        <w:spacing w:line="420" w:lineRule="exact"/>
        <w:ind w:firstLine="485"/>
        <w:rPr>
          <w:rFonts w:eastAsia="宋体" w:cs="宋体"/>
          <w:color w:val="000000"/>
          <w:sz w:val="24"/>
          <w:szCs w:val="24"/>
        </w:rPr>
      </w:pPr>
      <w:r>
        <w:rPr>
          <w:rFonts w:hint="eastAsia" w:eastAsia="宋体" w:cs="宋体"/>
          <w:color w:val="000000"/>
          <w:sz w:val="24"/>
          <w:szCs w:val="24"/>
        </w:rPr>
        <w:t>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w:t>
      </w:r>
    </w:p>
    <w:p w14:paraId="4FE74ABF">
      <w:pPr>
        <w:spacing w:line="420" w:lineRule="exact"/>
        <w:ind w:firstLine="485"/>
        <w:rPr>
          <w:rFonts w:eastAsia="宋体" w:cs="宋体"/>
          <w:color w:val="000000"/>
          <w:sz w:val="24"/>
          <w:szCs w:val="24"/>
        </w:rPr>
      </w:pPr>
      <w:r>
        <w:rPr>
          <w:rFonts w:hint="eastAsia" w:eastAsia="宋体" w:cs="宋体"/>
          <w:color w:val="000000"/>
          <w:sz w:val="24"/>
          <w:szCs w:val="24"/>
        </w:rPr>
        <w:t>③本项目</w:t>
      </w:r>
      <w:r>
        <w:rPr>
          <w:rFonts w:hint="eastAsia" w:ascii="宋体" w:hAnsi="宋体" w:eastAsia="宋体" w:cs="宋体"/>
          <w:b/>
          <w:bCs/>
          <w:kern w:val="2"/>
          <w:sz w:val="24"/>
          <w:szCs w:val="24"/>
        </w:rPr>
        <w:t>“★”</w:t>
      </w:r>
      <w:r>
        <w:rPr>
          <w:rFonts w:hint="eastAsia" w:eastAsia="宋体" w:cs="宋体"/>
          <w:color w:val="000000"/>
          <w:sz w:val="24"/>
          <w:szCs w:val="24"/>
        </w:rPr>
        <w:t>需求产品所有技术规格参数要求，须实质性响应不接受负偏离。</w:t>
      </w:r>
    </w:p>
    <w:p w14:paraId="588F16C0">
      <w:pPr>
        <w:spacing w:line="420" w:lineRule="exact"/>
        <w:ind w:firstLine="485"/>
        <w:rPr>
          <w:rFonts w:eastAsia="宋体" w:cs="宋体"/>
          <w:color w:val="000000"/>
          <w:sz w:val="24"/>
          <w:szCs w:val="24"/>
        </w:rPr>
      </w:pPr>
      <w:r>
        <w:rPr>
          <w:rFonts w:hint="eastAsia" w:eastAsia="宋体" w:cs="宋体"/>
          <w:color w:val="000000"/>
          <w:sz w:val="24"/>
          <w:szCs w:val="24"/>
        </w:rPr>
        <w:t>④该表不作为公开招标响应供应商对项目需求产品技术要求等的详细描述和说明的替代。</w:t>
      </w:r>
    </w:p>
    <w:p w14:paraId="71F67F6C">
      <w:pPr>
        <w:spacing w:line="420" w:lineRule="exact"/>
        <w:ind w:firstLine="485"/>
        <w:rPr>
          <w:rFonts w:eastAsia="宋体" w:cs="宋体"/>
          <w:color w:val="000000"/>
          <w:sz w:val="24"/>
          <w:szCs w:val="24"/>
        </w:rPr>
      </w:pPr>
      <w:r>
        <w:rPr>
          <w:rFonts w:hint="eastAsia" w:eastAsia="宋体" w:cs="宋体"/>
          <w:color w:val="000000"/>
          <w:sz w:val="24"/>
          <w:szCs w:val="24"/>
        </w:rPr>
        <w:t>⑤公开招标响应供应商如果虚假响应，将承担一切可能的风险。</w:t>
      </w:r>
    </w:p>
    <w:p w14:paraId="5EAC262F">
      <w:pPr>
        <w:spacing w:line="420" w:lineRule="exact"/>
        <w:ind w:firstLine="485"/>
        <w:rPr>
          <w:rFonts w:eastAsia="宋体" w:cs="宋体"/>
          <w:color w:val="000000"/>
          <w:sz w:val="24"/>
          <w:szCs w:val="24"/>
        </w:rPr>
      </w:pPr>
      <w:r>
        <w:rPr>
          <w:rFonts w:hint="eastAsia" w:eastAsia="宋体" w:cs="宋体"/>
          <w:color w:val="000000"/>
          <w:sz w:val="24"/>
          <w:szCs w:val="24"/>
        </w:rPr>
        <w:t>⑥所投品牌型号，必须确定、唯一。</w:t>
      </w:r>
    </w:p>
    <w:p w14:paraId="7A198EF9">
      <w:pPr>
        <w:spacing w:line="420" w:lineRule="exact"/>
        <w:ind w:firstLine="485"/>
        <w:rPr>
          <w:rFonts w:eastAsia="宋体" w:cs="宋体"/>
          <w:color w:val="000000"/>
          <w:sz w:val="24"/>
          <w:szCs w:val="24"/>
        </w:rPr>
      </w:pPr>
    </w:p>
    <w:p w14:paraId="1EDCFF03">
      <w:pPr>
        <w:snapToGrid w:val="0"/>
        <w:spacing w:line="360" w:lineRule="auto"/>
        <w:jc w:val="right"/>
        <w:outlineLvl w:val="4"/>
        <w:rPr>
          <w:rFonts w:ascii="宋体" w:hAnsi="宋体" w:eastAsia="宋体" w:cs="宋体"/>
          <w:bCs/>
          <w:sz w:val="24"/>
        </w:rPr>
      </w:pPr>
      <w:r>
        <w:rPr>
          <w:rFonts w:hint="eastAsia" w:ascii="宋体" w:hAnsi="宋体" w:eastAsia="宋体" w:cs="宋体"/>
          <w:bCs/>
          <w:sz w:val="24"/>
        </w:rPr>
        <w:t xml:space="preserve">投标人（加盖CA电子签章）： </w:t>
      </w:r>
    </w:p>
    <w:p w14:paraId="5E0321B4">
      <w:pPr>
        <w:snapToGrid w:val="0"/>
        <w:spacing w:line="360" w:lineRule="auto"/>
        <w:jc w:val="right"/>
        <w:outlineLvl w:val="4"/>
        <w:rPr>
          <w:rFonts w:ascii="宋体" w:hAnsi="宋体" w:eastAsia="宋体" w:cs="宋体"/>
          <w:bCs/>
          <w:sz w:val="24"/>
        </w:rPr>
      </w:pPr>
      <w:r>
        <w:rPr>
          <w:rFonts w:hint="eastAsia" w:ascii="宋体" w:hAnsi="宋体" w:eastAsia="宋体" w:cs="宋体"/>
          <w:bCs/>
          <w:sz w:val="24"/>
        </w:rPr>
        <w:t xml:space="preserve">法定代表人或被授权人（签字或加盖CA电子签章）： </w:t>
      </w:r>
    </w:p>
    <w:p w14:paraId="5B08FCF6">
      <w:pPr>
        <w:spacing w:line="360" w:lineRule="auto"/>
        <w:jc w:val="right"/>
        <w:outlineLvl w:val="3"/>
        <w:rPr>
          <w:rFonts w:eastAsia="宋体" w:cs="宋体"/>
          <w:b/>
          <w:bCs/>
          <w:color w:val="000000"/>
          <w:sz w:val="28"/>
          <w:szCs w:val="28"/>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1F6D621F">
      <w:pPr>
        <w:rPr>
          <w:rFonts w:eastAsia="宋体" w:cs="宋体"/>
          <w:b/>
          <w:bCs/>
          <w:color w:val="000000"/>
          <w:sz w:val="28"/>
          <w:szCs w:val="28"/>
        </w:rPr>
      </w:pPr>
      <w:r>
        <w:rPr>
          <w:rFonts w:hint="eastAsia" w:eastAsia="宋体" w:cs="宋体"/>
          <w:b/>
          <w:bCs/>
          <w:color w:val="000000"/>
          <w:sz w:val="28"/>
          <w:szCs w:val="28"/>
        </w:rPr>
        <w:br w:type="page"/>
      </w:r>
    </w:p>
    <w:p w14:paraId="771E71FA">
      <w:pPr>
        <w:widowControl/>
        <w:spacing w:line="360" w:lineRule="auto"/>
        <w:jc w:val="center"/>
        <w:rPr>
          <w:rFonts w:eastAsia="宋体" w:cs="宋体"/>
          <w:b/>
          <w:bCs/>
          <w:color w:val="000000"/>
          <w:sz w:val="28"/>
          <w:szCs w:val="28"/>
        </w:rPr>
      </w:pPr>
      <w:r>
        <w:rPr>
          <w:rFonts w:hint="eastAsia" w:eastAsia="宋体" w:cs="宋体"/>
          <w:b/>
          <w:bCs/>
          <w:color w:val="000000"/>
          <w:sz w:val="28"/>
          <w:szCs w:val="28"/>
        </w:rPr>
        <w:t>13.《技术条款响应正负偏离表》</w:t>
      </w:r>
    </w:p>
    <w:p w14:paraId="074559B5">
      <w:pPr>
        <w:spacing w:line="420" w:lineRule="exact"/>
        <w:ind w:firstLine="480"/>
        <w:jc w:val="left"/>
        <w:rPr>
          <w:rFonts w:eastAsia="宋体" w:cs="宋体"/>
          <w:color w:val="000000"/>
          <w:sz w:val="24"/>
          <w:szCs w:val="24"/>
        </w:rPr>
      </w:pPr>
      <w:r>
        <w:rPr>
          <w:rFonts w:hint="eastAsia" w:eastAsia="宋体" w:cs="宋体"/>
          <w:color w:val="000000"/>
          <w:sz w:val="24"/>
          <w:szCs w:val="24"/>
        </w:rPr>
        <w:t>1.供应商必须满足响应文件中针对产品设备提出的全部技术规格与要求，逐一逐条响应填写《技术条款响应正负偏离表》；</w:t>
      </w:r>
    </w:p>
    <w:p w14:paraId="688DC4D8">
      <w:pPr>
        <w:spacing w:line="420" w:lineRule="exact"/>
        <w:ind w:firstLine="480"/>
        <w:jc w:val="left"/>
        <w:rPr>
          <w:rFonts w:eastAsia="宋体" w:cs="宋体"/>
          <w:color w:val="000000"/>
          <w:sz w:val="24"/>
          <w:szCs w:val="24"/>
        </w:rPr>
      </w:pPr>
      <w:r>
        <w:rPr>
          <w:rFonts w:hint="eastAsia" w:eastAsia="宋体" w:cs="宋体"/>
          <w:color w:val="000000"/>
          <w:sz w:val="24"/>
          <w:szCs w:val="24"/>
        </w:rPr>
        <w:t>2.供应商提供的货物和服务与采购人提出的项目需求说明中的技术要求不同，必须在逐一逐条填写响应的《技术条款响应正负偏离表》上明示偏离的部分。</w:t>
      </w:r>
    </w:p>
    <w:p w14:paraId="30329481">
      <w:pPr>
        <w:tabs>
          <w:tab w:val="left" w:pos="720"/>
        </w:tabs>
        <w:spacing w:line="420" w:lineRule="exact"/>
        <w:ind w:firstLine="485"/>
        <w:jc w:val="center"/>
        <w:rPr>
          <w:rFonts w:eastAsia="宋体" w:cs="宋体"/>
          <w:color w:val="000000"/>
          <w:sz w:val="24"/>
          <w:szCs w:val="24"/>
        </w:rPr>
      </w:pPr>
      <w:r>
        <w:rPr>
          <w:rFonts w:hint="eastAsia" w:eastAsia="宋体" w:cs="宋体"/>
          <w:color w:val="000000"/>
          <w:sz w:val="24"/>
          <w:szCs w:val="24"/>
        </w:rPr>
        <w:t>《技术条款响应正负偏离表》</w:t>
      </w: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3"/>
        <w:gridCol w:w="1243"/>
        <w:gridCol w:w="1599"/>
        <w:gridCol w:w="1767"/>
        <w:gridCol w:w="2019"/>
        <w:gridCol w:w="1363"/>
        <w:gridCol w:w="809"/>
      </w:tblGrid>
      <w:tr w14:paraId="30A05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743" w:type="dxa"/>
            <w:vAlign w:val="center"/>
          </w:tcPr>
          <w:p w14:paraId="49CB0F44">
            <w:pPr>
              <w:spacing w:line="420" w:lineRule="exact"/>
              <w:jc w:val="center"/>
              <w:rPr>
                <w:rFonts w:eastAsia="宋体" w:cs="宋体"/>
                <w:color w:val="000000"/>
                <w:sz w:val="24"/>
                <w:szCs w:val="24"/>
              </w:rPr>
            </w:pPr>
            <w:r>
              <w:rPr>
                <w:rFonts w:hint="eastAsia" w:eastAsia="宋体" w:cs="宋体"/>
                <w:color w:val="000000"/>
                <w:sz w:val="24"/>
                <w:szCs w:val="24"/>
              </w:rPr>
              <w:t>序号</w:t>
            </w:r>
          </w:p>
        </w:tc>
        <w:tc>
          <w:tcPr>
            <w:tcW w:w="1243" w:type="dxa"/>
            <w:vAlign w:val="center"/>
          </w:tcPr>
          <w:p w14:paraId="5D9F956C">
            <w:pPr>
              <w:spacing w:line="420" w:lineRule="exact"/>
              <w:jc w:val="center"/>
              <w:rPr>
                <w:rFonts w:eastAsia="宋体" w:cs="宋体"/>
                <w:color w:val="000000"/>
                <w:sz w:val="24"/>
                <w:szCs w:val="24"/>
              </w:rPr>
            </w:pPr>
            <w:r>
              <w:rPr>
                <w:rFonts w:hint="eastAsia" w:eastAsia="宋体" w:cs="宋体"/>
                <w:color w:val="000000"/>
                <w:sz w:val="24"/>
                <w:szCs w:val="24"/>
              </w:rPr>
              <w:t>项目名称</w:t>
            </w:r>
          </w:p>
        </w:tc>
        <w:tc>
          <w:tcPr>
            <w:tcW w:w="1599" w:type="dxa"/>
            <w:vAlign w:val="center"/>
          </w:tcPr>
          <w:p w14:paraId="77068702">
            <w:pPr>
              <w:spacing w:line="420" w:lineRule="exact"/>
              <w:jc w:val="center"/>
              <w:rPr>
                <w:rFonts w:eastAsia="宋体" w:cs="宋体"/>
                <w:color w:val="000000"/>
                <w:sz w:val="24"/>
                <w:szCs w:val="24"/>
              </w:rPr>
            </w:pPr>
            <w:r>
              <w:rPr>
                <w:rFonts w:hint="eastAsia" w:eastAsia="宋体" w:cs="宋体"/>
                <w:color w:val="000000"/>
                <w:sz w:val="24"/>
                <w:szCs w:val="24"/>
              </w:rPr>
              <w:t>品牌型号</w:t>
            </w:r>
          </w:p>
        </w:tc>
        <w:tc>
          <w:tcPr>
            <w:tcW w:w="1767" w:type="dxa"/>
            <w:vAlign w:val="center"/>
          </w:tcPr>
          <w:p w14:paraId="1416325F">
            <w:pPr>
              <w:spacing w:line="420" w:lineRule="exact"/>
              <w:jc w:val="center"/>
              <w:rPr>
                <w:rFonts w:eastAsia="宋体" w:cs="宋体"/>
                <w:color w:val="000000"/>
                <w:sz w:val="24"/>
                <w:szCs w:val="24"/>
              </w:rPr>
            </w:pPr>
            <w:r>
              <w:rPr>
                <w:rFonts w:hint="eastAsia" w:eastAsia="宋体" w:cs="宋体"/>
                <w:color w:val="000000"/>
                <w:sz w:val="24"/>
                <w:szCs w:val="24"/>
              </w:rPr>
              <w:t>公开招标文件设备参数要求</w:t>
            </w:r>
          </w:p>
        </w:tc>
        <w:tc>
          <w:tcPr>
            <w:tcW w:w="2019" w:type="dxa"/>
            <w:vAlign w:val="center"/>
          </w:tcPr>
          <w:p w14:paraId="7537E5AC">
            <w:pPr>
              <w:spacing w:line="420" w:lineRule="exact"/>
              <w:jc w:val="center"/>
              <w:rPr>
                <w:rFonts w:eastAsia="宋体" w:cs="宋体"/>
                <w:color w:val="000000"/>
                <w:sz w:val="24"/>
                <w:szCs w:val="24"/>
              </w:rPr>
            </w:pPr>
            <w:r>
              <w:rPr>
                <w:rFonts w:hint="eastAsia" w:eastAsia="宋体" w:cs="宋体"/>
                <w:color w:val="000000"/>
                <w:sz w:val="24"/>
                <w:szCs w:val="24"/>
              </w:rPr>
              <w:t>所投设备</w:t>
            </w:r>
          </w:p>
          <w:p w14:paraId="2F4FA1C0">
            <w:pPr>
              <w:spacing w:line="420" w:lineRule="exact"/>
              <w:jc w:val="center"/>
              <w:rPr>
                <w:rFonts w:eastAsia="宋体" w:cs="宋体"/>
                <w:color w:val="000000"/>
                <w:sz w:val="24"/>
                <w:szCs w:val="24"/>
              </w:rPr>
            </w:pPr>
            <w:r>
              <w:rPr>
                <w:rFonts w:hint="eastAsia" w:eastAsia="宋体" w:cs="宋体"/>
                <w:color w:val="000000"/>
                <w:sz w:val="24"/>
                <w:szCs w:val="24"/>
              </w:rPr>
              <w:t>技术响应参数</w:t>
            </w:r>
          </w:p>
        </w:tc>
        <w:tc>
          <w:tcPr>
            <w:tcW w:w="1363" w:type="dxa"/>
            <w:vAlign w:val="center"/>
          </w:tcPr>
          <w:p w14:paraId="7FF5D35B">
            <w:pPr>
              <w:spacing w:line="420" w:lineRule="exact"/>
              <w:jc w:val="center"/>
              <w:rPr>
                <w:rFonts w:eastAsia="宋体" w:cs="宋体"/>
                <w:color w:val="000000"/>
                <w:sz w:val="24"/>
                <w:szCs w:val="24"/>
              </w:rPr>
            </w:pPr>
            <w:r>
              <w:rPr>
                <w:rFonts w:hint="eastAsia" w:eastAsia="宋体" w:cs="宋体"/>
                <w:color w:val="000000"/>
                <w:sz w:val="24"/>
                <w:szCs w:val="24"/>
              </w:rPr>
              <w:t>偏离/响应</w:t>
            </w:r>
          </w:p>
        </w:tc>
        <w:tc>
          <w:tcPr>
            <w:tcW w:w="809" w:type="dxa"/>
            <w:vAlign w:val="center"/>
          </w:tcPr>
          <w:p w14:paraId="2D0AB1CD">
            <w:pPr>
              <w:spacing w:line="420" w:lineRule="exact"/>
              <w:jc w:val="center"/>
              <w:rPr>
                <w:rFonts w:eastAsia="宋体" w:cs="宋体"/>
                <w:color w:val="000000"/>
                <w:sz w:val="24"/>
                <w:szCs w:val="24"/>
              </w:rPr>
            </w:pPr>
            <w:r>
              <w:rPr>
                <w:rFonts w:hint="eastAsia" w:eastAsia="宋体" w:cs="宋体"/>
                <w:color w:val="000000"/>
                <w:sz w:val="24"/>
                <w:szCs w:val="24"/>
              </w:rPr>
              <w:t>说明</w:t>
            </w:r>
          </w:p>
        </w:tc>
      </w:tr>
      <w:tr w14:paraId="27C34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43" w:type="dxa"/>
            <w:vAlign w:val="center"/>
          </w:tcPr>
          <w:p w14:paraId="120C4687">
            <w:pPr>
              <w:spacing w:line="420" w:lineRule="exact"/>
              <w:jc w:val="center"/>
              <w:rPr>
                <w:rFonts w:eastAsia="宋体" w:cs="宋体"/>
                <w:color w:val="000000"/>
                <w:sz w:val="24"/>
                <w:szCs w:val="24"/>
              </w:rPr>
            </w:pPr>
            <w:r>
              <w:rPr>
                <w:rFonts w:hint="eastAsia" w:eastAsia="宋体" w:cs="宋体"/>
                <w:color w:val="000000"/>
                <w:sz w:val="24"/>
                <w:szCs w:val="24"/>
              </w:rPr>
              <w:t>1</w:t>
            </w:r>
          </w:p>
        </w:tc>
        <w:tc>
          <w:tcPr>
            <w:tcW w:w="1243" w:type="dxa"/>
            <w:vAlign w:val="center"/>
          </w:tcPr>
          <w:p w14:paraId="7146A44B">
            <w:pPr>
              <w:spacing w:line="420" w:lineRule="exact"/>
              <w:jc w:val="center"/>
              <w:rPr>
                <w:rFonts w:eastAsia="宋体" w:cs="宋体"/>
                <w:color w:val="000000"/>
                <w:sz w:val="24"/>
                <w:szCs w:val="24"/>
              </w:rPr>
            </w:pPr>
          </w:p>
        </w:tc>
        <w:tc>
          <w:tcPr>
            <w:tcW w:w="1599" w:type="dxa"/>
            <w:vAlign w:val="center"/>
          </w:tcPr>
          <w:p w14:paraId="0CDB396F">
            <w:pPr>
              <w:spacing w:line="420" w:lineRule="exact"/>
              <w:jc w:val="center"/>
              <w:rPr>
                <w:rFonts w:eastAsia="宋体" w:cs="宋体"/>
                <w:color w:val="000000"/>
                <w:sz w:val="24"/>
                <w:szCs w:val="24"/>
              </w:rPr>
            </w:pPr>
          </w:p>
        </w:tc>
        <w:tc>
          <w:tcPr>
            <w:tcW w:w="1767" w:type="dxa"/>
            <w:vAlign w:val="center"/>
          </w:tcPr>
          <w:p w14:paraId="0764A00B">
            <w:pPr>
              <w:spacing w:line="420" w:lineRule="exact"/>
              <w:jc w:val="center"/>
              <w:rPr>
                <w:rFonts w:eastAsia="宋体" w:cs="宋体"/>
                <w:color w:val="000000"/>
                <w:sz w:val="24"/>
                <w:szCs w:val="24"/>
              </w:rPr>
            </w:pPr>
          </w:p>
        </w:tc>
        <w:tc>
          <w:tcPr>
            <w:tcW w:w="2019" w:type="dxa"/>
            <w:vAlign w:val="center"/>
          </w:tcPr>
          <w:p w14:paraId="7B523BAF">
            <w:pPr>
              <w:spacing w:line="420" w:lineRule="exact"/>
              <w:jc w:val="center"/>
              <w:rPr>
                <w:rFonts w:eastAsia="宋体" w:cs="宋体"/>
                <w:color w:val="000000"/>
                <w:sz w:val="24"/>
                <w:szCs w:val="24"/>
              </w:rPr>
            </w:pPr>
          </w:p>
        </w:tc>
        <w:tc>
          <w:tcPr>
            <w:tcW w:w="1363" w:type="dxa"/>
            <w:vAlign w:val="center"/>
          </w:tcPr>
          <w:p w14:paraId="784C58A6">
            <w:pPr>
              <w:spacing w:line="420" w:lineRule="exact"/>
              <w:jc w:val="center"/>
              <w:rPr>
                <w:rFonts w:eastAsia="宋体" w:cs="宋体"/>
                <w:color w:val="000000"/>
                <w:sz w:val="24"/>
                <w:szCs w:val="24"/>
              </w:rPr>
            </w:pPr>
          </w:p>
        </w:tc>
        <w:tc>
          <w:tcPr>
            <w:tcW w:w="809" w:type="dxa"/>
            <w:vAlign w:val="center"/>
          </w:tcPr>
          <w:p w14:paraId="435E1F2C">
            <w:pPr>
              <w:spacing w:line="420" w:lineRule="exact"/>
              <w:jc w:val="center"/>
              <w:rPr>
                <w:rFonts w:eastAsia="宋体" w:cs="宋体"/>
                <w:color w:val="000000"/>
                <w:sz w:val="24"/>
                <w:szCs w:val="24"/>
              </w:rPr>
            </w:pPr>
          </w:p>
        </w:tc>
      </w:tr>
      <w:tr w14:paraId="0E718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43" w:type="dxa"/>
            <w:vAlign w:val="center"/>
          </w:tcPr>
          <w:p w14:paraId="0DBAEFC4">
            <w:pPr>
              <w:spacing w:line="420" w:lineRule="exact"/>
              <w:jc w:val="center"/>
              <w:rPr>
                <w:rFonts w:eastAsia="宋体" w:cs="宋体"/>
                <w:color w:val="000000"/>
                <w:sz w:val="24"/>
                <w:szCs w:val="24"/>
              </w:rPr>
            </w:pPr>
            <w:r>
              <w:rPr>
                <w:rFonts w:hint="eastAsia" w:eastAsia="宋体" w:cs="宋体"/>
                <w:color w:val="000000"/>
                <w:sz w:val="24"/>
                <w:szCs w:val="24"/>
              </w:rPr>
              <w:t>……</w:t>
            </w:r>
          </w:p>
        </w:tc>
        <w:tc>
          <w:tcPr>
            <w:tcW w:w="1243" w:type="dxa"/>
            <w:vAlign w:val="center"/>
          </w:tcPr>
          <w:p w14:paraId="1E946080">
            <w:pPr>
              <w:spacing w:line="420" w:lineRule="exact"/>
              <w:jc w:val="center"/>
              <w:rPr>
                <w:rFonts w:eastAsia="宋体" w:cs="宋体"/>
                <w:color w:val="000000"/>
                <w:sz w:val="24"/>
                <w:szCs w:val="24"/>
              </w:rPr>
            </w:pPr>
          </w:p>
        </w:tc>
        <w:tc>
          <w:tcPr>
            <w:tcW w:w="1599" w:type="dxa"/>
            <w:vAlign w:val="center"/>
          </w:tcPr>
          <w:p w14:paraId="7FCEF544">
            <w:pPr>
              <w:spacing w:line="420" w:lineRule="exact"/>
              <w:jc w:val="center"/>
              <w:rPr>
                <w:rFonts w:eastAsia="宋体" w:cs="宋体"/>
                <w:color w:val="000000"/>
                <w:sz w:val="24"/>
                <w:szCs w:val="24"/>
              </w:rPr>
            </w:pPr>
          </w:p>
        </w:tc>
        <w:tc>
          <w:tcPr>
            <w:tcW w:w="1767" w:type="dxa"/>
            <w:vAlign w:val="center"/>
          </w:tcPr>
          <w:p w14:paraId="47C90276">
            <w:pPr>
              <w:spacing w:line="420" w:lineRule="exact"/>
              <w:jc w:val="center"/>
              <w:rPr>
                <w:rFonts w:eastAsia="宋体" w:cs="宋体"/>
                <w:color w:val="000000"/>
                <w:sz w:val="24"/>
                <w:szCs w:val="24"/>
              </w:rPr>
            </w:pPr>
          </w:p>
        </w:tc>
        <w:tc>
          <w:tcPr>
            <w:tcW w:w="2019" w:type="dxa"/>
            <w:vAlign w:val="center"/>
          </w:tcPr>
          <w:p w14:paraId="1ECC0881">
            <w:pPr>
              <w:spacing w:line="420" w:lineRule="exact"/>
              <w:jc w:val="center"/>
              <w:rPr>
                <w:rFonts w:eastAsia="宋体" w:cs="宋体"/>
                <w:color w:val="000000"/>
                <w:sz w:val="24"/>
                <w:szCs w:val="24"/>
              </w:rPr>
            </w:pPr>
          </w:p>
        </w:tc>
        <w:tc>
          <w:tcPr>
            <w:tcW w:w="1363" w:type="dxa"/>
            <w:vAlign w:val="center"/>
          </w:tcPr>
          <w:p w14:paraId="4235A8E2">
            <w:pPr>
              <w:spacing w:line="420" w:lineRule="exact"/>
              <w:jc w:val="center"/>
              <w:rPr>
                <w:rFonts w:eastAsia="宋体" w:cs="宋体"/>
                <w:color w:val="000000"/>
                <w:sz w:val="24"/>
                <w:szCs w:val="24"/>
              </w:rPr>
            </w:pPr>
          </w:p>
        </w:tc>
        <w:tc>
          <w:tcPr>
            <w:tcW w:w="809" w:type="dxa"/>
            <w:vAlign w:val="center"/>
          </w:tcPr>
          <w:p w14:paraId="349EB9B9">
            <w:pPr>
              <w:spacing w:line="420" w:lineRule="exact"/>
              <w:jc w:val="center"/>
              <w:rPr>
                <w:rFonts w:eastAsia="宋体" w:cs="宋体"/>
                <w:color w:val="000000"/>
                <w:sz w:val="24"/>
                <w:szCs w:val="24"/>
              </w:rPr>
            </w:pPr>
          </w:p>
        </w:tc>
      </w:tr>
    </w:tbl>
    <w:p w14:paraId="23993929">
      <w:pPr>
        <w:spacing w:line="420" w:lineRule="exact"/>
        <w:ind w:firstLine="485"/>
        <w:rPr>
          <w:rFonts w:eastAsia="宋体" w:cs="宋体"/>
          <w:color w:val="000000"/>
          <w:sz w:val="24"/>
          <w:szCs w:val="24"/>
        </w:rPr>
      </w:pPr>
      <w:r>
        <w:rPr>
          <w:rFonts w:hint="eastAsia" w:eastAsia="宋体" w:cs="宋体"/>
          <w:color w:val="000000"/>
          <w:sz w:val="24"/>
          <w:szCs w:val="24"/>
        </w:rPr>
        <w:t>注：</w:t>
      </w:r>
    </w:p>
    <w:p w14:paraId="241ADAEB">
      <w:pPr>
        <w:spacing w:line="420" w:lineRule="exact"/>
        <w:ind w:firstLine="485"/>
        <w:rPr>
          <w:rFonts w:eastAsia="宋体" w:cs="宋体"/>
          <w:color w:val="000000"/>
          <w:sz w:val="24"/>
          <w:szCs w:val="24"/>
        </w:rPr>
      </w:pPr>
      <w:r>
        <w:rPr>
          <w:rFonts w:hint="eastAsia" w:eastAsia="宋体" w:cs="宋体"/>
          <w:color w:val="000000"/>
          <w:sz w:val="24"/>
          <w:szCs w:val="24"/>
        </w:rPr>
        <w:t>①公开招标响应供应商应对照公开招标文件第三章项目需求内的要求，逐一填写。</w:t>
      </w:r>
    </w:p>
    <w:p w14:paraId="060920DC">
      <w:pPr>
        <w:spacing w:line="420" w:lineRule="exact"/>
        <w:ind w:firstLine="485"/>
        <w:rPr>
          <w:rFonts w:eastAsia="宋体" w:cs="宋体"/>
          <w:color w:val="000000"/>
          <w:sz w:val="24"/>
          <w:szCs w:val="24"/>
        </w:rPr>
      </w:pPr>
      <w:r>
        <w:rPr>
          <w:rFonts w:hint="eastAsia" w:eastAsia="宋体" w:cs="宋体"/>
          <w:color w:val="000000"/>
          <w:sz w:val="24"/>
          <w:szCs w:val="24"/>
        </w:rPr>
        <w:t>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w:t>
      </w:r>
    </w:p>
    <w:p w14:paraId="3E1DAB9F">
      <w:pPr>
        <w:spacing w:line="420" w:lineRule="exact"/>
        <w:ind w:firstLine="485"/>
        <w:rPr>
          <w:rFonts w:eastAsia="宋体" w:cs="宋体"/>
          <w:color w:val="000000"/>
          <w:sz w:val="24"/>
          <w:szCs w:val="24"/>
        </w:rPr>
      </w:pPr>
      <w:r>
        <w:rPr>
          <w:rFonts w:hint="eastAsia" w:eastAsia="宋体" w:cs="宋体"/>
          <w:color w:val="000000"/>
          <w:sz w:val="24"/>
          <w:szCs w:val="24"/>
        </w:rPr>
        <w:t>③该表不作为公开招标响应供应商对项目需求产品技术要求等的详细描述和说明的替代。</w:t>
      </w:r>
    </w:p>
    <w:p w14:paraId="310C3774">
      <w:pPr>
        <w:spacing w:line="420" w:lineRule="exact"/>
        <w:ind w:firstLine="485"/>
        <w:rPr>
          <w:rFonts w:eastAsia="宋体" w:cs="宋体"/>
          <w:color w:val="000000"/>
          <w:sz w:val="24"/>
          <w:szCs w:val="24"/>
        </w:rPr>
      </w:pPr>
      <w:r>
        <w:rPr>
          <w:rFonts w:hint="eastAsia" w:eastAsia="宋体" w:cs="宋体"/>
          <w:color w:val="000000"/>
          <w:sz w:val="24"/>
          <w:szCs w:val="24"/>
        </w:rPr>
        <w:t>④公开招标响应供应商如果虚假响应，将承担一切可能的风险。</w:t>
      </w:r>
    </w:p>
    <w:p w14:paraId="775ABDC9">
      <w:pPr>
        <w:spacing w:line="420" w:lineRule="exact"/>
        <w:ind w:firstLine="485"/>
        <w:rPr>
          <w:rFonts w:eastAsia="宋体" w:cs="宋体"/>
          <w:color w:val="000000"/>
          <w:sz w:val="24"/>
          <w:szCs w:val="24"/>
        </w:rPr>
      </w:pPr>
      <w:r>
        <w:rPr>
          <w:rFonts w:hint="eastAsia" w:eastAsia="宋体" w:cs="宋体"/>
          <w:color w:val="000000"/>
          <w:sz w:val="24"/>
          <w:szCs w:val="24"/>
        </w:rPr>
        <w:t>⑤所投品牌型号，必须确定、唯一。</w:t>
      </w:r>
    </w:p>
    <w:p w14:paraId="29D60F19">
      <w:pPr>
        <w:spacing w:line="420" w:lineRule="exact"/>
        <w:ind w:firstLine="485"/>
        <w:rPr>
          <w:rFonts w:eastAsia="宋体" w:cs="宋体"/>
          <w:color w:val="000000"/>
          <w:sz w:val="24"/>
          <w:szCs w:val="24"/>
        </w:rPr>
      </w:pPr>
    </w:p>
    <w:p w14:paraId="6713A544">
      <w:pPr>
        <w:snapToGrid w:val="0"/>
        <w:spacing w:line="360" w:lineRule="auto"/>
        <w:jc w:val="right"/>
        <w:outlineLvl w:val="4"/>
        <w:rPr>
          <w:rFonts w:ascii="宋体" w:hAnsi="宋体" w:eastAsia="宋体" w:cs="宋体"/>
          <w:bCs/>
          <w:sz w:val="24"/>
        </w:rPr>
      </w:pPr>
      <w:r>
        <w:rPr>
          <w:rFonts w:hint="eastAsia" w:ascii="宋体" w:hAnsi="宋体" w:eastAsia="宋体" w:cs="宋体"/>
          <w:bCs/>
          <w:sz w:val="24"/>
        </w:rPr>
        <w:t xml:space="preserve">投标人（加盖CA电子签章）： </w:t>
      </w:r>
    </w:p>
    <w:p w14:paraId="7028517B">
      <w:pPr>
        <w:snapToGrid w:val="0"/>
        <w:spacing w:line="360" w:lineRule="auto"/>
        <w:jc w:val="right"/>
        <w:outlineLvl w:val="4"/>
        <w:rPr>
          <w:rFonts w:ascii="宋体" w:hAnsi="宋体" w:eastAsia="宋体" w:cs="宋体"/>
          <w:bCs/>
          <w:sz w:val="24"/>
        </w:rPr>
      </w:pPr>
      <w:r>
        <w:rPr>
          <w:rFonts w:hint="eastAsia" w:ascii="宋体" w:hAnsi="宋体" w:eastAsia="宋体" w:cs="宋体"/>
          <w:bCs/>
          <w:sz w:val="24"/>
        </w:rPr>
        <w:t xml:space="preserve">法定代表人或被授权人（签字或加盖CA电子签章）： </w:t>
      </w:r>
    </w:p>
    <w:p w14:paraId="0E349C1C">
      <w:pPr>
        <w:spacing w:line="420" w:lineRule="exact"/>
        <w:jc w:val="right"/>
        <w:rPr>
          <w:rFonts w:eastAsia="宋体" w:cs="宋体"/>
          <w:color w:val="000000"/>
          <w:sz w:val="30"/>
          <w:szCs w:val="30"/>
        </w:rPr>
      </w:pPr>
      <w:r>
        <w:rPr>
          <w:rFonts w:hint="eastAsia" w:ascii="宋体" w:hAnsi="宋体" w:eastAsia="宋体" w:cs="宋体"/>
          <w:bCs/>
          <w:sz w:val="24"/>
          <w:lang w:val="zh-CN"/>
        </w:rPr>
        <w:t>时间：</w:t>
      </w:r>
      <w:r>
        <w:rPr>
          <w:rFonts w:hint="eastAsia" w:ascii="宋体" w:hAnsi="宋体" w:eastAsia="宋体" w:cs="宋体"/>
          <w:bCs/>
          <w:sz w:val="24"/>
        </w:rPr>
        <w:t>2026年</w:t>
      </w:r>
      <w:r>
        <w:rPr>
          <w:rFonts w:hint="eastAsia" w:ascii="宋体" w:hAnsi="宋体" w:eastAsia="宋体" w:cs="宋体"/>
          <w:bCs/>
          <w:sz w:val="24"/>
          <w:lang w:val="zh-CN"/>
        </w:rPr>
        <w:t xml:space="preserve">  月   日</w:t>
      </w:r>
    </w:p>
    <w:p w14:paraId="01A8312D">
      <w:pPr>
        <w:widowControl/>
        <w:ind w:firstLine="482"/>
        <w:jc w:val="left"/>
        <w:rPr>
          <w:rFonts w:eastAsia="宋体" w:cs="宋体"/>
          <w:b/>
          <w:bCs/>
          <w:color w:val="000000"/>
          <w:sz w:val="24"/>
          <w:szCs w:val="21"/>
        </w:rPr>
      </w:pPr>
    </w:p>
    <w:p w14:paraId="1AEEB41A">
      <w:pPr>
        <w:widowControl/>
        <w:ind w:firstLine="482"/>
        <w:jc w:val="left"/>
        <w:rPr>
          <w:rFonts w:eastAsia="宋体" w:cs="宋体"/>
          <w:b/>
          <w:bCs/>
          <w:color w:val="000000"/>
          <w:sz w:val="24"/>
          <w:szCs w:val="21"/>
        </w:rPr>
      </w:pPr>
      <w:r>
        <w:rPr>
          <w:rFonts w:eastAsia="宋体" w:cs="宋体"/>
          <w:b/>
          <w:bCs/>
          <w:color w:val="000000"/>
          <w:sz w:val="24"/>
          <w:szCs w:val="21"/>
        </w:rPr>
        <w:br w:type="page" w:clear="all"/>
      </w:r>
    </w:p>
    <w:p w14:paraId="471CA3B1">
      <w:pPr>
        <w:spacing w:line="360" w:lineRule="auto"/>
        <w:jc w:val="center"/>
        <w:outlineLvl w:val="3"/>
        <w:rPr>
          <w:rFonts w:eastAsia="宋体" w:cs="宋体"/>
          <w:b/>
          <w:bCs/>
          <w:color w:val="000000"/>
          <w:sz w:val="28"/>
          <w:szCs w:val="28"/>
        </w:rPr>
      </w:pPr>
      <w:r>
        <w:rPr>
          <w:rFonts w:hint="eastAsia" w:eastAsia="宋体" w:cs="宋体"/>
          <w:b/>
          <w:bCs/>
          <w:color w:val="000000"/>
          <w:sz w:val="28"/>
          <w:szCs w:val="28"/>
        </w:rPr>
        <w:t>14.中小企业声明函（货物）</w:t>
      </w:r>
    </w:p>
    <w:p w14:paraId="5344ED04">
      <w:pPr>
        <w:snapToGrid w:val="0"/>
        <w:spacing w:line="360" w:lineRule="auto"/>
        <w:ind w:firstLine="480" w:firstLineChars="200"/>
        <w:outlineLvl w:val="0"/>
        <w:rPr>
          <w:rFonts w:ascii="宋体" w:hAnsi="宋体" w:eastAsia="宋体" w:cs="宋体"/>
          <w:sz w:val="24"/>
          <w:szCs w:val="24"/>
          <w:lang w:bidi="zh-CN"/>
        </w:rPr>
      </w:pPr>
    </w:p>
    <w:p w14:paraId="6371FAD6">
      <w:pPr>
        <w:snapToGrid w:val="0"/>
        <w:spacing w:line="360" w:lineRule="auto"/>
        <w:ind w:firstLine="480" w:firstLineChars="200"/>
        <w:outlineLvl w:val="0"/>
        <w:rPr>
          <w:rFonts w:ascii="宋体" w:hAnsi="宋体" w:eastAsia="宋体" w:cs="宋体"/>
          <w:sz w:val="24"/>
          <w:szCs w:val="24"/>
          <w:lang w:bidi="zh-CN"/>
        </w:rPr>
      </w:pPr>
      <w:r>
        <w:rPr>
          <w:rFonts w:hint="eastAsia" w:ascii="宋体" w:hAnsi="宋体" w:eastAsia="宋体" w:cs="宋体"/>
          <w:sz w:val="24"/>
          <w:szCs w:val="24"/>
          <w:lang w:bidi="zh-CN"/>
        </w:rPr>
        <w:t>本公司（联合体）郑重声明，根据《政府采购促进中小企业发展管理办法》（财库﹝2020﹞46 号）的规定，本公司（联合体）参加</w:t>
      </w:r>
      <w:r>
        <w:rPr>
          <w:rFonts w:hint="eastAsia" w:ascii="宋体" w:hAnsi="宋体" w:eastAsia="宋体" w:cs="宋体"/>
          <w:sz w:val="24"/>
          <w:szCs w:val="24"/>
          <w:u w:val="single"/>
          <w:lang w:bidi="zh-CN"/>
        </w:rPr>
        <w:t>（单位名称）</w:t>
      </w:r>
      <w:r>
        <w:rPr>
          <w:rFonts w:hint="eastAsia" w:ascii="宋体" w:hAnsi="宋体" w:eastAsia="宋体" w:cs="宋体"/>
          <w:sz w:val="24"/>
          <w:szCs w:val="24"/>
          <w:lang w:bidi="zh-CN"/>
        </w:rPr>
        <w:t>的</w:t>
      </w:r>
      <w:r>
        <w:rPr>
          <w:rFonts w:hint="eastAsia" w:ascii="宋体" w:hAnsi="宋体" w:eastAsia="宋体" w:cs="宋体"/>
          <w:sz w:val="24"/>
          <w:szCs w:val="24"/>
          <w:u w:val="single"/>
          <w:lang w:bidi="zh-CN"/>
        </w:rPr>
        <w:t>（项目名称）</w:t>
      </w:r>
      <w:r>
        <w:rPr>
          <w:rFonts w:hint="eastAsia" w:ascii="宋体" w:hAnsi="宋体" w:eastAsia="宋体" w:cs="宋体"/>
          <w:sz w:val="24"/>
          <w:szCs w:val="24"/>
          <w:lang w:bidi="zh-CN"/>
        </w:rPr>
        <w:t>采购活动，提供的货物全部由符合政策要求的中小企业制造。相关企业（含联合体中的中小企业、签订分包意向协议的中小企业） 的具体情况如下：</w:t>
      </w:r>
    </w:p>
    <w:p w14:paraId="5F09A95B">
      <w:pPr>
        <w:snapToGrid w:val="0"/>
        <w:spacing w:line="360" w:lineRule="auto"/>
        <w:outlineLvl w:val="0"/>
        <w:rPr>
          <w:rFonts w:ascii="宋体" w:hAnsi="宋体" w:eastAsia="宋体" w:cs="宋体"/>
          <w:sz w:val="24"/>
          <w:szCs w:val="24"/>
          <w:lang w:bidi="zh-CN"/>
        </w:rPr>
      </w:pPr>
      <w:r>
        <w:rPr>
          <w:rFonts w:hint="eastAsia" w:ascii="宋体" w:hAnsi="宋体" w:eastAsia="宋体" w:cs="宋体"/>
          <w:sz w:val="24"/>
          <w:szCs w:val="24"/>
          <w:lang w:bidi="zh-CN"/>
        </w:rPr>
        <w:t>1.</w:t>
      </w:r>
      <w:r>
        <w:rPr>
          <w:rFonts w:hint="eastAsia" w:ascii="宋体" w:hAnsi="宋体" w:eastAsia="宋体" w:cs="宋体"/>
          <w:sz w:val="24"/>
          <w:szCs w:val="24"/>
          <w:u w:val="single"/>
          <w:lang w:bidi="zh-CN"/>
        </w:rPr>
        <w:t xml:space="preserve"> （标的名称）</w:t>
      </w:r>
      <w:r>
        <w:rPr>
          <w:rFonts w:hint="eastAsia" w:ascii="宋体" w:hAnsi="宋体" w:eastAsia="宋体" w:cs="宋体"/>
          <w:sz w:val="24"/>
          <w:szCs w:val="24"/>
          <w:lang w:bidi="zh-CN"/>
        </w:rPr>
        <w:t xml:space="preserve"> ，属于</w:t>
      </w:r>
      <w:r>
        <w:rPr>
          <w:rFonts w:hint="eastAsia" w:ascii="宋体" w:hAnsi="宋体" w:eastAsia="宋体" w:cs="宋体"/>
          <w:sz w:val="24"/>
          <w:szCs w:val="24"/>
          <w:u w:val="single"/>
          <w:lang w:bidi="zh-CN"/>
        </w:rPr>
        <w:t>（采购文件中明确的所属行业）</w:t>
      </w:r>
      <w:r>
        <w:rPr>
          <w:rFonts w:hint="eastAsia" w:ascii="宋体" w:hAnsi="宋体" w:eastAsia="宋体" w:cs="宋体"/>
          <w:sz w:val="24"/>
          <w:szCs w:val="24"/>
          <w:lang w:bidi="zh-CN"/>
        </w:rPr>
        <w:t>行业；制造商为</w:t>
      </w:r>
      <w:r>
        <w:rPr>
          <w:rFonts w:hint="eastAsia" w:ascii="宋体" w:hAnsi="宋体" w:eastAsia="宋体" w:cs="宋体"/>
          <w:sz w:val="24"/>
          <w:szCs w:val="24"/>
          <w:u w:val="single"/>
          <w:lang w:bidi="zh-CN"/>
        </w:rPr>
        <w:t>（企业名称）</w:t>
      </w:r>
      <w:r>
        <w:rPr>
          <w:rFonts w:hint="eastAsia" w:ascii="宋体" w:hAnsi="宋体" w:eastAsia="宋体" w:cs="宋体"/>
          <w:sz w:val="24"/>
          <w:szCs w:val="24"/>
          <w:lang w:bidi="zh-CN"/>
        </w:rPr>
        <w:t>，从业人员</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人，营业收入为</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万元，资产总额为</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万元，属于</w:t>
      </w:r>
      <w:r>
        <w:rPr>
          <w:rFonts w:hint="eastAsia" w:ascii="宋体" w:hAnsi="宋体" w:eastAsia="宋体" w:cs="宋体"/>
          <w:sz w:val="24"/>
          <w:szCs w:val="24"/>
          <w:u w:val="single"/>
          <w:lang w:bidi="zh-CN"/>
        </w:rPr>
        <w:t>（中型企业、小型企业、微型企业）</w:t>
      </w:r>
      <w:r>
        <w:rPr>
          <w:rFonts w:hint="eastAsia" w:ascii="宋体" w:hAnsi="宋体" w:eastAsia="宋体" w:cs="宋体"/>
          <w:sz w:val="24"/>
          <w:szCs w:val="24"/>
          <w:lang w:bidi="zh-CN"/>
        </w:rPr>
        <w:t>；</w:t>
      </w:r>
    </w:p>
    <w:p w14:paraId="0D59CC52">
      <w:pPr>
        <w:snapToGrid w:val="0"/>
        <w:spacing w:line="360" w:lineRule="auto"/>
        <w:outlineLvl w:val="0"/>
        <w:rPr>
          <w:rFonts w:ascii="宋体" w:hAnsi="宋体" w:eastAsia="宋体" w:cs="宋体"/>
          <w:sz w:val="24"/>
          <w:szCs w:val="24"/>
          <w:lang w:bidi="zh-CN"/>
        </w:rPr>
      </w:pPr>
      <w:r>
        <w:rPr>
          <w:rFonts w:hint="eastAsia" w:ascii="宋体" w:hAnsi="宋体" w:eastAsia="宋体" w:cs="宋体"/>
          <w:sz w:val="24"/>
          <w:szCs w:val="24"/>
          <w:lang w:bidi="zh-CN"/>
        </w:rPr>
        <w:t>2.</w:t>
      </w:r>
      <w:r>
        <w:rPr>
          <w:rFonts w:hint="eastAsia" w:ascii="宋体" w:hAnsi="宋体" w:eastAsia="宋体" w:cs="宋体"/>
          <w:i/>
          <w:sz w:val="24"/>
          <w:szCs w:val="24"/>
          <w:u w:val="single"/>
          <w:lang w:bidi="zh-CN"/>
        </w:rPr>
        <w:t xml:space="preserve"> </w:t>
      </w:r>
      <w:r>
        <w:rPr>
          <w:rFonts w:hint="eastAsia" w:ascii="宋体" w:hAnsi="宋体" w:eastAsia="宋体" w:cs="宋体"/>
          <w:sz w:val="24"/>
          <w:szCs w:val="24"/>
          <w:u w:val="single"/>
          <w:lang w:bidi="zh-CN"/>
        </w:rPr>
        <w:t xml:space="preserve">（标的名称） </w:t>
      </w:r>
      <w:r>
        <w:rPr>
          <w:rFonts w:hint="eastAsia" w:ascii="宋体" w:hAnsi="宋体" w:eastAsia="宋体" w:cs="宋体"/>
          <w:sz w:val="24"/>
          <w:szCs w:val="24"/>
          <w:lang w:bidi="zh-CN"/>
        </w:rPr>
        <w:t>，属于</w:t>
      </w:r>
      <w:r>
        <w:rPr>
          <w:rFonts w:hint="eastAsia" w:ascii="宋体" w:hAnsi="宋体" w:eastAsia="宋体" w:cs="宋体"/>
          <w:sz w:val="24"/>
          <w:szCs w:val="24"/>
          <w:u w:val="single"/>
          <w:lang w:bidi="zh-CN"/>
        </w:rPr>
        <w:t>（采购文件中明确的所属行业）</w:t>
      </w:r>
      <w:r>
        <w:rPr>
          <w:rFonts w:hint="eastAsia" w:ascii="宋体" w:hAnsi="宋体" w:eastAsia="宋体" w:cs="宋体"/>
          <w:sz w:val="24"/>
          <w:szCs w:val="24"/>
          <w:lang w:bidi="zh-CN"/>
        </w:rPr>
        <w:t>行业；制造商为</w:t>
      </w:r>
      <w:r>
        <w:rPr>
          <w:rFonts w:hint="eastAsia" w:ascii="宋体" w:hAnsi="宋体" w:eastAsia="宋体" w:cs="宋体"/>
          <w:sz w:val="24"/>
          <w:szCs w:val="24"/>
          <w:u w:val="single"/>
          <w:lang w:bidi="zh-CN"/>
        </w:rPr>
        <w:t>（企业名称）</w:t>
      </w:r>
      <w:r>
        <w:rPr>
          <w:rFonts w:hint="eastAsia" w:ascii="宋体" w:hAnsi="宋体" w:eastAsia="宋体" w:cs="宋体"/>
          <w:sz w:val="24"/>
          <w:szCs w:val="24"/>
          <w:lang w:bidi="zh-CN"/>
        </w:rPr>
        <w:t>，从业人员</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人，营业收入为</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万元，资产总额为</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万元，属于</w:t>
      </w:r>
      <w:r>
        <w:rPr>
          <w:rFonts w:hint="eastAsia" w:ascii="宋体" w:hAnsi="宋体" w:eastAsia="宋体" w:cs="宋体"/>
          <w:sz w:val="24"/>
          <w:szCs w:val="24"/>
          <w:u w:val="single"/>
          <w:lang w:bidi="zh-CN"/>
        </w:rPr>
        <w:t>（中型企业、小型企业、微型企业）</w:t>
      </w:r>
      <w:r>
        <w:rPr>
          <w:rFonts w:hint="eastAsia" w:ascii="宋体" w:hAnsi="宋体" w:eastAsia="宋体" w:cs="宋体"/>
          <w:sz w:val="24"/>
          <w:szCs w:val="24"/>
          <w:lang w:bidi="zh-CN"/>
        </w:rPr>
        <w:t>；</w:t>
      </w:r>
    </w:p>
    <w:p w14:paraId="0D0E2ED4">
      <w:pPr>
        <w:snapToGrid w:val="0"/>
        <w:spacing w:line="360" w:lineRule="auto"/>
        <w:outlineLvl w:val="0"/>
        <w:rPr>
          <w:rFonts w:ascii="宋体" w:hAnsi="宋体" w:eastAsia="宋体" w:cs="宋体"/>
          <w:sz w:val="24"/>
          <w:szCs w:val="24"/>
          <w:lang w:bidi="zh-CN"/>
        </w:rPr>
      </w:pPr>
      <w:r>
        <w:rPr>
          <w:rFonts w:hint="eastAsia" w:ascii="宋体" w:hAnsi="宋体" w:eastAsia="宋体" w:cs="宋体"/>
          <w:sz w:val="24"/>
          <w:szCs w:val="24"/>
          <w:lang w:bidi="zh-CN"/>
        </w:rPr>
        <w:t>……</w:t>
      </w:r>
    </w:p>
    <w:p w14:paraId="412479B1">
      <w:pPr>
        <w:snapToGrid w:val="0"/>
        <w:spacing w:line="360" w:lineRule="auto"/>
        <w:ind w:firstLine="480" w:firstLineChars="200"/>
        <w:outlineLvl w:val="0"/>
        <w:rPr>
          <w:rFonts w:ascii="宋体" w:hAnsi="宋体" w:eastAsia="宋体" w:cs="宋体"/>
          <w:sz w:val="24"/>
          <w:szCs w:val="24"/>
          <w:lang w:bidi="zh-CN"/>
        </w:rPr>
      </w:pPr>
      <w:r>
        <w:rPr>
          <w:rFonts w:hint="eastAsia" w:ascii="宋体" w:hAnsi="宋体" w:eastAsia="宋体" w:cs="宋体"/>
          <w:sz w:val="24"/>
          <w:szCs w:val="24"/>
          <w:lang w:bidi="zh-CN"/>
        </w:rPr>
        <w:t>以上企业，不属于大企业的分支机构，不存在控股股东为大企业的情形，也不存在与大企业的负责人为同一人的情形。</w:t>
      </w:r>
    </w:p>
    <w:p w14:paraId="00098EFA">
      <w:pPr>
        <w:snapToGrid w:val="0"/>
        <w:spacing w:line="360" w:lineRule="auto"/>
        <w:ind w:firstLine="480" w:firstLineChars="200"/>
        <w:outlineLvl w:val="0"/>
        <w:rPr>
          <w:rFonts w:ascii="宋体" w:hAnsi="宋体" w:eastAsia="宋体" w:cs="宋体"/>
          <w:sz w:val="24"/>
          <w:szCs w:val="24"/>
          <w:lang w:bidi="zh-CN"/>
        </w:rPr>
      </w:pPr>
      <w:r>
        <w:rPr>
          <w:rFonts w:hint="eastAsia" w:ascii="宋体" w:hAnsi="宋体" w:eastAsia="宋体" w:cs="宋体"/>
          <w:sz w:val="24"/>
          <w:szCs w:val="24"/>
          <w:lang w:bidi="zh-CN"/>
        </w:rPr>
        <w:t>本企业对上述声明内容的真实性负责。如有虚假，将依法承担相应责任。</w:t>
      </w:r>
    </w:p>
    <w:p w14:paraId="75291536">
      <w:pPr>
        <w:snapToGrid w:val="0"/>
        <w:spacing w:line="360" w:lineRule="auto"/>
        <w:outlineLvl w:val="0"/>
        <w:rPr>
          <w:rFonts w:ascii="宋体" w:hAnsi="宋体" w:eastAsia="宋体" w:cs="宋体"/>
          <w:sz w:val="24"/>
          <w:szCs w:val="24"/>
          <w:highlight w:val="green"/>
          <w:lang w:bidi="zh-CN"/>
        </w:rPr>
      </w:pPr>
    </w:p>
    <w:p w14:paraId="722F80FA">
      <w:pPr>
        <w:snapToGrid w:val="0"/>
        <w:spacing w:line="360" w:lineRule="auto"/>
        <w:outlineLvl w:val="0"/>
        <w:rPr>
          <w:rFonts w:ascii="宋体" w:hAnsi="宋体" w:eastAsia="宋体" w:cs="宋体"/>
          <w:sz w:val="24"/>
          <w:szCs w:val="24"/>
          <w:lang w:bidi="zh-CN"/>
        </w:rPr>
      </w:pPr>
      <w:r>
        <w:rPr>
          <w:rFonts w:hint="eastAsia" w:ascii="宋体" w:hAnsi="宋体" w:eastAsia="宋体" w:cs="宋体"/>
          <w:sz w:val="24"/>
          <w:szCs w:val="24"/>
          <w:lang w:bidi="zh-CN"/>
        </w:rPr>
        <w:t>注：1.如项目属性为“货物”，请按本表填写。</w:t>
      </w:r>
    </w:p>
    <w:p w14:paraId="6646C777">
      <w:pPr>
        <w:snapToGrid w:val="0"/>
        <w:spacing w:line="360" w:lineRule="auto"/>
        <w:ind w:firstLine="480" w:firstLineChars="200"/>
        <w:outlineLvl w:val="0"/>
        <w:rPr>
          <w:rFonts w:ascii="宋体" w:hAnsi="宋体" w:eastAsia="宋体" w:cs="宋体"/>
          <w:sz w:val="24"/>
          <w:szCs w:val="24"/>
          <w:lang w:bidi="zh-CN"/>
        </w:rPr>
      </w:pPr>
      <w:r>
        <w:rPr>
          <w:rFonts w:hint="eastAsia" w:ascii="宋体" w:hAnsi="宋体" w:eastAsia="宋体" w:cs="宋体"/>
          <w:sz w:val="24"/>
          <w:szCs w:val="24"/>
          <w:lang w:bidi="zh-CN"/>
        </w:rPr>
        <w:t>2.从业人员、营业收入、资产总额填报上一年度数据，无上一年度数据的新成立企业可不填报。</w:t>
      </w:r>
    </w:p>
    <w:p w14:paraId="5B4E4C80">
      <w:pPr>
        <w:snapToGrid w:val="0"/>
        <w:spacing w:line="360" w:lineRule="auto"/>
        <w:ind w:firstLine="480" w:firstLineChars="200"/>
        <w:outlineLvl w:val="0"/>
        <w:rPr>
          <w:rFonts w:ascii="宋体" w:hAnsi="宋体" w:eastAsia="宋体" w:cs="宋体"/>
          <w:sz w:val="24"/>
          <w:szCs w:val="24"/>
          <w:lang w:bidi="zh-CN"/>
        </w:rPr>
      </w:pPr>
      <w:r>
        <w:rPr>
          <w:rFonts w:hint="eastAsia" w:ascii="宋体" w:hAnsi="宋体" w:eastAsia="宋体" w:cs="宋体"/>
          <w:sz w:val="24"/>
          <w:szCs w:val="24"/>
          <w:lang w:bidi="zh-CN"/>
        </w:rPr>
        <w:t>3.投标供应商须根据上述要求，详细列明货物清单中所有产品制造商的具体情况，否则不能享受中小企业扶持政策。</w:t>
      </w:r>
    </w:p>
    <w:p w14:paraId="0F0F5FB6">
      <w:pPr>
        <w:snapToGrid w:val="0"/>
        <w:spacing w:line="360" w:lineRule="auto"/>
        <w:ind w:firstLine="480" w:firstLineChars="200"/>
        <w:outlineLvl w:val="0"/>
        <w:rPr>
          <w:rFonts w:ascii="宋体" w:hAnsi="宋体" w:eastAsia="宋体" w:cs="宋体"/>
          <w:sz w:val="24"/>
          <w:szCs w:val="24"/>
          <w:lang w:bidi="zh-CN"/>
        </w:rPr>
      </w:pPr>
      <w:r>
        <w:rPr>
          <w:rFonts w:hint="eastAsia" w:ascii="宋体" w:hAnsi="宋体" w:eastAsia="宋体" w:cs="宋体"/>
          <w:sz w:val="24"/>
          <w:szCs w:val="24"/>
          <w:lang w:bidi="zh-CN"/>
        </w:rPr>
        <w:t>4.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6C4FDDF2">
      <w:pPr>
        <w:snapToGrid w:val="0"/>
        <w:spacing w:line="360" w:lineRule="auto"/>
        <w:outlineLvl w:val="0"/>
        <w:rPr>
          <w:rFonts w:ascii="宋体" w:hAnsi="宋体" w:eastAsia="宋体" w:cs="宋体"/>
          <w:sz w:val="24"/>
          <w:szCs w:val="24"/>
          <w:lang w:bidi="zh-CN"/>
        </w:rPr>
      </w:pPr>
    </w:p>
    <w:p w14:paraId="72A22478">
      <w:pPr>
        <w:spacing w:line="360" w:lineRule="auto"/>
        <w:ind w:firstLine="4200"/>
        <w:jc w:val="center"/>
        <w:outlineLvl w:val="0"/>
        <w:rPr>
          <w:rFonts w:eastAsia="宋体" w:cs="宋体"/>
          <w:color w:val="000000"/>
          <w:sz w:val="24"/>
          <w:szCs w:val="28"/>
        </w:rPr>
      </w:pPr>
      <w:r>
        <w:rPr>
          <w:rFonts w:hint="eastAsia" w:eastAsia="宋体" w:cs="宋体"/>
          <w:color w:val="000000"/>
          <w:sz w:val="24"/>
          <w:szCs w:val="28"/>
          <w:lang w:bidi="zh-CN"/>
        </w:rPr>
        <w:t>企业名称（</w:t>
      </w:r>
      <w:r>
        <w:rPr>
          <w:rFonts w:hint="eastAsia" w:ascii="宋体" w:hAnsi="宋体" w:eastAsia="宋体" w:cs="宋体"/>
          <w:bCs/>
          <w:sz w:val="24"/>
        </w:rPr>
        <w:t>加盖CA电子签章</w:t>
      </w:r>
      <w:r>
        <w:rPr>
          <w:rFonts w:hint="eastAsia" w:eastAsia="宋体" w:cs="宋体"/>
          <w:color w:val="000000"/>
          <w:sz w:val="24"/>
          <w:szCs w:val="28"/>
          <w:lang w:bidi="zh-CN"/>
        </w:rPr>
        <w:t>）：</w:t>
      </w:r>
    </w:p>
    <w:p w14:paraId="702BE0B2">
      <w:pPr>
        <w:spacing w:line="360" w:lineRule="auto"/>
        <w:ind w:firstLine="4800" w:firstLineChars="2000"/>
        <w:outlineLvl w:val="0"/>
        <w:rPr>
          <w:rFonts w:eastAsia="宋体" w:cs="宋体"/>
          <w:color w:val="000000"/>
          <w:sz w:val="24"/>
          <w:szCs w:val="28"/>
        </w:rPr>
      </w:pPr>
      <w:r>
        <w:rPr>
          <w:rFonts w:hint="eastAsia" w:eastAsia="宋体" w:cs="宋体"/>
          <w:color w:val="000000"/>
          <w:sz w:val="24"/>
          <w:szCs w:val="28"/>
          <w:lang w:bidi="zh-CN"/>
        </w:rPr>
        <w:t>日 期：</w:t>
      </w:r>
    </w:p>
    <w:p w14:paraId="27239804">
      <w:pPr>
        <w:spacing w:line="360" w:lineRule="auto"/>
        <w:ind w:right="561"/>
        <w:rPr>
          <w:rFonts w:eastAsia="宋体" w:cs="宋体"/>
          <w:color w:val="000000"/>
          <w:sz w:val="24"/>
          <w:szCs w:val="21"/>
        </w:rPr>
      </w:pPr>
    </w:p>
    <w:p w14:paraId="72C2A193">
      <w:pPr>
        <w:spacing w:line="360" w:lineRule="auto"/>
        <w:jc w:val="center"/>
        <w:outlineLvl w:val="3"/>
        <w:rPr>
          <w:rFonts w:eastAsia="宋体" w:cs="宋体"/>
          <w:b/>
          <w:bCs/>
          <w:color w:val="000000"/>
          <w:sz w:val="28"/>
          <w:szCs w:val="28"/>
        </w:rPr>
      </w:pPr>
      <w:r>
        <w:rPr>
          <w:rFonts w:hint="eastAsia" w:eastAsia="宋体" w:cs="宋体"/>
          <w:color w:val="000000"/>
          <w:sz w:val="24"/>
          <w:szCs w:val="21"/>
        </w:rPr>
        <w:br w:type="page" w:clear="all"/>
      </w:r>
      <w:r>
        <w:rPr>
          <w:rFonts w:hint="eastAsia" w:eastAsia="宋体" w:cs="宋体"/>
          <w:b/>
          <w:bCs/>
          <w:color w:val="000000"/>
          <w:sz w:val="28"/>
          <w:szCs w:val="28"/>
        </w:rPr>
        <w:t>残疾人福利性单位声明函</w:t>
      </w:r>
    </w:p>
    <w:p w14:paraId="70B1C095">
      <w:pPr>
        <w:spacing w:line="360" w:lineRule="auto"/>
        <w:ind w:firstLine="480"/>
        <w:rPr>
          <w:rFonts w:eastAsia="宋体" w:cs="宋体"/>
          <w:color w:val="000000"/>
          <w:sz w:val="24"/>
        </w:rPr>
      </w:pPr>
      <w:r>
        <w:rPr>
          <w:rFonts w:hint="eastAsia" w:eastAsia="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CC4C8B6">
      <w:pPr>
        <w:spacing w:line="360" w:lineRule="auto"/>
        <w:ind w:firstLine="480"/>
        <w:rPr>
          <w:rFonts w:eastAsia="宋体" w:cs="宋体"/>
          <w:color w:val="000000"/>
          <w:sz w:val="24"/>
        </w:rPr>
      </w:pPr>
      <w:r>
        <w:rPr>
          <w:rFonts w:hint="eastAsia" w:eastAsia="宋体" w:cs="宋体"/>
          <w:color w:val="000000"/>
          <w:sz w:val="24"/>
        </w:rPr>
        <w:t>本单位对上述声明的真实性负责。如有虚假，将依法承担相应责任。</w:t>
      </w:r>
    </w:p>
    <w:p w14:paraId="4BFE1D23">
      <w:pPr>
        <w:spacing w:line="360" w:lineRule="auto"/>
        <w:ind w:firstLine="480"/>
        <w:jc w:val="center"/>
        <w:rPr>
          <w:rFonts w:eastAsia="宋体" w:cs="宋体"/>
          <w:color w:val="000000"/>
          <w:sz w:val="24"/>
        </w:rPr>
      </w:pPr>
      <w:r>
        <w:rPr>
          <w:rFonts w:hint="eastAsia" w:eastAsia="宋体" w:cs="宋体"/>
          <w:color w:val="000000"/>
          <w:sz w:val="24"/>
        </w:rPr>
        <w:t xml:space="preserve">                   供应商公章：</w:t>
      </w:r>
    </w:p>
    <w:p w14:paraId="6F61DF85">
      <w:pPr>
        <w:spacing w:line="360" w:lineRule="auto"/>
        <w:ind w:firstLine="480"/>
        <w:jc w:val="center"/>
        <w:rPr>
          <w:rFonts w:eastAsia="宋体" w:cs="宋体"/>
          <w:color w:val="000000"/>
          <w:sz w:val="24"/>
        </w:rPr>
      </w:pPr>
      <w:r>
        <w:rPr>
          <w:rFonts w:hint="eastAsia" w:eastAsia="宋体" w:cs="宋体"/>
          <w:color w:val="000000"/>
          <w:sz w:val="24"/>
        </w:rPr>
        <w:t xml:space="preserve">                         日期：</w:t>
      </w:r>
    </w:p>
    <w:p w14:paraId="056C382A">
      <w:pPr>
        <w:spacing w:line="360" w:lineRule="auto"/>
        <w:ind w:firstLine="566"/>
        <w:rPr>
          <w:rFonts w:eastAsia="宋体"/>
          <w:color w:val="000000"/>
          <w:sz w:val="24"/>
          <w:szCs w:val="26"/>
        </w:rPr>
      </w:pPr>
    </w:p>
    <w:p w14:paraId="0AFDD0AE">
      <w:pPr>
        <w:spacing w:line="360" w:lineRule="auto"/>
        <w:ind w:firstLine="566"/>
        <w:rPr>
          <w:rFonts w:eastAsia="宋体"/>
          <w:color w:val="000000"/>
          <w:sz w:val="24"/>
          <w:szCs w:val="26"/>
        </w:rPr>
      </w:pPr>
      <w:r>
        <w:rPr>
          <w:rFonts w:hint="eastAsia" w:eastAsia="宋体"/>
          <w:color w:val="000000"/>
          <w:sz w:val="24"/>
          <w:szCs w:val="26"/>
        </w:rPr>
        <w:t>享受政府采购支持政策的残疾人福利性单位应当同时满足以下条件：</w:t>
      </w:r>
    </w:p>
    <w:p w14:paraId="7A0E9888">
      <w:pPr>
        <w:spacing w:line="360" w:lineRule="auto"/>
        <w:ind w:firstLine="480"/>
        <w:rPr>
          <w:rFonts w:eastAsia="宋体"/>
          <w:color w:val="000000"/>
          <w:sz w:val="24"/>
          <w:szCs w:val="26"/>
        </w:rPr>
      </w:pPr>
      <w:r>
        <w:rPr>
          <w:rFonts w:hint="eastAsia" w:eastAsia="宋体"/>
          <w:color w:val="000000"/>
          <w:sz w:val="24"/>
          <w:szCs w:val="26"/>
        </w:rPr>
        <w:t>（一）安置的残疾人占本单位在职职工人数的比例不低于25%（含25%），并且安置的残疾人人数不少于10人（含10人）；</w:t>
      </w:r>
    </w:p>
    <w:p w14:paraId="09B8AAE4">
      <w:pPr>
        <w:spacing w:line="360" w:lineRule="auto"/>
        <w:ind w:firstLine="480"/>
        <w:rPr>
          <w:rFonts w:eastAsia="宋体"/>
          <w:color w:val="000000"/>
          <w:sz w:val="24"/>
          <w:szCs w:val="26"/>
        </w:rPr>
      </w:pPr>
      <w:r>
        <w:rPr>
          <w:rFonts w:hint="eastAsia" w:eastAsia="宋体"/>
          <w:color w:val="000000"/>
          <w:sz w:val="24"/>
          <w:szCs w:val="26"/>
        </w:rPr>
        <w:t>（二）依法与安置的每位残疾人签订了一年以上（含一年）的劳动合同或服务协议；</w:t>
      </w:r>
    </w:p>
    <w:p w14:paraId="60E58A11">
      <w:pPr>
        <w:spacing w:line="360" w:lineRule="auto"/>
        <w:ind w:firstLine="480"/>
        <w:rPr>
          <w:rFonts w:eastAsia="宋体"/>
          <w:color w:val="000000"/>
          <w:sz w:val="24"/>
          <w:szCs w:val="26"/>
        </w:rPr>
      </w:pPr>
      <w:r>
        <w:rPr>
          <w:rFonts w:hint="eastAsia" w:eastAsia="宋体"/>
          <w:color w:val="000000"/>
          <w:sz w:val="24"/>
          <w:szCs w:val="26"/>
        </w:rPr>
        <w:t>（三）为安置的每位残疾人按月足额缴纳了基本养老保险、基本医疗保险、失业保险、工伤保险和生育保险等社会保险费；</w:t>
      </w:r>
    </w:p>
    <w:p w14:paraId="61E41F52">
      <w:pPr>
        <w:spacing w:line="360" w:lineRule="auto"/>
        <w:ind w:firstLine="480"/>
        <w:rPr>
          <w:rFonts w:eastAsia="宋体"/>
          <w:color w:val="000000"/>
          <w:sz w:val="24"/>
          <w:szCs w:val="26"/>
        </w:rPr>
      </w:pPr>
      <w:r>
        <w:rPr>
          <w:rFonts w:hint="eastAsia" w:eastAsia="宋体"/>
          <w:color w:val="000000"/>
          <w:sz w:val="24"/>
          <w:szCs w:val="26"/>
        </w:rPr>
        <w:t>（四）通过银行等金融机构向安置的每位残疾人，按月支付了不低于单位所在区县适用的经省级人民政府批准的月最低工资标准的工资；</w:t>
      </w:r>
    </w:p>
    <w:p w14:paraId="6CFA927D">
      <w:pPr>
        <w:spacing w:line="360" w:lineRule="auto"/>
        <w:ind w:firstLine="480"/>
        <w:rPr>
          <w:rFonts w:eastAsia="宋体"/>
          <w:color w:val="000000"/>
          <w:sz w:val="24"/>
          <w:szCs w:val="26"/>
        </w:rPr>
      </w:pPr>
      <w:r>
        <w:rPr>
          <w:rFonts w:hint="eastAsia" w:eastAsia="宋体"/>
          <w:color w:val="000000"/>
          <w:sz w:val="24"/>
          <w:szCs w:val="26"/>
        </w:rPr>
        <w:t>（五）提供本单位制造的货物、承担的工程或者服务（以下简称产品），或者提供其他残疾人福利性单位制造的货物（不包括使用非残疾人福利性单位注册商标的货物）。</w:t>
      </w:r>
    </w:p>
    <w:p w14:paraId="3066A855">
      <w:pPr>
        <w:spacing w:line="360" w:lineRule="auto"/>
        <w:ind w:firstLine="480"/>
        <w:rPr>
          <w:rFonts w:eastAsia="宋体" w:cs="宋体"/>
          <w:color w:val="000000"/>
        </w:rPr>
      </w:pPr>
      <w:r>
        <w:rPr>
          <w:rFonts w:hint="eastAsia" w:eastAsia="宋体"/>
          <w:color w:val="000000"/>
          <w:sz w:val="24"/>
          <w:szCs w:val="26"/>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eastAsia="宋体" w:cs="宋体"/>
          <w:color w:val="000000"/>
        </w:rPr>
        <w:t xml:space="preserve">  </w:t>
      </w:r>
    </w:p>
    <w:p w14:paraId="1D996B93">
      <w:pPr>
        <w:rPr>
          <w:rFonts w:eastAsia="宋体" w:cs="宋体"/>
          <w:b/>
          <w:color w:val="000000"/>
          <w:szCs w:val="24"/>
        </w:rPr>
      </w:pPr>
      <w:r>
        <w:rPr>
          <w:rFonts w:eastAsia="宋体" w:cs="宋体"/>
          <w:b/>
          <w:color w:val="000000"/>
          <w:szCs w:val="24"/>
        </w:rPr>
        <w:br w:type="page"/>
      </w:r>
    </w:p>
    <w:p w14:paraId="2FCD66BD">
      <w:pPr>
        <w:spacing w:line="360" w:lineRule="auto"/>
        <w:jc w:val="center"/>
        <w:outlineLvl w:val="3"/>
        <w:rPr>
          <w:rFonts w:eastAsia="宋体" w:cs="宋体"/>
          <w:b/>
          <w:bCs/>
          <w:color w:val="000000"/>
          <w:sz w:val="28"/>
          <w:szCs w:val="28"/>
        </w:rPr>
      </w:pPr>
      <w:r>
        <w:rPr>
          <w:rFonts w:hint="eastAsia" w:eastAsia="宋体" w:cs="宋体"/>
          <w:b/>
          <w:bCs/>
          <w:color w:val="000000"/>
          <w:sz w:val="28"/>
          <w:szCs w:val="28"/>
        </w:rPr>
        <w:t>监狱企业的证明</w:t>
      </w:r>
    </w:p>
    <w:p w14:paraId="4ABE1708">
      <w:pPr>
        <w:spacing w:line="360" w:lineRule="auto"/>
        <w:jc w:val="center"/>
        <w:rPr>
          <w:rFonts w:eastAsia="宋体"/>
          <w:color w:val="000000"/>
          <w:sz w:val="24"/>
          <w:szCs w:val="26"/>
        </w:rPr>
      </w:pPr>
      <w:r>
        <w:rPr>
          <w:rFonts w:eastAsia="宋体"/>
          <w:color w:val="000000"/>
          <w:sz w:val="24"/>
          <w:szCs w:val="26"/>
        </w:rPr>
        <w:t>（格式自拟）</w:t>
      </w:r>
    </w:p>
    <w:p w14:paraId="09000C5C">
      <w:pPr>
        <w:spacing w:line="360" w:lineRule="auto"/>
        <w:ind w:firstLine="566"/>
        <w:rPr>
          <w:rFonts w:eastAsia="宋体"/>
          <w:color w:val="000000"/>
          <w:sz w:val="24"/>
          <w:szCs w:val="26"/>
        </w:rPr>
      </w:pPr>
      <w:r>
        <w:rPr>
          <w:rFonts w:eastAsia="宋体"/>
          <w:color w:val="000000"/>
          <w:sz w:val="24"/>
          <w:szCs w:val="26"/>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1E9BBDB2">
      <w:pPr>
        <w:spacing w:line="360" w:lineRule="auto"/>
        <w:rPr>
          <w:rFonts w:eastAsia="宋体" w:cs="宋体"/>
          <w:color w:val="000000"/>
        </w:rPr>
      </w:pPr>
    </w:p>
    <w:p w14:paraId="6D76C7E2">
      <w:pPr>
        <w:rPr>
          <w:rFonts w:eastAsia="宋体" w:cs="宋体"/>
          <w:color w:val="000000"/>
        </w:rPr>
      </w:pPr>
      <w:r>
        <w:rPr>
          <w:rFonts w:hint="eastAsia" w:eastAsia="宋体" w:cs="宋体"/>
          <w:color w:val="000000"/>
        </w:rPr>
        <w:br w:type="page"/>
      </w:r>
    </w:p>
    <w:p w14:paraId="1BE26904">
      <w:pPr>
        <w:spacing w:line="380" w:lineRule="exact"/>
        <w:jc w:val="left"/>
        <w:rPr>
          <w:rFonts w:eastAsia="宋体"/>
          <w:b/>
          <w:color w:val="000000"/>
          <w:sz w:val="21"/>
          <w:szCs w:val="22"/>
        </w:rPr>
      </w:pPr>
      <w:r>
        <w:rPr>
          <w:rFonts w:hint="eastAsia" w:eastAsia="宋体" w:cs="宋体"/>
          <w:color w:val="000000"/>
        </w:rPr>
        <w:t>附件：</w:t>
      </w:r>
    </w:p>
    <w:p w14:paraId="108E5975">
      <w:pPr>
        <w:spacing w:line="380" w:lineRule="exact"/>
        <w:ind w:right="561"/>
        <w:jc w:val="center"/>
        <w:rPr>
          <w:rFonts w:eastAsia="宋体" w:cs="宋体"/>
          <w:b/>
          <w:color w:val="000000"/>
          <w:sz w:val="24"/>
          <w:szCs w:val="24"/>
        </w:rPr>
      </w:pPr>
      <w:r>
        <w:rPr>
          <w:rFonts w:hint="eastAsia" w:eastAsia="宋体" w:cs="宋体"/>
          <w:b/>
          <w:color w:val="000000"/>
          <w:sz w:val="24"/>
          <w:szCs w:val="24"/>
        </w:rPr>
        <w:t>中小企业划型标准规定</w:t>
      </w:r>
    </w:p>
    <w:p w14:paraId="57118D24">
      <w:pPr>
        <w:spacing w:line="380" w:lineRule="exact"/>
        <w:ind w:firstLine="480"/>
        <w:rPr>
          <w:rFonts w:eastAsia="宋体" w:cs="宋体"/>
          <w:color w:val="000000"/>
          <w:sz w:val="24"/>
        </w:rPr>
      </w:pPr>
      <w:r>
        <w:rPr>
          <w:rFonts w:hint="eastAsia" w:eastAsia="宋体" w:cs="宋体"/>
          <w:color w:val="000000"/>
          <w:sz w:val="24"/>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808D4C2">
      <w:pPr>
        <w:spacing w:line="380" w:lineRule="exact"/>
        <w:ind w:firstLine="480"/>
        <w:rPr>
          <w:rFonts w:eastAsia="宋体" w:cs="宋体"/>
          <w:color w:val="000000"/>
          <w:sz w:val="24"/>
        </w:rPr>
      </w:pPr>
      <w:r>
        <w:rPr>
          <w:rFonts w:hint="eastAsia" w:eastAsia="宋体" w:cs="宋体"/>
          <w:color w:val="000000"/>
          <w:sz w:val="24"/>
        </w:rPr>
        <w:t>各行业划型标准为：</w:t>
      </w:r>
    </w:p>
    <w:p w14:paraId="34D77D43">
      <w:pPr>
        <w:spacing w:line="380" w:lineRule="exact"/>
        <w:ind w:firstLine="480"/>
        <w:rPr>
          <w:rFonts w:eastAsia="宋体" w:cs="宋体"/>
          <w:color w:val="000000"/>
          <w:sz w:val="24"/>
        </w:rPr>
      </w:pPr>
      <w:r>
        <w:rPr>
          <w:rFonts w:hint="eastAsia" w:eastAsia="宋体" w:cs="宋体"/>
          <w:color w:val="000000"/>
          <w:sz w:val="24"/>
        </w:rPr>
        <w:t>（一）农、林、牧、渔业。营业收入20000万元以下的为中小微型企业。其中，营业收入500万元及以上的为中型企业，营业收入50万元及以上的为小型企业，营业收入50万元以下的为微型企业。</w:t>
      </w:r>
    </w:p>
    <w:p w14:paraId="6CC0A26D">
      <w:pPr>
        <w:spacing w:line="380" w:lineRule="exact"/>
        <w:ind w:firstLine="480"/>
        <w:rPr>
          <w:rFonts w:eastAsia="宋体" w:cs="宋体"/>
          <w:color w:val="000000"/>
          <w:sz w:val="24"/>
        </w:rPr>
      </w:pPr>
      <w:r>
        <w:rPr>
          <w:rFonts w:hint="eastAsia" w:eastAsia="宋体" w:cs="宋体"/>
          <w:color w:val="000000"/>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D3AD59A">
      <w:pPr>
        <w:spacing w:line="380" w:lineRule="exact"/>
        <w:ind w:firstLine="480"/>
        <w:rPr>
          <w:rFonts w:eastAsia="宋体" w:cs="宋体"/>
          <w:color w:val="000000"/>
          <w:sz w:val="24"/>
        </w:rPr>
      </w:pPr>
      <w:r>
        <w:rPr>
          <w:rFonts w:hint="eastAsia" w:eastAsia="宋体" w:cs="宋体"/>
          <w:color w:val="000000"/>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C78E2B2">
      <w:pPr>
        <w:spacing w:line="380" w:lineRule="exact"/>
        <w:ind w:firstLine="480"/>
        <w:rPr>
          <w:rFonts w:eastAsia="宋体" w:cs="宋体"/>
          <w:color w:val="000000"/>
          <w:sz w:val="24"/>
        </w:rPr>
      </w:pPr>
      <w:r>
        <w:rPr>
          <w:rFonts w:hint="eastAsia" w:eastAsia="宋体" w:cs="宋体"/>
          <w:color w:val="000000"/>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9FF817D">
      <w:pPr>
        <w:spacing w:line="380" w:lineRule="exact"/>
        <w:ind w:firstLine="480"/>
        <w:rPr>
          <w:rFonts w:eastAsia="宋体" w:cs="宋体"/>
          <w:color w:val="000000"/>
          <w:sz w:val="24"/>
        </w:rPr>
      </w:pPr>
      <w:r>
        <w:rPr>
          <w:rFonts w:hint="eastAsia" w:eastAsia="宋体" w:cs="宋体"/>
          <w:color w:val="000000"/>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A6A25A4">
      <w:pPr>
        <w:spacing w:line="380" w:lineRule="exact"/>
        <w:ind w:firstLine="480"/>
        <w:rPr>
          <w:rFonts w:eastAsia="宋体" w:cs="宋体"/>
          <w:color w:val="000000"/>
          <w:sz w:val="24"/>
        </w:rPr>
      </w:pPr>
      <w:r>
        <w:rPr>
          <w:rFonts w:hint="eastAsia" w:eastAsia="宋体" w:cs="宋体"/>
          <w:color w:val="000000"/>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EE32A6">
      <w:pPr>
        <w:spacing w:line="380" w:lineRule="exact"/>
        <w:ind w:firstLine="480"/>
        <w:rPr>
          <w:rFonts w:eastAsia="宋体" w:cs="宋体"/>
          <w:color w:val="000000"/>
          <w:sz w:val="24"/>
        </w:rPr>
      </w:pPr>
      <w:r>
        <w:rPr>
          <w:rFonts w:hint="eastAsia" w:eastAsia="宋体" w:cs="宋体"/>
          <w:color w:val="000000"/>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494F9D4">
      <w:pPr>
        <w:spacing w:line="380" w:lineRule="exact"/>
        <w:ind w:firstLine="480"/>
        <w:rPr>
          <w:rFonts w:eastAsia="宋体" w:cs="宋体"/>
          <w:color w:val="000000"/>
          <w:sz w:val="24"/>
        </w:rPr>
      </w:pPr>
      <w:r>
        <w:rPr>
          <w:rFonts w:hint="eastAsia" w:eastAsia="宋体" w:cs="宋体"/>
          <w:color w:val="000000"/>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B0B3BB4">
      <w:pPr>
        <w:spacing w:line="380" w:lineRule="exact"/>
        <w:ind w:firstLine="480"/>
        <w:rPr>
          <w:rFonts w:eastAsia="宋体" w:cs="宋体"/>
          <w:color w:val="000000"/>
          <w:sz w:val="24"/>
        </w:rPr>
      </w:pPr>
      <w:r>
        <w:rPr>
          <w:rFonts w:hint="eastAsia" w:eastAsia="宋体" w:cs="宋体"/>
          <w:color w:val="000000"/>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23BE691">
      <w:pPr>
        <w:spacing w:line="380" w:lineRule="exact"/>
        <w:ind w:firstLine="480"/>
        <w:rPr>
          <w:rFonts w:eastAsia="宋体" w:cs="宋体"/>
          <w:color w:val="000000"/>
          <w:sz w:val="24"/>
        </w:rPr>
      </w:pPr>
      <w:r>
        <w:rPr>
          <w:rFonts w:hint="eastAsia" w:eastAsia="宋体" w:cs="宋体"/>
          <w:color w:val="000000"/>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27A79F1">
      <w:pPr>
        <w:spacing w:line="380" w:lineRule="exact"/>
        <w:ind w:firstLine="480"/>
        <w:rPr>
          <w:rFonts w:eastAsia="宋体" w:cs="宋体"/>
          <w:color w:val="000000"/>
          <w:sz w:val="24"/>
        </w:rPr>
      </w:pPr>
      <w:r>
        <w:rPr>
          <w:rFonts w:hint="eastAsia" w:eastAsia="宋体" w:cs="宋体"/>
          <w:color w:val="000000"/>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DC3DBAC">
      <w:pPr>
        <w:spacing w:line="380" w:lineRule="exact"/>
        <w:ind w:firstLine="480"/>
        <w:rPr>
          <w:rFonts w:eastAsia="宋体" w:cs="宋体"/>
          <w:color w:val="000000"/>
          <w:sz w:val="24"/>
        </w:rPr>
      </w:pPr>
      <w:r>
        <w:rPr>
          <w:rFonts w:hint="eastAsia" w:eastAsia="宋体" w:cs="宋体"/>
          <w:color w:val="000000"/>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6E22D10">
      <w:pPr>
        <w:spacing w:line="380" w:lineRule="exact"/>
        <w:ind w:firstLine="480"/>
        <w:rPr>
          <w:rFonts w:eastAsia="宋体" w:cs="宋体"/>
          <w:color w:val="000000"/>
          <w:sz w:val="24"/>
        </w:rPr>
      </w:pPr>
      <w:r>
        <w:rPr>
          <w:rFonts w:hint="eastAsia" w:eastAsia="宋体" w:cs="宋体"/>
          <w:color w:val="000000"/>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F7608B7">
      <w:pPr>
        <w:spacing w:line="380" w:lineRule="exact"/>
        <w:ind w:firstLine="480"/>
        <w:rPr>
          <w:rFonts w:eastAsia="宋体" w:cs="宋体"/>
          <w:color w:val="000000"/>
          <w:sz w:val="24"/>
        </w:rPr>
      </w:pPr>
      <w:r>
        <w:rPr>
          <w:rFonts w:hint="eastAsia" w:eastAsia="宋体" w:cs="宋体"/>
          <w:color w:val="000000"/>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F64F475">
      <w:pPr>
        <w:spacing w:line="380" w:lineRule="exact"/>
        <w:ind w:firstLine="480"/>
        <w:rPr>
          <w:rFonts w:eastAsia="宋体" w:cs="宋体"/>
          <w:color w:val="000000"/>
          <w:sz w:val="24"/>
        </w:rPr>
      </w:pPr>
      <w:r>
        <w:rPr>
          <w:rFonts w:hint="eastAsia" w:eastAsia="宋体" w:cs="宋体"/>
          <w:color w:val="000000"/>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07EAAE6">
      <w:pPr>
        <w:spacing w:line="380" w:lineRule="exact"/>
        <w:ind w:firstLine="480"/>
        <w:rPr>
          <w:rFonts w:eastAsia="宋体" w:cs="宋体"/>
          <w:color w:val="000000"/>
          <w:sz w:val="24"/>
        </w:rPr>
      </w:pPr>
      <w:r>
        <w:rPr>
          <w:rFonts w:hint="eastAsia" w:eastAsia="宋体" w:cs="宋体"/>
          <w:color w:val="000000"/>
          <w:sz w:val="24"/>
        </w:rPr>
        <w:t>（十六）其他未列明行业。从业人员300人以下的为中小微型企业。其中，从业人员100人及以上的为中型企业；从业人员10人及以上的为小型企业；从业人员10人以下的为微型企业。</w:t>
      </w:r>
    </w:p>
    <w:p w14:paraId="299C45A2">
      <w:r>
        <w:br w:type="page"/>
      </w:r>
    </w:p>
    <w:p w14:paraId="044A704F">
      <w:pPr>
        <w:keepNext w:val="0"/>
        <w:keepLines w:val="0"/>
        <w:pageBreakBefore w:val="0"/>
        <w:kinsoku/>
        <w:wordWrap/>
        <w:overflowPunct/>
        <w:topLinePunct w:val="0"/>
        <w:autoSpaceDE/>
        <w:autoSpaceDN/>
        <w:bidi w:val="0"/>
        <w:adjustRightInd/>
        <w:snapToGrid/>
        <w:spacing w:line="360" w:lineRule="auto"/>
        <w:jc w:val="center"/>
        <w:textAlignment w:val="auto"/>
        <w:outlineLvl w:val="3"/>
        <w:rPr>
          <w:rFonts w:hint="eastAsia" w:eastAsia="宋体" w:cs="宋体"/>
          <w:b/>
          <w:bCs/>
          <w:color w:val="000000"/>
          <w:sz w:val="28"/>
          <w:szCs w:val="28"/>
        </w:rPr>
      </w:pPr>
      <w:r>
        <w:rPr>
          <w:rFonts w:hint="eastAsia" w:eastAsia="宋体" w:cs="宋体"/>
          <w:b/>
          <w:bCs/>
          <w:color w:val="000000"/>
          <w:sz w:val="28"/>
          <w:szCs w:val="28"/>
          <w:lang w:val="en-US" w:eastAsia="zh-CN"/>
        </w:rPr>
        <w:t>15.</w:t>
      </w:r>
      <w:r>
        <w:rPr>
          <w:rFonts w:hint="eastAsia" w:eastAsia="宋体" w:cs="宋体"/>
          <w:b/>
          <w:bCs/>
          <w:color w:val="000000"/>
          <w:sz w:val="28"/>
          <w:szCs w:val="28"/>
        </w:rPr>
        <w:t>关于符合本国产品标准的声明函</w:t>
      </w:r>
    </w:p>
    <w:p w14:paraId="24C62F66">
      <w:pPr>
        <w:spacing w:line="380" w:lineRule="exact"/>
        <w:ind w:firstLine="480"/>
        <w:rPr>
          <w:bdr w:val="none" w:color="auto" w:sz="0" w:space="0"/>
          <w:shd w:val="clear" w:fill="FFFFFF"/>
        </w:rPr>
      </w:pPr>
    </w:p>
    <w:p w14:paraId="3DD5ED7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bdr w:val="none" w:color="auto" w:sz="0" w:space="0"/>
          <w:shd w:val="clear" w:fill="FFFFFF"/>
        </w:rPr>
        <w:t> </w:t>
      </w:r>
      <w:r>
        <w:rPr>
          <w:rFonts w:hint="eastAsia" w:ascii="宋体" w:hAnsi="宋体" w:eastAsia="宋体" w:cs="宋体"/>
          <w:color w:val="000000"/>
          <w:sz w:val="24"/>
          <w:szCs w:val="24"/>
        </w:rPr>
        <w:t>本公司（单位</w:t>
      </w:r>
      <w:bookmarkStart w:id="25" w:name="_GoBack"/>
      <w:r>
        <w:rPr>
          <w:rFonts w:hint="eastAsia" w:ascii="宋体" w:hAnsi="宋体" w:eastAsia="宋体" w:cs="宋体"/>
          <w:color w:val="000000"/>
          <w:sz w:val="24"/>
          <w:szCs w:val="24"/>
        </w:rPr>
        <w:t>）郑重声明，根据《国务院办公厅关于在政府采购中实施本国产品标准及相关政策的通知》（国办发〔2025〕34号）的规定，本公司（单位）提供的以下产品属于本国产品。具体情况如下：</w:t>
      </w:r>
    </w:p>
    <w:p w14:paraId="23C17AA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1.</w:t>
      </w:r>
      <w:r>
        <w:rPr>
          <w:rFonts w:hint="eastAsia" w:ascii="宋体" w:hAnsi="宋体" w:eastAsia="宋体" w:cs="宋体"/>
          <w:color w:val="000000"/>
          <w:sz w:val="24"/>
          <w:szCs w:val="24"/>
          <w:u w:val="single"/>
          <w:shd w:val="clear" w:fill="FFFFFF"/>
        </w:rPr>
        <w:t>（产品名称1）</w:t>
      </w:r>
      <w:r>
        <w:rPr>
          <w:rFonts w:hint="eastAsia" w:ascii="宋体" w:hAnsi="宋体" w:eastAsia="宋体" w:cs="宋体"/>
          <w:color w:val="000000"/>
          <w:sz w:val="24"/>
          <w:szCs w:val="24"/>
          <w:shd w:val="clear" w:fill="FFFFFF"/>
          <w:vertAlign w:val="superscript"/>
        </w:rPr>
        <w:t>1</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vertAlign w:val="superscript"/>
        </w:rPr>
        <w:t>2</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3</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4</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5</w:t>
      </w:r>
      <w:r>
        <w:rPr>
          <w:rFonts w:hint="eastAsia" w:ascii="宋体" w:hAnsi="宋体" w:eastAsia="宋体" w:cs="宋体"/>
          <w:color w:val="000000"/>
          <w:sz w:val="24"/>
          <w:szCs w:val="24"/>
          <w:shd w:val="clear" w:fill="FFFFFF"/>
        </w:rPr>
        <w:t>在中国境内完成。</w:t>
      </w:r>
    </w:p>
    <w:p w14:paraId="37BA0FF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2.</w:t>
      </w:r>
      <w:r>
        <w:rPr>
          <w:rFonts w:hint="eastAsia" w:ascii="宋体" w:hAnsi="宋体" w:eastAsia="宋体" w:cs="宋体"/>
          <w:color w:val="000000"/>
          <w:sz w:val="24"/>
          <w:szCs w:val="24"/>
          <w:u w:val="single"/>
          <w:shd w:val="clear" w:fill="FFFFFF"/>
        </w:rPr>
        <w:t>（产品名称2）</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在中国境内完成。</w:t>
      </w:r>
    </w:p>
    <w:p w14:paraId="2494806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w:t>
      </w:r>
    </w:p>
    <w:p w14:paraId="18E9C7D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本公司（单位）对上述声明内容的真实性负责。如有虚假，愿承担相应法律责任。</w:t>
      </w:r>
    </w:p>
    <w:p w14:paraId="76EE0A9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bdr w:val="none" w:color="auto" w:sz="0" w:space="0"/>
          <w:shd w:val="clear" w:fill="FFFFFF"/>
        </w:rPr>
        <w:t> </w:t>
      </w:r>
    </w:p>
    <w:p w14:paraId="1C00CB4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 xml:space="preserve">   </w:t>
      </w:r>
      <w:r>
        <w:rPr>
          <w:rFonts w:hint="eastAsia" w:ascii="宋体" w:hAnsi="宋体" w:eastAsia="宋体" w:cs="宋体"/>
          <w:color w:val="000000"/>
          <w:sz w:val="24"/>
          <w:szCs w:val="24"/>
          <w:shd w:val="clear" w:fill="FFFFFF"/>
        </w:rPr>
        <w:t xml:space="preserve">公司（单位）名称（加盖CA电子公章）：         </w:t>
      </w:r>
    </w:p>
    <w:p w14:paraId="42EB4C9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color w:val="000000"/>
          <w:sz w:val="24"/>
          <w:szCs w:val="24"/>
          <w:shd w:val="clear" w:fill="FFFFFF"/>
        </w:rPr>
        <w:t xml:space="preserve">日期：      年   月   日         </w:t>
      </w:r>
    </w:p>
    <w:p w14:paraId="1FA98A1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w:t>
      </w:r>
    </w:p>
    <w:p w14:paraId="724C001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w:t>
      </w:r>
      <w:r>
        <w:rPr>
          <w:rFonts w:hint="eastAsia" w:ascii="宋体" w:hAnsi="宋体" w:eastAsia="宋体" w:cs="宋体"/>
          <w:color w:val="000000"/>
          <w:sz w:val="24"/>
          <w:szCs w:val="24"/>
          <w:shd w:val="clear" w:fill="FFFFFF"/>
        </w:rPr>
        <w:t>_________________</w:t>
      </w:r>
    </w:p>
    <w:p w14:paraId="567D75A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shd w:val="clear" w:fill="FFFFFF"/>
        </w:rPr>
      </w:pPr>
      <w:r>
        <w:rPr>
          <w:rFonts w:hint="eastAsia" w:ascii="宋体" w:hAnsi="宋体" w:eastAsia="宋体" w:cs="宋体"/>
          <w:color w:val="000000"/>
          <w:sz w:val="24"/>
          <w:szCs w:val="24"/>
          <w:shd w:val="clear" w:fill="FFFFFF"/>
        </w:rPr>
        <w:t>1.产品如有型号，请在“产品名称”栏一并填写。</w:t>
      </w:r>
    </w:p>
    <w:p w14:paraId="1B8988C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shd w:val="clear" w:fill="FFFFFF"/>
        </w:rPr>
      </w:pPr>
      <w:r>
        <w:rPr>
          <w:rFonts w:hint="eastAsia" w:ascii="宋体" w:hAnsi="宋体" w:eastAsia="宋体" w:cs="宋体"/>
          <w:color w:val="000000"/>
          <w:sz w:val="24"/>
          <w:szCs w:val="24"/>
          <w:shd w:val="clear" w:fill="FFFFFF"/>
        </w:rPr>
        <w:t>2.生产厂名与厂址应与生产厂营业执照载明的相关信息保持一致。</w:t>
      </w:r>
    </w:p>
    <w:p w14:paraId="66230B1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shd w:val="clear" w:fill="FFFFFF"/>
        </w:rPr>
      </w:pPr>
      <w:r>
        <w:rPr>
          <w:rFonts w:hint="eastAsia" w:ascii="宋体" w:hAnsi="宋体" w:eastAsia="宋体" w:cs="宋体"/>
          <w:color w:val="000000"/>
          <w:sz w:val="24"/>
          <w:szCs w:val="24"/>
          <w:shd w:val="clear" w:fill="FFFFFF"/>
        </w:rPr>
        <w:t>3.该产品的中国境内生产的组件成本占比相关要求实施前，“规定比例”栏可不填，下同。</w:t>
      </w:r>
    </w:p>
    <w:p w14:paraId="088ED78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shd w:val="clear" w:fill="FFFFFF"/>
        </w:rPr>
      </w:pPr>
      <w:r>
        <w:rPr>
          <w:rFonts w:hint="eastAsia" w:ascii="宋体" w:hAnsi="宋体" w:eastAsia="宋体" w:cs="宋体"/>
          <w:color w:val="000000"/>
          <w:sz w:val="24"/>
          <w:szCs w:val="24"/>
          <w:shd w:val="clear" w:fill="FFFFFF"/>
        </w:rPr>
        <w:t>4.该产品的关键组件要求实施前，“关键组件”栏可不填，下同。</w:t>
      </w:r>
    </w:p>
    <w:p w14:paraId="6541711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5.</w:t>
      </w:r>
      <w:r>
        <w:rPr>
          <w:rFonts w:hint="eastAsia" w:ascii="宋体" w:hAnsi="宋体" w:eastAsia="宋体" w:cs="宋体"/>
          <w:color w:val="000000"/>
          <w:sz w:val="24"/>
          <w:szCs w:val="24"/>
          <w:shd w:val="clear" w:fill="FFFFFF"/>
        </w:rPr>
        <w:t>该产品的关键工序要求实施前，“关键工序”栏可不填，下同。</w:t>
      </w:r>
    </w:p>
    <w:p w14:paraId="2B36772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6.《声明函》中标注“</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”的地方无需填写。</w:t>
      </w:r>
    </w:p>
    <w:p w14:paraId="3724BD0A">
      <w:pPr>
        <w:pStyle w:val="1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 </w:t>
      </w:r>
    </w:p>
    <w:bookmarkEnd w:id="25"/>
    <w:p w14:paraId="513FE6A5">
      <w:pPr>
        <w:rPr>
          <w:rFonts w:hint="default" w:eastAsia="楷体_GB2312"/>
          <w:lang w:val="en-US" w:eastAsia="zh-CN"/>
        </w:rPr>
      </w:pPr>
    </w:p>
    <w:sectPr>
      <w:headerReference r:id="rId10" w:type="first"/>
      <w:footerReference r:id="rId12" w:type="first"/>
      <w:headerReference r:id="rId9" w:type="default"/>
      <w:footerReference r:id="rId11" w:type="default"/>
      <w:pgSz w:w="11906" w:h="16838"/>
      <w:pgMar w:top="1588" w:right="1418" w:bottom="1418" w:left="1701"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DE"/>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libri Light">
    <w:altName w:val="Calibri"/>
    <w:panose1 w:val="020F0302020204030204"/>
    <w:charset w:val="00"/>
    <w:family w:val="swiss"/>
    <w:pitch w:val="default"/>
    <w:sig w:usb0="00000000" w:usb1="00000000"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ABD56">
    <w:pPr>
      <w:pStyle w:val="2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106</w:t>
    </w:r>
    <w:r>
      <w:rPr>
        <w:b/>
        <w:sz w:val="24"/>
        <w:szCs w:val="24"/>
      </w:rPr>
      <w:fldChar w:fldCharType="end"/>
    </w:r>
  </w:p>
  <w:p w14:paraId="0E99E13E">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93582">
    <w:pPr>
      <w:pStyle w:val="28"/>
      <w:framePr w:wrap="around" w:vAnchor="text" w:hAnchor="margin" w:xAlign="right" w:y="1"/>
      <w:rPr>
        <w:rStyle w:val="29"/>
      </w:rPr>
    </w:pPr>
    <w:r>
      <w:fldChar w:fldCharType="begin"/>
    </w:r>
    <w:r>
      <w:rPr>
        <w:rStyle w:val="29"/>
      </w:rPr>
      <w:instrText xml:space="preserve">PAGE  </w:instrText>
    </w:r>
    <w:r>
      <w:fldChar w:fldCharType="end"/>
    </w:r>
  </w:p>
  <w:p w14:paraId="0C5CC267">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78DA3">
    <w:pPr>
      <w:pStyle w:val="2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34</w:t>
    </w:r>
    <w:r>
      <w:rPr>
        <w:b/>
        <w:sz w:val="24"/>
        <w:szCs w:val="24"/>
      </w:rPr>
      <w:fldChar w:fldCharType="end"/>
    </w:r>
    <w:r>
      <w:rPr>
        <w:rFonts w:hint="eastAsia"/>
        <w:b/>
        <w:sz w:val="24"/>
        <w:szCs w:val="24"/>
      </w:rPr>
      <w:t xml:space="preserve"> </w:t>
    </w:r>
  </w:p>
  <w:p w14:paraId="7245F8B9">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EB4E9">
    <w:pPr>
      <w:pStyle w:val="28"/>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106</w:t>
    </w:r>
    <w:r>
      <w:rPr>
        <w:b/>
        <w:sz w:val="24"/>
        <w:szCs w:val="24"/>
      </w:rPr>
      <w:fldChar w:fldCharType="end"/>
    </w:r>
  </w:p>
  <w:p w14:paraId="688F5431"/>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43984">
    <w:pPr>
      <w:pStyle w:val="28"/>
      <w:ind w:right="180"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022350" cy="189230"/>
                      </a:xfrm>
                      <a:prstGeom prst="rect">
                        <a:avLst/>
                      </a:prstGeom>
                      <a:noFill/>
                      <a:ln>
                        <a:noFill/>
                      </a:ln>
                    </wps:spPr>
                    <wps:txbx>
                      <w:txbxContent>
                        <w:p w14:paraId="4EAF5B65">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66</w:t>
                          </w:r>
                          <w:r>
                            <w:rPr>
                              <w:sz w:val="18"/>
                            </w:rPr>
                            <w:fldChar w:fldCharType="end"/>
                          </w:r>
                          <w:r>
                            <w:rPr>
                              <w:rFonts w:hint="eastAsia"/>
                              <w:sz w:val="18"/>
                            </w:rPr>
                            <w:t xml:space="preserve"> 页</w:t>
                          </w:r>
                        </w:p>
                        <w:p w14:paraId="0A2EC632"/>
                        <w:p w14:paraId="4A22A99C"/>
                      </w:txbxContent>
                    </wps:txbx>
                    <wps:bodyPr wrap="square" lIns="0" tIns="0" rIns="0" bIns="0" upright="1"/>
                  </wps:wsp>
                </a:graphicData>
              </a:graphic>
            </wp:anchor>
          </w:drawing>
        </mc:Choice>
        <mc:Fallback>
          <w:pict>
            <v:shape id="_x0000_s1026" o:spid="_x0000_s1026" o:spt="202" type="#_x0000_t202" style="position:absolute;left:0pt;margin-top:0pt;height:14.9pt;width:80.5pt;mso-position-horizontal:center;mso-position-horizontal-relative:margin;z-index:251659264;mso-width-relative:page;mso-height-relative:page;" filled="f" stroked="f" coordsize="21600,21600" o:gfxdata="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K3Ue9PTAAAABAEAAA8AAAAAAAAAAQAgAAAAIgAAAGRycy9k&#10;b3ducmV2LnhtbFBLAQIUABQAAAAIAIdO4kBG6pyhzgEAAI4DAAAOAAAAAAAAAAEAIAAAACIBAABk&#10;cnMvZTJvRG9jLnhtbFBLBQYAAAAABgAGAFkBAABiBQAAAAA=&#10;">
              <v:fill on="f" focussize="0,0"/>
              <v:stroke on="f"/>
              <v:imagedata o:title=""/>
              <o:lock v:ext="edit" aspectratio="f"/>
              <v:textbox inset="0mm,0mm,0mm,0mm">
                <w:txbxContent>
                  <w:p w14:paraId="4EAF5B65">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66</w:t>
                    </w:r>
                    <w:r>
                      <w:rPr>
                        <w:sz w:val="18"/>
                      </w:rPr>
                      <w:fldChar w:fldCharType="end"/>
                    </w:r>
                    <w:r>
                      <w:rPr>
                        <w:rFonts w:hint="eastAsia"/>
                        <w:sz w:val="18"/>
                      </w:rPr>
                      <w:t xml:space="preserve"> 页</w:t>
                    </w:r>
                  </w:p>
                  <w:p w14:paraId="0A2EC632"/>
                  <w:p w14:paraId="4A22A99C"/>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92FCC">
    <w:pPr>
      <w:pStyle w:val="27"/>
    </w:pPr>
    <w:r>
      <w:rPr>
        <w:rFonts w:hint="eastAsia"/>
      </w:rPr>
      <w:t>南</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8D7F2">
    <w:pPr>
      <w:tabs>
        <w:tab w:val="left" w:pos="6300"/>
      </w:tabs>
      <w:spacing w:line="300" w:lineRule="auto"/>
      <w:rPr>
        <w:b/>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122A0">
    <w:pPr>
      <w:pStyle w:val="27"/>
      <w:pBdr>
        <w:bottom w:val="none" w:color="000000" w:sz="0" w:space="0"/>
      </w:pBdr>
      <w:tabs>
        <w:tab w:val="left" w:pos="540"/>
      </w:tabs>
      <w:jc w:val="both"/>
    </w:pP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09F92"/>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D2270">
    <w:pPr>
      <w:tabs>
        <w:tab w:val="left" w:pos="6300"/>
      </w:tabs>
      <w:spacing w:line="300" w:lineRule="auto"/>
      <w:ind w:firstLine="4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AF848E"/>
    <w:multiLevelType w:val="multilevel"/>
    <w:tmpl w:val="D0AF848E"/>
    <w:lvl w:ilvl="0" w:tentative="0">
      <w:start w:val="1"/>
      <w:numFmt w:val="chineseCounting"/>
      <w:suff w:val="nothing"/>
      <w:lvlText w:val="%1、"/>
      <w:lvlJc w:val="left"/>
      <w:pPr>
        <w:tabs>
          <w:tab w:val="left" w:pos="0"/>
        </w:tabs>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pStyle w:val="3"/>
      <w:suff w:val="nothing"/>
      <w:lvlText w:val="%3．"/>
      <w:lvlJc w:val="left"/>
      <w:pPr>
        <w:ind w:left="0" w:firstLine="400"/>
      </w:pPr>
      <w:rPr>
        <w:rFonts w:hint="eastAsia"/>
      </w:rPr>
    </w:lvl>
    <w:lvl w:ilvl="3" w:tentative="0">
      <w:start w:val="1"/>
      <w:numFmt w:val="decimal"/>
      <w:pStyle w:val="4"/>
      <w:suff w:val="nothing"/>
      <w:lvlText w:val="（%4）"/>
      <w:lvlJc w:val="left"/>
      <w:pPr>
        <w:ind w:left="0" w:firstLine="402"/>
      </w:pPr>
      <w:rPr>
        <w:rFonts w:hint="eastAsia"/>
        <w:color w:val="auto"/>
      </w:rPr>
    </w:lvl>
    <w:lvl w:ilvl="4" w:tentative="0">
      <w:start w:val="1"/>
      <w:numFmt w:val="decimal"/>
      <w:suff w:val="nothing"/>
      <w:lvlText w:val="%5）"/>
      <w:lvlJc w:val="left"/>
      <w:pPr>
        <w:ind w:left="0" w:firstLine="402"/>
      </w:pPr>
      <w:rPr>
        <w:rFonts w:hint="eastAsia"/>
      </w:rPr>
    </w:lvl>
    <w:lvl w:ilvl="5" w:tentative="0">
      <w:start w:val="1"/>
      <w:numFmt w:val="decimalEnclosedCircleChinese"/>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829"/>
    <w:rsid w:val="00275829"/>
    <w:rsid w:val="005D198A"/>
    <w:rsid w:val="007858E0"/>
    <w:rsid w:val="008A10EF"/>
    <w:rsid w:val="00986C61"/>
    <w:rsid w:val="00A63B69"/>
    <w:rsid w:val="00AF3B86"/>
    <w:rsid w:val="00B92254"/>
    <w:rsid w:val="00F732D0"/>
    <w:rsid w:val="00FA3F9D"/>
    <w:rsid w:val="01483505"/>
    <w:rsid w:val="02DF169E"/>
    <w:rsid w:val="0310698D"/>
    <w:rsid w:val="03CC24C5"/>
    <w:rsid w:val="04A0784B"/>
    <w:rsid w:val="04DE6C9E"/>
    <w:rsid w:val="06D71A0B"/>
    <w:rsid w:val="08F62494"/>
    <w:rsid w:val="091D4AEF"/>
    <w:rsid w:val="09DC61BC"/>
    <w:rsid w:val="0B790BB4"/>
    <w:rsid w:val="0FFC6728"/>
    <w:rsid w:val="10127E14"/>
    <w:rsid w:val="12885796"/>
    <w:rsid w:val="13004352"/>
    <w:rsid w:val="132F5315"/>
    <w:rsid w:val="134B7737"/>
    <w:rsid w:val="13674B86"/>
    <w:rsid w:val="13BE226E"/>
    <w:rsid w:val="16201DAA"/>
    <w:rsid w:val="16F47617"/>
    <w:rsid w:val="18745201"/>
    <w:rsid w:val="19C50C07"/>
    <w:rsid w:val="1D196362"/>
    <w:rsid w:val="1DC26578"/>
    <w:rsid w:val="1DC56CF6"/>
    <w:rsid w:val="1E16284D"/>
    <w:rsid w:val="1E221F74"/>
    <w:rsid w:val="210965B1"/>
    <w:rsid w:val="21854854"/>
    <w:rsid w:val="2AAA1BA5"/>
    <w:rsid w:val="2BB346CD"/>
    <w:rsid w:val="2BB9561E"/>
    <w:rsid w:val="2C413FB4"/>
    <w:rsid w:val="2C520517"/>
    <w:rsid w:val="2D6B1955"/>
    <w:rsid w:val="2DE64964"/>
    <w:rsid w:val="2E582CD9"/>
    <w:rsid w:val="2EF71CCB"/>
    <w:rsid w:val="39C944DB"/>
    <w:rsid w:val="3BB71E98"/>
    <w:rsid w:val="3D1858FD"/>
    <w:rsid w:val="3EF17DB6"/>
    <w:rsid w:val="3F75726F"/>
    <w:rsid w:val="3F964334"/>
    <w:rsid w:val="40490997"/>
    <w:rsid w:val="40734047"/>
    <w:rsid w:val="414D2714"/>
    <w:rsid w:val="417B430D"/>
    <w:rsid w:val="461E441A"/>
    <w:rsid w:val="4E606DC7"/>
    <w:rsid w:val="4ECC6F2F"/>
    <w:rsid w:val="51D50E2C"/>
    <w:rsid w:val="531154E9"/>
    <w:rsid w:val="541F7183"/>
    <w:rsid w:val="552F7491"/>
    <w:rsid w:val="56847368"/>
    <w:rsid w:val="57001653"/>
    <w:rsid w:val="57124959"/>
    <w:rsid w:val="575923DF"/>
    <w:rsid w:val="593B15B0"/>
    <w:rsid w:val="5944063D"/>
    <w:rsid w:val="59804C51"/>
    <w:rsid w:val="59D51767"/>
    <w:rsid w:val="59FD190B"/>
    <w:rsid w:val="5A795CB8"/>
    <w:rsid w:val="5B614207"/>
    <w:rsid w:val="5BCD4635"/>
    <w:rsid w:val="5F437A68"/>
    <w:rsid w:val="5FA66073"/>
    <w:rsid w:val="5FFE02C7"/>
    <w:rsid w:val="607665DF"/>
    <w:rsid w:val="616262B0"/>
    <w:rsid w:val="624C748C"/>
    <w:rsid w:val="6636362C"/>
    <w:rsid w:val="684D0A38"/>
    <w:rsid w:val="68777408"/>
    <w:rsid w:val="69065E71"/>
    <w:rsid w:val="6938639F"/>
    <w:rsid w:val="6D0C7466"/>
    <w:rsid w:val="6D7F608B"/>
    <w:rsid w:val="6E866F50"/>
    <w:rsid w:val="6F527ABA"/>
    <w:rsid w:val="719E4651"/>
    <w:rsid w:val="73BA20B9"/>
    <w:rsid w:val="7740193B"/>
    <w:rsid w:val="77975DC7"/>
    <w:rsid w:val="7B9264F3"/>
    <w:rsid w:val="7BB11548"/>
    <w:rsid w:val="7BC5229C"/>
    <w:rsid w:val="7CBE22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楷体_GB2312" w:cs="Times New Roman"/>
      <w:sz w:val="26"/>
      <w:lang w:val="en-US" w:eastAsia="zh-CN" w:bidi="ar-SA"/>
    </w:rPr>
  </w:style>
  <w:style w:type="paragraph" w:styleId="2">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3">
    <w:name w:val="heading 3"/>
    <w:basedOn w:val="1"/>
    <w:next w:val="1"/>
    <w:unhideWhenUsed/>
    <w:qFormat/>
    <w:uiPriority w:val="9"/>
    <w:pPr>
      <w:keepNext/>
      <w:keepLines/>
      <w:numPr>
        <w:ilvl w:val="2"/>
        <w:numId w:val="1"/>
      </w:numPr>
      <w:spacing w:line="413" w:lineRule="auto"/>
      <w:ind w:firstLine="560" w:firstLineChars="200"/>
      <w:outlineLvl w:val="2"/>
    </w:pPr>
    <w:rPr>
      <w:rFonts w:eastAsiaTheme="majorEastAsia" w:cstheme="minorEastAsia"/>
      <w:b/>
    </w:rPr>
  </w:style>
  <w:style w:type="paragraph" w:styleId="4">
    <w:name w:val="heading 4"/>
    <w:basedOn w:val="1"/>
    <w:next w:val="1"/>
    <w:unhideWhenUsed/>
    <w:qFormat/>
    <w:uiPriority w:val="9"/>
    <w:pPr>
      <w:keepNext/>
      <w:keepLines/>
      <w:numPr>
        <w:ilvl w:val="3"/>
        <w:numId w:val="1"/>
      </w:numPr>
      <w:spacing w:line="372" w:lineRule="auto"/>
      <w:ind w:firstLine="560" w:firstLineChars="200"/>
      <w:outlineLvl w:val="3"/>
    </w:pPr>
    <w:rPr>
      <w:rFonts w:asciiTheme="majorHAnsi" w:hAnsiTheme="majorHAnsi" w:eastAsiaTheme="majorEastAsia" w:cstheme="majorEastAsia"/>
      <w:b/>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2"/>
    <w:qFormat/>
    <w:uiPriority w:val="0"/>
    <w:pPr>
      <w:jc w:val="left"/>
    </w:pPr>
  </w:style>
  <w:style w:type="paragraph" w:styleId="6">
    <w:name w:val="Body Text"/>
    <w:basedOn w:val="1"/>
    <w:unhideWhenUsed/>
    <w:qFormat/>
    <w:uiPriority w:val="99"/>
    <w:pPr>
      <w:spacing w:line="315" w:lineRule="atLeast"/>
    </w:pPr>
    <w:rPr>
      <w:rFonts w:ascii="仿宋_GB2312" w:eastAsia="仿宋_GB2312"/>
    </w:rPr>
  </w:style>
  <w:style w:type="paragraph" w:styleId="7">
    <w:name w:val="Plain Text"/>
    <w:basedOn w:val="1"/>
    <w:qFormat/>
    <w:uiPriority w:val="0"/>
    <w:rPr>
      <w:rFonts w:hAnsi="Courier New"/>
      <w:sz w:val="20"/>
      <w:szCs w:val="21"/>
    </w:rPr>
  </w:style>
  <w:style w:type="paragraph" w:styleId="8">
    <w:name w:val="Balloon Text"/>
    <w:basedOn w:val="1"/>
    <w:link w:val="31"/>
    <w:qFormat/>
    <w:uiPriority w:val="0"/>
    <w:rPr>
      <w:sz w:val="18"/>
      <w:szCs w:val="18"/>
    </w:rPr>
  </w:style>
  <w:style w:type="paragraph" w:styleId="9">
    <w:name w:val="toc 1"/>
    <w:basedOn w:val="1"/>
    <w:next w:val="1"/>
    <w:unhideWhenUsed/>
    <w:qFormat/>
    <w:uiPriority w:val="39"/>
    <w:pPr>
      <w:spacing w:after="57"/>
    </w:pPr>
  </w:style>
  <w:style w:type="paragraph" w:styleId="10">
    <w:name w:val="Normal (Web)"/>
    <w:basedOn w:val="1"/>
    <w:uiPriority w:val="0"/>
    <w:pPr>
      <w:spacing w:before="0" w:beforeAutospacing="1" w:after="0" w:afterAutospacing="1"/>
      <w:ind w:left="0" w:right="0"/>
      <w:jc w:val="left"/>
    </w:pPr>
    <w:rPr>
      <w:kern w:val="0"/>
      <w:sz w:val="24"/>
      <w:lang w:val="en-US" w:eastAsia="zh-CN" w:bidi="ar"/>
    </w:rPr>
  </w:style>
  <w:style w:type="paragraph" w:styleId="11">
    <w:name w:val="annotation subject"/>
    <w:basedOn w:val="5"/>
    <w:next w:val="5"/>
    <w:link w:val="33"/>
    <w:qFormat/>
    <w:uiPriority w:val="0"/>
    <w:rPr>
      <w:b/>
      <w:bCs/>
    </w:rPr>
  </w:style>
  <w:style w:type="table" w:styleId="1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5">
    <w:name w:val="annotation reference"/>
    <w:basedOn w:val="14"/>
    <w:qFormat/>
    <w:uiPriority w:val="0"/>
    <w:rPr>
      <w:sz w:val="21"/>
      <w:szCs w:val="21"/>
    </w:rPr>
  </w:style>
  <w:style w:type="paragraph" w:customStyle="1" w:styleId="16">
    <w:name w:val="正文首行缩进 211"/>
    <w:basedOn w:val="17"/>
    <w:unhideWhenUsed/>
    <w:qFormat/>
    <w:uiPriority w:val="0"/>
    <w:pPr>
      <w:spacing w:line="360" w:lineRule="auto"/>
      <w:ind w:left="0"/>
      <w:jc w:val="center"/>
    </w:pPr>
    <w:rPr>
      <w:rFonts w:ascii="Times New Roman" w:eastAsia="宋体" w:cs="宋体"/>
      <w:b/>
      <w:color w:val="000000"/>
      <w:sz w:val="48"/>
      <w:szCs w:val="48"/>
    </w:rPr>
  </w:style>
  <w:style w:type="paragraph" w:customStyle="1" w:styleId="17">
    <w:name w:val="正文文本缩进11"/>
    <w:basedOn w:val="1"/>
    <w:next w:val="18"/>
    <w:qFormat/>
    <w:uiPriority w:val="0"/>
    <w:pPr>
      <w:spacing w:line="520" w:lineRule="exact"/>
      <w:ind w:left="570"/>
    </w:pPr>
    <w:rPr>
      <w:rFonts w:hint="eastAsia" w:ascii="楷体_GB2312"/>
    </w:rPr>
  </w:style>
  <w:style w:type="paragraph" w:customStyle="1" w:styleId="18">
    <w:name w:val="寄信人地址11"/>
    <w:basedOn w:val="1"/>
    <w:unhideWhenUsed/>
    <w:qFormat/>
    <w:uiPriority w:val="99"/>
    <w:rPr>
      <w:rFonts w:ascii="Arial" w:hAnsi="Arial"/>
    </w:rPr>
  </w:style>
  <w:style w:type="paragraph" w:customStyle="1" w:styleId="19">
    <w:name w:val="正文文本1"/>
    <w:basedOn w:val="1"/>
    <w:next w:val="1"/>
    <w:qFormat/>
    <w:uiPriority w:val="0"/>
    <w:pPr>
      <w:spacing w:line="400" w:lineRule="exact"/>
    </w:pPr>
    <w:rPr>
      <w:rFonts w:ascii="楷体_GB2312"/>
      <w:sz w:val="28"/>
    </w:rPr>
  </w:style>
  <w:style w:type="paragraph" w:customStyle="1" w:styleId="20">
    <w:name w:val="正文缩进1"/>
    <w:basedOn w:val="1"/>
    <w:qFormat/>
    <w:uiPriority w:val="0"/>
    <w:pPr>
      <w:spacing w:line="360" w:lineRule="auto"/>
      <w:jc w:val="center"/>
    </w:pPr>
    <w:rPr>
      <w:rFonts w:ascii="宋体" w:hAnsi="宋体" w:eastAsia="宋体"/>
      <w:b/>
      <w:sz w:val="36"/>
    </w:rPr>
  </w:style>
  <w:style w:type="character" w:customStyle="1" w:styleId="21">
    <w:name w:val="超链接1"/>
    <w:qFormat/>
    <w:uiPriority w:val="99"/>
    <w:rPr>
      <w:rFonts w:hint="default" w:ascii="Times New Roman" w:hAnsi="Times New Roman" w:eastAsia="楷体_GB2312" w:cs="Times New Roman"/>
      <w:sz w:val="26"/>
      <w:lang w:val="en-US" w:eastAsia="zh-CN" w:bidi="ar-SA"/>
    </w:rPr>
  </w:style>
  <w:style w:type="paragraph" w:customStyle="1" w:styleId="22">
    <w:name w:val="标题 211"/>
    <w:basedOn w:val="1"/>
    <w:next w:val="1"/>
    <w:qFormat/>
    <w:uiPriority w:val="0"/>
    <w:pPr>
      <w:keepNext/>
      <w:keepLines/>
      <w:jc w:val="left"/>
      <w:outlineLvl w:val="1"/>
    </w:pPr>
    <w:rPr>
      <w:rFonts w:ascii="宋体" w:hAnsi="宋体"/>
      <w:b/>
    </w:rPr>
  </w:style>
  <w:style w:type="paragraph" w:customStyle="1" w:styleId="2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4">
    <w:name w:val="null3"/>
    <w:qFormat/>
    <w:uiPriority w:val="0"/>
    <w:rPr>
      <w:rFonts w:hint="eastAsia" w:ascii="Calibri" w:hAnsi="Calibri" w:eastAsia="宋体" w:cs="Times New Roman"/>
      <w:lang w:val="en-US" w:eastAsia="zh-Hans" w:bidi="ar-SA"/>
    </w:rPr>
  </w:style>
  <w:style w:type="paragraph" w:customStyle="1" w:styleId="25">
    <w:name w:val="目录 11"/>
    <w:basedOn w:val="1"/>
    <w:next w:val="1"/>
    <w:qFormat/>
    <w:uiPriority w:val="0"/>
    <w:pPr>
      <w:jc w:val="left"/>
    </w:pPr>
    <w:rPr>
      <w:sz w:val="24"/>
    </w:rPr>
  </w:style>
  <w:style w:type="paragraph" w:customStyle="1" w:styleId="26">
    <w:name w:val="无间隔1"/>
    <w:qFormat/>
    <w:uiPriority w:val="0"/>
    <w:pPr>
      <w:widowControl w:val="0"/>
      <w:spacing w:line="300" w:lineRule="auto"/>
    </w:pPr>
    <w:rPr>
      <w:rFonts w:ascii="Times New Roman" w:hAnsi="Times New Roman" w:eastAsia="华文仿宋" w:cs="Times New Roman"/>
      <w:sz w:val="24"/>
      <w:szCs w:val="21"/>
      <w:lang w:val="en-US" w:eastAsia="zh-CN" w:bidi="ar-SA"/>
    </w:rPr>
  </w:style>
  <w:style w:type="paragraph" w:customStyle="1" w:styleId="27">
    <w:name w:val="页眉11"/>
    <w:basedOn w:val="1"/>
    <w:qFormat/>
    <w:uiPriority w:val="99"/>
    <w:pPr>
      <w:pBdr>
        <w:bottom w:val="single" w:color="000000" w:sz="6" w:space="1"/>
      </w:pBdr>
      <w:tabs>
        <w:tab w:val="center" w:pos="4153"/>
        <w:tab w:val="right" w:pos="8306"/>
      </w:tabs>
      <w:jc w:val="center"/>
    </w:pPr>
    <w:rPr>
      <w:sz w:val="18"/>
    </w:rPr>
  </w:style>
  <w:style w:type="paragraph" w:customStyle="1" w:styleId="28">
    <w:name w:val="页脚11"/>
    <w:basedOn w:val="1"/>
    <w:qFormat/>
    <w:uiPriority w:val="99"/>
    <w:pPr>
      <w:tabs>
        <w:tab w:val="center" w:pos="4153"/>
        <w:tab w:val="right" w:pos="8306"/>
      </w:tabs>
      <w:jc w:val="left"/>
    </w:pPr>
    <w:rPr>
      <w:sz w:val="18"/>
    </w:rPr>
  </w:style>
  <w:style w:type="character" w:customStyle="1" w:styleId="29">
    <w:name w:val="页码1"/>
    <w:qFormat/>
    <w:uiPriority w:val="0"/>
  </w:style>
  <w:style w:type="paragraph" w:customStyle="1" w:styleId="30">
    <w:name w:val="GW-正文"/>
    <w:basedOn w:val="1"/>
    <w:qFormat/>
    <w:uiPriority w:val="99"/>
    <w:pPr>
      <w:spacing w:line="360" w:lineRule="auto"/>
      <w:ind w:firstLine="200" w:firstLineChars="200"/>
    </w:pPr>
    <w:rPr>
      <w:rFonts w:eastAsia="仿宋_GB2312"/>
      <w:sz w:val="24"/>
      <w:szCs w:val="24"/>
    </w:rPr>
  </w:style>
  <w:style w:type="character" w:customStyle="1" w:styleId="31">
    <w:name w:val="批注框文本 Char"/>
    <w:basedOn w:val="14"/>
    <w:link w:val="8"/>
    <w:qFormat/>
    <w:uiPriority w:val="0"/>
    <w:rPr>
      <w:rFonts w:ascii="Times New Roman" w:hAnsi="Times New Roman" w:eastAsia="楷体_GB2312" w:cs="Times New Roman"/>
      <w:sz w:val="18"/>
      <w:szCs w:val="18"/>
    </w:rPr>
  </w:style>
  <w:style w:type="character" w:customStyle="1" w:styleId="32">
    <w:name w:val="批注文字 Char"/>
    <w:basedOn w:val="14"/>
    <w:link w:val="5"/>
    <w:qFormat/>
    <w:uiPriority w:val="0"/>
    <w:rPr>
      <w:rFonts w:ascii="Times New Roman" w:hAnsi="Times New Roman" w:eastAsia="楷体_GB2312" w:cs="Times New Roman"/>
      <w:sz w:val="26"/>
    </w:rPr>
  </w:style>
  <w:style w:type="character" w:customStyle="1" w:styleId="33">
    <w:name w:val="批注主题 Char"/>
    <w:basedOn w:val="32"/>
    <w:link w:val="11"/>
    <w:qFormat/>
    <w:uiPriority w:val="0"/>
    <w:rPr>
      <w:rFonts w:ascii="Times New Roman" w:hAnsi="Times New Roman" w:eastAsia="楷体_GB2312" w:cs="Times New Roman"/>
      <w:b/>
      <w:bCs/>
      <w:sz w:val="26"/>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D65D7D-B3B7-43A3-8665-C7F1910E18E6}">
  <ds:schemaRefs/>
</ds:datastoreItem>
</file>

<file path=docProps/app.xml><?xml version="1.0" encoding="utf-8"?>
<Properties xmlns="http://schemas.openxmlformats.org/officeDocument/2006/extended-properties" xmlns:vt="http://schemas.openxmlformats.org/officeDocument/2006/docPropsVTypes">
  <Template>Normal</Template>
  <Pages>105</Pages>
  <Words>46716</Words>
  <Characters>49813</Characters>
  <Lines>582</Lines>
  <Paragraphs>163</Paragraphs>
  <TotalTime>0</TotalTime>
  <ScaleCrop>false</ScaleCrop>
  <LinksUpToDate>false</LinksUpToDate>
  <CharactersWithSpaces>50425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2025-11-04T03:59:00Z</dcterms:created>
  <dc:creator>HUAWEI</dc:creator>
  <cp:lastModifiedBy>余管琦</cp:lastModifiedBy>
  <dcterms:modified xsi:type="dcterms:W3CDTF">2026-05-26T01:02:45Z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eyJoZGlkIjoiNzczMDFlYjNmNWE2MjNkODg5YjBlYjc2NzVlYzJiY2EiLCJ1c2VySWQiOiIzMTEyNzcyNzUifQ==</vt:lpwstr>
  </property>
  <property fmtid="{D5CDD505-2E9C-101B-9397-08002B2CF9AE}" pid="4" name="ICV">
    <vt:lpwstr>00E7F9D39988494EAE907A0013E43F90_13</vt:lpwstr>
  </property>
</Properties>
</file>