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jc w:val="center"/>
        <w:shd w:val="clear" w:color="auto" w:fill="auto"/>
        <w:rPr>
          <w:rFonts w:hint="eastAsia"/>
          <w:b/>
          <w:bCs/>
          <w:color w:val="000000"/>
          <w:sz w:val="60"/>
          <w:szCs w:val="60"/>
          <w:highlight w:val="none"/>
        </w:rPr>
      </w:pPr>
      <w:r>
        <w:rPr>
          <w:rFonts w:hint="eastAsia"/>
          <w:b/>
          <w:bCs/>
          <w:color w:val="000000"/>
          <w:sz w:val="60"/>
          <w:szCs w:val="60"/>
          <w:highlight w:val="none"/>
        </w:rPr>
      </w:r>
      <w:r/>
    </w:p>
    <w:p>
      <w:pPr>
        <w:pStyle w:val="933"/>
        <w:jc w:val="center"/>
        <w:shd w:val="clear" w:color="auto" w:fill="auto"/>
        <w:rPr>
          <w:rFonts w:hint="eastAsia"/>
          <w:b/>
          <w:bCs/>
          <w:color w:val="000000"/>
          <w:sz w:val="60"/>
          <w:szCs w:val="60"/>
          <w:highlight w:val="none"/>
        </w:rPr>
      </w:pPr>
      <w:r>
        <w:rPr>
          <w:rFonts w:hint="eastAsia"/>
          <w:b/>
          <w:bCs/>
          <w:color w:val="000000"/>
          <w:sz w:val="60"/>
          <w:szCs w:val="60"/>
          <w:highlight w:val="none"/>
        </w:rPr>
        <w:t xml:space="preserve"> </w:t>
      </w:r>
      <w:r/>
    </w:p>
    <w:p>
      <w:pPr>
        <w:pStyle w:val="933"/>
        <w:jc w:val="center"/>
        <w:shd w:val="clear" w:color="auto" w:fill="auto"/>
        <w:rPr>
          <w:rFonts w:hint="eastAsia" w:eastAsia="宋体"/>
          <w:b/>
          <w:bCs/>
          <w:color w:val="000000"/>
          <w:sz w:val="60"/>
          <w:szCs w:val="60"/>
          <w:highlight w:val="none"/>
          <w:lang w:eastAsia="zh-CN"/>
        </w:rPr>
      </w:pPr>
      <w:r>
        <w:rPr>
          <w:rFonts w:hint="eastAsia"/>
          <w:b/>
          <w:bCs/>
          <w:color w:val="000000"/>
          <w:sz w:val="60"/>
          <w:szCs w:val="60"/>
          <w:highlight w:val="none"/>
          <w:lang w:eastAsia="zh-CN"/>
        </w:rPr>
        <w:t xml:space="preserve">常州经济开发区城镇老旧小区改造四期-观墩花苑安全隐患整治项目（二期）消防设备采购项目</w:t>
      </w:r>
      <w:r>
        <w:rPr>
          <w:rFonts w:hint="eastAsia" w:eastAsia="宋体"/>
          <w:b/>
          <w:bCs/>
          <w:color w:val="000000"/>
          <w:sz w:val="60"/>
          <w:szCs w:val="60"/>
          <w:highlight w:val="none"/>
          <w:lang w:eastAsia="zh-CN"/>
        </w:rPr>
      </w:r>
      <w:r/>
    </w:p>
    <w:p>
      <w:pPr>
        <w:pStyle w:val="933"/>
        <w:jc w:val="center"/>
        <w:shd w:val="clear" w:color="auto" w:fill="auto"/>
        <w:rPr>
          <w:rFonts w:hint="eastAsia"/>
          <w:b/>
          <w:bCs/>
          <w:color w:val="000000"/>
          <w:sz w:val="60"/>
          <w:szCs w:val="60"/>
          <w:highlight w:val="none"/>
        </w:rPr>
      </w:pPr>
      <w:r>
        <w:rPr>
          <w:rFonts w:hint="eastAsia"/>
          <w:b/>
          <w:bCs/>
          <w:color w:val="000000"/>
          <w:sz w:val="60"/>
          <w:szCs w:val="60"/>
          <w:highlight w:val="none"/>
        </w:rPr>
        <w:t xml:space="preserve">公开招标文件</w:t>
      </w:r>
      <w:r>
        <w:rPr>
          <w:rFonts w:hint="eastAsia"/>
          <w:b/>
          <w:bCs/>
          <w:color w:val="000000"/>
          <w:sz w:val="60"/>
          <w:szCs w:val="60"/>
          <w:highlight w:val="none"/>
        </w:rPr>
      </w:r>
      <w:r/>
    </w:p>
    <w:p>
      <w:pPr>
        <w:pStyle w:val="933"/>
        <w:spacing w:line="360" w:lineRule="auto"/>
        <w:shd w:val="clear" w:color="auto" w:fill="auto"/>
        <w:rPr>
          <w:rFonts w:hint="eastAsia"/>
          <w:color w:val="000000"/>
          <w:sz w:val="60"/>
          <w:szCs w:val="60"/>
          <w:highlight w:val="none"/>
        </w:rPr>
      </w:pPr>
      <w:r>
        <w:rPr>
          <w:rFonts w:hint="eastAsia"/>
          <w:color w:val="000000"/>
          <w:sz w:val="60"/>
          <w:szCs w:val="60"/>
          <w:highlight w:val="none"/>
        </w:rPr>
      </w:r>
      <w:r/>
    </w:p>
    <w:p>
      <w:pPr>
        <w:pStyle w:val="933"/>
        <w:ind w:left="2832" w:hanging="1900"/>
        <w:jc w:val="left"/>
        <w:spacing w:line="360" w:lineRule="auto"/>
        <w:shd w:val="clear" w:color="auto" w:fill="auto"/>
        <w:tabs>
          <w:tab w:val="left" w:pos="3240" w:leader="none"/>
          <w:tab w:val="left" w:pos="3420" w:leader="none"/>
        </w:tabs>
        <w:rPr>
          <w:bCs/>
          <w:color w:val="000000"/>
          <w:sz w:val="36"/>
          <w:szCs w:val="36"/>
          <w:highlight w:val="none"/>
        </w:rPr>
      </w:pPr>
      <w:r>
        <w:rPr>
          <w:bCs/>
          <w:color w:val="000000"/>
          <w:sz w:val="36"/>
          <w:szCs w:val="36"/>
          <w:highlight w:val="none"/>
        </w:rPr>
      </w:r>
      <w:r/>
    </w:p>
    <w:p>
      <w:pPr>
        <w:pStyle w:val="933"/>
        <w:ind w:left="2832" w:hanging="1900"/>
        <w:jc w:val="left"/>
        <w:spacing w:line="360" w:lineRule="auto"/>
        <w:shd w:val="clear" w:color="auto" w:fill="auto"/>
        <w:tabs>
          <w:tab w:val="left" w:pos="3240" w:leader="none"/>
          <w:tab w:val="left" w:pos="3420" w:leader="none"/>
        </w:tabs>
        <w:rPr>
          <w:bCs/>
          <w:color w:val="000000"/>
          <w:sz w:val="36"/>
          <w:szCs w:val="36"/>
          <w:highlight w:val="none"/>
        </w:rPr>
      </w:pPr>
      <w:r>
        <w:rPr>
          <w:bCs/>
          <w:color w:val="000000"/>
          <w:sz w:val="36"/>
          <w:szCs w:val="36"/>
          <w:highlight w:val="none"/>
        </w:rPr>
      </w:r>
      <w:r/>
    </w:p>
    <w:p>
      <w:pPr>
        <w:pStyle w:val="933"/>
        <w:ind w:left="2832" w:hanging="1900"/>
        <w:jc w:val="left"/>
        <w:spacing w:line="360" w:lineRule="auto"/>
        <w:shd w:val="clear" w:color="auto" w:fill="auto"/>
        <w:tabs>
          <w:tab w:val="left" w:pos="3240" w:leader="none"/>
          <w:tab w:val="left" w:pos="3420" w:leader="none"/>
        </w:tabs>
        <w:rPr>
          <w:bCs/>
          <w:color w:val="000000"/>
          <w:sz w:val="36"/>
          <w:szCs w:val="36"/>
          <w:highlight w:val="none"/>
        </w:rPr>
      </w:pPr>
      <w:r>
        <w:rPr>
          <w:bCs/>
          <w:color w:val="000000"/>
          <w:sz w:val="36"/>
          <w:szCs w:val="36"/>
          <w:highlight w:val="none"/>
        </w:rPr>
      </w:r>
      <w:r/>
    </w:p>
    <w:p>
      <w:pPr>
        <w:pStyle w:val="933"/>
        <w:ind w:left="2832" w:hanging="1900"/>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常州经济开发区城镇老旧小区改造四期-观墩花苑安全隐患整治项目（二期）消防设备采购项目</w:t>
      </w:r>
      <w:r>
        <w:rPr>
          <w:rFonts w:hint="eastAsia" w:eastAsia="宋体"/>
          <w:bCs/>
          <w:color w:val="000000"/>
          <w:sz w:val="36"/>
          <w:szCs w:val="36"/>
          <w:highlight w:val="none"/>
          <w:lang w:eastAsia="zh-CN"/>
        </w:rPr>
      </w:r>
      <w:r/>
    </w:p>
    <w:p>
      <w:pPr>
        <w:pStyle w:val="933"/>
        <w:ind w:left="2832" w:hanging="1900"/>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JSZC-320412054-SYZB-G2026-0031</w:t>
      </w:r>
      <w:r>
        <w:rPr>
          <w:rFonts w:hint="eastAsia" w:eastAsia="宋体"/>
          <w:bCs/>
          <w:color w:val="000000"/>
          <w:sz w:val="36"/>
          <w:szCs w:val="36"/>
          <w:highlight w:val="none"/>
          <w:lang w:eastAsia="zh-CN"/>
        </w:rPr>
      </w:r>
      <w:r/>
    </w:p>
    <w:p>
      <w:pPr>
        <w:pStyle w:val="933"/>
        <w:ind w:left="2832" w:hanging="1900"/>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常州市武进区丁堰街道办事处</w:t>
      </w:r>
      <w:r>
        <w:rPr>
          <w:rFonts w:hint="eastAsia" w:eastAsia="宋体"/>
          <w:bCs/>
          <w:color w:val="000000"/>
          <w:sz w:val="36"/>
          <w:szCs w:val="36"/>
          <w:highlight w:val="none"/>
          <w:lang w:eastAsia="zh-CN"/>
        </w:rPr>
      </w:r>
      <w:r/>
    </w:p>
    <w:p>
      <w:pPr>
        <w:pStyle w:val="933"/>
        <w:ind w:left="2832" w:hanging="1900"/>
        <w:jc w:val="left"/>
        <w:spacing w:line="360" w:lineRule="auto"/>
        <w:shd w:val="clear" w:color="auto" w:fill="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江苏尚阳工程管理有限公司</w:t>
      </w:r>
      <w:r>
        <w:rPr>
          <w:bCs/>
          <w:color w:val="000000"/>
          <w:sz w:val="36"/>
          <w:szCs w:val="36"/>
          <w:highlight w:val="none"/>
        </w:rPr>
      </w:r>
      <w:r/>
    </w:p>
    <w:p>
      <w:pPr>
        <w:pStyle w:val="933"/>
        <w:jc w:val="center"/>
        <w:spacing w:line="360" w:lineRule="auto"/>
        <w:shd w:val="clear" w:color="auto" w:fill="auto"/>
        <w:rPr>
          <w:b/>
          <w:bCs/>
          <w:color w:val="000000"/>
          <w:sz w:val="44"/>
          <w:highlight w:val="none"/>
        </w:rPr>
      </w:pPr>
      <w:r>
        <w:rPr>
          <w:b/>
          <w:bCs/>
          <w:color w:val="000000"/>
          <w:sz w:val="44"/>
          <w:highlight w:val="none"/>
        </w:rPr>
        <w:br w:type="page" w:clear="all"/>
      </w:r>
      <w:bookmarkStart w:id="0" w:name="_Toc99301418"/>
      <w:r>
        <w:rPr>
          <w:b/>
          <w:bCs/>
          <w:color w:val="000000"/>
          <w:sz w:val="44"/>
          <w:highlight w:val="none"/>
        </w:rPr>
      </w:r>
      <w:r/>
    </w:p>
    <w:p>
      <w:pPr>
        <w:pStyle w:val="933"/>
        <w:jc w:val="center"/>
        <w:spacing w:line="360" w:lineRule="auto"/>
        <w:shd w:val="clear" w:color="auto" w:fill="auto"/>
        <w:rPr>
          <w:b/>
          <w:bCs/>
          <w:color w:val="000000"/>
          <w:sz w:val="44"/>
          <w:highlight w:val="none"/>
        </w:rPr>
      </w:pPr>
      <w:r>
        <w:rPr>
          <w:b/>
          <w:bCs/>
          <w:color w:val="000000"/>
          <w:sz w:val="44"/>
          <w:highlight w:val="none"/>
        </w:rPr>
        <w:t xml:space="preserve">目      录</w:t>
      </w:r>
      <w:bookmarkEnd w:id="0"/>
      <w:r>
        <w:rPr>
          <w:b/>
          <w:bCs/>
          <w:color w:val="000000"/>
          <w:sz w:val="44"/>
          <w:highlight w:val="none"/>
        </w:rPr>
      </w:r>
      <w:r/>
    </w:p>
    <w:p>
      <w:pPr>
        <w:pStyle w:val="933"/>
        <w:spacing w:line="360" w:lineRule="auto"/>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986"/>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TOC \o "1-1" \h \z \u </w:instrText>
      </w:r>
      <w:r>
        <w:rPr>
          <w:rFonts w:hint="eastAsia" w:cs="宋体"/>
          <w:color w:val="000000"/>
          <w:sz w:val="32"/>
          <w:szCs w:val="32"/>
          <w:highlight w:val="none"/>
        </w:rPr>
        <w:fldChar w:fldCharType="separate"/>
      </w: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_Toc8819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第一章   投标邀请</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_Toc8819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3</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6"/>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_Toc5570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第二章   投标人须知</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_Toc5570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8</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6"/>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_Toc21989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第三章   资格审查</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_Toc21989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24</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6"/>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_Toc13243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第四章   评标程序、评标方法和评标标准</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_Toc13243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26</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6"/>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_Toc14891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第五章   采购需求</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_Toc14891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33</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6"/>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_Toc5874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第六章   拟签订的合同文本</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_Toc5874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37</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6"/>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_Toc137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第七章   投标文件格式</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_Toc137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45</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6"/>
        <w:spacing w:line="360" w:lineRule="auto"/>
        <w:shd w:val="clear" w:color="auto" w:fill="auto"/>
        <w:tabs>
          <w:tab w:val="left" w:pos="1050" w:leader="none"/>
          <w:tab w:val="right" w:pos="8937" w:leader="dot"/>
        </w:tabs>
        <w:rPr>
          <w:rFonts w:hint="eastAsia" w:cs="宋体"/>
          <w:b w:val="0"/>
          <w:color w:val="000000"/>
          <w:sz w:val="32"/>
          <w:szCs w:val="32"/>
          <w:highlight w:val="none"/>
        </w:rPr>
      </w:pPr>
      <w:r>
        <w:rPr>
          <w:rFonts w:hint="eastAsia" w:cs="宋体"/>
          <w:color w:val="000000"/>
          <w:sz w:val="32"/>
          <w:szCs w:val="32"/>
          <w:highlight w:val="none"/>
        </w:rPr>
        <w:fldChar w:fldCharType="end"/>
      </w:r>
      <w:r>
        <w:rPr>
          <w:rFonts w:hint="eastAsia" w:cs="宋体"/>
          <w:b w:val="0"/>
          <w:color w:val="000000"/>
          <w:sz w:val="32"/>
          <w:szCs w:val="32"/>
          <w:highlight w:val="none"/>
        </w:rPr>
      </w:r>
      <w:r/>
    </w:p>
    <w:p>
      <w:pPr>
        <w:pStyle w:val="933"/>
        <w:jc w:val="center"/>
        <w:spacing w:line="360" w:lineRule="auto"/>
        <w:shd w:val="clear" w:color="auto" w:fill="auto"/>
        <w:rPr>
          <w:rFonts w:hint="eastAsia" w:ascii="宋体" w:hAnsi="宋体" w:cs="宋体"/>
          <w:color w:val="000000"/>
          <w:sz w:val="32"/>
          <w:szCs w:val="32"/>
          <w:highlight w:val="none"/>
        </w:rPr>
        <w:sectPr>
          <w:headerReference w:type="default" r:id="rId9"/>
          <w:headerReference w:type="first" r:id="rId10"/>
          <w:footerReference w:type="default" r:id="rId17"/>
          <w:footerReference w:type="first" r:id="rId18"/>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color w:val="000000"/>
          <w:sz w:val="32"/>
          <w:szCs w:val="32"/>
          <w:highlight w:val="none"/>
        </w:rPr>
        <w:br w:type="page" w:clear="all"/>
      </w:r>
      <w:r/>
    </w:p>
    <w:p>
      <w:pPr>
        <w:pStyle w:val="933"/>
        <w:jc w:val="center"/>
        <w:spacing w:line="360" w:lineRule="auto"/>
        <w:shd w:val="clear" w:color="auto" w:fill="auto"/>
        <w:rPr>
          <w:b/>
          <w:color w:val="000000"/>
          <w:sz w:val="36"/>
          <w:szCs w:val="36"/>
          <w:highlight w:val="none"/>
        </w:rPr>
        <w:outlineLvl w:val="0"/>
      </w:pPr>
      <w:r/>
      <w:bookmarkStart w:id="1" w:name="_Toc8819"/>
      <w:r>
        <w:rPr>
          <w:b/>
          <w:color w:val="000000"/>
          <w:sz w:val="36"/>
          <w:szCs w:val="36"/>
          <w:highlight w:val="none"/>
        </w:rPr>
        <w:t xml:space="preserve">第一章   投标邀请</w:t>
      </w:r>
      <w:bookmarkEnd w:id="1"/>
      <w:r>
        <w:rPr>
          <w:b/>
          <w:color w:val="000000"/>
          <w:sz w:val="36"/>
          <w:szCs w:val="36"/>
          <w:highlight w:val="none"/>
        </w:rPr>
      </w:r>
      <w:r/>
    </w:p>
    <w:p>
      <w:pPr>
        <w:pStyle w:val="933"/>
        <w:spacing w:line="360" w:lineRule="auto"/>
        <w:shd w:val="clear" w:color="auto" w:fill="auto"/>
        <w:rPr>
          <w:rFonts w:hint="eastAsia" w:ascii="宋体" w:hAnsi="宋体"/>
          <w:b/>
          <w:bCs/>
          <w:color w:val="000000"/>
          <w:sz w:val="24"/>
          <w:highlight w:val="none"/>
        </w:rPr>
      </w:pPr>
      <w:r/>
      <w:bookmarkStart w:id="2" w:name="_Toc28359079"/>
      <w:r/>
      <w:bookmarkStart w:id="3" w:name="_Toc35393790"/>
      <w:r/>
      <w:bookmarkStart w:id="4" w:name="_Toc35393621"/>
      <w:r/>
      <w:bookmarkStart w:id="5" w:name="_Toc28359002"/>
      <w:r/>
      <w:bookmarkStart w:id="6" w:name="_Hlk24379207"/>
      <w:r>
        <w:rPr>
          <w:rFonts w:hint="eastAsia" w:ascii="宋体" w:hAnsi="宋体"/>
          <w:b/>
          <w:bCs/>
          <w:color w:val="000000"/>
          <w:sz w:val="24"/>
          <w:highlight w:val="none"/>
        </w:rPr>
        <w:t xml:space="preserve">一、项目基本情况</w:t>
      </w:r>
      <w:bookmarkEnd w:id="2"/>
      <w:r/>
      <w:bookmarkEnd w:id="3"/>
      <w:r/>
      <w:bookmarkEnd w:id="4"/>
      <w:r/>
      <w:bookmarkEnd w:id="5"/>
      <w:r>
        <w:rPr>
          <w:rFonts w:hint="eastAsia" w:ascii="宋体" w:hAnsi="宋体"/>
          <w:b/>
          <w:bCs/>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JSZC-320412054-SYZB-G2026-0031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常州经济开发区城镇老旧小区改造四期-观墩花苑安全隐患整治项目（二期）消防设备采购项目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33"/>
        <w:ind w:firstLine="480"/>
        <w:spacing w:line="360" w:lineRule="auto"/>
        <w:shd w:val="clear" w:color="auto" w:fill="auto"/>
        <w:rPr>
          <w:rFonts w:ascii="宋体" w:hAnsi="宋体" w:cs="宋体"/>
          <w:color w:val="000000"/>
          <w:sz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highlight w:val="none"/>
        </w:rPr>
        <w:t xml:space="preserve">项目预算金额</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lang w:val="en-US" w:eastAsia="zh-CN"/>
        </w:rPr>
        <w:t xml:space="preserve"> 323 </w:t>
      </w:r>
      <w:r>
        <w:rPr>
          <w:rFonts w:hint="eastAsia" w:ascii="宋体" w:hAnsi="宋体" w:cs="宋体"/>
          <w:color w:val="000000"/>
          <w:sz w:val="24"/>
          <w:highlight w:val="none"/>
        </w:rPr>
        <w:t xml:space="preserve">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项目最高限价：</w:t>
      </w:r>
      <w:r>
        <w:rPr>
          <w:rFonts w:hint="eastAsia" w:ascii="宋体" w:hAnsi="宋体" w:cs="宋体"/>
          <w:color w:val="000000"/>
          <w:sz w:val="24"/>
          <w:highlight w:val="none"/>
          <w:u w:val="single"/>
          <w:lang w:val="en-US" w:eastAsia="zh-CN"/>
        </w:rPr>
        <w:t xml:space="preserve"> 323 </w:t>
      </w:r>
      <w:r>
        <w:rPr>
          <w:rFonts w:hint="eastAsia" w:ascii="宋体" w:hAnsi="宋体" w:cs="宋体"/>
          <w:color w:val="000000"/>
          <w:sz w:val="24"/>
          <w:highlight w:val="none"/>
        </w:rPr>
        <w:t xml:space="preserve">万元</w:t>
      </w:r>
      <w:r>
        <w:rPr>
          <w:rFonts w:ascii="宋体" w:hAnsi="宋体" w:cs="宋体"/>
          <w:color w:val="000000"/>
          <w:sz w:val="24"/>
          <w:highlight w:val="none"/>
        </w:rPr>
      </w:r>
      <w:r/>
    </w:p>
    <w:p>
      <w:pPr>
        <w:pStyle w:val="933"/>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cs="宋体"/>
          <w:color w:val="000000"/>
          <w:sz w:val="24"/>
          <w:highlight w:val="none"/>
        </w:rPr>
        <w:t xml:space="preserve">本项目为</w:t>
      </w:r>
      <w:r>
        <w:rPr>
          <w:rFonts w:hint="eastAsia" w:ascii="宋体" w:hAnsi="宋体" w:cs="宋体"/>
          <w:color w:val="000000"/>
          <w:sz w:val="24"/>
          <w:highlight w:val="none"/>
          <w:lang w:eastAsia="zh-CN"/>
        </w:rPr>
        <w:t xml:space="preserve">常州经济开发区城镇老旧小区改造四期-观墩花苑安全隐患整治项目（二期）消防设备采购项目</w:t>
      </w:r>
      <w:r>
        <w:rPr>
          <w:rFonts w:hint="eastAsia" w:ascii="宋体" w:hAnsi="宋体" w:cs="宋体"/>
          <w:color w:val="000000"/>
          <w:sz w:val="24"/>
          <w:highlight w:val="none"/>
        </w:rPr>
        <w:t xml:space="preserve">，包括但不限于设备制造（采购）、运输、装卸、安装、调试、测试、售后服务、质保、技术培训等，直至通过采购人验收，具体内容详见采购文件。</w:t>
      </w:r>
      <w:r>
        <w:rPr>
          <w:rFonts w:hint="eastAsia" w:ascii="宋体" w:hAnsi="宋体" w:eastAsia="宋体" w:cs="宋体"/>
          <w:color w:val="000000"/>
          <w:sz w:val="24"/>
          <w:highlight w:val="none"/>
        </w:rPr>
      </w:r>
      <w:r/>
    </w:p>
    <w:p>
      <w:pPr>
        <w:pStyle w:val="933"/>
        <w:ind w:firstLine="480"/>
        <w:keepLines w:val="0"/>
        <w:keepNext w:val="0"/>
        <w:pageBreakBefore w:val="0"/>
        <w:spacing w:before="233" w:line="360" w:lineRule="auto"/>
        <w:shd w:val="clear" w:color="auto" w:fill="auto"/>
        <w:widowControl w:val="off"/>
        <w:rPr>
          <w:rFonts w:hint="eastAsia" w:ascii="宋体" w:hAnsi="宋体" w:eastAsia="宋体" w:cs="宋体"/>
          <w:color w:val="000000"/>
          <w:sz w:val="24"/>
          <w:szCs w:val="24"/>
          <w:highlight w:val="none"/>
          <w:u w:val="single"/>
        </w:rPr>
        <w:outlineLvl w:val="9"/>
      </w:pPr>
      <w:r/>
      <w:bookmarkEnd w:id="6"/>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自合同签订之日起120日内交货并安装调试完毕</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6.本项目是否接受联合体投标：□是  ■否。</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7.本项目是否接受进口产品投标：□是  ■否。</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b/>
          <w:bCs/>
          <w:color w:val="000000"/>
          <w:sz w:val="24"/>
          <w:highlight w:val="none"/>
        </w:rPr>
      </w:pPr>
      <w:r/>
      <w:bookmarkStart w:id="7" w:name="_Toc28359080"/>
      <w:r/>
      <w:bookmarkStart w:id="8" w:name="_Toc35393622"/>
      <w:r/>
      <w:bookmarkStart w:id="9" w:name="_Toc35393791"/>
      <w:r/>
      <w:bookmarkStart w:id="10" w:name="_Toc28359003"/>
      <w:r>
        <w:rPr>
          <w:rFonts w:hint="eastAsia" w:ascii="宋体" w:hAnsi="宋体"/>
          <w:b/>
          <w:bCs/>
          <w:color w:val="000000"/>
          <w:sz w:val="24"/>
          <w:highlight w:val="none"/>
        </w:rPr>
        <w:t xml:space="preserve">二、申请人的资格要求（须同时满足）</w:t>
      </w:r>
      <w:bookmarkEnd w:id="7"/>
      <w:r/>
      <w:bookmarkEnd w:id="8"/>
      <w:r/>
      <w:bookmarkEnd w:id="9"/>
      <w:r/>
      <w:bookmarkEnd w:id="10"/>
      <w:r>
        <w:rPr>
          <w:rFonts w:hint="eastAsia" w:ascii="宋体" w:hAnsi="宋体"/>
          <w:b/>
          <w:bCs/>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1.满足《中华人民共和国政府采购法》第二十二条规定以及下列情形：</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bookmarkStart w:id="11" w:name="_Toc28359004"/>
      <w:r/>
      <w:bookmarkStart w:id="12" w:name="_Toc28359081"/>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2.1 中小企业政策</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本项目不专门面向中小企业预留采购份额。</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本项目专门面向   </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中小 □小微企业  采购。即：提供的货物全部由符合政策要求的中小企业制造。</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□本项目预留部分采购项目预算专门面向中小企业采购。对于预留份额，提供的货物由符合政策要求的中小企业制造。预留份额通过以下措施进行</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rPr>
          <w:rFonts w:hint="eastAsia" w:ascii="宋体" w:hAnsi="宋体" w:cs="宋体"/>
          <w:i/>
          <w:iCs/>
          <w:color w:val="000000"/>
          <w:sz w:val="24"/>
          <w:highlight w:val="none"/>
          <w:u w:val="single"/>
        </w:rPr>
      </w:r>
      <w:r/>
    </w:p>
    <w:p>
      <w:pPr>
        <w:pStyle w:val="933"/>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3.1本项目是否接受分支机构参与投标：□是   ■否；</w:t>
      </w:r>
      <w:r>
        <w:rPr>
          <w:rFonts w:hint="eastAsia" w:ascii="宋体" w:hAnsi="宋体" w:cs="宋体"/>
          <w:color w:val="000000"/>
          <w:sz w:val="24"/>
          <w:highlight w:val="none"/>
        </w:rPr>
      </w:r>
      <w:r/>
    </w:p>
    <w:p>
      <w:pPr>
        <w:pStyle w:val="933"/>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 本项目是否属于政府购买服务：</w:t>
      </w:r>
      <w:r>
        <w:rPr>
          <w:rFonts w:hint="eastAsia" w:ascii="宋体" w:hAnsi="宋体" w:cs="宋体"/>
          <w:color w:val="000000"/>
          <w:sz w:val="24"/>
          <w:highlight w:val="none"/>
        </w:rPr>
      </w:r>
      <w:r/>
    </w:p>
    <w:p>
      <w:pPr>
        <w:pStyle w:val="933"/>
        <w:ind w:left="991" w:firstLine="2"/>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933"/>
        <w:ind w:left="991" w:firstLine="2"/>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r>
        <w:rPr>
          <w:rFonts w:hint="eastAsia" w:ascii="宋体" w:hAnsi="宋体" w:cs="宋体"/>
          <w:color w:val="000000"/>
          <w:sz w:val="24"/>
          <w:highlight w:val="none"/>
        </w:rPr>
      </w:r>
      <w:r/>
    </w:p>
    <w:p>
      <w:pPr>
        <w:pStyle w:val="933"/>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3.3其他特定资格要求：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933"/>
        <w:spacing w:line="360" w:lineRule="auto"/>
        <w:shd w:val="clear" w:color="auto" w:fill="auto"/>
        <w:rPr>
          <w:rFonts w:hint="eastAsia" w:ascii="宋体" w:hAnsi="宋体"/>
          <w:b/>
          <w:bCs/>
          <w:color w:val="000000"/>
          <w:sz w:val="24"/>
          <w:highlight w:val="none"/>
        </w:rPr>
      </w:pPr>
      <w:r/>
      <w:bookmarkEnd w:id="11"/>
      <w:r/>
      <w:bookmarkEnd w:id="12"/>
      <w:r/>
      <w:bookmarkStart w:id="13" w:name="_Toc35393792"/>
      <w:r/>
      <w:bookmarkStart w:id="14" w:name="_Toc35393623"/>
      <w:r>
        <w:rPr>
          <w:rFonts w:hint="eastAsia" w:ascii="宋体" w:hAnsi="宋体"/>
          <w:b/>
          <w:bCs/>
          <w:color w:val="000000"/>
          <w:sz w:val="24"/>
          <w:highlight w:val="none"/>
        </w:rPr>
        <w:t xml:space="preserve">三、获取招标文件</w:t>
      </w:r>
      <w:bookmarkEnd w:id="13"/>
      <w:r/>
      <w:bookmarkEnd w:id="14"/>
      <w:r>
        <w:rPr>
          <w:rFonts w:hint="eastAsia" w:ascii="宋体" w:hAnsi="宋体"/>
          <w:b/>
          <w:bCs/>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u w:val="none"/>
          <w:lang w:bidi="ar"/>
        </w:rPr>
      </w:pPr>
      <w:r>
        <w:rPr>
          <w:rFonts w:hint="eastAsia" w:ascii="宋体" w:hAnsi="宋体" w:cs="宋体"/>
          <w:color w:val="000000"/>
          <w:sz w:val="24"/>
          <w:highlight w:val="none"/>
          <w:u w:val="none"/>
          <w:lang w:bidi="ar"/>
        </w:rPr>
        <w:t xml:space="preserve">1.时间：</w:t>
      </w:r>
      <w:r>
        <w:rPr>
          <w:rFonts w:hint="eastAsia" w:ascii="宋体" w:hAnsi="宋体" w:cs="宋体"/>
          <w:color w:val="000000"/>
          <w:sz w:val="24"/>
          <w:highlight w:val="none"/>
          <w:u w:val="none"/>
        </w:rPr>
        <w:t xml:space="preserve">自招标文件公告发布之日起5个工作日。</w:t>
      </w:r>
      <w:r>
        <w:rPr>
          <w:rFonts w:hint="eastAsia" w:ascii="宋体" w:hAnsi="宋体" w:cs="宋体"/>
          <w:color w:val="000000"/>
          <w:sz w:val="24"/>
          <w:highlight w:val="none"/>
          <w:u w:val="none"/>
          <w:lang w:bidi="ar"/>
        </w:rPr>
      </w:r>
      <w:r/>
    </w:p>
    <w:p>
      <w:pPr>
        <w:pStyle w:val="933"/>
        <w:ind w:firstLine="480"/>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2.地点：</w:t>
      </w:r>
      <w:r>
        <w:rPr>
          <w:rFonts w:hint="eastAsia" w:ascii="宋体" w:hAnsi="宋体" w:cs="宋体"/>
          <w:color w:val="000000"/>
          <w:sz w:val="24"/>
          <w:highlight w:val="none"/>
        </w:rPr>
        <w:t xml:space="preserve">“苏采云”政府采购一体化平台。</w:t>
      </w:r>
      <w:r>
        <w:rPr>
          <w:rFonts w:hint="eastAsia" w:ascii="宋体" w:hAnsi="宋体" w:cs="宋体"/>
          <w:color w:val="000000"/>
          <w:sz w:val="24"/>
          <w:highlight w:val="none"/>
          <w:lang w:bidi="ar"/>
        </w:rPr>
      </w:r>
      <w:r/>
    </w:p>
    <w:p>
      <w:pPr>
        <w:pStyle w:val="933"/>
        <w:ind w:firstLine="480"/>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3.方式：投标人</w:t>
      </w:r>
      <w:r>
        <w:rPr>
          <w:rFonts w:hint="eastAsia" w:ascii="宋体" w:hAnsi="宋体" w:cs="宋体"/>
          <w:color w:val="000000"/>
          <w:sz w:val="24"/>
          <w:highlight w:val="none"/>
          <w:lang w:eastAsia="zh-CN" w:bidi="ar"/>
        </w:rPr>
        <w:t xml:space="preserve">登录</w:t>
      </w:r>
      <w:r>
        <w:rPr>
          <w:rFonts w:hint="eastAsia" w:ascii="宋体" w:hAnsi="宋体" w:cs="宋体"/>
          <w:color w:val="000000"/>
          <w:sz w:val="24"/>
          <w:highlight w:val="none"/>
          <w:lang w:bidi="ar"/>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highlight w:val="none"/>
          <w:lang w:bidi="ar"/>
        </w:rPr>
      </w:r>
      <w:r/>
    </w:p>
    <w:p>
      <w:pPr>
        <w:pStyle w:val="933"/>
        <w:ind w:firstLine="480"/>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p>
      <w:pPr>
        <w:pStyle w:val="933"/>
        <w:spacing w:line="360" w:lineRule="auto"/>
        <w:shd w:val="clear" w:color="auto" w:fill="auto"/>
        <w:rPr>
          <w:rFonts w:hint="eastAsia" w:ascii="宋体" w:hAnsi="宋体"/>
          <w:b/>
          <w:bCs/>
          <w:color w:val="000000"/>
          <w:sz w:val="24"/>
          <w:highlight w:val="none"/>
        </w:rPr>
      </w:pPr>
      <w:r/>
      <w:bookmarkStart w:id="15" w:name="_Toc28359005"/>
      <w:r/>
      <w:bookmarkStart w:id="16" w:name="_Toc28359082"/>
      <w:r/>
      <w:bookmarkStart w:id="17" w:name="_Toc35393793"/>
      <w:r/>
      <w:bookmarkStart w:id="18" w:name="_Toc35393624"/>
      <w:r>
        <w:rPr>
          <w:rFonts w:hint="eastAsia" w:ascii="宋体" w:hAnsi="宋体"/>
          <w:b/>
          <w:bCs/>
          <w:color w:val="000000"/>
          <w:sz w:val="24"/>
          <w:highlight w:val="none"/>
        </w:rPr>
        <w:t xml:space="preserve">四、提交投标文件</w:t>
      </w:r>
      <w:bookmarkEnd w:id="15"/>
      <w:r/>
      <w:bookmarkEnd w:id="16"/>
      <w:r>
        <w:rPr>
          <w:rFonts w:hint="eastAsia" w:ascii="宋体" w:hAnsi="宋体"/>
          <w:b/>
          <w:bCs/>
          <w:color w:val="000000"/>
          <w:sz w:val="24"/>
          <w:highlight w:val="none"/>
        </w:rPr>
        <w:t xml:space="preserve">截止时间、开标时间和地点</w:t>
      </w:r>
      <w:bookmarkEnd w:id="17"/>
      <w:r/>
      <w:bookmarkEnd w:id="18"/>
      <w:r>
        <w:rPr>
          <w:rFonts w:hint="eastAsia" w:ascii="宋体" w:hAnsi="宋体"/>
          <w:b/>
          <w:bCs/>
          <w:color w:val="000000"/>
          <w:sz w:val="24"/>
          <w:highlight w:val="none"/>
        </w:rPr>
      </w:r>
      <w:r/>
    </w:p>
    <w:p>
      <w:pPr>
        <w:pStyle w:val="933"/>
        <w:ind w:firstLine="480"/>
        <w:spacing w:line="360" w:lineRule="auto"/>
        <w:shd w:val="clear" w:color="auto" w:fill="auto"/>
        <w:rPr>
          <w:rFonts w:hint="eastAsia" w:ascii="宋体" w:hAnsi="宋体" w:eastAsia="宋体" w:cs="宋体"/>
          <w:iCs/>
          <w:color w:val="000000"/>
          <w:sz w:val="24"/>
          <w:highlight w:val="none"/>
          <w:lang w:bidi="ar"/>
        </w:rPr>
        <w:outlineLvl w:val="9"/>
      </w:pPr>
      <w:r/>
      <w:bookmarkStart w:id="19" w:name="_Toc35393794"/>
      <w:r/>
      <w:bookmarkStart w:id="20" w:name="_Toc28359007"/>
      <w:r/>
      <w:bookmarkStart w:id="21" w:name="_Toc35393625"/>
      <w:r/>
      <w:bookmarkStart w:id="22" w:name="_Toc28359084"/>
      <w:r>
        <w:rPr>
          <w:color w:val="000000"/>
          <w:sz w:val="24"/>
          <w:highlight w:val="none"/>
          <w:lang w:bidi="ar"/>
        </w:rPr>
        <w:t xml:space="preserve">投标截止时间、开标时间：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2026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val="en-US" w:eastAsia="zh-CN"/>
        </w:rPr>
        <w:t xml:space="preserve"> 6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 22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lang w:val="en-US" w:eastAsia="zh-CN"/>
        </w:rPr>
        <w:t xml:space="preserve"> 9 </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bidi="ar"/>
        </w:rPr>
        <w:t xml:space="preserve">00</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iCs/>
          <w:color w:val="000000"/>
          <w:sz w:val="24"/>
          <w:highlight w:val="none"/>
          <w:lang w:bidi="ar"/>
        </w:rPr>
      </w:r>
      <w:r/>
    </w:p>
    <w:p>
      <w:pPr>
        <w:pStyle w:val="933"/>
        <w:ind w:firstLine="480"/>
        <w:spacing w:line="360" w:lineRule="auto"/>
        <w:shd w:val="clear" w:color="auto" w:fill="auto"/>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u w:val="single"/>
          <w:lang w:bidi="ar"/>
        </w:rPr>
        <w:t xml:space="preserve">“苏采云”政府采购交易系统网上开标大厅。</w:t>
      </w:r>
      <w:r>
        <w:rPr>
          <w:rFonts w:hint="eastAsia" w:ascii="宋体" w:hAnsi="宋体" w:cs="宋体"/>
          <w:color w:val="000000"/>
          <w:sz w:val="24"/>
          <w:highlight w:val="none"/>
          <w:u w:val="single"/>
          <w:lang w:bidi="ar"/>
        </w:rPr>
      </w:r>
      <w:r/>
    </w:p>
    <w:p>
      <w:pPr>
        <w:pStyle w:val="933"/>
        <w:spacing w:line="360" w:lineRule="auto"/>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五、公告期限</w:t>
      </w:r>
      <w:bookmarkEnd w:id="19"/>
      <w:r/>
      <w:bookmarkEnd w:id="20"/>
      <w:r/>
      <w:bookmarkEnd w:id="21"/>
      <w:r/>
      <w:bookmarkEnd w:id="22"/>
      <w:r>
        <w:rPr>
          <w:rFonts w:hint="eastAsia" w:ascii="宋体" w:hAnsi="宋体"/>
          <w:b/>
          <w:bCs/>
          <w:color w:val="000000"/>
          <w:sz w:val="24"/>
          <w:highlight w:val="none"/>
        </w:rPr>
      </w:r>
      <w:r/>
    </w:p>
    <w:p>
      <w:pPr>
        <w:pStyle w:val="933"/>
        <w:ind w:firstLine="480"/>
        <w:spacing w:line="360" w:lineRule="auto"/>
        <w:shd w:val="clear" w:color="auto" w:fill="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933"/>
        <w:spacing w:line="360" w:lineRule="auto"/>
        <w:shd w:val="clear" w:color="auto" w:fill="auto"/>
        <w:rPr>
          <w:rFonts w:hint="eastAsia" w:ascii="宋体" w:hAnsi="宋体"/>
          <w:b/>
          <w:bCs/>
          <w:color w:val="000000"/>
          <w:sz w:val="24"/>
          <w:highlight w:val="none"/>
        </w:rPr>
      </w:pPr>
      <w:r/>
      <w:bookmarkStart w:id="23" w:name="_Toc35393626"/>
      <w:r/>
      <w:bookmarkStart w:id="24" w:name="_Toc35393795"/>
      <w:r/>
      <w:bookmarkStart w:id="25" w:name="_Toc35393796"/>
      <w:r/>
      <w:bookmarkStart w:id="26" w:name="_Toc28359085"/>
      <w:r/>
      <w:bookmarkStart w:id="27" w:name="_Toc28359008"/>
      <w:r/>
      <w:bookmarkStart w:id="28" w:name="_Toc35393627"/>
      <w:r>
        <w:rPr>
          <w:rFonts w:hint="eastAsia" w:ascii="宋体" w:hAnsi="宋体"/>
          <w:b/>
          <w:bCs/>
          <w:color w:val="000000"/>
          <w:sz w:val="24"/>
          <w:highlight w:val="none"/>
        </w:rPr>
        <w:t xml:space="preserve">六、其他补充事宜</w:t>
      </w:r>
      <w:bookmarkEnd w:id="23"/>
      <w:r/>
      <w:bookmarkEnd w:id="24"/>
      <w:r>
        <w:rPr>
          <w:rFonts w:hint="eastAsia" w:ascii="宋体" w:hAnsi="宋体"/>
          <w:b/>
          <w:bCs/>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4.本项目采用远程“不见面”交易方式，无需到现场提交，请投标人在提交时间截止前提前登入“苏采云”，通过系统在线提交电子投标文件。</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5.有关本次招标的事项若存在变动或修改，敬请及时关注“江苏政府采购网”、“常州市政府采购网”发布的更正公告。</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6.本次招标不收取投标保证金。</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7.注意事项</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自行承担。</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可以在“江苏政府采购网”或者“常州市政府采购网”自行免费下载采购文件，但本项目通过“苏采云”系统采用电子化不见面交易的模式，</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通过“江苏政府采购网”或“常州市政府采购网”下载采购文件后，还必须登录“苏采云”系统按照获取采购文件方式要求进行登记、参与及下载电子采购文件方可通过系统进行投标文件的编制和提交。</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，视为未参与该项政府采购活动，不具备对该政府采购项目提出质疑的法定权利，但因</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资格条件或报名时间设定不符合有关法律法规规定等原因使</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权益受损的除外。</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10.如潜在</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未按上述要求操作，将自行承担所产生的风险。</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11.关于常州市中小企业政府采购信用融资：</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12.关于深入开展常州市政府采购线上合同信用融资：</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七、对本次招标提出询问，请按以下方式联系。</w:t>
      </w:r>
      <w:bookmarkEnd w:id="25"/>
      <w:r/>
      <w:bookmarkEnd w:id="26"/>
      <w:r/>
      <w:bookmarkEnd w:id="27"/>
      <w:r/>
      <w:bookmarkEnd w:id="28"/>
      <w:r>
        <w:rPr>
          <w:rFonts w:hint="eastAsia" w:ascii="宋体" w:hAnsi="宋体"/>
          <w:b/>
          <w:bCs/>
          <w:color w:val="000000"/>
          <w:sz w:val="24"/>
          <w:highlight w:val="none"/>
        </w:rPr>
      </w:r>
      <w:r/>
    </w:p>
    <w:p>
      <w:pPr>
        <w:pStyle w:val="933"/>
        <w:ind w:firstLine="482"/>
        <w:jc w:val="left"/>
        <w:spacing w:line="360" w:lineRule="auto"/>
        <w:shd w:val="clear" w:color="auto" w:fill="auto"/>
        <w:widowControl/>
        <w:rPr>
          <w:rFonts w:hint="eastAsia" w:ascii="宋体" w:hAnsi="宋体" w:cs="宋体"/>
          <w:b/>
          <w:bCs/>
          <w:color w:val="000000"/>
          <w:sz w:val="24"/>
          <w:highlight w:val="none"/>
          <w:lang w:val="zh-TW" w:bidi="ar"/>
        </w:rPr>
      </w:pPr>
      <w:r/>
      <w:bookmarkStart w:id="29" w:name="_Toc150774783"/>
      <w:r/>
      <w:bookmarkStart w:id="30" w:name="_Toc127161488"/>
      <w:r/>
      <w:bookmarkStart w:id="31" w:name="_Toc265228423"/>
      <w:r/>
      <w:bookmarkStart w:id="32" w:name="_Toc512937850"/>
      <w:r/>
      <w:bookmarkStart w:id="33" w:name="_Toc353825548"/>
      <w:r/>
      <w:bookmarkStart w:id="34" w:name="_Toc127151777"/>
      <w:r/>
      <w:bookmarkStart w:id="35" w:name="_Toc226965856"/>
      <w:r/>
      <w:bookmarkStart w:id="36" w:name="_Toc264969275"/>
      <w:r/>
      <w:bookmarkStart w:id="37" w:name="_Toc353873938"/>
      <w:r/>
      <w:bookmarkStart w:id="38" w:name="_Toc305158928"/>
      <w:r/>
      <w:bookmarkStart w:id="39" w:name="_Toc195842950"/>
      <w:r/>
      <w:bookmarkStart w:id="40" w:name="_Toc305158854"/>
      <w:r>
        <w:rPr>
          <w:rFonts w:hint="eastAsia" w:ascii="宋体" w:hAnsi="宋体" w:cs="宋体"/>
          <w:b/>
          <w:bCs/>
          <w:color w:val="000000"/>
          <w:sz w:val="24"/>
          <w:highlight w:val="none"/>
          <w:lang w:val="zh-TW" w:bidi="ar"/>
        </w:rPr>
        <w:t xml:space="preserve">1.</w:t>
      </w:r>
      <w:r>
        <w:rPr>
          <w:rFonts w:hint="eastAsia" w:ascii="宋体" w:hAnsi="宋体" w:cs="宋体"/>
          <w:b/>
          <w:bCs/>
          <w:color w:val="000000"/>
          <w:sz w:val="24"/>
          <w:highlight w:val="none"/>
          <w:lang w:val="en-US" w:eastAsia="zh-CN" w:bidi="ar"/>
        </w:rPr>
        <w:t xml:space="preserve">采购</w:t>
      </w:r>
      <w:r>
        <w:rPr>
          <w:rFonts w:hint="eastAsia" w:ascii="宋体" w:hAnsi="宋体" w:cs="宋体"/>
          <w:b/>
          <w:bCs/>
          <w:color w:val="000000"/>
          <w:sz w:val="24"/>
          <w:highlight w:val="none"/>
          <w:lang w:bidi="ar"/>
        </w:rPr>
        <w:t xml:space="preserve">人</w:t>
      </w:r>
      <w:r>
        <w:rPr>
          <w:rFonts w:hint="eastAsia" w:ascii="宋体" w:hAnsi="宋体" w:cs="宋体"/>
          <w:b/>
          <w:bCs/>
          <w:color w:val="000000"/>
          <w:sz w:val="24"/>
          <w:highlight w:val="none"/>
          <w:lang w:val="zh-TW" w:bidi="ar"/>
        </w:rPr>
        <w:t xml:space="preserve">信息</w:t>
      </w:r>
      <w:r>
        <w:rPr>
          <w:rFonts w:hint="eastAsia" w:ascii="宋体" w:hAnsi="宋体" w:cs="宋体"/>
          <w:b/>
          <w:bCs/>
          <w:color w:val="000000"/>
          <w:sz w:val="24"/>
          <w:highlight w:val="none"/>
          <w:lang w:val="zh-TW" w:bidi="ar"/>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    称：</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eastAsia="zh-CN" w:bidi="ar"/>
        </w:rPr>
        <w:t xml:space="preserve">常州市武进区丁堰街道办事处</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地    址：</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val="zh-TW" w:bidi="ar"/>
        </w:rPr>
        <w:t xml:space="preserve">常州市武进区延陵东路508号</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3"/>
        <w:ind w:firstLine="480"/>
        <w:jc w:val="left"/>
        <w:spacing w:line="360" w:lineRule="auto"/>
        <w:shd w:val="clear" w:color="auto" w:fill="auto"/>
        <w:widowControl/>
        <w:rPr>
          <w:rFonts w:ascii="宋体" w:hAnsi="宋体" w:eastAsia="宋体" w:cs="宋体"/>
          <w:color w:val="000000"/>
          <w:sz w:val="24"/>
          <w:highlight w:val="none"/>
          <w:u w:val="single"/>
          <w:lang w:val="en-US" w:eastAsia="zh-CN" w:bidi="ar"/>
        </w:rPr>
      </w:pPr>
      <w:r>
        <w:rPr>
          <w:rFonts w:hint="eastAsia" w:ascii="宋体" w:hAnsi="宋体" w:cs="宋体"/>
          <w:color w:val="000000"/>
          <w:sz w:val="24"/>
          <w:highlight w:val="none"/>
          <w:lang w:val="zh-TW" w:bidi="ar"/>
        </w:rPr>
        <w:t xml:space="preserve">联系方式：</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val="en-US" w:eastAsia="zh-CN" w:bidi="ar"/>
        </w:rPr>
        <w:t xml:space="preserve">刘先生、0519-86025033 </w:t>
      </w:r>
      <w:r>
        <w:rPr>
          <w:rFonts w:ascii="宋体" w:hAnsi="宋体" w:eastAsia="宋体" w:cs="宋体"/>
          <w:color w:val="000000"/>
          <w:sz w:val="24"/>
          <w:highlight w:val="none"/>
          <w:u w:val="single"/>
          <w:lang w:val="en-US" w:eastAsia="zh-CN" w:bidi="ar"/>
        </w:rPr>
      </w:r>
      <w:r/>
    </w:p>
    <w:p>
      <w:pPr>
        <w:pStyle w:val="933"/>
        <w:ind w:firstLine="482"/>
        <w:jc w:val="left"/>
        <w:spacing w:line="360" w:lineRule="auto"/>
        <w:shd w:val="clear" w:color="auto" w:fill="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2.采购代理机构信息</w:t>
      </w:r>
      <w:r>
        <w:rPr>
          <w:rFonts w:hint="eastAsia" w:ascii="宋体" w:hAnsi="宋体" w:cs="宋体"/>
          <w:b/>
          <w:bCs/>
          <w:color w:val="000000"/>
          <w:sz w:val="24"/>
          <w:highlight w:val="none"/>
          <w:lang w:val="zh-TW" w:bidi="ar"/>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    称：</w:t>
      </w:r>
      <w:r>
        <w:rPr>
          <w:rFonts w:hint="eastAsia" w:ascii="宋体" w:hAnsi="宋体" w:cs="宋体"/>
          <w:color w:val="000000"/>
          <w:sz w:val="24"/>
          <w:highlight w:val="none"/>
          <w:u w:val="single"/>
          <w:lang w:val="zh-TW" w:bidi="ar"/>
        </w:rPr>
        <w:t xml:space="preserve"> 江苏尚阳工程管理有限公司</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地    址：</w:t>
      </w:r>
      <w:r>
        <w:rPr>
          <w:rFonts w:hint="eastAsia" w:ascii="宋体" w:hAnsi="宋体" w:cs="宋体"/>
          <w:color w:val="000000"/>
          <w:sz w:val="24"/>
          <w:highlight w:val="none"/>
          <w:u w:val="single"/>
          <w:lang w:val="zh-TW" w:bidi="ar"/>
        </w:rPr>
        <w:t xml:space="preserve"> 常州市新北区嵩山路1-301号（太湖明珠苑综合市场3楼）</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联系方式：</w:t>
      </w:r>
      <w:r>
        <w:rPr>
          <w:rFonts w:hint="eastAsia" w:ascii="宋体" w:hAnsi="宋体" w:cs="宋体"/>
          <w:color w:val="000000"/>
          <w:sz w:val="24"/>
          <w:highlight w:val="none"/>
          <w:u w:val="single"/>
          <w:lang w:val="zh-TW" w:bidi="ar"/>
        </w:rPr>
        <w:t xml:space="preserve"> 0519-88818225</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3"/>
        <w:ind w:firstLine="482"/>
        <w:jc w:val="left"/>
        <w:spacing w:line="360" w:lineRule="auto"/>
        <w:shd w:val="clear" w:color="auto" w:fill="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3.项目联系方式</w:t>
      </w:r>
      <w:r>
        <w:rPr>
          <w:rFonts w:hint="eastAsia" w:ascii="宋体" w:hAnsi="宋体" w:cs="宋体"/>
          <w:b/>
          <w:bCs/>
          <w:color w:val="000000"/>
          <w:sz w:val="24"/>
          <w:highlight w:val="none"/>
          <w:lang w:val="zh-TW" w:bidi="ar"/>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项目联系人：</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val="en-US" w:eastAsia="zh-CN" w:bidi="ar"/>
        </w:rPr>
        <w:t xml:space="preserve">嵇玲</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电      话：</w:t>
      </w:r>
      <w:r>
        <w:rPr>
          <w:rFonts w:hint="eastAsia" w:ascii="宋体" w:hAnsi="宋体" w:cs="宋体"/>
          <w:color w:val="000000"/>
          <w:sz w:val="24"/>
          <w:highlight w:val="none"/>
          <w:u w:val="single"/>
          <w:lang w:val="zh-TW" w:bidi="ar"/>
        </w:rPr>
        <w:t xml:space="preserve"> 0519-88818295（800</w:t>
      </w:r>
      <w:r>
        <w:rPr>
          <w:rFonts w:hint="eastAsia" w:ascii="宋体" w:hAnsi="宋体" w:cs="宋体"/>
          <w:color w:val="000000"/>
          <w:sz w:val="24"/>
          <w:highlight w:val="none"/>
          <w:u w:val="single"/>
          <w:lang w:val="en-US" w:eastAsia="zh-CN" w:bidi="ar"/>
        </w:rPr>
        <w:t xml:space="preserve">0</w:t>
      </w:r>
      <w:r>
        <w:rPr>
          <w:rFonts w:hint="eastAsia" w:ascii="宋体" w:hAnsi="宋体" w:cs="宋体"/>
          <w:color w:val="000000"/>
          <w:sz w:val="24"/>
          <w:highlight w:val="none"/>
          <w:u w:val="single"/>
          <w:lang w:val="zh-TW" w:bidi="ar"/>
        </w:rPr>
        <w:t xml:space="preserve">）</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3"/>
        <w:jc w:val="center"/>
        <w:spacing w:line="360" w:lineRule="auto"/>
        <w:shd w:val="clear" w:color="auto" w:fill="auto"/>
        <w:rPr>
          <w:rFonts w:hint="eastAsia" w:ascii="宋体" w:hAnsi="宋体" w:cs="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r>
      <w:r/>
    </w:p>
    <w:p>
      <w:pPr>
        <w:pStyle w:val="933"/>
        <w:jc w:val="center"/>
        <w:spacing w:line="360" w:lineRule="auto"/>
        <w:shd w:val="clear" w:color="auto" w:fill="auto"/>
        <w:rPr>
          <w:b/>
          <w:color w:val="000000"/>
          <w:sz w:val="36"/>
          <w:szCs w:val="36"/>
          <w:highlight w:val="none"/>
        </w:rPr>
        <w:outlineLvl w:val="0"/>
      </w:pPr>
      <w:r/>
      <w:bookmarkStart w:id="41" w:name="_Toc5570"/>
      <w:r>
        <w:rPr>
          <w:b/>
          <w:color w:val="000000"/>
          <w:sz w:val="36"/>
          <w:szCs w:val="36"/>
          <w:highlight w:val="none"/>
        </w:rPr>
        <w:t xml:space="preserve">第二章   投标人须知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b/>
          <w:color w:val="000000"/>
          <w:sz w:val="36"/>
          <w:szCs w:val="36"/>
          <w:highlight w:val="none"/>
        </w:rPr>
      </w:r>
      <w:r/>
    </w:p>
    <w:p>
      <w:pPr>
        <w:pStyle w:val="933"/>
        <w:jc w:val="center"/>
        <w:spacing w:line="360" w:lineRule="auto"/>
        <w:shd w:val="clear" w:color="auto" w:fill="auto"/>
        <w:rPr>
          <w:rFonts w:hint="eastAsia" w:ascii="宋体" w:hAnsi="宋体"/>
          <w:b/>
          <w:bCs/>
          <w:color w:val="000000"/>
          <w:sz w:val="28"/>
          <w:szCs w:val="28"/>
          <w:highlight w:val="none"/>
        </w:rPr>
      </w:pPr>
      <w:r/>
      <w:bookmarkStart w:id="42" w:name="_Toc151193907"/>
      <w:r/>
      <w:bookmarkStart w:id="43" w:name="_Toc151193617"/>
      <w:r/>
      <w:bookmarkStart w:id="44" w:name="_Toc226965792"/>
      <w:r/>
      <w:bookmarkStart w:id="45" w:name="_Toc164229360"/>
      <w:r/>
      <w:bookmarkStart w:id="46" w:name="_Toc195842884"/>
      <w:r/>
      <w:bookmarkStart w:id="47" w:name="_Toc520356144"/>
      <w:r/>
      <w:bookmarkStart w:id="48" w:name="_Toc150774619"/>
      <w:r/>
      <w:bookmarkStart w:id="49" w:name="_Toc127151519"/>
      <w:r/>
      <w:bookmarkStart w:id="50" w:name="_Toc151190146"/>
      <w:r/>
      <w:bookmarkStart w:id="51" w:name="_Toc150480757"/>
      <w:r/>
      <w:bookmarkStart w:id="52" w:name="_Toc151193833"/>
      <w:r/>
      <w:bookmarkStart w:id="53" w:name="_Toc127151720"/>
      <w:r/>
      <w:bookmarkStart w:id="54" w:name="_Toc164351613"/>
      <w:r/>
      <w:bookmarkStart w:id="55" w:name="_Toc226965709"/>
      <w:r/>
      <w:bookmarkStart w:id="56" w:name="_Toc151193761"/>
      <w:r/>
      <w:bookmarkStart w:id="57" w:name="_Toc150774724"/>
      <w:r/>
      <w:bookmarkStart w:id="58" w:name="_Toc164608633"/>
      <w:r/>
      <w:bookmarkStart w:id="59" w:name="_Toc150509270"/>
      <w:r/>
      <w:bookmarkStart w:id="60" w:name="_Toc164229214"/>
      <w:r/>
      <w:bookmarkStart w:id="61" w:name="_Toc151193689"/>
      <w:r/>
      <w:bookmarkStart w:id="62" w:name="_Toc226309763"/>
      <w:r/>
      <w:bookmarkStart w:id="63" w:name="_Toc149720812"/>
      <w:r/>
      <w:bookmarkStart w:id="64" w:name="_Toc164608788"/>
      <w:r/>
      <w:bookmarkStart w:id="65" w:name="_Toc226337215"/>
      <w:r/>
      <w:bookmarkStart w:id="66" w:name="_Toc142311021"/>
      <w:r/>
      <w:bookmarkStart w:id="67" w:name="_Toc127161433"/>
      <w:r>
        <w:rPr>
          <w:rFonts w:hint="eastAsia" w:ascii="宋体" w:hAnsi="宋体"/>
          <w:b/>
          <w:bCs/>
          <w:color w:val="000000"/>
          <w:sz w:val="28"/>
          <w:szCs w:val="28"/>
          <w:highlight w:val="none"/>
        </w:rPr>
        <w:t xml:space="preserve">投标人须知资料表</w:t>
      </w:r>
      <w:r>
        <w:rPr>
          <w:rFonts w:hint="eastAsia" w:ascii="宋体" w:hAnsi="宋体"/>
          <w:b/>
          <w:bCs/>
          <w:color w:val="000000"/>
          <w:sz w:val="28"/>
          <w:szCs w:val="28"/>
          <w:highlight w:val="none"/>
        </w:rPr>
      </w:r>
      <w:r/>
    </w:p>
    <w:p>
      <w:pPr>
        <w:pStyle w:val="933"/>
        <w:jc w:val="center"/>
        <w:shd w:val="clear" w:color="auto" w:fill="auto"/>
        <w:rPr>
          <w:b/>
          <w:color w:val="000000"/>
          <w:sz w:val="28"/>
          <w:szCs w:val="28"/>
          <w:highlight w:val="none"/>
        </w:rPr>
      </w:pPr>
      <w:r>
        <w:rPr>
          <w:b/>
          <w:color w:val="000000"/>
          <w:sz w:val="28"/>
          <w:szCs w:val="28"/>
          <w:highlight w:val="none"/>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本表是对投标人须知的具体补充和修改，如有矛盾，均以本资料表为准。</w:t>
      </w:r>
      <w:r>
        <w:rPr>
          <w:rFonts w:hint="eastAsia" w:ascii="宋体" w:hAnsi="宋体" w:cs="宋体"/>
          <w:color w:val="000000"/>
          <w:sz w:val="24"/>
          <w:highlight w:val="none"/>
          <w:lang w:val="zh-TW" w:bidi="ar"/>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标记“■”的选项意为适用于本项目，标记“□”的选项意为不适用于本项目。</w:t>
      </w:r>
      <w:r>
        <w:rPr>
          <w:rFonts w:hint="eastAsia" w:ascii="宋体" w:hAnsi="宋体" w:cs="宋体"/>
          <w:color w:val="000000"/>
          <w:sz w:val="24"/>
          <w:highlight w:val="none"/>
          <w:lang w:val="zh-TW" w:bidi="ar"/>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519"/>
        <w:gridCol w:w="7722"/>
      </w:tblGrid>
      <w:tr>
        <w:trPr>
          <w:trHeight w:val="594"/>
          <w:tblHeader/>
        </w:trPr>
        <w:tc>
          <w:tcPr>
            <w:tcW w:w="988" w:type="dxa"/>
            <w:vAlign w:val="center"/>
            <w:textDirection w:val="lrTb"/>
            <w:noWrap w:val="false"/>
          </w:tcPr>
          <w:p>
            <w:pPr>
              <w:pStyle w:val="933"/>
              <w:jc w:val="center"/>
              <w:shd w:val="clear" w:color="auto" w:fill="auto"/>
              <w:rPr>
                <w:b/>
                <w:bCs/>
                <w:color w:val="000000"/>
                <w:sz w:val="24"/>
                <w:highlight w:val="none"/>
              </w:rPr>
            </w:pPr>
            <w:r>
              <w:rPr>
                <w:b/>
                <w:color w:val="000000"/>
                <w:sz w:val="24"/>
                <w:highlight w:val="none"/>
              </w:rPr>
              <w:t xml:space="preserve">条款号</w:t>
            </w:r>
            <w:r>
              <w:rPr>
                <w:b/>
                <w:bCs/>
                <w:color w:val="000000"/>
                <w:sz w:val="24"/>
                <w:highlight w:val="none"/>
              </w:rPr>
            </w:r>
            <w:r/>
          </w:p>
        </w:tc>
        <w:tc>
          <w:tcPr>
            <w:tcW w:w="1519" w:type="dxa"/>
            <w:vAlign w:val="center"/>
            <w:textDirection w:val="lrTb"/>
            <w:noWrap w:val="false"/>
          </w:tcPr>
          <w:p>
            <w:pPr>
              <w:pStyle w:val="933"/>
              <w:jc w:val="center"/>
              <w:shd w:val="clear" w:color="auto" w:fill="auto"/>
              <w:rPr>
                <w:b/>
                <w:bCs/>
                <w:color w:val="000000"/>
                <w:sz w:val="24"/>
                <w:highlight w:val="none"/>
              </w:rPr>
            </w:pPr>
            <w:r>
              <w:rPr>
                <w:b/>
                <w:bCs/>
                <w:color w:val="000000"/>
                <w:sz w:val="24"/>
                <w:highlight w:val="none"/>
              </w:rPr>
              <w:t xml:space="preserve">条目</w:t>
            </w:r>
            <w:r>
              <w:rPr>
                <w:b/>
                <w:bCs/>
                <w:color w:val="000000"/>
                <w:sz w:val="24"/>
                <w:highlight w:val="none"/>
              </w:rPr>
            </w:r>
            <w:r/>
          </w:p>
        </w:tc>
        <w:tc>
          <w:tcPr>
            <w:tcW w:w="7722" w:type="dxa"/>
            <w:vAlign w:val="center"/>
            <w:textDirection w:val="lrTb"/>
            <w:noWrap w:val="false"/>
          </w:tcPr>
          <w:p>
            <w:pPr>
              <w:pStyle w:val="933"/>
              <w:jc w:val="center"/>
              <w:shd w:val="clear" w:color="auto" w:fill="auto"/>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项目属性</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■货物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科研仪器设备</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878"/>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核心产品</w:t>
            </w:r>
            <w:r>
              <w:rPr>
                <w:color w:val="000000"/>
                <w:sz w:val="24"/>
                <w:highlight w:val="none"/>
              </w:rPr>
            </w:r>
            <w:r/>
          </w:p>
        </w:tc>
        <w:tc>
          <w:tcPr>
            <w:tcW w:w="7722" w:type="dxa"/>
            <w:vAlign w:val="center"/>
            <w:textDirection w:val="lrTb"/>
            <w:noWrap w:val="false"/>
          </w:tcPr>
          <w:p>
            <w:pPr>
              <w:pStyle w:val="973"/>
              <w:shd w:val="clear" w:color="auto" w:fill="auto"/>
              <w:rPr>
                <w:rFonts w:hAnsi="宋体" w:cs="宋体"/>
                <w:color w:val="000000"/>
                <w:sz w:val="24"/>
                <w:szCs w:val="24"/>
                <w:highlight w:val="none"/>
              </w:rPr>
            </w:pPr>
            <w:r>
              <w:rPr>
                <w:rFonts w:hAnsi="宋体" w:cs="宋体"/>
                <w:color w:val="000000"/>
                <w:sz w:val="24"/>
                <w:szCs w:val="24"/>
                <w:highlight w:val="none"/>
              </w:rPr>
              <w:t xml:space="preserve">□关于核心产品本项目</w:t>
            </w:r>
            <w:r>
              <w:rPr>
                <w:rFonts w:hint="eastAsia" w:ascii="宋体" w:hAnsi="宋体" w:cs="宋体"/>
                <w:color w:val="000000"/>
                <w:sz w:val="24"/>
                <w:highlight w:val="none"/>
                <w:u w:val="single"/>
              </w:rPr>
              <w:t xml:space="preserve"> / </w:t>
            </w:r>
            <w:r>
              <w:rPr>
                <w:rFonts w:hAnsi="宋体" w:cs="宋体"/>
                <w:color w:val="000000"/>
                <w:sz w:val="24"/>
                <w:szCs w:val="24"/>
                <w:highlight w:val="none"/>
              </w:rPr>
              <w:t xml:space="preserve">包不适用。</w:t>
            </w:r>
            <w:r>
              <w:rPr>
                <w:rFonts w:hAnsi="宋体" w:cs="宋体"/>
                <w:color w:val="000000"/>
                <w:sz w:val="24"/>
                <w:szCs w:val="24"/>
                <w:highlight w:val="none"/>
              </w:rPr>
            </w:r>
            <w:r/>
          </w:p>
          <w:p>
            <w:pPr>
              <w:pStyle w:val="973"/>
              <w:shd w:val="clear" w:color="auto" w:fill="auto"/>
              <w:rPr>
                <w:rFonts w:hAnsi="宋体" w:cs="宋体"/>
                <w:color w:val="000000"/>
                <w:sz w:val="24"/>
                <w:szCs w:val="24"/>
                <w:highlight w:val="none"/>
              </w:rPr>
            </w:pPr>
            <w:r>
              <w:rPr>
                <w:rFonts w:hint="eastAsia" w:hAnsi="宋体" w:cs="宋体"/>
                <w:color w:val="000000"/>
                <w:sz w:val="24"/>
                <w:szCs w:val="24"/>
                <w:highlight w:val="none"/>
                <w:lang w:eastAsia="zh-CN"/>
              </w:rPr>
              <w:t xml:space="preserve">□</w:t>
            </w:r>
            <w:r>
              <w:rPr>
                <w:rFonts w:hAnsi="宋体" w:cs="宋体"/>
                <w:color w:val="000000"/>
                <w:sz w:val="24"/>
                <w:szCs w:val="24"/>
                <w:highlight w:val="none"/>
              </w:rPr>
              <w:t xml:space="preserve">本项目为单一产品采购项目。</w:t>
            </w:r>
            <w:r>
              <w:rPr>
                <w:rFonts w:hAnsi="宋体" w:cs="宋体"/>
                <w:color w:val="000000"/>
                <w:sz w:val="24"/>
                <w:szCs w:val="24"/>
                <w:highlight w:val="none"/>
              </w:rPr>
            </w:r>
            <w:r/>
          </w:p>
          <w:p>
            <w:pPr>
              <w:pStyle w:val="973"/>
              <w:shd w:val="clear" w:color="auto" w:fill="auto"/>
              <w:rPr>
                <w:rFonts w:hAnsi="宋体" w:cs="宋体"/>
                <w:color w:val="000000"/>
                <w:sz w:val="24"/>
                <w:szCs w:val="24"/>
                <w:highlight w:val="none"/>
              </w:rPr>
            </w:pPr>
            <w:r>
              <w:rPr>
                <w:rFonts w:hAnsi="宋体" w:cs="宋体"/>
                <w:color w:val="000000"/>
                <w:sz w:val="24"/>
                <w:szCs w:val="24"/>
                <w:highlight w:val="none"/>
              </w:rPr>
              <w:t xml:space="preserve">■</w:t>
            </w:r>
            <w:r>
              <w:rPr>
                <w:rFonts w:hAnsi="宋体" w:cs="宋体"/>
                <w:color w:val="000000"/>
                <w:sz w:val="24"/>
                <w:szCs w:val="24"/>
                <w:highlight w:val="none"/>
              </w:rPr>
              <w:t xml:space="preserve">本项目为非单一产品采购项目，核心产品为：</w:t>
            </w:r>
            <w:r>
              <w:rPr>
                <w:rFonts w:hint="eastAsia" w:ascii="宋体" w:hAnsi="宋体" w:cs="宋体"/>
                <w:color w:val="000000"/>
                <w:sz w:val="24"/>
                <w:highlight w:val="none"/>
                <w:u w:val="single"/>
              </w:rPr>
              <w:t xml:space="preserve"> 乙级钢质防火门 </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restart"/>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现场考察</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933"/>
              <w:jc w:val="lef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973"/>
              <w:shd w:val="clear" w:color="auto" w:fill="auto"/>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szCs w:val="24"/>
                <w:highlight w:val="none"/>
                <w:u w:val="single"/>
              </w:rPr>
              <w:t xml:space="preserve">  /  </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开标前答疑会</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样品</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投标样品递交：</w:t>
            </w:r>
            <w:r>
              <w:rPr>
                <w:rFonts w:hint="eastAsia" w:ascii="宋体" w:hAnsi="宋体" w:eastAsia="宋体" w:cs="宋体"/>
                <w:color w:val="000000"/>
                <w:sz w:val="24"/>
                <w:szCs w:val="24"/>
                <w:highlight w:val="none"/>
                <w:lang w:val="en-US" w:eastAsia="zh-CN" w:bidi="ar-SA"/>
              </w:rPr>
            </w:r>
            <w:r/>
          </w:p>
          <w:p>
            <w:pPr>
              <w:pStyle w:val="933"/>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不需要</w:t>
            </w:r>
            <w:r>
              <w:rPr>
                <w:rFonts w:hint="eastAsia" w:ascii="宋体" w:hAnsi="宋体" w:eastAsia="宋体" w:cs="宋体"/>
                <w:color w:val="000000"/>
                <w:sz w:val="24"/>
                <w:szCs w:val="24"/>
                <w:highlight w:val="none"/>
                <w:lang w:val="en-US" w:eastAsia="zh-CN" w:bidi="ar-SA"/>
              </w:rPr>
            </w:r>
            <w:r/>
          </w:p>
          <w:p>
            <w:pPr>
              <w:pStyle w:val="933"/>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□需要，具体要求如下：</w:t>
            </w:r>
            <w:r>
              <w:rPr>
                <w:rFonts w:hint="eastAsia" w:ascii="宋体" w:hAnsi="宋体" w:eastAsia="宋体" w:cs="宋体"/>
                <w:color w:val="000000"/>
                <w:sz w:val="24"/>
                <w:szCs w:val="24"/>
                <w:highlight w:val="none"/>
                <w:lang w:val="en-US" w:eastAsia="zh-CN" w:bidi="ar-SA"/>
              </w:rPr>
            </w:r>
            <w:r/>
          </w:p>
          <w:p>
            <w:pPr>
              <w:pStyle w:val="933"/>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（1）样品制作的标准和要求：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3"/>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（2）是否需要随样品提交相关检测报告：</w:t>
            </w:r>
            <w:r>
              <w:rPr>
                <w:rFonts w:hint="eastAsia" w:ascii="宋体" w:hAnsi="宋体" w:eastAsia="宋体" w:cs="宋体"/>
                <w:color w:val="000000"/>
                <w:sz w:val="24"/>
                <w:szCs w:val="24"/>
                <w:highlight w:val="none"/>
                <w:lang w:val="en-US" w:eastAsia="zh-CN" w:bidi="ar-SA"/>
              </w:rPr>
            </w:r>
            <w:r/>
          </w:p>
          <w:p>
            <w:pPr>
              <w:pStyle w:val="933"/>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（3）样品递交要求：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3"/>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（4）未中标人样品退还：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3"/>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（5）中标人样品保管、封存及退还：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3"/>
              <w:jc w:val="left"/>
              <w:shd w:val="clear" w:color="auto" w:fill="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（6）其他要求（如有）：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highlight w:val="none"/>
              </w:rPr>
            </w:r>
            <w:r/>
          </w:p>
        </w:tc>
      </w:tr>
      <w:tr>
        <w:trPr>
          <w:trHeight w:val="267"/>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标的所属行业</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color w:val="000000"/>
                <w:sz w:val="24"/>
                <w:highlight w:val="none"/>
                <w:u w:val="single"/>
              </w:rPr>
              <w:t xml:space="preserve">  工业  </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rFonts w:hint="eastAsia"/>
                <w:color w:val="000000"/>
                <w:sz w:val="24"/>
                <w:highlight w:val="none"/>
              </w:rPr>
              <w:t xml:space="preserve">投标报价</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有，具体情形：</w:t>
            </w:r>
            <w:r>
              <w:rPr>
                <w:rFonts w:hint="eastAsia" w:ascii="宋体" w:hAnsi="宋体" w:cs="宋体"/>
                <w:color w:val="000000"/>
                <w:sz w:val="24"/>
                <w:highlight w:val="none"/>
                <w:u w:val="single"/>
              </w:rPr>
              <w:t xml:space="preserve"> 投标报价</w:t>
            </w:r>
            <w:r>
              <w:rPr>
                <w:rFonts w:hint="eastAsia" w:ascii="宋体" w:hAnsi="宋体" w:cs="宋体"/>
                <w:color w:val="000000"/>
                <w:sz w:val="24"/>
                <w:highlight w:val="none"/>
                <w:u w:val="single"/>
                <w:lang w:val="en-US" w:eastAsia="zh-CN"/>
              </w:rPr>
              <w:t xml:space="preserve">不得</w:t>
            </w:r>
            <w:r>
              <w:rPr>
                <w:rFonts w:hint="eastAsia" w:ascii="宋体" w:hAnsi="宋体" w:cs="宋体"/>
                <w:color w:val="000000"/>
                <w:sz w:val="24"/>
                <w:highlight w:val="none"/>
                <w:u w:val="single"/>
              </w:rPr>
              <w:t xml:space="preserve">超过招标文件中规定的项目预算金额或者项目最高限价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投标有效期</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w:t>
            </w:r>
            <w:r>
              <w:rPr>
                <w:rFonts w:hint="eastAsia" w:ascii="宋体" w:hAnsi="宋体" w:cs="宋体"/>
                <w:color w:val="000000"/>
                <w:sz w:val="24"/>
                <w:highlight w:val="none"/>
                <w:u w:val="single"/>
              </w:rPr>
              <w:t xml:space="preserve"> 60 </w:t>
            </w:r>
            <w:r>
              <w:rPr>
                <w:rFonts w:hint="eastAsia" w:ascii="宋体" w:hAnsi="宋体" w:cs="宋体"/>
                <w:color w:val="000000"/>
                <w:sz w:val="24"/>
                <w:highlight w:val="none"/>
              </w:rPr>
              <w:t xml:space="preserve">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分包</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询问</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w:t>
            </w:r>
            <w:r>
              <w:rPr>
                <w:rFonts w:hint="eastAsia" w:ascii="宋体" w:hAnsi="宋体" w:cs="宋体"/>
                <w:color w:val="000000"/>
                <w:sz w:val="24"/>
                <w:highlight w:val="none"/>
                <w:u w:val="single"/>
              </w:rPr>
              <w:t xml:space="preserve"> 于202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rPr>
              <w:t xml:space="preserve">日11:00（北京时间）前以书面形式递交至江苏尚阳工程管理有限公司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联系方式</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联系部门：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嵇玲</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0519-88818295（800</w:t>
            </w:r>
            <w:r>
              <w:rPr>
                <w:rFonts w:hint="eastAsia" w:ascii="宋体" w:hAnsi="宋体" w:cs="宋体"/>
                <w:color w:val="000000"/>
                <w:sz w:val="24"/>
                <w:highlight w:val="none"/>
                <w:u w:val="single"/>
                <w:lang w:val="en-US" w:eastAsia="zh-CN"/>
              </w:rPr>
              <w:t xml:space="preserve">0</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u w:val="single"/>
              </w:rPr>
              <w:t xml:space="preserve">  常州市新北区嵩山路1-301号（太湖明珠苑综合市场3楼）</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代理费</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收费标准：</w:t>
            </w:r>
            <w:r>
              <w:rPr>
                <w:rFonts w:hint="eastAsia" w:ascii="宋体" w:hAnsi="宋体" w:cs="宋体"/>
                <w:color w:val="000000"/>
                <w:sz w:val="24"/>
                <w:highlight w:val="none"/>
                <w:u w:val="single"/>
              </w:rPr>
              <w:t xml:space="preserve"> 收费比例按差额定率分档累进法计算，收费差额费率：中标金额在100万元(含)以下的为1.5%，中标金额在100万元（不含）至500万元（含）的为1.1%，中标金额在500万元（不含）至1000万元（含）的为0.8%，中标服务收费按上述计算方法不足人民币3000元的，按人民币3000元收取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缴纳时间：</w:t>
            </w:r>
            <w:r>
              <w:rPr>
                <w:rFonts w:hint="eastAsia" w:ascii="宋体" w:hAnsi="宋体" w:cs="宋体"/>
                <w:color w:val="000000"/>
                <w:sz w:val="24"/>
                <w:highlight w:val="none"/>
                <w:u w:val="single"/>
              </w:rPr>
              <w:t xml:space="preserve"> 中标人应在领取中标通知书时将中标服务费付至采购代理机构的账户并备注项目编号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收款单位：江苏尚阳工程管理有限公司</w:t>
            </w:r>
            <w:r>
              <w:rPr>
                <w:rFonts w:hint="eastAsia" w:ascii="宋体" w:hAnsi="宋体" w:cs="宋体"/>
                <w:color w:val="000000"/>
                <w:sz w:val="24"/>
                <w:highlight w:val="none"/>
                <w:u w:val="single"/>
              </w:rPr>
            </w:r>
            <w:r/>
          </w:p>
          <w:p>
            <w:pPr>
              <w:pStyle w:val="933"/>
              <w:jc w:val="left"/>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银行账号：406010100100626575</w:t>
            </w:r>
            <w:r>
              <w:rPr>
                <w:rFonts w:hint="eastAsia" w:ascii="宋体" w:hAnsi="宋体" w:cs="宋体"/>
                <w:color w:val="000000"/>
                <w:sz w:val="24"/>
                <w:highlight w:val="none"/>
                <w:u w:val="single"/>
              </w:rPr>
            </w:r>
            <w:r/>
          </w:p>
          <w:p>
            <w:pPr>
              <w:pStyle w:val="933"/>
              <w:jc w:val="left"/>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开户银行：兴业银行股份有限公司常州分行</w:t>
            </w:r>
            <w:r>
              <w:rPr>
                <w:rFonts w:hint="eastAsia" w:ascii="宋体" w:hAnsi="宋体" w:cs="宋体"/>
                <w:color w:val="000000"/>
                <w:sz w:val="24"/>
                <w:highlight w:val="none"/>
                <w:u w:val="single"/>
              </w:rPr>
            </w:r>
            <w:r/>
          </w:p>
          <w:p>
            <w:pPr>
              <w:pStyle w:val="933"/>
              <w:jc w:val="left"/>
              <w:rPr>
                <w:rFonts w:hint="eastAsia" w:ascii="宋体" w:hAnsi="宋体" w:eastAsia="宋体" w:cs="宋体"/>
                <w:b/>
                <w:bCs/>
                <w:color w:val="000000"/>
                <w:sz w:val="24"/>
                <w:szCs w:val="24"/>
                <w:highlight w:val="none"/>
                <w:u w:val="none"/>
              </w:rPr>
              <w:outlineLvl w:val="9"/>
            </w:pPr>
            <w:r>
              <w:rPr>
                <w:rFonts w:hint="eastAsia" w:ascii="宋体" w:hAnsi="宋体" w:eastAsia="宋体" w:cs="宋体"/>
                <w:b/>
                <w:bCs/>
                <w:color w:val="000000"/>
                <w:sz w:val="24"/>
                <w:szCs w:val="24"/>
                <w:highlight w:val="none"/>
                <w:u w:val="none"/>
              </w:rPr>
              <w:t xml:space="preserve">代理服务费支付说明及原因：</w:t>
            </w:r>
            <w:r>
              <w:rPr>
                <w:rFonts w:hint="eastAsia" w:ascii="宋体" w:hAnsi="宋体" w:eastAsia="宋体" w:cs="宋体"/>
                <w:b/>
                <w:bCs/>
                <w:color w:val="000000"/>
                <w:sz w:val="24"/>
                <w:szCs w:val="24"/>
                <w:highlight w:val="none"/>
                <w:u w:val="none"/>
              </w:rPr>
            </w:r>
            <w:r/>
          </w:p>
          <w:p>
            <w:pPr>
              <w:pStyle w:val="933"/>
              <w:jc w:val="left"/>
              <w:rPr>
                <w:rFonts w:hint="eastAsia" w:ascii="宋体" w:hAnsi="宋体" w:eastAsia="宋体" w:cs="宋体"/>
                <w:color w:val="000000"/>
                <w:sz w:val="24"/>
                <w:szCs w:val="24"/>
                <w:highlight w:val="none"/>
                <w:u w:val="none"/>
              </w:rPr>
              <w:outlineLvl w:val="9"/>
            </w:pPr>
            <w:r>
              <w:rPr>
                <w:rFonts w:hint="eastAsia" w:ascii="宋体" w:hAnsi="宋体" w:eastAsia="宋体" w:cs="宋体"/>
                <w:color w:val="000000"/>
                <w:sz w:val="24"/>
                <w:szCs w:val="24"/>
                <w:highlight w:val="none"/>
                <w:u w:val="none"/>
              </w:rPr>
              <w:t xml:space="preserve">1.支付依据：根据《政府采购代理机构管理暂行办法》第十五条规定，代理费用可以由中标、成交供应商支付。本项目经采购人与采购代理机构在《委托代理协议》中约定，代理服务费由中标/成交供应商支付。</w:t>
            </w:r>
            <w:r>
              <w:rPr>
                <w:rFonts w:hint="eastAsia" w:ascii="宋体" w:hAnsi="宋体" w:eastAsia="宋体" w:cs="宋体"/>
                <w:color w:val="000000"/>
                <w:sz w:val="24"/>
                <w:szCs w:val="24"/>
                <w:highlight w:val="none"/>
                <w:u w:val="none"/>
              </w:rPr>
            </w:r>
            <w:r/>
          </w:p>
          <w:p>
            <w:pPr>
              <w:pStyle w:val="933"/>
              <w:jc w:val="left"/>
              <w:rPr>
                <w:rFonts w:hint="eastAsia" w:ascii="宋体" w:hAnsi="宋体" w:eastAsia="宋体" w:cs="宋体"/>
                <w:color w:val="000000"/>
                <w:sz w:val="24"/>
                <w:szCs w:val="24"/>
                <w:highlight w:val="none"/>
                <w:u w:val="none"/>
              </w:rPr>
              <w:outlineLvl w:val="9"/>
            </w:pPr>
            <w:r>
              <w:rPr>
                <w:rFonts w:hint="eastAsia" w:ascii="宋体" w:hAnsi="宋体" w:eastAsia="宋体" w:cs="宋体"/>
                <w:color w:val="000000"/>
                <w:sz w:val="24"/>
                <w:szCs w:val="24"/>
                <w:highlight w:val="none"/>
                <w:u w:val="none"/>
              </w:rPr>
              <w:t xml:space="preserve">2.定价原则：本项目代理服务费遵循市场调节原则，由采购人与代理机构根据项目特点、服务成本及市场行情协商确定收费标准。</w:t>
            </w:r>
            <w:r>
              <w:rPr>
                <w:rFonts w:hint="eastAsia" w:ascii="宋体" w:hAnsi="宋体" w:eastAsia="宋体" w:cs="宋体"/>
                <w:color w:val="000000"/>
                <w:sz w:val="24"/>
                <w:szCs w:val="24"/>
                <w:highlight w:val="none"/>
                <w:u w:val="none"/>
              </w:rPr>
            </w:r>
            <w:r/>
          </w:p>
          <w:p>
            <w:pPr>
              <w:pStyle w:val="933"/>
              <w:jc w:val="left"/>
              <w:shd w:val="clear" w:color="auto" w:fill="auto"/>
              <w:rPr>
                <w:rFonts w:hint="eastAsia" w:ascii="宋体" w:hAnsi="宋体" w:cs="宋体"/>
                <w:color w:val="000000"/>
                <w:sz w:val="24"/>
                <w:highlight w:val="none"/>
                <w:u w:val="single"/>
              </w:rPr>
            </w:pPr>
            <w:r>
              <w:rPr>
                <w:rFonts w:hint="eastAsia" w:ascii="宋体" w:hAnsi="宋体" w:eastAsia="宋体" w:cs="宋体"/>
                <w:color w:val="000000"/>
                <w:sz w:val="24"/>
                <w:szCs w:val="24"/>
                <w:highlight w:val="none"/>
                <w:u w:val="none"/>
              </w:rPr>
              <w:t xml:space="preserve">3.报价要求：供应商在编制响应报价时，应当将代理服务费包含在总报价中。若供应商未将此项费用计入报价，视为其已承诺自行承担或放弃相关权利，但仍须按采购文件规定的标准足额缴纳代理服务费后方可领取成交通知书。</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28</w:t>
            </w:r>
            <w:r>
              <w:rPr>
                <w:rFonts w:ascii="Times New Roman" w:hAnsi="Times New Roman"/>
                <w:color w:val="000000"/>
                <w:sz w:val="24"/>
                <w:szCs w:val="24"/>
                <w:highlight w:val="none"/>
                <w:lang w:val="en-US" w:eastAsia="zh-CN" w:bidi="ar-SA"/>
              </w:rPr>
            </w:r>
            <w:r/>
          </w:p>
        </w:tc>
        <w:tc>
          <w:tcPr>
            <w:tcW w:w="1519" w:type="dxa"/>
            <w:vAlign w:val="center"/>
            <w:textDirection w:val="lrTb"/>
            <w:noWrap w:val="false"/>
          </w:tcPr>
          <w:p>
            <w:pPr>
              <w:pStyle w:val="973"/>
              <w:jc w:val="center"/>
              <w:shd w:val="clear" w:color="auto" w:fill="auto"/>
              <w:rPr>
                <w:rFonts w:hint="eastAsia" w:ascii="Times New Roman" w:hAnsi="Times New Roman" w:eastAsia="宋体"/>
                <w:color w:val="000000"/>
                <w:sz w:val="24"/>
                <w:szCs w:val="24"/>
                <w:highlight w:val="none"/>
                <w:lang w:val="en-US" w:eastAsia="zh-CN" w:bidi="ar-SA"/>
              </w:rPr>
            </w:pPr>
            <w:r>
              <w:rPr>
                <w:rFonts w:hint="eastAsia" w:ascii="Times New Roman" w:hAnsi="Times New Roman" w:eastAsia="宋体"/>
                <w:color w:val="000000"/>
                <w:sz w:val="24"/>
                <w:szCs w:val="24"/>
                <w:highlight w:val="none"/>
                <w:lang w:val="en-US" w:eastAsia="zh-CN"/>
              </w:rPr>
              <w:t xml:space="preserve">电子系统意外情况处理条款</w:t>
            </w:r>
            <w:r>
              <w:rPr>
                <w:rFonts w:hint="eastAsia" w:ascii="Times New Roman" w:hAnsi="Times New Roman" w:eastAsia="宋体"/>
                <w:color w:val="000000"/>
                <w:sz w:val="24"/>
                <w:szCs w:val="24"/>
                <w:highlight w:val="none"/>
                <w:lang w:val="en-US" w:eastAsia="zh-CN" w:bidi="ar-SA"/>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为确保本项目电子化采购活动顺利进行，防范化解采购风险，特制定相关情形处置举措。所有潜在投标人及参与各方均应知悉并遵守以下规定：</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2.开标前环节故障处置：在供应商报名、投标（响应）文件上传、投标（响应）文件解密及唱标环节等开标活动开始前的任何环节出现系统无法访问的情形，采购代理机构将按照以下原则处置：</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（一）若故障可在短时间内排除，采购代理机构将等待系统修复后，继续开展采购活动。</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（二）若故障无法在预定开标时间前排除，或故障情况严重影响公平竞争，采购代理机构将通过发布更正公告推迟开标。</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（三）若因故障导致有效投标人不足法定家数或出现其他法定废标情形，采购代理机构将发布废标（终止）公告，重新开展采购活动。</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特别说明：本项目投标（响应）文件递交方式以招标文件载明为准。在电子系统发生故障时，采购代理机构仅依据上述程序处理，不接受任何现场提交的纸质、U盘等非招标文件规定的投标（响应）文件。</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3.评审过程中故障处置：在评审委员会组建后至评审报告出具前的评审过程中出现系统无法访问的情形，采购代理机构将按照以下原则处置：</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（一）立即暂停评审：采购代理机构将立即宣布暂停评审活动，并采取必要措施封存所有投标（响应）文件及评审记录。</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（二）处置方案：视故障排除情况，采购代理机构将选择：</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1.若故障可在短时间内排除，采购代理机构将等待系统修复后，由原评审委员会继续完成评审；</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2.若故障无法在当日排除，或故障导致评审无法公正进行，将发布废标（终止）公告，重新开展采购活动；</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3.若需在第二日继续评审，采购代理机构将重新从政府采购评审专家库中抽取专家，组建新的评审委员会，在系统修复后继续评审活动。</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szCs w:val="24"/>
                <w:highlight w:val="none"/>
                <w:u w:val="single"/>
                <w:lang w:val="en-US" w:eastAsia="zh-CN" w:bidi="ar-SA"/>
              </w:rPr>
            </w:pPr>
            <w:r>
              <w:rPr>
                <w:rFonts w:hint="eastAsia" w:ascii="宋体" w:hAnsi="宋体" w:cs="宋体"/>
                <w:color w:val="000000"/>
                <w:sz w:val="24"/>
                <w:highlight w:val="none"/>
                <w:u w:val="none"/>
              </w:rPr>
              <w:t xml:space="preserve">（四）供应商责任：供应商有责任确保自身网络环境、设备及数字证书（CA）的正常，并在招标文件规定的期限内完成文件上传、解密等操作。因供应商自身原因导致的操作失败，不适用本意外情况处理条款。</w:t>
            </w:r>
            <w:r>
              <w:rPr>
                <w:rFonts w:hint="eastAsia" w:ascii="宋体" w:hAnsi="宋体" w:cs="宋体"/>
                <w:color w:val="000000"/>
                <w:sz w:val="24"/>
                <w:szCs w:val="24"/>
                <w:highlight w:val="none"/>
                <w:u w:val="single"/>
                <w:lang w:val="en-US" w:eastAsia="zh-CN" w:bidi="ar-SA"/>
              </w:rPr>
            </w:r>
            <w:r/>
          </w:p>
        </w:tc>
      </w:tr>
    </w:tbl>
    <w:p>
      <w:pPr>
        <w:pStyle w:val="933"/>
        <w:jc w:val="both"/>
        <w:spacing w:line="360" w:lineRule="auto"/>
        <w:shd w:val="clear" w:color="auto" w:fill="auto"/>
        <w:tabs>
          <w:tab w:val="left" w:pos="5580" w:leader="none"/>
        </w:tabs>
        <w:rPr>
          <w:color w:val="000000"/>
          <w:sz w:val="24"/>
          <w:highlight w:val="none"/>
        </w:rPr>
        <w:sectPr>
          <w:headerReference w:type="default" r:id="rId11"/>
          <w:headerReference w:type="first" r:id="rId12"/>
          <w:footerReference w:type="default" r:id="rId19"/>
          <w:footerReference w:type="first" r:id="rId20"/>
          <w:footnotePr/>
          <w:endnotePr/>
          <w:type w:val="nextColumn"/>
          <w:pgSz w:w="11907" w:h="16840" w:orient="portrait"/>
          <w:pgMar w:top="1418" w:right="1134" w:bottom="1418" w:left="1701" w:header="851" w:footer="851" w:gutter="0"/>
          <w:cols w:num="1" w:sep="0" w:space="1701" w:equalWidth="1"/>
          <w:docGrid w:linePitch="360"/>
          <w:titlePg/>
        </w:sectPr>
      </w:pPr>
      <w:r>
        <w:rPr>
          <w:color w:val="000000"/>
          <w:sz w:val="24"/>
          <w:highlight w:val="none"/>
        </w:rPr>
        <w:br w:type="page" w:clear="all"/>
      </w:r>
      <w:r/>
    </w:p>
    <w:p>
      <w:pPr>
        <w:pStyle w:val="933"/>
        <w:jc w:val="center"/>
        <w:spacing w:before="240" w:after="240"/>
        <w:shd w:val="clear" w:color="auto" w:fill="auto"/>
        <w:rPr>
          <w:b/>
          <w:color w:val="000000"/>
          <w:sz w:val="28"/>
          <w:szCs w:val="28"/>
          <w:highlight w:val="none"/>
        </w:rPr>
      </w:pPr>
      <w:r/>
      <w:bookmarkStart w:id="68" w:name="_Toc150774722"/>
      <w:r/>
      <w:bookmarkStart w:id="69" w:name="_Toc226965790"/>
      <w:r/>
      <w:bookmarkStart w:id="70" w:name="_Toc265228355"/>
      <w:r/>
      <w:bookmarkStart w:id="71" w:name="_Toc142311019"/>
      <w:r/>
      <w:bookmarkStart w:id="72" w:name="_Toc305158785"/>
      <w:r/>
      <w:bookmarkStart w:id="73" w:name="_Toc353873932"/>
      <w:r/>
      <w:bookmarkStart w:id="74" w:name="_Toc226337213"/>
      <w:r/>
      <w:bookmarkStart w:id="75" w:name="_Toc127151517"/>
      <w:r/>
      <w:bookmarkStart w:id="76" w:name="_Toc195842882"/>
      <w:r/>
      <w:bookmarkStart w:id="77" w:name="_Toc264969207"/>
      <w:r/>
      <w:bookmarkStart w:id="78" w:name="_Toc150480755"/>
      <w:r/>
      <w:bookmarkStart w:id="79" w:name="_Toc353873662"/>
      <w:r/>
      <w:bookmarkStart w:id="80" w:name="_Toc353825542"/>
      <w:r/>
      <w:bookmarkStart w:id="81" w:name="_Toc305158859"/>
      <w:r>
        <w:rPr>
          <w:b/>
          <w:color w:val="000000"/>
          <w:sz w:val="28"/>
          <w:szCs w:val="28"/>
          <w:highlight w:val="none"/>
        </w:rPr>
        <w:t xml:space="preserve">投标人须知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color w:val="000000"/>
          <w:sz w:val="28"/>
          <w:szCs w:val="28"/>
          <w:highlight w:val="none"/>
        </w:rPr>
      </w:r>
      <w:r/>
    </w:p>
    <w:p>
      <w:pPr>
        <w:pStyle w:val="933"/>
        <w:jc w:val="center"/>
        <w:spacing w:line="360" w:lineRule="auto"/>
        <w:shd w:val="clear" w:color="auto" w:fill="auto"/>
        <w:rPr>
          <w:rFonts w:hint="eastAsia" w:ascii="宋体" w:hAnsi="宋体"/>
          <w:b/>
          <w:bCs/>
          <w:color w:val="000000"/>
          <w:sz w:val="28"/>
          <w:szCs w:val="28"/>
          <w:highlight w:val="none"/>
        </w:rPr>
      </w:pPr>
      <w:r/>
      <w:bookmarkStart w:id="82" w:name="_Toc265228356"/>
      <w:r/>
      <w:bookmarkStart w:id="83" w:name="_Toc151190145"/>
      <w:r/>
      <w:bookmarkStart w:id="84" w:name="_Toc142311020"/>
      <w:r/>
      <w:bookmarkStart w:id="85" w:name="_Toc151193688"/>
      <w:r/>
      <w:bookmarkStart w:id="86" w:name="_Toc151193616"/>
      <w:r/>
      <w:bookmarkStart w:id="87" w:name="_Toc305158786"/>
      <w:r/>
      <w:bookmarkStart w:id="88" w:name="_Toc150774618"/>
      <w:r/>
      <w:bookmarkStart w:id="89" w:name="_Toc226965791"/>
      <w:r/>
      <w:bookmarkStart w:id="90" w:name="_Toc127151518"/>
      <w:r/>
      <w:bookmarkStart w:id="91" w:name="_Toc226965708"/>
      <w:r/>
      <w:bookmarkStart w:id="92" w:name="_Toc151193906"/>
      <w:r/>
      <w:bookmarkStart w:id="93" w:name="_Toc520356143"/>
      <w:r/>
      <w:bookmarkStart w:id="94" w:name="_Toc150774723"/>
      <w:r/>
      <w:bookmarkStart w:id="95" w:name="_Toc150509269"/>
      <w:r/>
      <w:bookmarkStart w:id="96" w:name="_Toc264969208"/>
      <w:r/>
      <w:bookmarkStart w:id="97" w:name="_Toc150480756"/>
      <w:r/>
      <w:bookmarkStart w:id="98" w:name="_Toc226309762"/>
      <w:r/>
      <w:bookmarkStart w:id="99" w:name="_Toc151193832"/>
      <w:r/>
      <w:bookmarkStart w:id="100" w:name="_Toc305158860"/>
      <w:r/>
      <w:bookmarkStart w:id="101" w:name="_Toc195842883"/>
      <w:r/>
      <w:bookmarkStart w:id="102" w:name="_Toc151193760"/>
      <w:r/>
      <w:bookmarkStart w:id="103" w:name="_Toc226337214"/>
      <w:r>
        <w:rPr>
          <w:rFonts w:hint="eastAsia" w:ascii="宋体" w:hAnsi="宋体"/>
          <w:b/>
          <w:bCs/>
          <w:color w:val="000000"/>
          <w:sz w:val="28"/>
          <w:szCs w:val="28"/>
          <w:highlight w:val="none"/>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b/>
          <w:bCs/>
          <w:color w:val="000000"/>
          <w:sz w:val="28"/>
          <w:szCs w:val="28"/>
          <w:highlight w:val="none"/>
        </w:rPr>
      </w:r>
      <w:r/>
    </w:p>
    <w:p>
      <w:pPr>
        <w:pStyle w:val="933"/>
        <w:numPr>
          <w:ilvl w:val="0"/>
          <w:numId w:val="8"/>
        </w:numPr>
        <w:ind w:left="357" w:hanging="357"/>
        <w:spacing w:line="360" w:lineRule="auto"/>
        <w:shd w:val="clear" w:color="auto" w:fill="auto"/>
        <w:tabs>
          <w:tab w:val="left" w:pos="360" w:leader="none"/>
        </w:tabs>
        <w:rPr>
          <w:rFonts w:hint="eastAsia" w:ascii="宋体" w:hAnsi="宋体" w:cs="宋体"/>
          <w:color w:val="000000"/>
          <w:sz w:val="24"/>
          <w:highlight w:val="none"/>
        </w:rPr>
      </w:pPr>
      <w:r/>
      <w:bookmarkStart w:id="104" w:name="_Toc305158787"/>
      <w:r/>
      <w:bookmarkStart w:id="105" w:name="_Toc305158861"/>
      <w:r/>
      <w:bookmarkStart w:id="106" w:name="_Toc265228357"/>
      <w:r/>
      <w:bookmarkStart w:id="107" w:name="_Toc264969209"/>
      <w:r>
        <w:rPr>
          <w:rFonts w:hint="eastAsia" w:ascii="宋体" w:hAnsi="宋体" w:cs="宋体"/>
          <w:color w:val="000000"/>
          <w:sz w:val="24"/>
          <w:highlight w:val="none"/>
        </w:rPr>
        <w:t xml:space="preserve">采购人、采购代理机构、投标人</w:t>
      </w:r>
      <w:bookmarkEnd w:id="104"/>
      <w:r/>
      <w:bookmarkEnd w:id="105"/>
      <w:r/>
      <w:bookmarkEnd w:id="106"/>
      <w:r/>
      <w:bookmarkEnd w:id="107"/>
      <w:r>
        <w:rPr>
          <w:rFonts w:hint="eastAsia" w:ascii="宋体" w:hAnsi="宋体" w:cs="宋体"/>
          <w:color w:val="000000"/>
          <w:sz w:val="24"/>
          <w:highlight w:val="none"/>
        </w:rPr>
        <w:t xml:space="preserve">、联合体</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联合体：指两个以上的自然人、法人或者其他组织组成一个联合体，以一个投标人的身份共同参加政府采购。</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s>
        <w:rPr>
          <w:rFonts w:hint="eastAsia" w:ascii="宋体" w:hAnsi="宋体" w:cs="宋体"/>
          <w:color w:val="000000"/>
          <w:sz w:val="24"/>
          <w:highlight w:val="none"/>
        </w:rPr>
      </w:pPr>
      <w:r/>
      <w:bookmarkStart w:id="108" w:name="_Toc264969210"/>
      <w:r/>
      <w:bookmarkStart w:id="109" w:name="_Toc226965710"/>
      <w:r/>
      <w:bookmarkStart w:id="110" w:name="_Toc127161434"/>
      <w:r/>
      <w:bookmarkStart w:id="111" w:name="_Toc150774725"/>
      <w:r/>
      <w:bookmarkStart w:id="112" w:name="_Toc151190147"/>
      <w:r/>
      <w:bookmarkStart w:id="113" w:name="_Toc226337216"/>
      <w:r/>
      <w:bookmarkStart w:id="114" w:name="_Toc151193834"/>
      <w:r/>
      <w:bookmarkStart w:id="115" w:name="_Toc226965793"/>
      <w:r/>
      <w:bookmarkStart w:id="116" w:name="_Toc149720813"/>
      <w:r/>
      <w:bookmarkStart w:id="117" w:name="_Toc164229215"/>
      <w:r/>
      <w:bookmarkStart w:id="118" w:name="_Toc151193690"/>
      <w:r/>
      <w:bookmarkStart w:id="119" w:name="_Toc150509271"/>
      <w:r/>
      <w:bookmarkStart w:id="120" w:name="_Toc150480758"/>
      <w:r/>
      <w:bookmarkStart w:id="121" w:name="_Toc164229361"/>
      <w:r/>
      <w:bookmarkStart w:id="122" w:name="_Toc142311022"/>
      <w:r/>
      <w:bookmarkStart w:id="123" w:name="_Toc305158788"/>
      <w:r/>
      <w:bookmarkStart w:id="124" w:name="_Toc127151520"/>
      <w:r/>
      <w:bookmarkStart w:id="125" w:name="_Toc226309764"/>
      <w:r/>
      <w:bookmarkStart w:id="126" w:name="_Toc150774620"/>
      <w:r/>
      <w:bookmarkStart w:id="127" w:name="_Toc151193908"/>
      <w:r/>
      <w:bookmarkStart w:id="128" w:name="_Toc164351614"/>
      <w:r/>
      <w:bookmarkStart w:id="129" w:name="_Toc164608789"/>
      <w:r/>
      <w:bookmarkStart w:id="130" w:name="_Toc195842885"/>
      <w:r/>
      <w:bookmarkStart w:id="131" w:name="_Toc305158862"/>
      <w:r/>
      <w:bookmarkStart w:id="132" w:name="_Toc265228358"/>
      <w:r/>
      <w:bookmarkStart w:id="133" w:name="_Toc151193618"/>
      <w:r/>
      <w:bookmarkStart w:id="134" w:name="_Toc127151721"/>
      <w:r/>
      <w:bookmarkStart w:id="135" w:name="_Toc164608634"/>
      <w:r/>
      <w:bookmarkStart w:id="136" w:name="_Toc151193762"/>
      <w:r>
        <w:rPr>
          <w:rFonts w:hint="eastAsia" w:ascii="宋体" w:hAnsi="宋体" w:cs="宋体"/>
          <w:color w:val="000000"/>
          <w:sz w:val="24"/>
          <w:highlight w:val="none"/>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cs="宋体"/>
          <w:color w:val="000000"/>
          <w:sz w:val="24"/>
          <w:highlight w:val="none"/>
        </w:rPr>
        <w:t xml:space="preserve">、项目属性、科研仪器设备采购、核心产品</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现场考察、开标前答疑会</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37" w:name="_Toc226337218"/>
      <w:r/>
      <w:bookmarkStart w:id="138" w:name="_Toc265228360"/>
      <w:r/>
      <w:bookmarkStart w:id="139" w:name="_Toc151193910"/>
      <w:r/>
      <w:bookmarkStart w:id="140" w:name="_Toc127151522"/>
      <w:r/>
      <w:bookmarkStart w:id="141" w:name="_Toc151193620"/>
      <w:r/>
      <w:bookmarkStart w:id="142" w:name="_Toc151190149"/>
      <w:r/>
      <w:bookmarkStart w:id="143" w:name="_Toc151193692"/>
      <w:r/>
      <w:bookmarkStart w:id="144" w:name="_Toc150509273"/>
      <w:r/>
      <w:bookmarkStart w:id="145" w:name="_Toc226309766"/>
      <w:r/>
      <w:bookmarkStart w:id="146" w:name="_Toc226965795"/>
      <w:r/>
      <w:bookmarkStart w:id="147" w:name="_Toc195842887"/>
      <w:r/>
      <w:bookmarkStart w:id="148" w:name="_Toc305158790"/>
      <w:r/>
      <w:bookmarkStart w:id="149" w:name="_Toc150774727"/>
      <w:r/>
      <w:bookmarkStart w:id="150" w:name="_Toc151193836"/>
      <w:r/>
      <w:bookmarkStart w:id="151" w:name="_Toc150774622"/>
      <w:r/>
      <w:bookmarkStart w:id="152" w:name="_Toc305158864"/>
      <w:r/>
      <w:bookmarkStart w:id="153" w:name="_Toc226965712"/>
      <w:r/>
      <w:bookmarkStart w:id="154" w:name="_Toc151193764"/>
      <w:r/>
      <w:bookmarkStart w:id="155" w:name="_Toc264969212"/>
      <w:r/>
      <w:bookmarkStart w:id="156" w:name="_Toc142311024"/>
      <w:r/>
      <w:bookmarkStart w:id="157" w:name="_Toc150480760"/>
      <w:r/>
      <w:bookmarkStart w:id="158" w:name="_Toc520356146"/>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样品（本项目不涉及）</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政府采购政策（包括但不限于下列具体政策要求）</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政府采购中实施本国产品标准及相关政策</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本项目对采购本国产品给予政策支持，具体内容见招标文件“评标标准”。</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进口产品（本项目不涉及）</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038"/>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1"/>
          <w:numId w:val="9"/>
        </w:numPr>
        <w:spacing w:line="360" w:lineRule="auto"/>
        <w:shd w:val="clear" w:color="auto" w:fill="auto"/>
        <w:tabs>
          <w:tab w:val="left" w:pos="1589"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1"/>
          <w:numId w:val="9"/>
        </w:numPr>
        <w:spacing w:line="360" w:lineRule="auto"/>
        <w:shd w:val="clear" w:color="auto" w:fill="auto"/>
        <w:tabs>
          <w:tab w:val="left" w:pos="1589"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2"/>
          <w:numId w:val="9"/>
        </w:numPr>
        <w:spacing w:line="360" w:lineRule="auto"/>
        <w:shd w:val="clear" w:color="auto" w:fill="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投标人提供的货物、工程或者服务符合下列情形的，享受中小企业扶持政策：</w:t>
      </w:r>
      <w:r>
        <w:rPr>
          <w:rFonts w:hint="eastAsia" w:ascii="宋体" w:hAnsi="宋体" w:cs="宋体"/>
          <w:color w:val="000000"/>
          <w:sz w:val="24"/>
          <w:highlight w:val="none"/>
        </w:rPr>
      </w:r>
      <w:r/>
    </w:p>
    <w:p>
      <w:pPr>
        <w:pStyle w:val="933"/>
        <w:ind w:left="2835"/>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933"/>
        <w:ind w:left="2835"/>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933"/>
        <w:ind w:left="2835"/>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在货物采购项目中，投标人提供的货物既有中小企业制造货物，也有大型企业制造货物的，不享受中小企业扶持政策。</w:t>
      </w:r>
      <w:r>
        <w:rPr>
          <w:rFonts w:hint="eastAsia" w:ascii="宋体" w:hAnsi="宋体" w:cs="宋体"/>
          <w:color w:val="000000"/>
          <w:sz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038"/>
        <w:numPr>
          <w:ilvl w:val="2"/>
          <w:numId w:val="9"/>
        </w:numPr>
        <w:spacing w:line="360" w:lineRule="auto"/>
        <w:shd w:val="clear" w:color="auto" w:fill="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2"/>
          <w:numId w:val="9"/>
        </w:numPr>
        <w:spacing w:line="360" w:lineRule="auto"/>
        <w:shd w:val="clear" w:color="auto" w:fill="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 (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支持乡村产业振兴管理（本项目不涉及）</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正版软件（本项目不涉及）</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政府采购创新产品政策（本项目不涉及）</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有相应销售业绩，参加政府采购活动时业绩分值为满分。</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绿色采购政策</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hint="eastAsia" w:ascii="宋体" w:hAnsi="宋体" w:cs="宋体"/>
          <w:color w:val="000000"/>
          <w:sz w:val="24"/>
          <w:highlight w:val="none"/>
        </w:rPr>
      </w:r>
      <w:r/>
    </w:p>
    <w:p>
      <w:pPr>
        <w:pStyle w:val="933"/>
        <w:ind w:left="1080"/>
        <w:spacing w:line="360" w:lineRule="auto"/>
        <w:shd w:val="clear" w:color="auto" w:fill="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hint="eastAsia" w:ascii="宋体" w:hAnsi="宋体" w:cs="宋体"/>
          <w:color w:val="000000"/>
          <w:sz w:val="24"/>
          <w:highlight w:val="none"/>
        </w:rPr>
      </w:r>
      <w:r/>
    </w:p>
    <w:p>
      <w:pPr>
        <w:pStyle w:val="933"/>
        <w:ind w:left="1080"/>
        <w:spacing w:line="360" w:lineRule="auto"/>
        <w:shd w:val="clear" w:color="auto" w:fill="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优先使用低挥发性有机化合物产品</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投标费用</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933"/>
        <w:jc w:val="center"/>
        <w:spacing w:line="360" w:lineRule="auto"/>
        <w:shd w:val="clear" w:color="auto" w:fill="auto"/>
        <w:rPr>
          <w:rFonts w:hint="eastAsia" w:ascii="宋体" w:hAnsi="宋体"/>
          <w:b/>
          <w:bCs/>
          <w:color w:val="000000"/>
          <w:sz w:val="28"/>
          <w:szCs w:val="28"/>
          <w:highlight w:val="none"/>
        </w:rPr>
      </w:pPr>
      <w:r/>
      <w:bookmarkStart w:id="159" w:name="_1.8_计量单位"/>
      <w:r/>
      <w:bookmarkEnd w:id="159"/>
      <w:r>
        <w:rPr>
          <w:rFonts w:hint="eastAsia" w:ascii="宋体" w:hAnsi="宋体"/>
          <w:b/>
          <w:bCs/>
          <w:color w:val="000000"/>
          <w:sz w:val="28"/>
          <w:szCs w:val="28"/>
          <w:highlight w:val="none"/>
        </w:rPr>
      </w:r>
      <w:r/>
    </w:p>
    <w:p>
      <w:pPr>
        <w:pStyle w:val="933"/>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二   招标文件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b/>
          <w:bCs/>
          <w:color w:val="000000"/>
          <w:sz w:val="28"/>
          <w:szCs w:val="28"/>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160" w:name="_Toc226965713"/>
      <w:r/>
      <w:bookmarkStart w:id="161" w:name="_Toc150774623"/>
      <w:r/>
      <w:bookmarkStart w:id="162" w:name="_Toc150509274"/>
      <w:r/>
      <w:bookmarkStart w:id="163" w:name="_Toc149720816"/>
      <w:r/>
      <w:bookmarkStart w:id="164" w:name="_Toc151190150"/>
      <w:r/>
      <w:bookmarkStart w:id="165" w:name="_Toc127151523"/>
      <w:r/>
      <w:bookmarkStart w:id="166" w:name="_Toc164351617"/>
      <w:r/>
      <w:bookmarkStart w:id="167" w:name="_Toc164229218"/>
      <w:r/>
      <w:bookmarkStart w:id="168" w:name="_Toc305158865"/>
      <w:r/>
      <w:bookmarkStart w:id="169" w:name="_Toc226337219"/>
      <w:r/>
      <w:bookmarkStart w:id="170" w:name="_Toc151193765"/>
      <w:r/>
      <w:bookmarkStart w:id="171" w:name="_Toc150774728"/>
      <w:r/>
      <w:bookmarkStart w:id="172" w:name="_Toc305158791"/>
      <w:r/>
      <w:bookmarkStart w:id="173" w:name="_Toc151193837"/>
      <w:r/>
      <w:bookmarkStart w:id="174" w:name="_Toc150480761"/>
      <w:r/>
      <w:bookmarkStart w:id="175" w:name="_Toc164608792"/>
      <w:r/>
      <w:bookmarkStart w:id="176" w:name="_Toc164608637"/>
      <w:r/>
      <w:bookmarkStart w:id="177" w:name="_Toc151193911"/>
      <w:r/>
      <w:bookmarkStart w:id="178" w:name="_Toc226309767"/>
      <w:r/>
      <w:bookmarkStart w:id="179" w:name="_Toc195842888"/>
      <w:r/>
      <w:bookmarkStart w:id="180" w:name="_Toc520356147"/>
      <w:r/>
      <w:bookmarkStart w:id="181" w:name="_Toc264969213"/>
      <w:r/>
      <w:bookmarkStart w:id="182" w:name="_Toc226965796"/>
      <w:r/>
      <w:bookmarkStart w:id="183" w:name="_Toc164229364"/>
      <w:r/>
      <w:bookmarkStart w:id="184" w:name="_Toc142311025"/>
      <w:r/>
      <w:bookmarkStart w:id="185" w:name="_Toc151193621"/>
      <w:r/>
      <w:bookmarkStart w:id="186" w:name="_Toc265228361"/>
      <w:r/>
      <w:bookmarkStart w:id="187" w:name="_Toc127161437"/>
      <w:r/>
      <w:bookmarkStart w:id="188" w:name="_Toc151193693"/>
      <w:r/>
      <w:bookmarkStart w:id="189" w:name="_Toc127151724"/>
      <w:r>
        <w:rPr>
          <w:rFonts w:hint="eastAsia" w:ascii="宋体" w:hAnsi="宋体" w:cs="宋体"/>
          <w:color w:val="000000"/>
          <w:sz w:val="24"/>
          <w:highlight w:val="none"/>
        </w:rPr>
        <w:t xml:space="preserve">招标文件构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cs="宋体"/>
          <w:color w:val="000000"/>
          <w:sz w:val="24"/>
          <w:highlight w:val="none"/>
        </w:rPr>
        <w:t xml:space="preserve">成</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933"/>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933"/>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933"/>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933"/>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933"/>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933"/>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933"/>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900" w:leader="none"/>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对招标文件的澄清或修改</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933"/>
        <w:jc w:val="center"/>
        <w:spacing w:line="360" w:lineRule="auto"/>
        <w:shd w:val="clear" w:color="auto" w:fill="auto"/>
        <w:rPr>
          <w:rFonts w:hint="eastAsia" w:ascii="宋体" w:hAnsi="宋体"/>
          <w:b/>
          <w:bCs/>
          <w:color w:val="000000"/>
          <w:sz w:val="28"/>
          <w:szCs w:val="28"/>
          <w:highlight w:val="none"/>
        </w:rPr>
      </w:pPr>
      <w:r/>
      <w:bookmarkStart w:id="190" w:name="_Toc150774626"/>
      <w:r/>
      <w:bookmarkStart w:id="191" w:name="_Toc151193914"/>
      <w:r/>
      <w:bookmarkStart w:id="192" w:name="_Toc151190153"/>
      <w:r/>
      <w:bookmarkStart w:id="193" w:name="_Toc150480764"/>
      <w:r/>
      <w:bookmarkStart w:id="194" w:name="_Toc226309770"/>
      <w:r/>
      <w:bookmarkStart w:id="195" w:name="_Toc305158868"/>
      <w:r/>
      <w:bookmarkStart w:id="196" w:name="_Toc151193696"/>
      <w:r/>
      <w:bookmarkStart w:id="197" w:name="_Toc516367020"/>
      <w:r/>
      <w:bookmarkStart w:id="198" w:name="_Toc264969216"/>
      <w:r/>
      <w:bookmarkStart w:id="199" w:name="_Toc520356150"/>
      <w:r/>
      <w:bookmarkStart w:id="200" w:name="_Toc226965716"/>
      <w:r/>
      <w:bookmarkStart w:id="201" w:name="_Toc265228364"/>
      <w:r/>
      <w:bookmarkStart w:id="202" w:name="_Toc142311028"/>
      <w:r/>
      <w:bookmarkStart w:id="203" w:name="_Toc151193624"/>
      <w:r/>
      <w:bookmarkStart w:id="204" w:name="_Toc195842891"/>
      <w:r/>
      <w:bookmarkStart w:id="205" w:name="_Toc150509277"/>
      <w:r/>
      <w:bookmarkStart w:id="206" w:name="_Toc151193840"/>
      <w:r/>
      <w:bookmarkStart w:id="207" w:name="_Toc305158794"/>
      <w:r/>
      <w:bookmarkStart w:id="208" w:name="_Toc226965799"/>
      <w:r/>
      <w:bookmarkStart w:id="209" w:name="_Toc150774731"/>
      <w:r/>
      <w:bookmarkStart w:id="210" w:name="_Toc226337222"/>
      <w:r/>
      <w:bookmarkStart w:id="211" w:name="_Toc151193768"/>
      <w:r/>
      <w:bookmarkStart w:id="212" w:name="_Toc127151526"/>
      <w:r>
        <w:rPr>
          <w:rFonts w:hint="eastAsia" w:ascii="宋体" w:hAnsi="宋体"/>
          <w:b/>
          <w:bCs/>
          <w:color w:val="000000"/>
          <w:sz w:val="28"/>
          <w:szCs w:val="28"/>
          <w:highlight w:val="none"/>
        </w:rPr>
      </w:r>
      <w:r/>
    </w:p>
    <w:p>
      <w:pPr>
        <w:pStyle w:val="933"/>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三   投标文件</w:t>
      </w:r>
      <w:bookmarkEnd w:id="197"/>
      <w:r>
        <w:rPr>
          <w:rFonts w:hint="eastAsia" w:ascii="宋体" w:hAnsi="宋体"/>
          <w:b/>
          <w:bCs/>
          <w:color w:val="000000"/>
          <w:sz w:val="28"/>
          <w:szCs w:val="28"/>
          <w:highlight w:val="none"/>
        </w:rPr>
        <w:t xml:space="preserve">的编制</w:t>
      </w:r>
      <w:bookmarkEnd w:id="190"/>
      <w:r/>
      <w:bookmarkEnd w:id="191"/>
      <w:r/>
      <w:bookmarkEnd w:id="192"/>
      <w:r/>
      <w:bookmarkEnd w:id="193"/>
      <w:r/>
      <w:bookmarkEnd w:id="194"/>
      <w:r/>
      <w:bookmarkEnd w:id="195"/>
      <w:r/>
      <w:bookmarkEnd w:id="196"/>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hint="eastAsia" w:ascii="宋体" w:hAnsi="宋体"/>
          <w:b/>
          <w:bCs/>
          <w:color w:val="000000"/>
          <w:sz w:val="28"/>
          <w:szCs w:val="28"/>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213" w:name="_Toc151193915"/>
      <w:r/>
      <w:bookmarkStart w:id="214" w:name="_Toc149720820"/>
      <w:r/>
      <w:bookmarkStart w:id="215" w:name="_Toc265228365"/>
      <w:r/>
      <w:bookmarkStart w:id="216" w:name="_Toc226965800"/>
      <w:r/>
      <w:bookmarkStart w:id="217" w:name="_Toc264969217"/>
      <w:r/>
      <w:bookmarkStart w:id="218" w:name="_Toc150774732"/>
      <w:r/>
      <w:bookmarkStart w:id="219" w:name="_Toc150480765"/>
      <w:r/>
      <w:bookmarkStart w:id="220" w:name="_Toc142311029"/>
      <w:r/>
      <w:bookmarkStart w:id="221" w:name="_Toc195842892"/>
      <w:r/>
      <w:bookmarkStart w:id="222" w:name="_Toc226309771"/>
      <w:r/>
      <w:bookmarkStart w:id="223" w:name="_Toc305158869"/>
      <w:r/>
      <w:bookmarkStart w:id="224" w:name="_Toc305158795"/>
      <w:r/>
      <w:bookmarkStart w:id="225" w:name="_Toc520356151"/>
      <w:r/>
      <w:bookmarkStart w:id="226" w:name="_Toc164229222"/>
      <w:r/>
      <w:bookmarkStart w:id="227" w:name="_Toc164608796"/>
      <w:r/>
      <w:bookmarkStart w:id="228" w:name="_Toc127151527"/>
      <w:r/>
      <w:bookmarkStart w:id="229" w:name="_Toc150509278"/>
      <w:r/>
      <w:bookmarkStart w:id="230" w:name="_Toc127161441"/>
      <w:r/>
      <w:bookmarkStart w:id="231" w:name="_Toc226337223"/>
      <w:r/>
      <w:bookmarkStart w:id="232" w:name="_Toc164608641"/>
      <w:r/>
      <w:bookmarkStart w:id="233" w:name="_Toc164229368"/>
      <w:r/>
      <w:bookmarkStart w:id="234" w:name="_Toc164351621"/>
      <w:r/>
      <w:bookmarkStart w:id="235" w:name="_Toc226965717"/>
      <w:r/>
      <w:bookmarkStart w:id="236" w:name="_Toc151193841"/>
      <w:r/>
      <w:bookmarkStart w:id="237" w:name="_Toc150774627"/>
      <w:r/>
      <w:bookmarkStart w:id="238" w:name="_Toc151193625"/>
      <w:r/>
      <w:bookmarkStart w:id="239" w:name="_Toc516367021"/>
      <w:r/>
      <w:bookmarkStart w:id="240" w:name="_Toc127151728"/>
      <w:r/>
      <w:bookmarkStart w:id="241" w:name="_Toc151190154"/>
      <w:r/>
      <w:bookmarkStart w:id="242" w:name="_Toc151193769"/>
      <w:r/>
      <w:bookmarkStart w:id="243" w:name="_Toc151193697"/>
      <w:r>
        <w:rPr>
          <w:rFonts w:hint="eastAsia" w:ascii="宋体" w:hAnsi="宋体" w:cs="宋体"/>
          <w:color w:val="000000"/>
          <w:sz w:val="24"/>
          <w:highlight w:val="none"/>
        </w:rPr>
        <w:t xml:space="preserve">投标范围、投标文件中计量单位的使用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cs="宋体"/>
          <w:color w:val="000000"/>
          <w:sz w:val="24"/>
          <w:highlight w:val="none"/>
        </w:rPr>
        <w:t xml:space="preserve">及投标语言</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244" w:name="_Toc150480766"/>
      <w:r/>
      <w:bookmarkStart w:id="245" w:name="_Toc265228366"/>
      <w:r/>
      <w:bookmarkStart w:id="246" w:name="_Toc164229223"/>
      <w:r/>
      <w:bookmarkStart w:id="247" w:name="_Toc164608797"/>
      <w:r/>
      <w:bookmarkStart w:id="248" w:name="_Toc151190155"/>
      <w:r/>
      <w:bookmarkStart w:id="249" w:name="_Toc226965718"/>
      <w:r/>
      <w:bookmarkStart w:id="250" w:name="_Toc150509279"/>
      <w:r/>
      <w:bookmarkStart w:id="251" w:name="_Toc264969218"/>
      <w:r/>
      <w:bookmarkStart w:id="252" w:name="_Toc151193916"/>
      <w:r/>
      <w:bookmarkStart w:id="253" w:name="_Toc164351622"/>
      <w:r/>
      <w:bookmarkStart w:id="254" w:name="_Toc520356152"/>
      <w:r/>
      <w:bookmarkStart w:id="255" w:name="_Toc164608642"/>
      <w:r/>
      <w:bookmarkStart w:id="256" w:name="_Toc226965801"/>
      <w:r/>
      <w:bookmarkStart w:id="257" w:name="_Toc516367022"/>
      <w:r/>
      <w:bookmarkStart w:id="258" w:name="_Ref467306676"/>
      <w:r/>
      <w:bookmarkStart w:id="259" w:name="_Toc127161442"/>
      <w:r/>
      <w:bookmarkStart w:id="260" w:name="_Ref467306195"/>
      <w:r/>
      <w:bookmarkStart w:id="261" w:name="_Toc151193698"/>
      <w:r/>
      <w:bookmarkStart w:id="262" w:name="_Toc305158796"/>
      <w:r/>
      <w:bookmarkStart w:id="263" w:name="_Toc149720821"/>
      <w:r/>
      <w:bookmarkStart w:id="264" w:name="_Toc127151729"/>
      <w:r/>
      <w:bookmarkStart w:id="265" w:name="_Toc226309772"/>
      <w:r/>
      <w:bookmarkStart w:id="266" w:name="_Toc127151528"/>
      <w:r/>
      <w:bookmarkStart w:id="267" w:name="_Toc151193842"/>
      <w:r/>
      <w:bookmarkStart w:id="268" w:name="_Toc151193626"/>
      <w:r/>
      <w:bookmarkStart w:id="269" w:name="_Toc150774628"/>
      <w:r/>
      <w:bookmarkStart w:id="270" w:name="_Toc195842893"/>
      <w:r/>
      <w:bookmarkStart w:id="271" w:name="_Toc150774733"/>
      <w:r/>
      <w:bookmarkStart w:id="272" w:name="_Toc164229369"/>
      <w:r/>
      <w:bookmarkStart w:id="273" w:name="_Toc151193770"/>
      <w:r/>
      <w:bookmarkStart w:id="274" w:name="_Toc226337224"/>
      <w:r/>
      <w:bookmarkStart w:id="275" w:name="_Toc142311030"/>
      <w:r/>
      <w:bookmarkStart w:id="276" w:name="_Toc305158870"/>
      <w:r>
        <w:rPr>
          <w:rFonts w:hint="eastAsia" w:ascii="宋体" w:hAnsi="宋体" w:cs="宋体"/>
          <w:color w:val="000000"/>
          <w:sz w:val="24"/>
          <w:highlight w:val="none"/>
        </w:rPr>
        <w:t xml:space="preserve">投标文件</w:t>
      </w:r>
      <w:bookmarkEnd w:id="257"/>
      <w:r/>
      <w:bookmarkEnd w:id="258"/>
      <w:r/>
      <w:bookmarkEnd w:id="260"/>
      <w:r>
        <w:rPr>
          <w:rFonts w:hint="eastAsia" w:ascii="宋体" w:hAnsi="宋体" w:cs="宋体"/>
          <w:color w:val="000000"/>
          <w:sz w:val="24"/>
          <w:highlight w:val="none"/>
        </w:rPr>
        <w:t xml:space="preserve">构成</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9"/>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bookmarkStart w:id="277"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77"/>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278" w:name="_Toc127151530"/>
      <w:r/>
      <w:bookmarkStart w:id="279" w:name="_Toc151193628"/>
      <w:r/>
      <w:bookmarkStart w:id="280" w:name="_Toc164351624"/>
      <w:r/>
      <w:bookmarkStart w:id="281" w:name="_Toc149720823"/>
      <w:r/>
      <w:bookmarkStart w:id="282" w:name="_Toc150509281"/>
      <w:r/>
      <w:bookmarkStart w:id="283" w:name="_Toc127151731"/>
      <w:r/>
      <w:bookmarkStart w:id="284" w:name="_Toc151193844"/>
      <w:r/>
      <w:bookmarkStart w:id="285" w:name="_Toc164608644"/>
      <w:r/>
      <w:bookmarkStart w:id="286" w:name="_Toc164229225"/>
      <w:r/>
      <w:bookmarkStart w:id="287" w:name="_Toc164608799"/>
      <w:r/>
      <w:bookmarkStart w:id="288" w:name="_Toc151193918"/>
      <w:r/>
      <w:bookmarkStart w:id="289" w:name="_Toc142311032"/>
      <w:r/>
      <w:bookmarkStart w:id="290" w:name="_Toc151190157"/>
      <w:r/>
      <w:bookmarkStart w:id="291" w:name="_Toc127161444"/>
      <w:r/>
      <w:bookmarkStart w:id="292" w:name="_Toc520356155"/>
      <w:r/>
      <w:bookmarkStart w:id="293" w:name="_Toc150774735"/>
      <w:r/>
      <w:bookmarkStart w:id="294" w:name="_Toc151193772"/>
      <w:r/>
      <w:bookmarkStart w:id="295" w:name="_Toc150480768"/>
      <w:r/>
      <w:bookmarkStart w:id="296" w:name="_Toc164229371"/>
      <w:r/>
      <w:bookmarkStart w:id="297" w:name="_Toc195842895"/>
      <w:r/>
      <w:bookmarkStart w:id="298" w:name="_Toc150774630"/>
      <w:r/>
      <w:bookmarkStart w:id="299" w:name="_Toc151193700"/>
      <w:r>
        <w:rPr>
          <w:rFonts w:hint="eastAsia" w:ascii="宋体" w:hAnsi="宋体" w:cs="宋体"/>
          <w:color w:val="000000"/>
          <w:sz w:val="24"/>
          <w:highlight w:val="none"/>
        </w:rPr>
        <w:t xml:space="preserve">投标报价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投标人的报价应包括为完成本项目所发生的一切费用和税费，采购人将不再支付报价以外的任何费用。投标人的报价应包括但不限于下列内容，《投标人须知资料表》中有特殊规定的，从其规定。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投标货物及标准附件、备品备件、耗材和运至最终目的地的运输费和保险费，检验、安装、调试、测试、技术服务、培训、质量保证、售后服务、税费等按照招标文件要求完成本项目的全部相关费用；</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按照招标文件要求完成本项目的全部相关费用。 </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采购人不得向投标人索要或者接受其给予的赠品、回扣或者与采购无关的其他商品、服务。</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300" w:name="_Toc150480769"/>
      <w:r/>
      <w:bookmarkStart w:id="301" w:name="_Toc264969221"/>
      <w:r/>
      <w:bookmarkStart w:id="302" w:name="_Toc164351625"/>
      <w:r/>
      <w:bookmarkStart w:id="303" w:name="_Toc127161445"/>
      <w:r/>
      <w:bookmarkStart w:id="304" w:name="_Toc151193773"/>
      <w:r/>
      <w:bookmarkStart w:id="305" w:name="_Toc226965721"/>
      <w:r/>
      <w:bookmarkStart w:id="306" w:name="_Toc164229226"/>
      <w:r/>
      <w:bookmarkStart w:id="307" w:name="_Toc305158873"/>
      <w:r/>
      <w:bookmarkStart w:id="308" w:name="_Toc150774736"/>
      <w:r/>
      <w:bookmarkStart w:id="309" w:name="_Toc142311033"/>
      <w:r/>
      <w:bookmarkStart w:id="310" w:name="_Toc151193845"/>
      <w:r/>
      <w:bookmarkStart w:id="311" w:name="_Toc151193701"/>
      <w:r/>
      <w:bookmarkStart w:id="312" w:name="_Toc127151531"/>
      <w:r/>
      <w:bookmarkStart w:id="313" w:name="_Toc151193919"/>
      <w:r/>
      <w:bookmarkStart w:id="314" w:name="_Toc226337227"/>
      <w:r/>
      <w:bookmarkStart w:id="315" w:name="_Toc164229372"/>
      <w:r/>
      <w:bookmarkStart w:id="316" w:name="_Toc226965804"/>
      <w:r/>
      <w:bookmarkStart w:id="317" w:name="_Toc127151732"/>
      <w:r/>
      <w:bookmarkStart w:id="318" w:name="_Toc226309775"/>
      <w:r/>
      <w:bookmarkStart w:id="319" w:name="_Toc195842896"/>
      <w:r/>
      <w:bookmarkStart w:id="320" w:name="_Toc150774631"/>
      <w:r/>
      <w:bookmarkStart w:id="321" w:name="_Toc164608800"/>
      <w:r/>
      <w:bookmarkStart w:id="322" w:name="_Toc151193629"/>
      <w:r/>
      <w:bookmarkStart w:id="323" w:name="_Toc164608645"/>
      <w:r/>
      <w:bookmarkStart w:id="324" w:name="_Toc520356156"/>
      <w:r/>
      <w:bookmarkStart w:id="325" w:name="_Toc149720824"/>
      <w:r/>
      <w:bookmarkStart w:id="326" w:name="_Toc305158799"/>
      <w:r/>
      <w:bookmarkStart w:id="327" w:name="_Ref467306513"/>
      <w:r/>
      <w:bookmarkStart w:id="328" w:name="_Toc151190158"/>
      <w:r/>
      <w:bookmarkStart w:id="329" w:name="_Toc150509282"/>
      <w:r/>
      <w:bookmarkStart w:id="330" w:name="_Toc265228369"/>
      <w:r>
        <w:rPr>
          <w:rFonts w:hint="eastAsia" w:ascii="宋体" w:hAnsi="宋体" w:cs="宋体"/>
          <w:color w:val="000000"/>
          <w:sz w:val="24"/>
          <w:highlight w:val="none"/>
        </w:rPr>
        <w:t xml:space="preserve">投标保证金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cs="宋体"/>
          <w:color w:val="000000"/>
          <w:sz w:val="24"/>
          <w:highlight w:val="none"/>
        </w:rPr>
      </w:r>
      <w:r/>
    </w:p>
    <w:p>
      <w:pPr>
        <w:pStyle w:val="933"/>
        <w:ind w:left="357"/>
        <w:spacing w:line="360" w:lineRule="auto"/>
        <w:shd w:val="clear" w:color="auto" w:fill="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331" w:name="_Toc127151733"/>
      <w:r/>
      <w:bookmarkStart w:id="332" w:name="_Toc305158874"/>
      <w:r/>
      <w:bookmarkStart w:id="333" w:name="_Toc520356157"/>
      <w:r/>
      <w:bookmarkStart w:id="334" w:name="_Toc305158800"/>
      <w:r/>
      <w:bookmarkStart w:id="335" w:name="_Toc150509283"/>
      <w:r/>
      <w:bookmarkStart w:id="336" w:name="_Toc127151532"/>
      <w:r/>
      <w:bookmarkStart w:id="337" w:name="_Toc226965722"/>
      <w:r/>
      <w:bookmarkStart w:id="338" w:name="_Toc150774632"/>
      <w:r/>
      <w:bookmarkStart w:id="339" w:name="_Toc150774737"/>
      <w:r/>
      <w:bookmarkStart w:id="340" w:name="_Toc164608646"/>
      <w:r/>
      <w:bookmarkStart w:id="341" w:name="_Toc226965805"/>
      <w:r/>
      <w:bookmarkStart w:id="342" w:name="_Toc151193846"/>
      <w:r/>
      <w:bookmarkStart w:id="343" w:name="_Toc142311034"/>
      <w:r/>
      <w:bookmarkStart w:id="344" w:name="_Toc151193774"/>
      <w:r/>
      <w:bookmarkStart w:id="345" w:name="_Toc127161446"/>
      <w:r/>
      <w:bookmarkStart w:id="346" w:name="_Toc164608801"/>
      <w:r/>
      <w:bookmarkStart w:id="347" w:name="_Toc151193630"/>
      <w:r/>
      <w:bookmarkStart w:id="348" w:name="_Toc164351626"/>
      <w:r/>
      <w:bookmarkStart w:id="349" w:name="_Toc265228370"/>
      <w:r/>
      <w:bookmarkStart w:id="350" w:name="_Toc195842897"/>
      <w:r/>
      <w:bookmarkStart w:id="351" w:name="_Toc151193920"/>
      <w:r/>
      <w:bookmarkStart w:id="352" w:name="_Toc151190159"/>
      <w:r/>
      <w:bookmarkStart w:id="353" w:name="_Toc151193702"/>
      <w:r/>
      <w:bookmarkStart w:id="354" w:name="_Toc264969222"/>
      <w:r/>
      <w:bookmarkStart w:id="355" w:name="_Toc226309776"/>
      <w:r/>
      <w:bookmarkStart w:id="356" w:name="_Toc226337228"/>
      <w:r/>
      <w:bookmarkStart w:id="357" w:name="_Toc150480770"/>
      <w:r/>
      <w:bookmarkStart w:id="358" w:name="_Toc149720825"/>
      <w:r/>
      <w:bookmarkStart w:id="359" w:name="_Toc164229227"/>
      <w:r/>
      <w:bookmarkStart w:id="360" w:name="_Toc164229373"/>
      <w:r>
        <w:rPr>
          <w:rFonts w:hint="eastAsia" w:ascii="宋体" w:hAnsi="宋体" w:cs="宋体"/>
          <w:color w:val="000000"/>
          <w:sz w:val="24"/>
          <w:highlight w:val="none"/>
        </w:rPr>
        <w:t xml:space="preserve">投标有效期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投标文件的签署、加盖公章</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bookmarkStart w:id="361" w:name="_Toc151193776"/>
      <w:r/>
      <w:bookmarkStart w:id="362" w:name="_Toc151193632"/>
      <w:r/>
      <w:bookmarkStart w:id="363" w:name="_Toc226309778"/>
      <w:r/>
      <w:bookmarkStart w:id="364" w:name="_Toc127151534"/>
      <w:r/>
      <w:bookmarkStart w:id="365" w:name="_Toc150774634"/>
      <w:r/>
      <w:bookmarkStart w:id="366" w:name="_Toc151193922"/>
      <w:r/>
      <w:bookmarkStart w:id="367" w:name="_Toc520356159"/>
      <w:r/>
      <w:bookmarkStart w:id="368" w:name="_Toc226965807"/>
      <w:r/>
      <w:bookmarkStart w:id="369" w:name="_Toc150509285"/>
      <w:r/>
      <w:bookmarkStart w:id="370" w:name="_Toc265228372"/>
      <w:r/>
      <w:bookmarkStart w:id="371" w:name="_Toc226965724"/>
      <w:r/>
      <w:bookmarkStart w:id="372" w:name="_Toc151193848"/>
      <w:r/>
      <w:bookmarkStart w:id="373" w:name="_Toc226337230"/>
      <w:r/>
      <w:bookmarkStart w:id="374" w:name="_Toc305158876"/>
      <w:r/>
      <w:bookmarkStart w:id="375" w:name="_Toc305158802"/>
      <w:r/>
      <w:bookmarkStart w:id="376" w:name="_Toc264969224"/>
      <w:r/>
      <w:bookmarkStart w:id="377" w:name="_Toc142311036"/>
      <w:r/>
      <w:bookmarkStart w:id="378" w:name="_Toc150774739"/>
      <w:r/>
      <w:bookmarkStart w:id="379" w:name="_Toc151193704"/>
      <w:r/>
      <w:bookmarkStart w:id="380" w:name="_Toc150480772"/>
      <w:r/>
      <w:bookmarkStart w:id="381" w:name="_Toc195842899"/>
      <w:r/>
      <w:bookmarkStart w:id="382" w:name="_Toc151190161"/>
      <w:r>
        <w:rPr>
          <w:color w:val="000000"/>
          <w:sz w:val="24"/>
          <w:highlight w:val="none"/>
        </w:rPr>
        <w:t xml:space="preserve">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933"/>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33"/>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四   投标文件的提交</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b/>
          <w:bCs/>
          <w:color w:val="000000"/>
          <w:sz w:val="28"/>
          <w:szCs w:val="28"/>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383" w:name="_Toc127151535"/>
      <w:r/>
      <w:bookmarkStart w:id="384" w:name="_Toc142311037"/>
      <w:r/>
      <w:bookmarkStart w:id="385" w:name="_Toc150774635"/>
      <w:r/>
      <w:bookmarkStart w:id="386" w:name="_Toc164351629"/>
      <w:r/>
      <w:bookmarkStart w:id="387" w:name="_Toc226337231"/>
      <w:r/>
      <w:bookmarkStart w:id="388" w:name="_Toc305158803"/>
      <w:r/>
      <w:bookmarkStart w:id="389" w:name="_Toc164608649"/>
      <w:r/>
      <w:bookmarkStart w:id="390" w:name="_Toc151193849"/>
      <w:r/>
      <w:bookmarkStart w:id="391" w:name="_Toc264969225"/>
      <w:r/>
      <w:bookmarkStart w:id="392" w:name="_Toc195842900"/>
      <w:r/>
      <w:bookmarkStart w:id="393" w:name="_Toc151190162"/>
      <w:r/>
      <w:bookmarkStart w:id="394" w:name="_Toc151193705"/>
      <w:r/>
      <w:bookmarkStart w:id="395" w:name="_Toc226309779"/>
      <w:r/>
      <w:bookmarkStart w:id="396" w:name="_Toc150509286"/>
      <w:r/>
      <w:bookmarkStart w:id="397" w:name="_Toc520356160"/>
      <w:r/>
      <w:bookmarkStart w:id="398" w:name="_Toc305158877"/>
      <w:r/>
      <w:bookmarkStart w:id="399" w:name="_Toc226965808"/>
      <w:r/>
      <w:bookmarkStart w:id="400" w:name="_Toc149720828"/>
      <w:r/>
      <w:bookmarkStart w:id="401" w:name="_Toc127151736"/>
      <w:r/>
      <w:bookmarkStart w:id="402" w:name="_Toc151193777"/>
      <w:r/>
      <w:bookmarkStart w:id="403" w:name="_Toc164229230"/>
      <w:r/>
      <w:bookmarkStart w:id="404" w:name="_Toc226965725"/>
      <w:r/>
      <w:bookmarkStart w:id="405" w:name="_Toc265228373"/>
      <w:r/>
      <w:bookmarkStart w:id="406" w:name="_Toc151193923"/>
      <w:r/>
      <w:bookmarkStart w:id="407" w:name="_Toc150480773"/>
      <w:r/>
      <w:bookmarkStart w:id="408" w:name="_Toc150774740"/>
      <w:r/>
      <w:bookmarkStart w:id="409" w:name="_Toc164608804"/>
      <w:r/>
      <w:bookmarkStart w:id="410" w:name="_Toc127161449"/>
      <w:r/>
      <w:bookmarkStart w:id="411" w:name="_Toc151193633"/>
      <w:r/>
      <w:bookmarkStart w:id="412" w:name="_Toc164229376"/>
      <w:r>
        <w:rPr>
          <w:rFonts w:hint="eastAsia" w:ascii="宋体" w:hAnsi="宋体" w:cs="宋体"/>
          <w:color w:val="000000"/>
          <w:sz w:val="24"/>
          <w:highlight w:val="none"/>
        </w:rPr>
        <w:t xml:space="preserve">投标文件的</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cs="宋体"/>
          <w:color w:val="000000"/>
          <w:sz w:val="24"/>
          <w:highlight w:val="none"/>
        </w:rPr>
        <w:t xml:space="preserve">提交</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bookmarkStart w:id="413" w:name="_Toc151190163"/>
      <w:r/>
      <w:bookmarkStart w:id="414" w:name="_Toc305158878"/>
      <w:r/>
      <w:bookmarkStart w:id="415" w:name="_Toc305158804"/>
      <w:r/>
      <w:bookmarkStart w:id="416" w:name="_Toc520356161"/>
      <w:r/>
      <w:bookmarkStart w:id="417" w:name="_Toc151193706"/>
      <w:r/>
      <w:bookmarkStart w:id="418" w:name="_Toc265228374"/>
      <w:r/>
      <w:bookmarkStart w:id="419" w:name="_Toc150509287"/>
      <w:r/>
      <w:bookmarkStart w:id="420" w:name="_Toc164229231"/>
      <w:r/>
      <w:bookmarkStart w:id="421" w:name="_Toc151193778"/>
      <w:r/>
      <w:bookmarkStart w:id="422" w:name="_Toc150480774"/>
      <w:r/>
      <w:bookmarkStart w:id="423" w:name="_Toc264969226"/>
      <w:r/>
      <w:bookmarkStart w:id="424" w:name="_Toc150774636"/>
      <w:r/>
      <w:bookmarkStart w:id="425" w:name="_Toc226965809"/>
      <w:r/>
      <w:bookmarkStart w:id="426" w:name="_Toc226965726"/>
      <w:r/>
      <w:bookmarkStart w:id="427" w:name="_Toc151193850"/>
      <w:r/>
      <w:bookmarkStart w:id="428" w:name="_Toc149720829"/>
      <w:r/>
      <w:bookmarkStart w:id="429" w:name="_Toc150774741"/>
      <w:r/>
      <w:bookmarkStart w:id="430" w:name="_Toc164608650"/>
      <w:r/>
      <w:bookmarkStart w:id="431" w:name="_Toc151193634"/>
      <w:r/>
      <w:bookmarkStart w:id="432" w:name="_Toc142311038"/>
      <w:r/>
      <w:bookmarkStart w:id="433" w:name="_Toc164351630"/>
      <w:r/>
      <w:bookmarkStart w:id="434" w:name="_Toc151193924"/>
      <w:r/>
      <w:bookmarkStart w:id="435" w:name="_Toc226337232"/>
      <w:r/>
      <w:bookmarkStart w:id="436" w:name="_Toc164608805"/>
      <w:r/>
      <w:bookmarkStart w:id="437" w:name="_Toc127151536"/>
      <w:r/>
      <w:bookmarkStart w:id="438" w:name="_Toc127161450"/>
      <w:r/>
      <w:bookmarkStart w:id="439" w:name="_Toc195842901"/>
      <w:r/>
      <w:bookmarkStart w:id="440" w:name="_Toc226309780"/>
      <w:r/>
      <w:bookmarkStart w:id="441" w:name="_Toc164229377"/>
      <w:r/>
      <w:bookmarkStart w:id="442" w:name="_Toc127151737"/>
      <w:r>
        <w:rPr>
          <w:color w:val="000000"/>
          <w:sz w:val="24"/>
          <w:highlight w:val="none"/>
        </w:rPr>
        <w:t xml:space="preserve">本项目使用</w:t>
      </w:r>
      <w:r>
        <w:rPr>
          <w:rFonts w:hint="eastAsia"/>
          <w:color w:val="000000"/>
          <w:sz w:val="24"/>
          <w:highlight w:val="none"/>
          <w:lang w:bidi="ar"/>
        </w:rPr>
        <w:t xml:space="preserve">“苏采云”政府采购一体化平台</w:t>
      </w:r>
      <w:r>
        <w:rPr>
          <w:color w:val="000000"/>
          <w:sz w:val="24"/>
          <w:highlight w:val="none"/>
        </w:rPr>
        <w:t xml:space="preserve">。投标人根据招标文件及</w:t>
      </w:r>
      <w:r>
        <w:rPr>
          <w:rFonts w:hint="eastAsia"/>
          <w:color w:val="000000"/>
          <w:sz w:val="24"/>
          <w:highlight w:val="none"/>
          <w:lang w:bidi="ar"/>
        </w:rPr>
        <w:t xml:space="preserve">“苏采云”政府采购一体化平台</w:t>
      </w:r>
      <w:r>
        <w:rPr>
          <w:rFonts w:hint="eastAsia" w:ascii="宋体" w:hAnsi="宋体" w:cs="宋体"/>
          <w:color w:val="000000"/>
          <w:sz w:val="24"/>
          <w:highlight w:val="none"/>
        </w:rPr>
        <w:t xml:space="preserve">供应商</w:t>
      </w:r>
      <w:r>
        <w:rPr>
          <w:color w:val="000000"/>
          <w:sz w:val="24"/>
          <w:highlight w:val="none"/>
        </w:rPr>
        <w:t xml:space="preserve">操作手册要求编制、生成并提交电子投标文件。</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w:t>
      </w:r>
      <w:r>
        <w:rPr>
          <w:rFonts w:hint="eastAsia"/>
          <w:color w:val="000000"/>
          <w:sz w:val="24"/>
          <w:highlight w:val="none"/>
        </w:rPr>
        <w:t xml:space="preserve">“苏采云”政府采购一体化平台</w:t>
      </w:r>
      <w:r>
        <w:rPr>
          <w:color w:val="000000"/>
          <w:sz w:val="24"/>
          <w:highlight w:val="none"/>
        </w:rPr>
        <w:t xml:space="preserve">以外任何形式提交的投标文件。</w:t>
      </w:r>
      <w:r>
        <w:rPr>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cs="宋体"/>
          <w:color w:val="000000"/>
          <w:sz w:val="24"/>
          <w:highlight w:val="none"/>
        </w:rPr>
        <w:t xml:space="preserve">时间</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bookmarkStart w:id="443" w:name="_Toc226965810"/>
      <w:r/>
      <w:bookmarkStart w:id="444" w:name="_Toc127151537"/>
      <w:r/>
      <w:bookmarkStart w:id="445" w:name="_Toc226965727"/>
      <w:r/>
      <w:bookmarkStart w:id="446" w:name="_Toc265228375"/>
      <w:r/>
      <w:bookmarkStart w:id="447" w:name="_Toc142311039"/>
      <w:r/>
      <w:bookmarkStart w:id="448" w:name="_Toc151190164"/>
      <w:r/>
      <w:bookmarkStart w:id="449" w:name="_Toc150509288"/>
      <w:r/>
      <w:bookmarkStart w:id="450" w:name="_Toc305158805"/>
      <w:r/>
      <w:bookmarkStart w:id="451" w:name="_Toc151193925"/>
      <w:r/>
      <w:bookmarkStart w:id="452" w:name="_Toc150774742"/>
      <w:r/>
      <w:bookmarkStart w:id="453" w:name="_Toc151193707"/>
      <w:r/>
      <w:bookmarkStart w:id="454" w:name="_Toc226309781"/>
      <w:r/>
      <w:bookmarkStart w:id="455" w:name="_Toc164351631"/>
      <w:r/>
      <w:bookmarkStart w:id="456" w:name="_Toc151193851"/>
      <w:r/>
      <w:bookmarkStart w:id="457" w:name="_Toc226337233"/>
      <w:r/>
      <w:bookmarkStart w:id="458" w:name="_Toc127161451"/>
      <w:r/>
      <w:bookmarkStart w:id="459" w:name="_Toc151193779"/>
      <w:r/>
      <w:bookmarkStart w:id="460" w:name="_Toc164229232"/>
      <w:r/>
      <w:bookmarkStart w:id="461" w:name="_Toc150480775"/>
      <w:r/>
      <w:bookmarkStart w:id="462" w:name="_Toc164608806"/>
      <w:r/>
      <w:bookmarkStart w:id="463" w:name="_Toc127151738"/>
      <w:r/>
      <w:bookmarkStart w:id="464" w:name="_Toc195842902"/>
      <w:r/>
      <w:bookmarkStart w:id="465" w:name="_Toc164608651"/>
      <w:r/>
      <w:bookmarkStart w:id="466" w:name="_Toc264969227"/>
      <w:r/>
      <w:bookmarkStart w:id="467" w:name="_Toc149720830"/>
      <w:r/>
      <w:bookmarkStart w:id="468" w:name="_Toc164229378"/>
      <w:r/>
      <w:bookmarkStart w:id="469" w:name="_Toc305158879"/>
      <w:r/>
      <w:bookmarkStart w:id="470" w:name="_Toc520356162"/>
      <w:r/>
      <w:bookmarkStart w:id="471" w:name="_Toc150774637"/>
      <w:r/>
      <w:bookmarkStart w:id="472" w:name="_Toc151193635"/>
      <w:r>
        <w:rPr>
          <w:color w:val="000000"/>
          <w:sz w:val="24"/>
          <w:highlight w:val="none"/>
        </w:rPr>
        <w:t xml:space="preserve">投标人应在招标文件要求提交投标文件截止时间前，将电子投标文件提交至</w:t>
      </w:r>
      <w:r>
        <w:rPr>
          <w:rFonts w:hint="eastAsia"/>
          <w:color w:val="000000"/>
          <w:sz w:val="24"/>
          <w:highlight w:val="none"/>
        </w:rPr>
        <w:t xml:space="preserve">“苏采云”政府采购一体化平台</w:t>
      </w:r>
      <w:r>
        <w:rPr>
          <w:color w:val="000000"/>
          <w:sz w:val="24"/>
          <w:highlight w:val="none"/>
        </w:rPr>
        <w:t xml:space="preserve">。</w:t>
      </w:r>
      <w:r>
        <w:rPr>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投标截止时间前，投标人可以通过</w:t>
      </w:r>
      <w:r>
        <w:rPr>
          <w:rFonts w:hint="eastAsia"/>
          <w:color w:val="000000"/>
          <w:sz w:val="24"/>
          <w:highlight w:val="none"/>
        </w:rPr>
        <w:t xml:space="preserve">“苏采云”政府采购一体化平台</w:t>
      </w:r>
      <w:r>
        <w:rPr>
          <w:color w:val="000000"/>
          <w:sz w:val="24"/>
          <w:highlight w:val="none"/>
        </w:rPr>
        <w:t xml:space="preserve">对所提交的投标文件进行补充、修改或者撤回。</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r>
        <w:rPr>
          <w:color w:val="000000"/>
          <w:sz w:val="24"/>
          <w:highlight w:val="none"/>
        </w:rPr>
      </w:r>
      <w:r/>
    </w:p>
    <w:p>
      <w:pPr>
        <w:pStyle w:val="933"/>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33"/>
        <w:jc w:val="center"/>
        <w:spacing w:line="360" w:lineRule="auto"/>
        <w:shd w:val="clear" w:color="auto" w:fill="auto"/>
        <w:rPr>
          <w:rFonts w:hint="eastAsia" w:ascii="宋体" w:hAnsi="宋体"/>
          <w:b/>
          <w:bCs/>
          <w:color w:val="000000"/>
          <w:sz w:val="28"/>
          <w:szCs w:val="28"/>
          <w:highlight w:val="none"/>
        </w:rPr>
      </w:pPr>
      <w:r/>
      <w:bookmarkStart w:id="473" w:name="_Toc195842903"/>
      <w:r/>
      <w:bookmarkStart w:id="474" w:name="_Toc226309782"/>
      <w:r/>
      <w:bookmarkStart w:id="475" w:name="_Toc305158880"/>
      <w:r/>
      <w:bookmarkStart w:id="476" w:name="_Toc151193708"/>
      <w:r/>
      <w:bookmarkStart w:id="477" w:name="_Toc226337234"/>
      <w:r/>
      <w:bookmarkStart w:id="478" w:name="_Toc226965811"/>
      <w:r/>
      <w:bookmarkStart w:id="479" w:name="_Toc151190165"/>
      <w:r/>
      <w:bookmarkStart w:id="480" w:name="_Toc151193636"/>
      <w:r/>
      <w:bookmarkStart w:id="481" w:name="_Toc150774743"/>
      <w:r/>
      <w:bookmarkStart w:id="482" w:name="_Toc305158806"/>
      <w:r/>
      <w:bookmarkStart w:id="483" w:name="_Toc520356163"/>
      <w:r/>
      <w:bookmarkStart w:id="484" w:name="_Toc142311040"/>
      <w:r/>
      <w:bookmarkStart w:id="485" w:name="_Toc151193852"/>
      <w:r/>
      <w:bookmarkStart w:id="486" w:name="_Toc265228376"/>
      <w:r/>
      <w:bookmarkStart w:id="487" w:name="_Toc151193926"/>
      <w:r/>
      <w:bookmarkStart w:id="488" w:name="_Toc151193780"/>
      <w:r/>
      <w:bookmarkStart w:id="489" w:name="_Toc264969228"/>
      <w:r/>
      <w:bookmarkStart w:id="490" w:name="_Toc127151538"/>
      <w:r/>
      <w:bookmarkStart w:id="491" w:name="_Toc226965728"/>
      <w:r/>
      <w:bookmarkStart w:id="492" w:name="_Toc150480776"/>
      <w:r/>
      <w:bookmarkStart w:id="493" w:name="_Toc150509289"/>
      <w:r/>
      <w:bookmarkStart w:id="494" w:name="_Toc150774638"/>
      <w:r>
        <w:rPr>
          <w:rFonts w:hint="eastAsia" w:ascii="宋体" w:hAnsi="宋体"/>
          <w:b/>
          <w:bCs/>
          <w:color w:val="000000"/>
          <w:sz w:val="28"/>
          <w:szCs w:val="28"/>
          <w:highlight w:val="none"/>
        </w:rPr>
        <w:t xml:space="preserve">五   开标、资格审查及评标</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b/>
          <w:bCs/>
          <w:color w:val="000000"/>
          <w:sz w:val="28"/>
          <w:szCs w:val="28"/>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495" w:name="_Toc226965812"/>
      <w:r/>
      <w:bookmarkStart w:id="496" w:name="_Toc164229380"/>
      <w:r/>
      <w:bookmarkStart w:id="497" w:name="_Toc151193781"/>
      <w:r/>
      <w:bookmarkStart w:id="498" w:name="_Toc150480777"/>
      <w:r/>
      <w:bookmarkStart w:id="499" w:name="_Toc151193709"/>
      <w:r/>
      <w:bookmarkStart w:id="500" w:name="_Toc164608808"/>
      <w:r/>
      <w:bookmarkStart w:id="501" w:name="_Toc164608653"/>
      <w:r/>
      <w:bookmarkStart w:id="502" w:name="_Toc264969229"/>
      <w:r/>
      <w:bookmarkStart w:id="503" w:name="_Toc151193637"/>
      <w:r/>
      <w:bookmarkStart w:id="504" w:name="_Toc226337235"/>
      <w:r/>
      <w:bookmarkStart w:id="505" w:name="_Toc151193853"/>
      <w:r/>
      <w:bookmarkStart w:id="506" w:name="_Toc127151539"/>
      <w:r/>
      <w:bookmarkStart w:id="507" w:name="_Toc195842904"/>
      <w:r/>
      <w:bookmarkStart w:id="508" w:name="_Toc305158807"/>
      <w:r/>
      <w:bookmarkStart w:id="509" w:name="_Toc150774744"/>
      <w:r/>
      <w:bookmarkStart w:id="510" w:name="_Toc150509290"/>
      <w:r/>
      <w:bookmarkStart w:id="511" w:name="_Toc127161453"/>
      <w:r/>
      <w:bookmarkStart w:id="512" w:name="_Toc305158881"/>
      <w:r/>
      <w:bookmarkStart w:id="513" w:name="_Toc150774639"/>
      <w:r/>
      <w:bookmarkStart w:id="514" w:name="_Toc142311041"/>
      <w:r/>
      <w:bookmarkStart w:id="515" w:name="_Toc226965729"/>
      <w:r/>
      <w:bookmarkStart w:id="516" w:name="_Toc151190166"/>
      <w:r/>
      <w:bookmarkStart w:id="517" w:name="_Toc265228377"/>
      <w:r/>
      <w:bookmarkStart w:id="518" w:name="_Toc226309783"/>
      <w:r/>
      <w:bookmarkStart w:id="519" w:name="_Toc164229234"/>
      <w:r/>
      <w:bookmarkStart w:id="520" w:name="_Toc149720832"/>
      <w:r/>
      <w:bookmarkStart w:id="521" w:name="_Toc164351633"/>
      <w:r/>
      <w:bookmarkStart w:id="522" w:name="_Toc151193927"/>
      <w:r/>
      <w:bookmarkStart w:id="523" w:name="_Toc127151740"/>
      <w:r/>
      <w:bookmarkStart w:id="524" w:name="_Toc520356164"/>
      <w:r>
        <w:rPr>
          <w:rFonts w:hint="eastAsia" w:ascii="宋体" w:hAnsi="宋体" w:cs="宋体"/>
          <w:color w:val="000000"/>
          <w:sz w:val="24"/>
          <w:highlight w:val="none"/>
        </w:rPr>
        <w:t xml:space="preserve">开标</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bookmarkStart w:id="525" w:name="_Toc520356165"/>
      <w:r>
        <w:rPr>
          <w:color w:val="000000"/>
          <w:sz w:val="24"/>
          <w:highlight w:val="none"/>
        </w:rPr>
        <w:t xml:space="preserve">采购人或采购代理机构将按招标文件的规定，在投标截止时间的同一时间和招标文件预先确定的地点组织开标。</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投标人不足3家的，不予开标。</w:t>
      </w:r>
      <w:r>
        <w:rPr>
          <w:rFonts w:hint="eastAsia"/>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投标人</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933"/>
        <w:ind w:left="357" w:firstLine="84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933"/>
        <w:ind w:left="357" w:firstLine="84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933"/>
        <w:ind w:left="357" w:firstLine="84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933"/>
        <w:ind w:left="357" w:firstLine="840"/>
        <w:spacing w:line="360" w:lineRule="auto"/>
        <w:shd w:val="clear" w:color="auto" w:fill="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933"/>
        <w:ind w:left="1134"/>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End w:id="525"/>
      <w:r/>
      <w:bookmarkStart w:id="526" w:name="_Toc127151741"/>
      <w:r/>
      <w:bookmarkStart w:id="527" w:name="_Toc265228378"/>
      <w:r/>
      <w:bookmarkStart w:id="528" w:name="_Toc142311042"/>
      <w:r/>
      <w:bookmarkStart w:id="529" w:name="_Toc164229235"/>
      <w:r/>
      <w:bookmarkStart w:id="530" w:name="_Toc151193638"/>
      <w:r/>
      <w:bookmarkStart w:id="531" w:name="_Toc149720833"/>
      <w:r/>
      <w:bookmarkStart w:id="532" w:name="_Toc305158882"/>
      <w:r/>
      <w:bookmarkStart w:id="533" w:name="_Toc150509291"/>
      <w:r/>
      <w:bookmarkStart w:id="534" w:name="_Toc151193710"/>
      <w:r/>
      <w:bookmarkStart w:id="535" w:name="_Toc226337236"/>
      <w:r/>
      <w:bookmarkStart w:id="536" w:name="_Toc150480778"/>
      <w:r/>
      <w:bookmarkStart w:id="537" w:name="_Toc150774640"/>
      <w:r/>
      <w:bookmarkStart w:id="538" w:name="_Toc127161454"/>
      <w:r/>
      <w:bookmarkStart w:id="539" w:name="_Toc164608654"/>
      <w:r/>
      <w:bookmarkStart w:id="540" w:name="_Toc151190167"/>
      <w:r/>
      <w:bookmarkStart w:id="541" w:name="_Toc151193928"/>
      <w:r/>
      <w:bookmarkStart w:id="542" w:name="_Toc226309784"/>
      <w:r/>
      <w:bookmarkStart w:id="543" w:name="_Toc151193782"/>
      <w:r/>
      <w:bookmarkStart w:id="544" w:name="_Toc195842905"/>
      <w:r/>
      <w:bookmarkStart w:id="545" w:name="_Toc164229381"/>
      <w:r/>
      <w:bookmarkStart w:id="546" w:name="_Toc164351634"/>
      <w:r/>
      <w:bookmarkStart w:id="547" w:name="_Toc151193854"/>
      <w:r/>
      <w:bookmarkStart w:id="548" w:name="_Toc164608809"/>
      <w:r/>
      <w:bookmarkStart w:id="549" w:name="_Toc226965813"/>
      <w:r/>
      <w:bookmarkStart w:id="550" w:name="_Toc305158808"/>
      <w:r/>
      <w:bookmarkStart w:id="551" w:name="_Toc150774745"/>
      <w:r/>
      <w:bookmarkStart w:id="552" w:name="_Toc264969230"/>
      <w:r/>
      <w:bookmarkStart w:id="553" w:name="_Toc226965730"/>
      <w:r/>
      <w:bookmarkStart w:id="554" w:name="_Toc127151540"/>
      <w:r>
        <w:rPr>
          <w:rFonts w:hint="eastAsia" w:ascii="宋体" w:hAnsi="宋体" w:cs="宋体"/>
          <w:color w:val="000000"/>
          <w:sz w:val="24"/>
          <w:highlight w:val="none"/>
        </w:rPr>
        <w:t xml:space="preserve">评标委员会</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55" w:name="_Toc520356166"/>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55"/>
      <w:r/>
      <w:bookmarkStart w:id="556" w:name="_Toc520356169"/>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933"/>
        <w:jc w:val="center"/>
        <w:spacing w:line="360" w:lineRule="auto"/>
        <w:shd w:val="clear" w:color="auto" w:fill="auto"/>
        <w:rPr>
          <w:rFonts w:hint="eastAsia" w:ascii="宋体" w:hAnsi="宋体"/>
          <w:b/>
          <w:bCs/>
          <w:color w:val="000000"/>
          <w:sz w:val="28"/>
          <w:szCs w:val="28"/>
          <w:highlight w:val="none"/>
        </w:rPr>
      </w:pPr>
      <w:r/>
      <w:bookmarkStart w:id="557" w:name="_Toc151193715"/>
      <w:r/>
      <w:bookmarkStart w:id="558" w:name="_Toc226965818"/>
      <w:r/>
      <w:bookmarkStart w:id="559" w:name="_Toc265228383"/>
      <w:r/>
      <w:bookmarkStart w:id="560" w:name="_Toc151190172"/>
      <w:r/>
      <w:bookmarkStart w:id="561" w:name="_Toc226965735"/>
      <w:r/>
      <w:bookmarkStart w:id="562" w:name="_Toc226337241"/>
      <w:r/>
      <w:bookmarkStart w:id="563" w:name="_Toc150774750"/>
      <w:r/>
      <w:bookmarkStart w:id="564" w:name="_Toc151193643"/>
      <w:r/>
      <w:bookmarkStart w:id="565" w:name="_Toc305158887"/>
      <w:r/>
      <w:bookmarkStart w:id="566" w:name="_Toc305158813"/>
      <w:r/>
      <w:bookmarkStart w:id="567" w:name="_Toc226309789"/>
      <w:r/>
      <w:bookmarkStart w:id="568" w:name="_Toc195842910"/>
      <w:r/>
      <w:bookmarkStart w:id="569" w:name="_Toc150509296"/>
      <w:r/>
      <w:bookmarkStart w:id="570" w:name="_Toc150774645"/>
      <w:r/>
      <w:bookmarkStart w:id="571" w:name="_Toc264969235"/>
      <w:r/>
      <w:bookmarkStart w:id="572" w:name="_Toc150480783"/>
      <w:r/>
      <w:bookmarkStart w:id="573" w:name="_Toc127151545"/>
      <w:r/>
      <w:bookmarkStart w:id="574" w:name="_Toc142311047"/>
      <w:r/>
      <w:bookmarkStart w:id="575" w:name="_Toc151193859"/>
      <w:r/>
      <w:bookmarkStart w:id="576" w:name="_Toc151193933"/>
      <w:r/>
      <w:bookmarkStart w:id="577" w:name="_Toc151193787"/>
      <w:r>
        <w:rPr>
          <w:rFonts w:hint="eastAsia" w:ascii="宋体" w:hAnsi="宋体"/>
          <w:b/>
          <w:bCs/>
          <w:color w:val="000000"/>
          <w:sz w:val="28"/>
          <w:szCs w:val="28"/>
          <w:highlight w:val="none"/>
        </w:rPr>
      </w:r>
      <w:r/>
    </w:p>
    <w:p>
      <w:pPr>
        <w:pStyle w:val="935"/>
        <w:spacing w:before="0" w:line="360" w:lineRule="auto"/>
        <w:shd w:val="clear" w:color="auto" w:fill="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六   确定中标</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Pr>
          <w:rFonts w:ascii="Times New Roman" w:hAnsi="Times New Roman" w:eastAsia="宋体"/>
          <w:color w:val="000000"/>
          <w:sz w:val="28"/>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End w:id="556"/>
      <w:r/>
      <w:bookmarkStart w:id="578" w:name="_Toc195842914"/>
      <w:r/>
      <w:bookmarkStart w:id="579" w:name="_Toc164229390"/>
      <w:r/>
      <w:bookmarkStart w:id="580" w:name="_Toc164608818"/>
      <w:r/>
      <w:bookmarkStart w:id="581" w:name="_Ref467306425"/>
      <w:r/>
      <w:bookmarkStart w:id="582" w:name="_Toc150509300"/>
      <w:r/>
      <w:bookmarkStart w:id="583" w:name="_Toc226965822"/>
      <w:r/>
      <w:bookmarkStart w:id="584" w:name="_Toc264969239"/>
      <w:r/>
      <w:bookmarkStart w:id="585" w:name="_Toc151190176"/>
      <w:r/>
      <w:bookmarkStart w:id="586" w:name="_Toc164608663"/>
      <w:r/>
      <w:bookmarkStart w:id="587" w:name="_Toc164351643"/>
      <w:r/>
      <w:bookmarkStart w:id="588" w:name="_Toc149720842"/>
      <w:r/>
      <w:bookmarkStart w:id="589" w:name="_Toc265228387"/>
      <w:r/>
      <w:bookmarkStart w:id="590" w:name="_Toc164229244"/>
      <w:r/>
      <w:bookmarkStart w:id="591" w:name="_Toc151193791"/>
      <w:r/>
      <w:bookmarkStart w:id="592" w:name="_Toc150774649"/>
      <w:r/>
      <w:bookmarkStart w:id="593" w:name="_Toc127161463"/>
      <w:r/>
      <w:bookmarkStart w:id="594" w:name="_Toc151193863"/>
      <w:r/>
      <w:bookmarkStart w:id="595" w:name="_Toc150480787"/>
      <w:r/>
      <w:bookmarkStart w:id="596" w:name="_Toc127151549"/>
      <w:r/>
      <w:bookmarkStart w:id="597" w:name="_Toc520356176"/>
      <w:r/>
      <w:bookmarkStart w:id="598" w:name="_Ref467307090"/>
      <w:r/>
      <w:bookmarkStart w:id="599" w:name="_Toc226309793"/>
      <w:r/>
      <w:bookmarkStart w:id="600" w:name="_Toc151193937"/>
      <w:r/>
      <w:bookmarkStart w:id="601" w:name="_Toc142311051"/>
      <w:r/>
      <w:bookmarkStart w:id="602" w:name="_Toc151193647"/>
      <w:r/>
      <w:bookmarkStart w:id="603" w:name="_Toc226965739"/>
      <w:r/>
      <w:bookmarkStart w:id="604" w:name="_Toc127151750"/>
      <w:r/>
      <w:bookmarkStart w:id="605" w:name="_Toc150774754"/>
      <w:r/>
      <w:bookmarkStart w:id="606" w:name="_Toc226337245"/>
      <w:r/>
      <w:bookmarkStart w:id="607" w:name="_Toc151193719"/>
      <w:r>
        <w:rPr>
          <w:rFonts w:hint="eastAsia" w:ascii="宋体" w:hAnsi="宋体" w:cs="宋体"/>
          <w:color w:val="000000"/>
          <w:sz w:val="24"/>
          <w:highlight w:val="none"/>
        </w:rPr>
        <w:t xml:space="preserve">确定中标人</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608" w:name="_Toc305158891"/>
      <w:r/>
      <w:bookmarkStart w:id="609" w:name="_Toc305158817"/>
      <w:r>
        <w:rPr>
          <w:rFonts w:hint="eastAsia" w:ascii="宋体" w:hAnsi="宋体" w:cs="宋体"/>
          <w:color w:val="000000"/>
          <w:sz w:val="24"/>
          <w:highlight w:val="none"/>
        </w:rPr>
        <w:t xml:space="preserve">中标公告与中标通知书</w:t>
      </w:r>
      <w:bookmarkEnd w:id="608"/>
      <w:r/>
      <w:bookmarkEnd w:id="609"/>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在江苏政府采购网、常州市政府采购网</w:t>
      </w:r>
      <w:r>
        <w:rPr>
          <w:rFonts w:hint="eastAsia" w:ascii="宋体" w:hAnsi="宋体" w:cs="宋体"/>
          <w:color w:val="000000"/>
          <w:sz w:val="24"/>
          <w:highlight w:val="none"/>
        </w:rPr>
        <w:t xml:space="preserve">和江苏尚阳工程管理有限公司网</w:t>
      </w:r>
      <w:r>
        <w:rPr>
          <w:rFonts w:hint="eastAsia" w:ascii="宋体" w:hAnsi="宋体" w:cs="宋体"/>
          <w:color w:val="000000"/>
          <w:sz w:val="24"/>
          <w:highlight w:val="none"/>
        </w:rPr>
        <w:t xml:space="preserve">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中标通知书对采购人和中标人均具有法律效力。中标通知书发出后，采购人改变中标结果的，或者中标人放弃中标项目的，应当依法承担法律责任。</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符合专业条件的投标人或者对招标文件作实质响应的投标人不足三家的；</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color w:val="000000"/>
          <w:sz w:val="24"/>
          <w:highlight w:val="none"/>
        </w:rPr>
      </w:pPr>
      <w:r>
        <w:rPr>
          <w:rFonts w:hint="eastAsia" w:ascii="宋体" w:hAnsi="宋体" w:cs="宋体"/>
          <w:color w:val="000000"/>
          <w:sz w:val="24"/>
          <w:highlight w:val="none"/>
        </w:rPr>
        <w:t xml:space="preserve">因重大变故，采购任务取消的。</w:t>
      </w:r>
      <w:r>
        <w:rPr>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签订合同</w:t>
      </w:r>
      <w:r>
        <w:rPr>
          <w:rFonts w:hint="eastAsia" w:ascii="宋体" w:hAnsi="宋体" w:eastAsia="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hint="eastAsia" w:ascii="宋体" w:hAnsi="宋体" w:cs="宋体"/>
          <w:color w:val="000000"/>
          <w:sz w:val="24"/>
          <w:highlight w:val="none"/>
        </w:rPr>
        <w:t xml:space="preserve">中标供应商、采购人应当自中标通知书发出之日起30日内，按照招标文件和中标供应商投标文件的规定签订书面合同。所签订的合同不得对招标文件确定的事项和中标供应商的投标文件作实质性修改。</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中标供应商拒绝与采购人签订合同的，采购人可以按照评标报告推荐的中标候选人名单排序，确定下一候选人为中标供应商，也可以重新开展政府采购活动。</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本项目的非主体、非关键性工作是否允许分包，见《投标人须知资料表》。</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询问与质疑</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采购人或采购代理机构对投标人依法提出的询问，在3个工作日内作出答复，但答复的内容不得涉及商业秘密。</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招标文件中采购需求以及相关部分（第四章评标方法及标准、第五章以及投标人资格要求）由采购人负责制定和管理，对该部分内容有询问或者质疑的，投标人应当向采购人书面提出，由采购人负责接收和回复。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"http://gks.mof.gov.cn/ztztz/zhengfucaigouguanli/201802/t20180201_2804589.htm" </w:instrText>
      </w:r>
      <w:r>
        <w:rPr>
          <w:rFonts w:hint="eastAsia" w:ascii="宋体" w:hAnsi="宋体" w:cs="宋体"/>
          <w:color w:val="000000"/>
          <w:sz w:val="24"/>
          <w:highlight w:val="none"/>
        </w:rPr>
        <w:fldChar w:fldCharType="separate"/>
      </w:r>
      <w:r>
        <w:rPr>
          <w:rStyle w:val="1009"/>
          <w:rFonts w:hint="eastAsia" w:ascii="宋体" w:hAnsi="宋体" w:cs="宋体"/>
          <w:color w:val="000000"/>
          <w:sz w:val="24"/>
          <w:highlight w:val="none"/>
        </w:rPr>
        <w:t xml:space="preserve">http://gk</w:t>
      </w:r>
      <w:bookmarkStart w:id="610" w:name="_Hlt100654014"/>
      <w:r>
        <w:rPr>
          <w:rStyle w:val="1009"/>
          <w:rFonts w:hint="eastAsia" w:ascii="宋体" w:hAnsi="宋体" w:cs="宋体"/>
          <w:color w:val="000000"/>
          <w:sz w:val="24"/>
          <w:highlight w:val="none"/>
        </w:rPr>
        <w:t xml:space="preserve">s</w:t>
      </w:r>
      <w:bookmarkEnd w:id="610"/>
      <w:r>
        <w:rPr>
          <w:rStyle w:val="1009"/>
          <w:rFonts w:hint="eastAsia" w:ascii="宋体" w:hAnsi="宋体" w:cs="宋体"/>
          <w:color w:val="000000"/>
          <w:sz w:val="24"/>
          <w:highlight w:val="none"/>
        </w:rPr>
        <w:t xml:space="preserve">.m</w:t>
      </w:r>
      <w:bookmarkStart w:id="611" w:name="_Hlt100653993"/>
      <w:r/>
      <w:bookmarkStart w:id="612" w:name="_Hlt100653994"/>
      <w:r>
        <w:rPr>
          <w:rStyle w:val="1009"/>
          <w:rFonts w:hint="eastAsia" w:ascii="宋体" w:hAnsi="宋体" w:cs="宋体"/>
          <w:color w:val="000000"/>
          <w:sz w:val="24"/>
          <w:highlight w:val="none"/>
        </w:rPr>
        <w:t xml:space="preserve">o</w:t>
      </w:r>
      <w:bookmarkEnd w:id="611"/>
      <w:r/>
      <w:bookmarkEnd w:id="612"/>
      <w:r>
        <w:rPr>
          <w:rStyle w:val="1009"/>
          <w:rFonts w:hint="eastAsia" w:ascii="宋体" w:hAnsi="宋体" w:cs="宋体"/>
          <w:color w:val="000000"/>
          <w:sz w:val="24"/>
          <w:highlight w:val="none"/>
        </w:rPr>
        <w:t xml:space="preserve">f.gov.cn/ztztz/zhengfucaigouguanli/201802/t20180201_2804589.htm</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t xml:space="preserve">收费对象、收费标准及缴纳时间见《投标人须知资料表》。由中标</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支付的，中标供应商须一次性向采购代理机构缴纳代理费，投标报价应包含代理费用。</w:t>
      </w:r>
      <w:r>
        <w:rPr>
          <w:rFonts w:hint="eastAsia" w:ascii="宋体" w:hAnsi="宋体" w:cs="宋体"/>
          <w:color w:val="000000"/>
          <w:sz w:val="24"/>
          <w:highlight w:val="none"/>
        </w:rPr>
      </w:r>
      <w:r/>
    </w:p>
    <w:p>
      <w:pPr>
        <w:pStyle w:val="933"/>
        <w:jc w:val="center"/>
        <w:spacing w:line="360" w:lineRule="auto"/>
        <w:shd w:val="clear" w:color="auto" w:fill="auto"/>
        <w:rPr>
          <w:b/>
          <w:color w:val="000000"/>
          <w:sz w:val="36"/>
          <w:szCs w:val="36"/>
          <w:highlight w:val="none"/>
        </w:rPr>
        <w:outlineLvl w:val="0"/>
      </w:pPr>
      <w:r/>
      <w:bookmarkStart w:id="613" w:name="_Toc353825544"/>
      <w:r/>
      <w:bookmarkStart w:id="614" w:name="_Toc127151554"/>
      <w:r/>
      <w:bookmarkStart w:id="615" w:name="_Toc150480792"/>
      <w:r/>
      <w:bookmarkStart w:id="616" w:name="_Toc264969244"/>
      <w:r/>
      <w:bookmarkStart w:id="617" w:name="_Toc353873664"/>
      <w:r/>
      <w:bookmarkStart w:id="618" w:name="_Toc265228392"/>
      <w:r/>
      <w:bookmarkStart w:id="619" w:name="_Toc305158896"/>
      <w:r/>
      <w:bookmarkStart w:id="620" w:name="_Toc353873934"/>
      <w:r/>
      <w:bookmarkStart w:id="621" w:name="_Toc226337250"/>
      <w:r/>
      <w:bookmarkStart w:id="622" w:name="_Toc142311056"/>
      <w:r/>
      <w:bookmarkStart w:id="623" w:name="_Toc150774759"/>
      <w:r/>
      <w:bookmarkStart w:id="624" w:name="_Toc226965827"/>
      <w:r/>
      <w:bookmarkStart w:id="625" w:name="_Toc305158822"/>
      <w:r/>
      <w:bookmarkStart w:id="626" w:name="_Toc21989"/>
      <w:r>
        <w:rPr>
          <w:b/>
          <w:color w:val="000000"/>
          <w:sz w:val="36"/>
          <w:szCs w:val="36"/>
          <w:highlight w:val="none"/>
        </w:rPr>
        <w:t xml:space="preserve">第三章   </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Pr>
          <w:b/>
          <w:color w:val="000000"/>
          <w:sz w:val="36"/>
          <w:szCs w:val="36"/>
          <w:highlight w:val="none"/>
        </w:rPr>
        <w:t xml:space="preserve">资格审查</w:t>
      </w:r>
      <w:bookmarkEnd w:id="626"/>
      <w:r/>
      <w:bookmarkStart w:id="627" w:name="_Toc487900382"/>
      <w:r>
        <w:rPr>
          <w:b/>
          <w:color w:val="000000"/>
          <w:sz w:val="36"/>
          <w:szCs w:val="36"/>
          <w:highlight w:val="none"/>
        </w:rPr>
      </w:r>
      <w:r/>
    </w:p>
    <w:p>
      <w:pPr>
        <w:pStyle w:val="933"/>
        <w:jc w:val="center"/>
        <w:spacing w:line="360" w:lineRule="auto"/>
        <w:shd w:val="clear" w:color="auto" w:fill="auto"/>
        <w:rPr>
          <w:rFonts w:hint="eastAsia" w:ascii="宋体" w:hAnsi="宋体"/>
          <w:b/>
          <w:bCs/>
          <w:color w:val="000000"/>
          <w:sz w:val="28"/>
          <w:szCs w:val="28"/>
          <w:highlight w:val="none"/>
        </w:rPr>
      </w:pPr>
      <w:r/>
      <w:bookmarkStart w:id="628" w:name="_Toc99301422"/>
      <w:r>
        <w:rPr>
          <w:rFonts w:hint="eastAsia" w:ascii="宋体" w:hAnsi="宋体"/>
          <w:b/>
          <w:bCs/>
          <w:color w:val="000000"/>
          <w:sz w:val="28"/>
          <w:szCs w:val="28"/>
          <w:highlight w:val="none"/>
        </w:rPr>
        <w:t xml:space="preserve">一、资格审查程序</w:t>
      </w:r>
      <w:bookmarkEnd w:id="628"/>
      <w:r>
        <w:rPr>
          <w:rFonts w:hint="eastAsia" w:ascii="宋体" w:hAnsi="宋体"/>
          <w:b/>
          <w:bCs/>
          <w:color w:val="000000"/>
          <w:sz w:val="28"/>
          <w:szCs w:val="28"/>
          <w:highlight w:val="none"/>
        </w:rPr>
      </w:r>
      <w:r/>
    </w:p>
    <w:p>
      <w:pPr>
        <w:pStyle w:val="933"/>
        <w:numPr>
          <w:ilvl w:val="0"/>
          <w:numId w:val="11"/>
        </w:numPr>
        <w:ind w:left="425" w:hanging="425"/>
        <w:spacing w:line="360" w:lineRule="auto"/>
        <w:shd w:val="clear" w:color="auto" w:fill="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933"/>
        <w:numPr>
          <w:ilvl w:val="0"/>
          <w:numId w:val="11"/>
        </w:numPr>
        <w:ind w:left="425" w:hanging="425"/>
        <w:spacing w:line="360" w:lineRule="auto"/>
        <w:shd w:val="clear" w:color="auto" w:fill="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933"/>
        <w:numPr>
          <w:ilvl w:val="0"/>
          <w:numId w:val="11"/>
        </w:numPr>
        <w:ind w:left="425" w:hanging="425"/>
        <w:spacing w:line="360" w:lineRule="auto"/>
        <w:shd w:val="clear" w:color="auto" w:fill="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0"/>
          <w:numId w:val="11"/>
        </w:numPr>
        <w:ind w:left="425" w:hanging="425"/>
        <w:spacing w:line="360" w:lineRule="auto"/>
        <w:shd w:val="clear" w:color="auto" w:fill="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933"/>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二、资格审查要求</w:t>
      </w:r>
      <w:r>
        <w:rPr>
          <w:rFonts w:hint="eastAsia" w:ascii="宋体" w:hAnsi="宋体"/>
          <w:b/>
          <w:bCs/>
          <w:color w:val="000000"/>
          <w:sz w:val="28"/>
          <w:szCs w:val="28"/>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pStyle w:val="933"/>
              <w:jc w:val="center"/>
              <w:spacing w:line="360" w:lineRule="exact"/>
              <w:shd w:val="clear" w:color="auto" w:fill="auto"/>
              <w:tabs>
                <w:tab w:val="left" w:pos="1080" w:leader="none"/>
              </w:tabs>
              <w:rPr>
                <w:b/>
                <w:color w:val="000000"/>
                <w:sz w:val="24"/>
                <w:highlight w:val="none"/>
              </w:rPr>
            </w:pPr>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27"/>
            <w:r/>
            <w:bookmarkStart w:id="629" w:name="_Hlt487972895"/>
            <w:r/>
            <w:bookmarkEnd w:id="629"/>
            <w:r/>
            <w:bookmarkStart w:id="630" w:name="_Toc127151779"/>
            <w:r/>
            <w:bookmarkStart w:id="631" w:name="_Toc353825550"/>
            <w:r/>
            <w:bookmarkStart w:id="632" w:name="_Toc353873940"/>
            <w:r/>
            <w:bookmarkStart w:id="633" w:name="_Toc127161490"/>
            <w:r/>
            <w:bookmarkStart w:id="634" w:name="_Toc226965858"/>
            <w:r>
              <w:rPr>
                <w:b/>
                <w:color w:val="000000"/>
                <w:sz w:val="24"/>
                <w:highlight w:val="none"/>
              </w:rPr>
              <w:t xml:space="preserve">序号</w:t>
            </w:r>
            <w:r>
              <w:rPr>
                <w:b/>
                <w:color w:val="000000"/>
                <w:sz w:val="24"/>
                <w:highlight w:val="none"/>
              </w:rPr>
            </w:r>
            <w:r/>
          </w:p>
        </w:tc>
        <w:tc>
          <w:tcPr>
            <w:tcW w:w="1982" w:type="dxa"/>
            <w:vAlign w:val="center"/>
            <w:textDirection w:val="lrTb"/>
            <w:noWrap w:val="false"/>
          </w:tcPr>
          <w:p>
            <w:pPr>
              <w:pStyle w:val="933"/>
              <w:jc w:val="center"/>
              <w:spacing w:line="360" w:lineRule="exact"/>
              <w:shd w:val="clear" w:color="auto" w:fill="auto"/>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822" w:type="dxa"/>
            <w:vAlign w:val="center"/>
            <w:textDirection w:val="lrTb"/>
            <w:noWrap w:val="false"/>
          </w:tcPr>
          <w:p>
            <w:pPr>
              <w:pStyle w:val="933"/>
              <w:jc w:val="center"/>
              <w:spacing w:line="360" w:lineRule="exact"/>
              <w:shd w:val="clear" w:color="auto" w:fill="auto"/>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638" w:type="dxa"/>
            <w:vAlign w:val="center"/>
            <w:textDirection w:val="lrTb"/>
            <w:noWrap w:val="false"/>
          </w:tcPr>
          <w:p>
            <w:pPr>
              <w:pStyle w:val="933"/>
              <w:jc w:val="center"/>
              <w:spacing w:line="360" w:lineRule="exact"/>
              <w:shd w:val="clear" w:color="auto" w:fill="auto"/>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46" w:type="dxa"/>
            <w:vAlign w:val="center"/>
            <w:textDirection w:val="lrTb"/>
            <w:noWrap w:val="false"/>
          </w:tcPr>
          <w:p>
            <w:pPr>
              <w:pStyle w:val="933"/>
              <w:jc w:val="center"/>
              <w:spacing w:line="360" w:lineRule="exact"/>
              <w:shd w:val="clear" w:color="auto" w:fill="auto"/>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982"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4822"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1638"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color w:val="000000"/>
                <w:sz w:val="24"/>
                <w:highlight w:val="none"/>
              </w:rPr>
            </w:r>
            <w:r/>
          </w:p>
        </w:tc>
      </w:tr>
      <w:tr>
        <w:trPr>
          <w:cantSplit/>
          <w:trHeight w:val="312"/>
        </w:trPr>
        <w:tc>
          <w:tcPr>
            <w:tcW w:w="846" w:type="dxa"/>
            <w:vAlign w:val="center"/>
            <w:textDirection w:val="lrTb"/>
            <w:noWrap w:val="false"/>
          </w:tcPr>
          <w:p>
            <w:pPr>
              <w:pStyle w:val="933"/>
              <w:jc w:val="center"/>
              <w:spacing w:line="360" w:lineRule="exact"/>
              <w:shd w:val="clear" w:color="auto" w:fill="auto"/>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982"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4822"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6" w:type="dxa"/>
            <w:vAlign w:val="center"/>
            <w:textDirection w:val="lrTb"/>
            <w:noWrap w:val="false"/>
          </w:tcPr>
          <w:p>
            <w:pPr>
              <w:pStyle w:val="933"/>
              <w:jc w:val="center"/>
              <w:spacing w:line="360" w:lineRule="exact"/>
              <w:shd w:val="clear" w:color="auto" w:fill="auto"/>
              <w:tabs>
                <w:tab w:val="left" w:pos="1080" w:leader="none"/>
              </w:tabs>
              <w:rPr>
                <w:color w:val="000000"/>
                <w:sz w:val="24"/>
                <w:highlight w:val="none"/>
              </w:rPr>
            </w:pPr>
            <w:r>
              <w:rPr>
                <w:rFonts w:hint="eastAsia"/>
                <w:color w:val="000000"/>
                <w:sz w:val="24"/>
                <w:highlight w:val="none"/>
              </w:rPr>
              <w:t xml:space="preserve">1-2</w:t>
            </w:r>
            <w:r>
              <w:rPr>
                <w:color w:val="000000"/>
                <w:sz w:val="24"/>
                <w:highlight w:val="none"/>
              </w:rPr>
            </w:r>
            <w:r/>
          </w:p>
        </w:tc>
        <w:tc>
          <w:tcPr>
            <w:tcW w:w="1982"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822"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33"/>
              <w:spacing w:line="360" w:lineRule="exact"/>
              <w:shd w:val="clear" w:color="auto" w:fill="auto"/>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33"/>
              <w:spacing w:line="360" w:lineRule="exact"/>
              <w:shd w:val="clear" w:color="auto" w:fill="auto"/>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933"/>
              <w:spacing w:line="360" w:lineRule="exact"/>
              <w:shd w:val="clear" w:color="auto" w:fill="auto"/>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color w:val="000000"/>
                <w:sz w:val="24"/>
                <w:highlight w:val="none"/>
              </w:rPr>
              <w:t xml:space="preserve">无须投标人提供，由采购人</w:t>
            </w:r>
            <w:r>
              <w:rPr>
                <w:rFonts w:hint="eastAsia" w:ascii="宋体" w:hAnsi="宋体" w:cs="宋体"/>
                <w:color w:val="000000"/>
                <w:sz w:val="24"/>
                <w:highlight w:val="none"/>
              </w:rPr>
              <w:t xml:space="preserve">查询。</w:t>
            </w:r>
            <w:r>
              <w:rPr>
                <w:color w:val="000000"/>
                <w:sz w:val="24"/>
                <w:highlight w:val="none"/>
              </w:rPr>
            </w:r>
            <w:r/>
          </w:p>
        </w:tc>
      </w:tr>
      <w:tr>
        <w:trPr>
          <w:cantSplit/>
          <w:trHeight w:val="468"/>
        </w:trPr>
        <w:tc>
          <w:tcPr>
            <w:tcW w:w="846" w:type="dxa"/>
            <w:vAlign w:val="center"/>
            <w:textDirection w:val="lrTb"/>
            <w:noWrap w:val="false"/>
          </w:tcPr>
          <w:p>
            <w:pPr>
              <w:pStyle w:val="933"/>
              <w:jc w:val="center"/>
              <w:spacing w:line="360" w:lineRule="exact"/>
              <w:shd w:val="clear" w:color="auto" w:fill="auto"/>
              <w:tabs>
                <w:tab w:val="left" w:pos="1080"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val="en-US" w:eastAsia="zh-CN"/>
              </w:rPr>
            </w:r>
            <w:r/>
          </w:p>
        </w:tc>
        <w:tc>
          <w:tcPr>
            <w:tcW w:w="1982" w:type="dxa"/>
            <w:vAlign w:val="center"/>
            <w:textDirection w:val="lrTb"/>
            <w:noWrap w:val="false"/>
          </w:tcPr>
          <w:p>
            <w:pPr>
              <w:pStyle w:val="933"/>
              <w:shd w:val="clear" w:color="auto" w:fill="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落实政府采购政策需满足的资格要求</w:t>
            </w:r>
            <w:r>
              <w:rPr>
                <w:rFonts w:hint="eastAsia" w:ascii="Times New Roman" w:hAnsi="Times New Roman" w:eastAsia="宋体" w:cs="Times New Roman"/>
                <w:color w:val="000000"/>
                <w:sz w:val="24"/>
                <w:szCs w:val="24"/>
                <w:highlight w:val="none"/>
                <w:lang w:val="en-US" w:eastAsia="zh-CN" w:bidi="ar-SA"/>
              </w:rPr>
            </w:r>
            <w:r/>
          </w:p>
        </w:tc>
        <w:tc>
          <w:tcPr>
            <w:tcW w:w="4822" w:type="dxa"/>
            <w:vAlign w:val="center"/>
            <w:textDirection w:val="lrTb"/>
            <w:noWrap w:val="false"/>
          </w:tcPr>
          <w:p>
            <w:pPr>
              <w:pStyle w:val="933"/>
              <w:shd w:val="clear" w:color="auto" w:fill="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具体要求见第一章《采购邀请》</w:t>
            </w:r>
            <w:r>
              <w:rPr>
                <w:rFonts w:hint="eastAsia" w:ascii="Times New Roman" w:hAnsi="Times New Roman" w:eastAsia="宋体" w:cs="Times New Roman"/>
                <w:color w:val="000000"/>
                <w:sz w:val="24"/>
                <w:szCs w:val="24"/>
                <w:highlight w:val="none"/>
                <w:lang w:val="en-US" w:eastAsia="zh-CN" w:bidi="ar-SA"/>
              </w:rPr>
            </w:r>
            <w:r/>
          </w:p>
        </w:tc>
        <w:tc>
          <w:tcPr>
            <w:tcW w:w="1638" w:type="dxa"/>
            <w:vAlign w:val="center"/>
            <w:textDirection w:val="lrTb"/>
            <w:noWrap w:val="false"/>
          </w:tcPr>
          <w:p>
            <w:pPr>
              <w:pStyle w:val="933"/>
              <w:shd w:val="clear" w:color="auto" w:fill="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tc>
      </w:tr>
      <w:tr>
        <w:trPr>
          <w:cantSplit/>
          <w:trHeight w:val="468"/>
        </w:trPr>
        <w:tc>
          <w:tcPr>
            <w:tcW w:w="846" w:type="dxa"/>
            <w:vAlign w:val="center"/>
            <w:textDirection w:val="lrTb"/>
            <w:noWrap w:val="false"/>
          </w:tcPr>
          <w:p>
            <w:pPr>
              <w:pStyle w:val="933"/>
              <w:jc w:val="center"/>
              <w:spacing w:line="360" w:lineRule="exact"/>
              <w:shd w:val="clear" w:color="auto" w:fill="auto"/>
              <w:tabs>
                <w:tab w:val="left" w:pos="1080" w:leader="none"/>
              </w:tabs>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2-1</w:t>
            </w:r>
            <w:r>
              <w:rPr>
                <w:rFonts w:ascii="Times New Roman" w:hAnsi="Times New Roman" w:eastAsia="宋体" w:cs="Times New Roman"/>
                <w:color w:val="000000"/>
                <w:sz w:val="24"/>
                <w:highlight w:val="none"/>
                <w:lang w:val="en-US" w:eastAsia="zh-CN"/>
              </w:rPr>
            </w:r>
            <w:r/>
          </w:p>
        </w:tc>
        <w:tc>
          <w:tcPr>
            <w:tcW w:w="1982" w:type="dxa"/>
            <w:vAlign w:val="center"/>
            <w:textDirection w:val="lrTb"/>
            <w:noWrap w:val="false"/>
          </w:tcPr>
          <w:p>
            <w:pPr>
              <w:pStyle w:val="933"/>
              <w:spacing w:line="360" w:lineRule="exact"/>
              <w:shd w:val="clear" w:color="auto" w:fill="auto"/>
              <w:tabs>
                <w:tab w:val="left" w:pos="1080" w:leader="none"/>
              </w:tabs>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中小企业声明函</w:t>
            </w:r>
            <w:r>
              <w:rPr>
                <w:rFonts w:ascii="Times New Roman" w:hAnsi="Times New Roman" w:eastAsia="宋体" w:cs="Times New Roman"/>
                <w:color w:val="000000"/>
                <w:sz w:val="24"/>
                <w:highlight w:val="none"/>
                <w:lang w:val="en-US" w:eastAsia="zh-CN"/>
              </w:rPr>
            </w:r>
            <w:r/>
          </w:p>
        </w:tc>
        <w:tc>
          <w:tcPr>
            <w:tcW w:w="4822" w:type="dxa"/>
            <w:vAlign w:val="center"/>
            <w:textDirection w:val="lrTb"/>
            <w:noWrap w:val="false"/>
          </w:tcPr>
          <w:p>
            <w:pPr>
              <w:pStyle w:val="933"/>
              <w:shd w:val="clear" w:color="auto" w:fill="auto"/>
              <w:tabs>
                <w:tab w:val="left" w:pos="1080" w:leader="none"/>
              </w:tabs>
              <w:rPr>
                <w:rFonts w:ascii="宋体" w:hAnsi="宋体" w:cs="宋体"/>
                <w:bCs/>
                <w:color w:val="000000"/>
                <w:sz w:val="24"/>
                <w:highlight w:val="none"/>
              </w:rPr>
            </w:pPr>
            <w:r>
              <w:rPr>
                <w:rFonts w:hint="eastAsia" w:ascii="宋体" w:hAnsi="宋体" w:cs="宋体"/>
                <w:bCs/>
                <w:color w:val="000000"/>
                <w:sz w:val="24"/>
                <w:highlight w:val="none"/>
              </w:rPr>
              <w:t xml:space="preserve">投标人单独投标的，应提供中小企业声明函；如为监狱企业或残疾人福利性单位，不必提供中小企业声明函，但须按注1或注2要求提供证明材料。</w:t>
            </w:r>
            <w:r>
              <w:rPr>
                <w:rFonts w:ascii="宋体" w:hAnsi="宋体" w:cs="宋体"/>
                <w:bCs/>
                <w:color w:val="000000"/>
                <w:sz w:val="24"/>
                <w:highlight w:val="none"/>
              </w:rPr>
            </w:r>
            <w:r/>
          </w:p>
          <w:p>
            <w:pPr>
              <w:pStyle w:val="933"/>
              <w:shd w:val="clear" w:color="auto" w:fill="auto"/>
              <w:tabs>
                <w:tab w:val="left" w:pos="1080" w:leader="none"/>
              </w:tabs>
              <w:rPr>
                <w:rFonts w:ascii="宋体" w:hAnsi="宋体" w:cs="宋体"/>
                <w:bCs/>
                <w:color w:val="000000"/>
                <w:sz w:val="24"/>
                <w:highlight w:val="none"/>
              </w:rPr>
            </w:pPr>
            <w:r>
              <w:rPr>
                <w:rFonts w:hint="eastAsia" w:ascii="宋体" w:hAnsi="宋体" w:cs="宋体"/>
                <w:bCs/>
                <w:color w:val="000000"/>
                <w:sz w:val="24"/>
                <w:highlight w:val="none"/>
              </w:rPr>
              <w:t xml:space="preserve">注1：监狱企业须提供由省级以上监狱管理局（常州市含教育矫治局）、戒毒管理局（含新疆生产建设兵团）出具的属于监狱企业的证明文件。</w:t>
            </w:r>
            <w:r>
              <w:rPr>
                <w:rFonts w:ascii="宋体" w:hAnsi="宋体" w:cs="宋体"/>
                <w:bCs/>
                <w:color w:val="000000"/>
                <w:sz w:val="24"/>
                <w:highlight w:val="none"/>
              </w:rPr>
            </w:r>
            <w:r/>
          </w:p>
          <w:p>
            <w:pPr>
              <w:pStyle w:val="933"/>
              <w:shd w:val="clear" w:color="auto" w:fill="auto"/>
              <w:tabs>
                <w:tab w:val="left" w:pos="1080" w:leader="none"/>
              </w:tabs>
              <w:rPr>
                <w:rFonts w:ascii="Times New Roman" w:hAnsi="Times New Roman" w:eastAsia="宋体" w:cs="Times New Roman"/>
                <w:color w:val="000000"/>
                <w:sz w:val="24"/>
                <w:szCs w:val="24"/>
                <w:highlight w:val="none"/>
                <w:lang w:val="en-US" w:eastAsia="zh-CN" w:bidi="ar-SA"/>
              </w:rPr>
            </w:pPr>
            <w:r>
              <w:rPr>
                <w:rFonts w:hint="eastAsia" w:ascii="宋体" w:hAnsi="宋体" w:cs="宋体"/>
                <w:bCs/>
                <w:color w:val="000000"/>
                <w:sz w:val="24"/>
                <w:highlight w:val="none"/>
              </w:rPr>
              <w:t xml:space="preserve">注2：残疾人福利性单位须按招标文件要求提供《残疾人福利性单位声明函》。</w:t>
            </w:r>
            <w:r>
              <w:rPr>
                <w:rFonts w:ascii="Times New Roman" w:hAnsi="Times New Roman" w:eastAsia="宋体" w:cs="Times New Roman"/>
                <w:color w:val="000000"/>
                <w:sz w:val="24"/>
                <w:szCs w:val="24"/>
                <w:highlight w:val="none"/>
                <w:lang w:val="en-US" w:eastAsia="zh-CN" w:bidi="ar-SA"/>
              </w:rPr>
            </w:r>
            <w:r/>
          </w:p>
        </w:tc>
        <w:tc>
          <w:tcPr>
            <w:tcW w:w="1638" w:type="dxa"/>
            <w:vAlign w:val="center"/>
            <w:textDirection w:val="lrTb"/>
            <w:noWrap w:val="false"/>
          </w:tcPr>
          <w:p>
            <w:pPr>
              <w:pStyle w:val="933"/>
              <w:shd w:val="clear" w:color="auto" w:fill="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格式见《投标文件格式》</w:t>
            </w:r>
            <w:r>
              <w:rPr>
                <w:rFonts w:hint="eastAsia" w:ascii="Times New Roman" w:hAnsi="Times New Roman" w:eastAsia="宋体" w:cs="Times New Roman"/>
                <w:color w:val="000000"/>
                <w:sz w:val="24"/>
                <w:szCs w:val="24"/>
                <w:highlight w:val="none"/>
                <w:lang w:val="en-US" w:eastAsia="zh-CN" w:bidi="ar-SA"/>
              </w:rPr>
            </w:r>
            <w:r/>
          </w:p>
        </w:tc>
      </w:tr>
    </w:tbl>
    <w:p>
      <w:pPr>
        <w:pStyle w:val="933"/>
        <w:jc w:val="center"/>
        <w:shd w:val="clear" w:color="auto" w:fill="auto"/>
        <w:widowControl/>
        <w:rPr>
          <w:color w:val="000000"/>
          <w:sz w:val="21"/>
          <w:szCs w:val="21"/>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1"/>
          <w:szCs w:val="21"/>
          <w:highlight w:val="none"/>
        </w:rPr>
      </w:r>
      <w:r/>
    </w:p>
    <w:p>
      <w:pPr>
        <w:pStyle w:val="933"/>
        <w:jc w:val="center"/>
        <w:shd w:val="clear" w:color="auto" w:fill="auto"/>
        <w:widowControl/>
        <w:rPr>
          <w:b/>
          <w:color w:val="000000"/>
          <w:sz w:val="36"/>
          <w:szCs w:val="36"/>
          <w:highlight w:val="none"/>
        </w:rPr>
        <w:outlineLvl w:val="0"/>
      </w:pPr>
      <w:r/>
      <w:bookmarkStart w:id="635" w:name="_Toc13243"/>
      <w:r>
        <w:rPr>
          <w:b/>
          <w:color w:val="000000"/>
          <w:sz w:val="36"/>
          <w:szCs w:val="36"/>
          <w:highlight w:val="none"/>
        </w:rPr>
        <w:t xml:space="preserve">第四章   </w:t>
      </w:r>
      <w:bookmarkEnd w:id="630"/>
      <w:r/>
      <w:bookmarkEnd w:id="631"/>
      <w:r/>
      <w:bookmarkEnd w:id="632"/>
      <w:r/>
      <w:bookmarkEnd w:id="633"/>
      <w:r/>
      <w:bookmarkEnd w:id="634"/>
      <w:r/>
      <w:bookmarkStart w:id="636" w:name="_Hlt164229061"/>
      <w:r/>
      <w:bookmarkEnd w:id="636"/>
      <w:r>
        <w:rPr>
          <w:b/>
          <w:color w:val="000000"/>
          <w:sz w:val="36"/>
          <w:szCs w:val="36"/>
          <w:highlight w:val="none"/>
        </w:rPr>
        <w:t xml:space="preserve">评标程序、评标方法和评标标准</w:t>
      </w:r>
      <w:bookmarkEnd w:id="635"/>
      <w:r>
        <w:rPr>
          <w:b/>
          <w:color w:val="000000"/>
          <w:sz w:val="36"/>
          <w:szCs w:val="36"/>
          <w:highlight w:val="none"/>
        </w:rPr>
      </w:r>
      <w:r/>
    </w:p>
    <w:p>
      <w:pPr>
        <w:pStyle w:val="933"/>
        <w:jc w:val="center"/>
        <w:spacing w:line="360" w:lineRule="auto"/>
        <w:shd w:val="clear" w:color="auto" w:fill="auto"/>
        <w:tabs>
          <w:tab w:val="left" w:pos="360" w:leader="none"/>
          <w:tab w:val="left" w:pos="900" w:leader="none"/>
        </w:tabs>
        <w:rPr>
          <w:b/>
          <w:color w:val="000000"/>
          <w:highlight w:val="none"/>
        </w:rPr>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933"/>
        <w:numPr>
          <w:ilvl w:val="0"/>
          <w:numId w:val="12"/>
        </w:numPr>
        <w:spacing w:line="360" w:lineRule="auto"/>
        <w:shd w:val="clear" w:color="auto" w:fill="auto"/>
        <w:tabs>
          <w:tab w:val="left" w:pos="360" w:leader="none"/>
          <w:tab w:val="left" w:pos="900" w:leader="none"/>
        </w:tabs>
        <w:rPr>
          <w:color w:val="000000"/>
          <w:sz w:val="24"/>
          <w:highlight w:val="none"/>
        </w:rPr>
      </w:pPr>
      <w:r/>
      <w:bookmarkStart w:id="637" w:name="_Toc164608655"/>
      <w:r/>
      <w:bookmarkStart w:id="638" w:name="_Toc265228379"/>
      <w:r/>
      <w:bookmarkStart w:id="639" w:name="_Toc226965731"/>
      <w:r/>
      <w:bookmarkStart w:id="640" w:name="_Toc226965814"/>
      <w:r/>
      <w:bookmarkStart w:id="641" w:name="_Toc226337237"/>
      <w:r/>
      <w:bookmarkStart w:id="642" w:name="_Toc151193929"/>
      <w:r/>
      <w:bookmarkStart w:id="643" w:name="_Toc151193783"/>
      <w:r/>
      <w:bookmarkStart w:id="644" w:name="_Toc150774746"/>
      <w:r/>
      <w:bookmarkStart w:id="645" w:name="_Toc151193855"/>
      <w:r/>
      <w:bookmarkStart w:id="646" w:name="_Toc164351635"/>
      <w:r/>
      <w:bookmarkStart w:id="647" w:name="_Toc127151742"/>
      <w:r/>
      <w:bookmarkStart w:id="648" w:name="_Toc150509292"/>
      <w:r/>
      <w:bookmarkStart w:id="649" w:name="_Toc305158883"/>
      <w:r/>
      <w:bookmarkStart w:id="650" w:name="_Toc164608810"/>
      <w:r/>
      <w:bookmarkStart w:id="651" w:name="_Toc151193639"/>
      <w:r/>
      <w:bookmarkStart w:id="652" w:name="_Toc142311043"/>
      <w:r/>
      <w:bookmarkStart w:id="653" w:name="_Toc127161455"/>
      <w:r/>
      <w:bookmarkStart w:id="654" w:name="_Toc151190168"/>
      <w:r/>
      <w:bookmarkStart w:id="655" w:name="_Toc164229236"/>
      <w:r/>
      <w:bookmarkStart w:id="656" w:name="_Toc305158809"/>
      <w:r/>
      <w:bookmarkStart w:id="657" w:name="_Toc195842906"/>
      <w:r/>
      <w:bookmarkStart w:id="658" w:name="_Toc127151541"/>
      <w:r/>
      <w:bookmarkStart w:id="659" w:name="_Toc150774641"/>
      <w:r/>
      <w:bookmarkStart w:id="660" w:name="_Toc226309785"/>
      <w:r/>
      <w:bookmarkStart w:id="661" w:name="_Toc151193711"/>
      <w:r/>
      <w:bookmarkStart w:id="662" w:name="_Toc164229382"/>
      <w:r/>
      <w:bookmarkStart w:id="663" w:name="_Toc150480779"/>
      <w:r/>
      <w:bookmarkStart w:id="664" w:name="_Toc264969231"/>
      <w:r/>
      <w:bookmarkStart w:id="665" w:name="_Toc149720834"/>
      <w:r/>
      <w:bookmarkStart w:id="666" w:name="_Toc353873941"/>
      <w:r/>
      <w:bookmarkStart w:id="667" w:name="_Toc353825551"/>
      <w:r/>
      <w:bookmarkStart w:id="668" w:name="_Toc195842920"/>
      <w:r/>
      <w:bookmarkStart w:id="669" w:name="_Toc353873665"/>
      <w:r/>
      <w:bookmarkStart w:id="670" w:name="_Toc150480793"/>
      <w:r/>
      <w:bookmarkStart w:id="671" w:name="_Toc264969245"/>
      <w:r/>
      <w:bookmarkStart w:id="672" w:name="_Toc265228393"/>
      <w:r/>
      <w:bookmarkStart w:id="673" w:name="_Toc305158897"/>
      <w:r/>
      <w:bookmarkStart w:id="674" w:name="_Toc142311057"/>
      <w:r/>
      <w:bookmarkStart w:id="675" w:name="_Toc353825545"/>
      <w:r/>
      <w:bookmarkStart w:id="676" w:name="_Toc226337251"/>
      <w:r/>
      <w:bookmarkStart w:id="677" w:name="_Toc353873935"/>
      <w:r/>
      <w:bookmarkStart w:id="678" w:name="_Toc150774760"/>
      <w:r/>
      <w:bookmarkStart w:id="679" w:name="_Toc127151555"/>
      <w:r/>
      <w:bookmarkStart w:id="680" w:name="_Toc226965828"/>
      <w:r/>
      <w:bookmarkStart w:id="681" w:name="_Toc305158823"/>
      <w:r>
        <w:rPr>
          <w:color w:val="000000"/>
          <w:sz w:val="24"/>
          <w:highlight w:val="none"/>
        </w:rPr>
        <w:t xml:space="preserve">投标文件的符合性审查</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Pr>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682" w:name="_Toc520356167"/>
      <w:r>
        <w:rPr>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682"/>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933"/>
        <w:ind w:hanging="357"/>
        <w:jc w:val="center"/>
        <w:spacing w:line="360" w:lineRule="auto"/>
        <w:shd w:val="clear" w:color="auto" w:fill="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33"/>
              <w:jc w:val="center"/>
              <w:shd w:val="clear" w:color="auto" w:fill="auto"/>
              <w:widowControl/>
              <w:rPr>
                <w:b/>
                <w:color w:val="000000"/>
                <w:sz w:val="24"/>
                <w:highlight w:val="none"/>
              </w:rPr>
            </w:pPr>
            <w:r>
              <w:rPr>
                <w:b/>
                <w:color w:val="000000"/>
                <w:sz w:val="24"/>
                <w:highlight w:val="none"/>
              </w:rPr>
              <w:t xml:space="preserve">序号</w:t>
            </w:r>
            <w:r>
              <w:rPr>
                <w:b/>
                <w:color w:val="000000"/>
                <w:sz w:val="24"/>
                <w:highlight w:val="none"/>
              </w:rPr>
            </w:r>
            <w:r/>
          </w:p>
        </w:tc>
        <w:tc>
          <w:tcPr>
            <w:tcW w:w="1813" w:type="dxa"/>
            <w:vAlign w:val="center"/>
            <w:textDirection w:val="lrTb"/>
            <w:noWrap w:val="false"/>
          </w:tcPr>
          <w:p>
            <w:pPr>
              <w:pStyle w:val="933"/>
              <w:jc w:val="center"/>
              <w:shd w:val="clear" w:color="auto" w:fill="auto"/>
              <w:widowControl/>
              <w:rPr>
                <w:b/>
                <w:color w:val="000000"/>
                <w:sz w:val="24"/>
                <w:highlight w:val="none"/>
              </w:rPr>
            </w:pPr>
            <w:r>
              <w:rPr>
                <w:b/>
                <w:color w:val="000000"/>
                <w:sz w:val="24"/>
                <w:highlight w:val="none"/>
              </w:rPr>
              <w:t xml:space="preserve">审查因素</w:t>
            </w:r>
            <w:r>
              <w:rPr>
                <w:b/>
                <w:color w:val="000000"/>
                <w:sz w:val="24"/>
                <w:highlight w:val="none"/>
              </w:rPr>
            </w:r>
            <w:r/>
          </w:p>
        </w:tc>
        <w:tc>
          <w:tcPr>
            <w:tcW w:w="6725" w:type="dxa"/>
            <w:vAlign w:val="center"/>
            <w:textDirection w:val="lrTb"/>
            <w:noWrap w:val="false"/>
          </w:tcPr>
          <w:p>
            <w:pPr>
              <w:pStyle w:val="933"/>
              <w:jc w:val="center"/>
              <w:shd w:val="clear" w:color="auto" w:fill="auto"/>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highlight w:val="none"/>
              </w:rPr>
            </w:pPr>
            <w:r>
              <w:rPr>
                <w:color w:val="000000"/>
                <w:sz w:val="24"/>
                <w:highlight w:val="none"/>
              </w:rPr>
              <w:t xml:space="preserve">1</w:t>
            </w:r>
            <w:r>
              <w:rPr>
                <w:color w:val="000000"/>
                <w:sz w:val="24"/>
                <w:highlight w:val="none"/>
              </w:rPr>
            </w:r>
            <w:r/>
          </w:p>
        </w:tc>
        <w:tc>
          <w:tcPr>
            <w:tcW w:w="1813" w:type="dxa"/>
            <w:vAlign w:val="center"/>
            <w:textDirection w:val="lrTb"/>
            <w:noWrap w:val="false"/>
          </w:tcPr>
          <w:p>
            <w:pPr>
              <w:pStyle w:val="933"/>
              <w:jc w:val="left"/>
              <w:shd w:val="clear" w:color="auto" w:fill="auto"/>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highlight w:val="none"/>
              </w:rPr>
            </w:pPr>
            <w:r>
              <w:rPr>
                <w:color w:val="000000"/>
                <w:sz w:val="24"/>
                <w:highlight w:val="none"/>
              </w:rPr>
              <w:t xml:space="preserve">2</w:t>
            </w:r>
            <w:r>
              <w:rPr>
                <w:color w:val="000000"/>
                <w:sz w:val="24"/>
                <w:highlight w:val="none"/>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投标完整性</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w:t>
            </w:r>
            <w:r>
              <w:rPr>
                <w:rFonts w:hint="eastAsia"/>
                <w:color w:val="000000"/>
                <w:sz w:val="24"/>
                <w:highlight w:val="none"/>
              </w:rPr>
              <w:t xml:space="preserve">采购项目</w:t>
            </w:r>
            <w:r>
              <w:rPr>
                <w:color w:val="000000"/>
                <w:sz w:val="24"/>
                <w:highlight w:val="none"/>
              </w:rPr>
              <w:t xml:space="preserve">中的内容拆开投标；</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highlight w:val="none"/>
              </w:rPr>
            </w:pPr>
            <w:r>
              <w:rPr>
                <w:color w:val="000000"/>
                <w:sz w:val="24"/>
                <w:highlight w:val="none"/>
              </w:rPr>
              <w:t xml:space="preserve">3</w:t>
            </w:r>
            <w:r>
              <w:rPr>
                <w:color w:val="000000"/>
                <w:sz w:val="24"/>
                <w:highlight w:val="none"/>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投标报价</w:t>
            </w:r>
            <w:r>
              <w:rPr>
                <w:color w:val="000000"/>
                <w:sz w:val="24"/>
                <w:highlight w:val="none"/>
              </w:rPr>
            </w:r>
            <w:r/>
          </w:p>
        </w:tc>
        <w:tc>
          <w:tcPr>
            <w:tcW w:w="6725" w:type="dxa"/>
            <w:vAlign w:val="center"/>
            <w:textDirection w:val="lrTb"/>
            <w:noWrap w:val="false"/>
          </w:tcPr>
          <w:p>
            <w:pPr>
              <w:pStyle w:val="933"/>
              <w:jc w:val="left"/>
              <w:shd w:val="clear" w:color="auto" w:fill="auto"/>
              <w:widowControl/>
              <w:rPr>
                <w:rFonts w:hint="eastAsia" w:eastAsia="宋体"/>
                <w:color w:val="000000"/>
                <w:sz w:val="24"/>
                <w:highlight w:val="none"/>
                <w:lang w:eastAsia="zh-CN"/>
              </w:rPr>
            </w:pPr>
            <w:r>
              <w:rPr>
                <w:rFonts w:hint="eastAsia"/>
                <w:color w:val="000000"/>
                <w:sz w:val="24"/>
                <w:highlight w:val="none"/>
              </w:rPr>
              <w:t xml:space="preserve">投标报价未超过招标文件中规定的项目预算金额或者项目最高限价</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685"/>
        </w:trPr>
        <w:tc>
          <w:tcPr>
            <w:tcW w:w="750" w:type="dxa"/>
            <w:vAlign w:val="center"/>
            <w:textDirection w:val="lrTb"/>
            <w:noWrap w:val="false"/>
          </w:tcPr>
          <w:p>
            <w:pPr>
              <w:pStyle w:val="933"/>
              <w:jc w:val="center"/>
              <w:shd w:val="clear" w:color="auto" w:fill="auto"/>
              <w:widowControl/>
              <w:rPr>
                <w:color w:val="000000"/>
                <w:sz w:val="24"/>
                <w:highlight w:val="none"/>
              </w:rPr>
            </w:pPr>
            <w:r>
              <w:rPr>
                <w:color w:val="000000"/>
                <w:sz w:val="24"/>
                <w:highlight w:val="none"/>
              </w:rPr>
              <w:t xml:space="preserve">4</w:t>
            </w:r>
            <w:r>
              <w:rPr>
                <w:color w:val="000000"/>
                <w:sz w:val="24"/>
                <w:highlight w:val="none"/>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报价唯一性</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highlight w:val="none"/>
              </w:rPr>
            </w:pPr>
            <w:r>
              <w:rPr>
                <w:color w:val="000000"/>
                <w:sz w:val="24"/>
                <w:highlight w:val="none"/>
              </w:rPr>
              <w:t xml:space="preserve">5</w:t>
            </w:r>
            <w:r>
              <w:rPr>
                <w:color w:val="000000"/>
                <w:sz w:val="24"/>
                <w:highlight w:val="none"/>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投标有效期</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highlight w:val="none"/>
              </w:rPr>
            </w:pPr>
            <w:r>
              <w:rPr>
                <w:color w:val="000000"/>
                <w:sz w:val="24"/>
                <w:highlight w:val="none"/>
              </w:rPr>
              <w:t xml:space="preserve">6</w:t>
            </w:r>
            <w:r>
              <w:rPr>
                <w:color w:val="000000"/>
                <w:sz w:val="24"/>
                <w:highlight w:val="none"/>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签署、加盖公章</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813" w:type="dxa"/>
            <w:vAlign w:val="center"/>
            <w:textDirection w:val="lrTb"/>
            <w:noWrap w:val="false"/>
          </w:tcPr>
          <w:p>
            <w:pPr>
              <w:pStyle w:val="933"/>
              <w:jc w:val="left"/>
              <w:shd w:val="clear" w:color="auto" w:fill="auto"/>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highlight w:val="none"/>
              </w:rPr>
            </w:pPr>
            <w:r>
              <w:rPr>
                <w:color w:val="000000"/>
                <w:sz w:val="24"/>
                <w:highlight w:val="none"/>
              </w:rPr>
              <w:t xml:space="preserve">8</w:t>
            </w:r>
            <w:r>
              <w:rPr>
                <w:color w:val="000000"/>
                <w:sz w:val="24"/>
                <w:highlight w:val="none"/>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报价的修正</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color w:val="000000"/>
                <w:sz w:val="24"/>
                <w:highlight w:val="none"/>
              </w:rPr>
            </w:r>
            <w:r/>
          </w:p>
        </w:tc>
      </w:tr>
      <w:tr>
        <w:trPr>
          <w:trHeight w:val="685"/>
        </w:trPr>
        <w:tc>
          <w:tcPr>
            <w:tcW w:w="750" w:type="dxa"/>
            <w:vAlign w:val="center"/>
            <w:textDirection w:val="lrTb"/>
            <w:noWrap w:val="false"/>
          </w:tcPr>
          <w:p>
            <w:pPr>
              <w:pStyle w:val="933"/>
              <w:jc w:val="center"/>
              <w:widowControl/>
              <w:rPr>
                <w:color w:val="000000"/>
                <w:sz w:val="24"/>
                <w:highlight w:val="none"/>
                <w:lang w:val="en-US" w:eastAsia="zh-CN"/>
              </w:rPr>
            </w:pPr>
            <w:r>
              <w:rPr>
                <w:rFonts w:hint="eastAsia"/>
                <w:color w:val="000000"/>
                <w:sz w:val="24"/>
                <w:highlight w:val="none"/>
                <w:lang w:val="en-US" w:eastAsia="zh-CN"/>
              </w:rPr>
              <w:t xml:space="preserve">9</w:t>
            </w:r>
            <w:r>
              <w:rPr>
                <w:color w:val="000000"/>
                <w:sz w:val="24"/>
                <w:highlight w:val="none"/>
                <w:lang w:val="en-US" w:eastAsia="zh-CN"/>
              </w:rPr>
            </w:r>
            <w:r/>
          </w:p>
        </w:tc>
        <w:tc>
          <w:tcPr>
            <w:tcW w:w="1813" w:type="dxa"/>
            <w:vAlign w:val="center"/>
            <w:textDirection w:val="lrTb"/>
            <w:noWrap w:val="false"/>
          </w:tcPr>
          <w:p>
            <w:pPr>
              <w:pStyle w:val="933"/>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6725" w:type="dxa"/>
            <w:vAlign w:val="center"/>
            <w:textDirection w:val="lrTb"/>
            <w:noWrap w:val="false"/>
          </w:tcPr>
          <w:p>
            <w:pPr>
              <w:pStyle w:val="933"/>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szCs w:val="24"/>
                <w:highlight w:val="none"/>
                <w:lang w:val="en-US" w:eastAsia="zh-CN" w:bidi="ar-SA"/>
              </w:rPr>
            </w:pPr>
            <w:r>
              <w:rPr>
                <w:rFonts w:hint="eastAsia"/>
                <w:color w:val="000000"/>
                <w:sz w:val="24"/>
                <w:highlight w:val="none"/>
              </w:rPr>
              <w:t xml:space="preserve">10</w:t>
            </w:r>
            <w:r>
              <w:rPr>
                <w:color w:val="000000"/>
                <w:sz w:val="24"/>
                <w:szCs w:val="24"/>
                <w:highlight w:val="none"/>
                <w:lang w:val="en-US" w:eastAsia="zh-CN" w:bidi="ar-SA"/>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报价合理性</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szCs w:val="24"/>
                <w:highlight w:val="none"/>
                <w:lang w:val="en-US" w:eastAsia="zh-CN" w:bidi="ar-SA"/>
              </w:rPr>
            </w:pPr>
            <w:r>
              <w:rPr>
                <w:color w:val="000000"/>
                <w:sz w:val="24"/>
                <w:highlight w:val="none"/>
              </w:rPr>
              <w:t xml:space="preserve">11</w:t>
            </w:r>
            <w:r>
              <w:rPr>
                <w:color w:val="000000"/>
                <w:sz w:val="24"/>
                <w:szCs w:val="24"/>
                <w:highlight w:val="none"/>
                <w:lang w:val="en-US" w:eastAsia="zh-CN" w:bidi="ar-SA"/>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，提供证明文件</w:t>
            </w:r>
            <w:r>
              <w:rPr>
                <w:rFonts w:ascii="宋体" w:hAnsi="宋体" w:cs="宋体"/>
                <w:color w:val="000000"/>
                <w:sz w:val="24"/>
                <w:highlight w:val="none"/>
              </w:rPr>
              <w:t xml:space="preserve">电子件</w:t>
            </w:r>
            <w:r>
              <w:rPr>
                <w:rFonts w:hint="eastAsia"/>
                <w:color w:val="000000"/>
                <w:sz w:val="24"/>
                <w:highlight w:val="none"/>
              </w:rPr>
              <w:t xml:space="preserve">加盖投标人公章：</w:t>
            </w:r>
            <w:r>
              <w:rPr>
                <w:color w:val="000000"/>
                <w:sz w:val="24"/>
                <w:highlight w:val="none"/>
              </w:rPr>
            </w:r>
            <w:r/>
          </w:p>
          <w:p>
            <w:pPr>
              <w:pStyle w:val="933"/>
              <w:jc w:val="left"/>
              <w:shd w:val="clear" w:color="auto" w:fill="auto"/>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w:t>
            </w:r>
            <w:r>
              <w:rPr>
                <w:b/>
                <w:bCs/>
                <w:color w:val="000000"/>
                <w:sz w:val="24"/>
                <w:highlight w:val="none"/>
              </w:rPr>
              <w:t xml:space="preserve">若属于</w:t>
            </w:r>
            <w:r>
              <w:rPr>
                <w:color w:val="000000"/>
                <w:sz w:val="24"/>
                <w:highlight w:val="none"/>
              </w:rPr>
              <w:t xml:space="preserve">《节能产品政府采购品目清单》范围中政府强制采购产品，则投标人所报产品必须获得国家确定的认证机构出具的、处于有效期之内的节能产品认证证书；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933"/>
              <w:jc w:val="left"/>
              <w:shd w:val="clear" w:color="auto" w:fill="auto"/>
              <w:widowControl/>
              <w:rPr>
                <w:color w:val="000000"/>
                <w:sz w:val="24"/>
                <w:highlight w:val="none"/>
              </w:rPr>
            </w:pPr>
            <w:r>
              <w:rPr>
                <w:rFonts w:hint="eastAsia"/>
                <w:color w:val="000000"/>
                <w:sz w:val="24"/>
                <w:highlight w:val="none"/>
              </w:rPr>
              <w:t xml:space="preserve">2）</w:t>
            </w:r>
            <w:r>
              <w:rPr>
                <w:color w:val="000000"/>
                <w:sz w:val="24"/>
                <w:highlight w:val="none"/>
              </w:rPr>
              <w:t xml:space="preserve">国家有特殊信息安全要求的项目，采购产品</w:t>
            </w:r>
            <w:r>
              <w:rPr>
                <w:b/>
                <w:bCs/>
                <w:color w:val="000000"/>
                <w:sz w:val="24"/>
                <w:highlight w:val="none"/>
              </w:rPr>
              <w:t xml:space="preserve">涉及</w:t>
            </w:r>
            <w:r>
              <w:rPr>
                <w:color w:val="000000"/>
                <w:sz w:val="24"/>
                <w:highlight w:val="none"/>
              </w:rPr>
              <w:t xml:space="preserve">无线局域网产品和含有无线局域网功能的计算机、通信设备、打印机、复印机、投影仪等产品的，投标产品须为符合国家无线局域网安全标准并通过国家产品认证的产品；</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szCs w:val="24"/>
                <w:highlight w:val="none"/>
                <w:lang w:val="en-US" w:eastAsia="zh-CN" w:bidi="ar-SA"/>
              </w:rPr>
            </w:pPr>
            <w:r>
              <w:rPr>
                <w:color w:val="000000"/>
                <w:sz w:val="24"/>
                <w:highlight w:val="none"/>
              </w:rPr>
              <w:t xml:space="preserve">12</w:t>
            </w:r>
            <w:r>
              <w:rPr>
                <w:color w:val="000000"/>
                <w:sz w:val="24"/>
                <w:szCs w:val="24"/>
                <w:highlight w:val="none"/>
                <w:lang w:val="en-US" w:eastAsia="zh-CN" w:bidi="ar-SA"/>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公平竞争</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szCs w:val="24"/>
                <w:highlight w:val="none"/>
                <w:lang w:val="en-US" w:eastAsia="zh-CN" w:bidi="ar-SA"/>
              </w:rPr>
            </w:pPr>
            <w:r>
              <w:rPr>
                <w:color w:val="000000"/>
                <w:sz w:val="24"/>
                <w:highlight w:val="none"/>
              </w:rPr>
              <w:t xml:space="preserve">13</w:t>
            </w:r>
            <w:r>
              <w:rPr>
                <w:color w:val="000000"/>
                <w:sz w:val="24"/>
                <w:szCs w:val="24"/>
                <w:highlight w:val="none"/>
                <w:lang w:val="en-US" w:eastAsia="zh-CN" w:bidi="ar-SA"/>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串通投标</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（包含使用同一MAC地址的计算机制作电子投标文件的情形）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（包含使用同一MAC地址的计算机提交或者解密电子投标文件的情形）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rFonts w:hint="eastAsia"/>
                <w:color w:val="000000"/>
                <w:sz w:val="24"/>
                <w:szCs w:val="24"/>
                <w:highlight w:val="none"/>
                <w:lang w:val="en-US" w:eastAsia="zh-CN" w:bidi="ar-SA"/>
              </w:rPr>
            </w:pPr>
            <w:r>
              <w:rPr>
                <w:color w:val="000000"/>
                <w:sz w:val="24"/>
                <w:highlight w:val="none"/>
              </w:rPr>
              <w:t xml:space="preserve">1</w:t>
            </w:r>
            <w:r>
              <w:rPr>
                <w:rFonts w:hint="eastAsia"/>
                <w:color w:val="000000"/>
                <w:sz w:val="24"/>
                <w:highlight w:val="none"/>
              </w:rPr>
              <w:t xml:space="preserve">4</w:t>
            </w:r>
            <w:r>
              <w:rPr>
                <w:rFonts w:hint="eastAsia"/>
                <w:color w:val="000000"/>
                <w:sz w:val="24"/>
                <w:szCs w:val="24"/>
                <w:highlight w:val="none"/>
                <w:lang w:val="en-US" w:eastAsia="zh-CN" w:bidi="ar-SA"/>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附加条件</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rFonts w:eastAsia="宋体"/>
                <w:color w:val="000000"/>
                <w:sz w:val="24"/>
                <w:highlight w:val="none"/>
                <w:lang w:val="en-US" w:eastAsia="zh-CN"/>
              </w:rPr>
            </w:pPr>
            <w:r>
              <w:rPr>
                <w:rFonts w:hint="eastAsia"/>
                <w:color w:val="000000"/>
                <w:sz w:val="24"/>
                <w:highlight w:val="none"/>
                <w:lang w:val="en-US" w:eastAsia="zh-CN"/>
              </w:rPr>
              <w:t xml:space="preserve">15</w:t>
            </w:r>
            <w:r>
              <w:rPr>
                <w:rFonts w:eastAsia="宋体"/>
                <w:color w:val="000000"/>
                <w:sz w:val="24"/>
                <w:highlight w:val="none"/>
                <w:lang w:val="en-US" w:eastAsia="zh-CN"/>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其他无效情形</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933"/>
        <w:numPr>
          <w:ilvl w:val="0"/>
          <w:numId w:val="13"/>
        </w:numPr>
        <w:spacing w:line="360" w:lineRule="auto"/>
        <w:shd w:val="clear" w:color="auto" w:fill="auto"/>
        <w:tabs>
          <w:tab w:val="left" w:pos="900" w:leader="none"/>
          <w:tab w:val="left" w:pos="1080" w:leader="none"/>
          <w:tab w:val="left" w:pos="1589"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933"/>
        <w:numPr>
          <w:ilvl w:val="0"/>
          <w:numId w:val="12"/>
        </w:numPr>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投标文件有关事项的澄清或者说明</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通过“苏采云”政府采购一体化平台系统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实施政府采购异常低价审查的有关要求：具体按照财库〔2026〕2号《关于推动解决政府采购异常低价问题的通知》要求：</w:t>
      </w:r>
      <w:r>
        <w:rPr>
          <w:rFonts w:hint="eastAsia" w:ascii="宋体" w:hAnsi="宋体" w:eastAsia="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（一）政府采购评审中出现下列情形之一的，评审委员会应当启动异常低价投标（响应）审查程序：</w:t>
      </w:r>
      <w:r>
        <w:rPr>
          <w:rFonts w:hint="eastAsia" w:ascii="宋体" w:hAnsi="宋体" w:eastAsia="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3.投标（响应）报价低于采购项目最高限价45%的，即投标（响应）报价&lt;采购项目最高限价×45%；</w:t>
      </w:r>
      <w:r>
        <w:rPr>
          <w:rFonts w:hint="eastAsia" w:ascii="宋体" w:hAnsi="宋体" w:eastAsia="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933"/>
        <w:ind w:left="2035"/>
        <w:spacing w:line="360" w:lineRule="auto"/>
        <w:shd w:val="clear" w:color="auto" w:fill="auto"/>
        <w:tabs>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933"/>
        <w:ind w:left="2035"/>
        <w:spacing w:line="360" w:lineRule="auto"/>
        <w:shd w:val="clear" w:color="auto" w:fill="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采购本国产品的支持政策</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highlight w:val="none"/>
        </w:rPr>
        <w:t xml:space="preserve">章 投标文件格式”的“附件5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highlight w:val="none"/>
        </w:rPr>
      </w:r>
      <w:r/>
    </w:p>
    <w:p>
      <w:pPr>
        <w:pStyle w:val="933"/>
        <w:numPr>
          <w:ilvl w:val="0"/>
          <w:numId w:val="12"/>
        </w:numPr>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投标文件的比较和评价</w:t>
      </w:r>
      <w:bookmarkEnd w:id="666"/>
      <w:r/>
      <w:bookmarkEnd w:id="667"/>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ind w:left="2035"/>
        <w:spacing w:line="360" w:lineRule="auto"/>
        <w:shd w:val="clear" w:color="auto" w:fill="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933"/>
        <w:ind w:left="2035"/>
        <w:spacing w:line="360" w:lineRule="auto"/>
        <w:shd w:val="clear" w:color="auto" w:fill="auto"/>
        <w:tabs>
          <w:tab w:val="left" w:pos="1080"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u w:val="single"/>
        </w:rPr>
      </w:r>
      <w:r/>
    </w:p>
    <w:p>
      <w:pPr>
        <w:pStyle w:val="933"/>
        <w:numPr>
          <w:ilvl w:val="2"/>
          <w:numId w:val="12"/>
        </w:numPr>
        <w:ind w:left="2035"/>
        <w:spacing w:line="360" w:lineRule="auto"/>
        <w:shd w:val="clear" w:color="auto" w:fill="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0"/>
          <w:numId w:val="12"/>
        </w:numPr>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确定</w:t>
      </w:r>
      <w:bookmarkStart w:id="683" w:name="_Toc164229241"/>
      <w:r/>
      <w:bookmarkStart w:id="684" w:name="_Toc151193860"/>
      <w:r/>
      <w:bookmarkStart w:id="685" w:name="_Ref467307010"/>
      <w:r/>
      <w:bookmarkStart w:id="686" w:name="_Toc150480784"/>
      <w:r/>
      <w:bookmarkStart w:id="687" w:name="_Toc150774646"/>
      <w:r/>
      <w:bookmarkStart w:id="688" w:name="_Toc164351640"/>
      <w:r/>
      <w:bookmarkStart w:id="689" w:name="_Toc226965819"/>
      <w:r/>
      <w:bookmarkStart w:id="690" w:name="_Toc164608660"/>
      <w:r/>
      <w:bookmarkStart w:id="691" w:name="_Toc151193934"/>
      <w:r/>
      <w:bookmarkStart w:id="692" w:name="_Toc151190173"/>
      <w:r/>
      <w:bookmarkStart w:id="693" w:name="_Toc195842911"/>
      <w:r/>
      <w:bookmarkStart w:id="694" w:name="_Toc305158814"/>
      <w:r/>
      <w:bookmarkStart w:id="695" w:name="_Toc265228384"/>
      <w:r/>
      <w:bookmarkStart w:id="696" w:name="_Toc164229387"/>
      <w:r/>
      <w:bookmarkStart w:id="697" w:name="_Toc164608815"/>
      <w:r/>
      <w:bookmarkStart w:id="698" w:name="_Toc142311048"/>
      <w:r/>
      <w:bookmarkStart w:id="699" w:name="_Toc520356170"/>
      <w:r/>
      <w:bookmarkStart w:id="700" w:name="_Toc305158888"/>
      <w:r/>
      <w:bookmarkStart w:id="701" w:name="_Toc127151546"/>
      <w:r/>
      <w:bookmarkStart w:id="702" w:name="_Toc150509297"/>
      <w:r/>
      <w:bookmarkStart w:id="703" w:name="_Toc151193716"/>
      <w:r/>
      <w:bookmarkStart w:id="704" w:name="_Toc127151747"/>
      <w:r/>
      <w:bookmarkStart w:id="705" w:name="_Toc150774751"/>
      <w:r/>
      <w:bookmarkStart w:id="706" w:name="_Toc127161460"/>
      <w:r/>
      <w:bookmarkStart w:id="707" w:name="_Toc264969236"/>
      <w:r/>
      <w:bookmarkStart w:id="708" w:name="_Toc151193644"/>
      <w:r/>
      <w:bookmarkStart w:id="709" w:name="_Toc226965736"/>
      <w:r/>
      <w:bookmarkStart w:id="710" w:name="_Toc226337242"/>
      <w:r/>
      <w:bookmarkStart w:id="711" w:name="_Toc151193788"/>
      <w:r/>
      <w:bookmarkStart w:id="712" w:name="_Toc149720839"/>
      <w:r/>
      <w:bookmarkStart w:id="713" w:name="_Toc226309790"/>
      <w:r>
        <w:rPr>
          <w:rFonts w:hint="eastAsia" w:ascii="宋体" w:hAnsi="宋体" w:cs="宋体"/>
          <w:color w:val="000000"/>
          <w:sz w:val="24"/>
          <w:highlight w:val="none"/>
        </w:rPr>
        <w:t xml:space="preserve">中标候选人名单</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用综合评分法时，提供相同品牌产品（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b/>
          <w:bCs/>
          <w:color w:val="000000"/>
          <w:sz w:val="24"/>
          <w:highlight w:val="none"/>
        </w:rPr>
      </w:r>
      <w:r/>
    </w:p>
    <w:p>
      <w:pPr>
        <w:pStyle w:val="973"/>
        <w:ind w:left="993" w:firstLine="136"/>
        <w:spacing w:line="360" w:lineRule="auto"/>
        <w:shd w:val="clear" w:color="auto" w:fill="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973"/>
        <w:ind w:left="993" w:firstLine="136"/>
        <w:spacing w:line="360" w:lineRule="auto"/>
        <w:shd w:val="clear" w:color="auto" w:fill="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szCs w:val="24"/>
          <w:highlight w:val="none"/>
          <w:u w:val="single"/>
        </w:rPr>
        <w:t xml:space="preserve">  /  </w:t>
      </w:r>
      <w:r>
        <w:rPr>
          <w:rFonts w:hAnsi="宋体" w:cs="宋体"/>
          <w:color w:val="000000"/>
          <w:sz w:val="24"/>
          <w:szCs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评标委员会要对评分汇总情况进行复核，特别是对排名第一的、报价最低的、投标文件被认定为无效的情形进行重点复核。</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评标委员会将根据各投标人的评标排序，依次推荐本项目的中标候选人，起草并签署评标报告。本项目评标委员会共推荐不少于3名中标候选人。</w:t>
      </w:r>
      <w:r>
        <w:rPr>
          <w:rFonts w:hint="eastAsia" w:ascii="宋体" w:hAnsi="宋体" w:cs="宋体"/>
          <w:color w:val="000000"/>
          <w:sz w:val="24"/>
          <w:highlight w:val="none"/>
        </w:rPr>
      </w:r>
      <w:r/>
    </w:p>
    <w:p>
      <w:pPr>
        <w:pStyle w:val="933"/>
        <w:numPr>
          <w:ilvl w:val="0"/>
          <w:numId w:val="12"/>
        </w:numPr>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报告违法行为</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b/>
          <w:bCs/>
          <w:color w:val="000000"/>
          <w:sz w:val="28"/>
          <w:szCs w:val="28"/>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w:t>
      </w:r>
      <w:r>
        <w:rPr>
          <w:color w:val="000000"/>
          <w:sz w:val="24"/>
          <w:highlight w:val="none"/>
        </w:rPr>
        <w:t xml:space="preserve">采购人</w:t>
      </w:r>
      <w:r>
        <w:rPr>
          <w:rFonts w:hint="eastAsia" w:ascii="宋体" w:hAnsi="宋体" w:cs="宋体"/>
          <w:color w:val="000000"/>
          <w:sz w:val="24"/>
          <w:highlight w:val="none"/>
        </w:rPr>
        <w:t xml:space="preserve">、采购代理机构或者有关部门报告的职责。</w:t>
      </w:r>
      <w:r>
        <w:rPr>
          <w:rFonts w:hint="eastAsia" w:ascii="宋体" w:hAnsi="宋体" w:cs="宋体"/>
          <w:b/>
          <w:color w:val="000000"/>
          <w:sz w:val="24"/>
          <w:highlight w:val="none"/>
        </w:rPr>
        <w:br w:type="page" w:clear="all"/>
      </w:r>
      <w:r>
        <w:rPr>
          <w:rFonts w:hint="eastAsia" w:ascii="宋体" w:hAnsi="宋体"/>
          <w:b/>
          <w:bCs/>
          <w:color w:val="000000"/>
          <w:sz w:val="28"/>
          <w:szCs w:val="28"/>
          <w:highlight w:val="none"/>
        </w:rPr>
        <w:t xml:space="preserve">二、评标标准</w:t>
      </w:r>
      <w:r>
        <w:rPr>
          <w:rFonts w:hint="eastAsia" w:ascii="宋体" w:hAnsi="宋体"/>
          <w:b/>
          <w:bCs/>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246"/>
        <w:gridCol w:w="6184"/>
        <w:gridCol w:w="515"/>
      </w:tblGrid>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bookmarkStart w:id="714" w:name="_Toc14891"/>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评分因素</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评分标准</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分值</w:t>
            </w:r>
            <w:r>
              <w:rPr>
                <w:rFonts w:hint="eastAsia" w:ascii="宋体" w:hAnsi="宋体" w:eastAsia="宋体" w:cs="宋体"/>
                <w:b/>
                <w:bCs/>
                <w:color w:val="000000"/>
                <w:sz w:val="24"/>
                <w:szCs w:val="24"/>
                <w:highlight w:val="none"/>
                <w:lang w:val="en-US" w:eastAsia="zh-CN"/>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一、报价（50分）</w:t>
            </w:r>
            <w:r>
              <w:rPr>
                <w:rFonts w:hint="eastAsia" w:ascii="宋体" w:hAnsi="宋体" w:eastAsia="宋体" w:cs="宋体"/>
                <w:b/>
                <w:bCs/>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eastAsia="宋体" w:cs="宋体"/>
                <w:color w:val="000000"/>
                <w:sz w:val="24"/>
                <w:szCs w:val="24"/>
                <w:highlight w:val="none"/>
                <w:lang w:val="en-US" w:eastAsia="zh-CN"/>
              </w:rPr>
            </w:r>
            <w:r/>
          </w:p>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注：1.此处用于评审比较的投标报价，是指在投标人原始投标报价基础上，经过算术修正后，再依据政府采购政策进行价格调整（如本国产品价格扣除）后形成的价格。</w:t>
            </w:r>
            <w:r>
              <w:rPr>
                <w:rFonts w:hint="eastAsia" w:ascii="宋体" w:hAnsi="宋体" w:eastAsia="宋体" w:cs="宋体"/>
                <w:b/>
                <w:bCs/>
                <w:color w:val="000000"/>
                <w:sz w:val="24"/>
                <w:szCs w:val="24"/>
                <w:highlight w:val="none"/>
                <w:lang w:val="en-US" w:eastAsia="zh-CN"/>
              </w:rPr>
            </w:r>
            <w:r/>
          </w:p>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2.根据本国产品支持政策，政府采购活动中，依法对本国产品给予价格评审优惠。</w:t>
            </w:r>
            <w:r>
              <w:rPr>
                <w:rFonts w:hint="eastAsia" w:ascii="宋体" w:hAnsi="宋体" w:eastAsia="宋体" w:cs="宋体"/>
                <w:b/>
                <w:bCs/>
                <w:color w:val="000000"/>
                <w:sz w:val="24"/>
                <w:szCs w:val="24"/>
                <w:highlight w:val="none"/>
                <w:lang w:val="en-US" w:eastAsia="zh-CN"/>
              </w:rPr>
            </w:r>
            <w:r/>
          </w:p>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当采购项目的采购标的中含有多种产品，投标人为该采购项目或者采购包提供的符合本国产品标准的产品成本之和占该投标人提供的全部产品成本之和的比例达到80%以上时，且投标人在投标文件中对此作出承诺的，则依法对该投标人提供的全部产品给予价格评审优惠，即对该投标人提供的全部产品的总报价给予20%的价格扣除，用扣除后的价格参与评审。全部产品是指货物或服务采购项目或采购包中包含的全部货物、服务产品。</w:t>
            </w:r>
            <w:r>
              <w:rPr>
                <w:rFonts w:hint="eastAsia" w:ascii="宋体" w:hAnsi="宋体" w:eastAsia="宋体" w:cs="宋体"/>
                <w:b/>
                <w:bCs/>
                <w:color w:val="000000"/>
                <w:sz w:val="24"/>
                <w:szCs w:val="24"/>
                <w:highlight w:val="none"/>
                <w:lang w:val="en-US" w:eastAsia="zh-CN"/>
              </w:rPr>
            </w:r>
            <w:r/>
          </w:p>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3.上述价格扣除优惠，仅适用于采购活动中实际存在非本国产品参与竞争的情形。如果所有有效投标人提供的产品均为本国产品（即不存在非本国产品竞争），则不执行本国产品的价格扣除政策。</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50</w:t>
            </w:r>
            <w:r>
              <w:rPr>
                <w:rFonts w:ascii="宋体" w:hAnsi="宋体" w:eastAsia="宋体" w:cs="宋体"/>
                <w:color w:val="000000"/>
                <w:sz w:val="24"/>
                <w:szCs w:val="24"/>
                <w:highlight w:val="none"/>
                <w:lang w:val="en-US" w:eastAsia="zh-CN"/>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val="en-US" w:eastAsia="zh-CN"/>
              </w:rPr>
              <w:t xml:space="preserve">、主观分（30分）</w:t>
            </w:r>
            <w:r>
              <w:rPr>
                <w:rFonts w:hint="eastAsia" w:ascii="宋体" w:hAnsi="宋体" w:eastAsia="宋体" w:cs="宋体"/>
                <w:b/>
                <w:bCs/>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项目总体部署</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spacing w:line="360" w:lineRule="exact"/>
              <w:tabs>
                <w:tab w:val="left" w:pos="426"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lang w:val="zh-CN"/>
              </w:rPr>
              <w:t xml:space="preserve">根据</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lang w:val="zh-CN"/>
              </w:rPr>
              <w:t xml:space="preserve">提供的</w:t>
            </w:r>
            <w:r>
              <w:rPr>
                <w:rFonts w:hint="eastAsia" w:ascii="宋体" w:hAnsi="宋体" w:eastAsia="宋体" w:cs="宋体"/>
                <w:color w:val="000000"/>
                <w:sz w:val="24"/>
                <w:szCs w:val="24"/>
                <w:highlight w:val="none"/>
                <w:lang w:val="en-US" w:eastAsia="zh-CN"/>
              </w:rPr>
              <w:t xml:space="preserve">项目总体部署</w:t>
            </w:r>
            <w:r>
              <w:rPr>
                <w:rFonts w:hint="eastAsia" w:ascii="宋体" w:hAnsi="宋体" w:cs="宋体"/>
                <w:color w:val="000000"/>
                <w:sz w:val="24"/>
                <w:highlight w:val="none"/>
                <w:lang w:val="zh-CN"/>
              </w:rPr>
              <w:t xml:space="preserve">进行综合评审。</w:t>
            </w:r>
            <w:r>
              <w:rPr>
                <w:rFonts w:hint="eastAsia" w:ascii="宋体" w:hAnsi="宋体" w:cs="宋体"/>
                <w:color w:val="000000"/>
                <w:sz w:val="24"/>
                <w:highlight w:val="none"/>
                <w:lang w:val="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项目总体部署全面、科学、合理，完全契合本老旧小区消防整治项目特点，明确设备采购、运输、安装、调试等各环节的流程、时间节点、人员配置，部署思路清晰、重点突出，可直接落地执行，能有效保障项目按期高质量完成的，得6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（2）项目总体部署较全面，符合项目需求，各环节流程、时间节点、人员配置基本合理，部署思路较清晰，有可操作性，能保障项目按期完成的，得4分；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（3）项目总体部署基本完整，基本符合项目需求，各环节部署有一定合理性，但细节不够完善，可操作性一般，需进一步优化才能保障项目顺利推进的，得2分；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（4）项目总体部署不够完整，与项目需求有一定偏差，各环节流程、时间节点或人员配置不合理，可操作性较差，难以保障项目正常推进的，得1分；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（5）未提供的不得分。</w:t>
            </w:r>
            <w:r>
              <w:rPr>
                <w:rFonts w:hint="eastAsia"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项目实施方案及售后服务措施</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spacing w:line="360" w:lineRule="exact"/>
              <w:tabs>
                <w:tab w:val="left" w:pos="426"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lang w:val="zh-CN"/>
              </w:rPr>
              <w:t xml:space="preserve">根据</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lang w:val="zh-CN"/>
              </w:rPr>
              <w:t xml:space="preserve">提供的</w:t>
            </w:r>
            <w:r>
              <w:rPr>
                <w:rFonts w:hint="eastAsia" w:ascii="宋体" w:hAnsi="宋体" w:eastAsia="宋体" w:cs="宋体"/>
                <w:color w:val="000000"/>
                <w:sz w:val="24"/>
                <w:szCs w:val="24"/>
                <w:highlight w:val="none"/>
                <w:lang w:val="en-US" w:eastAsia="zh-CN"/>
              </w:rPr>
              <w:t xml:space="preserve">项目实施方案及售后服务措施</w:t>
            </w:r>
            <w:r>
              <w:rPr>
                <w:rFonts w:hint="eastAsia" w:ascii="宋体" w:hAnsi="宋体" w:cs="宋体"/>
                <w:color w:val="000000"/>
                <w:sz w:val="24"/>
                <w:highlight w:val="none"/>
                <w:lang w:val="zh-CN"/>
              </w:rPr>
              <w:t xml:space="preserve">进行综合评审。</w:t>
            </w:r>
            <w:r>
              <w:rPr>
                <w:rFonts w:hint="eastAsia" w:ascii="宋体" w:hAnsi="宋体" w:cs="宋体"/>
                <w:color w:val="000000"/>
                <w:sz w:val="24"/>
                <w:highlight w:val="none"/>
                <w:lang w:val="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实施方案详细具体，涵盖设备制造（采购）、运输、装卸、安装、调试、测试等全流程，步骤清晰、方法科学，针对性强；售后服务措施完善，质保期承诺符合采购要求且优于行业标准，售后响应时间快、维修团队专业，有明确的技术培训计划和方案，能全面保障项目验收及后期使用的，得6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实施方案较详细，覆盖全流程主要环节，步骤较清晰、方法较科学，有一定针对性；售后服务措施较完善，质保期承诺符合采购要求，售后响应及时，有维修团队和基本的技术培训计划，能保障项目验收及后期基本使用的，得4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实施方案基本完整，覆盖主要流程环节，步骤和方法基本合理，针对性一般；售后服务措施，质保期承诺符合采购要求，售后响应和维修有基本保障，技术培训计划较简单，基本能满足项目验收及后期使用需求的，得2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实施方案不够详细，未完全覆盖全流程环节，步骤和方法不合理，针对性差；售后服务措施不完善，质保期承诺未完全符合采购要求，售后响应不及时，维修保障不足，无明确技术培训计划，难以满足项目验收及后期使用需求的，得1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（5）未提供的不得分。</w:t>
            </w:r>
            <w:r>
              <w:rPr>
                <w:rFonts w:hint="eastAsia"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质量管理体系与保证措施</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spacing w:line="360" w:lineRule="exact"/>
              <w:tabs>
                <w:tab w:val="left" w:pos="426"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lang w:val="zh-CN"/>
              </w:rPr>
              <w:t xml:space="preserve">根据</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lang w:val="zh-CN"/>
              </w:rPr>
              <w:t xml:space="preserve">提供的</w:t>
            </w:r>
            <w:r>
              <w:rPr>
                <w:rFonts w:hint="eastAsia" w:ascii="宋体" w:hAnsi="宋体" w:eastAsia="宋体" w:cs="宋体"/>
                <w:color w:val="000000"/>
                <w:sz w:val="24"/>
                <w:szCs w:val="24"/>
                <w:highlight w:val="none"/>
                <w:lang w:val="en-US" w:eastAsia="zh-CN"/>
              </w:rPr>
              <w:t xml:space="preserve">质量管理体系与保证措施</w:t>
            </w:r>
            <w:r>
              <w:rPr>
                <w:rFonts w:hint="eastAsia" w:ascii="宋体" w:hAnsi="宋体" w:cs="宋体"/>
                <w:color w:val="000000"/>
                <w:sz w:val="24"/>
                <w:highlight w:val="none"/>
                <w:lang w:val="zh-CN"/>
              </w:rPr>
              <w:t xml:space="preserve">进行综合评审。</w:t>
            </w:r>
            <w:r>
              <w:rPr>
                <w:rFonts w:hint="eastAsia" w:ascii="宋体" w:hAnsi="宋体" w:cs="宋体"/>
                <w:color w:val="000000"/>
                <w:sz w:val="24"/>
                <w:highlight w:val="none"/>
                <w:lang w:val="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建立了完善的质量管理体系，体系运行有效；质量保证措施全面、具体，涵盖设备采购、制造、运输、安装、调试等各环节，有严格的质量检验标准、验收流程和纠错机制，能确保设备质量和施工质量完全符合采购文件及相关行业标准的，得6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（2）建立了较完善的质量管理体系，质量保证措施较全面，覆盖各主要环节，有明确的质量检验标准和验收流程，能确保设备质量和施工质量符合采购文件及相关行业标准的，得4分；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（3）建立了基本的质量管理体系，质量保证措施基本全面，覆盖主要环节，有基本的质量检验和验收要求，能基本保证设备质量和施工质量符合相关标准的，得2分；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（4）质量管理体系不健全，质量保证措施不完善，未覆盖关键环节，缺乏明确的质量检验和验收标准，难以保证设备质量和施工质量的，得1分；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（5）未提供的不得分。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其他各项措施</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spacing w:line="360" w:lineRule="exact"/>
              <w:tabs>
                <w:tab w:val="left" w:pos="426"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lang w:val="zh-CN"/>
              </w:rPr>
              <w:t xml:space="preserve">根据</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lang w:val="zh-CN"/>
              </w:rPr>
              <w:t xml:space="preserve">提供的</w:t>
            </w:r>
            <w:r>
              <w:rPr>
                <w:rFonts w:hint="eastAsia" w:ascii="宋体" w:hAnsi="宋体" w:eastAsia="宋体" w:cs="宋体"/>
                <w:color w:val="000000"/>
                <w:sz w:val="24"/>
                <w:szCs w:val="24"/>
                <w:highlight w:val="none"/>
                <w:lang w:val="en-US" w:eastAsia="zh-CN"/>
              </w:rPr>
              <w:t xml:space="preserve">其他各项措施</w:t>
            </w:r>
            <w:r>
              <w:rPr>
                <w:rFonts w:hint="eastAsia" w:ascii="宋体" w:hAnsi="宋体" w:cs="宋体"/>
                <w:color w:val="000000"/>
                <w:sz w:val="24"/>
                <w:highlight w:val="none"/>
                <w:lang w:val="zh-CN"/>
              </w:rPr>
              <w:t xml:space="preserve">进行综合评审。</w:t>
            </w:r>
            <w:r>
              <w:rPr>
                <w:rFonts w:hint="eastAsia" w:ascii="宋体" w:hAnsi="宋体" w:cs="宋体"/>
                <w:color w:val="000000"/>
                <w:sz w:val="24"/>
                <w:highlight w:val="none"/>
                <w:lang w:val="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其他各项措施（包括但不限于安全施工措施、文明施工措施、进度保障措施、人员培训措施、沟通协调措施等）全面、完善，针对性强，能有效应对项目实施过程中的各类问题，充分考虑老旧小区施工特点，保障项目安全、有序推进的，得6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（2）其他各项措施较全面，涵盖主要方面，针对性较强，能应对项目实施过程中的常见问题，基本考虑老旧小区施工特点，能保障项目安全、有序推进的，得4分；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（3）其他各项措施基本全面，覆盖主要方面，针对性一般，能应对项目实施过程中的部分常见问题，对老旧小区施工特点考虑不足，基本能保障项目推进的，得2分；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（4）其他各项措施不完善，未覆盖主要方面，难以应对项目实施过程中的常见问题，未考虑老旧小区施工特点，可能影响项目推进的，得1分；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（5）未提供的不得分。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项目应急预案</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spacing w:line="360" w:lineRule="exact"/>
              <w:tabs>
                <w:tab w:val="left" w:pos="426"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lang w:val="zh-CN"/>
              </w:rPr>
              <w:t xml:space="preserve">根据</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lang w:val="zh-CN"/>
              </w:rPr>
              <w:t xml:space="preserve">提供的</w:t>
            </w:r>
            <w:r>
              <w:rPr>
                <w:rFonts w:hint="eastAsia" w:ascii="宋体" w:hAnsi="宋体" w:eastAsia="宋体" w:cs="宋体"/>
                <w:color w:val="000000"/>
                <w:sz w:val="24"/>
                <w:highlight w:val="none"/>
                <w:lang w:val="en-US" w:eastAsia="zh-CN"/>
              </w:rPr>
              <w:t xml:space="preserve">项目应急预案</w:t>
            </w:r>
            <w:r>
              <w:rPr>
                <w:rFonts w:hint="eastAsia" w:ascii="宋体" w:hAnsi="宋体" w:cs="宋体"/>
                <w:color w:val="000000"/>
                <w:sz w:val="24"/>
                <w:highlight w:val="none"/>
                <w:lang w:val="zh-CN"/>
              </w:rPr>
              <w:t xml:space="preserve">进行综合评审。</w:t>
            </w:r>
            <w:r>
              <w:rPr>
                <w:rFonts w:hint="eastAsia" w:ascii="宋体" w:hAnsi="宋体" w:cs="宋体"/>
                <w:color w:val="000000"/>
                <w:sz w:val="24"/>
                <w:highlight w:val="none"/>
                <w:lang w:val="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项目应急预案全面、完善，针对性强，涵盖设备运输损坏、安装故障、调试失败、安全事故、工期延误等各类可能发生的突发情况，明确应急组织机构、应急响应流程、应急处置措施和责任分工，预案可操作性强，能快速、有效处置各类突发情况，最大限度降低项目损失的，得6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（2）项目应急预案较全面，针对性较强，涵盖主要突发情况，明确应急组织机构、应急响应流程和基本处置措施，预案可操作性较强，能有效处置常见突发情况，降低项目损失的，得4分；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（3）项目应急预案基本完整，针对性一般，涵盖部分主要突发情况，有基本的应急处置思路和措施，预案有一定可操作性，能处置简单突发情况的，得2分；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（4）项目应急预案不够完整，针对性差，未覆盖主要突发情况，应急处置措施不明确，预案可操作性差，难以有效处置突发情况，可能造成较大项目损失的，得1分；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（5）未提供的不得分。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二、客观分（20分）</w:t>
            </w:r>
            <w:r>
              <w:rPr>
                <w:rFonts w:hint="eastAsia" w:ascii="宋体" w:hAnsi="宋体" w:eastAsia="宋体" w:cs="宋体"/>
                <w:b/>
                <w:bCs/>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业绩</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184" w:type="dxa"/>
            <w:vAlign w:val="center"/>
            <w:textDirection w:val="lrTb"/>
            <w:noWrap w:val="false"/>
          </w:tcPr>
          <w:p>
            <w:pPr>
              <w:pStyle w:val="933"/>
              <w:jc w:val="both"/>
              <w:keepLines w:val="0"/>
              <w:keepNext w:val="0"/>
              <w:pageBreakBefore w:val="0"/>
              <w:spacing w:line="400" w:lineRule="exact"/>
              <w:shd w:val="clear" w:color="auto" w:fill="auto"/>
              <w:tabs>
                <w:tab w:val="left" w:pos="426"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投标人自2024年1月1日以来（以合同签订时间为准）承接过与本项目类似的消防设备供货或安装项目的，有一个得1分，最高得4分。</w:t>
            </w:r>
            <w:r>
              <w:rPr>
                <w:rFonts w:hint="eastAsia" w:ascii="宋体" w:hAnsi="宋体" w:eastAsia="宋体" w:cs="宋体"/>
                <w:b w:val="0"/>
                <w:bCs w:val="0"/>
                <w:color w:val="000000"/>
                <w:sz w:val="24"/>
                <w:szCs w:val="24"/>
                <w:highlight w:val="none"/>
                <w:lang w:val="en-US" w:eastAsia="zh-CN" w:bidi="ar-SA"/>
              </w:rPr>
            </w:r>
            <w:r/>
          </w:p>
          <w:p>
            <w:pPr>
              <w:pStyle w:val="933"/>
              <w:jc w:val="both"/>
              <w:keepLines w:val="0"/>
              <w:keepNext w:val="0"/>
              <w:pageBreakBefore w:val="0"/>
              <w:spacing w:line="400" w:lineRule="exact"/>
              <w:shd w:val="clear" w:color="auto" w:fill="auto"/>
              <w:tabs>
                <w:tab w:val="left" w:pos="426" w:leader="none"/>
              </w:tabs>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注：投标文件中提供合同并加盖投标人公章，否则不得分。</w:t>
            </w:r>
            <w:r>
              <w:rPr>
                <w:rFonts w:hint="eastAsia"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jc w:val="both"/>
              <w:keepLines w:val="0"/>
              <w:keepNext w:val="0"/>
              <w:pageBreakBefore w:val="0"/>
              <w:spacing w:line="400" w:lineRule="exact"/>
              <w:shd w:val="clear" w:color="auto" w:fill="auto"/>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投标人具有有效的</w:t>
            </w:r>
            <w:r>
              <w:rPr>
                <w:rFonts w:hint="eastAsia" w:ascii="宋体" w:hAnsi="宋体" w:eastAsia="宋体" w:cs="宋体"/>
                <w:color w:val="000000"/>
                <w:sz w:val="24"/>
                <w:szCs w:val="24"/>
                <w:highlight w:val="none"/>
                <w:lang w:val="en-US" w:eastAsia="zh-CN" w:bidi="ar-SA"/>
              </w:rPr>
              <w:t xml:space="preserve">质量管理体系认证证书</w:t>
            </w:r>
            <w:r>
              <w:rPr>
                <w:rFonts w:hint="eastAsia" w:ascii="宋体" w:hAnsi="宋体" w:eastAsia="宋体" w:cs="宋体"/>
                <w:color w:val="000000"/>
                <w:sz w:val="24"/>
                <w:szCs w:val="24"/>
                <w:highlight w:val="none"/>
                <w:lang w:val="en-US" w:eastAsia="zh-CN" w:bidi="ar-SA"/>
              </w:rPr>
              <w:t xml:space="preserve">、环境管理体系认证证书、职业健康安全管理体系认证证书的，有一个得1分，最高得3分。</w:t>
            </w:r>
            <w:r>
              <w:rPr>
                <w:rFonts w:hint="eastAsia" w:ascii="宋体" w:hAnsi="宋体" w:eastAsia="宋体" w:cs="宋体"/>
                <w:color w:val="000000"/>
                <w:sz w:val="24"/>
                <w:szCs w:val="24"/>
                <w:highlight w:val="none"/>
                <w:lang w:val="en-US" w:eastAsia="zh-CN" w:bidi="ar-SA"/>
              </w:rPr>
            </w:r>
            <w:r/>
          </w:p>
          <w:p>
            <w:pPr>
              <w:pStyle w:val="933"/>
              <w:jc w:val="both"/>
              <w:keepLines w:val="0"/>
              <w:keepNext w:val="0"/>
              <w:pageBreakBefore w:val="0"/>
              <w:spacing w:line="400" w:lineRule="exact"/>
              <w:shd w:val="clear" w:color="auto" w:fill="auto"/>
              <w:tabs>
                <w:tab w:val="left" w:pos="426" w:leader="none"/>
              </w:tabs>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注：投标文件中提供证书并加盖投标人公章，否则不得分。</w:t>
            </w:r>
            <w:r>
              <w:rPr>
                <w:rFonts w:hint="eastAsia"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项目人员</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拟投入本项目的项目人员中，具有证书一级注册消防工程师证书的，有一个得1分，最高得2分。</w:t>
            </w:r>
            <w:r>
              <w:rPr>
                <w:rFonts w:hint="eastAsia" w:ascii="宋体" w:hAnsi="宋体" w:eastAsia="宋体" w:cs="宋体"/>
                <w:color w:val="000000"/>
                <w:sz w:val="24"/>
                <w:szCs w:val="24"/>
                <w:highlight w:val="none"/>
                <w:lang w:val="en-US" w:eastAsia="zh-CN" w:bidi="ar-SA"/>
              </w:rPr>
            </w:r>
            <w:r/>
          </w:p>
          <w:p>
            <w:pPr>
              <w:pStyle w:val="933"/>
              <w:jc w:val="both"/>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2.拟投入本项目的项目人员中，具有消防设施操作员证书</w:t>
            </w:r>
            <w:r>
              <w:rPr>
                <w:rFonts w:hint="eastAsia" w:ascii="宋体" w:hAnsi="宋体" w:eastAsia="宋体" w:cs="宋体"/>
                <w:color w:val="000000"/>
                <w:sz w:val="24"/>
                <w:szCs w:val="24"/>
                <w:highlight w:val="none"/>
                <w:lang w:val="en-US" w:eastAsia="zh-CN" w:bidi="ar-SA"/>
              </w:rPr>
              <w:t xml:space="preserve">证书的，有一个得1分，最高得5分。</w:t>
            </w:r>
            <w:r>
              <w:rPr>
                <w:rFonts w:ascii="宋体" w:hAnsi="宋体" w:eastAsia="宋体" w:cs="宋体"/>
                <w:color w:val="000000"/>
                <w:sz w:val="24"/>
                <w:szCs w:val="24"/>
                <w:highlight w:val="none"/>
                <w:lang w:val="en-US" w:eastAsia="zh-CN" w:bidi="ar-SA"/>
              </w:rPr>
            </w:r>
            <w:r/>
          </w:p>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注：投标文件中提供证书及2026年3月至</w:t>
            </w:r>
            <w:r>
              <w:rPr>
                <w:rFonts w:hint="eastAsia" w:ascii="宋体" w:hAnsi="宋体" w:eastAsia="宋体" w:cs="宋体"/>
                <w:b/>
                <w:bCs/>
                <w:color w:val="000000"/>
                <w:sz w:val="24"/>
                <w:szCs w:val="24"/>
                <w:highlight w:val="none"/>
                <w:lang w:val="en-US" w:eastAsia="zh-CN"/>
              </w:rPr>
              <w:t xml:space="preserve">2026年5月中任意一个月投标人为上述人员缴纳的社保证明材料，</w:t>
            </w:r>
            <w:r>
              <w:rPr>
                <w:rFonts w:hint="eastAsia" w:ascii="宋体" w:hAnsi="宋体" w:eastAsia="宋体" w:cs="宋体"/>
                <w:b/>
                <w:bCs/>
                <w:color w:val="000000"/>
                <w:sz w:val="24"/>
                <w:szCs w:val="24"/>
                <w:highlight w:val="none"/>
                <w:lang w:val="en-US" w:eastAsia="zh-CN"/>
              </w:rPr>
              <w:t xml:space="preserve">并加盖投标人公章，否则不得分。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技术参数</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技术要求的符合性，即根据投标人所提供产品的综合性能、技术参数，产品的安全性、稳定性、操作性等方面进行评分。符合技术要求的得6分。有一项不满足扣0.5分，扣完为止。</w:t>
            </w:r>
            <w:r>
              <w:rPr>
                <w:rFonts w:hint="eastAsia" w:ascii="宋体" w:hAnsi="宋体" w:eastAsia="宋体" w:cs="宋体"/>
                <w:b w:val="0"/>
                <w:bCs w:val="0"/>
                <w:color w:val="000000"/>
                <w:sz w:val="24"/>
                <w:szCs w:val="24"/>
                <w:highlight w:val="none"/>
                <w:lang w:val="en-US" w:eastAsia="zh-CN"/>
              </w:rPr>
            </w:r>
            <w:r/>
          </w:p>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投标文件中提供证明材料（投标文件中须按招标文件参数要求提供相应证明材料，其他证明材料不限于：国家认可的检测机构出具的产品检测报告或产品彩页或图册或技术参数说明书或功能截图等）复印件并加盖投标人公章，并标出所在页码。有偏离的应逐条列在《采购需求偏离表》中。</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r>
    </w:tbl>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注:1.评分细则中要求提供的证明文件及资料等在投标文件中提供并加盖公章，否则不得分。</w:t>
      </w:r>
      <w:r>
        <w:rPr>
          <w:rFonts w:hint="eastAsia" w:ascii="宋体" w:hAnsi="宋体" w:eastAsia="宋体" w:cs="宋体"/>
          <w:bCs/>
          <w:color w:val="000000"/>
          <w:sz w:val="24"/>
          <w:szCs w:val="24"/>
          <w:highlight w:val="none"/>
          <w:lang w:val="en-US"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lang w:val="en-US" w:eastAsia="zh-CN"/>
        </w:rPr>
        <w:t xml:space="preserve">2.评审时，未能按以上要求提供相应证明的，不作为评审依据，不得分。</w:t>
      </w:r>
      <w:r>
        <w:rPr>
          <w:rFonts w:hint="eastAsia" w:ascii="宋体" w:hAnsi="宋体" w:eastAsia="宋体" w:cs="宋体"/>
          <w:bCs/>
          <w:color w:val="000000"/>
          <w:sz w:val="24"/>
          <w:szCs w:val="24"/>
          <w:highlight w:val="none"/>
          <w:lang w:val="en-US" w:eastAsia="zh-CN"/>
        </w:rPr>
      </w:r>
      <w:r/>
    </w:p>
    <w:p>
      <w:pPr>
        <w:pStyle w:val="933"/>
        <w:jc w:val="center"/>
        <w:spacing w:line="360" w:lineRule="auto"/>
        <w:shd w:val="clear" w:color="auto" w:fill="auto"/>
        <w:rPr>
          <w:b/>
          <w:color w:val="000000"/>
          <w:sz w:val="36"/>
          <w:szCs w:val="36"/>
          <w:highlight w:val="none"/>
        </w:rPr>
        <w:outlineLvl w:val="0"/>
      </w:pPr>
      <w:r>
        <w:rPr>
          <w:b/>
          <w:color w:val="000000"/>
          <w:sz w:val="36"/>
          <w:szCs w:val="36"/>
          <w:highlight w:val="none"/>
        </w:rPr>
        <w:t xml:space="preserve">第五章   采购需求</w:t>
      </w:r>
      <w:bookmarkEnd w:id="714"/>
      <w:r>
        <w:rPr>
          <w:b/>
          <w:color w:val="000000"/>
          <w:sz w:val="36"/>
          <w:szCs w:val="36"/>
          <w:highlight w:val="none"/>
        </w:rPr>
      </w:r>
      <w:r/>
    </w:p>
    <w:p>
      <w:pPr>
        <w:pStyle w:val="933"/>
        <w:contextualSpacing/>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一、采购标的</w:t>
      </w:r>
      <w:r>
        <w:rPr>
          <w:rFonts w:hint="eastAsia" w:ascii="宋体" w:hAnsi="宋体" w:eastAsia="宋体" w:cs="宋体"/>
          <w:b/>
          <w:bCs w:val="0"/>
          <w:color w:val="000000"/>
          <w:sz w:val="24"/>
          <w:szCs w:val="24"/>
          <w:highlight w:val="none"/>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3579"/>
        <w:gridCol w:w="1236"/>
        <w:gridCol w:w="2690"/>
      </w:tblGrid>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标的名称</w:t>
            </w:r>
            <w:r>
              <w:rPr>
                <w:rFonts w:hint="eastAsia" w:ascii="宋体" w:hAnsi="宋体" w:eastAsia="宋体" w:cs="宋体"/>
                <w:b/>
                <w:bCs/>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双轨无机复合特级防火卷帘</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樘</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甲级钢质防火门</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乙级钢质防火门</w:t>
            </w:r>
            <w:r>
              <w:rPr>
                <w:rFonts w:hint="eastAsia" w:ascii="宋体" w:hAnsi="宋体" w:eastAsia="宋体" w:cs="宋体"/>
                <w:b/>
                <w:bCs/>
                <w:i w:val="0"/>
                <w:iCs w:val="0"/>
                <w:color w:val="000000"/>
                <w:sz w:val="24"/>
                <w:szCs w:val="24"/>
                <w:highlight w:val="none"/>
                <w:u w:val="none"/>
                <w:lang w:val="en-US" w:eastAsia="zh-CN" w:bidi="ar"/>
              </w:rPr>
              <w:t xml:space="preserve">（核心产品）</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钢丝网骨架复合PE管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钢丝网骨架复合PE管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闸阀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水泵接合器</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消防水箱</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止回阀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止回阀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锂电池专用灭火器</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电动车棚专用绝缘火钩</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明装镀锌管道</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管道保温</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支架</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排污泵</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闸阀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闸阀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蝶阀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信号蝶阀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水流指示器</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液位显示</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喷淋末端排水装置</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喷淋头</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消火栓箱</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消防栓头</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水枪水带</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灭火器</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灭火器（含灭火器箱）</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灭火器箱</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消防电源控制箱</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智能应急照明电源箱</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智能应急照明灯具</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智能疏散出口标志灯</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智能安全出口标志灯</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强电桥架</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紧定管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安全出口</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疏散指示</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应急照明灯</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887.00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消防报警控制器</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镀锌铁皮风管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镀锌铁皮风管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镀锌铁皮风管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风管刷漆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风管刷漆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防火阀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防火阀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双速排烟风机</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风机控制柜</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流量开关</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流量开关</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PE塑料穿线管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消火栓泵</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消火栓控制柜</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喷淋稳压多级泵</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气压罐</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基础附件</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喷淋控制柜</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稳压多级泵</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气压罐</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基础附件</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稳压控制柜</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明杆闸阀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Y型过滤器</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流量开关</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压力开关</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液位显示装置</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槽钢</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r>
    </w:tbl>
    <w:p>
      <w:pPr>
        <w:pStyle w:val="933"/>
        <w:contextualSpacing/>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二、商务要求</w:t>
      </w:r>
      <w:r>
        <w:rPr>
          <w:rFonts w:hint="eastAsia" w:ascii="宋体" w:hAnsi="宋体" w:eastAsia="宋体" w:cs="宋体"/>
          <w:b/>
          <w:bCs w:val="0"/>
          <w:color w:val="000000"/>
          <w:sz w:val="24"/>
          <w:szCs w:val="24"/>
          <w:highlight w:val="none"/>
          <w:lang w:val="en-US" w:eastAsia="zh-CN"/>
        </w:rPr>
      </w:r>
      <w:r/>
    </w:p>
    <w:p>
      <w:pPr>
        <w:pStyle w:val="933"/>
        <w:contextualSpacing/>
        <w:ind w:firstLine="482"/>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1.交付的时间和地点</w:t>
      </w:r>
      <w:r>
        <w:rPr>
          <w:rFonts w:hint="eastAsia" w:ascii="宋体" w:hAnsi="宋体" w:eastAsia="宋体" w:cs="宋体"/>
          <w:b/>
          <w:bCs w:val="0"/>
          <w:color w:val="000000"/>
          <w:sz w:val="24"/>
          <w:szCs w:val="24"/>
          <w:highlight w:val="none"/>
          <w:lang w:val="en-US"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（1）交货时间：</w:t>
      </w:r>
      <w:r>
        <w:rPr>
          <w:rFonts w:hint="eastAsia" w:ascii="宋体" w:hAnsi="宋体" w:eastAsia="宋体" w:cs="宋体"/>
          <w:color w:val="000000"/>
          <w:sz w:val="24"/>
          <w:szCs w:val="24"/>
          <w:highlight w:val="none"/>
          <w:u w:val="none"/>
          <w:lang w:eastAsia="zh-CN"/>
        </w:rPr>
        <w:t xml:space="preserve">自合同签订之日起120日内交货并安装调试完毕</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（2）交货地点：</w:t>
      </w:r>
      <w:r>
        <w:rPr>
          <w:rFonts w:hint="eastAsia" w:ascii="宋体" w:hAnsi="宋体" w:eastAsia="宋体" w:cs="宋体"/>
          <w:color w:val="000000"/>
          <w:sz w:val="24"/>
          <w:szCs w:val="24"/>
          <w:highlight w:val="none"/>
          <w:u w:val="none"/>
          <w:lang w:val="en-US" w:eastAsia="zh-CN"/>
        </w:rPr>
        <w:t xml:space="preserve">采购人指定地点</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r>
      <w:r/>
    </w:p>
    <w:p>
      <w:pPr>
        <w:pStyle w:val="933"/>
        <w:contextualSpacing/>
        <w:ind w:firstLine="482"/>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2.付款条件</w:t>
      </w:r>
      <w:bookmarkStart w:id="715" w:name="_Toc5874"/>
      <w:r>
        <w:rPr>
          <w:rFonts w:hint="eastAsia" w:ascii="宋体" w:hAnsi="宋体" w:eastAsia="宋体" w:cs="宋体"/>
          <w:bCs/>
          <w:color w:val="000000"/>
          <w:sz w:val="24"/>
          <w:szCs w:val="24"/>
          <w:highlight w:val="none"/>
          <w:lang w:val="en-US"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合同签订后7日内支付至合同价的10%，货物安装调试完毕交付后支付至合同价的80%，经审计单位结算审核后，支付至审定价的100%。</w:t>
      </w:r>
      <w:r>
        <w:rPr>
          <w:rFonts w:hint="eastAsia" w:ascii="宋体" w:hAnsi="宋体" w:eastAsia="宋体" w:cs="宋体"/>
          <w:bCs/>
          <w:color w:val="000000"/>
          <w:sz w:val="24"/>
          <w:szCs w:val="24"/>
          <w:highlight w:val="none"/>
          <w:lang w:val="en-US" w:eastAsia="zh-CN"/>
        </w:rPr>
      </w:r>
      <w:r/>
    </w:p>
    <w:p>
      <w:pPr>
        <w:pStyle w:val="933"/>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三、技术要求</w:t>
      </w:r>
      <w:r>
        <w:rPr>
          <w:rFonts w:hint="eastAsia" w:ascii="宋体" w:hAnsi="宋体" w:eastAsia="宋体" w:cs="宋体"/>
          <w:b/>
          <w:bCs/>
          <w:color w:val="000000"/>
          <w:sz w:val="24"/>
          <w:szCs w:val="24"/>
          <w:highlight w:val="none"/>
          <w:lang w:val="en-US" w:eastAsia="zh-CN"/>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7"/>
        <w:gridCol w:w="1224"/>
        <w:gridCol w:w="6649"/>
      </w:tblGrid>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货物名称</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双轨无机复合特级防火卷帘</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洞口尺寸7200mm*2900mm,防火卷帘为双轨无机复合隔热型（A3级）防火卷帘，背火面温升耐火极限不低于3h。</w:t>
            </w:r>
            <w:r>
              <w:rPr>
                <w:rFonts w:hint="eastAsia" w:ascii="宋体" w:hAnsi="宋体" w:eastAsia="宋体" w:cs="宋体"/>
                <w:b/>
                <w:bCs/>
                <w:i w:val="0"/>
                <w:iCs w:val="0"/>
                <w:color w:val="000000"/>
                <w:sz w:val="24"/>
                <w:szCs w:val="24"/>
                <w:highlight w:val="none"/>
                <w:u w:val="none"/>
                <w:lang w:val="en-US" w:eastAsia="zh-CN" w:bidi="ar"/>
              </w:rPr>
              <w:t xml:space="preserve">投标文件中提供“新版标准自愿性认证证书”、“依据GB 14102.1-2024的型式检验报告”、“产品出厂合格证”。</w:t>
            </w:r>
            <w:r>
              <w:rPr>
                <w:rFonts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甲级钢质防火门</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钢质防火门，双开防火门；2100*1600,含闭门器、门锁、合页等配件。</w:t>
            </w:r>
            <w:r>
              <w:rPr>
                <w:rFonts w:hint="eastAsia" w:ascii="宋体" w:hAnsi="宋体" w:eastAsia="宋体" w:cs="宋体"/>
                <w:b/>
                <w:bCs/>
                <w:i w:val="0"/>
                <w:iCs w:val="0"/>
                <w:color w:val="000000"/>
                <w:sz w:val="24"/>
                <w:szCs w:val="24"/>
                <w:highlight w:val="none"/>
                <w:u w:val="none"/>
                <w:lang w:val="en-US" w:eastAsia="zh-CN" w:bidi="ar"/>
              </w:rPr>
              <w:t xml:space="preserve">投标文件中提供“新版标准自愿性认证证书”、“依据</w:t>
            </w:r>
            <w:r>
              <w:rPr>
                <w:rFonts w:hint="eastAsia" w:ascii="宋体" w:hAnsi="宋体" w:eastAsia="宋体" w:cs="宋体"/>
                <w:b/>
                <w:bCs/>
                <w:i w:val="0"/>
                <w:iCs w:val="0"/>
                <w:color w:val="ff0000"/>
                <w:sz w:val="24"/>
                <w:szCs w:val="24"/>
                <w:highlight w:val="none"/>
                <w:u w:val="none"/>
                <w:lang w:val="en-US" w:eastAsia="zh-CN" w:bidi="ar"/>
              </w:rPr>
              <w:t xml:space="preserve">GB12955-2024</w:t>
            </w:r>
            <w:r>
              <w:rPr>
                <w:rFonts w:hint="eastAsia" w:ascii="宋体" w:hAnsi="宋体" w:eastAsia="宋体" w:cs="宋体"/>
                <w:b/>
                <w:bCs/>
                <w:i w:val="0"/>
                <w:iCs w:val="0"/>
                <w:color w:val="000000"/>
                <w:sz w:val="24"/>
                <w:szCs w:val="24"/>
                <w:highlight w:val="none"/>
                <w:u w:val="none"/>
                <w:lang w:val="en-US" w:eastAsia="zh-CN" w:bidi="ar"/>
              </w:rPr>
              <w:t xml:space="preserve">的型式检验报告”、“产品出厂合格证”。</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乙级钢质防火门</w:t>
            </w:r>
            <w:r>
              <w:rPr>
                <w:rFonts w:hint="eastAsia" w:ascii="宋体" w:hAnsi="宋体" w:eastAsia="宋体" w:cs="宋体"/>
                <w:b/>
                <w:bCs/>
                <w:i w:val="0"/>
                <w:iCs w:val="0"/>
                <w:color w:val="000000"/>
                <w:sz w:val="24"/>
                <w:szCs w:val="24"/>
                <w:highlight w:val="none"/>
                <w:u w:val="none"/>
                <w:lang w:val="en-US" w:eastAsia="zh-CN" w:bidi="ar"/>
              </w:rPr>
              <w:t xml:space="preserve">（核心产品）</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钢质防火门，单开防火门；2100mm*1000mm,含闭门器、门锁、合页等配件。</w:t>
            </w:r>
            <w:r>
              <w:rPr>
                <w:rFonts w:hint="eastAsia" w:ascii="宋体" w:hAnsi="宋体" w:eastAsia="宋体" w:cs="宋体"/>
                <w:b/>
                <w:bCs/>
                <w:i w:val="0"/>
                <w:iCs w:val="0"/>
                <w:color w:val="000000"/>
                <w:sz w:val="24"/>
                <w:szCs w:val="24"/>
                <w:highlight w:val="none"/>
                <w:u w:val="none"/>
                <w:lang w:val="en-US" w:eastAsia="zh-CN" w:bidi="ar"/>
              </w:rPr>
              <w:t xml:space="preserve">投标文件中提供“新版标准自愿性认证证书”、“依据</w:t>
            </w:r>
            <w:r>
              <w:rPr>
                <w:rFonts w:hint="eastAsia" w:ascii="宋体" w:hAnsi="宋体" w:eastAsia="宋体" w:cs="宋体"/>
                <w:b/>
                <w:bCs/>
                <w:i w:val="0"/>
                <w:iCs w:val="0"/>
                <w:color w:val="ff0000"/>
                <w:sz w:val="24"/>
                <w:szCs w:val="24"/>
                <w:highlight w:val="none"/>
                <w:u w:val="none"/>
                <w:lang w:val="en-US" w:eastAsia="zh-CN" w:bidi="ar"/>
              </w:rPr>
              <w:t xml:space="preserve">GB12955-2024</w:t>
            </w:r>
            <w:r>
              <w:rPr>
                <w:rFonts w:hint="eastAsia" w:ascii="宋体" w:hAnsi="宋体" w:eastAsia="宋体" w:cs="宋体"/>
                <w:b/>
                <w:bCs/>
                <w:i w:val="0"/>
                <w:iCs w:val="0"/>
                <w:color w:val="000000"/>
                <w:sz w:val="24"/>
                <w:szCs w:val="24"/>
                <w:highlight w:val="none"/>
                <w:u w:val="none"/>
                <w:lang w:val="en-US" w:eastAsia="zh-CN" w:bidi="ar"/>
              </w:rPr>
              <w:t xml:space="preserve">的型式检验报告”、“产品出厂合格证”。</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钢丝网骨架复合PE管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规格型号：DN160*1.6MPa；符合GB/T 32439-2015。含：管沟开挖，混凝土路面切缝，破碎，管道敷设后恢复,埋地管采用黄沙包封,建筑垃圾材料外运等项目。</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钢丝网骨架复合PE管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规格型号：DN110*1.6MPa；符合GB/T 32439-2015。含：管沟开挖，混凝土路面切缝，破碎，管道敷设后恢复,埋地管采用黄沙包封,建筑垃圾材料外运等项目。</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闸阀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消防水池进水自来水表后管道及泵房阀门更换，含：镀锌管安装30米（土方开挖，回填黄沙，土方回填），闸阀2套，遥控浮球阀2套；公称口径：DN65；表面质量/外形：合格；国标。</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水泵接合器</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水泵接合器安装：含水泵接合器组，法兰管件等材料；规格型号：SQS100-1.6 地上式  DN100；,标准：国标；公称压力：PN16；适用介质：水。</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消防水箱</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5m*3m*1.5m不锈钢水箱，外敷5cm橡塑保温，外包不锈钢防潮层，原消防水箱拆除。</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止回阀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橡胶瓣止回阀安装：含阀门，法兰管件等材料；规格型号：H44H-16Q DN100；标准：国标；公称压力：PN16；适用介质：水。</w:t>
            </w:r>
            <w:r>
              <w:rPr>
                <w:rFonts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止回阀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橡胶瓣止回阀安装：含阀门，法兰管件等材料；规格型号：H44H-16Q </w:t>
            </w:r>
            <w:r>
              <w:rPr>
                <w:rFonts w:hint="eastAsia" w:ascii="宋体" w:hAnsi="宋体" w:eastAsia="宋体" w:cs="宋体"/>
                <w:i w:val="0"/>
                <w:iCs w:val="0"/>
                <w:color w:val="ff0000"/>
                <w:sz w:val="24"/>
                <w:szCs w:val="24"/>
                <w:highlight w:val="none"/>
                <w:u w:val="none"/>
                <w:lang w:val="en-US" w:eastAsia="zh-CN" w:bidi="ar"/>
              </w:rPr>
              <w:t xml:space="preserve">DN80</w:t>
            </w:r>
            <w:r>
              <w:rPr>
                <w:rFonts w:hint="eastAsia" w:ascii="宋体" w:hAnsi="宋体" w:eastAsia="宋体" w:cs="宋体"/>
                <w:i w:val="0"/>
                <w:iCs w:val="0"/>
                <w:color w:val="000000"/>
                <w:sz w:val="24"/>
                <w:szCs w:val="24"/>
                <w:highlight w:val="none"/>
                <w:u w:val="none"/>
                <w:lang w:val="en-US" w:eastAsia="zh-CN" w:bidi="ar"/>
              </w:rPr>
              <w:t xml:space="preserve">；标准：国标；公称压力：PN16；适用介质：水。</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锂电池专用灭火器</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6L（0.6厚不锈钢箱+2具灭火器）。</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电动车棚专用绝缘火钩</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2.4米（含固定支架）</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公称口径：DN150；表面质量/外形：合格；国标。</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公称口径：DN100；外径：114mm；表面质量/外形：合格；国标。</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明装镀锌管道</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公称口径：DN65；外径：76mm；表面质量/外形：合格；国标。</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管道保温</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5cm橡塑保温管，防潮层铝皮包覆。</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支架</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尺寸：300mm*300mm*200mm；材质：c30混凝土浇筑；含：支模、钢构件等。</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油漆</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管道、支架：防锈漆两道，红色调和漆两道。</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排污泵</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含：潜水式排污泵，65WQ25-15-2.2/2台，闸阀DN65/2套，止回阀DN65/2套，橡胶软接头DN65/2套，压力表（0~1.6Mpa压力表，DN15铜球阀等连接材料）/2套，排污泵配套控制箱，浮球阀等。</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闸阀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闸阀安装：含阀门，法兰管件等材料；规格型号：(RV HX)Z45X-PN16DN 150；标准：国标；公称压力：PN16；适用介质：水。</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闸阀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闸阀安装：含阀门，法兰管件等材料；规格型号：(RV HX)Z45X-PN16DN 100；标准：国标；公称压力：PN16；适用介质：水。</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蝶阀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阀门安装：含阀门，法兰管件等材料；型号：ZSFZ-DN100；公称通径：DN100；额定压力：1.6MPa；安装方式：垂直。</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信号蝶阀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1.信号蝶阀安装：含阀门，法兰管件等材料；型号：ZSXF-D-16DN 150；公称通径：DN150；额定压力：1.6MPa；电流电压：DC24V 1A；适用介质：水。</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水流指示器</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1.闸阀安装：含水流指示器，管件等材料；型号：ZSJZ-150；压力等级(MPa):1.6；产品说明:水流指示器II型/1.6/灰铁/法兰/3C。</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液位显示</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液位计，电子液位显示。</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喷淋末端排水装置</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末端试水装置，含铜球阀DN25/2个，压力表（0~1.6Mpa压力表，表弯等附件</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喷淋头</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喷淋头安装 型号：ZSTZ-15 DN15/68℃</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消火栓箱</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含1800*700*240消防箱1只，消火栓头SN65-1.6/1个，水枪：规格：Φ19（接扣）；型号：QZ3.5/7.5；水带：型号：水带8-65-25；材质：涤纶纱/丙纶长丝-塑料。</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消防栓头</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SN65-1.6</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水枪水带</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水枪：规格：Φ19（接扣）；型号：QZ3.5/7.5；水带：型号：水带8-65-25；材质：涤纶纱/丙纶长丝-塑料。</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灭火器</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60"/>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1.MF/ABC4KG。</w:t>
            </w:r>
            <w:r>
              <w:rPr>
                <w:rFonts w:hint="eastAsia" w:ascii="宋体" w:hAnsi="宋体" w:eastAsia="宋体" w:cs="宋体"/>
                <w:i w:val="0"/>
                <w:iCs w:val="0"/>
                <w:color w:val="000000"/>
                <w:sz w:val="24"/>
                <w:szCs w:val="24"/>
                <w:highlight w:val="none"/>
                <w:u w:val="none"/>
                <w:lang w:val="en-US" w:eastAsia="zh-CN" w:bidi="ar"/>
              </w:rPr>
            </w:r>
            <w:r/>
          </w:p>
          <w:p>
            <w:pPr>
              <w:pStyle w:val="960"/>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t xml:space="preserve">★2.投标文件中提供有效期的CCC认证证书。</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灭火器（含灭火器箱）</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1.含MF/ABC4KG/2。</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★2.投标文件中提供有效期的CCC认证证书</w:t>
            </w:r>
            <w:r>
              <w:rPr>
                <w:rFonts w:hint="eastAsia" w:ascii="宋体" w:hAnsi="宋体" w:eastAsia="宋体" w:cs="宋体"/>
                <w:b/>
                <w:bCs/>
                <w:i w:val="0"/>
                <w:iCs w:val="0"/>
                <w:color w:val="ff0000"/>
                <w:sz w:val="24"/>
                <w:szCs w:val="24"/>
                <w:highlight w:val="none"/>
                <w:u w:val="none"/>
                <w:lang w:val="en-US" w:eastAsia="zh-CN" w:bidi="ar"/>
              </w:rPr>
              <w:t xml:space="preserve">（针对灭火器本身，非指灭火器箱）。</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灭火器箱</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MF/ABC4KG/2具</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消防电源控制箱</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消防电专用控制箱DC220V箱体600mm×500mm×150mm，冷轧钢板防腐喷塑，IP33防护；内置双电源开关，分路保护及消防联动模块；挂墙明装，含固定、接线、接地、绝缘试验、系统调试，全套安装就位。</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智能应急照明电源箱</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应急照明电源箱含：DC36V低压款，箱体400mm×650mm×150</w:t>
            </w:r>
            <w:r>
              <w:rPr>
                <w:rFonts w:hint="eastAsia"/>
                <w:color w:val="000000"/>
                <w:highlight w:val="none"/>
                <w:lang w:val="en-US" w:eastAsia="zh-CN"/>
              </w:rPr>
              <w:t xml:space="preserve">mm</w:t>
            </w:r>
            <w:r>
              <w:rPr>
                <w:rFonts w:hint="eastAsia" w:ascii="宋体" w:hAnsi="宋体" w:eastAsia="宋体" w:cs="宋体"/>
                <w:i w:val="0"/>
                <w:iCs w:val="0"/>
                <w:color w:val="000000"/>
                <w:sz w:val="24"/>
                <w:szCs w:val="24"/>
                <w:highlight w:val="none"/>
                <w:u w:val="none"/>
                <w:lang w:val="en-US" w:eastAsia="zh-CN" w:bidi="ar"/>
              </w:rPr>
              <w:t xml:space="preserve">，冷轧钢板防腐喷塑，IP33防护；内置降压变压器、蓄1.电池（应急≥90min）、分路保护及消防联动模块；挂墙明装，含固定、接线、接地、绝缘试验、系统调试，全套安装就位。</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★2.投标文件中提供有效期的CCC认证证书。</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智能应急照明灯具</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1.应急灯具消防应急照明灯具（“消防应急照明灯具（A型，功率≥6W，具备巡检、开灯、灭灯功能）。</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★2.投标文件中提供有效期的CCC认证证书。</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智能疏散出口标志灯</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1.疏散指示标志灯：符合GB 17945及GB 51309相关要求，电压等级符合项目设计及消防验收要求（A型或B型）。</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★2.投标文件中提供有效期的CCC认证证书。</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智能安全出口标志灯</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1.安全出口标志灯：符合GB 17945及GB 51309相关要求，电压等级符合项目设计及消防验收要求（A型或B型）。</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★2.投标文件中提供有效期的CCC认证证书。</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强电桥架</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含热镀锌槽式200×100；强电电缆桥架拆装，槽式，热镀锌，规格200×100mm，国标板材；含盖板、连接片、螺栓、接地跨接、直通配件；水平吊装，含成套支吊架安装、定位固定、调平校正、全线接地连通、接缝收口封堵、成品保护；弯头、三通、变径等配件含入综合单价。</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紧定管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紧定式镀锌钢管；JDG20；明配。</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NH-RVS2*2.5</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ZR-KVV2*2.5</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ZR-kvv40*2.5</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ZR-kvv20*2.5</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ZR-kvv4*2.5</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WDZBN-RYJSP2*2.5</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安全出口</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安全出口标志灯：符合GB 17945及GB 51309相关要求，电压等级符合项目设计及消防验收要求（A型或B型）。</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疏散指示</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疏散指示标志灯：符合GB 17945及GB 51309相关要求，电压等级符合项目设计及消防验收要求（A型或B型）。</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应急照明灯</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壁挂LED双头应急灯”符合项目设计及消防验收要求（允许A型或B型）”。</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消防报警控制器</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火灾报警控制器、消防联动控制器、消防电源监控、电气火灾监控、防火门监控移动至指定位置。</w:t>
            </w:r>
            <w:r>
              <w:rPr>
                <w:rFonts w:hint="eastAsia" w:ascii="宋体" w:hAnsi="宋体" w:eastAsia="宋体" w:cs="宋体"/>
                <w:i w:val="0"/>
                <w:iCs w:val="0"/>
                <w:color w:val="ff0000"/>
                <w:sz w:val="24"/>
                <w:szCs w:val="24"/>
                <w:highlight w:val="none"/>
                <w:u w:val="none"/>
                <w:lang w:val="en-US" w:eastAsia="zh-CN" w:bidi="ar"/>
              </w:rPr>
              <w:t xml:space="preserve">原设备主机大小：1060mm*930mm*1300mm(长*宽*高)；安装方式：立柜式安装；原设备拆除后重新安装至新消控室。</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镀锌铁皮风管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1200mm*320mm，含原风管拆除。</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镀锌铁皮风管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1000mm*320mm，含原风管拆除。</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镀锌铁皮风管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630mm*320mm，含原风管拆除。</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风管刷漆</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1000mm*320mm排烟风管外壁涂刷防火涂料，满足耐火极限0.5h；基层清理打磨、多遍分层涂刷，法兰及支支架通刷补强，含成品养护。</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风管刷漆</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630*320排烟风管外壁涂刷防火涂料，满足耐火极限0.5h；基层清理打磨、多遍分层涂刷，法兰及支支架通刷补强，含成品养护。</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防火阀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280℃排烟防火阀拆装，尺寸1200mm*320mm，镀锌钢制带电动执行器+熔断自闭+信号反馈。</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防火阀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280℃排烟防火阀拆装，尺寸1000mm*320mm，镀锌钢制带电动执行器+熔断自闭+信号反馈。</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双速排烟风机</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1.含：拆装双速消防柜式离心风机，高速风量≥35480m³/h、全压≥706Pa，配双速电机15/7.5kW，电机外置A型，耐高温280℃连续运行不少于30min，含安装、减震、接线、双速调试。</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风机控制柜</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1.双速风机控制柜，适配15/7.5kW，含手动/自动、高低速切换、DC24V消防联动、防火阀联锁、过载缺相保护，挂墙安装，含本体接线、调试。</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2.执行标准：符合GB 16806-2006《消防联动控制系统》中关于“消防电气控制装置”的要求。</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3.功能要求：具备电源缺相/错相保护、主备电源自动切换、主备风机自动切换（故障时3s内）、延时启动等功能。&gt;</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流量开关</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60"/>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超声波流量开关，</w:t>
            </w:r>
            <w:r>
              <w:rPr>
                <w:rFonts w:hint="eastAsia" w:ascii="宋体" w:hAnsi="宋体" w:eastAsia="宋体" w:cs="宋体"/>
                <w:b w:val="0"/>
                <w:bCs w:val="0"/>
                <w:i w:val="0"/>
                <w:iCs w:val="0"/>
                <w:color w:val="000000"/>
                <w:sz w:val="24"/>
                <w:szCs w:val="24"/>
                <w:highlight w:val="none"/>
                <w:u w:val="none"/>
                <w:lang w:val="en-US" w:eastAsia="zh-CN" w:bidi="ar"/>
              </w:rPr>
              <w:t xml:space="preserve">动作流量设定值：1.0-2.0 L/s（可调）,触点容量：触点容量：DC24V/3A或AC220V/5A”。“连接方式：法兰连接，DN100，PN16”。</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流量开关</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超声波流量开关</w:t>
            </w:r>
            <w:r>
              <w:rPr>
                <w:rFonts w:hint="eastAsia" w:ascii="宋体" w:hAnsi="宋体" w:eastAsia="宋体" w:cs="宋体"/>
                <w:b w:val="0"/>
                <w:bCs w:val="0"/>
                <w:i w:val="0"/>
                <w:iCs w:val="0"/>
                <w:color w:val="000000"/>
                <w:sz w:val="24"/>
                <w:szCs w:val="24"/>
                <w:highlight w:val="none"/>
                <w:u w:val="none"/>
                <w:lang w:val="en-US" w:eastAsia="zh-CN" w:bidi="ar"/>
              </w:rPr>
              <w:t xml:space="preserve">，动作流量设定值：1.0-2.0 L/s（可调）,触点容量：触点容量：DC24V/3A或AC220V/5A”。“连接方式：法兰连接，DN80，PN16”。</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PE塑料穿线管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50mm管沟开挖，混凝土路面切缝，破碎，管道敷设后恢复,埋地管采用黄沙包封,建筑垃圾材料外运等项目。</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消火栓泵</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1.流量30L/s，扬程105m，功率45kW，带A/B签，立式单级。</w:t>
            </w:r>
            <w:r>
              <w:rPr>
                <w:rFonts w:hint="eastAsia" w:ascii="宋体" w:hAnsi="宋体" w:eastAsia="宋体" w:cs="宋体"/>
                <w:i w:val="0"/>
                <w:iCs w:val="0"/>
                <w:color w:val="000000"/>
                <w:sz w:val="24"/>
                <w:szCs w:val="24"/>
                <w:highlight w:val="none"/>
                <w:u w:val="none"/>
                <w:lang w:val="en-US" w:eastAsia="zh-CN" w:bidi="ar"/>
              </w:rPr>
            </w:r>
            <w:r/>
          </w:p>
          <w:p>
            <w:pPr>
              <w:pStyle w:val="966"/>
              <w:ind w:left="0" w:firstLine="0"/>
              <w:rPr>
                <w:rFonts w:hint="eastAsia"/>
                <w:color w:val="000000"/>
                <w:highlight w:val="none"/>
                <w:lang w:val="en-US" w:eastAsia="zh-CN"/>
              </w:rPr>
            </w:pPr>
            <w:r>
              <w:rPr>
                <w:rFonts w:hint="eastAsia" w:ascii="宋体" w:hAnsi="宋体" w:eastAsia="宋体" w:cs="宋体"/>
                <w:b/>
                <w:bCs/>
                <w:i w:val="0"/>
                <w:iCs w:val="0"/>
                <w:color w:val="000000"/>
                <w:sz w:val="24"/>
                <w:szCs w:val="24"/>
                <w:highlight w:val="none"/>
                <w:u w:val="none"/>
                <w:lang w:val="en-US" w:eastAsia="zh-CN" w:bidi="ar"/>
              </w:rPr>
              <w:t xml:space="preserve">2.投标人提供由应急管理部指定的认证机构颁发的有效消防产品自愿性认证证书（证书编号通常以Z开头），并提供“中国消防产品信息网”（www.cccf.net.cn）的查询截图。</w:t>
            </w:r>
            <w:r>
              <w:rPr>
                <w:rFonts w:hint="eastAsia"/>
                <w:color w:val="000000"/>
                <w:highlight w:val="none"/>
                <w:lang w:val="en-US" w:eastAsia="zh-CN"/>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消火栓控制柜</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1.HQK-2XFY-45KW，45KW，星三角一用一备，带A/B签，IP55，柜体：1400*700*450。</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喷淋稳压多级泵</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1.流量2L/s，扬程70m，功率3kW，带A/B签，立式多级。投标产品应符合GB 6245-2006《消防泵》或GB 6245-2025《消防泵》（若投标产品在2026年8月1日后供货，必须符合2025版标准）的相关规定。若是成套稳压设备，还需符合GB 27898.3-2011《固定消防给水设备第3部分：消防增压稳压给水设备》。</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气压罐</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SQL800*1.0，碳钢，红色。</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基础附件</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单管，新规。</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喷淋控制柜</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numPr>
                <w:ilvl w:val="0"/>
                <w:numId w:val="14"/>
              </w:numPr>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3KW，直启一用一备，IP30，壁挂式，带电接点压力表。</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稳压多级泵</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1.XBD10.0/2W-CDL，流量2L/s，扬程100m，功率4kW，带A/B签，立式多级，产品应符合GB 6245-2006《消防泵》或GB 6245-2025《消防泵》（若投标产品在2026年8月1日后供货，必须符合2025版标准）的相关规定。若是成套稳压设备，还需符合GB 27898.3-2011《固定消防给水设备第3部分：消防增压稳压给水设备》。</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w:t>
            </w:r>
            <w:r>
              <w:rPr>
                <w:rFonts w:hint="eastAsia" w:ascii="宋体" w:hAnsi="宋体" w:eastAsia="宋体" w:cs="宋体"/>
                <w:b/>
                <w:bCs/>
                <w:i w:val="0"/>
                <w:iCs w:val="0"/>
                <w:color w:val="000000"/>
                <w:sz w:val="24"/>
                <w:szCs w:val="24"/>
                <w:highlight w:val="none"/>
                <w:u w:val="none"/>
                <w:lang w:val="en-US" w:eastAsia="zh-CN" w:bidi="ar"/>
              </w:rPr>
              <w:t xml:space="preserve">.投标人提供由应急管理部指定的认证机构颁发的有效消防产品自愿性认证证书（证书编号通常以Z开头），并提供“中国消防产品信息网”（www.cccf.net.cn）的查询截图。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气压罐</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SQL800*1.6，碳钢，红色。</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基础附件</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单管，新规。</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稳压控制柜</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1.HQK-2P-4KW，4KW，直启一用一备，IP30，壁挂式，带电接点压力表。</w:t>
            </w:r>
            <w:r>
              <w:rPr>
                <w:rFonts w:hint="eastAsia" w:ascii="宋体" w:hAnsi="宋体" w:eastAsia="宋体" w:cs="宋体"/>
                <w:b/>
                <w:bCs/>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ff0000"/>
                <w:sz w:val="24"/>
                <w:szCs w:val="24"/>
                <w:highlight w:val="none"/>
                <w:u w:val="none"/>
                <w:lang w:val="en-US" w:eastAsia="zh-CN" w:bidi="ar"/>
              </w:rPr>
              <w:t xml:space="preserve">2.投标人提供由应急管理部指定的认证机构颁发的有效消防产品自愿性认证证书（证书编号通常以Z开头），并提供“中国消防产品信息网”（www.cccf.net.cn）的查询截图。）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公称口径：DN100；外径：114mm；表面质量/外形：合格；国标。</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公称口径：DN150；外径：169mm；表面质量/外形：合格；国标。</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明杆闸阀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明杆闸阀安装：含阀门，法兰管件等材料；规格型号：</w:t>
            </w:r>
            <w:r>
              <w:rPr>
                <w:rFonts w:hint="eastAsia" w:ascii="宋体" w:hAnsi="宋体" w:eastAsia="宋体" w:cs="宋体"/>
                <w:i w:val="0"/>
                <w:iCs w:val="0"/>
                <w:color w:val="000000"/>
                <w:sz w:val="24"/>
                <w:szCs w:val="24"/>
                <w:highlight w:val="none"/>
                <w:u w:val="none"/>
                <w:lang w:val="en-US" w:eastAsia="zh-CN" w:bidi="ar"/>
              </w:rPr>
              <w:t xml:space="preserve">Z41X-16C DN100</w:t>
            </w:r>
            <w:r>
              <w:rPr>
                <w:rFonts w:hint="eastAsia" w:ascii="宋体" w:hAnsi="宋体" w:eastAsia="宋体" w:cs="宋体"/>
                <w:i w:val="0"/>
                <w:iCs w:val="0"/>
                <w:color w:val="000000"/>
                <w:sz w:val="24"/>
                <w:szCs w:val="24"/>
                <w:highlight w:val="none"/>
                <w:u w:val="none"/>
                <w:lang w:val="en-US" w:eastAsia="zh-CN" w:bidi="ar"/>
              </w:rPr>
              <w:t xml:space="preserve">；标准：国标；公称压力：PN16；适用介质：水。</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Y型过滤器</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Y型过滤器安装：含阀门，法兰管件等材料；规格型号Z41X-16Q DN100；标准：国标；公称压力：PN16；适用介质：水。</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流量开关</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超声波流量开关DN150</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压力开关</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1.低压压力开关，符合 GB 5135.10-2006《自动喷水灭火系统 第10部分：压力开关》 的规定，其中第5、6、8章为强制性要求。</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2.额定工作压力：≥1.2MPa。</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3.触点配置：至少拥有一对常开和一对常闭触点，触点接触电阻≤0.1Ω。</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4.连接方式：符合标准规定的螺纹接口（如Rc1/2,M20×1.5等）。</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液位显示装置</w:t>
            </w:r>
            <w:r>
              <w:rPr>
                <w:rFonts w:hint="eastAsia" w:ascii="宋体" w:hAnsi="宋体" w:eastAsia="宋体" w:cs="宋体"/>
                <w:i w:val="0"/>
                <w:iCs w:val="0"/>
                <w:color w:val="000000"/>
                <w:sz w:val="24"/>
                <w:szCs w:val="24"/>
                <w:highlight w:val="none"/>
                <w:u w:val="none"/>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投入式液位变送器及配套数显控制仪,测量范围:量程：0-3m,输出信号“4-20mA,供电:DC24v 。</w:t>
            </w:r>
            <w:r>
              <w:rPr>
                <w:rFonts w:hint="eastAsia" w:ascii="宋体" w:hAnsi="宋体" w:eastAsia="宋体" w:cs="宋体"/>
                <w:i w:val="0"/>
                <w:iCs w:val="0"/>
                <w:color w:val="000000"/>
                <w:sz w:val="24"/>
                <w:szCs w:val="24"/>
                <w:highlight w:val="none"/>
                <w:u w:val="none"/>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WDZN-YJY4*25+16</w:t>
            </w:r>
            <w:r>
              <w:rPr>
                <w:rFonts w:hint="eastAsia" w:ascii="宋体" w:hAnsi="宋体" w:eastAsia="宋体" w:cs="宋体"/>
                <w:i w:val="0"/>
                <w:iCs w:val="0"/>
                <w:color w:val="000000"/>
                <w:sz w:val="24"/>
                <w:szCs w:val="24"/>
                <w:highlight w:val="none"/>
                <w:u w:val="none"/>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WDZN-YJY5*16</w:t>
            </w:r>
            <w:r>
              <w:rPr>
                <w:rFonts w:hint="eastAsia" w:ascii="宋体" w:hAnsi="宋体" w:eastAsia="宋体" w:cs="宋体"/>
                <w:i w:val="0"/>
                <w:iCs w:val="0"/>
                <w:color w:val="000000"/>
                <w:sz w:val="24"/>
                <w:szCs w:val="24"/>
                <w:highlight w:val="none"/>
                <w:u w:val="none"/>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槽钢</w:t>
            </w:r>
            <w:r>
              <w:rPr>
                <w:rFonts w:hint="eastAsia" w:ascii="宋体" w:hAnsi="宋体" w:eastAsia="宋体" w:cs="宋体"/>
                <w:i w:val="0"/>
                <w:iCs w:val="0"/>
                <w:color w:val="000000"/>
                <w:sz w:val="24"/>
                <w:szCs w:val="24"/>
                <w:highlight w:val="none"/>
                <w:u w:val="none"/>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10#镀锌槽钢，含制作安装。</w:t>
            </w:r>
            <w:r>
              <w:rPr>
                <w:rFonts w:hint="eastAsia" w:ascii="宋体" w:hAnsi="宋体" w:eastAsia="宋体" w:cs="宋体"/>
                <w:i w:val="0"/>
                <w:iCs w:val="0"/>
                <w:color w:val="000000"/>
                <w:sz w:val="24"/>
                <w:szCs w:val="24"/>
                <w:highlight w:val="none"/>
                <w:u w:val="none"/>
              </w:rPr>
            </w:r>
            <w:r/>
          </w:p>
        </w:tc>
      </w:tr>
    </w:tbl>
    <w:p>
      <w:pPr>
        <w:pStyle w:val="933"/>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四、质保及售后服务要求</w:t>
      </w:r>
      <w:r>
        <w:rPr>
          <w:rFonts w:hint="eastAsia" w:ascii="宋体" w:hAnsi="宋体" w:eastAsia="宋体" w:cs="宋体"/>
          <w:b/>
          <w:bCs/>
          <w:color w:val="000000"/>
          <w:sz w:val="24"/>
          <w:szCs w:val="24"/>
          <w:highlight w:val="none"/>
          <w:lang w:val="en-US" w:eastAsia="zh-CN"/>
        </w:rPr>
      </w:r>
      <w:r/>
    </w:p>
    <w:p>
      <w:pPr>
        <w:pStyle w:val="933"/>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1.质保要求：所供设备须符合国家标准及</w:t>
      </w:r>
      <w:r>
        <w:rPr>
          <w:rFonts w:hint="eastAsia" w:ascii="宋体" w:hAnsi="宋体" w:cs="宋体"/>
          <w:bCs/>
          <w:color w:val="000000"/>
          <w:sz w:val="24"/>
          <w:highlight w:val="none"/>
          <w:lang w:eastAsia="zh-CN"/>
        </w:rPr>
        <w:t xml:space="preserve">采购文件</w:t>
      </w:r>
      <w:r>
        <w:rPr>
          <w:rFonts w:hint="eastAsia" w:ascii="宋体" w:hAnsi="宋体" w:cs="宋体"/>
          <w:bCs/>
          <w:color w:val="000000"/>
          <w:sz w:val="24"/>
          <w:highlight w:val="none"/>
        </w:rPr>
        <w:t xml:space="preserve">要求。</w:t>
      </w:r>
      <w:r>
        <w:rPr>
          <w:rFonts w:hint="eastAsia" w:ascii="宋体" w:hAnsi="宋体" w:cs="宋体"/>
          <w:bCs/>
          <w:color w:val="000000"/>
          <w:sz w:val="24"/>
          <w:highlight w:val="none"/>
        </w:rPr>
      </w:r>
      <w:r/>
    </w:p>
    <w:p>
      <w:pPr>
        <w:pStyle w:val="933"/>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2.质保期：整体免费质保</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年（自验收合格之日起）。</w:t>
      </w:r>
      <w:r>
        <w:rPr>
          <w:rFonts w:hint="eastAsia" w:ascii="宋体" w:hAnsi="宋体" w:cs="宋体"/>
          <w:bCs/>
          <w:color w:val="000000"/>
          <w:sz w:val="24"/>
          <w:highlight w:val="none"/>
        </w:rPr>
      </w:r>
      <w:r/>
    </w:p>
    <w:p>
      <w:pPr>
        <w:pStyle w:val="933"/>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3.售后服务：</w:t>
      </w:r>
      <w:r>
        <w:rPr>
          <w:rFonts w:hint="eastAsia" w:ascii="宋体" w:hAnsi="宋体" w:cs="宋体"/>
          <w:bCs/>
          <w:color w:val="000000"/>
          <w:sz w:val="24"/>
          <w:highlight w:val="none"/>
        </w:rPr>
      </w:r>
      <w:r/>
    </w:p>
    <w:p>
      <w:pPr>
        <w:pStyle w:val="933"/>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（1）7*24小时维保服务，故障发生时维保人员须在同城4小时内、异地24小时内到达现场。</w:t>
      </w:r>
      <w:r>
        <w:rPr>
          <w:rFonts w:hint="eastAsia" w:ascii="宋体" w:hAnsi="宋体" w:cs="宋体"/>
          <w:bCs/>
          <w:color w:val="000000"/>
          <w:sz w:val="24"/>
          <w:highlight w:val="none"/>
        </w:rPr>
      </w:r>
      <w:r/>
    </w:p>
    <w:p>
      <w:pPr>
        <w:pStyle w:val="933"/>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（2）提供7*24小时在线技术支持。</w:t>
      </w:r>
      <w:r>
        <w:rPr>
          <w:rFonts w:hint="eastAsia" w:ascii="宋体" w:hAnsi="宋体" w:cs="宋体"/>
          <w:bCs/>
          <w:color w:val="000000"/>
          <w:sz w:val="24"/>
          <w:highlight w:val="none"/>
        </w:rPr>
      </w:r>
      <w:r/>
    </w:p>
    <w:p>
      <w:pPr>
        <w:pStyle w:val="933"/>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4.培训要求：</w:t>
      </w:r>
      <w:r>
        <w:rPr>
          <w:rFonts w:hint="eastAsia" w:ascii="宋体" w:hAnsi="宋体" w:cs="宋体"/>
          <w:bCs/>
          <w:color w:val="000000"/>
          <w:sz w:val="24"/>
          <w:highlight w:val="none"/>
        </w:rPr>
      </w:r>
      <w:r/>
    </w:p>
    <w:p>
      <w:pPr>
        <w:pStyle w:val="933"/>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（1）根据采购人需求提供免费培训，并免费提供培训课件、操作手册、视频等材料。</w:t>
      </w:r>
      <w:r>
        <w:rPr>
          <w:rFonts w:hint="eastAsia" w:ascii="宋体" w:hAnsi="宋体" w:cs="宋体"/>
          <w:bCs/>
          <w:color w:val="000000"/>
          <w:sz w:val="24"/>
          <w:highlight w:val="none"/>
        </w:rPr>
      </w:r>
      <w:r/>
    </w:p>
    <w:p>
      <w:pPr>
        <w:pStyle w:val="933"/>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（2）支持多种培训模式（如全员性、针对性培训）。</w:t>
      </w:r>
      <w:r>
        <w:rPr>
          <w:rFonts w:hint="eastAsia" w:ascii="宋体" w:hAnsi="宋体" w:cs="宋体"/>
          <w:bCs/>
          <w:color w:val="000000"/>
          <w:sz w:val="24"/>
          <w:highlight w:val="none"/>
        </w:rPr>
      </w:r>
      <w:r/>
    </w:p>
    <w:p>
      <w:pPr>
        <w:pStyle w:val="933"/>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五、其他要求</w:t>
      </w:r>
      <w:r>
        <w:rPr>
          <w:rFonts w:hint="eastAsia" w:ascii="宋体" w:hAnsi="宋体" w:eastAsia="宋体" w:cs="宋体"/>
          <w:b/>
          <w:bCs/>
          <w:color w:val="000000"/>
          <w:sz w:val="24"/>
          <w:szCs w:val="24"/>
          <w:highlight w:val="none"/>
          <w:lang w:val="en-US"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bCs/>
          <w:color w:val="000000"/>
          <w:sz w:val="24"/>
          <w:szCs w:val="24"/>
          <w:highlight w:val="none"/>
          <w:u w:val="single"/>
          <w:lang w:val="en-US" w:eastAsia="zh-CN"/>
        </w:rPr>
        <w:t xml:space="preserve"> 100 </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933"/>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六、报价方式</w:t>
      </w:r>
      <w:r>
        <w:rPr>
          <w:rFonts w:hint="eastAsia" w:ascii="宋体" w:hAnsi="宋体" w:eastAsia="宋体" w:cs="宋体"/>
          <w:b/>
          <w:bCs/>
          <w:color w:val="000000"/>
          <w:sz w:val="24"/>
          <w:szCs w:val="24"/>
          <w:highlight w:val="none"/>
          <w:lang w:val="en-US"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本项目投标报价为</w:t>
      </w:r>
      <w:r>
        <w:rPr>
          <w:rFonts w:hint="eastAsia" w:ascii="宋体" w:hAnsi="宋体" w:eastAsia="宋体" w:cs="宋体"/>
          <w:b/>
          <w:bCs w:val="0"/>
          <w:color w:val="000000"/>
          <w:sz w:val="24"/>
          <w:szCs w:val="24"/>
          <w:highlight w:val="none"/>
          <w:lang w:val="en-US" w:eastAsia="zh-CN"/>
        </w:rPr>
        <w:t xml:space="preserve">固定单价</w:t>
      </w:r>
      <w:r>
        <w:rPr>
          <w:rFonts w:hint="eastAsia" w:ascii="宋体" w:hAnsi="宋体" w:eastAsia="宋体" w:cs="宋体"/>
          <w:bCs/>
          <w:color w:val="000000"/>
          <w:sz w:val="24"/>
          <w:szCs w:val="24"/>
          <w:highlight w:val="none"/>
          <w:lang w:val="en-US" w:eastAsia="zh-CN"/>
        </w:rPr>
        <w:t xml:space="preserve">，报价应包括招标文件所确定的范围相应货物和服务的供货、包装、运输、保险、管理、维护、劳务、培训、验收、办公设备、设备、工具、备品备件、耗材、运送工具及耗材、利润、风险、税金及政策性文件规定等各项应有费用，以及为完成该项货物和服务项目所涉及到的一切相关费用，采购人不再支付其他任何费用。</w:t>
      </w:r>
      <w:r>
        <w:rPr>
          <w:rFonts w:hint="eastAsia" w:ascii="宋体" w:hAnsi="宋体" w:eastAsia="宋体" w:cs="宋体"/>
          <w:bCs/>
          <w:color w:val="000000"/>
          <w:sz w:val="24"/>
          <w:szCs w:val="24"/>
          <w:highlight w:val="none"/>
          <w:lang w:val="en-US"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报价货币为人民币，评审时以人民币为准。</w:t>
      </w:r>
      <w:r>
        <w:rPr>
          <w:rFonts w:hint="eastAsia" w:ascii="宋体" w:hAnsi="宋体" w:eastAsia="宋体" w:cs="宋体"/>
          <w:bCs/>
          <w:color w:val="000000"/>
          <w:sz w:val="24"/>
          <w:szCs w:val="24"/>
          <w:highlight w:val="none"/>
          <w:lang w:val="en-US" w:eastAsia="zh-CN"/>
        </w:rPr>
      </w:r>
      <w:r/>
    </w:p>
    <w:p>
      <w:pPr>
        <w:pStyle w:val="933"/>
        <w:keepLines w:val="0"/>
        <w:keepNext w:val="0"/>
        <w:pageBreakBefore w:val="0"/>
        <w:spacing w:line="360" w:lineRule="auto"/>
        <w:shd w:val="clear" w:color="auto" w:fill="auto"/>
        <w:widowControl w:val="off"/>
        <w:rPr>
          <w:rFonts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t xml:space="preserve">七、管道示意图下载链接</w:t>
      </w:r>
      <w:r>
        <w:rPr>
          <w:rFonts w:ascii="宋体" w:hAnsi="宋体" w:eastAsia="宋体" w:cs="宋体"/>
          <w:b/>
          <w:bCs/>
          <w:color w:val="ff0000"/>
          <w:sz w:val="24"/>
          <w:szCs w:val="24"/>
          <w:highlight w:val="none"/>
          <w:lang w:val="en-US" w:eastAsia="zh-CN"/>
        </w:rPr>
      </w:r>
      <w:r/>
    </w:p>
    <w:p>
      <w:pPr>
        <w:pStyle w:val="933"/>
        <w:ind w:firstLine="482"/>
        <w:keepLines w:val="0"/>
        <w:keepNext w:val="0"/>
        <w:pageBreakBefore w:val="0"/>
        <w:spacing w:line="360" w:lineRule="auto"/>
        <w:shd w:val="clear" w:color="auto" w:fill="auto"/>
        <w:widowControl w:val="off"/>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t xml:space="preserve">链接: https://pan.baidu.com/s/1KE68yldlVdyFvKZoupi9LA </w:t>
      </w:r>
      <w:r>
        <w:rPr>
          <w:rFonts w:hint="eastAsia" w:ascii="宋体" w:hAnsi="宋体" w:eastAsia="宋体" w:cs="宋体"/>
          <w:b/>
          <w:bCs/>
          <w:color w:val="ff0000"/>
          <w:sz w:val="24"/>
          <w:szCs w:val="24"/>
          <w:highlight w:val="none"/>
          <w:lang w:val="en-US" w:eastAsia="zh-CN"/>
        </w:rPr>
      </w:r>
      <w:r/>
    </w:p>
    <w:p>
      <w:pPr>
        <w:pStyle w:val="933"/>
        <w:ind w:firstLine="482"/>
        <w:keepLines w:val="0"/>
        <w:keepNext w:val="0"/>
        <w:pageBreakBefore w:val="0"/>
        <w:spacing w:line="360" w:lineRule="auto"/>
        <w:shd w:val="clear" w:color="auto" w:fill="auto"/>
        <w:widowControl w:val="off"/>
        <w:rPr>
          <w:rFonts w:hint="eastAsia" w:ascii="宋体" w:hAnsi="宋体" w:eastAsia="宋体" w:cs="宋体"/>
          <w:b/>
          <w:bCs/>
          <w:color w:val="ff0000"/>
          <w:sz w:val="24"/>
          <w:szCs w:val="24"/>
          <w:highlight w:val="none"/>
          <w:lang w:val="en-US" w:eastAsia="zh-CN"/>
        </w:rPr>
        <w:outlineLvl w:val="9"/>
      </w:pPr>
      <w:r>
        <w:rPr>
          <w:rFonts w:hint="eastAsia" w:ascii="宋体" w:hAnsi="宋体" w:eastAsia="宋体" w:cs="宋体"/>
          <w:b/>
          <w:bCs/>
          <w:color w:val="ff0000"/>
          <w:sz w:val="24"/>
          <w:szCs w:val="24"/>
          <w:highlight w:val="none"/>
          <w:lang w:val="en-US" w:eastAsia="zh-CN"/>
        </w:rPr>
        <w:t xml:space="preserve">提取码: hner </w:t>
      </w:r>
      <w:r>
        <w:rPr>
          <w:rFonts w:hint="eastAsia" w:ascii="宋体" w:hAnsi="宋体" w:eastAsia="宋体" w:cs="宋体"/>
          <w:b/>
          <w:bCs/>
          <w:color w:val="ff0000"/>
          <w:sz w:val="24"/>
          <w:szCs w:val="24"/>
          <w:highlight w:val="none"/>
          <w:lang w:val="en-US"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lang w:val="en-US" w:eastAsia="zh-CN"/>
        </w:rPr>
      </w:r>
      <w:r/>
    </w:p>
    <w:p>
      <w:pPr>
        <w:pStyle w:val="933"/>
        <w:contextualSpacing/>
        <w:jc w:val="center"/>
        <w:keepLines w:val="0"/>
        <w:keepNext w:val="0"/>
        <w:pageBreakBefore w:val="0"/>
        <w:spacing w:line="360" w:lineRule="auto"/>
        <w:shd w:val="clear" w:color="auto" w:fill="auto"/>
        <w:widowControl w:val="off"/>
        <w:rPr>
          <w:b/>
          <w:color w:val="000000"/>
          <w:sz w:val="36"/>
          <w:szCs w:val="36"/>
          <w:highlight w:val="none"/>
        </w:rPr>
        <w:outlineLvl w:val="9"/>
      </w:pPr>
      <w:r>
        <w:rPr>
          <w:b/>
          <w:color w:val="000000"/>
          <w:sz w:val="36"/>
          <w:szCs w:val="36"/>
          <w:highlight w:val="none"/>
        </w:rPr>
        <w:t xml:space="preserve">第六章   拟签订的合同文本</w:t>
      </w:r>
      <w:bookmarkEnd w:id="715"/>
      <w:r>
        <w:rPr>
          <w:b/>
          <w:color w:val="000000"/>
          <w:sz w:val="36"/>
          <w:szCs w:val="36"/>
          <w:highlight w:val="none"/>
        </w:rPr>
      </w:r>
      <w:r/>
    </w:p>
    <w:p>
      <w:pPr>
        <w:pStyle w:val="973"/>
        <w:spacing w:line="360" w:lineRule="auto"/>
        <w:shd w:val="clear" w:color="auto" w:fill="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973"/>
        <w:spacing w:line="360" w:lineRule="auto"/>
        <w:shd w:val="clear" w:color="auto" w:fill="auto"/>
        <w:rPr>
          <w:rFonts w:hAnsi="宋体" w:cs="宋体"/>
          <w:color w:val="000000"/>
          <w:sz w:val="24"/>
          <w:szCs w:val="24"/>
          <w:highlight w:val="none"/>
          <w:u w:val="single"/>
        </w:rPr>
      </w:pPr>
      <w:r>
        <w:rPr>
          <w:rFonts w:hAnsi="宋体" w:cs="宋体"/>
          <w:b/>
          <w:color w:val="000000"/>
          <w:sz w:val="24"/>
          <w:szCs w:val="24"/>
          <w:highlight w:val="none"/>
        </w:rPr>
        <w:t xml:space="preserve">中标人（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947"/>
        <w:ind w:firstLine="5040"/>
        <w:spacing w:line="360" w:lineRule="auto"/>
        <w:shd w:val="clear" w:color="auto" w:fill="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973"/>
        <w:ind w:firstLine="482"/>
        <w:spacing w:line="360" w:lineRule="auto"/>
        <w:shd w:val="clear" w:color="auto" w:fill="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933"/>
        <w:ind w:firstLine="480"/>
        <w:jc w:val="left"/>
        <w:spacing w:line="360" w:lineRule="auto"/>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乙方根据甲方需求提供下列产品：</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，产品名称、规格及数量详见乙方投标文件。</w:t>
      </w:r>
      <w:r>
        <w:rPr>
          <w:rFonts w:hint="eastAsia" w:ascii="宋体" w:hAnsi="宋体" w:cs="宋体"/>
          <w:color w:val="000000"/>
          <w:sz w:val="24"/>
          <w:highlight w:val="none"/>
          <w:lang w:val="zh-CN"/>
        </w:rPr>
      </w:r>
      <w:r/>
    </w:p>
    <w:p>
      <w:pPr>
        <w:pStyle w:val="973"/>
        <w:ind w:firstLine="482"/>
        <w:spacing w:line="360" w:lineRule="auto"/>
        <w:shd w:val="clear" w:color="auto" w:fill="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973"/>
        <w:ind w:firstLine="482"/>
        <w:jc w:val="left"/>
        <w:spacing w:line="360" w:lineRule="auto"/>
        <w:shd w:val="clear" w:color="auto" w:fill="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元（小写       ）</w:t>
      </w:r>
      <w:r>
        <w:rPr>
          <w:rFonts w:hAnsi="宋体" w:cs="宋体"/>
          <w:b/>
          <w:color w:val="000000"/>
          <w:sz w:val="24"/>
          <w:szCs w:val="24"/>
          <w:highlight w:val="none"/>
        </w:rPr>
        <w:t xml:space="preserve">。 </w:t>
      </w:r>
      <w:r>
        <w:rPr>
          <w:rFonts w:hAnsi="宋体" w:cs="宋体"/>
          <w:b/>
          <w:color w:val="000000"/>
          <w:sz w:val="24"/>
          <w:szCs w:val="24"/>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本合同总价款是货物供货、包装、运输、备品备件、保险、管理、维护、劳务、培训、验收、办公设备、设备、工具、</w:t>
      </w:r>
      <w:r>
        <w:rPr>
          <w:rFonts w:hint="eastAsia" w:ascii="宋体" w:hAnsi="宋体" w:eastAsia="宋体" w:cs="宋体"/>
          <w:bCs/>
          <w:color w:val="000000"/>
          <w:sz w:val="24"/>
          <w:szCs w:val="24"/>
          <w:highlight w:val="none"/>
          <w:lang w:val="en-US" w:eastAsia="zh-CN"/>
        </w:rPr>
        <w:t xml:space="preserve">备品备件、</w:t>
      </w:r>
      <w:r>
        <w:rPr>
          <w:rFonts w:hAnsi="宋体" w:cs="宋体"/>
          <w:color w:val="000000"/>
          <w:sz w:val="24"/>
          <w:szCs w:val="24"/>
          <w:highlight w:val="none"/>
        </w:rPr>
        <w:t xml:space="preserve">耗材、运送工具及耗材、利润、风险、税金及其材料及验收合格之前保管及保修期内备品备件、专用工具、伴随服务、技术图纸资料、人员培训发生的所有含税费用、支付给员工的工资和国家强制缴纳的各种社会保障资金，以及乙方认为需要的其他费用等。</w:t>
      </w:r>
      <w:r>
        <w:rPr>
          <w:rFonts w:hAnsi="宋体" w:cs="宋体"/>
          <w:color w:val="000000"/>
          <w:sz w:val="24"/>
          <w:szCs w:val="24"/>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本合同总价款还包含乙方应当提供的伴随服务/售后服务费用。</w:t>
      </w:r>
      <w:r>
        <w:rPr>
          <w:rFonts w:hAnsi="宋体" w:cs="宋体"/>
          <w:color w:val="000000"/>
          <w:sz w:val="24"/>
          <w:szCs w:val="24"/>
          <w:highlight w:val="none"/>
        </w:rPr>
      </w:r>
      <w:r/>
    </w:p>
    <w:p>
      <w:pPr>
        <w:pStyle w:val="973"/>
        <w:ind w:firstLine="482"/>
        <w:spacing w:line="360" w:lineRule="auto"/>
        <w:shd w:val="clear" w:color="auto" w:fill="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（1）招标文件（编号：</w:t>
      </w:r>
      <w:r>
        <w:rPr>
          <w:rFonts w:hint="eastAsia" w:hAnsi="宋体" w:cs="宋体"/>
          <w:color w:val="000000"/>
          <w:sz w:val="24"/>
          <w:szCs w:val="24"/>
          <w:highlight w:val="none"/>
          <w:lang w:eastAsia="zh-CN"/>
        </w:rPr>
        <w:t xml:space="preserve">JSZC-320412054-SYZB-G2026-0031</w:t>
      </w:r>
      <w:r>
        <w:rPr>
          <w:rFonts w:hAnsi="宋体" w:cs="宋体"/>
          <w:color w:val="000000"/>
          <w:sz w:val="24"/>
          <w:szCs w:val="24"/>
          <w:highlight w:val="none"/>
        </w:rPr>
        <w:t xml:space="preserve">）；</w:t>
      </w:r>
      <w:r>
        <w:rPr>
          <w:rFonts w:hAnsi="宋体" w:cs="宋体"/>
          <w:color w:val="000000"/>
          <w:sz w:val="24"/>
          <w:szCs w:val="24"/>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（2）乙方提供的投标文件；</w:t>
      </w:r>
      <w:r>
        <w:rPr>
          <w:rFonts w:hAnsi="宋体" w:cs="宋体"/>
          <w:color w:val="000000"/>
          <w:sz w:val="24"/>
          <w:szCs w:val="24"/>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（3）中标通知书；</w:t>
      </w:r>
      <w:r>
        <w:rPr>
          <w:rFonts w:hAnsi="宋体" w:cs="宋体"/>
          <w:color w:val="000000"/>
          <w:sz w:val="24"/>
          <w:szCs w:val="24"/>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（4）甲乙双方商定的其他文件等。</w:t>
      </w:r>
      <w:r>
        <w:rPr>
          <w:rFonts w:hAnsi="宋体" w:cs="宋体"/>
          <w:color w:val="000000"/>
          <w:sz w:val="24"/>
          <w:szCs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hint="eastAsia" w:ascii="宋体" w:hAnsi="宋体" w:cs="宋体"/>
          <w:b/>
          <w:color w:val="000000"/>
          <w:sz w:val="24"/>
          <w:highlight w:val="none"/>
        </w:rPr>
      </w:r>
      <w:r/>
    </w:p>
    <w:p>
      <w:pPr>
        <w:pStyle w:val="933"/>
        <w:ind w:firstLine="482"/>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hint="eastAsia" w:ascii="宋体" w:hAnsi="宋体" w:cs="宋体"/>
          <w:color w:val="000000"/>
          <w:sz w:val="24"/>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天内将货物交付甲方正常使用，地点由甲方指定。招标文件有约定的，从其约定。</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等交付给甲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5.货物验收的标准：</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5.1产品按国家、行业标准或甲方的技术要求进行验收，当发生矛盾时，以所有文件中最高性能指标为准。</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5.2按合同规定的验收标准和招标文件要求进行验收，当两者发生矛盾时，以所有文件中最高性能指标为准。</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3.结算原则：固定单价，按实结算。</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4.如设计变更，增加的货物在清单中有的，按投标时的报价执行，若增加的货物在清单中没有的，结算时参照相似设备的投标报价，双方协商解决。</w:t>
      </w:r>
      <w:r>
        <w:rPr>
          <w:rFonts w:hint="eastAsia" w:ascii="宋体" w:hAnsi="宋体" w:cs="宋体"/>
          <w:color w:val="000000"/>
          <w:sz w:val="24"/>
          <w:highlight w:val="none"/>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cs="宋体"/>
          <w:color w:val="000000"/>
          <w:sz w:val="24"/>
          <w:highlight w:val="none"/>
        </w:rPr>
        <w:t xml:space="preserve">5.付款方式：</w:t>
      </w:r>
      <w:r>
        <w:rPr>
          <w:rFonts w:hint="eastAsia" w:ascii="宋体" w:hAnsi="宋体" w:eastAsia="宋体" w:cs="宋体"/>
          <w:bCs/>
          <w:color w:val="000000"/>
          <w:sz w:val="24"/>
          <w:szCs w:val="24"/>
          <w:highlight w:val="none"/>
          <w:lang w:val="en-US" w:eastAsia="zh-CN"/>
        </w:rPr>
        <w:t xml:space="preserve">合同签订后7日内支付至合同价的10%，货物安装调试完毕交付后支付至合同价的80%，经审计单位结算审核后，支付至审定价的100%。</w:t>
      </w:r>
      <w:r>
        <w:rPr>
          <w:rFonts w:hint="eastAsia" w:ascii="宋体" w:hAnsi="宋体" w:eastAsia="宋体" w:cs="宋体"/>
          <w:bCs/>
          <w:color w:val="000000"/>
          <w:sz w:val="24"/>
          <w:szCs w:val="24"/>
          <w:highlight w:val="none"/>
          <w:lang w:val="en-US" w:eastAsia="zh-CN"/>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2.若招标文件中不包含有关伴随服务或售后服务的承诺，双方作如下约定：</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2.2所购货物按乙方投标承诺提供免费维护和质量保证，保修费用计入总价。</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2.3保修期内，乙方负责对其提供的货物整机进行维修和维护，不再收取任何费用，但不可抗力（如火灾、雷击等）造成的故障除外。</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2.4货物故障报修的响应时间按乙方投标承诺执行。</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2.5若货物故障在检修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工作小时后仍无法排除，乙方应在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小时内免费提供不低于故障货物规格型号档次的备用货物供甲方使用，直至故障货物修复。</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2.6所有货物保修服务方式均为乙方上门保修，即由乙方派员到货物使用现场维修，由此产生的一切费用均由乙方承担。</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2.7保修期后的货物维护由双方协商再定。</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发出之日生效。</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.乙方所交付的货物品种、型号、规格不符合合同规定的，甲方有权拒收，同时有权解除合同，解除合同的通知自发出之日生效。</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.其他未尽事宜，以《中华人民共和国民法典》等有关法律法规规定为准，无相关规定的，双方协商解决。</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highlight w:val="none"/>
        </w:rPr>
      </w:r>
      <w:r/>
    </w:p>
    <w:p>
      <w:pPr>
        <w:pStyle w:val="933"/>
        <w:ind w:firstLine="484"/>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w:t>
      </w:r>
      <w:r>
        <w:rPr>
          <w:rFonts w:hint="eastAsia" w:ascii="宋体" w:hAnsi="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2.本合同一式肆份，甲乙双方各执贰份。</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b/>
          <w:bCs/>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hint="eastAsia" w:ascii="宋体" w:hAnsi="宋体" w:cs="宋体"/>
          <w:b/>
          <w:bCs/>
          <w:color w:val="000000"/>
          <w:sz w:val="24"/>
          <w:highlight w:val="none"/>
        </w:rPr>
      </w:r>
      <w:r/>
    </w:p>
    <w:p>
      <w:pPr>
        <w:pStyle w:val="933"/>
        <w:jc w:val="left"/>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3"/>
        <w:jc w:val="left"/>
        <w:spacing w:line="360" w:lineRule="auto"/>
        <w:shd w:val="clear" w:color="auto" w:fill="auto"/>
        <w:rPr>
          <w:rFonts w:hint="eastAsia"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spacing w:line="360" w:lineRule="auto"/>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常州市武进区丁堰街道办事处</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933"/>
        <w:spacing w:line="360" w:lineRule="auto"/>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u w:val="singl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       委托代理人：</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933"/>
        <w:jc w:val="left"/>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3"/>
        <w:jc w:val="left"/>
        <w:spacing w:line="360" w:lineRule="auto"/>
        <w:shd w:val="clear" w:color="auto" w:fill="auto"/>
        <w:rPr>
          <w:rFonts w:hint="eastAsia" w:ascii="宋体" w:hAnsi="宋体" w:cs="宋体"/>
          <w:color w:val="000000"/>
          <w:sz w:val="24"/>
          <w:highlight w:val="none"/>
        </w:rPr>
      </w:pP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spacing w:line="360" w:lineRule="auto"/>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933"/>
        <w:spacing w:line="360" w:lineRule="auto"/>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u w:val="singl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     委托代理人：</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账号：</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33"/>
        <w:spacing w:line="360" w:lineRule="auto"/>
        <w:shd w:val="clear" w:color="auto" w:fill="auto"/>
        <w:rPr>
          <w:rFonts w:hint="eastAsia" w:ascii="宋体" w:hAnsi="宋体" w:cs="宋体"/>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4"/>
          <w:highlight w:val="none"/>
        </w:rPr>
      </w:r>
      <w:r/>
    </w:p>
    <w:p>
      <w:pPr>
        <w:pStyle w:val="933"/>
        <w:contextualSpacing/>
        <w:jc w:val="center"/>
        <w:spacing w:line="360" w:lineRule="auto"/>
        <w:shd w:val="clear" w:color="auto" w:fill="auto"/>
        <w:rPr>
          <w:b/>
          <w:color w:val="000000"/>
          <w:sz w:val="36"/>
          <w:szCs w:val="36"/>
          <w:highlight w:val="none"/>
        </w:rPr>
        <w:outlineLvl w:val="0"/>
      </w:pPr>
      <w:r/>
      <w:bookmarkStart w:id="716" w:name="_Toc137"/>
      <w:r>
        <w:rPr>
          <w:b/>
          <w:color w:val="000000"/>
          <w:sz w:val="36"/>
          <w:szCs w:val="36"/>
          <w:highlight w:val="none"/>
        </w:rPr>
        <w:t xml:space="preserve">第七章   投标文件格式</w:t>
      </w:r>
      <w:bookmarkEnd w:id="716"/>
      <w:r>
        <w:rPr>
          <w:b/>
          <w:color w:val="000000"/>
          <w:sz w:val="36"/>
          <w:szCs w:val="36"/>
          <w:highlight w:val="none"/>
        </w:rPr>
      </w:r>
      <w:r/>
    </w:p>
    <w:p>
      <w:pPr>
        <w:pStyle w:val="933"/>
        <w:ind w:left="142"/>
        <w:spacing w:line="360" w:lineRule="auto"/>
        <w:shd w:val="clear" w:color="auto" w:fill="auto"/>
        <w:tabs>
          <w:tab w:val="left" w:pos="900" w:leader="none"/>
          <w:tab w:val="left" w:pos="1980" w:leader="none"/>
        </w:tabs>
        <w:rPr>
          <w:b/>
          <w:color w:val="000000"/>
          <w:sz w:val="24"/>
          <w:highlight w:val="none"/>
        </w:rPr>
      </w:pPr>
      <w:r>
        <w:rPr>
          <w:b/>
          <w:color w:val="000000"/>
          <w:sz w:val="24"/>
          <w:highlight w:val="none"/>
        </w:rPr>
      </w:r>
      <w:r/>
    </w:p>
    <w:p>
      <w:pPr>
        <w:pStyle w:val="933"/>
        <w:ind w:left="142"/>
        <w:spacing w:line="360" w:lineRule="auto"/>
        <w:shd w:val="clear" w:color="auto" w:fill="auto"/>
        <w:tabs>
          <w:tab w:val="left" w:pos="900" w:leader="none"/>
          <w:tab w:val="left" w:pos="1980" w:leader="none"/>
        </w:tabs>
        <w:rPr>
          <w:b/>
          <w:color w:val="000000"/>
          <w:sz w:val="24"/>
          <w:highlight w:val="none"/>
        </w:rPr>
      </w:pPr>
      <w:r>
        <w:rPr>
          <w:b/>
          <w:color w:val="000000"/>
          <w:sz w:val="24"/>
          <w:highlight w:val="none"/>
        </w:rPr>
      </w:r>
      <w:r/>
    </w:p>
    <w:p>
      <w:pPr>
        <w:pStyle w:val="933"/>
        <w:ind w:left="142"/>
        <w:spacing w:line="360" w:lineRule="auto"/>
        <w:shd w:val="clear" w:color="auto" w:fill="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933"/>
        <w:ind w:left="142"/>
        <w:spacing w:line="360" w:lineRule="auto"/>
        <w:shd w:val="clear" w:color="auto" w:fill="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933"/>
        <w:ind w:left="142"/>
        <w:spacing w:line="360" w:lineRule="auto"/>
        <w:shd w:val="clear" w:color="auto" w:fill="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933"/>
        <w:ind w:left="142"/>
        <w:spacing w:line="360" w:lineRule="auto"/>
        <w:shd w:val="clear" w:color="auto" w:fill="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33"/>
        <w:ind w:left="142"/>
        <w:spacing w:line="360" w:lineRule="auto"/>
        <w:shd w:val="clear" w:color="auto" w:fill="auto"/>
        <w:tabs>
          <w:tab w:val="left" w:pos="900" w:leader="none"/>
          <w:tab w:val="left" w:pos="1980" w:leader="none"/>
        </w:tabs>
        <w:rPr>
          <w:rFonts w:hint="eastAsia"/>
          <w:color w:val="000000"/>
          <w:sz w:val="24"/>
          <w:highlight w:val="none"/>
        </w:rPr>
      </w:pPr>
      <w:r>
        <w:rPr>
          <w:rFonts w:hint="eastAsia"/>
          <w:color w:val="000000"/>
          <w:sz w:val="24"/>
          <w:highlight w:val="none"/>
        </w:rPr>
        <w:t xml:space="preserve">4、实行电子化不见面交易方式的，加盖公章、签名等均通过投标文件编制工具加盖电子公章、签字、签章或印鉴。</w:t>
      </w:r>
      <w:r>
        <w:rPr>
          <w:rFonts w:hint="eastAsia"/>
          <w:color w:val="000000"/>
          <w:sz w:val="24"/>
          <w:highlight w:val="none"/>
        </w:rPr>
      </w:r>
      <w:r/>
    </w:p>
    <w:p>
      <w:pPr>
        <w:pStyle w:val="933"/>
        <w:ind w:left="142"/>
        <w:spacing w:line="360" w:lineRule="auto"/>
        <w:shd w:val="clear" w:color="auto" w:fill="auto"/>
        <w:tabs>
          <w:tab w:val="left" w:pos="900" w:leader="none"/>
          <w:tab w:val="left" w:pos="1980" w:leader="none"/>
        </w:tabs>
        <w:rPr>
          <w:b/>
          <w:color w:val="000000"/>
          <w:sz w:val="30"/>
          <w:szCs w:val="20"/>
          <w:highlight w:val="none"/>
        </w:rPr>
      </w:pPr>
      <w:r>
        <w:rPr>
          <w:color w:val="000000"/>
          <w:sz w:val="24"/>
          <w:highlight w:val="none"/>
        </w:rPr>
        <w:br w:type="page" w:clear="all"/>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Pr>
          <w:b/>
          <w:color w:val="000000"/>
          <w:spacing w:val="20"/>
          <w:sz w:val="24"/>
          <w:highlight w:val="none"/>
        </w:rPr>
        <w:t xml:space="preserve">一、资格证明文件格式</w:t>
      </w:r>
      <w:r>
        <w:rPr>
          <w:b/>
          <w:color w:val="000000"/>
          <w:sz w:val="30"/>
          <w:szCs w:val="20"/>
          <w:highlight w:val="none"/>
        </w:rPr>
      </w:r>
      <w:r/>
    </w:p>
    <w:p>
      <w:pPr>
        <w:pStyle w:val="933"/>
        <w:shd w:val="clear" w:color="auto" w:fill="auto"/>
        <w:rPr>
          <w:b/>
          <w:color w:val="000000"/>
          <w:spacing w:val="20"/>
          <w:szCs w:val="21"/>
          <w:highlight w:val="none"/>
        </w:rPr>
      </w:pPr>
      <w:r>
        <w:rPr>
          <w:b/>
          <w:color w:val="000000"/>
          <w:spacing w:val="20"/>
          <w:szCs w:val="21"/>
          <w:highlight w:val="none"/>
        </w:rPr>
      </w:r>
      <w:r/>
    </w:p>
    <w:p>
      <w:pPr>
        <w:pStyle w:val="933"/>
        <w:shd w:val="clear" w:color="auto" w:fill="auto"/>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933"/>
        <w:jc w:val="center"/>
        <w:shd w:val="clear" w:color="auto" w:fill="auto"/>
        <w:rPr>
          <w:color w:val="000000"/>
          <w:szCs w:val="21"/>
          <w:highlight w:val="none"/>
        </w:rPr>
      </w:pPr>
      <w:r>
        <w:rPr>
          <w:color w:val="000000"/>
          <w:szCs w:val="21"/>
          <w:highlight w:val="none"/>
        </w:rPr>
      </w:r>
      <w:r/>
    </w:p>
    <w:p>
      <w:pPr>
        <w:pStyle w:val="933"/>
        <w:jc w:val="center"/>
        <w:shd w:val="clear" w:color="auto" w:fill="auto"/>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933"/>
        <w:ind w:firstLine="963"/>
        <w:shd w:val="clear" w:color="auto" w:fill="auto"/>
        <w:rPr>
          <w:rFonts w:hint="eastAsia"/>
          <w:b/>
          <w:color w:val="000000"/>
          <w:spacing w:val="60"/>
          <w:sz w:val="52"/>
          <w:szCs w:val="52"/>
          <w:highlight w:val="none"/>
        </w:rPr>
      </w:pPr>
      <w:r>
        <w:rPr>
          <w:rFonts w:hint="eastAsia"/>
          <w:b/>
          <w:color w:val="000000"/>
          <w:spacing w:val="60"/>
          <w:sz w:val="52"/>
          <w:szCs w:val="52"/>
          <w:highlight w:val="none"/>
        </w:rPr>
      </w:r>
      <w:r/>
    </w:p>
    <w:p>
      <w:pPr>
        <w:pStyle w:val="933"/>
        <w:ind w:firstLine="963"/>
        <w:shd w:val="clear" w:color="auto" w:fill="auto"/>
        <w:rPr>
          <w:rFonts w:hint="eastAsia"/>
          <w:b/>
          <w:color w:val="000000"/>
          <w:spacing w:val="60"/>
          <w:sz w:val="52"/>
          <w:szCs w:val="52"/>
          <w:highlight w:val="none"/>
        </w:rPr>
      </w:pPr>
      <w:r>
        <w:rPr>
          <w:rFonts w:hint="eastAsia"/>
          <w:b/>
          <w:color w:val="000000"/>
          <w:spacing w:val="60"/>
          <w:sz w:val="52"/>
          <w:szCs w:val="52"/>
          <w:highlight w:val="none"/>
        </w:rPr>
      </w:r>
      <w:r/>
    </w:p>
    <w:p>
      <w:pPr>
        <w:pStyle w:val="933"/>
        <w:ind w:firstLine="542"/>
        <w:shd w:val="clear" w:color="auto" w:fill="auto"/>
        <w:rPr>
          <w:b/>
          <w:color w:val="000000"/>
          <w:spacing w:val="20"/>
          <w:sz w:val="32"/>
          <w:szCs w:val="32"/>
          <w:highlight w:val="none"/>
        </w:rPr>
      </w:pPr>
      <w:r>
        <w:rPr>
          <w:b/>
          <w:color w:val="000000"/>
          <w:spacing w:val="20"/>
          <w:sz w:val="32"/>
          <w:szCs w:val="32"/>
          <w:highlight w:val="none"/>
        </w:rPr>
      </w:r>
      <w:r/>
    </w:p>
    <w:p>
      <w:pPr>
        <w:pStyle w:val="933"/>
        <w:ind w:firstLine="542"/>
        <w:shd w:val="clear" w:color="auto" w:fill="auto"/>
        <w:rPr>
          <w:b/>
          <w:color w:val="000000"/>
          <w:spacing w:val="20"/>
          <w:sz w:val="32"/>
          <w:szCs w:val="32"/>
          <w:highlight w:val="none"/>
        </w:rPr>
      </w:pPr>
      <w:r>
        <w:rPr>
          <w:b/>
          <w:color w:val="000000"/>
          <w:spacing w:val="20"/>
          <w:sz w:val="32"/>
          <w:szCs w:val="32"/>
          <w:highlight w:val="none"/>
        </w:rPr>
      </w:r>
      <w:r/>
    </w:p>
    <w:p>
      <w:pPr>
        <w:pStyle w:val="933"/>
        <w:ind w:firstLine="1084"/>
        <w:shd w:val="clear" w:color="auto" w:fill="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3"/>
        <w:ind w:firstLine="1084"/>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3"/>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3"/>
        <w:shd w:val="clear" w:color="auto" w:fill="auto"/>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3"/>
        <w:jc w:val="center"/>
        <w:shd w:val="clear" w:color="auto" w:fill="auto"/>
        <w:rPr>
          <w:b/>
          <w:color w:val="000000"/>
          <w:sz w:val="32"/>
          <w:szCs w:val="32"/>
          <w:highlight w:val="none"/>
        </w:rPr>
      </w:pPr>
      <w:r>
        <w:rPr>
          <w:b/>
          <w:color w:val="000000"/>
          <w:sz w:val="32"/>
          <w:szCs w:val="32"/>
          <w:highlight w:val="none"/>
        </w:rPr>
      </w:r>
      <w:r/>
    </w:p>
    <w:p>
      <w:pPr>
        <w:pStyle w:val="933"/>
        <w:jc w:val="center"/>
        <w:shd w:val="clear" w:color="auto" w:fill="auto"/>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933"/>
        <w:shd w:val="clear" w:color="auto" w:fill="auto"/>
        <w:rPr>
          <w:b/>
          <w:color w:val="000000"/>
          <w:highlight w:val="none"/>
        </w:rPr>
      </w:pPr>
      <w:r>
        <w:rPr>
          <w:b/>
          <w:color w:val="000000"/>
          <w:highlight w:val="none"/>
        </w:rPr>
      </w:r>
      <w:r/>
    </w:p>
    <w:p>
      <w:pPr>
        <w:pStyle w:val="933"/>
        <w:spacing w:line="360" w:lineRule="auto"/>
        <w:shd w:val="clear" w:color="auto" w:fill="auto"/>
        <w:rPr>
          <w:color w:val="000000"/>
          <w:sz w:val="24"/>
          <w:szCs w:val="20"/>
          <w:highlight w:val="none"/>
        </w:rPr>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33"/>
        <w:shd w:val="clear" w:color="auto" w:fill="auto"/>
        <w:rPr>
          <w:b/>
          <w:bCs/>
          <w:color w:val="000000"/>
          <w:highlight w:val="none"/>
        </w:rPr>
      </w:pPr>
      <w:r>
        <w:rPr>
          <w:b/>
          <w:color w:val="000000"/>
          <w:highlight w:val="none"/>
        </w:rPr>
        <w:t xml:space="preserve">1-</w:t>
      </w:r>
      <w:r>
        <w:rPr>
          <w:rFonts w:hint="eastAsia"/>
          <w:b/>
          <w:color w:val="000000"/>
          <w:highlight w:val="none"/>
        </w:rPr>
        <w:t xml:space="preserve">1</w:t>
      </w:r>
      <w:r>
        <w:rPr>
          <w:b/>
          <w:color w:val="000000"/>
          <w:highlight w:val="none"/>
        </w:rPr>
        <w:t xml:space="preserve"> 投标人资格声明</w:t>
      </w:r>
      <w:r>
        <w:rPr>
          <w:rFonts w:hint="eastAsia"/>
          <w:b/>
          <w:color w:val="000000"/>
          <w:highlight w:val="none"/>
        </w:rPr>
        <w:t xml:space="preserve">函</w:t>
      </w:r>
      <w:r>
        <w:rPr>
          <w:b/>
          <w:color w:val="000000"/>
          <w:highlight w:val="none"/>
        </w:rPr>
        <w:t xml:space="preserve">（实质性格式）</w:t>
      </w:r>
      <w:r>
        <w:rPr>
          <w:b/>
          <w:bCs/>
          <w:color w:val="000000"/>
          <w:highlight w:val="none"/>
        </w:rPr>
      </w:r>
      <w:r/>
    </w:p>
    <w:p>
      <w:pPr>
        <w:pStyle w:val="933"/>
        <w:jc w:val="center"/>
        <w:spacing w:before="120" w:line="360" w:lineRule="auto"/>
        <w:shd w:val="clear" w:color="auto" w:fill="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33"/>
        <w:jc w:val="center"/>
        <w:spacing w:before="120" w:line="360" w:lineRule="auto"/>
        <w:shd w:val="clear" w:color="auto" w:fill="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47"/>
        <w:ind w:firstLine="480"/>
        <w:spacing w:line="460" w:lineRule="exact"/>
        <w:shd w:val="clear" w:color="auto" w:fill="auto"/>
        <w:rPr>
          <w:color w:val="000000"/>
          <w:highlight w:val="none"/>
        </w:rPr>
      </w:pPr>
      <w:r>
        <w:rPr>
          <w:color w:val="000000"/>
          <w:highlight w:val="none"/>
        </w:rPr>
      </w:r>
      <w:r/>
    </w:p>
    <w:p>
      <w:pPr>
        <w:pStyle w:val="947"/>
        <w:ind w:firstLine="480"/>
        <w:spacing w:line="460" w:lineRule="exact"/>
        <w:shd w:val="clear" w:color="auto" w:fill="auto"/>
        <w:rPr>
          <w:rFonts w:hint="eastAsia"/>
          <w:color w:val="000000"/>
          <w:highlight w:val="none"/>
        </w:rPr>
      </w:pPr>
      <w:r>
        <w:rPr>
          <w:rFonts w:hint="eastAsia"/>
          <w:color w:val="000000"/>
          <w:highlight w:val="none"/>
        </w:rPr>
        <w:t xml:space="preserve">致：江苏尚阳工程管理有限公司</w:t>
      </w:r>
      <w:r>
        <w:rPr>
          <w:rFonts w:hint="eastAsia"/>
          <w:color w:val="000000"/>
          <w:highlight w:val="none"/>
        </w:rPr>
      </w:r>
      <w:r/>
    </w:p>
    <w:p>
      <w:pPr>
        <w:pStyle w:val="947"/>
        <w:ind w:firstLine="960"/>
        <w:spacing w:line="460" w:lineRule="exact"/>
        <w:shd w:val="clear" w:color="auto" w:fill="auto"/>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947"/>
        <w:ind w:firstLine="480"/>
        <w:spacing w:line="460" w:lineRule="exact"/>
        <w:shd w:val="clear" w:color="auto" w:fill="auto"/>
        <w:rPr>
          <w:color w:val="000000"/>
          <w:highlight w:val="none"/>
        </w:rPr>
      </w:pP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947"/>
        <w:ind w:firstLine="480"/>
        <w:spacing w:line="460" w:lineRule="exact"/>
        <w:shd w:val="clear" w:color="auto" w:fill="auto"/>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47"/>
        <w:ind w:firstLine="480"/>
        <w:spacing w:line="460" w:lineRule="exact"/>
        <w:shd w:val="clear" w:color="auto" w:fill="auto"/>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47"/>
        <w:ind w:firstLine="480"/>
        <w:spacing w:line="460" w:lineRule="exact"/>
        <w:shd w:val="clear" w:color="auto" w:fill="auto"/>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47"/>
        <w:ind w:firstLine="480"/>
        <w:spacing w:line="460" w:lineRule="exact"/>
        <w:shd w:val="clear" w:color="auto" w:fill="auto"/>
        <w:rPr>
          <w:color w:val="000000"/>
          <w:highlight w:val="none"/>
        </w:rPr>
      </w:pP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47"/>
        <w:ind w:firstLine="480"/>
        <w:spacing w:line="460" w:lineRule="exact"/>
        <w:shd w:val="clear" w:color="auto" w:fill="auto"/>
        <w:rPr>
          <w:color w:val="000000"/>
          <w:highlight w:val="none"/>
        </w:rPr>
      </w:pPr>
      <w:r>
        <w:rPr>
          <w:color w:val="000000"/>
          <w:highlight w:val="none"/>
        </w:rPr>
      </w:r>
      <w:r/>
    </w:p>
    <w:p>
      <w:pPr>
        <w:pStyle w:val="947"/>
        <w:ind w:firstLine="480"/>
        <w:spacing w:line="460" w:lineRule="exact"/>
        <w:shd w:val="clear" w:color="auto" w:fill="auto"/>
        <w:rPr>
          <w:color w:val="000000"/>
          <w:highlight w:val="none"/>
        </w:rPr>
      </w:pP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                                            投标人：（加盖公章）</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947"/>
        <w:ind w:firstLine="4920"/>
        <w:spacing w:line="460" w:lineRule="exact"/>
        <w:shd w:val="clear" w:color="auto" w:fill="auto"/>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933"/>
        <w:spacing w:line="360" w:lineRule="auto"/>
        <w:shd w:val="clear" w:color="auto" w:fill="auto"/>
        <w:rPr>
          <w:rFonts w:hint="eastAsia"/>
          <w:color w:val="000000"/>
          <w:sz w:val="24"/>
          <w:highlight w:val="none"/>
        </w:rPr>
      </w:pPr>
      <w:r>
        <w:rPr>
          <w:rFonts w:hint="eastAsia"/>
          <w:color w:val="000000"/>
          <w:sz w:val="24"/>
          <w:highlight w:val="none"/>
        </w:rPr>
      </w:r>
      <w:r/>
    </w:p>
    <w:p>
      <w:pPr>
        <w:pStyle w:val="933"/>
        <w:spacing w:line="360" w:lineRule="auto"/>
        <w:shd w:val="clear" w:color="auto" w:fill="auto"/>
        <w:rPr>
          <w:rFonts w:hint="eastAsia"/>
          <w:color w:val="000000"/>
          <w:sz w:val="24"/>
          <w:highlight w:val="none"/>
        </w:rPr>
      </w:pPr>
      <w:r>
        <w:rPr>
          <w:rFonts w:hint="eastAsia"/>
          <w:color w:val="000000"/>
          <w:sz w:val="24"/>
          <w:highlight w:val="none"/>
        </w:rPr>
      </w:r>
      <w:r/>
    </w:p>
    <w:p>
      <w:pPr>
        <w:pStyle w:val="933"/>
        <w:spacing w:line="360" w:lineRule="auto"/>
        <w:shd w:val="clear" w:color="auto" w:fill="auto"/>
        <w:rPr>
          <w:rFonts w:hint="eastAsia"/>
          <w:color w:val="000000"/>
          <w:sz w:val="24"/>
          <w:highlight w:val="none"/>
        </w:rPr>
      </w:pPr>
      <w:r>
        <w:rPr>
          <w:rFonts w:hint="eastAsia"/>
          <w:color w:val="000000"/>
          <w:sz w:val="24"/>
          <w:highlight w:val="none"/>
        </w:rPr>
      </w:r>
      <w:r/>
    </w:p>
    <w:p>
      <w:pPr>
        <w:pStyle w:val="933"/>
        <w:spacing w:line="360" w:lineRule="auto"/>
        <w:shd w:val="clear" w:color="auto" w:fill="auto"/>
        <w:rPr>
          <w:color w:val="000000"/>
          <w:sz w:val="24"/>
          <w:highlight w:val="none"/>
        </w:rPr>
      </w:pPr>
      <w:r>
        <w:rPr>
          <w:color w:val="000000"/>
          <w:sz w:val="24"/>
          <w:highlight w:val="none"/>
        </w:rPr>
        <w:t xml:space="preserve">说明：</w:t>
      </w:r>
      <w:r>
        <w:rPr>
          <w:rFonts w:hint="eastAsia"/>
          <w:color w:val="000000"/>
          <w:sz w:val="24"/>
          <w:highlight w:val="none"/>
        </w:rPr>
        <w:t xml:space="preserve">投标人承诺不实的，依据《政府采购法》第七十七条“提供虚假材料谋取中标、成交的”有关规定予以处理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933"/>
        <w:spacing w:line="360" w:lineRule="auto"/>
        <w:shd w:val="clear" w:color="auto" w:fill="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933"/>
        <w:spacing w:line="360" w:lineRule="auto"/>
        <w:shd w:val="clear" w:color="auto" w:fill="auto"/>
        <w:rPr>
          <w:rFonts w:eastAsia="宋体"/>
          <w:color w:val="000000"/>
          <w:sz w:val="24"/>
          <w:szCs w:val="20"/>
          <w:highlight w:val="none"/>
          <w:lang w:val="en-US" w:eastAsia="zh-CN"/>
        </w:rPr>
        <w:outlineLvl w:val="2"/>
      </w:pPr>
      <w:r>
        <w:rPr>
          <w:rFonts w:hint="eastAsia"/>
          <w:color w:val="000000"/>
          <w:sz w:val="24"/>
          <w:szCs w:val="20"/>
          <w:highlight w:val="none"/>
          <w:lang w:val="en-US" w:eastAsia="zh-CN"/>
        </w:rPr>
        <w:t xml:space="preserve">2 落实政府采购政策需满足的资格要求</w:t>
      </w:r>
      <w:r>
        <w:rPr>
          <w:rFonts w:eastAsia="宋体"/>
          <w:color w:val="000000"/>
          <w:sz w:val="24"/>
          <w:szCs w:val="20"/>
          <w:highlight w:val="none"/>
          <w:lang w:val="en-US" w:eastAsia="zh-CN"/>
        </w:rPr>
      </w:r>
      <w:r/>
    </w:p>
    <w:p>
      <w:pPr>
        <w:pStyle w:val="933"/>
        <w:spacing w:line="360" w:lineRule="auto"/>
        <w:shd w:val="clear" w:color="auto" w:fill="auto"/>
        <w:rPr>
          <w:color w:val="000000"/>
          <w:sz w:val="24"/>
          <w:szCs w:val="20"/>
          <w:highlight w:val="none"/>
        </w:rPr>
        <w:outlineLvl w:val="2"/>
      </w:pPr>
      <w:r>
        <w:rPr>
          <w:rFonts w:hint="eastAsia"/>
          <w:color w:val="000000"/>
          <w:sz w:val="24"/>
          <w:szCs w:val="20"/>
          <w:highlight w:val="none"/>
        </w:rPr>
        <w:t xml:space="preserve">2</w:t>
      </w:r>
      <w:r>
        <w:rPr>
          <w:rFonts w:hint="eastAsia"/>
          <w:color w:val="000000"/>
          <w:sz w:val="24"/>
          <w:szCs w:val="20"/>
          <w:highlight w:val="none"/>
          <w:lang w:val="en-US" w:eastAsia="zh-CN"/>
        </w:rPr>
        <w:t xml:space="preserve">-1</w:t>
      </w:r>
      <w:r>
        <w:rPr>
          <w:color w:val="000000"/>
          <w:sz w:val="24"/>
          <w:szCs w:val="20"/>
          <w:highlight w:val="none"/>
        </w:rPr>
        <w:t xml:space="preserve">  中小企业声明函</w:t>
      </w:r>
      <w:r>
        <w:rPr>
          <w:color w:val="000000"/>
          <w:sz w:val="24"/>
          <w:szCs w:val="20"/>
          <w:highlight w:val="none"/>
        </w:rPr>
      </w:r>
      <w:r/>
    </w:p>
    <w:p>
      <w:pPr>
        <w:pStyle w:val="933"/>
        <w:spacing w:line="360" w:lineRule="auto"/>
        <w:shd w:val="clear" w:color="auto" w:fill="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933"/>
        <w:spacing w:line="360" w:lineRule="auto"/>
        <w:shd w:val="clear" w:color="auto" w:fill="auto"/>
        <w:tabs>
          <w:tab w:val="left" w:pos="5580" w:leader="none"/>
        </w:tabs>
        <w:rPr>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1）本项目</w:t>
      </w:r>
      <w:r>
        <w:rPr>
          <w:rFonts w:hint="eastAsia"/>
          <w:color w:val="000000"/>
          <w:sz w:val="24"/>
          <w:highlight w:val="none"/>
          <w:lang w:val="en-US" w:eastAsia="zh-CN"/>
        </w:rPr>
        <w:t xml:space="preserve">专门面向中小企业采购，须提供《中小企业声明函》（实质性格式）</w:t>
      </w:r>
      <w:r>
        <w:rPr>
          <w:rFonts w:hint="eastAsia"/>
          <w:color w:val="000000"/>
          <w:sz w:val="24"/>
          <w:highlight w:val="none"/>
        </w:rPr>
        <w:t xml:space="preserve">。</w:t>
      </w:r>
      <w:r>
        <w:rPr>
          <w:color w:val="000000"/>
          <w:sz w:val="24"/>
          <w:highlight w:val="none"/>
        </w:rPr>
      </w:r>
      <w:r/>
    </w:p>
    <w:p>
      <w:pPr>
        <w:pStyle w:val="933"/>
        <w:spacing w:line="360" w:lineRule="auto"/>
        <w:shd w:val="clear" w:color="auto" w:fill="auto"/>
        <w:tabs>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说明：</w:t>
      </w:r>
      <w:r>
        <w:rPr>
          <w:rFonts w:hint="eastAsia" w:ascii="Times New Roman" w:hAnsi="Times New Roman" w:eastAsia="宋体" w:cs="Times New Roman"/>
          <w:color w:val="000000"/>
          <w:sz w:val="24"/>
          <w:highlight w:val="none"/>
        </w:rPr>
      </w:r>
      <w:r/>
    </w:p>
    <w:p>
      <w:pPr>
        <w:pStyle w:val="933"/>
        <w:spacing w:line="360" w:lineRule="auto"/>
        <w:shd w:val="clear" w:color="auto" w:fill="auto"/>
        <w:tabs>
          <w:tab w:val="left" w:pos="5580" w:leader="none"/>
        </w:tabs>
        <w:rPr>
          <w:color w:val="000000"/>
          <w:sz w:val="24"/>
          <w:highlight w:val="none"/>
          <w:lang w:val="en-US" w:eastAsia="zh-CN"/>
        </w:rPr>
      </w:pPr>
      <w:r>
        <w:rPr>
          <w:rFonts w:hint="eastAsia"/>
          <w:color w:val="000000"/>
          <w:sz w:val="24"/>
          <w:highlight w:val="none"/>
          <w:lang w:eastAsia="zh-CN"/>
        </w:rPr>
        <w:t xml:space="preserve">（</w:t>
      </w:r>
      <w:r>
        <w:rPr>
          <w:rFonts w:hint="eastAsia"/>
          <w:color w:val="000000"/>
          <w:sz w:val="24"/>
          <w:highlight w:val="none"/>
        </w:rPr>
        <w:t xml:space="preserve">2）</w:t>
      </w:r>
      <w:r>
        <w:rPr>
          <w:rFonts w:hint="eastAsia"/>
          <w:color w:val="000000"/>
          <w:sz w:val="24"/>
          <w:highlight w:val="none"/>
          <w:lang w:val="en-US" w:eastAsia="zh-CN"/>
        </w:rPr>
        <w:t xml:space="preserve">其它：中小企业参加政府采购活动，应当出具此格式文件。《中小企业声明函》由参加政府采购活动的供应商出具。</w:t>
      </w:r>
      <w:r>
        <w:rPr>
          <w:color w:val="000000"/>
          <w:sz w:val="24"/>
          <w:highlight w:val="none"/>
          <w:lang w:val="en-US" w:eastAsia="zh-CN"/>
        </w:rPr>
      </w:r>
      <w:r/>
    </w:p>
    <w:p>
      <w:pPr>
        <w:pStyle w:val="933"/>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3）</w:t>
      </w:r>
      <w:r>
        <w:rPr>
          <w:rFonts w:hint="eastAsia"/>
          <w:color w:val="000000"/>
          <w:sz w:val="24"/>
          <w:highlight w:val="none"/>
          <w:lang w:val="en-US" w:eastAsia="zh-CN"/>
        </w:rPr>
        <w:t xml:space="preserve">对于多标的的采购项目，供应商应充分、准确地了解所投产品制造企业信息</w:t>
      </w:r>
      <w:r>
        <w:rPr>
          <w:rFonts w:hint="eastAsia"/>
          <w:color w:val="000000"/>
          <w:sz w:val="24"/>
          <w:highlight w:val="none"/>
        </w:rPr>
        <w:t xml:space="preserve">。</w:t>
      </w:r>
      <w:r>
        <w:rPr>
          <w:rFonts w:hint="eastAsia"/>
          <w:color w:val="000000"/>
          <w:sz w:val="24"/>
          <w:highlight w:val="none"/>
        </w:rPr>
      </w:r>
      <w:r/>
    </w:p>
    <w:p>
      <w:pPr>
        <w:pStyle w:val="933"/>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4）中小企业认定标准以《关于印发中小企业划型标准规定的通知》（工信部联企业〔2011〕300号）文件规定为准。</w:t>
      </w:r>
      <w:r>
        <w:rPr>
          <w:rFonts w:hint="eastAsia"/>
          <w:color w:val="000000"/>
          <w:sz w:val="24"/>
          <w:highlight w:val="none"/>
        </w:rPr>
      </w:r>
      <w:r/>
    </w:p>
    <w:p>
      <w:pPr>
        <w:pStyle w:val="933"/>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5</w:t>
      </w:r>
      <w:r>
        <w:rPr>
          <w:rFonts w:hint="eastAsia"/>
          <w:color w:val="000000"/>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r>
        <w:rPr>
          <w:rFonts w:hint="eastAsia"/>
          <w:color w:val="000000"/>
          <w:sz w:val="24"/>
          <w:highlight w:val="none"/>
        </w:rPr>
      </w:r>
      <w:r/>
    </w:p>
    <w:p>
      <w:pPr>
        <w:pStyle w:val="933"/>
        <w:jc w:val="left"/>
        <w:shd w:val="clear" w:color="auto" w:fill="auto"/>
        <w:widowControl/>
        <w:rPr>
          <w:b/>
          <w:bCs/>
          <w:color w:val="000000"/>
          <w:sz w:val="24"/>
          <w:highlight w:val="none"/>
        </w:rPr>
        <w:outlineLvl w:val="9"/>
      </w:pPr>
      <w:r>
        <w:rPr>
          <w:rFonts w:hint="eastAsia" w:ascii="Times New Roman" w:hAnsi="Times New Roman" w:eastAsia="宋体" w:cs="Times New Roman"/>
          <w:color w:val="000000"/>
          <w:sz w:val="24"/>
          <w:highlight w:val="none"/>
        </w:rPr>
        <w:br w:type="page" w:clear="all"/>
      </w:r>
      <w:r>
        <w:rPr>
          <w:b/>
          <w:bCs/>
          <w:color w:val="000000"/>
          <w:sz w:val="24"/>
          <w:highlight w:val="none"/>
        </w:rPr>
      </w:r>
      <w:r/>
    </w:p>
    <w:p>
      <w:pPr>
        <w:pStyle w:val="933"/>
        <w:jc w:val="center"/>
        <w:spacing w:before="240" w:afterAutospacing="0" w:line="360" w:lineRule="auto"/>
        <w:shd w:val="clear" w:color="auto" w:fill="auto"/>
        <w:rPr>
          <w:rFonts w:ascii="方正小标宋简体" w:hAnsi="宋体" w:eastAsia="方正小标宋简体"/>
          <w:color w:val="000000"/>
          <w:sz w:val="44"/>
          <w:szCs w:val="44"/>
          <w:highlight w:val="none"/>
        </w:rPr>
        <w:outlineLvl w:val="9"/>
      </w:pPr>
      <w:r>
        <w:rPr>
          <w:rFonts w:ascii="方正小标宋简体" w:hAnsi="宋体" w:eastAsia="方正小标宋简体" w:cs="Times New Roman"/>
          <w:color w:val="000000"/>
          <w:sz w:val="44"/>
          <w:szCs w:val="44"/>
          <w:highlight w:val="none"/>
        </w:rPr>
        <w:t xml:space="preserve">中小企业声明函</w:t>
      </w:r>
      <w:r>
        <w:rPr>
          <w:rFonts w:hint="eastAsia" w:ascii="方正小标宋简体" w:hAnsi="宋体" w:eastAsia="方正小标宋简体" w:cs="Times New Roman"/>
          <w:color w:val="000000"/>
          <w:sz w:val="44"/>
          <w:szCs w:val="44"/>
          <w:highlight w:val="none"/>
        </w:rPr>
        <w:t xml:space="preserve">格式</w:t>
      </w:r>
      <w:r>
        <w:rPr>
          <w:rFonts w:ascii="方正小标宋简体" w:hAnsi="宋体" w:eastAsia="方正小标宋简体"/>
          <w:color w:val="000000"/>
          <w:sz w:val="44"/>
          <w:szCs w:val="44"/>
          <w:highlight w:val="none"/>
        </w:rPr>
      </w:r>
      <w:r/>
    </w:p>
    <w:p>
      <w:pPr>
        <w:pStyle w:val="933"/>
        <w:ind w:firstLine="360"/>
        <w:spacing w:beforeAutospacing="0"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本公司郑重声明，根据《政府采购促进中小企业发展管理办法》(财库[2020]46号)的规定，本公司参加江苏尚阳工程管理有限公司组织的</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highlight w:val="none"/>
        </w:rPr>
      </w:r>
      <w:r/>
    </w:p>
    <w:p>
      <w:pPr>
        <w:pStyle w:val="933"/>
        <w:ind w:firstLine="360"/>
        <w:spacing w:line="570" w:lineRule="exact"/>
        <w:shd w:val="clear" w:color="auto" w:fill="auto"/>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i/>
          <w:color w:val="000000"/>
          <w:sz w:val="24"/>
          <w:szCs w:val="24"/>
          <w:highlight w:val="none"/>
          <w:u w:val="single"/>
        </w:rPr>
      </w:r>
      <w:r/>
    </w:p>
    <w:p>
      <w:pPr>
        <w:pStyle w:val="933"/>
        <w:ind w:firstLine="360"/>
        <w:spacing w:line="570" w:lineRule="exact"/>
        <w:shd w:val="clear" w:color="auto" w:fill="auto"/>
        <w:rPr>
          <w:rFonts w:hint="eastAsia" w:ascii="宋体" w:hAnsi="宋体" w:eastAsia="宋体" w:cs="宋体"/>
          <w:i/>
          <w:color w:val="000000"/>
          <w:sz w:val="24"/>
          <w:szCs w:val="24"/>
          <w:highlight w:val="none"/>
          <w:u w:val="single"/>
          <w:lang w:eastAsia="zh-CN"/>
        </w:rPr>
      </w:pP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i/>
          <w:color w:val="000000"/>
          <w:sz w:val="24"/>
          <w:szCs w:val="24"/>
          <w:highlight w:val="none"/>
          <w:u w:val="single"/>
          <w:lang w:eastAsia="zh-CN"/>
        </w:rPr>
      </w:r>
      <w:r/>
    </w:p>
    <w:p>
      <w:pPr>
        <w:pStyle w:val="933"/>
        <w:ind w:firstLine="360"/>
        <w:spacing w:line="570" w:lineRule="exact"/>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33"/>
        <w:ind w:firstLine="36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33"/>
        <w:ind w:firstLine="36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33"/>
        <w:ind w:right="72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3"/>
        <w:ind w:right="820" w:firstLine="360"/>
        <w:jc w:val="right"/>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933"/>
        <w:ind w:right="1120"/>
        <w:jc w:val="center"/>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33"/>
        <w:spacing w:line="570" w:lineRule="exact"/>
        <w:shd w:val="clear" w:color="auto" w:fill="auto"/>
        <w:rPr>
          <w:rFonts w:hint="eastAsia" w:ascii="宋体" w:hAnsi="宋体" w:eastAsia="宋体" w:cs="宋体"/>
          <w:color w:val="000000"/>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szCs w:val="24"/>
          <w:highlight w:val="none"/>
        </w:rPr>
      </w:r>
      <w:r/>
    </w:p>
    <w:p>
      <w:pPr>
        <w:pStyle w:val="933"/>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2.采购编号为②：填写本项目编号，如JSZC-3204XX-SYZB-G20XX-XX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5.（标的名称⑤）：填写本项目标的名称，请根据采购文件“第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 采购需求”-“</w:t>
      </w:r>
      <w:r>
        <w:rPr>
          <w:rFonts w:hint="eastAsia" w:ascii="宋体" w:hAnsi="宋体" w:eastAsia="宋体" w:cs="宋体"/>
          <w:color w:val="000000"/>
          <w:sz w:val="24"/>
          <w:szCs w:val="24"/>
          <w:highlight w:val="none"/>
          <w:lang w:val="en-US" w:eastAsia="zh-CN"/>
        </w:rPr>
        <w:t xml:space="preserve">采购标的</w:t>
      </w:r>
      <w:r>
        <w:rPr>
          <w:rFonts w:hint="eastAsia" w:ascii="宋体" w:hAnsi="宋体" w:eastAsia="宋体" w:cs="宋体"/>
          <w:color w:val="000000"/>
          <w:sz w:val="24"/>
          <w:szCs w:val="24"/>
          <w:highlight w:val="none"/>
        </w:rPr>
        <w:t xml:space="preserve">”中列出的名称进行填写，如：双轨无机复合特级防火卷帘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6.（采购文件中明确的所属行业⑥）：填写本项目采购标的所属行业。须根据采购文件“</w:t>
      </w:r>
      <w:r>
        <w:rPr>
          <w:rFonts w:hint="eastAsia" w:ascii="宋体" w:hAnsi="宋体" w:eastAsia="宋体" w:cs="宋体"/>
          <w:color w:val="000000"/>
          <w:sz w:val="24"/>
          <w:szCs w:val="24"/>
          <w:highlight w:val="none"/>
          <w:lang w:val="en-US" w:eastAsia="zh-CN"/>
        </w:rPr>
        <w:t xml:space="preserve">第二章  投标人须知</w:t>
      </w:r>
      <w:r>
        <w:rPr>
          <w:rFonts w:hint="eastAsia" w:ascii="宋体" w:hAnsi="宋体" w:eastAsia="宋体" w:cs="宋体"/>
          <w:color w:val="000000"/>
          <w:sz w:val="24"/>
          <w:szCs w:val="24"/>
          <w:highlight w:val="none"/>
        </w:rPr>
        <w:t xml:space="preserve">”表格中列明的所属行业进行填写。如：工业。</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货物制造商的名称</w:t>
      </w:r>
      <w:r>
        <w:rPr>
          <w:rFonts w:hint="eastAsia" w:ascii="宋体" w:hAnsi="宋体" w:eastAsia="宋体" w:cs="宋体"/>
          <w:color w:val="000000"/>
          <w:sz w:val="24"/>
          <w:szCs w:val="24"/>
          <w:highlight w:val="none"/>
        </w:rPr>
        <w:t xml:space="preserve">，如XXX企业。</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）：须根据</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是否属于中小微企业，并认真填写声明函，若有虚假将追究其责任。</w:t>
      </w:r>
      <w:r>
        <w:rPr>
          <w:rFonts w:hint="eastAsia" w:ascii="宋体" w:hAnsi="宋体" w:eastAsia="宋体" w:cs="宋体"/>
          <w:color w:val="000000"/>
          <w:sz w:val="24"/>
          <w:szCs w:val="24"/>
          <w:highlight w:val="none"/>
        </w:rPr>
      </w:r>
      <w:r/>
    </w:p>
    <w:p>
      <w:pPr>
        <w:pStyle w:val="1194"/>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194"/>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194"/>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194"/>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194"/>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194"/>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的信息。</w:t>
      </w:r>
      <w:r>
        <w:rPr>
          <w:rFonts w:hint="eastAsia" w:ascii="宋体" w:hAnsi="宋体" w:eastAsia="宋体" w:cs="宋体"/>
          <w:color w:val="000000"/>
          <w:sz w:val="24"/>
          <w:szCs w:val="24"/>
          <w:highlight w:val="none"/>
        </w:rPr>
      </w:r>
      <w:r/>
    </w:p>
    <w:p>
      <w:pPr>
        <w:pStyle w:val="1194"/>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1194"/>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hint="eastAsia" w:ascii="宋体" w:hAnsi="宋体" w:eastAsia="宋体" w:cs="宋体"/>
          <w:color w:val="000000"/>
          <w:sz w:val="24"/>
          <w:szCs w:val="24"/>
          <w:highlight w:val="none"/>
        </w:rPr>
      </w:r>
      <w:r/>
    </w:p>
    <w:p>
      <w:pPr>
        <w:pStyle w:val="933"/>
        <w:spacing w:line="360" w:lineRule="auto"/>
        <w:shd w:val="clear" w:color="auto" w:fill="auto"/>
        <w:rPr>
          <w:color w:val="000000"/>
          <w:sz w:val="24"/>
          <w:szCs w:val="20"/>
          <w:highlight w:val="none"/>
        </w:rPr>
        <w:outlineLvl w:val="9"/>
      </w:pPr>
      <w:r>
        <w:rPr>
          <w:color w:val="000000"/>
          <w:sz w:val="24"/>
          <w:highlight w:val="none"/>
        </w:rPr>
        <w:br w:type="page" w:clear="all"/>
      </w:r>
      <w:r>
        <w:rPr>
          <w:color w:val="000000"/>
          <w:sz w:val="24"/>
          <w:szCs w:val="20"/>
          <w:highlight w:val="none"/>
        </w:rPr>
      </w:r>
      <w:r/>
    </w:p>
    <w:p>
      <w:pPr>
        <w:pStyle w:val="933"/>
        <w:jc w:val="center"/>
        <w:spacing w:before="240" w:after="240" w:line="360" w:lineRule="auto"/>
        <w:shd w:val="clear" w:color="auto" w:fill="auto"/>
        <w:rPr>
          <w:color w:val="000000"/>
          <w:sz w:val="36"/>
          <w:szCs w:val="36"/>
          <w:highlight w:val="none"/>
        </w:rPr>
        <w:outlineLvl w:val="9"/>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933"/>
        <w:ind w:firstLine="504"/>
        <w:spacing w:line="588" w:lineRule="exact"/>
        <w:shd w:val="clear" w:color="auto" w:fill="auto"/>
        <w:rPr>
          <w:color w:val="000000"/>
          <w:spacing w:val="6"/>
          <w:sz w:val="24"/>
          <w:highlight w:val="none"/>
        </w:rPr>
        <w:outlineLvl w:val="9"/>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933"/>
        <w:ind w:firstLine="482"/>
        <w:spacing w:line="588" w:lineRule="exact"/>
        <w:shd w:val="clear" w:color="auto" w:fill="auto"/>
        <w:rPr>
          <w:b/>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933"/>
        <w:ind w:firstLine="482"/>
        <w:spacing w:line="588" w:lineRule="exact"/>
        <w:shd w:val="clear" w:color="auto" w:fill="auto"/>
        <w:rPr>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且本单位参加______单位的______项目采购活动提供本单位制造的货物，或者提供其他残疾人福利性单位制造的货物（不包括使用非残疾人福利性单位注册商标的货物）。</w:t>
      </w:r>
      <w:r>
        <w:rPr>
          <w:color w:val="000000"/>
          <w:spacing w:val="6"/>
          <w:sz w:val="24"/>
          <w:highlight w:val="none"/>
        </w:rPr>
      </w:r>
      <w:r/>
    </w:p>
    <w:p>
      <w:pPr>
        <w:pStyle w:val="933"/>
        <w:ind w:firstLine="506"/>
        <w:spacing w:line="588" w:lineRule="exact"/>
        <w:shd w:val="clear" w:color="auto" w:fill="auto"/>
        <w:rPr>
          <w:color w:val="000000"/>
          <w:spacing w:val="6"/>
          <w:sz w:val="24"/>
          <w:highlight w:val="none"/>
        </w:rPr>
        <w:outlineLvl w:val="9"/>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933"/>
        <w:ind w:firstLine="504"/>
        <w:spacing w:line="588" w:lineRule="exact"/>
        <w:shd w:val="clear" w:color="auto" w:fill="auto"/>
        <w:rPr>
          <w:color w:val="000000"/>
          <w:spacing w:val="6"/>
          <w:sz w:val="24"/>
          <w:highlight w:val="none"/>
        </w:rPr>
        <w:outlineLvl w:val="9"/>
      </w:pPr>
      <w:r>
        <w:rPr>
          <w:color w:val="000000"/>
          <w:spacing w:val="6"/>
          <w:sz w:val="24"/>
          <w:highlight w:val="none"/>
        </w:rPr>
      </w:r>
      <w:r/>
    </w:p>
    <w:p>
      <w:pPr>
        <w:pStyle w:val="933"/>
        <w:ind w:firstLine="504"/>
        <w:spacing w:line="588" w:lineRule="exact"/>
        <w:shd w:val="clear" w:color="auto" w:fill="auto"/>
        <w:rPr>
          <w:color w:val="000000"/>
          <w:spacing w:val="6"/>
          <w:sz w:val="24"/>
          <w:highlight w:val="none"/>
        </w:rPr>
        <w:outlineLvl w:val="9"/>
      </w:pPr>
      <w:r>
        <w:rPr>
          <w:color w:val="000000"/>
          <w:spacing w:val="6"/>
          <w:sz w:val="24"/>
          <w:highlight w:val="none"/>
        </w:rPr>
      </w:r>
      <w:r/>
    </w:p>
    <w:p>
      <w:pPr>
        <w:pStyle w:val="933"/>
        <w:ind w:right="1560" w:firstLine="504"/>
        <w:jc w:val="center"/>
        <w:spacing w:line="588" w:lineRule="exact"/>
        <w:shd w:val="clear" w:color="auto" w:fill="auto"/>
        <w:tabs>
          <w:tab w:val="left" w:pos="4860" w:leader="none"/>
        </w:tabs>
        <w:rPr>
          <w:color w:val="000000"/>
          <w:spacing w:val="6"/>
          <w:sz w:val="24"/>
          <w:highlight w:val="none"/>
        </w:rPr>
        <w:outlineLvl w:val="9"/>
      </w:pPr>
      <w:r>
        <w:rPr>
          <w:color w:val="000000"/>
          <w:spacing w:val="6"/>
          <w:sz w:val="24"/>
          <w:highlight w:val="none"/>
        </w:rPr>
        <w:t xml:space="preserve">               单位名称（加盖公章）：</w:t>
      </w:r>
      <w:r>
        <w:rPr>
          <w:color w:val="000000"/>
          <w:spacing w:val="6"/>
          <w:sz w:val="24"/>
          <w:highlight w:val="none"/>
        </w:rPr>
      </w:r>
      <w:r/>
    </w:p>
    <w:p>
      <w:pPr>
        <w:pStyle w:val="933"/>
        <w:ind w:right="1560" w:firstLine="504"/>
        <w:jc w:val="center"/>
        <w:spacing w:line="588" w:lineRule="exact"/>
        <w:shd w:val="clear" w:color="auto" w:fill="auto"/>
        <w:tabs>
          <w:tab w:val="left" w:pos="4860" w:leader="none"/>
        </w:tabs>
        <w:rPr>
          <w:color w:val="000000"/>
          <w:spacing w:val="6"/>
          <w:sz w:val="24"/>
          <w:highlight w:val="none"/>
        </w:rPr>
        <w:outlineLvl w:val="9"/>
      </w:pPr>
      <w:r>
        <w:rPr>
          <w:color w:val="000000"/>
          <w:spacing w:val="6"/>
          <w:sz w:val="24"/>
          <w:highlight w:val="none"/>
        </w:rPr>
        <w:t xml:space="preserve">       日  期：</w:t>
      </w:r>
      <w:r>
        <w:rPr>
          <w:color w:val="000000"/>
          <w:spacing w:val="6"/>
          <w:sz w:val="24"/>
          <w:highlight w:val="none"/>
        </w:rPr>
      </w:r>
      <w:r/>
    </w:p>
    <w:p>
      <w:pPr>
        <w:pStyle w:val="933"/>
        <w:spacing w:line="360" w:lineRule="auto"/>
        <w:shd w:val="clear" w:color="auto" w:fill="auto"/>
        <w:rPr>
          <w:b/>
          <w:color w:val="000000"/>
          <w:sz w:val="24"/>
          <w:highlight w:val="none"/>
        </w:rPr>
        <w:outlineLvl w:val="9"/>
      </w:pPr>
      <w:r>
        <w:rPr>
          <w:b/>
          <w:color w:val="000000"/>
          <w:sz w:val="24"/>
          <w:highlight w:val="none"/>
        </w:rPr>
      </w:r>
      <w:r/>
    </w:p>
    <w:p>
      <w:pPr>
        <w:pStyle w:val="933"/>
        <w:ind w:firstLine="504"/>
        <w:spacing w:line="588" w:lineRule="exact"/>
        <w:shd w:val="clear" w:color="auto" w:fill="auto"/>
        <w:rPr>
          <w:rFonts w:hint="eastAsia" w:ascii="宋体" w:hAnsi="宋体"/>
          <w:b/>
          <w:color w:val="000000"/>
          <w:sz w:val="32"/>
          <w:szCs w:val="32"/>
          <w:highlight w:val="none"/>
        </w:rPr>
        <w:outlineLvl w:val="9"/>
      </w:pPr>
      <w:r>
        <w:rPr>
          <w:rFonts w:hint="eastAsia" w:ascii="Times New Roman" w:hAnsi="Times New Roman" w:eastAsia="宋体" w:cs="Times New Roman"/>
          <w:color w:val="000000"/>
          <w:sz w:val="24"/>
          <w:highlight w:val="none"/>
        </w:rPr>
        <w:br w:type="page" w:clear="all"/>
      </w:r>
      <w:r>
        <w:rPr>
          <w:rFonts w:ascii="宋体" w:hAnsi="宋体"/>
          <w:b/>
          <w:color w:val="000000"/>
          <w:sz w:val="32"/>
          <w:szCs w:val="32"/>
          <w:highlight w:val="none"/>
        </w:rPr>
        <w:t xml:space="preserve">二、商务技术文件格式</w:t>
      </w:r>
      <w:bookmarkStart w:id="717" w:name="_Toc520356217"/>
      <w:r/>
      <w:bookmarkStart w:id="718" w:name="_Ref467988698"/>
      <w:r/>
      <w:bookmarkStart w:id="719" w:name="_Toc150774761"/>
      <w:r/>
      <w:bookmarkStart w:id="720" w:name="_Toc142311058"/>
      <w:r/>
      <w:bookmarkStart w:id="721" w:name="_Toc226965746"/>
      <w:r/>
      <w:bookmarkStart w:id="722" w:name="_Toc127151556"/>
      <w:r/>
      <w:bookmarkStart w:id="723" w:name="_Toc226337252"/>
      <w:r/>
      <w:bookmarkStart w:id="724" w:name="_Toc150480794"/>
      <w:r/>
      <w:bookmarkStart w:id="725" w:name="_Toc195842921"/>
      <w:r/>
      <w:bookmarkStart w:id="726" w:name="_Toc480942349"/>
      <w:r/>
      <w:bookmarkStart w:id="727" w:name="_Toc226965829"/>
      <w:r/>
      <w:bookmarkStart w:id="728" w:name="_Toc226309800"/>
      <w:r>
        <w:rPr>
          <w:rFonts w:hint="eastAsia" w:ascii="宋体" w:hAnsi="宋体"/>
          <w:b/>
          <w:color w:val="000000"/>
          <w:sz w:val="32"/>
          <w:szCs w:val="32"/>
          <w:highlight w:val="none"/>
        </w:rPr>
      </w:r>
      <w:r/>
    </w:p>
    <w:p>
      <w:pPr>
        <w:pStyle w:val="933"/>
        <w:jc w:val="center"/>
        <w:shd w:val="clear" w:color="auto" w:fill="auto"/>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3"/>
        <w:spacing w:line="360" w:lineRule="auto"/>
        <w:shd w:val="clear" w:color="auto" w:fill="auto"/>
        <w:rPr>
          <w:color w:val="000000"/>
          <w:sz w:val="24"/>
          <w:szCs w:val="20"/>
          <w:highlight w:val="none"/>
        </w:rPr>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hint="eastAsia"/>
          <w:color w:val="000000"/>
          <w:sz w:val="24"/>
          <w:highlight w:val="none"/>
        </w:rPr>
        <w:t xml:space="preserve">函</w:t>
      </w:r>
      <w:r>
        <w:rPr>
          <w:color w:val="000000"/>
          <w:sz w:val="24"/>
          <w:szCs w:val="20"/>
          <w:highlight w:val="none"/>
        </w:rPr>
      </w:r>
      <w:r/>
    </w:p>
    <w:p>
      <w:pPr>
        <w:pStyle w:val="933"/>
        <w:spacing w:line="360" w:lineRule="auto"/>
        <w:shd w:val="clear" w:color="auto" w:fill="auto"/>
        <w:tabs>
          <w:tab w:val="left" w:pos="5580" w:leader="none"/>
        </w:tabs>
        <w:rPr>
          <w:color w:val="000000"/>
          <w:sz w:val="24"/>
          <w:highlight w:val="none"/>
        </w:rPr>
      </w:pPr>
      <w:r>
        <w:rPr>
          <w:color w:val="000000"/>
          <w:sz w:val="24"/>
          <w:highlight w:val="none"/>
        </w:rPr>
      </w:r>
      <w:r/>
    </w:p>
    <w:p>
      <w:pPr>
        <w:pStyle w:val="933"/>
        <w:jc w:val="center"/>
        <w:spacing w:line="360" w:lineRule="auto"/>
        <w:shd w:val="clear" w:color="auto" w:fill="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933"/>
        <w:spacing w:line="360" w:lineRule="auto"/>
        <w:shd w:val="clear" w:color="auto" w:fill="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采购人</w:t>
      </w:r>
      <w:r>
        <w:rPr>
          <w:color w:val="000000"/>
          <w:sz w:val="24"/>
          <w:highlight w:val="none"/>
          <w:u w:val="single"/>
        </w:rPr>
        <w:t xml:space="preserve">或采购代理机构）</w:t>
      </w:r>
      <w:r>
        <w:rPr>
          <w:color w:val="000000"/>
          <w:sz w:val="24"/>
          <w:highlight w:val="none"/>
        </w:rPr>
      </w:r>
      <w:r/>
    </w:p>
    <w:p>
      <w:pPr>
        <w:pStyle w:val="933"/>
        <w:spacing w:line="360" w:lineRule="auto"/>
        <w:shd w:val="clear" w:color="auto" w:fill="auto"/>
        <w:tabs>
          <w:tab w:val="left" w:pos="5580" w:leader="none"/>
        </w:tabs>
        <w:rPr>
          <w:color w:val="000000"/>
          <w:sz w:val="24"/>
          <w:szCs w:val="20"/>
          <w:highlight w:val="none"/>
        </w:rPr>
      </w:pPr>
      <w:r>
        <w:rPr>
          <w:color w:val="000000"/>
          <w:sz w:val="24"/>
          <w:szCs w:val="20"/>
          <w:highlight w:val="none"/>
        </w:rPr>
      </w:r>
      <w:r/>
    </w:p>
    <w:p>
      <w:pPr>
        <w:pStyle w:val="933"/>
        <w:ind w:firstLine="408"/>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我方参加你方就___________（项目名称，项目编号）组织的招标活动，并对此项目进行投标。</w:t>
      </w:r>
      <w:r>
        <w:rPr>
          <w:color w:val="000000"/>
          <w:sz w:val="24"/>
          <w:szCs w:val="20"/>
          <w:highlight w:val="none"/>
        </w:rPr>
      </w:r>
      <w:r/>
    </w:p>
    <w:p>
      <w:pPr>
        <w:pStyle w:val="933"/>
        <w:ind w:firstLine="408"/>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933"/>
        <w:ind w:left="360" w:firstLine="72"/>
        <w:spacing w:line="360" w:lineRule="auto"/>
        <w:shd w:val="clear" w:color="auto" w:fill="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33"/>
        <w:ind w:left="360" w:firstLine="72"/>
        <w:spacing w:line="360" w:lineRule="auto"/>
        <w:shd w:val="clear" w:color="auto" w:fill="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933"/>
        <w:ind w:firstLine="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33"/>
        <w:ind w:firstLine="420"/>
        <w:spacing w:line="360" w:lineRule="auto"/>
        <w:shd w:val="clear" w:color="auto" w:fill="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933"/>
        <w:ind w:left="420"/>
        <w:spacing w:line="360" w:lineRule="auto"/>
        <w:shd w:val="clear" w:color="auto" w:fill="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33"/>
        <w:ind w:firstLine="480"/>
        <w:spacing w:line="360" w:lineRule="auto"/>
        <w:shd w:val="clear" w:color="auto" w:fill="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933"/>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r>
      <w:r/>
    </w:p>
    <w:p>
      <w:pPr>
        <w:pStyle w:val="933"/>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33"/>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33"/>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r>
      <w:r/>
    </w:p>
    <w:p>
      <w:pPr>
        <w:pStyle w:val="933"/>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933"/>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933"/>
        <w:ind w:left="420"/>
        <w:spacing w:line="360" w:lineRule="auto"/>
        <w:shd w:val="clear" w:color="auto" w:fill="auto"/>
        <w:tabs>
          <w:tab w:val="left" w:pos="5580" w:leader="none"/>
        </w:tabs>
        <w:rPr>
          <w:color w:val="000000"/>
          <w:sz w:val="24"/>
          <w:szCs w:val="20"/>
          <w:highlight w:val="none"/>
          <w:u w:val="single"/>
        </w:rPr>
      </w:pPr>
      <w:r>
        <w:rPr>
          <w:color w:val="000000"/>
          <w:sz w:val="24"/>
          <w:szCs w:val="20"/>
          <w:highlight w:val="none"/>
          <w:u w:val="single"/>
        </w:rPr>
      </w:r>
      <w:r/>
    </w:p>
    <w:p>
      <w:pPr>
        <w:pStyle w:val="933"/>
        <w:jc w:val="left"/>
        <w:shd w:val="clear" w:color="auto" w:fill="auto"/>
        <w:widowControl/>
        <w:rPr>
          <w:rFonts w:hint="eastAsia"/>
          <w:color w:val="000000"/>
          <w:sz w:val="24"/>
          <w:highlight w:val="none"/>
        </w:rPr>
      </w:pPr>
      <w:r/>
      <w:bookmarkStart w:id="729" w:name="_Hlt520355938"/>
      <w:r/>
      <w:bookmarkEnd w:id="729"/>
      <w:r/>
      <w:bookmarkStart w:id="730" w:name="_Hlt520356243"/>
      <w:r/>
      <w:bookmarkEnd w:id="730"/>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rFonts w:hint="eastAsia"/>
          <w:color w:val="000000"/>
          <w:sz w:val="24"/>
          <w:highlight w:val="none"/>
        </w:rPr>
      </w:r>
      <w:r/>
    </w:p>
    <w:p>
      <w:pPr>
        <w:pStyle w:val="933"/>
        <w:jc w:val="center"/>
        <w:spacing w:line="360" w:lineRule="auto"/>
        <w:shd w:val="clear" w:color="auto" w:fill="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3"/>
        <w:jc w:val="center"/>
        <w:spacing w:line="360" w:lineRule="auto"/>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33"/>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933"/>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933"/>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933"/>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（投标人名称）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933"/>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933"/>
        <w:spacing w:line="560" w:lineRule="exact"/>
        <w:shd w:val="clear" w:color="auto" w:fill="auto"/>
        <w:rPr>
          <w:rFonts w:ascii="宋体" w:hAnsi="宋体"/>
          <w:color w:val="000000"/>
          <w:sz w:val="24"/>
          <w:highlight w:val="none"/>
        </w:rPr>
      </w:pPr>
      <w:r>
        <w:rPr>
          <w:rFonts w:ascii="宋体" w:hAnsi="宋体"/>
          <w:color w:val="000000"/>
          <w:sz w:val="24"/>
          <w:highlight w:val="none"/>
        </w:rPr>
      </w:r>
      <w:r/>
    </w:p>
    <w:p>
      <w:pPr>
        <w:pStyle w:val="964"/>
        <w:ind w:right="-46"/>
        <w:spacing w:line="583" w:lineRule="auto"/>
        <w:shd w:val="clear" w:color="auto" w:fill="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电子件。</w:t>
      </w:r>
      <w:r>
        <w:rPr>
          <w:color w:val="000000"/>
          <w:spacing w:val="-3"/>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3"/>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3"/>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3"/>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33"/>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3"/>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3"/>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33"/>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933"/>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或签章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33"/>
        <w:ind w:firstLine="4320"/>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33"/>
        <w:jc w:val="left"/>
        <w:shd w:val="clear" w:color="auto" w:fill="auto"/>
        <w:widowControl/>
        <w:rPr>
          <w:rFonts w:hint="eastAsia"/>
          <w:color w:val="000000"/>
          <w:sz w:val="24"/>
          <w:highlight w:val="none"/>
        </w:rPr>
      </w:pPr>
      <w:r>
        <w:rPr>
          <w:rFonts w:hint="eastAsia"/>
          <w:color w:val="000000"/>
          <w:sz w:val="24"/>
          <w:highlight w:val="none"/>
        </w:rPr>
      </w:r>
      <w:r/>
    </w:p>
    <w:p>
      <w:pPr>
        <w:pStyle w:val="933"/>
        <w:shd w:val="clear" w:color="auto" w:fill="auto"/>
        <w:rPr>
          <w:rFonts w:hint="eastAsia"/>
          <w:color w:val="000000"/>
          <w:highlight w:val="none"/>
        </w:rPr>
      </w:pPr>
      <w:r>
        <w:rPr>
          <w:rFonts w:hint="eastAsia"/>
          <w:color w:val="000000"/>
          <w:highlight w:val="none"/>
        </w:rPr>
      </w:r>
      <w:r/>
    </w:p>
    <w:p>
      <w:pPr>
        <w:pStyle w:val="933"/>
        <w:jc w:val="left"/>
        <w:shd w:val="clear" w:color="auto" w:fill="auto"/>
        <w:widowControl/>
        <w:rPr>
          <w:rFonts w:hint="eastAsia"/>
          <w:color w:val="000000"/>
          <w:sz w:val="24"/>
          <w:highlight w:val="none"/>
        </w:rPr>
      </w:pPr>
      <w:r>
        <w:rPr>
          <w:rFonts w:hint="eastAsia"/>
          <w:color w:val="000000"/>
          <w:sz w:val="24"/>
          <w:highlight w:val="none"/>
        </w:rPr>
      </w:r>
      <w:r/>
    </w:p>
    <w:p>
      <w:pPr>
        <w:pStyle w:val="933"/>
        <w:jc w:val="left"/>
        <w:shd w:val="clear" w:color="auto" w:fill="auto"/>
        <w:widowControl/>
        <w:rPr>
          <w:rFonts w:hint="eastAsia" w:ascii="宋体" w:hAnsi="宋体"/>
          <w:color w:val="000000"/>
          <w:sz w:val="24"/>
          <w:szCs w:val="20"/>
          <w:highlight w:val="none"/>
        </w:rPr>
      </w:pPr>
      <w:r>
        <w:rPr>
          <w:rFonts w:hint="eastAsia" w:ascii="宋体" w:hAnsi="宋体"/>
          <w:color w:val="000000"/>
          <w:sz w:val="24"/>
          <w:szCs w:val="20"/>
          <w:highlight w:val="none"/>
        </w:rPr>
      </w:r>
      <w:r/>
    </w:p>
    <w:p>
      <w:pPr>
        <w:pStyle w:val="933"/>
        <w:jc w:val="left"/>
        <w:shd w:val="clear" w:color="auto" w:fill="auto"/>
        <w:widowControl/>
        <w:rPr>
          <w:rFonts w:hint="eastAsia"/>
          <w:color w:val="000000"/>
          <w:sz w:val="24"/>
          <w:highlight w:val="none"/>
        </w:rPr>
      </w:pPr>
      <w:r>
        <w:rPr>
          <w:rFonts w:hint="eastAsia"/>
          <w:color w:val="000000"/>
          <w:sz w:val="24"/>
          <w:highlight w:val="none"/>
        </w:rPr>
      </w:r>
      <w:r/>
    </w:p>
    <w:p>
      <w:pPr>
        <w:pStyle w:val="933"/>
        <w:jc w:val="left"/>
        <w:shd w:val="clear" w:color="auto" w:fill="auto"/>
        <w:widowControl/>
        <w:rPr>
          <w:rFonts w:hint="eastAsia"/>
          <w:color w:val="000000"/>
          <w:sz w:val="24"/>
          <w:highlight w:val="none"/>
        </w:rPr>
      </w:pPr>
      <w:r>
        <w:rPr>
          <w:rFonts w:hint="eastAsia"/>
          <w:color w:val="000000"/>
          <w:sz w:val="24"/>
          <w:highlight w:val="none"/>
        </w:rPr>
      </w:r>
      <w:r/>
    </w:p>
    <w:p>
      <w:pPr>
        <w:pStyle w:val="933"/>
        <w:jc w:val="left"/>
        <w:shd w:val="clear" w:color="auto" w:fill="auto"/>
        <w:widowControl/>
        <w:rPr>
          <w:rFonts w:hint="eastAsia"/>
          <w:color w:val="000000"/>
          <w:sz w:val="24"/>
          <w:highlight w:val="none"/>
        </w:rPr>
      </w:pPr>
      <w:r>
        <w:rPr>
          <w:rFonts w:hint="eastAsia"/>
          <w:color w:val="000000"/>
          <w:sz w:val="24"/>
          <w:highlight w:val="none"/>
        </w:rPr>
      </w:r>
      <w:r/>
    </w:p>
    <w:p>
      <w:pPr>
        <w:pStyle w:val="933"/>
        <w:jc w:val="left"/>
        <w:shd w:val="clear" w:color="auto" w:fill="auto"/>
        <w:widowControl/>
        <w:rPr>
          <w:rFonts w:hint="eastAsia"/>
          <w:color w:val="000000"/>
          <w:sz w:val="24"/>
          <w:highlight w:val="none"/>
        </w:rPr>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highlight w:val="none"/>
        </w:rPr>
      </w:r>
      <w:r/>
    </w:p>
    <w:p>
      <w:pPr>
        <w:pStyle w:val="933"/>
        <w:jc w:val="left"/>
        <w:shd w:val="clear" w:color="auto" w:fill="auto"/>
        <w:widowControl/>
        <w:rPr>
          <w:rFonts w:hint="eastAsia"/>
          <w:color w:val="000000"/>
          <w:sz w:val="24"/>
          <w:highlight w:val="none"/>
        </w:rPr>
      </w:pPr>
      <w:r>
        <w:rPr>
          <w:rFonts w:hint="eastAsia"/>
          <w:color w:val="000000"/>
          <w:sz w:val="24"/>
          <w:highlight w:val="none"/>
        </w:rPr>
        <w:t xml:space="preserve">3  政府采购供应商信用承诺书</w:t>
      </w:r>
      <w:r>
        <w:rPr>
          <w:rFonts w:hint="eastAsia"/>
          <w:color w:val="000000"/>
          <w:sz w:val="24"/>
          <w:highlight w:val="none"/>
        </w:rPr>
      </w:r>
      <w:r/>
    </w:p>
    <w:p>
      <w:pPr>
        <w:pStyle w:val="933"/>
        <w:ind w:firstLine="321"/>
        <w:jc w:val="center"/>
        <w:spacing w:line="560" w:lineRule="exact"/>
        <w:shd w:val="clear" w:color="auto" w:fill="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33"/>
        <w:ind w:firstLine="321"/>
        <w:jc w:val="center"/>
        <w:spacing w:line="560" w:lineRule="exact"/>
        <w:shd w:val="clear" w:color="auto" w:fill="auto"/>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933"/>
        <w:ind w:firstLine="640"/>
        <w:shd w:val="clear" w:color="auto" w:fill="auto"/>
        <w:rPr>
          <w:color w:val="000000"/>
          <w:highlight w:val="none"/>
        </w:rPr>
      </w:pPr>
      <w:r>
        <w:rPr>
          <w:color w:val="000000"/>
          <w:highlight w:val="none"/>
        </w:rPr>
      </w:r>
      <w:r/>
    </w:p>
    <w:p>
      <w:pPr>
        <w:pStyle w:val="933"/>
        <w:ind w:firstLine="480"/>
        <w:spacing w:line="276" w:lineRule="auto"/>
        <w:shd w:val="clear" w:color="auto" w:fill="auto"/>
        <w:rPr>
          <w:rFonts w:ascii="宋体" w:hAnsi="宋体"/>
          <w:color w:val="000000"/>
          <w:sz w:val="24"/>
          <w:highlight w:val="none"/>
        </w:rPr>
      </w:pPr>
      <w:r/>
      <w:bookmarkStart w:id="731" w:name="_Hlt520273711"/>
      <w:r/>
      <w:bookmarkEnd w:id="731"/>
      <w:r/>
      <w:bookmarkStart w:id="732" w:name="_Hlt520343000"/>
      <w:r/>
      <w:bookmarkEnd w:id="732"/>
      <w:r/>
      <w:bookmarkStart w:id="733" w:name="_Hlt520274121"/>
      <w:r/>
      <w:bookmarkEnd w:id="733"/>
      <w:r/>
      <w:bookmarkStart w:id="734" w:name="_Hlt520271212"/>
      <w:r/>
      <w:bookmarkEnd w:id="734"/>
      <w:r/>
      <w:bookmarkStart w:id="735" w:name="_Hlt520343392"/>
      <w:r/>
      <w:bookmarkEnd w:id="735"/>
      <w:r/>
      <w:bookmarkStart w:id="736" w:name="_Hlt520274393"/>
      <w:r/>
      <w:bookmarkEnd w:id="736"/>
      <w:r/>
      <w:bookmarkStart w:id="737" w:name="_Hlt520350918"/>
      <w:r/>
      <w:bookmarkEnd w:id="737"/>
      <w:r/>
      <w:bookmarkStart w:id="738" w:name="_Hlt520274407"/>
      <w:r/>
      <w:bookmarkEnd w:id="738"/>
      <w:r/>
      <w:bookmarkStart w:id="739" w:name="_Hlt520274065"/>
      <w:r/>
      <w:bookmarkEnd w:id="739"/>
      <w:r/>
      <w:bookmarkStart w:id="740" w:name="_Hlt520355504"/>
      <w:r/>
      <w:bookmarkEnd w:id="740"/>
      <w:r/>
      <w:bookmarkStart w:id="741" w:name="_Toc264969247"/>
      <w:r/>
      <w:bookmarkStart w:id="742" w:name="_Toc520356218"/>
      <w:r/>
      <w:bookmarkStart w:id="743" w:name="_Toc195842922"/>
      <w:r/>
      <w:bookmarkStart w:id="744" w:name="_Toc127151557"/>
      <w:r/>
      <w:bookmarkStart w:id="745" w:name="_Ref467988705"/>
      <w:r/>
      <w:bookmarkStart w:id="746" w:name="_Toc480942350"/>
      <w:r/>
      <w:bookmarkStart w:id="747" w:name="_Toc150774762"/>
      <w:r/>
      <w:bookmarkStart w:id="748" w:name="_Toc305158825"/>
      <w:r/>
      <w:bookmarkStart w:id="749" w:name="_Toc150480795"/>
      <w:r/>
      <w:bookmarkStart w:id="750" w:name="_Toc142311059"/>
      <w:r/>
      <w:bookmarkStart w:id="751" w:name="_Toc265228395"/>
      <w:r/>
      <w:bookmarkStart w:id="752" w:name="_Toc305158899"/>
      <w:r/>
      <w:bookmarkStart w:id="753" w:name="_Toc226337253"/>
      <w:r/>
      <w:bookmarkStart w:id="754" w:name="_Toc226965830"/>
      <w:r/>
      <w:bookmarkStart w:id="755" w:name="_Toc226309801"/>
      <w:r/>
      <w:bookmarkStart w:id="756" w:name="_Toc226965747"/>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24"/>
        <w:ind w:right="1050" w:firstLine="2880"/>
        <w:jc w:val="both"/>
        <w:spacing w:line="276" w:lineRule="auto"/>
        <w:shd w:val="clear" w:color="auto" w:fill="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33"/>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33"/>
        <w:jc w:val="left"/>
        <w:shd w:val="clear" w:color="auto" w:fill="auto"/>
        <w:widowControl/>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br w:type="page" w:clear="all"/>
      </w:r>
      <w:r>
        <w:rPr>
          <w:rFonts w:hint="eastAsia"/>
          <w:color w:val="000000"/>
          <w:sz w:val="24"/>
          <w:szCs w:val="20"/>
          <w:highlight w:val="none"/>
        </w:rPr>
        <w:t xml:space="preserve">4</w:t>
      </w:r>
      <w:r>
        <w:rPr>
          <w:color w:val="000000"/>
          <w:sz w:val="24"/>
          <w:szCs w:val="20"/>
          <w:highlight w:val="none"/>
        </w:rPr>
        <w:t xml:space="preserve">  开标一览表</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color w:val="000000"/>
          <w:sz w:val="24"/>
          <w:szCs w:val="20"/>
          <w:highlight w:val="none"/>
        </w:rPr>
      </w:r>
      <w:r/>
    </w:p>
    <w:p>
      <w:pPr>
        <w:pStyle w:val="933"/>
        <w:jc w:val="center"/>
        <w:spacing w:line="360" w:lineRule="auto"/>
        <w:shd w:val="clear" w:color="auto" w:fill="auto"/>
        <w:tabs>
          <w:tab w:val="left" w:pos="2775" w:leader="none"/>
          <w:tab w:val="center" w:pos="4153" w:leader="none"/>
        </w:tabs>
        <w:rPr>
          <w:rFonts w:hint="eastAsia"/>
          <w:b/>
          <w:color w:val="000000"/>
          <w:sz w:val="36"/>
          <w:szCs w:val="36"/>
          <w:highlight w:val="none"/>
        </w:rPr>
      </w:pPr>
      <w:r/>
      <w:bookmarkStart w:id="757" w:name="_Toc164608672"/>
      <w:r/>
      <w:bookmarkStart w:id="758" w:name="_Toc195842923"/>
      <w:r/>
      <w:bookmarkStart w:id="759" w:name="_Toc305158826"/>
      <w:r/>
      <w:bookmarkStart w:id="760" w:name="_Toc226337254"/>
      <w:r/>
      <w:bookmarkStart w:id="761" w:name="_Toc164608827"/>
      <w:r/>
      <w:bookmarkStart w:id="762" w:name="_Toc226965831"/>
      <w:r/>
      <w:bookmarkStart w:id="763" w:name="_Toc226309802"/>
      <w:r/>
      <w:bookmarkStart w:id="764" w:name="_Toc265228396"/>
      <w:r/>
      <w:bookmarkStart w:id="765" w:name="_Toc264969248"/>
      <w:r/>
      <w:bookmarkStart w:id="766" w:name="_Toc305158900"/>
      <w:r/>
      <w:bookmarkStart w:id="767" w:name="_Toc226965748"/>
      <w:r>
        <w:rPr>
          <w:rFonts w:hint="eastAsia"/>
          <w:b/>
          <w:color w:val="000000"/>
          <w:sz w:val="36"/>
          <w:szCs w:val="36"/>
          <w:highlight w:val="none"/>
        </w:rPr>
        <w:t xml:space="preserve">开标一览表</w:t>
      </w:r>
      <w:bookmarkEnd w:id="757"/>
      <w:r/>
      <w:bookmarkEnd w:id="758"/>
      <w:r/>
      <w:bookmarkEnd w:id="759"/>
      <w:r/>
      <w:bookmarkEnd w:id="760"/>
      <w:r/>
      <w:bookmarkEnd w:id="761"/>
      <w:r/>
      <w:bookmarkEnd w:id="762"/>
      <w:r/>
      <w:bookmarkEnd w:id="763"/>
      <w:r/>
      <w:bookmarkEnd w:id="764"/>
      <w:r/>
      <w:bookmarkEnd w:id="765"/>
      <w:r/>
      <w:bookmarkEnd w:id="766"/>
      <w:r/>
      <w:bookmarkEnd w:id="767"/>
      <w:r>
        <w:rPr>
          <w:rFonts w:hint="eastAsia"/>
          <w:b/>
          <w:color w:val="000000"/>
          <w:sz w:val="36"/>
          <w:szCs w:val="36"/>
          <w:highlight w:val="none"/>
        </w:rPr>
      </w:r>
      <w:r/>
    </w:p>
    <w:p>
      <w:pPr>
        <w:pStyle w:val="933"/>
        <w:jc w:val="left"/>
        <w:spacing w:line="360" w:lineRule="auto"/>
        <w:shd w:val="clear" w:color="auto" w:fill="auto"/>
        <w:tabs>
          <w:tab w:val="left" w:pos="1800" w:leader="none"/>
          <w:tab w:val="left" w:pos="5580" w:leader="none"/>
        </w:tabs>
        <w:rPr>
          <w:i/>
          <w:color w:val="000000"/>
          <w:sz w:val="24"/>
          <w:highlight w:val="none"/>
        </w:rPr>
      </w:pPr>
      <w:r>
        <w:rPr>
          <w:i/>
          <w:color w:val="000000"/>
          <w:sz w:val="24"/>
          <w:highlight w:val="none"/>
        </w:rPr>
      </w:r>
      <w:r/>
    </w:p>
    <w:p>
      <w:pPr>
        <w:pStyle w:val="933"/>
        <w:ind w:firstLine="24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933"/>
              <w:jc w:val="center"/>
              <w:shd w:val="clear" w:color="auto" w:fill="auto"/>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3709" w:type="dxa"/>
            <w:vAlign w:val="center"/>
            <w:vMerge w:val="restart"/>
            <w:textDirection w:val="lrTb"/>
            <w:noWrap w:val="false"/>
          </w:tcPr>
          <w:p>
            <w:pPr>
              <w:pStyle w:val="933"/>
              <w:jc w:val="center"/>
              <w:shd w:val="clear" w:color="auto" w:fill="auto"/>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3973" w:type="dxa"/>
            <w:vAlign w:val="center"/>
            <w:textDirection w:val="lrTb"/>
            <w:noWrap w:val="false"/>
          </w:tcPr>
          <w:p>
            <w:pPr>
              <w:pStyle w:val="933"/>
              <w:jc w:val="center"/>
              <w:shd w:val="clear" w:color="auto" w:fill="auto"/>
              <w:tabs>
                <w:tab w:val="left" w:pos="5580" w:leader="none"/>
              </w:tabs>
              <w:rPr>
                <w:rFonts w:hint="eastAsia"/>
                <w:b/>
                <w:color w:val="000000"/>
                <w:sz w:val="24"/>
                <w:highlight w:val="none"/>
              </w:rPr>
            </w:pPr>
            <w:r>
              <w:rPr>
                <w:b/>
                <w:color w:val="000000"/>
                <w:sz w:val="24"/>
                <w:highlight w:val="none"/>
              </w:rPr>
              <w:t xml:space="preserve">投标报价</w:t>
            </w:r>
            <w:r>
              <w:rPr>
                <w:rFonts w:hint="eastAsia"/>
                <w:b/>
                <w:color w:val="000000"/>
                <w:sz w:val="24"/>
                <w:highlight w:val="none"/>
              </w:rPr>
              <w:t xml:space="preserve">（人民币：元）</w:t>
            </w:r>
            <w:r>
              <w:rPr>
                <w:rFonts w:hint="eastAsia"/>
                <w:b/>
                <w:color w:val="000000"/>
                <w:sz w:val="24"/>
                <w:highlight w:val="none"/>
              </w:rPr>
            </w:r>
            <w:r/>
          </w:p>
        </w:tc>
      </w:tr>
      <w:tr>
        <w:trPr>
          <w:trHeight w:val="674"/>
        </w:trPr>
        <w:tc>
          <w:tcPr>
            <w:tcW w:w="690" w:type="dxa"/>
            <w:vAlign w:val="center"/>
            <w:vMerge w:val="continue"/>
            <w:textDirection w:val="lrTb"/>
            <w:noWrap w:val="false"/>
          </w:tcPr>
          <w:p>
            <w:pPr>
              <w:pStyle w:val="933"/>
              <w:jc w:val="center"/>
              <w:shd w:val="clear" w:color="auto" w:fill="auto"/>
              <w:tabs>
                <w:tab w:val="left" w:pos="5580" w:leader="none"/>
              </w:tabs>
              <w:rPr>
                <w:color w:val="000000"/>
                <w:sz w:val="24"/>
                <w:highlight w:val="none"/>
              </w:rPr>
            </w:pPr>
            <w:r>
              <w:rPr>
                <w:color w:val="000000"/>
                <w:sz w:val="24"/>
                <w:highlight w:val="none"/>
              </w:rPr>
            </w:r>
            <w:r/>
          </w:p>
        </w:tc>
        <w:tc>
          <w:tcPr>
            <w:tcW w:w="3709" w:type="dxa"/>
            <w:vAlign w:val="center"/>
            <w:vMerge w:val="continue"/>
            <w:textDirection w:val="lrTb"/>
            <w:noWrap w:val="false"/>
          </w:tcPr>
          <w:p>
            <w:pPr>
              <w:pStyle w:val="933"/>
              <w:jc w:val="center"/>
              <w:shd w:val="clear" w:color="auto" w:fill="auto"/>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933"/>
              <w:jc w:val="center"/>
              <w:shd w:val="clear" w:color="auto" w:fill="auto"/>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984" w:type="dxa"/>
            <w:vAlign w:val="center"/>
            <w:textDirection w:val="lrTb"/>
            <w:noWrap w:val="false"/>
          </w:tcPr>
          <w:p>
            <w:pPr>
              <w:pStyle w:val="933"/>
              <w:jc w:val="center"/>
              <w:shd w:val="clear" w:color="auto" w:fill="auto"/>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690" w:type="dxa"/>
            <w:vAlign w:val="center"/>
            <w:textDirection w:val="lrTb"/>
            <w:noWrap w:val="false"/>
          </w:tcPr>
          <w:p>
            <w:pPr>
              <w:pStyle w:val="933"/>
              <w:jc w:val="center"/>
              <w:shd w:val="clear" w:color="auto" w:fill="auto"/>
              <w:tabs>
                <w:tab w:val="left" w:pos="5580" w:leader="none"/>
              </w:tabs>
              <w:rPr>
                <w:color w:val="000000"/>
                <w:sz w:val="24"/>
                <w:highlight w:val="none"/>
              </w:rPr>
            </w:pPr>
            <w:r>
              <w:rPr>
                <w:color w:val="000000"/>
                <w:sz w:val="24"/>
                <w:highlight w:val="none"/>
              </w:rPr>
            </w:r>
            <w:r/>
          </w:p>
        </w:tc>
        <w:tc>
          <w:tcPr>
            <w:tcW w:w="3709" w:type="dxa"/>
            <w:vAlign w:val="center"/>
            <w:textDirection w:val="lrTb"/>
            <w:noWrap w:val="false"/>
          </w:tcPr>
          <w:p>
            <w:pPr>
              <w:pStyle w:val="933"/>
              <w:jc w:val="center"/>
              <w:shd w:val="clear" w:color="auto" w:fill="auto"/>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933"/>
              <w:jc w:val="center"/>
              <w:shd w:val="clear" w:color="auto" w:fill="auto"/>
              <w:tabs>
                <w:tab w:val="left" w:pos="5580" w:leader="none"/>
              </w:tabs>
              <w:rPr>
                <w:color w:val="000000"/>
                <w:sz w:val="24"/>
                <w:highlight w:val="none"/>
              </w:rPr>
            </w:pPr>
            <w:r>
              <w:rPr>
                <w:color w:val="000000"/>
                <w:sz w:val="24"/>
                <w:highlight w:val="none"/>
              </w:rPr>
            </w:r>
            <w:r/>
          </w:p>
        </w:tc>
        <w:tc>
          <w:tcPr>
            <w:tcW w:w="1984" w:type="dxa"/>
            <w:vAlign w:val="center"/>
            <w:textDirection w:val="lrTb"/>
            <w:noWrap w:val="false"/>
          </w:tcPr>
          <w:p>
            <w:pPr>
              <w:pStyle w:val="933"/>
              <w:jc w:val="center"/>
              <w:shd w:val="clear" w:color="auto" w:fill="auto"/>
              <w:tabs>
                <w:tab w:val="left" w:pos="5580" w:leader="none"/>
              </w:tabs>
              <w:rPr>
                <w:color w:val="000000"/>
                <w:sz w:val="24"/>
                <w:highlight w:val="none"/>
              </w:rPr>
            </w:pPr>
            <w:r>
              <w:rPr>
                <w:color w:val="000000"/>
                <w:sz w:val="24"/>
                <w:highlight w:val="none"/>
              </w:rPr>
            </w:r>
            <w:r/>
          </w:p>
        </w:tc>
      </w:tr>
    </w:tbl>
    <w:p>
      <w:pPr>
        <w:pStyle w:val="933"/>
        <w:jc w:val="left"/>
        <w:shd w:val="clear" w:color="auto" w:fill="auto"/>
        <w:rPr>
          <w:color w:val="000000"/>
          <w:sz w:val="24"/>
          <w:highlight w:val="none"/>
        </w:rPr>
      </w:pPr>
      <w:r>
        <w:rPr>
          <w:color w:val="000000"/>
          <w:sz w:val="24"/>
          <w:highlight w:val="none"/>
        </w:rPr>
      </w:r>
      <w:r/>
    </w:p>
    <w:p>
      <w:pPr>
        <w:pStyle w:val="933"/>
        <w:jc w:val="left"/>
        <w:shd w:val="clear" w:color="auto" w:fill="auto"/>
        <w:rPr>
          <w:color w:val="000000"/>
          <w:sz w:val="24"/>
          <w:szCs w:val="20"/>
          <w:highlight w:val="none"/>
        </w:rPr>
      </w:pPr>
      <w:r>
        <w:rPr>
          <w:color w:val="000000"/>
          <w:sz w:val="24"/>
          <w:highlight w:val="none"/>
        </w:rPr>
        <w:t xml:space="preserve">注：</w:t>
      </w:r>
      <w:r>
        <w:rPr>
          <w:color w:val="000000"/>
          <w:sz w:val="24"/>
          <w:szCs w:val="20"/>
          <w:highlight w:val="none"/>
        </w:rPr>
        <w:t xml:space="preserve">此表的投标报价应和《投标分项报价表》中的总价相一致。</w:t>
      </w:r>
      <w:r>
        <w:rPr>
          <w:color w:val="000000"/>
          <w:sz w:val="24"/>
          <w:szCs w:val="20"/>
          <w:highlight w:val="none"/>
        </w:rPr>
      </w:r>
      <w:r/>
    </w:p>
    <w:p>
      <w:pPr>
        <w:pStyle w:val="933"/>
        <w:spacing w:before="25" w:after="25" w:line="360" w:lineRule="auto"/>
        <w:shd w:val="clear" w:color="auto" w:fill="auto"/>
        <w:rPr>
          <w:color w:val="000000"/>
          <w:sz w:val="24"/>
          <w:highlight w:val="none"/>
          <w:lang w:val="zh-CN"/>
        </w:rPr>
      </w:pP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3"/>
        <w:jc w:val="left"/>
        <w:shd w:val="clear" w:color="auto" w:fill="auto"/>
        <w:widowControl/>
        <w:rPr>
          <w:rFonts w:hint="eastAsia"/>
          <w:color w:val="000000"/>
          <w:sz w:val="24"/>
          <w:highlight w:val="none"/>
        </w:rPr>
      </w:pPr>
      <w:r/>
      <w:bookmarkStart w:id="768" w:name="_Toc305158827"/>
      <w:r/>
      <w:bookmarkStart w:id="769" w:name="_Toc265228397"/>
      <w:r/>
      <w:bookmarkStart w:id="770" w:name="_Toc226965832"/>
      <w:r/>
      <w:bookmarkStart w:id="771" w:name="_Toc150480796"/>
      <w:r/>
      <w:bookmarkStart w:id="772" w:name="_Toc195842924"/>
      <w:r/>
      <w:bookmarkStart w:id="773" w:name="_Toc264969249"/>
      <w:r/>
      <w:bookmarkStart w:id="774" w:name="_Toc226965749"/>
      <w:r/>
      <w:bookmarkStart w:id="775" w:name="_Toc150774763"/>
      <w:r/>
      <w:bookmarkStart w:id="776" w:name="_Toc127151558"/>
      <w:r/>
      <w:bookmarkStart w:id="777" w:name="_Toc226309803"/>
      <w:r/>
      <w:bookmarkStart w:id="778" w:name="_Toc226337255"/>
      <w:r/>
      <w:bookmarkStart w:id="779" w:name="_Toc305158901"/>
      <w:r/>
      <w:bookmarkStart w:id="780" w:name="_Toc142311060"/>
      <w:r>
        <w:rPr>
          <w:color w:val="000000"/>
          <w:sz w:val="24"/>
          <w:szCs w:val="20"/>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rFonts w:hint="eastAsia"/>
          <w:color w:val="000000"/>
          <w:sz w:val="24"/>
          <w:szCs w:val="20"/>
          <w:highlight w:val="none"/>
        </w:rPr>
        <w:t xml:space="preserve">5</w:t>
      </w:r>
      <w:r>
        <w:rPr>
          <w:color w:val="000000"/>
          <w:sz w:val="24"/>
          <w:szCs w:val="20"/>
          <w:highlight w:val="none"/>
        </w:rPr>
        <w:t xml:space="preserve">  投标分项报价表（实质性格式）</w:t>
      </w:r>
      <w:r>
        <w:rPr>
          <w:rFonts w:hint="eastAsia"/>
          <w:color w:val="000000"/>
          <w:sz w:val="24"/>
          <w:highlight w:val="none"/>
        </w:rPr>
      </w:r>
      <w:r/>
    </w:p>
    <w:p>
      <w:pPr>
        <w:pStyle w:val="933"/>
        <w:jc w:val="left"/>
        <w:shd w:val="clear" w:color="auto" w:fill="auto"/>
        <w:widowControl/>
        <w:rPr>
          <w:color w:val="000000"/>
          <w:sz w:val="24"/>
          <w:szCs w:val="20"/>
          <w:highlight w:val="none"/>
        </w:rPr>
      </w:pPr>
      <w:r>
        <w:rPr>
          <w:color w:val="000000"/>
          <w:sz w:val="24"/>
          <w:szCs w:val="20"/>
          <w:highlight w:val="none"/>
        </w:rPr>
      </w:r>
      <w:r/>
    </w:p>
    <w:p>
      <w:pPr>
        <w:pStyle w:val="933"/>
        <w:jc w:val="center"/>
        <w:spacing w:line="360" w:lineRule="exact"/>
        <w:shd w:val="clear" w:color="auto" w:fill="auto"/>
        <w:rPr>
          <w:color w:val="000000"/>
          <w:sz w:val="36"/>
          <w:szCs w:val="36"/>
          <w:highlight w:val="none"/>
        </w:rPr>
      </w:pPr>
      <w:r>
        <w:rPr>
          <w:color w:val="000000"/>
          <w:sz w:val="36"/>
          <w:szCs w:val="36"/>
          <w:highlight w:val="none"/>
        </w:rPr>
      </w:r>
      <w:r/>
    </w:p>
    <w:p>
      <w:pPr>
        <w:pStyle w:val="933"/>
        <w:jc w:val="center"/>
        <w:spacing w:line="360" w:lineRule="auto"/>
        <w:shd w:val="clear" w:color="auto" w:fill="auto"/>
        <w:tabs>
          <w:tab w:val="left" w:pos="2775" w:leader="none"/>
          <w:tab w:val="center" w:pos="4153" w:leader="none"/>
        </w:tabs>
        <w:rPr>
          <w:rFonts w:hint="eastAsia"/>
          <w:b/>
          <w:color w:val="000000"/>
          <w:sz w:val="36"/>
          <w:szCs w:val="36"/>
          <w:highlight w:val="none"/>
        </w:rPr>
      </w:pPr>
      <w:r>
        <w:rPr>
          <w:rFonts w:hint="eastAsia"/>
          <w:b/>
          <w:color w:val="000000"/>
          <w:sz w:val="36"/>
          <w:szCs w:val="36"/>
          <w:highlight w:val="none"/>
        </w:rPr>
        <w:t xml:space="preserve">投标分项报价表</w:t>
      </w:r>
      <w:r>
        <w:rPr>
          <w:rFonts w:hint="eastAsia"/>
          <w:b/>
          <w:color w:val="000000"/>
          <w:sz w:val="36"/>
          <w:szCs w:val="36"/>
          <w:highlight w:val="none"/>
        </w:rPr>
      </w:r>
      <w:r/>
    </w:p>
    <w:p>
      <w:pPr>
        <w:pStyle w:val="933"/>
        <w:jc w:val="center"/>
        <w:spacing w:line="260" w:lineRule="exact"/>
        <w:shd w:val="clear" w:color="auto" w:fill="auto"/>
        <w:rPr>
          <w:color w:val="000000"/>
          <w:sz w:val="36"/>
          <w:szCs w:val="36"/>
          <w:highlight w:val="none"/>
        </w:rPr>
      </w:pPr>
      <w:r>
        <w:rPr>
          <w:color w:val="000000"/>
          <w:sz w:val="36"/>
          <w:szCs w:val="36"/>
          <w:highlight w:val="none"/>
        </w:rPr>
      </w:r>
      <w:r/>
    </w:p>
    <w:p>
      <w:pPr>
        <w:pStyle w:val="933"/>
        <w:shd w:val="clear" w:color="auto" w:fill="auto"/>
        <w:tabs>
          <w:tab w:val="left" w:pos="1800" w:leader="none"/>
          <w:tab w:val="left" w:pos="5580" w:leader="none"/>
        </w:tabs>
        <w:rPr>
          <w:color w:val="000000"/>
          <w:sz w:val="24"/>
          <w:highlight w:val="none"/>
        </w:rPr>
      </w:pPr>
      <w:r>
        <w:rPr>
          <w:color w:val="000000"/>
          <w:sz w:val="24"/>
          <w:highlight w:val="none"/>
        </w:rPr>
      </w:r>
      <w:r/>
    </w:p>
    <w:p>
      <w:pPr>
        <w:pStyle w:val="933"/>
        <w:shd w:val="clear" w:color="auto" w:fill="auto"/>
        <w:tabs>
          <w:tab w:val="left" w:pos="1800" w:leader="none"/>
          <w:tab w:val="left" w:pos="5580" w:leader="none"/>
        </w:tabs>
        <w:rPr>
          <w:color w:val="000000"/>
          <w:sz w:val="24"/>
          <w:highlight w:val="none"/>
        </w:rPr>
      </w:pPr>
      <w:r>
        <w:rPr>
          <w:color w:val="000000"/>
          <w:sz w:val="24"/>
          <w:highlight w:val="none"/>
        </w:rPr>
        <w:t xml:space="preserve">项目编号：___________ 项目名称：__________报价单位：人民币元</w:t>
      </w:r>
      <w:r>
        <w:rPr>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8"/>
        <w:gridCol w:w="1678"/>
        <w:gridCol w:w="1020"/>
        <w:gridCol w:w="1020"/>
        <w:gridCol w:w="1021"/>
        <w:gridCol w:w="608"/>
        <w:gridCol w:w="1128"/>
        <w:gridCol w:w="1114"/>
        <w:gridCol w:w="1121"/>
      </w:tblGrid>
      <w:tr>
        <w:trPr>
          <w:trHeight w:val="715"/>
        </w:trPr>
        <w:tc>
          <w:tcPr>
            <w:tcW w:w="311"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9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标的名称</w:t>
            </w: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品牌</w:t>
            </w:r>
            <w:r>
              <w:rPr>
                <w:rFonts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型号</w:t>
            </w:r>
            <w:r>
              <w:rPr>
                <w:rFonts w:ascii="宋体" w:hAnsi="宋体" w:eastAsia="宋体" w:cs="宋体"/>
                <w:color w:val="000000"/>
                <w:sz w:val="24"/>
                <w:szCs w:val="24"/>
                <w:highlight w:val="none"/>
                <w:lang w:val="en-US" w:eastAsia="zh-CN"/>
              </w:rPr>
            </w:r>
            <w:r/>
          </w:p>
        </w:tc>
        <w:tc>
          <w:tcPr>
            <w:tcW w:w="327" w:type="dxa"/>
            <w:vAlign w:val="center"/>
            <w:textDirection w:val="lrTb"/>
            <w:noWrap/>
          </w:tcPr>
          <w:p>
            <w:pPr>
              <w:pStyle w:val="933"/>
              <w:jc w:val="center"/>
              <w:keepLines w:val="0"/>
              <w:keepNext w:val="0"/>
              <w:pageBreakBefore w:val="0"/>
              <w:spacing w:line="360" w:lineRule="exact"/>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w:t>
            </w:r>
            <w:r>
              <w:rPr>
                <w:rFonts w:ascii="宋体" w:hAnsi="宋体" w:eastAsia="宋体" w:cs="宋体"/>
                <w:color w:val="000000"/>
                <w:sz w:val="24"/>
                <w:szCs w:val="24"/>
                <w:highlight w:val="none"/>
                <w:lang w:val="en-US" w:eastAsia="zh-CN"/>
              </w:rPr>
            </w:r>
            <w:r/>
          </w:p>
        </w:tc>
        <w:tc>
          <w:tcPr>
            <w:tcW w:w="60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c>
          <w:tcPr>
            <w:tcW w:w="59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投标单价</w:t>
            </w:r>
            <w:r>
              <w:rPr>
                <w:rFonts w:hint="eastAsia" w:ascii="宋体" w:hAnsi="宋体" w:eastAsia="宋体" w:cs="宋体"/>
                <w:color w:val="000000"/>
                <w:sz w:val="24"/>
                <w:szCs w:val="24"/>
                <w:highlight w:val="none"/>
                <w:lang w:val="en-US" w:eastAsia="zh-CN"/>
              </w:rPr>
            </w:r>
            <w:r/>
          </w:p>
        </w:tc>
        <w:tc>
          <w:tcPr>
            <w:tcW w:w="6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投标总价</w:t>
            </w:r>
            <w:r>
              <w:rPr>
                <w:rFonts w:hint="eastAsia" w:ascii="宋体" w:hAnsi="宋体" w:eastAsia="宋体" w:cs="宋体"/>
                <w:color w:val="000000"/>
                <w:sz w:val="24"/>
                <w:szCs w:val="24"/>
                <w:highlight w:val="none"/>
                <w:lang w:val="en-US" w:eastAsia="zh-CN"/>
              </w:rPr>
            </w:r>
            <w:r/>
          </w:p>
        </w:tc>
      </w:tr>
      <w:tr>
        <w:trPr>
          <w:trHeight w:val="700"/>
        </w:trPr>
        <w:tc>
          <w:tcPr>
            <w:tcW w:w="311"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9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2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0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9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700"/>
        </w:trPr>
        <w:tc>
          <w:tcPr>
            <w:tcW w:w="311"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9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2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0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9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1460"/>
        </w:trPr>
        <w:tc>
          <w:tcPr>
            <w:tcW w:w="311" w:type="dxa"/>
            <w:vAlign w:val="center"/>
            <w:textDirection w:val="lrTb"/>
            <w:noWrap/>
          </w:tcPr>
          <w:p>
            <w:pPr>
              <w:pStyle w:val="933"/>
              <w:jc w:val="center"/>
              <w:keepLines w:val="0"/>
              <w:keepNext w:val="0"/>
              <w:pageBreakBefore w:val="0"/>
              <w:spacing w:line="360" w:lineRule="exact"/>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9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2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0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9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700"/>
        </w:trPr>
        <w:tc>
          <w:tcPr>
            <w:tcW w:w="311" w:type="dxa"/>
            <w:vAlign w:val="center"/>
            <w:textDirection w:val="lrTb"/>
            <w:noWrap/>
          </w:tcPr>
          <w:p>
            <w:pPr>
              <w:pStyle w:val="933"/>
              <w:jc w:val="center"/>
              <w:keepLines w:val="0"/>
              <w:keepNext w:val="0"/>
              <w:pageBreakBefore w:val="0"/>
              <w:spacing w:line="360" w:lineRule="exact"/>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9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2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0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9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90"/>
        </w:trPr>
        <w:tc>
          <w:tcPr>
            <w:gridSpan w:val="8"/>
            <w:tcW w:w="8167" w:type="dxa"/>
            <w:vAlign w:val="center"/>
            <w:textDirection w:val="lrTb"/>
            <w:noWrap/>
          </w:tcPr>
          <w:p>
            <w:pPr>
              <w:pStyle w:val="933"/>
              <w:jc w:val="center"/>
              <w:keepLines w:val="0"/>
              <w:keepNext w:val="0"/>
              <w:pageBreakBefore w:val="0"/>
              <w:spacing w:line="360" w:lineRule="exact"/>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合计</w:t>
            </w:r>
            <w:r>
              <w:rPr>
                <w:rFonts w:ascii="宋体" w:hAnsi="宋体" w:eastAsia="宋体" w:cs="宋体"/>
                <w:color w:val="000000"/>
                <w:sz w:val="24"/>
                <w:szCs w:val="24"/>
                <w:highlight w:val="none"/>
                <w:lang w:val="en-US" w:eastAsia="zh-CN"/>
              </w:rPr>
            </w:r>
            <w:r/>
          </w:p>
        </w:tc>
        <w:tc>
          <w:tcPr>
            <w:tcW w:w="6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700"/>
        </w:trPr>
        <w:tc>
          <w:tcPr>
            <w:gridSpan w:val="9"/>
            <w:tcW w:w="9288"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注：本采购包中提供的符合本国产品标准的产品成本之和占该采购包提供的全部产品成本之和的比例为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bl>
    <w:p>
      <w:pPr>
        <w:pStyle w:val="933"/>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933"/>
        <w:jc w:val="left"/>
        <w:shd w:val="clear" w:color="auto" w:fill="auto"/>
        <w:tabs>
          <w:tab w:val="left" w:pos="1800" w:leader="none"/>
          <w:tab w:val="left" w:pos="5580" w:leader="none"/>
        </w:tabs>
        <w:rPr>
          <w:color w:val="000000"/>
          <w:sz w:val="24"/>
          <w:highlight w:val="none"/>
        </w:rPr>
      </w:pPr>
      <w:r>
        <w:rPr>
          <w:color w:val="000000"/>
          <w:sz w:val="24"/>
          <w:highlight w:val="none"/>
        </w:rPr>
        <w:t xml:space="preserve">注：</w:t>
      </w:r>
      <w:r>
        <w:rPr>
          <w:rFonts w:hint="eastAsia"/>
          <w:color w:val="000000"/>
          <w:sz w:val="24"/>
          <w:highlight w:val="none"/>
        </w:rPr>
        <w:t xml:space="preserve">1</w:t>
      </w:r>
      <w:r>
        <w:rPr>
          <w:color w:val="000000"/>
          <w:sz w:val="24"/>
          <w:highlight w:val="none"/>
        </w:rPr>
        <w:t xml:space="preserve">.如果不提供分项报价将视为没有实质性响应招标文件。</w:t>
      </w:r>
      <w:r>
        <w:rPr>
          <w:color w:val="000000"/>
          <w:sz w:val="24"/>
          <w:highlight w:val="none"/>
        </w:rPr>
      </w:r>
      <w:r/>
    </w:p>
    <w:p>
      <w:pPr>
        <w:pStyle w:val="933"/>
        <w:ind w:firstLine="480"/>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rPr>
          <w:rFonts w:hint="eastAsia"/>
          <w:color w:val="000000"/>
          <w:sz w:val="24"/>
          <w:highlight w:val="none"/>
        </w:rPr>
      </w:r>
      <w:r/>
    </w:p>
    <w:p>
      <w:pPr>
        <w:pStyle w:val="933"/>
        <w:ind w:firstLine="480"/>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3.</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933"/>
        <w:ind w:firstLine="480"/>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t xml:space="preserve">4.本采购包中含有多种产品时，投标人未填写本采购包中提供的符合本国产品标准的产品成本之和占该采购包提供的全部产品成本之和的比例数值的，或比例数值未达到80%的，将不享受本国产品价格评审优惠。 </w:t>
      </w:r>
      <w:r>
        <w:rPr>
          <w:rFonts w:hint="eastAsia"/>
          <w:color w:val="000000"/>
          <w:sz w:val="24"/>
          <w:highlight w:val="none"/>
        </w:rPr>
      </w:r>
      <w:r/>
    </w:p>
    <w:p>
      <w:pPr>
        <w:pStyle w:val="933"/>
        <w:ind w:firstLine="480"/>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5.价格扣除优惠，仅适用于采购活动中实际存在非本国产品参与竞争的情形。如果所有有效投标人提供的产品均为本国产品（即不存在非本国产品竞争），则不执行本国产品的价格扣除政策。</w:t>
      </w:r>
      <w:r>
        <w:rPr>
          <w:color w:val="000000"/>
          <w:sz w:val="24"/>
          <w:highlight w:val="none"/>
        </w:rPr>
      </w:r>
      <w:r/>
    </w:p>
    <w:p>
      <w:pPr>
        <w:pStyle w:val="933"/>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3"/>
        <w:spacing w:line="360" w:lineRule="auto"/>
        <w:shd w:val="clear" w:color="auto" w:fill="auto"/>
        <w:rPr>
          <w:color w:val="000000"/>
          <w:sz w:val="24"/>
          <w:szCs w:val="20"/>
          <w:highlight w:val="none"/>
        </w:rPr>
      </w:pPr>
      <w:r>
        <w:rPr>
          <w:color w:val="000000"/>
          <w:sz w:val="24"/>
          <w:szCs w:val="20"/>
          <w:highlight w:val="none"/>
        </w:rPr>
        <w:br w:type="page" w:clear="all"/>
      </w:r>
      <w:bookmarkStart w:id="781" w:name="_Toc127151562"/>
      <w:r/>
      <w:bookmarkStart w:id="782" w:name="_Toc226337258"/>
      <w:r/>
      <w:bookmarkStart w:id="783" w:name="_Toc150480798"/>
      <w:r/>
      <w:bookmarkStart w:id="784" w:name="_Toc305158904"/>
      <w:r/>
      <w:bookmarkStart w:id="785" w:name="_Toc305158830"/>
      <w:r/>
      <w:bookmarkStart w:id="786" w:name="_Toc265228400"/>
      <w:r/>
      <w:bookmarkStart w:id="787" w:name="_Toc195842927"/>
      <w:r/>
      <w:bookmarkStart w:id="788" w:name="_Toc226965835"/>
      <w:r/>
      <w:bookmarkStart w:id="789" w:name="_Toc150774765"/>
      <w:r/>
      <w:bookmarkStart w:id="790" w:name="_Toc142311062"/>
      <w:r/>
      <w:bookmarkStart w:id="791" w:name="_Toc226965752"/>
      <w:r/>
      <w:bookmarkStart w:id="792" w:name="_Toc226309806"/>
      <w:r/>
      <w:bookmarkStart w:id="793" w:name="_Toc264969252"/>
      <w:r/>
      <w:bookmarkStart w:id="794" w:name="_Toc226337257"/>
      <w:r/>
      <w:bookmarkStart w:id="795" w:name="_Toc226965751"/>
      <w:r/>
      <w:bookmarkStart w:id="796" w:name="_Toc305158903"/>
      <w:r/>
      <w:bookmarkStart w:id="797" w:name="_Toc264969251"/>
      <w:r/>
      <w:bookmarkStart w:id="798" w:name="_Toc150774764"/>
      <w:r/>
      <w:bookmarkStart w:id="799" w:name="_Toc226309805"/>
      <w:r/>
      <w:bookmarkStart w:id="800" w:name="_Toc127151561"/>
      <w:r/>
      <w:bookmarkStart w:id="801" w:name="_Toc305158829"/>
      <w:r/>
      <w:bookmarkStart w:id="802" w:name="_Toc150480797"/>
      <w:r/>
      <w:bookmarkStart w:id="803" w:name="_Toc265228399"/>
      <w:r/>
      <w:bookmarkStart w:id="804" w:name="_Toc142311061"/>
      <w:r/>
      <w:bookmarkStart w:id="805" w:name="_Toc195842926"/>
      <w:r/>
      <w:bookmarkStart w:id="806" w:name="_Toc226965834"/>
      <w:r>
        <w:rPr>
          <w:rFonts w:hint="eastAsia"/>
          <w:color w:val="000000"/>
          <w:sz w:val="24"/>
          <w:szCs w:val="20"/>
          <w:highlight w:val="none"/>
          <w:lang w:val="en-US" w:eastAsia="zh-CN"/>
        </w:rPr>
        <w:t xml:space="preserve">6</w:t>
      </w:r>
      <w:r>
        <w:rPr>
          <w:color w:val="000000"/>
          <w:sz w:val="24"/>
          <w:szCs w:val="20"/>
          <w:highlight w:val="none"/>
        </w:rPr>
        <w:t xml:space="preserve">  合同条款偏离表</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color w:val="000000"/>
          <w:sz w:val="24"/>
          <w:szCs w:val="20"/>
          <w:highlight w:val="none"/>
        </w:rPr>
        <w:t xml:space="preserve">（实质性格式）</w:t>
      </w:r>
      <w:r>
        <w:rPr>
          <w:color w:val="000000"/>
          <w:sz w:val="24"/>
          <w:szCs w:val="20"/>
          <w:highlight w:val="none"/>
        </w:rPr>
      </w:r>
      <w:r/>
    </w:p>
    <w:p>
      <w:pPr>
        <w:pStyle w:val="933"/>
        <w:spacing w:line="360" w:lineRule="auto"/>
        <w:shd w:val="clear" w:color="auto" w:fill="auto"/>
        <w:rPr>
          <w:color w:val="000000"/>
          <w:sz w:val="24"/>
          <w:szCs w:val="20"/>
          <w:highlight w:val="none"/>
        </w:rPr>
      </w:pPr>
      <w:r>
        <w:rPr>
          <w:color w:val="000000"/>
          <w:sz w:val="24"/>
          <w:szCs w:val="20"/>
          <w:highlight w:val="none"/>
        </w:rPr>
      </w:r>
      <w:r/>
    </w:p>
    <w:p>
      <w:pPr>
        <w:pStyle w:val="933"/>
        <w:jc w:val="center"/>
        <w:spacing w:line="360" w:lineRule="auto"/>
        <w:shd w:val="clear" w:color="auto" w:fill="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933"/>
        <w:spacing w:line="360" w:lineRule="auto"/>
        <w:shd w:val="clear" w:color="auto" w:fill="auto"/>
        <w:rPr>
          <w:color w:val="000000"/>
          <w:sz w:val="24"/>
          <w:szCs w:val="20"/>
          <w:highlight w:val="none"/>
        </w:rPr>
      </w:pPr>
      <w:r>
        <w:rPr>
          <w:color w:val="000000"/>
          <w:sz w:val="24"/>
          <w:szCs w:val="20"/>
          <w:highlight w:val="none"/>
        </w:rPr>
      </w:r>
      <w:r/>
    </w:p>
    <w:p>
      <w:pPr>
        <w:pStyle w:val="933"/>
        <w:ind w:firstLine="360"/>
        <w:jc w:val="left"/>
        <w:spacing w:line="360" w:lineRule="auto"/>
        <w:shd w:val="clear" w:color="auto" w:fill="auto"/>
        <w:tabs>
          <w:tab w:val="left" w:pos="1800" w:leader="none"/>
          <w:tab w:val="left" w:pos="5580" w:leader="none"/>
        </w:tabs>
        <w:rPr>
          <w:color w:val="000000"/>
          <w:sz w:val="24"/>
          <w:highlight w:val="none"/>
        </w:rPr>
      </w:pPr>
      <w:r>
        <w:rPr>
          <w:color w:val="000000"/>
          <w:sz w:val="24"/>
          <w:highlight w:val="none"/>
        </w:rPr>
        <w:t xml:space="preserve">项目编号：_____________________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33"/>
              <w:jc w:val="left"/>
              <w:shd w:val="clear" w:color="auto" w:fill="auto"/>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33"/>
              <w:jc w:val="left"/>
              <w:shd w:val="clear" w:color="auto" w:fill="auto"/>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33"/>
              <w:jc w:val="left"/>
              <w:shd w:val="clear" w:color="auto" w:fill="auto"/>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933"/>
              <w:jc w:val="center"/>
              <w:shd w:val="clear" w:color="auto" w:fill="auto"/>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933"/>
              <w:jc w:val="center"/>
              <w:shd w:val="clear" w:color="auto" w:fill="auto"/>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投标文件内容</w:t>
            </w:r>
            <w:r>
              <w:rPr>
                <w:color w:val="000000"/>
                <w:sz w:val="24"/>
                <w:highlight w:val="none"/>
              </w:rPr>
            </w:r>
            <w:r/>
          </w:p>
        </w:tc>
        <w:tc>
          <w:tcPr>
            <w:tcW w:w="2423"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偏离情况</w:t>
            </w:r>
            <w:r>
              <w:rPr>
                <w:color w:val="000000"/>
                <w:sz w:val="24"/>
                <w:highlight w:val="none"/>
              </w:rPr>
            </w:r>
            <w:r/>
          </w:p>
        </w:tc>
        <w:tc>
          <w:tcPr>
            <w:tcW w:w="7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290"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980"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981"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423"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7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290"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980"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981"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423"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7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290"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980"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981"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423"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7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w:t>
            </w:r>
            <w:r>
              <w:rPr>
                <w:color w:val="000000"/>
                <w:sz w:val="24"/>
                <w:highlight w:val="none"/>
              </w:rPr>
            </w:r>
            <w:r/>
          </w:p>
        </w:tc>
        <w:tc>
          <w:tcPr>
            <w:tcW w:w="1290"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980"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981"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423"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7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bl>
    <w:p>
      <w:pPr>
        <w:pStyle w:val="933"/>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933"/>
        <w:jc w:val="left"/>
        <w:shd w:val="clear" w:color="auto" w:fill="auto"/>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33"/>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33"/>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933"/>
        <w:spacing w:line="360" w:lineRule="auto"/>
        <w:shd w:val="clear" w:color="auto" w:fill="auto"/>
        <w:rPr>
          <w:color w:val="000000"/>
          <w:sz w:val="24"/>
          <w:szCs w:val="20"/>
          <w:highlight w:val="none"/>
        </w:rPr>
      </w:pPr>
      <w:r>
        <w:rPr>
          <w:color w:val="000000"/>
          <w:sz w:val="24"/>
          <w:szCs w:val="20"/>
          <w:highlight w:val="none"/>
        </w:rPr>
      </w:r>
      <w:r/>
    </w:p>
    <w:p>
      <w:pPr>
        <w:pStyle w:val="933"/>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3"/>
        <w:spacing w:line="360" w:lineRule="auto"/>
        <w:shd w:val="clear" w:color="auto" w:fill="auto"/>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rPr>
          <w:color w:val="000000"/>
          <w:sz w:val="24"/>
          <w:szCs w:val="20"/>
          <w:highlight w:val="none"/>
        </w:rPr>
        <w:t xml:space="preserve">采购需求偏离表（实质性格式）</w:t>
      </w:r>
      <w:r>
        <w:rPr>
          <w:color w:val="000000"/>
          <w:sz w:val="24"/>
          <w:szCs w:val="20"/>
          <w:highlight w:val="none"/>
        </w:rPr>
      </w:r>
      <w:r/>
    </w:p>
    <w:p>
      <w:pPr>
        <w:pStyle w:val="933"/>
        <w:jc w:val="center"/>
        <w:spacing w:line="360" w:lineRule="auto"/>
        <w:shd w:val="clear" w:color="auto" w:fill="auto"/>
        <w:rPr>
          <w:rFonts w:hint="eastAsia"/>
          <w:b/>
          <w:color w:val="000000"/>
          <w:sz w:val="36"/>
          <w:szCs w:val="36"/>
          <w:highlight w:val="none"/>
        </w:rPr>
      </w:pPr>
      <w:r>
        <w:rPr>
          <w:rFonts w:hint="eastAsia"/>
          <w:b/>
          <w:color w:val="000000"/>
          <w:sz w:val="36"/>
          <w:szCs w:val="36"/>
          <w:highlight w:val="none"/>
        </w:rPr>
      </w:r>
      <w:r/>
    </w:p>
    <w:p>
      <w:pPr>
        <w:pStyle w:val="933"/>
        <w:jc w:val="center"/>
        <w:spacing w:line="360" w:lineRule="auto"/>
        <w:shd w:val="clear" w:color="auto" w:fill="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933"/>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bl>
    <w:p>
      <w:pPr>
        <w:pStyle w:val="933"/>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u w:val="single"/>
        </w:rPr>
      </w:r>
      <w:r/>
    </w:p>
    <w:p>
      <w:pPr>
        <w:pStyle w:val="933"/>
        <w:jc w:val="left"/>
        <w:shd w:val="clear" w:color="auto" w:fill="auto"/>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33"/>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933"/>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t xml:space="preserve">2.“偏离情况”列应据实填写“正偏离”、“负偏离”，若不存在偏离情况，只需在此表中填写“无偏离”。</w:t>
      </w:r>
      <w:r>
        <w:rPr>
          <w:rFonts w:hint="eastAsia"/>
          <w:color w:val="000000"/>
          <w:sz w:val="24"/>
          <w:highlight w:val="none"/>
        </w:rPr>
      </w:r>
      <w:r/>
    </w:p>
    <w:p>
      <w:pPr>
        <w:pStyle w:val="933"/>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933"/>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933"/>
        <w:shd w:val="clear" w:color="auto" w:fill="auto"/>
        <w:rPr>
          <w:color w:val="000000"/>
          <w:sz w:val="24"/>
          <w:szCs w:val="20"/>
          <w:highlight w:val="none"/>
        </w:rPr>
      </w:pPr>
      <w:r>
        <w:rPr>
          <w:color w:val="000000"/>
          <w:sz w:val="24"/>
          <w:szCs w:val="20"/>
          <w:highlight w:val="none"/>
        </w:rPr>
      </w:r>
      <w:r/>
    </w:p>
    <w:p>
      <w:pPr>
        <w:pStyle w:val="933"/>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6"/>
        <w:ind w:firstLine="0"/>
        <w:shd w:val="clear" w:color="auto" w:fill="auto"/>
        <w:rPr>
          <w:rFonts w:hint="eastAsia"/>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8 项目实施方案等，包括但不限于如下主题:</w:t>
      </w:r>
      <w:r>
        <w:rPr>
          <w:rFonts w:hint="eastAsia"/>
          <w:color w:val="000000"/>
          <w:sz w:val="24"/>
          <w:szCs w:val="20"/>
          <w:highlight w:val="none"/>
        </w:rPr>
      </w:r>
      <w:r/>
    </w:p>
    <w:p>
      <w:pPr>
        <w:pStyle w:val="966"/>
        <w:ind w:firstLine="0"/>
        <w:shd w:val="clear" w:color="auto" w:fill="auto"/>
        <w:rPr>
          <w:rFonts w:hint="eastAsia"/>
          <w:color w:val="000000"/>
          <w:sz w:val="24"/>
          <w:szCs w:val="20"/>
          <w:highlight w:val="none"/>
          <w:lang w:eastAsia="zh-CN"/>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1</w:t>
      </w:r>
      <w:r>
        <w:rPr>
          <w:rFonts w:hint="eastAsia"/>
          <w:color w:val="000000"/>
          <w:sz w:val="24"/>
          <w:szCs w:val="20"/>
          <w:highlight w:val="none"/>
          <w:lang w:eastAsia="zh-CN"/>
        </w:rPr>
        <w:t xml:space="preserve">）项目总体部署</w:t>
      </w:r>
      <w:r>
        <w:rPr>
          <w:rFonts w:hint="eastAsia"/>
          <w:color w:val="000000"/>
          <w:sz w:val="24"/>
          <w:szCs w:val="20"/>
          <w:highlight w:val="none"/>
          <w:lang w:eastAsia="zh-CN"/>
        </w:rPr>
      </w:r>
      <w:r/>
    </w:p>
    <w:p>
      <w:pPr>
        <w:pStyle w:val="966"/>
        <w:ind w:firstLine="0"/>
        <w:shd w:val="clear" w:color="auto" w:fill="auto"/>
        <w:rPr>
          <w:rFonts w:hint="eastAsia"/>
          <w:color w:val="000000"/>
          <w:sz w:val="24"/>
          <w:szCs w:val="20"/>
          <w:highlight w:val="none"/>
          <w:lang w:eastAsia="zh-CN"/>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2</w:t>
      </w:r>
      <w:r>
        <w:rPr>
          <w:rFonts w:hint="eastAsia"/>
          <w:color w:val="000000"/>
          <w:sz w:val="24"/>
          <w:szCs w:val="20"/>
          <w:highlight w:val="none"/>
          <w:lang w:eastAsia="zh-CN"/>
        </w:rPr>
        <w:t xml:space="preserve">）项目实施方案及售后服务措施</w:t>
      </w:r>
      <w:r>
        <w:rPr>
          <w:rFonts w:hint="eastAsia"/>
          <w:color w:val="000000"/>
          <w:sz w:val="24"/>
          <w:szCs w:val="20"/>
          <w:highlight w:val="none"/>
          <w:lang w:eastAsia="zh-CN"/>
        </w:rPr>
      </w:r>
      <w:r/>
    </w:p>
    <w:p>
      <w:pPr>
        <w:pStyle w:val="966"/>
        <w:ind w:firstLine="0"/>
        <w:shd w:val="clear" w:color="auto" w:fill="auto"/>
        <w:rPr>
          <w:rFonts w:hint="eastAsia"/>
          <w:color w:val="000000"/>
          <w:sz w:val="24"/>
          <w:szCs w:val="20"/>
          <w:highlight w:val="none"/>
          <w:lang w:eastAsia="zh-CN"/>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3</w:t>
      </w:r>
      <w:r>
        <w:rPr>
          <w:rFonts w:hint="eastAsia"/>
          <w:color w:val="000000"/>
          <w:sz w:val="24"/>
          <w:szCs w:val="20"/>
          <w:highlight w:val="none"/>
          <w:lang w:eastAsia="zh-CN"/>
        </w:rPr>
        <w:t xml:space="preserve">）质量管理体系与保证措施</w:t>
      </w:r>
      <w:r>
        <w:rPr>
          <w:rFonts w:hint="eastAsia"/>
          <w:color w:val="000000"/>
          <w:sz w:val="24"/>
          <w:szCs w:val="20"/>
          <w:highlight w:val="none"/>
          <w:lang w:eastAsia="zh-CN"/>
        </w:rPr>
      </w:r>
      <w:r/>
    </w:p>
    <w:p>
      <w:pPr>
        <w:pStyle w:val="966"/>
        <w:ind w:firstLine="0"/>
        <w:shd w:val="clear" w:color="auto" w:fill="auto"/>
        <w:rPr>
          <w:rFonts w:hint="eastAsia"/>
          <w:color w:val="000000"/>
          <w:sz w:val="24"/>
          <w:szCs w:val="20"/>
          <w:highlight w:val="none"/>
          <w:lang w:eastAsia="zh-CN"/>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4</w:t>
      </w:r>
      <w:r>
        <w:rPr>
          <w:rFonts w:hint="eastAsia"/>
          <w:color w:val="000000"/>
          <w:sz w:val="24"/>
          <w:szCs w:val="20"/>
          <w:highlight w:val="none"/>
          <w:lang w:eastAsia="zh-CN"/>
        </w:rPr>
        <w:t xml:space="preserve">）其他各项措施</w:t>
      </w:r>
      <w:r>
        <w:rPr>
          <w:rFonts w:hint="eastAsia"/>
          <w:color w:val="000000"/>
          <w:sz w:val="24"/>
          <w:szCs w:val="20"/>
          <w:highlight w:val="none"/>
          <w:lang w:eastAsia="zh-CN"/>
        </w:rPr>
      </w:r>
      <w:r/>
    </w:p>
    <w:p>
      <w:pPr>
        <w:pStyle w:val="966"/>
        <w:ind w:firstLine="0"/>
        <w:shd w:val="clear" w:color="auto" w:fill="auto"/>
        <w:rPr>
          <w:rFonts w:hint="eastAsia"/>
          <w:color w:val="000000"/>
          <w:sz w:val="24"/>
          <w:szCs w:val="20"/>
          <w:highlight w:val="none"/>
          <w:lang w:eastAsia="zh-CN"/>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5</w:t>
      </w:r>
      <w:r>
        <w:rPr>
          <w:rFonts w:hint="eastAsia"/>
          <w:color w:val="000000"/>
          <w:sz w:val="24"/>
          <w:szCs w:val="20"/>
          <w:highlight w:val="none"/>
          <w:lang w:eastAsia="zh-CN"/>
        </w:rPr>
        <w:t xml:space="preserve">）项目应急预案</w:t>
      </w:r>
      <w:r>
        <w:rPr>
          <w:rFonts w:hint="eastAsia"/>
          <w:color w:val="000000"/>
          <w:sz w:val="24"/>
          <w:szCs w:val="20"/>
          <w:highlight w:val="none"/>
          <w:lang w:eastAsia="zh-CN"/>
        </w:rPr>
      </w:r>
      <w:r/>
    </w:p>
    <w:p>
      <w:pPr>
        <w:pStyle w:val="966"/>
        <w:ind w:firstLine="0"/>
        <w:shd w:val="clear" w:color="auto" w:fill="auto"/>
        <w:rPr>
          <w:rFonts w:hint="eastAsia"/>
          <w:color w:val="000000"/>
          <w:sz w:val="24"/>
          <w:szCs w:val="20"/>
          <w:highlight w:val="none"/>
          <w:lang w:eastAsia="zh-CN"/>
        </w:rPr>
      </w:pPr>
      <w:r>
        <w:rPr>
          <w:rFonts w:hint="eastAsia"/>
          <w:color w:val="000000"/>
          <w:sz w:val="24"/>
          <w:szCs w:val="20"/>
          <w:highlight w:val="none"/>
          <w:lang w:eastAsia="zh-CN"/>
        </w:rPr>
      </w:r>
      <w:r/>
    </w:p>
    <w:p>
      <w:pPr>
        <w:pStyle w:val="966"/>
        <w:ind w:firstLine="0"/>
        <w:shd w:val="clear" w:color="auto" w:fill="auto"/>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9</w:t>
      </w:r>
      <w:r>
        <w:rPr>
          <w:rFonts w:hint="eastAsia"/>
          <w:color w:val="000000"/>
          <w:sz w:val="24"/>
          <w:szCs w:val="20"/>
          <w:highlight w:val="none"/>
        </w:rPr>
        <w:t xml:space="preserve"> 参加本项目人员一览表</w:t>
      </w:r>
      <w:r>
        <w:rPr>
          <w:color w:val="000000"/>
          <w:sz w:val="24"/>
          <w:szCs w:val="20"/>
          <w:highlight w:val="none"/>
        </w:rPr>
      </w:r>
      <w:r/>
    </w:p>
    <w:p>
      <w:pPr>
        <w:pStyle w:val="933"/>
        <w:jc w:val="center"/>
        <w:spacing w:line="360" w:lineRule="auto"/>
        <w:shd w:val="clear" w:color="auto" w:fill="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3"/>
        <w:jc w:val="center"/>
        <w:spacing w:line="360" w:lineRule="auto"/>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33"/>
        <w:spacing w:line="360" w:lineRule="auto"/>
        <w:shd w:val="clear" w:color="auto" w:fill="auto"/>
        <w:rPr>
          <w:rFonts w:ascii="宋体" w:hAnsi="宋体"/>
          <w:color w:val="000000"/>
          <w:sz w:val="22"/>
          <w:highlight w:val="none"/>
        </w:rPr>
      </w:pPr>
      <w:r>
        <w:rPr>
          <w:rFonts w:ascii="宋体" w:hAnsi="宋体"/>
          <w:color w:val="000000"/>
          <w:sz w:val="22"/>
          <w:highlight w:val="none"/>
        </w:rPr>
      </w:r>
      <w:r/>
    </w:p>
    <w:p>
      <w:pPr>
        <w:pStyle w:val="933"/>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5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33"/>
        <w:shd w:val="clear" w:color="auto" w:fill="auto"/>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33"/>
        <w:spacing w:line="360" w:lineRule="auto"/>
        <w:shd w:val="clear" w:color="auto" w:fill="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933"/>
        <w:spacing w:line="360" w:lineRule="auto"/>
        <w:shd w:val="clear" w:color="auto" w:fill="auto"/>
        <w:rPr>
          <w:rFonts w:ascii="宋体" w:hAnsi="宋体"/>
          <w:color w:val="000000"/>
          <w:sz w:val="24"/>
          <w:highlight w:val="none"/>
        </w:rPr>
      </w:pPr>
      <w:r>
        <w:rPr>
          <w:rFonts w:ascii="宋体" w:hAnsi="宋体"/>
          <w:color w:val="000000"/>
          <w:sz w:val="24"/>
          <w:highlight w:val="none"/>
        </w:rPr>
      </w:r>
      <w:r/>
    </w:p>
    <w:p>
      <w:pPr>
        <w:pStyle w:val="933"/>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3"/>
        <w:shd w:val="clear" w:color="auto" w:fill="auto"/>
        <w:rPr>
          <w:color w:val="000000"/>
          <w:sz w:val="24"/>
          <w:szCs w:val="20"/>
          <w:highlight w:val="none"/>
        </w:rPr>
      </w:pPr>
      <w:r>
        <w:rPr>
          <w:color w:val="000000"/>
          <w:sz w:val="22"/>
          <w:highlight w:val="none"/>
        </w:rPr>
        <w:br w:type="page" w:clear="all"/>
      </w:r>
      <w:bookmarkStart w:id="807" w:name="_Toc288738397"/>
      <w:r/>
      <w:bookmarkStart w:id="808" w:name="_Toc288738839"/>
      <w:r>
        <w:rPr>
          <w:rFonts w:hint="eastAsia"/>
          <w:color w:val="000000"/>
          <w:sz w:val="24"/>
          <w:szCs w:val="20"/>
          <w:highlight w:val="none"/>
          <w:lang w:val="en-US" w:eastAsia="zh-CN"/>
        </w:rPr>
        <w:t xml:space="preserve">10</w:t>
      </w:r>
      <w:r>
        <w:rPr>
          <w:rFonts w:hint="eastAsia"/>
          <w:color w:val="000000"/>
          <w:sz w:val="24"/>
          <w:szCs w:val="20"/>
          <w:highlight w:val="none"/>
        </w:rPr>
        <w:t xml:space="preserve">  相关业绩案例一览表</w:t>
      </w:r>
      <w:r>
        <w:rPr>
          <w:color w:val="000000"/>
          <w:sz w:val="24"/>
          <w:szCs w:val="20"/>
          <w:highlight w:val="none"/>
        </w:rPr>
      </w:r>
      <w:r/>
    </w:p>
    <w:p>
      <w:pPr>
        <w:pStyle w:val="933"/>
        <w:shd w:val="clear" w:color="auto" w:fill="auto"/>
        <w:rPr>
          <w:color w:val="000000"/>
          <w:sz w:val="24"/>
          <w:szCs w:val="20"/>
          <w:highlight w:val="none"/>
        </w:rPr>
      </w:pPr>
      <w:r>
        <w:rPr>
          <w:color w:val="000000"/>
          <w:sz w:val="24"/>
          <w:szCs w:val="20"/>
          <w:highlight w:val="none"/>
        </w:rPr>
      </w:r>
      <w:r/>
    </w:p>
    <w:p>
      <w:pPr>
        <w:pStyle w:val="933"/>
        <w:jc w:val="center"/>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807"/>
      <w:r/>
      <w:bookmarkEnd w:id="808"/>
      <w:r>
        <w:rPr>
          <w:rFonts w:ascii="宋体" w:hAnsi="宋体"/>
          <w:b/>
          <w:color w:val="000000"/>
          <w:sz w:val="32"/>
          <w:szCs w:val="32"/>
          <w:highlight w:val="none"/>
        </w:rPr>
      </w:r>
      <w:r/>
    </w:p>
    <w:p>
      <w:pPr>
        <w:pStyle w:val="933"/>
        <w:jc w:val="center"/>
        <w:spacing w:line="360" w:lineRule="auto"/>
        <w:shd w:val="clear" w:color="auto" w:fill="auto"/>
        <w:rPr>
          <w:rFonts w:ascii="宋体" w:hAnsi="宋体"/>
          <w:b/>
          <w:color w:val="000000"/>
          <w:sz w:val="28"/>
          <w:szCs w:val="30"/>
          <w:highlight w:val="none"/>
        </w:rPr>
      </w:pPr>
      <w:r>
        <w:rPr>
          <w:rFonts w:ascii="宋体" w:hAnsi="宋体"/>
          <w:b/>
          <w:color w:val="000000"/>
          <w:sz w:val="28"/>
          <w:szCs w:val="30"/>
          <w:highlight w:val="none"/>
        </w:rPr>
      </w:r>
      <w:r/>
    </w:p>
    <w:p>
      <w:pPr>
        <w:pStyle w:val="933"/>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3"/>
              <w:ind w:hanging="52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3"/>
              <w:ind w:hanging="52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33"/>
        <w:shd w:val="clear" w:color="auto" w:fill="auto"/>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33"/>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33"/>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3"/>
        <w:shd w:val="clear" w:color="auto" w:fill="auto"/>
        <w:rPr>
          <w:color w:val="000000"/>
          <w:highlight w:val="none"/>
        </w:rPr>
      </w:pPr>
      <w:r>
        <w:rPr>
          <w:color w:val="000000"/>
          <w:highlight w:val="none"/>
        </w:rPr>
      </w:r>
      <w:r/>
    </w:p>
    <w:p>
      <w:pPr>
        <w:pStyle w:val="933"/>
        <w:shd w:val="clear" w:color="auto" w:fill="auto"/>
        <w:rPr>
          <w:color w:val="000000"/>
          <w:highlight w:val="none"/>
        </w:rPr>
      </w:pPr>
      <w:r>
        <w:rPr>
          <w:color w:val="000000"/>
          <w:highlight w:val="none"/>
        </w:rPr>
      </w:r>
      <w:r/>
    </w:p>
    <w:p>
      <w:pPr>
        <w:pStyle w:val="933"/>
        <w:shd w:val="clear" w:color="auto" w:fill="auto"/>
        <w:rPr>
          <w:color w:val="000000"/>
          <w:highlight w:val="none"/>
        </w:rPr>
      </w:pPr>
      <w:r>
        <w:rPr>
          <w:color w:val="000000"/>
          <w:highlight w:val="none"/>
        </w:rPr>
      </w:r>
      <w:r/>
    </w:p>
    <w:p>
      <w:pPr>
        <w:pStyle w:val="933"/>
        <w:shd w:val="clear" w:color="auto" w:fill="auto"/>
        <w:rPr>
          <w:color w:val="000000"/>
          <w:highlight w:val="none"/>
        </w:rPr>
      </w:pPr>
      <w:r>
        <w:rPr>
          <w:color w:val="000000"/>
          <w:highlight w:val="none"/>
        </w:rPr>
      </w:r>
      <w:r/>
    </w:p>
    <w:p>
      <w:pPr>
        <w:pStyle w:val="933"/>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3"/>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3"/>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3"/>
        <w:spacing w:line="360" w:lineRule="auto"/>
        <w:shd w:val="clear" w:color="auto" w:fill="auto"/>
        <w:rPr>
          <w:rFonts w:hint="eastAsia"/>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szCs w:val="20"/>
          <w:highlight w:val="none"/>
        </w:rPr>
      </w:r>
      <w:r/>
    </w:p>
    <w:p>
      <w:pPr>
        <w:pStyle w:val="933"/>
        <w:spacing w:line="360" w:lineRule="auto"/>
        <w:shd w:val="clear" w:color="auto" w:fill="auto"/>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rFonts w:hint="eastAsia"/>
          <w:color w:val="000000"/>
          <w:sz w:val="24"/>
          <w:szCs w:val="20"/>
          <w:highlight w:val="none"/>
        </w:rPr>
        <w:t xml:space="preserve">  关于符合本国产品标准的声明函</w:t>
      </w:r>
      <w:r>
        <w:rPr>
          <w:color w:val="000000"/>
          <w:sz w:val="24"/>
          <w:szCs w:val="20"/>
          <w:highlight w:val="none"/>
        </w:rPr>
      </w:r>
      <w:r/>
    </w:p>
    <w:p>
      <w:pPr>
        <w:pStyle w:val="933"/>
        <w:jc w:val="center"/>
        <w:spacing w:line="360" w:lineRule="auto"/>
        <w:shd w:val="clear" w:color="auto" w:fill="auto"/>
        <w:rPr>
          <w:rFonts w:hint="eastAsia" w:ascii="方正魏碑_GBK" w:hAnsi="方正魏碑_GBK" w:eastAsia="方正魏碑_GBK" w:cs="方正魏碑_GBK"/>
          <w:color w:val="000000"/>
          <w:sz w:val="24"/>
          <w:szCs w:val="24"/>
          <w:highlight w:val="none"/>
          <w:lang w:val="en-US" w:eastAsia="zh-CN"/>
        </w:rPr>
      </w:pPr>
      <w:r>
        <w:rPr>
          <w:rFonts w:hint="eastAsia" w:ascii="方正魏碑_GBK" w:hAnsi="方正魏碑_GBK" w:eastAsia="方正魏碑_GBK" w:cs="方正魏碑_GBK"/>
          <w:b/>
          <w:color w:val="000000"/>
          <w:sz w:val="24"/>
          <w:szCs w:val="24"/>
          <w:highlight w:val="none"/>
        </w:rPr>
        <w:t xml:space="preserve">关于符合本国产品标准的声明函</w:t>
      </w:r>
      <w:r>
        <w:rPr>
          <w:rFonts w:hint="eastAsia" w:ascii="方正魏碑_GBK" w:hAnsi="方正魏碑_GBK" w:eastAsia="方正魏碑_GBK" w:cs="方正魏碑_GBK"/>
          <w:b/>
          <w:color w:val="000000"/>
          <w:sz w:val="24"/>
          <w:szCs w:val="24"/>
          <w:highlight w:val="none"/>
          <w:lang w:val="en-US" w:eastAsia="zh-CN"/>
        </w:rPr>
        <w:t xml:space="preserve"> </w:t>
      </w:r>
      <w:r>
        <w:rPr>
          <w:rFonts w:hint="eastAsia" w:ascii="方正魏碑_GBK" w:hAnsi="方正魏碑_GBK" w:eastAsia="方正魏碑_GBK" w:cs="方正魏碑_GBK"/>
          <w:color w:val="000000"/>
          <w:sz w:val="24"/>
          <w:szCs w:val="24"/>
          <w:highlight w:val="none"/>
          <w:lang w:val="en-US" w:eastAsia="zh-CN"/>
        </w:rPr>
      </w:r>
      <w:r/>
    </w:p>
    <w:p>
      <w:pPr>
        <w:pStyle w:val="1196"/>
        <w:ind w:firstLine="420"/>
        <w:spacing w:before="0" w:beforeAutospacing="0" w:after="0" w:afterAutospacing="0" w:line="360" w:lineRule="auto"/>
        <w:shd w:val="clear" w:color="auto" w:fill="auto"/>
        <w:rPr>
          <w:rFonts w:ascii="方正魏碑_GBK" w:hAnsi="方正魏碑_GBK" w:eastAsia="方正魏碑_GBK" w:cs="方正魏碑_GBK"/>
          <w:color w:val="000000"/>
          <w:sz w:val="24"/>
          <w:szCs w:val="24"/>
          <w:highlight w:val="none"/>
        </w:rPr>
      </w:pPr>
      <w:r>
        <w:rPr>
          <w:rFonts w:ascii="方正魏碑_GBK" w:hAnsi="方正魏碑_GBK" w:eastAsia="方正魏碑_GBK" w:cs="方正魏碑_GBK"/>
          <w:color w:val="000000"/>
          <w:sz w:val="24"/>
          <w:szCs w:val="24"/>
          <w:highlight w:val="none"/>
        </w:rPr>
      </w:r>
      <w:r/>
    </w:p>
    <w:p>
      <w:pPr>
        <w:pStyle w:val="1196"/>
        <w:ind w:firstLine="420"/>
        <w:spacing w:before="0" w:beforeAutospacing="0" w:after="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sz w:val="24"/>
          <w:szCs w:val="24"/>
          <w:highlight w:val="none"/>
        </w:rPr>
      </w:r>
      <w:r/>
    </w:p>
    <w:p>
      <w:pPr>
        <w:pStyle w:val="119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1.</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Style w:val="1012"/>
          <w:rFonts w:hint="eastAsia" w:ascii="方正魏碑_GBK" w:hAnsi="方正魏碑_GBK" w:eastAsia="方正魏碑_GBK" w:cs="方正魏碑_GBK"/>
          <w:i w:val="0"/>
          <w:color w:val="000000"/>
          <w:sz w:val="24"/>
          <w:szCs w:val="24"/>
          <w:highlight w:val="none"/>
          <w:shd w:val="clear" w:color="auto" w:fill="ffffff"/>
          <w:vertAlign w:val="superscript"/>
        </w:rPr>
        <w:t xml:space="preserve">1</w:t>
      </w:r>
      <w:r>
        <w:rPr>
          <w:rFonts w:hint="eastAsia" w:ascii="方正魏碑_GBK" w:hAnsi="方正魏碑_GBK" w:eastAsia="方正魏碑_GBK" w:cs="方正魏碑_GBK"/>
          <w:color w:val="000000"/>
          <w:sz w:val="24"/>
          <w:szCs w:val="24"/>
          <w:highlight w:val="none"/>
          <w:shd w:val="clear" w:color="auto" w:fill="ffffff"/>
        </w:rPr>
        <w:t xml:space="preserve">，生产厂为</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（厂名）</w:t>
      </w:r>
      <w:r>
        <w:rPr>
          <w:rStyle w:val="1012"/>
          <w:rFonts w:hint="eastAsia" w:ascii="方正魏碑_GBK" w:hAnsi="方正魏碑_GBK" w:eastAsia="方正魏碑_GBK" w:cs="方正魏碑_GBK"/>
          <w:i w:val="0"/>
          <w:color w:val="000000"/>
          <w:sz w:val="24"/>
          <w:szCs w:val="24"/>
          <w:highlight w:val="none"/>
          <w:shd w:val="clear" w:color="auto" w:fill="ffffff"/>
          <w:vertAlign w:val="superscript"/>
        </w:rPr>
        <w:t xml:space="preserve">2</w:t>
      </w:r>
      <w:r>
        <w:rPr>
          <w:rFonts w:hint="eastAsia" w:ascii="方正魏碑_GBK" w:hAnsi="方正魏碑_GBK" w:eastAsia="方正魏碑_GBK" w:cs="方正魏碑_GBK"/>
          <w:color w:val="000000"/>
          <w:sz w:val="24"/>
          <w:szCs w:val="24"/>
          <w:highlight w:val="none"/>
          <w:shd w:val="clear" w:color="auto" w:fill="ffffff"/>
        </w:rPr>
        <w:t xml:space="preserve">，厂址为</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（生产厂址）</w:t>
      </w:r>
      <w:r>
        <w:rPr>
          <w:rFonts w:hint="eastAsia" w:ascii="方正魏碑_GBK" w:hAnsi="方正魏碑_GBK" w:eastAsia="方正魏碑_GBK" w:cs="方正魏碑_GBK"/>
          <w:color w:val="000000"/>
          <w:sz w:val="24"/>
          <w:szCs w:val="24"/>
          <w:highlight w:val="none"/>
          <w:shd w:val="clear" w:color="auto" w:fill="ffffff"/>
        </w:rPr>
        <w:t xml:space="preserve">。</w:t>
      </w:r>
      <w:r>
        <w:rPr>
          <w:rFonts w:hint="eastAsia" w:ascii="方正魏碑_GBK" w:hAnsi="方正魏碑_GBK" w:eastAsia="方正魏碑_GBK" w:cs="方正魏碑_GBK"/>
          <w:color w:val="000000"/>
          <w:sz w:val="24"/>
          <w:szCs w:val="24"/>
          <w:highlight w:val="none"/>
          <w:u w:val="single"/>
          <w:shd w:val="clear" w:color="auto" w:fill="ffffff"/>
        </w:rPr>
        <w:t xml:space="preserve"> </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（产品名称1） </w:t>
      </w:r>
      <w:r>
        <w:rPr>
          <w:rFonts w:hint="eastAsia" w:ascii="方正魏碑_GBK" w:hAnsi="方正魏碑_GBK" w:eastAsia="方正魏碑_GBK" w:cs="方正魏碑_GBK"/>
          <w:color w:val="000000"/>
          <w:sz w:val="24"/>
          <w:szCs w:val="24"/>
          <w:highlight w:val="none"/>
          <w:shd w:val="clear" w:color="auto" w:fill="ffffff"/>
        </w:rPr>
        <w:t xml:space="preserve">的中国境内生产的组件成本占比≥</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（规定</w:t>
      </w:r>
      <w:r>
        <w:rPr>
          <w:rStyle w:val="1012"/>
          <w:rFonts w:ascii="方正魏碑_GBK" w:hAnsi="方正魏碑_GBK" w:eastAsia="方正魏碑_GBK" w:cs="方正魏碑_GBK"/>
          <w:i w:val="0"/>
          <w:color w:val="000000"/>
          <w:sz w:val="24"/>
          <w:szCs w:val="24"/>
          <w:highlight w:val="none"/>
          <w:u w:val="single"/>
          <w:shd w:val="clear" w:color="auto" w:fill="ffffff"/>
        </w:rPr>
        <w:t xml:space="preserve">比例</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w:t>
      </w:r>
      <w:r>
        <w:rPr>
          <w:rStyle w:val="1012"/>
          <w:rFonts w:hint="eastAsia" w:ascii="方正魏碑_GBK" w:hAnsi="方正魏碑_GBK" w:eastAsia="方正魏碑_GBK" w:cs="方正魏碑_GBK"/>
          <w:i w:val="0"/>
          <w:color w:val="000000"/>
          <w:sz w:val="24"/>
          <w:szCs w:val="24"/>
          <w:highlight w:val="none"/>
          <w:shd w:val="clear" w:color="auto" w:fill="ffffff"/>
          <w:vertAlign w:val="superscript"/>
        </w:rPr>
        <w:t xml:space="preserve">3</w:t>
      </w:r>
      <w:r>
        <w:rPr>
          <w:rFonts w:hint="eastAsia" w:ascii="方正魏碑_GBK" w:hAnsi="方正魏碑_GBK" w:eastAsia="方正魏碑_GBK" w:cs="方正魏碑_GBK"/>
          <w:color w:val="000000"/>
          <w:sz w:val="24"/>
          <w:szCs w:val="24"/>
          <w:highlight w:val="none"/>
          <w:shd w:val="clear" w:color="auto" w:fill="ffffff"/>
        </w:rPr>
        <w:t xml:space="preserve">。</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（关键</w:t>
      </w:r>
      <w:r>
        <w:rPr>
          <w:rStyle w:val="1012"/>
          <w:rFonts w:ascii="方正魏碑_GBK" w:hAnsi="方正魏碑_GBK" w:eastAsia="方正魏碑_GBK" w:cs="方正魏碑_GBK"/>
          <w:i w:val="0"/>
          <w:color w:val="000000"/>
          <w:sz w:val="24"/>
          <w:szCs w:val="24"/>
          <w:highlight w:val="none"/>
          <w:u w:val="single"/>
          <w:shd w:val="clear" w:color="auto" w:fill="ffffff"/>
        </w:rPr>
        <w:t xml:space="preserve">组件</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w:t>
      </w:r>
      <w:r>
        <w:rPr>
          <w:rStyle w:val="1012"/>
          <w:rFonts w:hint="eastAsia" w:ascii="方正魏碑_GBK" w:hAnsi="方正魏碑_GBK" w:eastAsia="方正魏碑_GBK" w:cs="方正魏碑_GBK"/>
          <w:i w:val="0"/>
          <w:color w:val="000000"/>
          <w:sz w:val="24"/>
          <w:szCs w:val="24"/>
          <w:highlight w:val="none"/>
          <w:shd w:val="clear" w:color="auto" w:fill="ffffff"/>
          <w:vertAlign w:val="superscript"/>
        </w:rPr>
        <w:t xml:space="preserve">4</w:t>
      </w:r>
      <w:r>
        <w:rPr>
          <w:rFonts w:hint="eastAsia" w:ascii="方正魏碑_GBK" w:hAnsi="方正魏碑_GBK" w:eastAsia="方正魏碑_GBK" w:cs="方正魏碑_GBK"/>
          <w:color w:val="000000"/>
          <w:sz w:val="24"/>
          <w:szCs w:val="24"/>
          <w:highlight w:val="none"/>
          <w:shd w:val="clear" w:color="auto" w:fill="ffffff"/>
        </w:rPr>
        <w:t xml:space="preserve">在中国境内生产。</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（关键工序）</w:t>
      </w:r>
      <w:r>
        <w:rPr>
          <w:rStyle w:val="1012"/>
          <w:rFonts w:hint="eastAsia" w:ascii="方正魏碑_GBK" w:hAnsi="方正魏碑_GBK" w:eastAsia="方正魏碑_GBK" w:cs="方正魏碑_GBK"/>
          <w:i w:val="0"/>
          <w:color w:val="000000"/>
          <w:sz w:val="24"/>
          <w:szCs w:val="24"/>
          <w:highlight w:val="none"/>
          <w:shd w:val="clear" w:color="auto" w:fill="ffffff"/>
          <w:vertAlign w:val="superscript"/>
        </w:rPr>
        <w:t xml:space="preserve">5</w:t>
      </w:r>
      <w:r>
        <w:rPr>
          <w:rFonts w:hint="eastAsia" w:ascii="方正魏碑_GBK" w:hAnsi="方正魏碑_GBK" w:eastAsia="方正魏碑_GBK" w:cs="方正魏碑_GBK"/>
          <w:color w:val="000000"/>
          <w:sz w:val="24"/>
          <w:szCs w:val="24"/>
          <w:highlight w:val="none"/>
          <w:shd w:val="clear" w:color="auto" w:fill="ffffff"/>
        </w:rPr>
        <w:t xml:space="preserve">在中国境内完成。</w:t>
      </w:r>
      <w:r>
        <w:rPr>
          <w:rFonts w:hint="eastAsia" w:ascii="方正魏碑_GBK" w:hAnsi="方正魏碑_GBK" w:eastAsia="方正魏碑_GBK" w:cs="方正魏碑_GBK"/>
          <w:color w:val="000000"/>
          <w:sz w:val="24"/>
          <w:szCs w:val="24"/>
          <w:highlight w:val="none"/>
        </w:rPr>
      </w:r>
      <w:r/>
    </w:p>
    <w:p>
      <w:pPr>
        <w:pStyle w:val="119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2.</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（产品名称2）</w:t>
      </w:r>
      <w:r>
        <w:rPr>
          <w:rFonts w:hint="eastAsia" w:ascii="方正魏碑_GBK" w:hAnsi="方正魏碑_GBK" w:eastAsia="方正魏碑_GBK" w:cs="方正魏碑_GBK"/>
          <w:color w:val="000000"/>
          <w:sz w:val="24"/>
          <w:szCs w:val="24"/>
          <w:highlight w:val="none"/>
          <w:shd w:val="clear" w:color="auto" w:fill="ffffff"/>
        </w:rPr>
        <w:t xml:space="preserve">，生产厂为</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（厂名）</w:t>
      </w:r>
      <w:r>
        <w:rPr>
          <w:rFonts w:hint="eastAsia" w:ascii="方正魏碑_GBK" w:hAnsi="方正魏碑_GBK" w:eastAsia="方正魏碑_GBK" w:cs="方正魏碑_GBK"/>
          <w:color w:val="000000"/>
          <w:sz w:val="24"/>
          <w:szCs w:val="24"/>
          <w:highlight w:val="none"/>
          <w:shd w:val="clear" w:color="auto" w:fill="ffffff"/>
        </w:rPr>
        <w:t xml:space="preserve">，厂址为</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（生产厂址）</w:t>
      </w:r>
      <w:r>
        <w:rPr>
          <w:rFonts w:hint="eastAsia" w:ascii="方正魏碑_GBK" w:hAnsi="方正魏碑_GBK" w:eastAsia="方正魏碑_GBK" w:cs="方正魏碑_GBK"/>
          <w:color w:val="000000"/>
          <w:sz w:val="24"/>
          <w:szCs w:val="24"/>
          <w:highlight w:val="none"/>
          <w:shd w:val="clear" w:color="auto" w:fill="ffffff"/>
        </w:rPr>
        <w:t xml:space="preserve">。</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（产品名称2）</w:t>
      </w:r>
      <w:r>
        <w:rPr>
          <w:rFonts w:hint="eastAsia" w:ascii="方正魏碑_GBK" w:hAnsi="方正魏碑_GBK" w:eastAsia="方正魏碑_GBK" w:cs="方正魏碑_GBK"/>
          <w:color w:val="000000"/>
          <w:sz w:val="24"/>
          <w:szCs w:val="24"/>
          <w:highlight w:val="none"/>
          <w:shd w:val="clear" w:color="auto" w:fill="ffffff"/>
        </w:rPr>
        <w:t xml:space="preserve">的中国境内生产的组件成本占比≥</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（规定</w:t>
      </w:r>
      <w:r>
        <w:rPr>
          <w:rStyle w:val="1012"/>
          <w:rFonts w:ascii="方正魏碑_GBK" w:hAnsi="方正魏碑_GBK" w:eastAsia="方正魏碑_GBK" w:cs="方正魏碑_GBK"/>
          <w:i w:val="0"/>
          <w:color w:val="000000"/>
          <w:sz w:val="24"/>
          <w:szCs w:val="24"/>
          <w:highlight w:val="none"/>
          <w:u w:val="single"/>
          <w:shd w:val="clear" w:color="auto" w:fill="ffffff"/>
        </w:rPr>
        <w:t xml:space="preserve">比例</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w:t>
      </w:r>
      <w:r>
        <w:rPr>
          <w:rFonts w:hint="eastAsia" w:ascii="方正魏碑_GBK" w:hAnsi="方正魏碑_GBK" w:eastAsia="方正魏碑_GBK" w:cs="方正魏碑_GBK"/>
          <w:color w:val="000000"/>
          <w:sz w:val="24"/>
          <w:szCs w:val="24"/>
          <w:highlight w:val="none"/>
          <w:shd w:val="clear" w:color="auto" w:fill="ffffff"/>
        </w:rPr>
        <w:t xml:space="preserve">。</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（产品名称2）</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（关键</w:t>
      </w:r>
      <w:r>
        <w:rPr>
          <w:rStyle w:val="1012"/>
          <w:rFonts w:ascii="方正魏碑_GBK" w:hAnsi="方正魏碑_GBK" w:eastAsia="方正魏碑_GBK" w:cs="方正魏碑_GBK"/>
          <w:i w:val="0"/>
          <w:color w:val="000000"/>
          <w:sz w:val="24"/>
          <w:szCs w:val="24"/>
          <w:highlight w:val="none"/>
          <w:u w:val="single"/>
          <w:shd w:val="clear" w:color="auto" w:fill="ffffff"/>
        </w:rPr>
        <w:t xml:space="preserve">组件</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w:t>
      </w:r>
      <w:r>
        <w:rPr>
          <w:rFonts w:hint="eastAsia" w:ascii="方正魏碑_GBK" w:hAnsi="方正魏碑_GBK" w:eastAsia="方正魏碑_GBK" w:cs="方正魏碑_GBK"/>
          <w:color w:val="000000"/>
          <w:sz w:val="24"/>
          <w:szCs w:val="24"/>
          <w:highlight w:val="none"/>
          <w:shd w:val="clear" w:color="auto" w:fill="ffffff"/>
        </w:rPr>
        <w:t xml:space="preserve">在中国境内生产。</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（关键工序）</w:t>
      </w:r>
      <w:r>
        <w:rPr>
          <w:rFonts w:hint="eastAsia" w:ascii="方正魏碑_GBK" w:hAnsi="方正魏碑_GBK" w:eastAsia="方正魏碑_GBK" w:cs="方正魏碑_GBK"/>
          <w:color w:val="000000"/>
          <w:sz w:val="24"/>
          <w:szCs w:val="24"/>
          <w:highlight w:val="none"/>
          <w:shd w:val="clear" w:color="auto" w:fill="ffffff"/>
        </w:rPr>
        <w:t xml:space="preserve">在中国境内完成。</w:t>
      </w:r>
      <w:r>
        <w:rPr>
          <w:rFonts w:hint="eastAsia" w:ascii="方正魏碑_GBK" w:hAnsi="方正魏碑_GBK" w:eastAsia="方正魏碑_GBK" w:cs="方正魏碑_GBK"/>
          <w:color w:val="000000"/>
          <w:sz w:val="24"/>
          <w:szCs w:val="24"/>
          <w:highlight w:val="none"/>
        </w:rPr>
      </w:r>
      <w:r/>
    </w:p>
    <w:p>
      <w:pPr>
        <w:pStyle w:val="119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w:t>
      </w:r>
      <w:r>
        <w:rPr>
          <w:rFonts w:hint="eastAsia" w:ascii="方正魏碑_GBK" w:hAnsi="方正魏碑_GBK" w:eastAsia="方正魏碑_GBK" w:cs="方正魏碑_GBK"/>
          <w:color w:val="000000"/>
          <w:sz w:val="24"/>
          <w:szCs w:val="24"/>
          <w:highlight w:val="none"/>
        </w:rPr>
      </w:r>
      <w:r/>
    </w:p>
    <w:p>
      <w:pPr>
        <w:pStyle w:val="119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sz w:val="24"/>
          <w:szCs w:val="24"/>
          <w:highlight w:val="none"/>
        </w:rPr>
      </w:r>
      <w:r/>
    </w:p>
    <w:p>
      <w:pPr>
        <w:pStyle w:val="1196"/>
        <w:ind w:right="480" w:firstLine="37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公司（单位）名称（盖章）：　        </w:t>
      </w:r>
      <w:r>
        <w:rPr>
          <w:rFonts w:hint="eastAsia" w:ascii="方正魏碑_GBK" w:hAnsi="方正魏碑_GBK" w:eastAsia="方正魏碑_GBK" w:cs="方正魏碑_GBK"/>
          <w:color w:val="000000"/>
          <w:sz w:val="24"/>
          <w:szCs w:val="24"/>
          <w:highlight w:val="none"/>
        </w:rPr>
      </w:r>
      <w:r/>
    </w:p>
    <w:p>
      <w:pPr>
        <w:pStyle w:val="1196"/>
        <w:jc w:val="center"/>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                    </w:t>
      </w:r>
      <w:r>
        <w:rPr>
          <w:rFonts w:ascii="方正魏碑_GBK" w:hAnsi="方正魏碑_GBK" w:eastAsia="方正魏碑_GBK" w:cs="方正魏碑_GBK"/>
          <w:color w:val="000000"/>
          <w:sz w:val="24"/>
          <w:szCs w:val="24"/>
          <w:highlight w:val="none"/>
          <w:shd w:val="clear" w:color="auto" w:fill="ffffff"/>
        </w:rPr>
        <w:t xml:space="preserve">            </w:t>
      </w:r>
      <w:r>
        <w:rPr>
          <w:rFonts w:hint="eastAsia" w:ascii="方正魏碑_GBK" w:hAnsi="方正魏碑_GBK" w:eastAsia="方正魏碑_GBK" w:cs="方正魏碑_GBK"/>
          <w:color w:val="000000"/>
          <w:sz w:val="24"/>
          <w:szCs w:val="24"/>
          <w:highlight w:val="none"/>
          <w:shd w:val="clear" w:color="auto" w:fill="ffffff"/>
        </w:rPr>
        <w:t xml:space="preserve">日期：　   年　  月　  日         </w:t>
      </w:r>
      <w:r>
        <w:rPr>
          <w:rFonts w:hint="eastAsia" w:ascii="方正魏碑_GBK" w:hAnsi="方正魏碑_GBK" w:eastAsia="方正魏碑_GBK" w:cs="方正魏碑_GBK"/>
          <w:color w:val="000000"/>
          <w:sz w:val="24"/>
          <w:szCs w:val="24"/>
          <w:highlight w:val="none"/>
        </w:rPr>
      </w:r>
      <w:r/>
    </w:p>
    <w:p>
      <w:pPr>
        <w:pStyle w:val="119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__________________</w:t>
      </w:r>
      <w:r>
        <w:rPr>
          <w:rFonts w:hint="eastAsia" w:ascii="方正魏碑_GBK" w:hAnsi="方正魏碑_GBK" w:eastAsia="方正魏碑_GBK" w:cs="方正魏碑_GBK"/>
          <w:color w:val="000000"/>
          <w:sz w:val="24"/>
          <w:szCs w:val="24"/>
          <w:highlight w:val="none"/>
        </w:rPr>
      </w:r>
      <w:r/>
    </w:p>
    <w:p>
      <w:pPr>
        <w:pStyle w:val="119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4"/>
          <w:szCs w:val="24"/>
          <w:highlight w:val="none"/>
        </w:rPr>
      </w:r>
      <w:r/>
    </w:p>
    <w:p>
      <w:pPr>
        <w:pStyle w:val="119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4"/>
          <w:szCs w:val="24"/>
          <w:highlight w:val="none"/>
        </w:rPr>
      </w:r>
      <w:r/>
    </w:p>
    <w:p>
      <w:pPr>
        <w:pStyle w:val="119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4"/>
          <w:szCs w:val="24"/>
          <w:highlight w:val="none"/>
        </w:rPr>
      </w:r>
      <w:r/>
    </w:p>
    <w:p>
      <w:pPr>
        <w:pStyle w:val="119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4"/>
          <w:szCs w:val="24"/>
          <w:highlight w:val="none"/>
        </w:rPr>
      </w:r>
      <w:r/>
    </w:p>
    <w:p>
      <w:pPr>
        <w:pStyle w:val="1196"/>
        <w:spacing w:before="30" w:beforeAutospacing="0" w:after="30" w:afterAutospacing="0" w:line="360" w:lineRule="auto"/>
        <w:shd w:val="clear" w:color="auto" w:fill="auto"/>
        <w:rPr>
          <w:rFonts w:ascii="方正魏碑_GBK" w:hAnsi="方正魏碑_GBK" w:eastAsia="方正魏碑_GBK" w:cs="方正魏碑_GBK"/>
          <w:color w:val="000000"/>
          <w:sz w:val="24"/>
          <w:szCs w:val="24"/>
          <w:highlight w:val="none"/>
          <w:shd w:val="clear" w:color="auto" w:fill="ffffff"/>
        </w:rPr>
      </w:pPr>
      <w:r>
        <w:rPr>
          <w:rFonts w:hint="eastAsia" w:ascii="方正魏碑_GBK" w:hAnsi="方正魏碑_GBK" w:eastAsia="方正魏碑_GBK" w:cs="方正魏碑_GBK"/>
          <w:color w:val="000000"/>
          <w:sz w:val="24"/>
          <w:szCs w:val="24"/>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4"/>
          <w:szCs w:val="24"/>
          <w:highlight w:val="none"/>
          <w:shd w:val="clear" w:color="auto" w:fill="ffffff"/>
        </w:rPr>
      </w:r>
      <w:r/>
    </w:p>
    <w:p>
      <w:pPr>
        <w:pStyle w:val="1196"/>
        <w:spacing w:before="30" w:beforeAutospacing="0" w:after="30" w:afterAutospacing="0" w:line="360" w:lineRule="auto"/>
        <w:shd w:val="clear" w:color="auto" w:fill="auto"/>
        <w:rPr>
          <w:rFonts w:hint="eastAsia"/>
          <w:color w:val="000000"/>
          <w:sz w:val="24"/>
          <w:szCs w:val="20"/>
          <w:highlight w:val="none"/>
        </w:rPr>
      </w:pPr>
      <w:r>
        <w:rPr>
          <w:rFonts w:hint="eastAsia" w:ascii="方正魏碑_GBK" w:hAnsi="方正魏碑_GBK" w:eastAsia="方正魏碑_GBK" w:cs="方正魏碑_GBK"/>
          <w:color w:val="000000"/>
          <w:sz w:val="24"/>
          <w:szCs w:val="24"/>
          <w:highlight w:val="none"/>
          <w:shd w:val="clear" w:color="auto" w:fill="ffffff"/>
        </w:rPr>
        <w:t xml:space="preserve">6.用斜线划除的地方无需填写。</w:t>
      </w:r>
      <w:r>
        <w:rPr>
          <w:rFonts w:hint="eastAsia"/>
          <w:color w:val="000000"/>
          <w:sz w:val="24"/>
          <w:szCs w:val="20"/>
          <w:highlight w:val="none"/>
        </w:rPr>
      </w:r>
      <w:r/>
    </w:p>
    <w:p>
      <w:pPr>
        <w:pStyle w:val="933"/>
        <w:spacing w:line="360" w:lineRule="auto"/>
        <w:shd w:val="clear" w:color="auto" w:fill="auto"/>
        <w:rPr>
          <w:rFonts w:hint="eastAsia"/>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szCs w:val="20"/>
          <w:highlight w:val="none"/>
        </w:rPr>
      </w:r>
      <w:r/>
    </w:p>
    <w:p>
      <w:pPr>
        <w:pStyle w:val="933"/>
        <w:spacing w:line="360" w:lineRule="auto"/>
        <w:shd w:val="clear" w:color="auto" w:fill="auto"/>
        <w:rPr>
          <w:color w:val="000000"/>
          <w:sz w:val="24"/>
          <w:szCs w:val="20"/>
          <w:highlight w:val="none"/>
        </w:rPr>
      </w:pPr>
      <w:r>
        <w:rPr>
          <w:rFonts w:hint="eastAsia"/>
          <w:color w:val="000000"/>
          <w:sz w:val="24"/>
          <w:szCs w:val="20"/>
          <w:highlight w:val="none"/>
          <w:lang w:val="en-US" w:eastAsia="zh-CN"/>
        </w:rPr>
        <w:t xml:space="preserve">12</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933"/>
        <w:jc w:val="left"/>
        <w:shd w:val="clear" w:color="auto" w:fill="auto"/>
        <w:widowControl/>
        <w:rPr>
          <w:b/>
          <w:color w:val="000000"/>
          <w:sz w:val="36"/>
          <w:szCs w:val="36"/>
          <w:highlight w:val="none"/>
        </w:rPr>
      </w:pPr>
      <w:r>
        <w:rPr>
          <w:b/>
          <w:color w:val="000000"/>
          <w:sz w:val="36"/>
          <w:szCs w:val="36"/>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Segoe UI Symbol">
    <w:panose1 w:val="020B0502040204020203"/>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9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933"/>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3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3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93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93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Style w:val="100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3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33"/>
                    </w:pPr>
                    <w:r/>
                    <w:r/>
                  </w:p>
                </w:txbxContent>
              </v:textbox>
            </v:shape>
          </w:pict>
        </mc:Fallback>
      </mc:AlternateContent>
    </w:r>
    <w:r>
      <w:rPr>
        <w:rStyle w:val="1006"/>
      </w:rPr>
    </w:r>
    <w:r/>
  </w:p>
  <w:p>
    <w:pPr>
      <w:pStyle w:val="982"/>
      <w:ind w:right="360"/>
      <w:jc w:val="right"/>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Style w:val="1006"/>
      </w:rPr>
      <w:framePr w:wrap="around" w:vAnchor="text" w:hAnchor="margin" w:xAlign="right" w:y="1"/>
    </w:pPr>
    <w:r>
      <w:rPr>
        <w:rStyle w:val="1006"/>
      </w:rPr>
      <w:fldChar w:fldCharType="begin"/>
    </w:r>
    <w:r>
      <w:rPr>
        <w:rStyle w:val="1006"/>
      </w:rPr>
      <w:instrText xml:space="preserve">PAGE  </w:instrText>
    </w:r>
    <w:r>
      <w:rPr>
        <w:rStyle w:val="1006"/>
      </w:rPr>
      <w:fldChar w:fldCharType="end"/>
    </w:r>
    <w:r>
      <w:rPr>
        <w:rStyle w:val="1006"/>
      </w:rPr>
    </w:r>
    <w:r/>
  </w:p>
  <w:p>
    <w:pPr>
      <w:pStyle w:val="982"/>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Style w:val="1006"/>
      </w:rPr>
      <w:framePr w:wrap="around" w:vAnchor="text" w:hAnchor="margin" w:xAlign="right" w:y="1"/>
    </w:pPr>
    <w:r>
      <w:rPr>
        <w:rStyle w:val="1006"/>
      </w:rPr>
      <w:fldChar w:fldCharType="begin"/>
    </w:r>
    <w:r>
      <w:rPr>
        <w:rStyle w:val="1006"/>
      </w:rPr>
      <w:instrText xml:space="preserve">PAGE  </w:instrText>
    </w:r>
    <w:r>
      <w:rPr>
        <w:rStyle w:val="1006"/>
      </w:rPr>
      <w:fldChar w:fldCharType="end"/>
    </w:r>
    <w:r>
      <w:rPr>
        <w:rStyle w:val="1006"/>
      </w:rPr>
    </w:r>
    <w:r/>
  </w:p>
  <w:p>
    <w:pPr>
      <w:pStyle w:val="982"/>
      <w:ind w:right="360"/>
      <w:tabs>
        <w:tab w:val="center" w:pos="4153" w:leader="none"/>
        <w:tab w:val="right" w:pos="8306" w:leader="none"/>
      </w:tabs>
    </w:pPr>
    <w:r/>
    <w:r/>
  </w:p>
  <w:p>
    <w:pPr>
      <w:pStyle w:val="93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tabs>
        <w:tab w:val="center" w:pos="4153" w:leader="none"/>
        <w:tab w:val="right" w:pos="8306" w:leader="none"/>
      </w:tabs>
      <w:rPr>
        <w:sz w:val="21"/>
        <w:szCs w:val="21"/>
      </w:rPr>
    </w:pPr>
    <w:r>
      <w:rPr>
        <w:rFonts w:hint="eastAsia"/>
        <w:sz w:val="21"/>
        <w:szCs w:val="21"/>
        <w:lang w:eastAsia="zh-CN"/>
      </w:rPr>
      <w:t xml:space="preserve">常州经济开发区城镇老旧小区改造四期-观墩花苑安全隐患整治项目（二期）消防设备采购项目</w:t>
    </w:r>
    <w:r>
      <w:rPr>
        <w:rFonts w:hint="eastAsia"/>
        <w:sz w:val="21"/>
        <w:szCs w:val="21"/>
      </w:rPr>
      <w:t xml:space="preserve">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tabs>
        <w:tab w:val="center" w:pos="4153" w:leader="none"/>
        <w:tab w:val="right" w:pos="8306" w:leader="none"/>
      </w:tabs>
      <w:rPr>
        <w:sz w:val="21"/>
        <w:szCs w:val="21"/>
      </w:rPr>
    </w:pPr>
    <w:r>
      <w:rPr>
        <w:rFonts w:hint="eastAsia"/>
        <w:sz w:val="21"/>
        <w:szCs w:val="21"/>
        <w:lang w:eastAsia="zh-CN"/>
      </w:rPr>
      <w:t xml:space="preserve">常州经济开发区城镇老旧小区改造四期-观墩花苑安全隐患整治项目（二期）消防设备采购项目</w:t>
    </w:r>
    <w:r>
      <w:rPr>
        <w:rFonts w:hint="eastAsia"/>
        <w:sz w:val="21"/>
        <w:szCs w:val="21"/>
      </w:rPr>
      <w:t xml:space="preserve">公开招标文件</w:t>
    </w:r>
    <w:r>
      <w:rPr>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tabs>
        <w:tab w:val="center" w:pos="4153" w:leader="none"/>
        <w:tab w:val="right" w:pos="8306" w:leader="none"/>
      </w:tabs>
      <w:rPr>
        <w:rFonts w:hint="eastAsia"/>
      </w:rPr>
    </w:pPr>
    <w:r>
      <w:rPr>
        <w:rFonts w:hint="eastAsia"/>
        <w:lang w:eastAsia="zh-CN"/>
      </w:rPr>
      <w:t xml:space="preserve">常州经济开发区城镇老旧小区改造四期-观墩花苑安全隐患整治项目（二期）消防设备采购项目</w:t>
    </w:r>
    <w:r>
      <w:rPr>
        <w:rFonts w:hint="eastAsia"/>
      </w:rPr>
      <w:t xml:space="preserve">公开招标文件</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tabs>
        <w:tab w:val="center" w:pos="4153" w:leader="none"/>
        <w:tab w:val="right" w:pos="8306" w:leader="none"/>
      </w:tabs>
      <w:rPr>
        <w:rFonts w:hint="eastAsia"/>
      </w:rPr>
    </w:pPr>
    <w:r>
      <w:rPr>
        <w:rFonts w:hint="eastAsia"/>
        <w:color w:val="000000"/>
        <w:lang w:eastAsia="zh-CN"/>
      </w:rPr>
      <w:t xml:space="preserve">常州经济开发区城镇老旧小区改造四期-观墩花苑安全隐患整治项目（二期）消防设备采购项目</w:t>
    </w:r>
    <w:r>
      <w:rPr>
        <w:rFonts w:hint="eastAsia"/>
      </w:rPr>
      <w:t xml:space="preserve">公开招标文件</w:t>
    </w: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w:r/>
  </w:p>
  <w:p>
    <w:pPr>
      <w:pStyle w:val="933"/>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3"/>
        <w:ind w:left="4941" w:hanging="1140"/>
        <w:tabs>
          <w:tab w:val="num" w:pos="4941" w:leader="none"/>
        </w:tabs>
      </w:pPr>
      <w:rPr>
        <w:rFonts w:hint="eastAsia"/>
      </w:rPr>
    </w:lvl>
    <w:lvl w:ilvl="1">
      <w:start w:val="1"/>
      <w:numFmt w:val="lowerLetter"/>
      <w:isLgl w:val="false"/>
      <w:suff w:val="tab"/>
      <w:lvlText w:val="%2)"/>
      <w:lvlJc w:val="left"/>
      <w:pPr>
        <w:pStyle w:val="933"/>
        <w:ind w:left="4641" w:hanging="420"/>
        <w:tabs>
          <w:tab w:val="num" w:pos="4641" w:leader="none"/>
        </w:tabs>
      </w:pPr>
    </w:lvl>
    <w:lvl w:ilvl="2">
      <w:start w:val="1"/>
      <w:numFmt w:val="lowerRoman"/>
      <w:isLgl w:val="false"/>
      <w:suff w:val="tab"/>
      <w:lvlText w:val="%3."/>
      <w:lvlJc w:val="right"/>
      <w:pPr>
        <w:pStyle w:val="933"/>
        <w:ind w:left="5061" w:hanging="420"/>
        <w:tabs>
          <w:tab w:val="num" w:pos="5061" w:leader="none"/>
        </w:tabs>
      </w:pPr>
    </w:lvl>
    <w:lvl w:ilvl="3">
      <w:start w:val="1"/>
      <w:numFmt w:val="decimal"/>
      <w:isLgl w:val="false"/>
      <w:suff w:val="tab"/>
      <w:lvlText w:val="%4."/>
      <w:lvlJc w:val="left"/>
      <w:pPr>
        <w:pStyle w:val="933"/>
        <w:ind w:left="5481" w:hanging="420"/>
        <w:tabs>
          <w:tab w:val="num" w:pos="5481" w:leader="none"/>
        </w:tabs>
      </w:pPr>
    </w:lvl>
    <w:lvl w:ilvl="4">
      <w:start w:val="1"/>
      <w:numFmt w:val="lowerLetter"/>
      <w:isLgl w:val="false"/>
      <w:suff w:val="tab"/>
      <w:lvlText w:val="%5)"/>
      <w:lvlJc w:val="left"/>
      <w:pPr>
        <w:pStyle w:val="933"/>
        <w:ind w:left="5901" w:hanging="420"/>
        <w:tabs>
          <w:tab w:val="num" w:pos="5901" w:leader="none"/>
        </w:tabs>
      </w:pPr>
    </w:lvl>
    <w:lvl w:ilvl="5">
      <w:start w:val="1"/>
      <w:numFmt w:val="lowerRoman"/>
      <w:isLgl w:val="false"/>
      <w:suff w:val="tab"/>
      <w:lvlText w:val="%6."/>
      <w:lvlJc w:val="right"/>
      <w:pPr>
        <w:pStyle w:val="933"/>
        <w:ind w:left="6321" w:hanging="420"/>
        <w:tabs>
          <w:tab w:val="num" w:pos="6321" w:leader="none"/>
        </w:tabs>
      </w:pPr>
    </w:lvl>
    <w:lvl w:ilvl="6">
      <w:start w:val="1"/>
      <w:numFmt w:val="decimal"/>
      <w:isLgl w:val="false"/>
      <w:suff w:val="tab"/>
      <w:lvlText w:val="%7."/>
      <w:lvlJc w:val="left"/>
      <w:pPr>
        <w:pStyle w:val="933"/>
        <w:ind w:left="6741" w:hanging="420"/>
        <w:tabs>
          <w:tab w:val="num" w:pos="6741" w:leader="none"/>
        </w:tabs>
      </w:pPr>
    </w:lvl>
    <w:lvl w:ilvl="7">
      <w:start w:val="1"/>
      <w:numFmt w:val="lowerLetter"/>
      <w:isLgl w:val="false"/>
      <w:suff w:val="tab"/>
      <w:lvlText w:val="%8)"/>
      <w:lvlJc w:val="left"/>
      <w:pPr>
        <w:pStyle w:val="933"/>
        <w:ind w:left="7161" w:hanging="420"/>
        <w:tabs>
          <w:tab w:val="num" w:pos="7161" w:leader="none"/>
        </w:tabs>
      </w:pPr>
    </w:lvl>
    <w:lvl w:ilvl="8">
      <w:start w:val="1"/>
      <w:numFmt w:val="lowerRoman"/>
      <w:isLgl w:val="false"/>
      <w:suff w:val="tab"/>
      <w:lvlText w:val="%9."/>
      <w:lvlJc w:val="right"/>
      <w:pPr>
        <w:pStyle w:val="933"/>
        <w:ind w:left="7581" w:hanging="420"/>
        <w:tabs>
          <w:tab w:val="num" w:pos="7581" w:leader="none"/>
        </w:tabs>
      </w:pPr>
    </w:lvl>
  </w:abstractNum>
  <w:abstractNum w:abstractNumId="1">
    <w:multiLevelType w:val="hybridMultilevel"/>
    <w:lvl w:ilvl="0">
      <w:start w:val="1"/>
      <w:numFmt w:val="decimal"/>
      <w:pStyle w:val="1132"/>
      <w:isLgl w:val="false"/>
      <w:suff w:val="tab"/>
      <w:lvlText w:val="%1."/>
      <w:lvlJc w:val="left"/>
      <w:pPr>
        <w:pStyle w:val="933"/>
        <w:ind w:left="420" w:hanging="420"/>
      </w:pPr>
    </w:lvl>
    <w:lvl w:ilvl="1">
      <w:start w:val="1"/>
      <w:numFmt w:val="decimal"/>
      <w:isLgl w:val="false"/>
      <w:suff w:val="tab"/>
      <w:lvlText w:val="（%2）"/>
      <w:lvlJc w:val="left"/>
      <w:pPr>
        <w:pStyle w:val="933"/>
        <w:ind w:left="1140" w:hanging="720"/>
        <w:tabs>
          <w:tab w:val="num" w:pos="1140" w:leader="none"/>
        </w:tabs>
      </w:pPr>
      <w:rPr>
        <w:rFonts w:hint="eastAsia"/>
      </w:rPr>
    </w:lvl>
    <w:lvl w:ilvl="2">
      <w:start w:val="1"/>
      <w:numFmt w:val="lowerRoman"/>
      <w:isLgl w:val="false"/>
      <w:suff w:val="tab"/>
      <w:lvlText w:val="%3."/>
      <w:lvlJc w:val="right"/>
      <w:pPr>
        <w:pStyle w:val="933"/>
        <w:ind w:left="1260" w:hanging="420"/>
      </w:pPr>
    </w:lvl>
    <w:lvl w:ilvl="3">
      <w:start w:val="1"/>
      <w:numFmt w:val="decimal"/>
      <w:isLgl w:val="false"/>
      <w:suff w:val="tab"/>
      <w:lvlText w:val="%4."/>
      <w:lvlJc w:val="left"/>
      <w:pPr>
        <w:pStyle w:val="933"/>
        <w:ind w:left="1680" w:hanging="420"/>
      </w:pPr>
    </w:lvl>
    <w:lvl w:ilvl="4">
      <w:start w:val="1"/>
      <w:numFmt w:val="lowerLetter"/>
      <w:isLgl w:val="false"/>
      <w:suff w:val="tab"/>
      <w:lvlText w:val="%5)"/>
      <w:lvlJc w:val="left"/>
      <w:pPr>
        <w:pStyle w:val="933"/>
        <w:ind w:left="2100" w:hanging="420"/>
      </w:pPr>
    </w:lvl>
    <w:lvl w:ilvl="5">
      <w:start w:val="1"/>
      <w:numFmt w:val="lowerRoman"/>
      <w:isLgl w:val="false"/>
      <w:suff w:val="tab"/>
      <w:lvlText w:val="%6."/>
      <w:lvlJc w:val="right"/>
      <w:pPr>
        <w:pStyle w:val="933"/>
        <w:ind w:left="2520" w:hanging="420"/>
      </w:pPr>
    </w:lvl>
    <w:lvl w:ilvl="6">
      <w:start w:val="1"/>
      <w:numFmt w:val="decimal"/>
      <w:isLgl w:val="false"/>
      <w:suff w:val="tab"/>
      <w:lvlText w:val="%7."/>
      <w:lvlJc w:val="left"/>
      <w:pPr>
        <w:pStyle w:val="933"/>
        <w:ind w:left="2940" w:hanging="420"/>
      </w:pPr>
    </w:lvl>
    <w:lvl w:ilvl="7">
      <w:start w:val="1"/>
      <w:numFmt w:val="lowerLetter"/>
      <w:isLgl w:val="false"/>
      <w:suff w:val="tab"/>
      <w:lvlText w:val="%8)"/>
      <w:lvlJc w:val="left"/>
      <w:pPr>
        <w:pStyle w:val="933"/>
        <w:ind w:left="3360" w:hanging="420"/>
      </w:pPr>
    </w:lvl>
    <w:lvl w:ilvl="8">
      <w:start w:val="1"/>
      <w:numFmt w:val="lowerRoman"/>
      <w:isLgl w:val="false"/>
      <w:suff w:val="tab"/>
      <w:lvlText w:val="%9."/>
      <w:lvlJc w:val="right"/>
      <w:pPr>
        <w:pStyle w:val="933"/>
        <w:ind w:left="3780" w:hanging="420"/>
      </w:pPr>
    </w:lvl>
  </w:abstractNum>
  <w:abstractNum w:abstractNumId="2">
    <w:multiLevelType w:val="hybridMultilevel"/>
    <w:lvl w:ilvl="0">
      <w:start w:val="1"/>
      <w:numFmt w:val="lowerLetter"/>
      <w:pStyle w:val="1116"/>
      <w:isLgl w:val="false"/>
      <w:suff w:val="tab"/>
      <w:lvlText w:val="%1)"/>
      <w:lvlJc w:val="left"/>
      <w:pPr>
        <w:pStyle w:val="933"/>
        <w:ind w:left="902" w:hanging="420"/>
      </w:pPr>
      <w:rPr>
        <w:color w:val="000000"/>
      </w:rPr>
    </w:lvl>
    <w:lvl w:ilvl="1">
      <w:start w:val="1"/>
      <w:numFmt w:val="lowerLetter"/>
      <w:isLgl w:val="false"/>
      <w:suff w:val="tab"/>
      <w:lvlText w:val="%2)"/>
      <w:lvlJc w:val="left"/>
      <w:pPr>
        <w:pStyle w:val="933"/>
        <w:ind w:left="1322" w:hanging="420"/>
      </w:pPr>
    </w:lvl>
    <w:lvl w:ilvl="2">
      <w:start w:val="1"/>
      <w:numFmt w:val="lowerRoman"/>
      <w:isLgl w:val="false"/>
      <w:suff w:val="tab"/>
      <w:lvlText w:val="%3."/>
      <w:lvlJc w:val="right"/>
      <w:pPr>
        <w:pStyle w:val="933"/>
        <w:ind w:left="1742" w:hanging="420"/>
      </w:pPr>
    </w:lvl>
    <w:lvl w:ilvl="3">
      <w:start w:val="1"/>
      <w:numFmt w:val="decimal"/>
      <w:isLgl w:val="false"/>
      <w:suff w:val="tab"/>
      <w:lvlText w:val="%4."/>
      <w:lvlJc w:val="left"/>
      <w:pPr>
        <w:pStyle w:val="933"/>
        <w:ind w:left="2162" w:hanging="420"/>
      </w:pPr>
    </w:lvl>
    <w:lvl w:ilvl="4">
      <w:start w:val="1"/>
      <w:numFmt w:val="lowerLetter"/>
      <w:isLgl w:val="false"/>
      <w:suff w:val="tab"/>
      <w:lvlText w:val="%5)"/>
      <w:lvlJc w:val="left"/>
      <w:pPr>
        <w:pStyle w:val="933"/>
        <w:ind w:left="2582" w:hanging="420"/>
      </w:pPr>
    </w:lvl>
    <w:lvl w:ilvl="5">
      <w:start w:val="1"/>
      <w:numFmt w:val="lowerRoman"/>
      <w:isLgl w:val="false"/>
      <w:suff w:val="tab"/>
      <w:lvlText w:val="%6."/>
      <w:lvlJc w:val="right"/>
      <w:pPr>
        <w:pStyle w:val="933"/>
        <w:ind w:left="3002" w:hanging="420"/>
      </w:pPr>
    </w:lvl>
    <w:lvl w:ilvl="6">
      <w:start w:val="1"/>
      <w:numFmt w:val="decimal"/>
      <w:isLgl w:val="false"/>
      <w:suff w:val="tab"/>
      <w:lvlText w:val="%7."/>
      <w:lvlJc w:val="left"/>
      <w:pPr>
        <w:pStyle w:val="933"/>
        <w:ind w:left="3422" w:hanging="420"/>
      </w:pPr>
    </w:lvl>
    <w:lvl w:ilvl="7">
      <w:start w:val="1"/>
      <w:numFmt w:val="lowerLetter"/>
      <w:isLgl w:val="false"/>
      <w:suff w:val="tab"/>
      <w:lvlText w:val="%8)"/>
      <w:lvlJc w:val="left"/>
      <w:pPr>
        <w:pStyle w:val="933"/>
        <w:ind w:left="3842" w:hanging="420"/>
      </w:pPr>
    </w:lvl>
    <w:lvl w:ilvl="8">
      <w:start w:val="1"/>
      <w:numFmt w:val="lowerRoman"/>
      <w:isLgl w:val="false"/>
      <w:suff w:val="tab"/>
      <w:lvlText w:val="%9."/>
      <w:lvlJc w:val="right"/>
      <w:pPr>
        <w:pStyle w:val="933"/>
        <w:ind w:left="4262" w:hanging="420"/>
      </w:pPr>
    </w:lvl>
  </w:abstractNum>
  <w:abstractNum w:abstractNumId="3">
    <w:multiLevelType w:val="hybridMultilevel"/>
    <w:lvl w:ilvl="0">
      <w:start w:val="1"/>
      <w:numFmt w:val="decimal"/>
      <w:pStyle w:val="1182"/>
      <w:isLgl w:val="false"/>
      <w:suff w:val="tab"/>
      <w:lvlText w:val="%1."/>
      <w:lvlJc w:val="left"/>
      <w:pPr>
        <w:pStyle w:val="93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9"/>
      <w:isLgl w:val="false"/>
      <w:suff w:val="nothing"/>
      <w:lvlText w:val="%1　"/>
      <w:lvlJc w:val="left"/>
      <w:pPr>
        <w:pStyle w:val="93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3"/>
        <w:ind w:left="-25" w:firstLine="0"/>
      </w:pPr>
      <w:rPr>
        <w:rFonts w:ascii="Times New Roman" w:hAnsi="Times New Roman" w:eastAsia="黑体"/>
        <w:b/>
        <w:i w:val="0"/>
        <w:sz w:val="28"/>
      </w:rPr>
    </w:lvl>
    <w:lvl w:ilvl="3">
      <w:start w:val="1"/>
      <w:numFmt w:val="decimal"/>
      <w:pStyle w:val="1084"/>
      <w:isLgl w:val="false"/>
      <w:suff w:val="nothing"/>
      <w:lvlText w:val="%1.%2.%3.%4　"/>
      <w:lvlJc w:val="left"/>
      <w:pPr>
        <w:pStyle w:val="93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3"/>
        <w:ind w:left="-25" w:firstLine="0"/>
      </w:pPr>
      <w:rPr>
        <w:rFonts w:ascii="Times New Roman" w:hAnsi="Times New Roman" w:eastAsia="宋体"/>
        <w:b/>
        <w:i w:val="0"/>
        <w:sz w:val="28"/>
      </w:rPr>
    </w:lvl>
    <w:lvl w:ilvl="6">
      <w:start w:val="1"/>
      <w:numFmt w:val="lowerLetter"/>
      <w:pStyle w:val="1153"/>
      <w:isLgl w:val="false"/>
      <w:suff w:val="tab"/>
      <w:lvlText w:val="%7) "/>
      <w:lvlJc w:val="left"/>
      <w:pPr>
        <w:pStyle w:val="933"/>
        <w:ind w:left="-125" w:firstLine="400"/>
        <w:tabs>
          <w:tab w:val="num" w:pos="635" w:leader="none"/>
        </w:tabs>
      </w:pPr>
      <w:rPr>
        <w:rFonts w:ascii="Times New Roman" w:hAnsi="Times New Roman" w:eastAsia="宋体"/>
        <w:b/>
        <w:i w:val="0"/>
        <w:color w:val="000000"/>
        <w:sz w:val="28"/>
        <w:u w:val="none"/>
      </w:rPr>
    </w:lvl>
    <w:lvl w:ilvl="7">
      <w:start w:val="1"/>
      <w:numFmt w:val="decimal"/>
      <w:pStyle w:val="1073"/>
      <w:isLgl w:val="false"/>
      <w:suff w:val="tab"/>
      <w:lvlText w:val="%8) "/>
      <w:lvlJc w:val="left"/>
      <w:pPr>
        <w:pStyle w:val="93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33"/>
        <w:ind w:left="768" w:hanging="360"/>
        <w:tabs>
          <w:tab w:val="num" w:pos="768" w:leader="none"/>
        </w:tabs>
      </w:pPr>
      <w:rPr>
        <w:rFonts w:hint="eastAsia"/>
      </w:rPr>
    </w:lvl>
    <w:lvl w:ilvl="1">
      <w:start w:val="1"/>
      <w:numFmt w:val="decimal"/>
      <w:pStyle w:val="1159"/>
      <w:isLgl w:val="false"/>
      <w:suff w:val="tab"/>
      <w:lvlText w:val="%2、"/>
      <w:lvlJc w:val="left"/>
      <w:pPr>
        <w:pStyle w:val="933"/>
        <w:ind w:left="1188" w:hanging="360"/>
        <w:tabs>
          <w:tab w:val="num" w:pos="1188" w:leader="none"/>
        </w:tabs>
      </w:pPr>
      <w:rPr>
        <w:rFonts w:hint="eastAsia"/>
      </w:rPr>
    </w:lvl>
    <w:lvl w:ilvl="2">
      <w:start w:val="1"/>
      <w:numFmt w:val="decimal"/>
      <w:isLgl w:val="false"/>
      <w:suff w:val="tab"/>
      <w:lvlText w:val="（%3）"/>
      <w:lvlJc w:val="left"/>
      <w:pPr>
        <w:pStyle w:val="933"/>
        <w:ind w:left="1968" w:hanging="720"/>
        <w:tabs>
          <w:tab w:val="num" w:pos="1968" w:leader="none"/>
        </w:tabs>
      </w:pPr>
      <w:rPr>
        <w:rFonts w:hint="eastAsia"/>
        <w:u w:val="none"/>
      </w:rPr>
    </w:lvl>
    <w:lvl w:ilvl="3">
      <w:start w:val="1"/>
      <w:numFmt w:val="decimal"/>
      <w:isLgl w:val="false"/>
      <w:suff w:val="tab"/>
      <w:lvlText w:val="%4."/>
      <w:lvlJc w:val="left"/>
      <w:pPr>
        <w:pStyle w:val="933"/>
        <w:ind w:left="2088" w:hanging="420"/>
        <w:tabs>
          <w:tab w:val="num" w:pos="2088" w:leader="none"/>
        </w:tabs>
      </w:pPr>
    </w:lvl>
    <w:lvl w:ilvl="4">
      <w:start w:val="1"/>
      <w:numFmt w:val="lowerLetter"/>
      <w:isLgl w:val="false"/>
      <w:suff w:val="tab"/>
      <w:lvlText w:val="%5)"/>
      <w:lvlJc w:val="left"/>
      <w:pPr>
        <w:pStyle w:val="933"/>
        <w:ind w:left="2508" w:hanging="420"/>
        <w:tabs>
          <w:tab w:val="num" w:pos="2508" w:leader="none"/>
        </w:tabs>
      </w:pPr>
    </w:lvl>
    <w:lvl w:ilvl="5">
      <w:start w:val="1"/>
      <w:numFmt w:val="lowerRoman"/>
      <w:isLgl w:val="false"/>
      <w:suff w:val="tab"/>
      <w:lvlText w:val="%6."/>
      <w:lvlJc w:val="right"/>
      <w:pPr>
        <w:pStyle w:val="933"/>
        <w:ind w:left="2928" w:hanging="420"/>
        <w:tabs>
          <w:tab w:val="num" w:pos="2928" w:leader="none"/>
        </w:tabs>
      </w:pPr>
    </w:lvl>
    <w:lvl w:ilvl="6">
      <w:start w:val="1"/>
      <w:numFmt w:val="decimal"/>
      <w:isLgl w:val="false"/>
      <w:suff w:val="tab"/>
      <w:lvlText w:val="%7."/>
      <w:lvlJc w:val="left"/>
      <w:pPr>
        <w:pStyle w:val="933"/>
        <w:ind w:left="3348" w:hanging="420"/>
        <w:tabs>
          <w:tab w:val="num" w:pos="3348" w:leader="none"/>
        </w:tabs>
      </w:pPr>
    </w:lvl>
    <w:lvl w:ilvl="7">
      <w:start w:val="1"/>
      <w:numFmt w:val="lowerLetter"/>
      <w:isLgl w:val="false"/>
      <w:suff w:val="tab"/>
      <w:lvlText w:val="%8)"/>
      <w:lvlJc w:val="left"/>
      <w:pPr>
        <w:pStyle w:val="933"/>
        <w:ind w:left="3768" w:hanging="420"/>
        <w:tabs>
          <w:tab w:val="num" w:pos="3768" w:leader="none"/>
        </w:tabs>
      </w:pPr>
    </w:lvl>
    <w:lvl w:ilvl="8">
      <w:start w:val="1"/>
      <w:numFmt w:val="lowerRoman"/>
      <w:isLgl w:val="false"/>
      <w:suff w:val="tab"/>
      <w:lvlText w:val="%9."/>
      <w:lvlJc w:val="right"/>
      <w:pPr>
        <w:pStyle w:val="933"/>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1.%2.%3.%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abstractNum w:abstractNumId="7">
    <w:multiLevelType w:val="hybridMultilevel"/>
    <w:lvl w:ilvl="0">
      <w:start w:val="1"/>
      <w:numFmt w:val="decimal"/>
      <w:pStyle w:val="1158"/>
      <w:isLgl w:val="false"/>
      <w:suff w:val="tab"/>
      <w:lvlText w:val="%1)"/>
      <w:lvlJc w:val="left"/>
      <w:pPr>
        <w:pStyle w:val="933"/>
        <w:ind w:left="420" w:hanging="420"/>
      </w:pPr>
    </w:lvl>
    <w:lvl w:ilvl="1">
      <w:start w:val="1"/>
      <w:numFmt w:val="lowerLetter"/>
      <w:isLgl w:val="false"/>
      <w:suff w:val="tab"/>
      <w:lvlText w:val="%2)"/>
      <w:lvlJc w:val="left"/>
      <w:pPr>
        <w:pStyle w:val="933"/>
        <w:ind w:left="840" w:hanging="420"/>
      </w:pPr>
    </w:lvl>
    <w:lvl w:ilvl="2">
      <w:start w:val="1"/>
      <w:numFmt w:val="lowerRoman"/>
      <w:isLgl w:val="false"/>
      <w:suff w:val="tab"/>
      <w:lvlText w:val="%3."/>
      <w:lvlJc w:val="right"/>
      <w:pPr>
        <w:pStyle w:val="933"/>
        <w:ind w:left="1260" w:hanging="420"/>
      </w:pPr>
    </w:lvl>
    <w:lvl w:ilvl="3">
      <w:start w:val="1"/>
      <w:numFmt w:val="decimal"/>
      <w:isLgl w:val="false"/>
      <w:suff w:val="tab"/>
      <w:lvlText w:val="%4."/>
      <w:lvlJc w:val="left"/>
      <w:pPr>
        <w:pStyle w:val="933"/>
        <w:ind w:left="1680" w:hanging="420"/>
      </w:pPr>
    </w:lvl>
    <w:lvl w:ilvl="4">
      <w:start w:val="1"/>
      <w:numFmt w:val="lowerLetter"/>
      <w:isLgl w:val="false"/>
      <w:suff w:val="tab"/>
      <w:lvlText w:val="%5)"/>
      <w:lvlJc w:val="left"/>
      <w:pPr>
        <w:pStyle w:val="933"/>
        <w:ind w:left="2100" w:hanging="420"/>
      </w:pPr>
    </w:lvl>
    <w:lvl w:ilvl="5">
      <w:start w:val="1"/>
      <w:numFmt w:val="lowerRoman"/>
      <w:isLgl w:val="false"/>
      <w:suff w:val="tab"/>
      <w:lvlText w:val="%6."/>
      <w:lvlJc w:val="right"/>
      <w:pPr>
        <w:pStyle w:val="933"/>
        <w:ind w:left="2520" w:hanging="420"/>
      </w:pPr>
    </w:lvl>
    <w:lvl w:ilvl="6">
      <w:start w:val="1"/>
      <w:numFmt w:val="decimal"/>
      <w:isLgl w:val="false"/>
      <w:suff w:val="tab"/>
      <w:lvlText w:val="%7."/>
      <w:lvlJc w:val="left"/>
      <w:pPr>
        <w:pStyle w:val="933"/>
        <w:ind w:left="2940" w:hanging="420"/>
      </w:pPr>
    </w:lvl>
    <w:lvl w:ilvl="7">
      <w:start w:val="1"/>
      <w:numFmt w:val="lowerLetter"/>
      <w:isLgl w:val="false"/>
      <w:suff w:val="tab"/>
      <w:lvlText w:val="%8)"/>
      <w:lvlJc w:val="left"/>
      <w:pPr>
        <w:pStyle w:val="933"/>
        <w:ind w:left="3360" w:hanging="420"/>
      </w:pPr>
    </w:lvl>
    <w:lvl w:ilvl="8">
      <w:start w:val="1"/>
      <w:numFmt w:val="lowerRoman"/>
      <w:isLgl w:val="false"/>
      <w:suff w:val="tab"/>
      <w:lvlText w:val="%9."/>
      <w:lvlJc w:val="right"/>
      <w:pPr>
        <w:pStyle w:val="933"/>
        <w:ind w:left="3780" w:hanging="420"/>
      </w:pPr>
    </w:lvl>
  </w:abstractNum>
  <w:abstractNum w:abstractNumId="8">
    <w:multiLevelType w:val="hybridMultilevel"/>
    <w:lvl w:ilvl="0">
      <w:start w:val="1"/>
      <w:numFmt w:val="decimal"/>
      <w:pStyle w:val="1134"/>
      <w:isLgl w:val="false"/>
      <w:suff w:val="tab"/>
      <w:lvlText w:val="%1"/>
      <w:lvlJc w:val="left"/>
      <w:pPr>
        <w:pStyle w:val="933"/>
        <w:ind w:left="680" w:hanging="680"/>
      </w:pPr>
      <w:rPr>
        <w:rFonts w:hint="eastAsia" w:ascii="宋体" w:hAnsi="宋体" w:eastAsia="宋体"/>
      </w:rPr>
    </w:lvl>
    <w:lvl w:ilvl="1">
      <w:start w:val="1"/>
      <w:numFmt w:val="decimal"/>
      <w:pStyle w:val="1127"/>
      <w:isLgl w:val="false"/>
      <w:suff w:val="tab"/>
      <w:lvlText w:val="%1.%2"/>
      <w:lvlJc w:val="left"/>
      <w:pPr>
        <w:pStyle w:val="933"/>
        <w:ind w:left="851" w:hanging="851"/>
      </w:pPr>
      <w:rPr>
        <w:rFonts w:hint="eastAsia" w:ascii="宋体" w:hAnsi="宋体" w:eastAsia="宋体"/>
        <w:color w:val="000000"/>
      </w:rPr>
    </w:lvl>
    <w:lvl w:ilvl="2">
      <w:start w:val="1"/>
      <w:numFmt w:val="decimal"/>
      <w:pStyle w:val="1145"/>
      <w:isLgl w:val="false"/>
      <w:suff w:val="tab"/>
      <w:lvlText w:val="%1.%2.%3"/>
      <w:lvlJc w:val="left"/>
      <w:pPr>
        <w:pStyle w:val="933"/>
        <w:ind w:left="851" w:hanging="851"/>
      </w:pPr>
      <w:rPr>
        <w:rFonts w:hint="eastAsia"/>
      </w:rPr>
    </w:lvl>
    <w:lvl w:ilvl="3">
      <w:start w:val="1"/>
      <w:numFmt w:val="decimal"/>
      <w:isLgl w:val="false"/>
      <w:suff w:val="tab"/>
      <w:lvlText w:val="%1.%2.%3.%4"/>
      <w:lvlJc w:val="left"/>
      <w:pPr>
        <w:pStyle w:val="933"/>
        <w:ind w:left="680" w:hanging="680"/>
      </w:pPr>
      <w:rPr>
        <w:rFonts w:hint="eastAsia"/>
      </w:rPr>
    </w:lvl>
    <w:lvl w:ilvl="4">
      <w:start w:val="1"/>
      <w:numFmt w:val="decimal"/>
      <w:isLgl w:val="false"/>
      <w:suff w:val="tab"/>
      <w:lvlText w:val="%1.%2.%3.%4.%5"/>
      <w:lvlJc w:val="left"/>
      <w:pPr>
        <w:pStyle w:val="933"/>
        <w:ind w:left="680" w:hanging="680"/>
      </w:pPr>
      <w:rPr>
        <w:rFonts w:hint="eastAsia"/>
      </w:rPr>
    </w:lvl>
    <w:lvl w:ilvl="5">
      <w:start w:val="1"/>
      <w:numFmt w:val="decimal"/>
      <w:isLgl w:val="false"/>
      <w:suff w:val="tab"/>
      <w:lvlText w:val="%1.%2.%3.%4.%5.%6"/>
      <w:lvlJc w:val="left"/>
      <w:pPr>
        <w:pStyle w:val="933"/>
        <w:ind w:left="680" w:hanging="680"/>
      </w:pPr>
      <w:rPr>
        <w:rFonts w:hint="eastAsia"/>
      </w:rPr>
    </w:lvl>
    <w:lvl w:ilvl="6">
      <w:start w:val="1"/>
      <w:numFmt w:val="decimal"/>
      <w:isLgl w:val="false"/>
      <w:suff w:val="tab"/>
      <w:lvlText w:val="%1.%2.%3.%4.%5.%6.%7"/>
      <w:lvlJc w:val="left"/>
      <w:pPr>
        <w:pStyle w:val="933"/>
        <w:ind w:left="680" w:hanging="680"/>
      </w:pPr>
      <w:rPr>
        <w:rFonts w:hint="eastAsia"/>
      </w:rPr>
    </w:lvl>
    <w:lvl w:ilvl="7">
      <w:start w:val="1"/>
      <w:numFmt w:val="decimal"/>
      <w:isLgl w:val="false"/>
      <w:suff w:val="tab"/>
      <w:lvlText w:val="%1.%2.%3.%4.%5.%6.%7.%8"/>
      <w:lvlJc w:val="left"/>
      <w:pPr>
        <w:pStyle w:val="933"/>
        <w:ind w:left="680" w:hanging="680"/>
      </w:pPr>
      <w:rPr>
        <w:rFonts w:hint="eastAsia"/>
      </w:rPr>
    </w:lvl>
    <w:lvl w:ilvl="8">
      <w:start w:val="1"/>
      <w:numFmt w:val="decimal"/>
      <w:isLgl w:val="false"/>
      <w:suff w:val="tab"/>
      <w:lvlText w:val="%1.%2.%3.%4.%5.%6.%7.%8.%9"/>
      <w:lvlJc w:val="left"/>
      <w:pPr>
        <w:pStyle w:val="933"/>
        <w:ind w:left="680" w:hanging="680"/>
      </w:pPr>
      <w:rPr>
        <w:rFonts w:hint="eastAsia"/>
      </w:rPr>
    </w:lvl>
  </w:abstractNum>
  <w:abstractNum w:abstractNumId="9">
    <w:multiLevelType w:val="hybridMultilevel"/>
    <w:lvl w:ilvl="0">
      <w:start w:val="1"/>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1.%2.%3.%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1.%2.%3.%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1.%2.%3.%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abstractNum w:abstractNumId="12">
    <w:multiLevelType w:val="hybridMultilevel"/>
    <w:lvl w:ilvl="0">
      <w:start w:val="1"/>
      <w:numFmt w:val="decimal"/>
      <w:isLgl w:val="false"/>
      <w:suff w:val="space"/>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1.%2.%3.%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num w:numId="1">
    <w:abstractNumId w:val="4"/>
  </w:num>
  <w:num w:numId="2">
    <w:abstractNumId w:val="2"/>
  </w:num>
  <w:num w:numId="3">
    <w:abstractNumId w:val="8"/>
  </w:num>
  <w:num w:numId="4">
    <w:abstractNumId w:val="1"/>
  </w:num>
  <w:num w:numId="5">
    <w:abstractNumId w:val="7"/>
  </w:num>
  <w:num w:numId="6">
    <w:abstractNumId w:val="5"/>
  </w:num>
  <w:num w:numId="7">
    <w:abstractNumId w:val="3"/>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3"/>
    <w:next w:val="9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3"/>
    <w:next w:val="93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3"/>
    <w:next w:val="9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33"/>
    <w:next w:val="9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33"/>
    <w:next w:val="9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3"/>
    <w:next w:val="9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3"/>
    <w:next w:val="9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3"/>
    <w:next w:val="9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3"/>
    <w:next w:val="9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3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33"/>
    <w:next w:val="9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3"/>
    <w:next w:val="9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3"/>
    <w:next w:val="933"/>
    <w:link w:val="38"/>
    <w:uiPriority w:val="29"/>
    <w:qFormat/>
    <w:pPr>
      <w:ind w:left="720" w:right="720"/>
    </w:pPr>
    <w:rPr>
      <w:i/>
    </w:rPr>
  </w:style>
  <w:style w:type="character" w:styleId="38">
    <w:name w:val="Quote Char"/>
    <w:link w:val="37"/>
    <w:uiPriority w:val="29"/>
    <w:rPr>
      <w:i/>
    </w:rPr>
  </w:style>
  <w:style w:type="paragraph" w:styleId="39">
    <w:name w:val="Intense Quote"/>
    <w:basedOn w:val="933"/>
    <w:next w:val="9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3"/>
    <w:next w:val="9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3"/>
    <w:next w:val="933"/>
    <w:uiPriority w:val="39"/>
    <w:unhideWhenUsed/>
    <w:pPr>
      <w:ind w:left="0" w:right="0" w:firstLine="0"/>
      <w:spacing w:after="57"/>
    </w:pPr>
  </w:style>
  <w:style w:type="paragraph" w:styleId="181">
    <w:name w:val="toc 2"/>
    <w:basedOn w:val="933"/>
    <w:next w:val="933"/>
    <w:uiPriority w:val="39"/>
    <w:unhideWhenUsed/>
    <w:pPr>
      <w:ind w:left="283" w:right="0" w:firstLine="0"/>
      <w:spacing w:after="57"/>
    </w:pPr>
  </w:style>
  <w:style w:type="paragraph" w:styleId="182">
    <w:name w:val="toc 3"/>
    <w:basedOn w:val="933"/>
    <w:next w:val="933"/>
    <w:uiPriority w:val="39"/>
    <w:unhideWhenUsed/>
    <w:pPr>
      <w:ind w:left="567" w:right="0" w:firstLine="0"/>
      <w:spacing w:after="57"/>
    </w:pPr>
  </w:style>
  <w:style w:type="paragraph" w:styleId="183">
    <w:name w:val="toc 4"/>
    <w:basedOn w:val="933"/>
    <w:next w:val="933"/>
    <w:uiPriority w:val="39"/>
    <w:unhideWhenUsed/>
    <w:pPr>
      <w:ind w:left="850" w:right="0" w:firstLine="0"/>
      <w:spacing w:after="57"/>
    </w:pPr>
  </w:style>
  <w:style w:type="paragraph" w:styleId="184">
    <w:name w:val="toc 5"/>
    <w:basedOn w:val="933"/>
    <w:next w:val="933"/>
    <w:uiPriority w:val="39"/>
    <w:unhideWhenUsed/>
    <w:pPr>
      <w:ind w:left="1134" w:right="0" w:firstLine="0"/>
      <w:spacing w:after="57"/>
    </w:pPr>
  </w:style>
  <w:style w:type="paragraph" w:styleId="185">
    <w:name w:val="toc 6"/>
    <w:basedOn w:val="933"/>
    <w:next w:val="933"/>
    <w:uiPriority w:val="39"/>
    <w:unhideWhenUsed/>
    <w:pPr>
      <w:ind w:left="1417" w:right="0" w:firstLine="0"/>
      <w:spacing w:after="57"/>
    </w:pPr>
  </w:style>
  <w:style w:type="paragraph" w:styleId="186">
    <w:name w:val="toc 7"/>
    <w:basedOn w:val="933"/>
    <w:next w:val="933"/>
    <w:uiPriority w:val="39"/>
    <w:unhideWhenUsed/>
    <w:pPr>
      <w:ind w:left="1701" w:right="0" w:firstLine="0"/>
      <w:spacing w:after="57"/>
    </w:pPr>
  </w:style>
  <w:style w:type="paragraph" w:styleId="187">
    <w:name w:val="toc 8"/>
    <w:basedOn w:val="933"/>
    <w:next w:val="933"/>
    <w:uiPriority w:val="39"/>
    <w:unhideWhenUsed/>
    <w:pPr>
      <w:ind w:left="1984" w:right="0" w:firstLine="0"/>
      <w:spacing w:after="57"/>
    </w:pPr>
  </w:style>
  <w:style w:type="paragraph" w:styleId="188">
    <w:name w:val="toc 9"/>
    <w:basedOn w:val="933"/>
    <w:next w:val="9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3"/>
    <w:next w:val="933"/>
    <w:uiPriority w:val="99"/>
    <w:unhideWhenUsed/>
    <w:pPr>
      <w:spacing w:after="0" w:afterAutospacing="0"/>
    </w:pPr>
  </w:style>
  <w:style w:type="paragraph" w:styleId="933" w:default="1">
    <w:name w:val="Normal"/>
    <w:next w:val="933"/>
    <w:link w:val="933"/>
    <w:qFormat/>
    <w:pPr>
      <w:jc w:val="both"/>
      <w:widowControl w:val="off"/>
    </w:pPr>
    <w:rPr>
      <w:sz w:val="21"/>
      <w:szCs w:val="24"/>
      <w:lang w:val="en-US" w:eastAsia="zh-CN" w:bidi="ar-SA"/>
    </w:rPr>
  </w:style>
  <w:style w:type="paragraph" w:styleId="934">
    <w:name w:val="标题 1"/>
    <w:basedOn w:val="933"/>
    <w:next w:val="933"/>
    <w:link w:val="945"/>
    <w:qFormat/>
    <w:pPr>
      <w:jc w:val="center"/>
      <w:keepLines/>
      <w:keepNext/>
      <w:spacing w:before="240" w:after="120" w:line="300" w:lineRule="auto"/>
      <w:outlineLvl w:val="0"/>
    </w:pPr>
    <w:rPr>
      <w:rFonts w:ascii="宋体"/>
      <w:b/>
      <w:sz w:val="32"/>
      <w:szCs w:val="20"/>
    </w:rPr>
  </w:style>
  <w:style w:type="paragraph" w:styleId="935">
    <w:name w:val="标题 2"/>
    <w:basedOn w:val="933"/>
    <w:next w:val="947"/>
    <w:link w:val="946"/>
    <w:qFormat/>
    <w:pPr>
      <w:jc w:val="center"/>
      <w:keepLines/>
      <w:keepNext/>
      <w:spacing w:before="120" w:line="300" w:lineRule="auto"/>
      <w:outlineLvl w:val="1"/>
    </w:pPr>
    <w:rPr>
      <w:rFonts w:ascii="Arial" w:hAnsi="Arial" w:eastAsia="黑体"/>
      <w:b/>
      <w:sz w:val="30"/>
      <w:szCs w:val="20"/>
    </w:rPr>
  </w:style>
  <w:style w:type="paragraph" w:styleId="936">
    <w:name w:val="标题 3"/>
    <w:basedOn w:val="933"/>
    <w:next w:val="933"/>
    <w:link w:val="949"/>
    <w:qFormat/>
    <w:pPr>
      <w:jc w:val="left"/>
      <w:keepLines/>
      <w:keepNext/>
      <w:spacing w:before="360" w:after="120"/>
      <w:outlineLvl w:val="2"/>
    </w:pPr>
    <w:rPr>
      <w:rFonts w:ascii="宋体"/>
      <w:b/>
      <w:sz w:val="24"/>
      <w:szCs w:val="20"/>
      <w:u w:val="single"/>
    </w:rPr>
  </w:style>
  <w:style w:type="paragraph" w:styleId="937">
    <w:name w:val="标题 4"/>
    <w:basedOn w:val="933"/>
    <w:next w:val="947"/>
    <w:link w:val="950"/>
    <w:qFormat/>
    <w:pPr>
      <w:keepLines/>
      <w:keepNext/>
      <w:spacing w:before="280" w:after="290" w:line="376" w:lineRule="atLeast"/>
      <w:outlineLvl w:val="3"/>
    </w:pPr>
    <w:rPr>
      <w:rFonts w:ascii="Arial" w:hAnsi="Arial" w:eastAsia="黑体"/>
      <w:b/>
      <w:sz w:val="28"/>
      <w:szCs w:val="20"/>
    </w:rPr>
  </w:style>
  <w:style w:type="paragraph" w:styleId="938">
    <w:name w:val="标题 5"/>
    <w:basedOn w:val="933"/>
    <w:next w:val="933"/>
    <w:link w:val="951"/>
    <w:qFormat/>
    <w:pPr>
      <w:keepLines/>
      <w:keepNext/>
      <w:spacing w:before="280" w:after="290" w:line="376" w:lineRule="atLeast"/>
      <w:outlineLvl w:val="4"/>
    </w:pPr>
    <w:rPr>
      <w:b/>
      <w:sz w:val="28"/>
      <w:szCs w:val="20"/>
    </w:rPr>
  </w:style>
  <w:style w:type="paragraph" w:styleId="939">
    <w:name w:val="标题 6"/>
    <w:basedOn w:val="933"/>
    <w:next w:val="933"/>
    <w:link w:val="952"/>
    <w:qFormat/>
    <w:pPr>
      <w:keepLines/>
      <w:keepNext/>
      <w:spacing w:before="240" w:after="64" w:line="320" w:lineRule="atLeast"/>
      <w:outlineLvl w:val="5"/>
    </w:pPr>
    <w:rPr>
      <w:rFonts w:ascii="Arial" w:hAnsi="Arial" w:eastAsia="黑体"/>
      <w:b/>
      <w:sz w:val="24"/>
      <w:szCs w:val="20"/>
    </w:rPr>
  </w:style>
  <w:style w:type="paragraph" w:styleId="940">
    <w:name w:val="标题 7"/>
    <w:basedOn w:val="933"/>
    <w:next w:val="933"/>
    <w:link w:val="953"/>
    <w:qFormat/>
    <w:pPr>
      <w:keepLines/>
      <w:keepNext/>
      <w:spacing w:before="240" w:after="64" w:line="320" w:lineRule="atLeast"/>
      <w:outlineLvl w:val="6"/>
    </w:pPr>
    <w:rPr>
      <w:b/>
      <w:sz w:val="24"/>
      <w:szCs w:val="20"/>
    </w:rPr>
  </w:style>
  <w:style w:type="paragraph" w:styleId="941">
    <w:name w:val="标题 8"/>
    <w:basedOn w:val="933"/>
    <w:next w:val="933"/>
    <w:link w:val="954"/>
    <w:qFormat/>
    <w:pPr>
      <w:keepLines/>
      <w:keepNext/>
      <w:spacing w:before="240" w:after="64" w:line="320" w:lineRule="atLeast"/>
      <w:outlineLvl w:val="7"/>
    </w:pPr>
    <w:rPr>
      <w:rFonts w:ascii="Arial" w:hAnsi="Arial" w:eastAsia="黑体"/>
      <w:sz w:val="24"/>
      <w:szCs w:val="20"/>
    </w:rPr>
  </w:style>
  <w:style w:type="paragraph" w:styleId="942">
    <w:name w:val="标题 9"/>
    <w:basedOn w:val="933"/>
    <w:next w:val="933"/>
    <w:link w:val="955"/>
    <w:qFormat/>
    <w:pPr>
      <w:keepLines/>
      <w:keepNext/>
      <w:spacing w:before="240" w:after="64" w:line="320" w:lineRule="atLeast"/>
      <w:outlineLvl w:val="8"/>
    </w:pPr>
    <w:rPr>
      <w:rFonts w:ascii="Arial" w:hAnsi="Arial" w:eastAsia="黑体"/>
      <w:szCs w:val="20"/>
    </w:rPr>
  </w:style>
  <w:style w:type="character" w:styleId="943">
    <w:name w:val="默认段落字体"/>
    <w:next w:val="943"/>
    <w:link w:val="933"/>
    <w:uiPriority w:val="1"/>
    <w:unhideWhenUsed/>
    <w:qFormat/>
  </w:style>
  <w:style w:type="table" w:styleId="944">
    <w:name w:val="普通表格"/>
    <w:next w:val="944"/>
    <w:link w:val="933"/>
    <w:uiPriority w:val="99"/>
    <w:unhideWhenUsed/>
    <w:qFormat/>
    <w:tblPr/>
  </w:style>
  <w:style w:type="character" w:styleId="945">
    <w:name w:val="标题 1 Char"/>
    <w:next w:val="945"/>
    <w:link w:val="934"/>
    <w:qFormat/>
    <w:rPr>
      <w:rFonts w:ascii="宋体"/>
      <w:b/>
      <w:sz w:val="32"/>
    </w:rPr>
  </w:style>
  <w:style w:type="character" w:styleId="946">
    <w:name w:val="标题 2 Char1"/>
    <w:next w:val="946"/>
    <w:link w:val="935"/>
    <w:qFormat/>
    <w:rPr>
      <w:rFonts w:ascii="Arial" w:hAnsi="Arial" w:eastAsia="黑体"/>
      <w:b/>
      <w:sz w:val="30"/>
      <w:lang w:val="en-US" w:eastAsia="zh-CN" w:bidi="ar-SA"/>
    </w:rPr>
  </w:style>
  <w:style w:type="paragraph" w:styleId="947">
    <w:name w:val="正文缩进"/>
    <w:basedOn w:val="933"/>
    <w:next w:val="933"/>
    <w:link w:val="948"/>
    <w:qFormat/>
    <w:pPr>
      <w:ind w:firstLine="420"/>
      <w:jc w:val="left"/>
    </w:pPr>
    <w:rPr>
      <w:rFonts w:ascii="宋体"/>
      <w:sz w:val="24"/>
    </w:rPr>
  </w:style>
  <w:style w:type="character" w:styleId="948">
    <w:name w:val="正文缩进 Char1"/>
    <w:next w:val="948"/>
    <w:link w:val="947"/>
    <w:qFormat/>
    <w:rPr>
      <w:rFonts w:ascii="宋体" w:eastAsia="宋体"/>
      <w:sz w:val="24"/>
      <w:szCs w:val="24"/>
      <w:lang w:val="en-US" w:eastAsia="zh-CN" w:bidi="ar-SA"/>
    </w:rPr>
  </w:style>
  <w:style w:type="character" w:styleId="949">
    <w:name w:val="标题 3 Char1"/>
    <w:next w:val="949"/>
    <w:link w:val="936"/>
    <w:qFormat/>
    <w:rPr>
      <w:rFonts w:ascii="宋体" w:eastAsia="宋体"/>
      <w:b/>
      <w:sz w:val="24"/>
      <w:u w:val="single"/>
      <w:lang w:val="en-US" w:eastAsia="zh-CN" w:bidi="ar-SA"/>
    </w:rPr>
  </w:style>
  <w:style w:type="character" w:styleId="950">
    <w:name w:val="标题 4 Char"/>
    <w:next w:val="950"/>
    <w:link w:val="937"/>
    <w:qFormat/>
    <w:rPr>
      <w:rFonts w:ascii="Arial" w:hAnsi="Arial" w:eastAsia="黑体"/>
      <w:b/>
      <w:sz w:val="28"/>
    </w:rPr>
  </w:style>
  <w:style w:type="character" w:styleId="951">
    <w:name w:val="标题 5 Char"/>
    <w:next w:val="951"/>
    <w:link w:val="938"/>
    <w:qFormat/>
    <w:rPr>
      <w:b/>
      <w:sz w:val="28"/>
    </w:rPr>
  </w:style>
  <w:style w:type="character" w:styleId="952">
    <w:name w:val="标题 6 Char"/>
    <w:next w:val="952"/>
    <w:link w:val="939"/>
    <w:qFormat/>
    <w:rPr>
      <w:rFonts w:ascii="Arial" w:hAnsi="Arial" w:eastAsia="黑体"/>
      <w:b/>
      <w:sz w:val="24"/>
    </w:rPr>
  </w:style>
  <w:style w:type="character" w:styleId="953">
    <w:name w:val="标题 7 Char"/>
    <w:next w:val="953"/>
    <w:link w:val="940"/>
    <w:qFormat/>
    <w:rPr>
      <w:b/>
      <w:sz w:val="24"/>
    </w:rPr>
  </w:style>
  <w:style w:type="character" w:styleId="954">
    <w:name w:val="标题 8 Char"/>
    <w:next w:val="954"/>
    <w:link w:val="941"/>
    <w:qFormat/>
    <w:rPr>
      <w:rFonts w:ascii="Arial" w:hAnsi="Arial" w:eastAsia="黑体"/>
      <w:sz w:val="24"/>
    </w:rPr>
  </w:style>
  <w:style w:type="character" w:styleId="955">
    <w:name w:val="标题 9 Char"/>
    <w:next w:val="955"/>
    <w:link w:val="942"/>
    <w:qFormat/>
    <w:rPr>
      <w:rFonts w:ascii="Arial" w:hAnsi="Arial" w:eastAsia="黑体"/>
      <w:sz w:val="21"/>
    </w:rPr>
  </w:style>
  <w:style w:type="paragraph" w:styleId="956">
    <w:name w:val="目录 7"/>
    <w:basedOn w:val="933"/>
    <w:next w:val="933"/>
    <w:link w:val="933"/>
    <w:qFormat/>
    <w:pPr>
      <w:ind w:left="2520"/>
    </w:pPr>
  </w:style>
  <w:style w:type="paragraph" w:styleId="957">
    <w:name w:val="题注"/>
    <w:basedOn w:val="933"/>
    <w:next w:val="933"/>
    <w:link w:val="933"/>
    <w:qFormat/>
    <w:pPr>
      <w:spacing w:line="480" w:lineRule="auto"/>
    </w:pPr>
    <w:rPr>
      <w:rFonts w:ascii="华文中宋" w:hAnsi="华文中宋" w:eastAsia="华文中宋"/>
      <w:sz w:val="36"/>
      <w:szCs w:val="20"/>
    </w:rPr>
  </w:style>
  <w:style w:type="paragraph" w:styleId="958">
    <w:name w:val="文档结构图"/>
    <w:basedOn w:val="933"/>
    <w:next w:val="958"/>
    <w:link w:val="959"/>
    <w:qFormat/>
    <w:pPr>
      <w:shd w:val="clear" w:color="auto" w:fill="000080"/>
    </w:pPr>
  </w:style>
  <w:style w:type="character" w:styleId="959">
    <w:name w:val="文档结构图 Char"/>
    <w:next w:val="959"/>
    <w:link w:val="958"/>
    <w:qFormat/>
    <w:rPr>
      <w:sz w:val="21"/>
      <w:szCs w:val="24"/>
      <w:shd w:val="clear" w:color="auto" w:fill="000080"/>
    </w:rPr>
  </w:style>
  <w:style w:type="paragraph" w:styleId="960">
    <w:name w:val="批注文字"/>
    <w:basedOn w:val="933"/>
    <w:next w:val="960"/>
    <w:link w:val="961"/>
    <w:qFormat/>
    <w:pPr>
      <w:jc w:val="left"/>
    </w:pPr>
  </w:style>
  <w:style w:type="character" w:styleId="961">
    <w:name w:val="批注文字 Char1"/>
    <w:next w:val="961"/>
    <w:link w:val="960"/>
    <w:uiPriority w:val="99"/>
    <w:qFormat/>
    <w:rPr>
      <w:sz w:val="21"/>
      <w:szCs w:val="24"/>
    </w:rPr>
  </w:style>
  <w:style w:type="paragraph" w:styleId="962">
    <w:name w:val="正文文本 3"/>
    <w:basedOn w:val="933"/>
    <w:next w:val="962"/>
    <w:link w:val="963"/>
    <w:qFormat/>
    <w:pPr>
      <w:spacing w:after="120"/>
    </w:pPr>
    <w:rPr>
      <w:sz w:val="16"/>
      <w:szCs w:val="16"/>
    </w:rPr>
  </w:style>
  <w:style w:type="character" w:styleId="963">
    <w:name w:val="正文文本 3 Char"/>
    <w:next w:val="963"/>
    <w:link w:val="962"/>
    <w:qFormat/>
    <w:rPr>
      <w:sz w:val="16"/>
      <w:szCs w:val="16"/>
    </w:rPr>
  </w:style>
  <w:style w:type="paragraph" w:styleId="964">
    <w:name w:val="正文文本"/>
    <w:basedOn w:val="933"/>
    <w:next w:val="933"/>
    <w:link w:val="965"/>
    <w:qFormat/>
    <w:pPr>
      <w:spacing w:before="120" w:line="22" w:lineRule="atLeast"/>
      <w:tabs>
        <w:tab w:val="left" w:pos="567" w:leader="none"/>
      </w:tabs>
    </w:pPr>
    <w:rPr>
      <w:rFonts w:ascii="宋体" w:hAnsi="宋体"/>
      <w:sz w:val="24"/>
    </w:rPr>
  </w:style>
  <w:style w:type="character" w:styleId="965">
    <w:name w:val="正文文本 Char"/>
    <w:next w:val="965"/>
    <w:link w:val="964"/>
    <w:qFormat/>
    <w:rPr>
      <w:rFonts w:ascii="宋体" w:hAnsi="宋体"/>
      <w:sz w:val="24"/>
      <w:szCs w:val="24"/>
    </w:rPr>
  </w:style>
  <w:style w:type="paragraph" w:styleId="966">
    <w:name w:val="正文文本缩进"/>
    <w:basedOn w:val="933"/>
    <w:next w:val="968"/>
    <w:link w:val="967"/>
    <w:qFormat/>
    <w:pPr>
      <w:ind w:firstLine="570"/>
      <w:spacing w:line="360" w:lineRule="auto"/>
    </w:pPr>
    <w:rPr>
      <w:sz w:val="24"/>
    </w:rPr>
  </w:style>
  <w:style w:type="character" w:styleId="967">
    <w:name w:val="正文文本缩进 Char2"/>
    <w:next w:val="967"/>
    <w:link w:val="966"/>
    <w:qFormat/>
    <w:rPr>
      <w:rFonts w:eastAsia="宋体"/>
      <w:sz w:val="24"/>
      <w:szCs w:val="24"/>
      <w:lang w:val="en-US" w:eastAsia="zh-CN" w:bidi="ar-SA"/>
    </w:rPr>
  </w:style>
  <w:style w:type="paragraph" w:styleId="968">
    <w:name w:val="寄信人地址"/>
    <w:basedOn w:val="933"/>
    <w:next w:val="968"/>
    <w:link w:val="933"/>
    <w:qFormat/>
    <w:rPr>
      <w:rFonts w:ascii="Arial" w:hAnsi="Arial"/>
    </w:rPr>
  </w:style>
  <w:style w:type="paragraph" w:styleId="969">
    <w:name w:val="列表 2"/>
    <w:basedOn w:val="933"/>
    <w:next w:val="969"/>
    <w:link w:val="933"/>
    <w:qFormat/>
    <w:pPr>
      <w:ind w:left="100" w:hanging="200"/>
    </w:pPr>
  </w:style>
  <w:style w:type="paragraph" w:styleId="970">
    <w:name w:val="文本块"/>
    <w:basedOn w:val="933"/>
    <w:next w:val="970"/>
    <w:link w:val="933"/>
    <w:qFormat/>
    <w:pPr>
      <w:ind w:left="480" w:right="-341" w:firstLine="513"/>
      <w:widowControl/>
    </w:pPr>
    <w:rPr>
      <w:sz w:val="24"/>
      <w:szCs w:val="20"/>
    </w:rPr>
  </w:style>
  <w:style w:type="paragraph" w:styleId="971">
    <w:name w:val="目录 5"/>
    <w:basedOn w:val="933"/>
    <w:next w:val="933"/>
    <w:link w:val="933"/>
    <w:qFormat/>
    <w:pPr>
      <w:ind w:left="1680"/>
    </w:pPr>
  </w:style>
  <w:style w:type="paragraph" w:styleId="972">
    <w:name w:val="目录 3"/>
    <w:basedOn w:val="933"/>
    <w:next w:val="933"/>
    <w:link w:val="933"/>
    <w:uiPriority w:val="39"/>
    <w:qFormat/>
    <w:pPr>
      <w:ind w:left="840"/>
    </w:pPr>
  </w:style>
  <w:style w:type="paragraph" w:styleId="973">
    <w:name w:val="纯文本"/>
    <w:basedOn w:val="933"/>
    <w:next w:val="947"/>
    <w:link w:val="974"/>
    <w:qFormat/>
    <w:rPr>
      <w:rFonts w:hint="eastAsia" w:ascii="宋体" w:hAnsi="Courier New"/>
      <w:szCs w:val="20"/>
    </w:rPr>
  </w:style>
  <w:style w:type="character" w:styleId="974">
    <w:name w:val="纯文本 Char"/>
    <w:next w:val="974"/>
    <w:link w:val="973"/>
    <w:qFormat/>
    <w:rPr>
      <w:rFonts w:hint="eastAsia" w:ascii="宋体" w:hAnsi="Courier New" w:eastAsia="宋体" w:cs="宋体"/>
      <w:sz w:val="21"/>
    </w:rPr>
  </w:style>
  <w:style w:type="paragraph" w:styleId="975">
    <w:name w:val="目录 8"/>
    <w:basedOn w:val="933"/>
    <w:next w:val="933"/>
    <w:link w:val="933"/>
    <w:qFormat/>
    <w:pPr>
      <w:ind w:left="2940"/>
    </w:pPr>
  </w:style>
  <w:style w:type="paragraph" w:styleId="976">
    <w:name w:val="日期"/>
    <w:basedOn w:val="933"/>
    <w:next w:val="933"/>
    <w:link w:val="977"/>
    <w:qFormat/>
    <w:pPr>
      <w:ind w:left="100"/>
    </w:pPr>
    <w:rPr>
      <w:rFonts w:ascii="仿宋_GB2312" w:hAnsi="宋体" w:eastAsia="仿宋_GB2312"/>
      <w:color w:val="000000"/>
      <w:sz w:val="24"/>
    </w:rPr>
  </w:style>
  <w:style w:type="character" w:styleId="977">
    <w:name w:val="日期 Char"/>
    <w:next w:val="977"/>
    <w:link w:val="976"/>
    <w:qFormat/>
    <w:rPr>
      <w:rFonts w:ascii="仿宋_GB2312" w:hAnsi="宋体" w:eastAsia="仿宋_GB2312"/>
      <w:color w:val="000000"/>
      <w:sz w:val="24"/>
      <w:szCs w:val="24"/>
    </w:rPr>
  </w:style>
  <w:style w:type="paragraph" w:styleId="978">
    <w:name w:val="正文文本缩进 2"/>
    <w:basedOn w:val="933"/>
    <w:next w:val="978"/>
    <w:link w:val="979"/>
    <w:qFormat/>
    <w:pPr>
      <w:ind w:firstLine="480"/>
    </w:pPr>
    <w:rPr>
      <w:rFonts w:ascii="仿宋_GB2312" w:eastAsia="仿宋_GB2312"/>
      <w:sz w:val="24"/>
    </w:rPr>
  </w:style>
  <w:style w:type="character" w:styleId="979">
    <w:name w:val="正文文本缩进 2 Char"/>
    <w:next w:val="979"/>
    <w:link w:val="978"/>
    <w:qFormat/>
    <w:rPr>
      <w:rFonts w:ascii="仿宋_GB2312" w:eastAsia="仿宋_GB2312"/>
      <w:sz w:val="24"/>
      <w:szCs w:val="24"/>
    </w:rPr>
  </w:style>
  <w:style w:type="paragraph" w:styleId="980">
    <w:name w:val="批注框文本"/>
    <w:basedOn w:val="933"/>
    <w:next w:val="980"/>
    <w:link w:val="981"/>
    <w:qFormat/>
    <w:rPr>
      <w:sz w:val="18"/>
      <w:szCs w:val="18"/>
    </w:rPr>
  </w:style>
  <w:style w:type="character" w:styleId="981">
    <w:name w:val="批注框文本 Char"/>
    <w:next w:val="981"/>
    <w:link w:val="980"/>
    <w:qFormat/>
    <w:rPr>
      <w:sz w:val="18"/>
      <w:szCs w:val="18"/>
    </w:rPr>
  </w:style>
  <w:style w:type="paragraph" w:styleId="982">
    <w:name w:val="页脚"/>
    <w:basedOn w:val="933"/>
    <w:next w:val="982"/>
    <w:link w:val="983"/>
    <w:uiPriority w:val="99"/>
    <w:qFormat/>
    <w:pPr>
      <w:jc w:val="left"/>
      <w:tabs>
        <w:tab w:val="center" w:pos="4153" w:leader="none"/>
        <w:tab w:val="right" w:pos="8306" w:leader="none"/>
      </w:tabs>
    </w:pPr>
    <w:rPr>
      <w:rFonts w:ascii="宋体"/>
      <w:sz w:val="18"/>
      <w:szCs w:val="20"/>
    </w:rPr>
  </w:style>
  <w:style w:type="character" w:styleId="983">
    <w:name w:val="页脚 Char1"/>
    <w:next w:val="983"/>
    <w:link w:val="982"/>
    <w:uiPriority w:val="99"/>
    <w:qFormat/>
    <w:rPr>
      <w:rFonts w:ascii="宋体" w:eastAsia="宋体"/>
      <w:sz w:val="18"/>
      <w:lang w:val="en-US" w:eastAsia="zh-CN" w:bidi="ar-SA"/>
    </w:rPr>
  </w:style>
  <w:style w:type="paragraph" w:styleId="984">
    <w:name w:val="页眉"/>
    <w:basedOn w:val="933"/>
    <w:next w:val="984"/>
    <w:link w:val="985"/>
    <w:qFormat/>
    <w:pPr>
      <w:jc w:val="center"/>
      <w:tabs>
        <w:tab w:val="center" w:pos="4153" w:leader="none"/>
        <w:tab w:val="right" w:pos="8306" w:leader="none"/>
      </w:tabs>
      <w:pBdr>
        <w:bottom w:val="single" w:color="000000" w:sz="6" w:space="1"/>
      </w:pBdr>
    </w:pPr>
    <w:rPr>
      <w:sz w:val="18"/>
      <w:szCs w:val="18"/>
    </w:rPr>
  </w:style>
  <w:style w:type="character" w:styleId="985">
    <w:name w:val="页眉 Char1"/>
    <w:next w:val="985"/>
    <w:link w:val="984"/>
    <w:qFormat/>
    <w:rPr>
      <w:rFonts w:eastAsia="宋体"/>
      <w:sz w:val="18"/>
      <w:szCs w:val="18"/>
      <w:lang w:val="en-US" w:eastAsia="zh-CN" w:bidi="ar-SA"/>
    </w:rPr>
  </w:style>
  <w:style w:type="paragraph" w:styleId="986">
    <w:name w:val="目录 1"/>
    <w:basedOn w:val="933"/>
    <w:next w:val="933"/>
    <w:link w:val="933"/>
    <w:uiPriority w:val="39"/>
    <w:qFormat/>
    <w:pPr>
      <w:spacing w:line="300" w:lineRule="auto"/>
      <w:tabs>
        <w:tab w:val="left" w:pos="1050" w:leader="none"/>
        <w:tab w:val="right" w:pos="8937" w:leader="dot"/>
      </w:tabs>
    </w:pPr>
    <w:rPr>
      <w:rFonts w:ascii="宋体" w:hAnsi="宋体"/>
      <w:b/>
      <w:sz w:val="24"/>
    </w:rPr>
  </w:style>
  <w:style w:type="paragraph" w:styleId="987">
    <w:name w:val="目录 4"/>
    <w:basedOn w:val="933"/>
    <w:next w:val="933"/>
    <w:link w:val="933"/>
    <w:qFormat/>
    <w:pPr>
      <w:ind w:left="1260"/>
    </w:pPr>
  </w:style>
  <w:style w:type="paragraph" w:styleId="988">
    <w:name w:val="目录 6"/>
    <w:basedOn w:val="933"/>
    <w:next w:val="933"/>
    <w:link w:val="933"/>
    <w:qFormat/>
    <w:pPr>
      <w:ind w:left="2100"/>
    </w:pPr>
  </w:style>
  <w:style w:type="paragraph" w:styleId="989">
    <w:name w:val="正文文本缩进 3"/>
    <w:basedOn w:val="933"/>
    <w:next w:val="989"/>
    <w:link w:val="990"/>
    <w:qFormat/>
    <w:pPr>
      <w:ind w:left="720" w:firstLine="480"/>
      <w:jc w:val="left"/>
      <w:spacing w:before="120" w:line="22" w:lineRule="atLeast"/>
    </w:pPr>
    <w:rPr>
      <w:rFonts w:ascii="宋体"/>
      <w:sz w:val="24"/>
      <w:szCs w:val="20"/>
    </w:rPr>
  </w:style>
  <w:style w:type="character" w:styleId="990">
    <w:name w:val="正文文本缩进 3 Char"/>
    <w:next w:val="990"/>
    <w:link w:val="989"/>
    <w:qFormat/>
    <w:rPr>
      <w:rFonts w:ascii="宋体"/>
      <w:sz w:val="24"/>
    </w:rPr>
  </w:style>
  <w:style w:type="paragraph" w:styleId="991">
    <w:name w:val="目录 2"/>
    <w:basedOn w:val="933"/>
    <w:next w:val="933"/>
    <w:link w:val="933"/>
    <w:uiPriority w:val="39"/>
    <w:qFormat/>
    <w:pPr>
      <w:ind w:left="420"/>
      <w:spacing w:line="312" w:lineRule="auto"/>
      <w:tabs>
        <w:tab w:val="right" w:pos="8937" w:leader="dot"/>
      </w:tabs>
    </w:pPr>
  </w:style>
  <w:style w:type="paragraph" w:styleId="992">
    <w:name w:val="目录 9"/>
    <w:basedOn w:val="933"/>
    <w:next w:val="933"/>
    <w:link w:val="933"/>
    <w:qFormat/>
    <w:pPr>
      <w:ind w:left="3360"/>
    </w:pPr>
  </w:style>
  <w:style w:type="paragraph" w:styleId="993">
    <w:name w:val="HTML 预设格式"/>
    <w:basedOn w:val="933"/>
    <w:next w:val="993"/>
    <w:link w:val="99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4">
    <w:name w:val="HTML 预设格式 Char"/>
    <w:next w:val="994"/>
    <w:link w:val="993"/>
    <w:qFormat/>
    <w:rPr>
      <w:rFonts w:ascii="宋体" w:hAnsi="宋体" w:cs="宋体"/>
      <w:sz w:val="24"/>
      <w:szCs w:val="24"/>
    </w:rPr>
  </w:style>
  <w:style w:type="paragraph" w:styleId="995">
    <w:name w:val="普通(网站)"/>
    <w:basedOn w:val="933"/>
    <w:next w:val="995"/>
    <w:link w:val="933"/>
    <w:uiPriority w:val="99"/>
    <w:unhideWhenUsed/>
    <w:qFormat/>
    <w:pPr>
      <w:jc w:val="left"/>
      <w:spacing w:before="100" w:beforeAutospacing="1" w:after="100" w:afterAutospacing="1"/>
      <w:widowControl/>
    </w:pPr>
    <w:rPr>
      <w:rFonts w:ascii="宋体" w:hAnsi="宋体" w:cs="宋体"/>
      <w:sz w:val="24"/>
    </w:rPr>
  </w:style>
  <w:style w:type="paragraph" w:styleId="996">
    <w:name w:val="索引 1"/>
    <w:basedOn w:val="933"/>
    <w:next w:val="933"/>
    <w:link w:val="933"/>
    <w:qFormat/>
    <w:rPr>
      <w:szCs w:val="20"/>
    </w:rPr>
  </w:style>
  <w:style w:type="paragraph" w:styleId="997">
    <w:name w:val="标题"/>
    <w:basedOn w:val="933"/>
    <w:next w:val="997"/>
    <w:link w:val="998"/>
    <w:qFormat/>
    <w:pPr>
      <w:jc w:val="center"/>
      <w:outlineLvl w:val="0"/>
    </w:pPr>
    <w:rPr>
      <w:b/>
      <w:sz w:val="32"/>
      <w:szCs w:val="20"/>
    </w:rPr>
  </w:style>
  <w:style w:type="character" w:styleId="998">
    <w:name w:val="标题 Char1"/>
    <w:next w:val="998"/>
    <w:link w:val="997"/>
    <w:qFormat/>
    <w:rPr>
      <w:b/>
      <w:sz w:val="32"/>
    </w:rPr>
  </w:style>
  <w:style w:type="paragraph" w:styleId="999">
    <w:name w:val="批注主题"/>
    <w:basedOn w:val="960"/>
    <w:next w:val="960"/>
    <w:link w:val="1000"/>
    <w:qFormat/>
    <w:rPr>
      <w:b/>
      <w:bCs/>
    </w:rPr>
  </w:style>
  <w:style w:type="character" w:styleId="1000">
    <w:name w:val="批注主题 Char"/>
    <w:next w:val="1000"/>
    <w:link w:val="999"/>
    <w:qFormat/>
    <w:rPr>
      <w:rFonts w:ascii="Times New Roman" w:hAnsi="Times New Roman" w:eastAsia="宋体" w:cs="Times New Roman"/>
      <w:b/>
      <w:bCs/>
      <w:sz w:val="21"/>
      <w:szCs w:val="24"/>
      <w:lang w:val="en-US" w:eastAsia="zh-CN" w:bidi="ar-SA"/>
    </w:rPr>
  </w:style>
  <w:style w:type="paragraph" w:styleId="1001">
    <w:name w:val="正文首行缩进 2"/>
    <w:basedOn w:val="966"/>
    <w:next w:val="933"/>
    <w:link w:val="1002"/>
    <w:qFormat/>
    <w:pPr>
      <w:ind w:left="420" w:firstLine="420"/>
      <w:spacing w:after="120" w:line="480" w:lineRule="exact"/>
    </w:pPr>
    <w:rPr>
      <w:szCs w:val="20"/>
    </w:rPr>
  </w:style>
  <w:style w:type="character" w:styleId="1002">
    <w:name w:val="正文首行缩进 2 Char"/>
    <w:next w:val="1002"/>
    <w:link w:val="1001"/>
    <w:qFormat/>
    <w:rPr>
      <w:rFonts w:eastAsia="宋体"/>
      <w:sz w:val="24"/>
      <w:szCs w:val="24"/>
      <w:lang w:val="en-US" w:eastAsia="zh-CN" w:bidi="ar-SA"/>
    </w:rPr>
  </w:style>
  <w:style w:type="table" w:styleId="1003">
    <w:name w:val="网格型"/>
    <w:basedOn w:val="944"/>
    <w:next w:val="1003"/>
    <w:link w:val="933"/>
    <w:uiPriority w:val="39"/>
    <w:qFormat/>
    <w:tblPr/>
  </w:style>
  <w:style w:type="table" w:styleId="1004">
    <w:name w:val="中等深浅网格 1 - 强调文字颜色 2"/>
    <w:basedOn w:val="944"/>
    <w:next w:val="1004"/>
    <w:link w:val="933"/>
    <w:qFormat/>
    <w:rPr>
      <w:sz w:val="21"/>
      <w:szCs w:val="24"/>
    </w:rPr>
    <w:tblPr/>
  </w:style>
  <w:style w:type="character" w:styleId="1005">
    <w:name w:val="要点"/>
    <w:next w:val="1005"/>
    <w:link w:val="933"/>
    <w:qFormat/>
    <w:rPr>
      <w:b/>
      <w:bCs/>
    </w:rPr>
  </w:style>
  <w:style w:type="character" w:styleId="1006">
    <w:name w:val="页码"/>
    <w:next w:val="1006"/>
    <w:link w:val="933"/>
    <w:qFormat/>
  </w:style>
  <w:style w:type="character" w:styleId="1007">
    <w:name w:val="已访问的超链接"/>
    <w:next w:val="1007"/>
    <w:link w:val="933"/>
    <w:uiPriority w:val="99"/>
    <w:qFormat/>
    <w:rPr>
      <w:color w:val="800080"/>
      <w:u w:val="single"/>
    </w:rPr>
  </w:style>
  <w:style w:type="character" w:styleId="1008">
    <w:name w:val="强调"/>
    <w:next w:val="1008"/>
    <w:link w:val="933"/>
    <w:qFormat/>
    <w:rPr>
      <w:color w:val="cc0033"/>
    </w:rPr>
  </w:style>
  <w:style w:type="character" w:styleId="1009">
    <w:name w:val="超链接"/>
    <w:next w:val="1009"/>
    <w:link w:val="933"/>
    <w:uiPriority w:val="99"/>
    <w:qFormat/>
    <w:rPr>
      <w:color w:val="0000ff"/>
      <w:u w:val="single"/>
    </w:rPr>
  </w:style>
  <w:style w:type="character" w:styleId="1010">
    <w:name w:val="批注引用"/>
    <w:next w:val="1010"/>
    <w:link w:val="933"/>
    <w:qFormat/>
    <w:rPr>
      <w:sz w:val="21"/>
      <w:szCs w:val="21"/>
    </w:rPr>
  </w:style>
  <w:style w:type="character" w:styleId="1011">
    <w:name w:val="HTML 引文"/>
    <w:next w:val="1011"/>
    <w:link w:val="933"/>
    <w:qFormat/>
    <w:rPr>
      <w:i/>
      <w:iCs/>
    </w:rPr>
  </w:style>
  <w:style w:type="character" w:styleId="1012">
    <w:name w:val="强调1"/>
    <w:next w:val="1012"/>
    <w:link w:val="933"/>
    <w:qFormat/>
    <w:rPr>
      <w:sz w:val="21"/>
      <w:szCs w:val="24"/>
      <w:lang w:val="en-US" w:eastAsia="zh-CN" w:bidi="ar-SA"/>
    </w:rPr>
  </w:style>
  <w:style w:type="character" w:styleId="1013">
    <w:name w:val="批注文字 字符"/>
    <w:next w:val="1013"/>
    <w:link w:val="933"/>
    <w:qFormat/>
    <w:rPr>
      <w:rFonts w:ascii="Times New Roman" w:hAnsi="Times New Roman" w:eastAsia="宋体" w:cs="Times New Roman"/>
      <w:sz w:val="24"/>
      <w:lang w:val="en-US" w:eastAsia="zh-CN" w:bidi="ar-SA"/>
    </w:rPr>
  </w:style>
  <w:style w:type="character" w:styleId="1014">
    <w:name w:val="中等深浅网格 1 - 强调文字颜色 2 Char"/>
    <w:next w:val="1014"/>
    <w:link w:val="1015"/>
    <w:qFormat/>
    <w:rPr>
      <w:sz w:val="21"/>
      <w:szCs w:val="24"/>
      <w:lang w:val="zh-CN" w:eastAsia="zh-CN" w:bidi="ar-SA"/>
    </w:rPr>
  </w:style>
  <w:style w:type="paragraph" w:styleId="1015">
    <w:name w:val="1"/>
    <w:next w:val="1015"/>
    <w:link w:val="1014"/>
    <w:qFormat/>
    <w:rPr>
      <w:sz w:val="21"/>
      <w:szCs w:val="24"/>
      <w:lang w:val="zh-CN" w:eastAsia="zh-CN" w:bidi="ar-SA"/>
    </w:rPr>
  </w:style>
  <w:style w:type="character" w:styleId="1016">
    <w:name w:val="正文文本缩进 Char1"/>
    <w:next w:val="1016"/>
    <w:link w:val="1017"/>
    <w:qFormat/>
    <w:rPr>
      <w:rFonts w:ascii="宋体" w:hAnsi="宋体" w:eastAsia="宋体"/>
      <w:sz w:val="24"/>
      <w:szCs w:val="24"/>
      <w:lang w:bidi="ar-SA"/>
    </w:rPr>
  </w:style>
  <w:style w:type="paragraph" w:styleId="1017">
    <w:name w:val="正文文本缩进1"/>
    <w:basedOn w:val="933"/>
    <w:next w:val="1017"/>
    <w:link w:val="1016"/>
    <w:qFormat/>
    <w:pPr>
      <w:ind w:firstLine="480"/>
      <w:spacing w:line="480" w:lineRule="exact"/>
    </w:pPr>
    <w:rPr>
      <w:rFonts w:ascii="宋体" w:hAnsi="宋体"/>
      <w:sz w:val="24"/>
    </w:rPr>
  </w:style>
  <w:style w:type="character" w:styleId="1018">
    <w:name w:val="chanpin拷贝"/>
    <w:next w:val="1018"/>
    <w:link w:val="933"/>
    <w:qFormat/>
  </w:style>
  <w:style w:type="character" w:styleId="1019">
    <w:name w:val="纯文本 字符1"/>
    <w:next w:val="1019"/>
    <w:link w:val="933"/>
    <w:qFormat/>
    <w:rPr>
      <w:rFonts w:ascii="宋体" w:hAnsi="Courier New"/>
    </w:rPr>
  </w:style>
  <w:style w:type="character" w:styleId="1020">
    <w:name w:val="street-address"/>
    <w:next w:val="1020"/>
    <w:link w:val="933"/>
    <w:qFormat/>
  </w:style>
  <w:style w:type="character" w:styleId="1021">
    <w:name w:val="正文格式 Char"/>
    <w:next w:val="1021"/>
    <w:link w:val="1022"/>
    <w:qFormat/>
    <w:rPr>
      <w:rFonts w:ascii="宋体" w:hAnsi="宋体"/>
      <w:sz w:val="24"/>
      <w:szCs w:val="24"/>
      <w:lang w:val="en-GB"/>
    </w:rPr>
  </w:style>
  <w:style w:type="paragraph" w:styleId="1022">
    <w:name w:val="正文格式"/>
    <w:basedOn w:val="933"/>
    <w:next w:val="1022"/>
    <w:link w:val="1021"/>
    <w:qFormat/>
    <w:pPr>
      <w:ind w:firstLine="480"/>
      <w:spacing w:line="360" w:lineRule="auto"/>
    </w:pPr>
    <w:rPr>
      <w:rFonts w:ascii="宋体" w:hAnsi="宋体"/>
      <w:sz w:val="24"/>
      <w:lang w:val="en-GB"/>
    </w:rPr>
  </w:style>
  <w:style w:type="character" w:styleId="1023">
    <w:name w:val="成文日期 Char"/>
    <w:next w:val="1023"/>
    <w:link w:val="1024"/>
    <w:rPr>
      <w:rFonts w:ascii="仿宋_GB2312" w:eastAsia="仿宋_GB2312"/>
      <w:sz w:val="32"/>
    </w:rPr>
  </w:style>
  <w:style w:type="paragraph" w:styleId="1024">
    <w:name w:val="成文日期"/>
    <w:basedOn w:val="933"/>
    <w:next w:val="1024"/>
    <w:link w:val="1023"/>
    <w:qFormat/>
    <w:pPr>
      <w:ind w:right="400" w:firstLine="200"/>
      <w:jc w:val="right"/>
      <w:spacing w:line="570" w:lineRule="exact"/>
    </w:pPr>
    <w:rPr>
      <w:rFonts w:ascii="仿宋_GB2312" w:eastAsia="仿宋_GB2312"/>
      <w:sz w:val="32"/>
      <w:szCs w:val="20"/>
    </w:rPr>
  </w:style>
  <w:style w:type="character" w:styleId="1025">
    <w:name w:val="正文表格 Char"/>
    <w:next w:val="1025"/>
    <w:link w:val="1026"/>
    <w:qFormat/>
    <w:rPr>
      <w:rFonts w:ascii="宋体" w:hAnsi="宋体"/>
      <w:color w:val="000000"/>
      <w:sz w:val="21"/>
      <w:szCs w:val="21"/>
    </w:rPr>
  </w:style>
  <w:style w:type="paragraph" w:styleId="1026">
    <w:name w:val="正文表格"/>
    <w:basedOn w:val="933"/>
    <w:next w:val="1026"/>
    <w:link w:val="1025"/>
    <w:qFormat/>
    <w:pPr>
      <w:jc w:val="left"/>
    </w:pPr>
    <w:rPr>
      <w:rFonts w:ascii="宋体" w:hAnsi="宋体"/>
      <w:color w:val="000000"/>
      <w:szCs w:val="21"/>
    </w:rPr>
  </w:style>
  <w:style w:type="character" w:styleId="1027">
    <w:name w:val="正文大标题 Char"/>
    <w:next w:val="1027"/>
    <w:link w:val="1028"/>
    <w:qFormat/>
    <w:rPr>
      <w:rFonts w:ascii="宋体" w:hAnsi="宋体"/>
      <w:b/>
      <w:color w:val="000000"/>
      <w:sz w:val="28"/>
      <w:szCs w:val="21"/>
    </w:rPr>
  </w:style>
  <w:style w:type="paragraph" w:styleId="1028">
    <w:name w:val="正文大标题"/>
    <w:basedOn w:val="1029"/>
    <w:next w:val="947"/>
    <w:link w:val="1027"/>
    <w:qFormat/>
    <w:pPr>
      <w:jc w:val="center"/>
    </w:pPr>
    <w:rPr>
      <w:i w:val="0"/>
      <w:color w:val="000000"/>
      <w:sz w:val="28"/>
      <w:szCs w:val="21"/>
    </w:rPr>
  </w:style>
  <w:style w:type="paragraph" w:styleId="1029">
    <w:name w:val="正文小标题"/>
    <w:basedOn w:val="933"/>
    <w:next w:val="947"/>
    <w:link w:val="1030"/>
    <w:qFormat/>
    <w:pPr>
      <w:ind w:firstLine="482"/>
      <w:jc w:val="left"/>
      <w:spacing w:before="312" w:after="312"/>
    </w:pPr>
    <w:rPr>
      <w:rFonts w:ascii="宋体" w:hAnsi="宋体"/>
      <w:b/>
      <w:i/>
      <w:color w:val="ff0000"/>
      <w:sz w:val="24"/>
      <w:szCs w:val="20"/>
    </w:rPr>
  </w:style>
  <w:style w:type="character" w:styleId="1030">
    <w:name w:val="正文小标题 Char"/>
    <w:next w:val="1030"/>
    <w:link w:val="1029"/>
    <w:qFormat/>
    <w:rPr>
      <w:rFonts w:ascii="宋体" w:hAnsi="宋体"/>
      <w:b/>
      <w:i/>
      <w:color w:val="ff0000"/>
      <w:sz w:val="24"/>
    </w:rPr>
  </w:style>
  <w:style w:type="character" w:styleId="1031">
    <w:name w:val="bjh-p"/>
    <w:next w:val="1031"/>
    <w:link w:val="933"/>
    <w:qFormat/>
  </w:style>
  <w:style w:type="character" w:styleId="1032">
    <w:name w:val="正文缩进 Char Char"/>
    <w:next w:val="1032"/>
    <w:link w:val="1033"/>
    <w:qFormat/>
    <w:rPr>
      <w:rFonts w:ascii="宋体" w:eastAsia="宋体"/>
      <w:color w:val="000000"/>
      <w:sz w:val="28"/>
      <w:lang w:bidi="ar-SA"/>
    </w:rPr>
  </w:style>
  <w:style w:type="paragraph" w:styleId="1033">
    <w:name w:val="正文缩进1"/>
    <w:basedOn w:val="933"/>
    <w:next w:val="1033"/>
    <w:link w:val="1032"/>
    <w:qFormat/>
    <w:pPr>
      <w:ind w:firstLine="567"/>
      <w:spacing w:line="480" w:lineRule="exact"/>
      <w:widowControl/>
    </w:pPr>
    <w:rPr>
      <w:rFonts w:ascii="宋体"/>
      <w:color w:val="000000"/>
      <w:sz w:val="28"/>
      <w:szCs w:val="20"/>
    </w:rPr>
  </w:style>
  <w:style w:type="character" w:styleId="1034">
    <w:name w:val="标题 Char"/>
    <w:next w:val="1034"/>
    <w:link w:val="933"/>
    <w:qFormat/>
    <w:rPr>
      <w:b/>
      <w:sz w:val="32"/>
    </w:rPr>
  </w:style>
  <w:style w:type="character" w:styleId="1035">
    <w:name w:val="列出段落 Char"/>
    <w:next w:val="1035"/>
    <w:link w:val="933"/>
    <w:qFormat/>
    <w:rPr>
      <w:rFonts w:ascii="Calibri" w:hAnsi="Calibri" w:eastAsia="宋体"/>
      <w:sz w:val="21"/>
      <w:szCs w:val="22"/>
      <w:lang w:val="en-US" w:eastAsia="zh-CN" w:bidi="ar-SA"/>
    </w:rPr>
  </w:style>
  <w:style w:type="character" w:styleId="1036">
    <w:name w:val="Char Char111"/>
    <w:next w:val="1036"/>
    <w:link w:val="933"/>
    <w:qFormat/>
    <w:rPr>
      <w:rFonts w:ascii="宋体" w:eastAsia="宋体"/>
      <w:b/>
      <w:sz w:val="24"/>
      <w:u w:val="single"/>
      <w:lang w:val="en-US" w:eastAsia="zh-CN" w:bidi="ar-SA"/>
    </w:rPr>
  </w:style>
  <w:style w:type="character" w:styleId="1037">
    <w:name w:val="列出段落 Char1"/>
    <w:next w:val="1037"/>
    <w:link w:val="1038"/>
    <w:uiPriority w:val="34"/>
    <w:qFormat/>
    <w:rPr>
      <w:rFonts w:ascii="Calibri" w:hAnsi="Calibri" w:eastAsia="宋体"/>
      <w:sz w:val="21"/>
      <w:szCs w:val="22"/>
      <w:lang w:val="en-US" w:eastAsia="zh-CN" w:bidi="ar-SA"/>
    </w:rPr>
  </w:style>
  <w:style w:type="paragraph" w:styleId="1038">
    <w:name w:val="列出段落"/>
    <w:basedOn w:val="933"/>
    <w:next w:val="1038"/>
    <w:link w:val="1037"/>
    <w:uiPriority w:val="34"/>
    <w:qFormat/>
    <w:pPr>
      <w:ind w:firstLine="420"/>
    </w:pPr>
    <w:rPr>
      <w:rFonts w:ascii="Calibri" w:hAnsi="Calibri"/>
      <w:szCs w:val="22"/>
    </w:rPr>
  </w:style>
  <w:style w:type="character" w:styleId="1039">
    <w:name w:val="注释 Char"/>
    <w:next w:val="1039"/>
    <w:link w:val="1040"/>
    <w:qFormat/>
    <w:rPr>
      <w:rFonts w:ascii="宋体" w:hAnsi="宋体"/>
      <w:sz w:val="21"/>
      <w:szCs w:val="21"/>
    </w:rPr>
  </w:style>
  <w:style w:type="paragraph" w:styleId="1040">
    <w:name w:val="注释"/>
    <w:basedOn w:val="933"/>
    <w:next w:val="1040"/>
    <w:link w:val="1039"/>
    <w:qFormat/>
    <w:pPr>
      <w:ind w:left="420" w:hanging="420"/>
      <w:jc w:val="left"/>
    </w:pPr>
    <w:rPr>
      <w:rFonts w:ascii="宋体" w:hAnsi="宋体"/>
      <w:szCs w:val="21"/>
    </w:rPr>
  </w:style>
  <w:style w:type="character" w:styleId="1041">
    <w:name w:val="txt"/>
    <w:next w:val="1041"/>
    <w:link w:val="933"/>
    <w:qFormat/>
  </w:style>
  <w:style w:type="character" w:styleId="1042">
    <w:name w:val="标题 2 Char Char"/>
    <w:next w:val="1042"/>
    <w:link w:val="933"/>
    <w:qFormat/>
    <w:rPr>
      <w:rFonts w:ascii="Arial" w:hAnsi="Arial" w:eastAsia="黑体"/>
      <w:b/>
      <w:bCs/>
      <w:sz w:val="32"/>
      <w:szCs w:val="32"/>
      <w:lang w:val="en-US" w:eastAsia="zh-CN" w:bidi="ar-SA"/>
    </w:rPr>
  </w:style>
  <w:style w:type="character" w:styleId="1043">
    <w:name w:val="纯文本 Char1"/>
    <w:next w:val="1043"/>
    <w:link w:val="933"/>
    <w:qFormat/>
    <w:rPr>
      <w:rFonts w:ascii="宋体" w:hAnsi="Courier New" w:eastAsia="宋体"/>
      <w:sz w:val="21"/>
      <w:lang w:val="en-US" w:eastAsia="zh-CN" w:bidi="ar-SA"/>
    </w:rPr>
  </w:style>
  <w:style w:type="character" w:styleId="1044">
    <w:name w:val="c21"/>
    <w:next w:val="1044"/>
    <w:link w:val="933"/>
    <w:qFormat/>
    <w:rPr>
      <w:rFonts w:ascii="ˎ̥" w:hAnsi="ˎ̥"/>
      <w:color w:val="000000"/>
      <w:sz w:val="20"/>
      <w:szCs w:val="20"/>
      <w:u w:val="none"/>
    </w:rPr>
  </w:style>
  <w:style w:type="character" w:styleId="1045">
    <w:name w:val="title4"/>
    <w:next w:val="1045"/>
    <w:link w:val="933"/>
    <w:qFormat/>
    <w:rPr>
      <w:b/>
      <w:bCs/>
      <w:color w:val="1d87b3"/>
      <w:sz w:val="15"/>
      <w:szCs w:val="15"/>
    </w:rPr>
  </w:style>
  <w:style w:type="character" w:styleId="1046">
    <w:name w:val="页脚 Char"/>
    <w:next w:val="1046"/>
    <w:link w:val="933"/>
    <w:qFormat/>
    <w:rPr>
      <w:rFonts w:ascii="宋体" w:eastAsia="宋体"/>
      <w:sz w:val="18"/>
      <w:lang w:val="en-US" w:eastAsia="zh-CN" w:bidi="ar-SA"/>
    </w:rPr>
  </w:style>
  <w:style w:type="character" w:styleId="1047">
    <w:name w:val="locality"/>
    <w:next w:val="1047"/>
    <w:link w:val="933"/>
    <w:qFormat/>
  </w:style>
  <w:style w:type="character" w:styleId="1048">
    <w:name w:val="black1"/>
    <w:next w:val="1048"/>
    <w:link w:val="933"/>
    <w:qFormat/>
    <w:rPr>
      <w:color w:val="000000"/>
    </w:rPr>
  </w:style>
  <w:style w:type="character" w:styleId="1049">
    <w:name w:val="chanpin1"/>
    <w:next w:val="1049"/>
    <w:link w:val="933"/>
    <w:qFormat/>
    <w:rPr>
      <w:rFonts w:ascii="ˎ̥" w:hAnsi="ˎ̥"/>
      <w:color w:val="000000"/>
      <w:sz w:val="20"/>
      <w:szCs w:val="20"/>
      <w:u w:val="none"/>
    </w:rPr>
  </w:style>
  <w:style w:type="character" w:styleId="1050">
    <w:name w:val="段1 Char"/>
    <w:next w:val="1050"/>
    <w:link w:val="933"/>
    <w:qFormat/>
    <w:rPr>
      <w:rFonts w:ascii="宋体" w:eastAsia="宋体"/>
      <w:sz w:val="24"/>
      <w:lang w:val="en-US" w:eastAsia="zh-CN" w:bidi="ar-SA"/>
    </w:rPr>
  </w:style>
  <w:style w:type="character" w:styleId="1051">
    <w:name w:val="标题 3 Char"/>
    <w:next w:val="1051"/>
    <w:link w:val="933"/>
    <w:qFormat/>
    <w:rPr>
      <w:rFonts w:ascii="宋体" w:eastAsia="宋体"/>
      <w:b/>
      <w:sz w:val="24"/>
      <w:u w:val="single"/>
      <w:lang w:val="en-US" w:eastAsia="zh-CN" w:bidi="ar-SA"/>
    </w:rPr>
  </w:style>
  <w:style w:type="character" w:styleId="1052">
    <w:name w:val="标题 2 Char"/>
    <w:next w:val="1052"/>
    <w:link w:val="933"/>
    <w:qFormat/>
    <w:rPr>
      <w:rFonts w:ascii="Arial" w:hAnsi="Arial" w:eastAsia="黑体"/>
      <w:b/>
      <w:sz w:val="30"/>
      <w:lang w:val="en-US" w:eastAsia="zh-CN" w:bidi="ar-SA"/>
    </w:rPr>
  </w:style>
  <w:style w:type="character" w:styleId="1053">
    <w:name w:val="正文文本缩进 Char"/>
    <w:next w:val="1053"/>
    <w:link w:val="933"/>
    <w:qFormat/>
    <w:rPr>
      <w:rFonts w:eastAsia="宋体"/>
      <w:sz w:val="24"/>
      <w:szCs w:val="24"/>
      <w:lang w:val="en-US" w:eastAsia="zh-CN" w:bidi="ar-SA"/>
    </w:rPr>
  </w:style>
  <w:style w:type="character" w:styleId="1054">
    <w:name w:val="Char Char11"/>
    <w:next w:val="1054"/>
    <w:link w:val="933"/>
    <w:qFormat/>
    <w:rPr>
      <w:rFonts w:ascii="宋体" w:eastAsia="宋体"/>
      <w:b/>
      <w:sz w:val="24"/>
      <w:u w:val="single"/>
      <w:lang w:val="en-US" w:eastAsia="zh-CN" w:bidi="ar-SA"/>
    </w:rPr>
  </w:style>
  <w:style w:type="character" w:styleId="1055">
    <w:name w:val="页眉 Char"/>
    <w:next w:val="1055"/>
    <w:link w:val="933"/>
    <w:qFormat/>
    <w:rPr>
      <w:rFonts w:eastAsia="宋体"/>
      <w:sz w:val="18"/>
      <w:szCs w:val="18"/>
      <w:lang w:val="en-US" w:eastAsia="zh-CN" w:bidi="ar-SA"/>
    </w:rPr>
  </w:style>
  <w:style w:type="character" w:styleId="1056">
    <w:name w:val="纯文本 字符"/>
    <w:next w:val="1056"/>
    <w:link w:val="933"/>
    <w:uiPriority w:val="99"/>
    <w:qFormat/>
    <w:rPr>
      <w:rFonts w:ascii="宋体" w:hAnsi="Courier New" w:eastAsia="宋体" w:cs="Times New Roman"/>
      <w:sz w:val="21"/>
      <w:szCs w:val="21"/>
      <w:lang w:val="en-US" w:eastAsia="zh-CN" w:bidi="ar-SA"/>
    </w:rPr>
  </w:style>
  <w:style w:type="character" w:styleId="1057">
    <w:name w:val="正文重点 Char"/>
    <w:next w:val="1057"/>
    <w:link w:val="1058"/>
    <w:qFormat/>
    <w:rPr>
      <w:b/>
      <w:sz w:val="24"/>
    </w:rPr>
  </w:style>
  <w:style w:type="paragraph" w:styleId="1058">
    <w:name w:val="正文重点"/>
    <w:basedOn w:val="933"/>
    <w:next w:val="1058"/>
    <w:link w:val="1057"/>
    <w:qFormat/>
    <w:pPr>
      <w:ind w:firstLine="482"/>
      <w:jc w:val="left"/>
      <w:spacing w:line="360" w:lineRule="auto"/>
    </w:pPr>
    <w:rPr>
      <w:b/>
      <w:sz w:val="24"/>
      <w:szCs w:val="20"/>
    </w:rPr>
  </w:style>
  <w:style w:type="character" w:styleId="1059">
    <w:name w:val="正文缩进 Char"/>
    <w:next w:val="1059"/>
    <w:link w:val="933"/>
    <w:qFormat/>
    <w:rPr>
      <w:rFonts w:ascii="宋体" w:eastAsia="宋体"/>
      <w:sz w:val="24"/>
      <w:szCs w:val="24"/>
      <w:lang w:val="en-US" w:eastAsia="zh-CN" w:bidi="ar-SA"/>
    </w:rPr>
  </w:style>
  <w:style w:type="character" w:styleId="1060">
    <w:name w:val="普通文字1 Char1"/>
    <w:next w:val="1060"/>
    <w:link w:val="933"/>
    <w:qFormat/>
    <w:rPr>
      <w:rFonts w:ascii="宋体" w:hAnsi="Courier New" w:eastAsia="宋体"/>
      <w:sz w:val="21"/>
      <w:lang w:val="en-US" w:eastAsia="zh-CN" w:bidi="ar-SA"/>
    </w:rPr>
  </w:style>
  <w:style w:type="character" w:styleId="1061">
    <w:name w:val="批注文字 Char"/>
    <w:next w:val="1061"/>
    <w:link w:val="933"/>
    <w:uiPriority w:val="99"/>
    <w:qFormat/>
    <w:rPr>
      <w:sz w:val="21"/>
      <w:szCs w:val="24"/>
    </w:rPr>
  </w:style>
  <w:style w:type="character" w:styleId="1062">
    <w:name w:val="apple-style-span"/>
    <w:next w:val="1062"/>
    <w:link w:val="933"/>
    <w:qFormat/>
    <w:rPr>
      <w:rFonts w:cs="Times New Roman"/>
    </w:rPr>
  </w:style>
  <w:style w:type="character" w:styleId="1063">
    <w:name w:val="标题 3 Char Char"/>
    <w:next w:val="1063"/>
    <w:link w:val="933"/>
    <w:qFormat/>
    <w:rPr>
      <w:rFonts w:eastAsia="宋体"/>
      <w:b/>
      <w:bCs/>
      <w:sz w:val="32"/>
      <w:szCs w:val="32"/>
      <w:lang w:val="en-US" w:eastAsia="zh-CN" w:bidi="ar-SA"/>
    </w:rPr>
  </w:style>
  <w:style w:type="paragraph" w:styleId="1064">
    <w:name w:val="无间隔"/>
    <w:next w:val="1064"/>
    <w:link w:val="933"/>
    <w:qFormat/>
    <w:pPr>
      <w:jc w:val="both"/>
      <w:widowControl w:val="off"/>
    </w:pPr>
    <w:rPr>
      <w:sz w:val="21"/>
      <w:szCs w:val="24"/>
      <w:lang w:val="en-US" w:eastAsia="zh-CN" w:bidi="ar-SA"/>
    </w:rPr>
  </w:style>
  <w:style w:type="paragraph" w:styleId="1065">
    <w:name w:val="xl38"/>
    <w:basedOn w:val="933"/>
    <w:next w:val="1065"/>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6">
    <w:name w:val="Char"/>
    <w:basedOn w:val="933"/>
    <w:next w:val="1066"/>
    <w:link w:val="933"/>
    <w:qFormat/>
    <w:pPr>
      <w:tabs>
        <w:tab w:val="left" w:pos="360" w:leader="none"/>
      </w:tabs>
    </w:pPr>
    <w:rPr>
      <w:sz w:val="24"/>
    </w:rPr>
  </w:style>
  <w:style w:type="paragraph" w:styleId="1067">
    <w:name w:val="xl25"/>
    <w:basedOn w:val="933"/>
    <w:next w:val="1067"/>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8">
    <w:name w:val="xl45"/>
    <w:basedOn w:val="933"/>
    <w:next w:val="1068"/>
    <w:link w:val="93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9">
    <w:name w:val="列出段落1"/>
    <w:basedOn w:val="933"/>
    <w:next w:val="1069"/>
    <w:link w:val="933"/>
    <w:qFormat/>
    <w:pPr>
      <w:ind w:firstLine="420"/>
    </w:pPr>
    <w:rPr>
      <w:rFonts w:ascii="Calibri" w:hAnsi="Calibri"/>
      <w:szCs w:val="22"/>
    </w:rPr>
  </w:style>
  <w:style w:type="paragraph" w:styleId="1070">
    <w:name w:val="Char Char Char Char Char Char Char Char Char Char"/>
    <w:basedOn w:val="933"/>
    <w:next w:val="1070"/>
    <w:link w:val="933"/>
    <w:qFormat/>
  </w:style>
  <w:style w:type="paragraph" w:styleId="1071">
    <w:name w:val="xl40"/>
    <w:basedOn w:val="933"/>
    <w:next w:val="1071"/>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2">
    <w:name w:val="Char3 Char Char Char1"/>
    <w:basedOn w:val="933"/>
    <w:next w:val="1072"/>
    <w:link w:val="933"/>
    <w:qFormat/>
    <w:rPr>
      <w:rFonts w:ascii="Tahoma" w:hAnsi="Tahoma"/>
      <w:sz w:val="24"/>
      <w:szCs w:val="20"/>
    </w:rPr>
  </w:style>
  <w:style w:type="paragraph" w:styleId="1073">
    <w:name w:val="正文列项_数字"/>
    <w:basedOn w:val="933"/>
    <w:next w:val="1073"/>
    <w:link w:val="933"/>
    <w:qFormat/>
    <w:pPr>
      <w:numPr>
        <w:ilvl w:val="7"/>
        <w:numId w:val="1"/>
      </w:numPr>
      <w:ind w:left="680" w:hanging="150"/>
      <w:spacing w:line="460" w:lineRule="exact"/>
      <w:tabs>
        <w:tab w:val="clear" w:pos="860" w:leader="none"/>
      </w:tabs>
      <w:outlineLvl w:val="7"/>
    </w:pPr>
    <w:rPr>
      <w:rFonts w:ascii="宋体"/>
      <w:sz w:val="28"/>
      <w:szCs w:val="20"/>
    </w:rPr>
  </w:style>
  <w:style w:type="paragraph" w:styleId="1074">
    <w:name w:val="Char1 Char Char Char1"/>
    <w:basedOn w:val="933"/>
    <w:next w:val="1074"/>
    <w:link w:val="933"/>
    <w:qFormat/>
    <w:rPr>
      <w:rFonts w:ascii="Tahoma" w:hAnsi="Tahoma" w:cs="仿宋_GB2312"/>
      <w:sz w:val="24"/>
      <w:szCs w:val="28"/>
    </w:rPr>
  </w:style>
  <w:style w:type="paragraph" w:styleId="1075">
    <w:name w:val="正文缩进2"/>
    <w:basedOn w:val="933"/>
    <w:next w:val="1075"/>
    <w:link w:val="933"/>
    <w:qFormat/>
    <w:pPr>
      <w:ind w:firstLine="567"/>
      <w:spacing w:line="480" w:lineRule="exact"/>
      <w:widowControl/>
    </w:pPr>
    <w:rPr>
      <w:rFonts w:ascii="宋体"/>
      <w:color w:val="000000"/>
      <w:sz w:val="28"/>
      <w:szCs w:val="20"/>
      <w:lang w:val="zh-CN" w:eastAsia="zh-CN"/>
    </w:rPr>
  </w:style>
  <w:style w:type="paragraph" w:styleId="1076">
    <w:name w:val="xl33"/>
    <w:basedOn w:val="933"/>
    <w:next w:val="1076"/>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7">
    <w:name w:val="项目符号1"/>
    <w:basedOn w:val="1078"/>
    <w:next w:val="1077"/>
    <w:link w:val="933"/>
    <w:qFormat/>
    <w:pPr>
      <w:ind w:left="-25" w:firstLine="0"/>
    </w:pPr>
  </w:style>
  <w:style w:type="paragraph" w:styleId="1078">
    <w:name w:val="正文文本样式"/>
    <w:basedOn w:val="933"/>
    <w:next w:val="1078"/>
    <w:link w:val="933"/>
    <w:qFormat/>
    <w:pPr>
      <w:ind w:firstLine="482"/>
      <w:spacing w:line="360" w:lineRule="auto"/>
    </w:pPr>
    <w:rPr>
      <w:rFonts w:cs="宋体"/>
      <w:sz w:val="24"/>
      <w:szCs w:val="20"/>
    </w:rPr>
  </w:style>
  <w:style w:type="paragraph" w:styleId="1079">
    <w:name w:val="章标题"/>
    <w:next w:val="933"/>
    <w:link w:val="93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80">
    <w:name w:val="xl46"/>
    <w:basedOn w:val="933"/>
    <w:next w:val="1080"/>
    <w:link w:val="93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1">
    <w:name w:val="默认段落字体 Para Char Char Char Char"/>
    <w:basedOn w:val="933"/>
    <w:next w:val="1081"/>
    <w:link w:val="933"/>
    <w:qFormat/>
    <w:rPr>
      <w:rFonts w:ascii="Arial" w:hAnsi="Arial" w:cs="Arial"/>
      <w:szCs w:val="21"/>
    </w:rPr>
  </w:style>
  <w:style w:type="paragraph" w:styleId="1082">
    <w:name w:val="图中文字"/>
    <w:basedOn w:val="933"/>
    <w:next w:val="1082"/>
    <w:link w:val="933"/>
    <w:qFormat/>
    <w:pPr>
      <w:jc w:val="center"/>
      <w:spacing w:line="0" w:lineRule="atLeast"/>
    </w:pPr>
    <w:rPr>
      <w:sz w:val="24"/>
      <w:szCs w:val="20"/>
    </w:rPr>
  </w:style>
  <w:style w:type="paragraph" w:styleId="1083">
    <w:name w:val="Char Char Char Char Char Char Char Char Char Char2"/>
    <w:basedOn w:val="933"/>
    <w:next w:val="1083"/>
    <w:link w:val="933"/>
    <w:qFormat/>
    <w:rPr>
      <w:rFonts w:ascii="宋体" w:hAnsi="宋体" w:cs="Courier New"/>
      <w:sz w:val="32"/>
      <w:szCs w:val="32"/>
    </w:rPr>
  </w:style>
  <w:style w:type="paragraph" w:styleId="1084">
    <w:name w:val="三级条标题"/>
    <w:basedOn w:val="1085"/>
    <w:next w:val="933"/>
    <w:link w:val="933"/>
    <w:qFormat/>
    <w:pPr>
      <w:numPr>
        <w:ilvl w:val="3"/>
        <w:numId w:val="1"/>
      </w:numPr>
      <w:ind w:left="0" w:hanging="840"/>
      <w:tabs>
        <w:tab w:val="left" w:pos="360" w:leader="none"/>
        <w:tab w:val="left" w:pos="840" w:leader="none"/>
      </w:tabs>
      <w:outlineLvl w:val="3"/>
    </w:pPr>
  </w:style>
  <w:style w:type="paragraph" w:styleId="1085">
    <w:name w:val="二级条标题"/>
    <w:basedOn w:val="1086"/>
    <w:next w:val="933"/>
    <w:link w:val="933"/>
    <w:qFormat/>
    <w:pPr>
      <w:numPr>
        <w:ilvl w:val="0"/>
        <w:numId w:val="0"/>
      </w:numPr>
      <w:ind w:hanging="840"/>
      <w:tabs>
        <w:tab w:val="left" w:pos="360" w:leader="none"/>
        <w:tab w:val="left" w:pos="840" w:leader="none"/>
      </w:tabs>
      <w:outlineLvl w:val="2"/>
    </w:pPr>
    <w:rPr>
      <w:rFonts w:ascii="宋体" w:eastAsia="宋体"/>
      <w:b w:val="0"/>
    </w:rPr>
  </w:style>
  <w:style w:type="paragraph" w:styleId="1086">
    <w:name w:val="一级条标题"/>
    <w:basedOn w:val="1079"/>
    <w:next w:val="933"/>
    <w:link w:val="933"/>
    <w:qFormat/>
    <w:pPr>
      <w:numPr>
        <w:ilvl w:val="1"/>
      </w:numPr>
      <w:ind w:left="0" w:hanging="840"/>
      <w:tabs>
        <w:tab w:val="left" w:pos="360" w:leader="none"/>
        <w:tab w:val="left" w:pos="840" w:leader="none"/>
      </w:tabs>
      <w:outlineLvl w:val="1"/>
    </w:pPr>
  </w:style>
  <w:style w:type="paragraph" w:styleId="1087">
    <w:name w:val="Char Char41"/>
    <w:basedOn w:val="933"/>
    <w:next w:val="1087"/>
    <w:link w:val="933"/>
    <w:qFormat/>
    <w:pPr>
      <w:jc w:val="center"/>
      <w:spacing w:line="400" w:lineRule="exact"/>
      <w:widowControl/>
    </w:pPr>
  </w:style>
  <w:style w:type="paragraph" w:styleId="1088">
    <w:name w:val="正文 A"/>
    <w:next w:val="1088"/>
    <w:link w:val="933"/>
    <w:qFormat/>
    <w:pPr>
      <w:jc w:val="both"/>
      <w:widowControl w:val="off"/>
    </w:pPr>
    <w:rPr>
      <w:rFonts w:eastAsia="Times New Roman"/>
      <w:color w:val="000000"/>
      <w:sz w:val="21"/>
      <w:szCs w:val="21"/>
      <w:lang w:val="en-US" w:eastAsia="zh-CN" w:bidi="ar-SA"/>
    </w:rPr>
  </w:style>
  <w:style w:type="paragraph" w:styleId="1089">
    <w:name w:val="Char Char Char Char Char Char Char2"/>
    <w:basedOn w:val="933"/>
    <w:next w:val="1089"/>
    <w:link w:val="933"/>
    <w:qFormat/>
    <w:pPr>
      <w:ind w:firstLine="200"/>
      <w:spacing w:line="360" w:lineRule="auto"/>
    </w:pPr>
    <w:rPr>
      <w:rFonts w:eastAsia="仿宋_GB2312"/>
      <w:sz w:val="24"/>
    </w:rPr>
  </w:style>
  <w:style w:type="paragraph" w:styleId="1090">
    <w:name w:val="xl35"/>
    <w:basedOn w:val="933"/>
    <w:next w:val="1090"/>
    <w:link w:val="93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1">
    <w:name w:val="Char Char Char2"/>
    <w:basedOn w:val="933"/>
    <w:next w:val="1091"/>
    <w:link w:val="933"/>
    <w:qFormat/>
    <w:rPr>
      <w:rFonts w:ascii="Tahoma" w:hAnsi="Tahoma"/>
      <w:sz w:val="24"/>
      <w:szCs w:val="20"/>
    </w:rPr>
  </w:style>
  <w:style w:type="paragraph" w:styleId="1092">
    <w:name w:val="Char2 Char Char Char Char Char Char1"/>
    <w:basedOn w:val="933"/>
    <w:next w:val="1092"/>
    <w:link w:val="933"/>
    <w:qFormat/>
    <w:pPr>
      <w:jc w:val="center"/>
      <w:spacing w:line="400" w:lineRule="exact"/>
      <w:widowControl/>
    </w:pPr>
  </w:style>
  <w:style w:type="paragraph" w:styleId="1093">
    <w:name w:val="缺省文本"/>
    <w:basedOn w:val="933"/>
    <w:next w:val="1093"/>
    <w:link w:val="933"/>
    <w:qFormat/>
    <w:pPr>
      <w:jc w:val="left"/>
    </w:pPr>
    <w:rPr>
      <w:sz w:val="24"/>
    </w:rPr>
  </w:style>
  <w:style w:type="paragraph" w:styleId="1094">
    <w:name w:val="Char1"/>
    <w:basedOn w:val="933"/>
    <w:next w:val="1094"/>
    <w:link w:val="933"/>
    <w:qFormat/>
    <w:pPr>
      <w:tabs>
        <w:tab w:val="left" w:pos="360" w:leader="none"/>
      </w:tabs>
    </w:pPr>
    <w:rPr>
      <w:sz w:val="24"/>
    </w:rPr>
  </w:style>
  <w:style w:type="paragraph" w:styleId="1095">
    <w:name w:val="Char Char Char Char Char Char Char"/>
    <w:basedOn w:val="933"/>
    <w:next w:val="1095"/>
    <w:link w:val="933"/>
    <w:qFormat/>
    <w:pPr>
      <w:ind w:firstLine="200"/>
      <w:spacing w:line="360" w:lineRule="auto"/>
    </w:pPr>
    <w:rPr>
      <w:rFonts w:eastAsia="仿宋_GB2312"/>
      <w:sz w:val="24"/>
    </w:rPr>
  </w:style>
  <w:style w:type="paragraph" w:styleId="1096">
    <w:name w:val="字元 字元2"/>
    <w:basedOn w:val="933"/>
    <w:next w:val="1096"/>
    <w:link w:val="933"/>
    <w:qFormat/>
    <w:rPr>
      <w:rFonts w:ascii="Tahoma" w:hAnsi="Tahoma"/>
      <w:sz w:val="24"/>
      <w:szCs w:val="20"/>
    </w:rPr>
  </w:style>
  <w:style w:type="paragraph" w:styleId="1097">
    <w:name w:val="Char Char Char Char Char Char Char1"/>
    <w:basedOn w:val="933"/>
    <w:next w:val="1097"/>
    <w:link w:val="933"/>
    <w:qFormat/>
    <w:pPr>
      <w:ind w:firstLine="200"/>
      <w:spacing w:line="360" w:lineRule="auto"/>
    </w:pPr>
    <w:rPr>
      <w:rFonts w:eastAsia="仿宋_GB2312"/>
      <w:sz w:val="24"/>
    </w:rPr>
  </w:style>
  <w:style w:type="paragraph" w:styleId="1098">
    <w:name w:val="xl41"/>
    <w:basedOn w:val="933"/>
    <w:next w:val="1098"/>
    <w:link w:val="93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9">
    <w:name w:val="Char2"/>
    <w:basedOn w:val="933"/>
    <w:next w:val="1099"/>
    <w:link w:val="933"/>
    <w:qFormat/>
    <w:rPr>
      <w:rFonts w:ascii="Tahoma" w:hAnsi="Tahoma"/>
      <w:sz w:val="24"/>
      <w:szCs w:val="20"/>
    </w:rPr>
  </w:style>
  <w:style w:type="paragraph" w:styleId="1100">
    <w:name w:val="xl52"/>
    <w:basedOn w:val="933"/>
    <w:next w:val="1100"/>
    <w:link w:val="9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1">
    <w:name w:val="字元 字元"/>
    <w:basedOn w:val="933"/>
    <w:next w:val="1101"/>
    <w:link w:val="933"/>
    <w:qFormat/>
    <w:rPr>
      <w:rFonts w:ascii="Tahoma" w:hAnsi="Tahoma"/>
      <w:sz w:val="24"/>
      <w:szCs w:val="20"/>
    </w:rPr>
  </w:style>
  <w:style w:type="paragraph" w:styleId="1102">
    <w:name w:val="Revision"/>
    <w:next w:val="1102"/>
    <w:link w:val="933"/>
    <w:qFormat/>
    <w:rPr>
      <w:sz w:val="21"/>
      <w:szCs w:val="24"/>
      <w:lang w:val="en-US" w:eastAsia="zh-CN" w:bidi="ar-SA"/>
    </w:rPr>
  </w:style>
  <w:style w:type="paragraph" w:styleId="1103">
    <w:name w:val="font8"/>
    <w:basedOn w:val="933"/>
    <w:next w:val="1103"/>
    <w:link w:val="933"/>
    <w:qFormat/>
    <w:pPr>
      <w:jc w:val="left"/>
      <w:spacing w:before="100" w:beforeAutospacing="1" w:after="100" w:afterAutospacing="1"/>
      <w:widowControl/>
    </w:pPr>
    <w:rPr>
      <w:sz w:val="36"/>
      <w:szCs w:val="36"/>
    </w:rPr>
  </w:style>
  <w:style w:type="paragraph" w:styleId="1104">
    <w:name w:val="font5"/>
    <w:basedOn w:val="933"/>
    <w:next w:val="1104"/>
    <w:link w:val="933"/>
    <w:qFormat/>
    <w:pPr>
      <w:jc w:val="left"/>
      <w:spacing w:before="100" w:beforeAutospacing="1" w:after="100" w:afterAutospacing="1"/>
      <w:widowControl/>
    </w:pPr>
    <w:rPr>
      <w:rFonts w:ascii="宋体" w:hAnsi="宋体" w:cs="宋体"/>
      <w:sz w:val="18"/>
      <w:szCs w:val="18"/>
    </w:rPr>
  </w:style>
  <w:style w:type="paragraph" w:styleId="1105">
    <w:name w:val="xl49"/>
    <w:basedOn w:val="933"/>
    <w:next w:val="1105"/>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06">
    <w:name w:val="Char Char4"/>
    <w:basedOn w:val="933"/>
    <w:next w:val="1106"/>
    <w:link w:val="933"/>
    <w:qFormat/>
    <w:pPr>
      <w:jc w:val="center"/>
      <w:spacing w:line="400" w:lineRule="exact"/>
      <w:widowControl/>
    </w:pPr>
  </w:style>
  <w:style w:type="paragraph" w:styleId="1107">
    <w:name w:val="xl28"/>
    <w:basedOn w:val="933"/>
    <w:next w:val="1107"/>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8">
    <w:name w:val="xl53"/>
    <w:basedOn w:val="933"/>
    <w:next w:val="1108"/>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name w:val="xl47"/>
    <w:basedOn w:val="933"/>
    <w:next w:val="1109"/>
    <w:link w:val="9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name w:val="xl31"/>
    <w:basedOn w:val="933"/>
    <w:next w:val="1110"/>
    <w:link w:val="9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1">
    <w:name w:val="Char Char Char1 Char1"/>
    <w:basedOn w:val="933"/>
    <w:next w:val="1111"/>
    <w:link w:val="933"/>
    <w:qFormat/>
    <w:rPr>
      <w:rFonts w:ascii="Tahoma" w:hAnsi="Tahoma"/>
      <w:sz w:val="24"/>
      <w:szCs w:val="20"/>
    </w:rPr>
  </w:style>
  <w:style w:type="paragraph" w:styleId="1112">
    <w:name w:val="Char Char Char1"/>
    <w:basedOn w:val="933"/>
    <w:next w:val="1112"/>
    <w:link w:val="933"/>
    <w:qFormat/>
    <w:rPr>
      <w:rFonts w:ascii="Tahoma" w:hAnsi="Tahoma"/>
      <w:sz w:val="24"/>
      <w:szCs w:val="20"/>
    </w:rPr>
  </w:style>
  <w:style w:type="paragraph" w:styleId="1113">
    <w:name w:val="xl42"/>
    <w:basedOn w:val="933"/>
    <w:next w:val="1113"/>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4">
    <w:name w:val="无标题条"/>
    <w:next w:val="933"/>
    <w:link w:val="933"/>
    <w:qFormat/>
    <w:pPr>
      <w:jc w:val="both"/>
    </w:pPr>
    <w:rPr>
      <w:sz w:val="21"/>
      <w:lang w:val="en-US" w:eastAsia="zh-CN" w:bidi="ar-SA"/>
    </w:rPr>
  </w:style>
  <w:style w:type="paragraph" w:styleId="1115">
    <w:name w:val="Char Char1 Char Char Char Char Char Char Char Char"/>
    <w:basedOn w:val="933"/>
    <w:next w:val="1115"/>
    <w:link w:val="933"/>
    <w:qFormat/>
    <w:pPr>
      <w:jc w:val="left"/>
      <w:spacing w:after="160" w:line="240" w:lineRule="exact"/>
      <w:widowControl/>
    </w:pPr>
    <w:rPr>
      <w:rFonts w:ascii="Verdana" w:hAnsi="Verdana"/>
      <w:sz w:val="20"/>
      <w:szCs w:val="20"/>
      <w:lang w:eastAsia="en-US"/>
    </w:rPr>
  </w:style>
  <w:style w:type="paragraph" w:styleId="1116">
    <w:name w:val="项目编号3"/>
    <w:basedOn w:val="1078"/>
    <w:next w:val="1116"/>
    <w:link w:val="933"/>
    <w:qFormat/>
    <w:pPr>
      <w:numPr>
        <w:ilvl w:val="0"/>
        <w:numId w:val="2"/>
      </w:numPr>
    </w:pPr>
  </w:style>
  <w:style w:type="paragraph" w:styleId="1117">
    <w:name w:val="字元 字元1"/>
    <w:basedOn w:val="933"/>
    <w:next w:val="1117"/>
    <w:link w:val="933"/>
    <w:qFormat/>
    <w:rPr>
      <w:rFonts w:ascii="Tahoma" w:hAnsi="Tahoma"/>
      <w:sz w:val="24"/>
      <w:szCs w:val="20"/>
    </w:rPr>
  </w:style>
  <w:style w:type="paragraph" w:styleId="1118">
    <w:name w:val="xl23"/>
    <w:basedOn w:val="933"/>
    <w:next w:val="1118"/>
    <w:link w:val="933"/>
    <w:qFormat/>
    <w:pPr>
      <w:spacing w:before="100" w:beforeAutospacing="1" w:after="100" w:afterAutospacing="1" w:line="360" w:lineRule="auto"/>
      <w:widowControl/>
    </w:pPr>
    <w:rPr>
      <w:sz w:val="24"/>
      <w:szCs w:val="20"/>
    </w:rPr>
  </w:style>
  <w:style w:type="paragraph" w:styleId="1119">
    <w:name w:val="xl34"/>
    <w:basedOn w:val="933"/>
    <w:next w:val="1119"/>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0">
    <w:name w:val="Char Char Char Char Char Char Char Char Char Char1"/>
    <w:basedOn w:val="933"/>
    <w:next w:val="1120"/>
    <w:link w:val="933"/>
    <w:qFormat/>
    <w:rPr>
      <w:rFonts w:ascii="宋体" w:hAnsi="宋体" w:cs="Courier New"/>
      <w:sz w:val="32"/>
      <w:szCs w:val="32"/>
    </w:rPr>
  </w:style>
  <w:style w:type="paragraph" w:styleId="1121">
    <w:name w:val="Char2 Char Char Char Char Char Char"/>
    <w:basedOn w:val="933"/>
    <w:next w:val="1121"/>
    <w:link w:val="933"/>
    <w:qFormat/>
    <w:pPr>
      <w:jc w:val="center"/>
      <w:spacing w:line="400" w:lineRule="exact"/>
      <w:widowControl/>
    </w:pPr>
  </w:style>
  <w:style w:type="paragraph" w:styleId="1122">
    <w:name w:val="五级条标题"/>
    <w:basedOn w:val="1123"/>
    <w:next w:val="933"/>
    <w:link w:val="933"/>
    <w:qFormat/>
    <w:pPr>
      <w:numPr>
        <w:ilvl w:val="5"/>
      </w:numPr>
      <w:ind w:left="0" w:hanging="840"/>
      <w:tabs>
        <w:tab w:val="left" w:pos="360" w:leader="none"/>
        <w:tab w:val="left" w:pos="840" w:leader="none"/>
      </w:tabs>
      <w:outlineLvl w:val="5"/>
    </w:pPr>
  </w:style>
  <w:style w:type="paragraph" w:styleId="1123">
    <w:name w:val="四级条标题"/>
    <w:basedOn w:val="1084"/>
    <w:next w:val="933"/>
    <w:link w:val="933"/>
    <w:qFormat/>
    <w:pPr>
      <w:numPr>
        <w:ilvl w:val="4"/>
      </w:numPr>
      <w:ind w:left="0" w:hanging="840"/>
      <w:tabs>
        <w:tab w:val="left" w:pos="360" w:leader="none"/>
        <w:tab w:val="left" w:pos="840" w:leader="none"/>
      </w:tabs>
      <w:outlineLvl w:val="4"/>
    </w:pPr>
  </w:style>
  <w:style w:type="paragraph" w:styleId="1124">
    <w:name w:val="xl50"/>
    <w:basedOn w:val="933"/>
    <w:next w:val="1124"/>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25">
    <w:name w:val="Char Char Char1 Char2"/>
    <w:basedOn w:val="933"/>
    <w:next w:val="1125"/>
    <w:link w:val="933"/>
    <w:qFormat/>
    <w:rPr>
      <w:rFonts w:ascii="Tahoma" w:hAnsi="Tahoma"/>
      <w:sz w:val="24"/>
      <w:szCs w:val="20"/>
    </w:rPr>
  </w:style>
  <w:style w:type="paragraph" w:styleId="1126">
    <w:name w:val="xl29"/>
    <w:basedOn w:val="933"/>
    <w:next w:val="1126"/>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7">
    <w:name w:val="正文须知-2级"/>
    <w:basedOn w:val="933"/>
    <w:next w:val="1127"/>
    <w:link w:val="933"/>
    <w:qFormat/>
    <w:pPr>
      <w:numPr>
        <w:ilvl w:val="1"/>
        <w:numId w:val="3"/>
      </w:numPr>
      <w:spacing w:line="300" w:lineRule="auto"/>
    </w:pPr>
    <w:rPr>
      <w:rFonts w:ascii="宋体" w:hAnsi="Calibri"/>
      <w:sz w:val="24"/>
      <w:szCs w:val="21"/>
    </w:rPr>
  </w:style>
  <w:style w:type="paragraph" w:styleId="1128">
    <w:name w:val="Table Paragraph"/>
    <w:basedOn w:val="933"/>
    <w:next w:val="1128"/>
    <w:link w:val="933"/>
    <w:uiPriority w:val="1"/>
    <w:qFormat/>
    <w:pPr>
      <w:jc w:val="left"/>
    </w:pPr>
    <w:rPr>
      <w:rFonts w:ascii="宋体" w:hAnsi="宋体" w:cs="宋体"/>
      <w:sz w:val="22"/>
      <w:szCs w:val="22"/>
      <w:lang w:eastAsia="en-US"/>
    </w:rPr>
  </w:style>
  <w:style w:type="paragraph" w:styleId="1129">
    <w:name w:val="xl24"/>
    <w:basedOn w:val="933"/>
    <w:next w:val="1129"/>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name w:val="Default"/>
    <w:next w:val="1130"/>
    <w:link w:val="933"/>
    <w:qFormat/>
    <w:pPr>
      <w:widowControl w:val="off"/>
    </w:pPr>
    <w:rPr>
      <w:rFonts w:ascii="Symbol" w:hAnsi="Symbol" w:cs="Symbol"/>
      <w:color w:val="000000"/>
      <w:sz w:val="24"/>
      <w:szCs w:val="24"/>
      <w:lang w:val="en-US" w:eastAsia="zh-CN" w:bidi="ar-SA"/>
    </w:rPr>
  </w:style>
  <w:style w:type="paragraph" w:styleId="1131">
    <w:name w:val="22222222222222"/>
    <w:basedOn w:val="933"/>
    <w:next w:val="1131"/>
    <w:link w:val="933"/>
    <w:qFormat/>
    <w:pPr>
      <w:ind w:firstLine="480"/>
      <w:jc w:val="left"/>
      <w:spacing w:line="360" w:lineRule="auto"/>
      <w:widowControl/>
    </w:pPr>
    <w:rPr>
      <w:color w:val="ff0000"/>
      <w:sz w:val="24"/>
      <w:szCs w:val="20"/>
    </w:rPr>
  </w:style>
  <w:style w:type="paragraph" w:styleId="1132">
    <w:name w:val="项目编号1"/>
    <w:basedOn w:val="933"/>
    <w:next w:val="1132"/>
    <w:link w:val="933"/>
    <w:qFormat/>
    <w:pPr>
      <w:numPr>
        <w:ilvl w:val="0"/>
        <w:numId w:val="4"/>
      </w:numPr>
      <w:spacing w:before="100" w:beforeAutospacing="1" w:after="100" w:afterAutospacing="1" w:line="360" w:lineRule="auto"/>
    </w:pPr>
    <w:rPr>
      <w:sz w:val="24"/>
    </w:rPr>
  </w:style>
  <w:style w:type="paragraph" w:styleId="1133">
    <w:name w:val="正文 + 楷体_GB2312"/>
    <w:basedOn w:val="933"/>
    <w:next w:val="1133"/>
    <w:link w:val="933"/>
    <w:qFormat/>
    <w:pPr>
      <w:jc w:val="left"/>
      <w:widowControl/>
    </w:pPr>
    <w:rPr>
      <w:rFonts w:ascii="楷体_GB2312" w:eastAsia="楷体_GB2312" w:cs="Arial"/>
      <w:sz w:val="24"/>
    </w:rPr>
  </w:style>
  <w:style w:type="paragraph" w:styleId="1134">
    <w:name w:val="正文须知-1级"/>
    <w:basedOn w:val="933"/>
    <w:next w:val="933"/>
    <w:link w:val="933"/>
    <w:qFormat/>
    <w:pPr>
      <w:numPr>
        <w:ilvl w:val="0"/>
        <w:numId w:val="3"/>
      </w:numPr>
      <w:spacing w:line="300" w:lineRule="auto"/>
    </w:pPr>
    <w:rPr>
      <w:rFonts w:ascii="宋体" w:hAnsi="Calibri"/>
      <w:sz w:val="24"/>
      <w:szCs w:val="21"/>
    </w:rPr>
  </w:style>
  <w:style w:type="paragraph" w:styleId="1135">
    <w:name w:val="Char Char1 Char Char Char Char Char Char"/>
    <w:basedOn w:val="933"/>
    <w:next w:val="1135"/>
    <w:link w:val="933"/>
    <w:qFormat/>
    <w:pPr>
      <w:jc w:val="left"/>
      <w:spacing w:after="160" w:line="240" w:lineRule="exact"/>
      <w:widowControl/>
    </w:pPr>
    <w:rPr>
      <w:rFonts w:ascii="Verdana" w:hAnsi="Verdana" w:eastAsia="仿宋_GB2312"/>
      <w:sz w:val="24"/>
      <w:szCs w:val="20"/>
      <w:lang w:eastAsia="en-US"/>
    </w:rPr>
  </w:style>
  <w:style w:type="paragraph" w:styleId="1136">
    <w:name w:val="表格文字"/>
    <w:basedOn w:val="966"/>
    <w:next w:val="1136"/>
    <w:link w:val="933"/>
    <w:qFormat/>
    <w:pPr>
      <w:ind w:firstLine="0"/>
      <w:spacing w:before="20" w:after="20" w:line="240" w:lineRule="auto"/>
    </w:pPr>
    <w:rPr>
      <w:rFonts w:ascii="Century Gothic" w:hAnsi="Century Gothic"/>
      <w:sz w:val="20"/>
      <w:szCs w:val="20"/>
    </w:rPr>
  </w:style>
  <w:style w:type="paragraph" w:styleId="1137">
    <w:name w:val="xl30"/>
    <w:basedOn w:val="933"/>
    <w:next w:val="1137"/>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表格1"/>
    <w:basedOn w:val="933"/>
    <w:next w:val="1138"/>
    <w:link w:val="933"/>
    <w:qFormat/>
    <w:pPr>
      <w:ind w:firstLine="480"/>
      <w:jc w:val="center"/>
    </w:pPr>
    <w:rPr>
      <w:sz w:val="24"/>
      <w:szCs w:val="20"/>
    </w:rPr>
  </w:style>
  <w:style w:type="paragraph" w:styleId="1139">
    <w:name w:val="background1"/>
    <w:basedOn w:val="933"/>
    <w:next w:val="1139"/>
    <w:link w:val="933"/>
    <w:qFormat/>
    <w:pPr>
      <w:jc w:val="left"/>
      <w:spacing w:before="100" w:beforeAutospacing="1" w:after="100" w:afterAutospacing="1"/>
      <w:widowControl/>
    </w:pPr>
    <w:rPr>
      <w:rFonts w:ascii="宋体" w:hAnsi="宋体" w:cs="宋体"/>
      <w:sz w:val="24"/>
    </w:rPr>
  </w:style>
  <w:style w:type="paragraph" w:styleId="1140">
    <w:name w:val="纯文本1"/>
    <w:next w:val="987"/>
    <w:link w:val="933"/>
    <w:qFormat/>
    <w:pPr>
      <w:jc w:val="both"/>
      <w:widowControl w:val="off"/>
    </w:pPr>
    <w:rPr>
      <w:rFonts w:ascii="宋体" w:hAnsi="宋体"/>
      <w:sz w:val="26"/>
      <w:lang w:val="en-US" w:eastAsia="zh-CN" w:bidi="ar-SA"/>
    </w:rPr>
  </w:style>
  <w:style w:type="paragraph" w:styleId="1141">
    <w:name w:val="Char Char Char1 Char"/>
    <w:basedOn w:val="933"/>
    <w:next w:val="1141"/>
    <w:link w:val="933"/>
    <w:qFormat/>
    <w:rPr>
      <w:rFonts w:ascii="Tahoma" w:hAnsi="Tahoma"/>
      <w:sz w:val="24"/>
      <w:szCs w:val="20"/>
    </w:rPr>
  </w:style>
  <w:style w:type="paragraph" w:styleId="1142">
    <w:name w:val="font9"/>
    <w:basedOn w:val="933"/>
    <w:next w:val="1142"/>
    <w:link w:val="933"/>
    <w:qFormat/>
    <w:pPr>
      <w:jc w:val="left"/>
      <w:spacing w:before="100" w:beforeAutospacing="1" w:after="100" w:afterAutospacing="1"/>
      <w:widowControl/>
    </w:pPr>
    <w:rPr>
      <w:rFonts w:hint="eastAsia" w:ascii="宋体" w:hAnsi="宋体" w:cs="Arial Unicode MS"/>
      <w:color w:val="000000"/>
      <w:sz w:val="20"/>
      <w:szCs w:val="20"/>
    </w:rPr>
  </w:style>
  <w:style w:type="paragraph" w:styleId="1143">
    <w:name w:val="正文文本缩进2"/>
    <w:basedOn w:val="933"/>
    <w:next w:val="1143"/>
    <w:link w:val="933"/>
    <w:qFormat/>
    <w:pPr>
      <w:ind w:firstLine="480"/>
      <w:spacing w:line="480" w:lineRule="exact"/>
    </w:pPr>
    <w:rPr>
      <w:rFonts w:ascii="宋体" w:hAnsi="宋体"/>
      <w:sz w:val="24"/>
      <w:lang w:val="zh-CN" w:eastAsia="zh-CN"/>
    </w:rPr>
  </w:style>
  <w:style w:type="paragraph" w:styleId="1144">
    <w:name w:val="正文文本样式 加粗"/>
    <w:basedOn w:val="1078"/>
    <w:next w:val="1144"/>
    <w:link w:val="933"/>
    <w:qFormat/>
    <w:rPr>
      <w:b/>
    </w:rPr>
  </w:style>
  <w:style w:type="paragraph" w:styleId="1145">
    <w:name w:val="正文须知-3级"/>
    <w:basedOn w:val="933"/>
    <w:next w:val="1145"/>
    <w:link w:val="933"/>
    <w:qFormat/>
    <w:pPr>
      <w:numPr>
        <w:ilvl w:val="2"/>
        <w:numId w:val="3"/>
      </w:numPr>
      <w:ind w:hanging="355"/>
      <w:spacing w:line="300" w:lineRule="auto"/>
    </w:pPr>
    <w:rPr>
      <w:rFonts w:ascii="宋体" w:hAnsi="Calibri"/>
      <w:sz w:val="24"/>
      <w:szCs w:val="21"/>
    </w:rPr>
  </w:style>
  <w:style w:type="paragraph" w:styleId="1146">
    <w:name w:val="Char3 Char Char Char"/>
    <w:basedOn w:val="933"/>
    <w:next w:val="1146"/>
    <w:link w:val="933"/>
    <w:qFormat/>
    <w:rPr>
      <w:rFonts w:ascii="Tahoma" w:hAnsi="Tahoma"/>
      <w:sz w:val="24"/>
      <w:szCs w:val="20"/>
    </w:rPr>
  </w:style>
  <w:style w:type="paragraph" w:styleId="1147">
    <w:name w:val="Char Char Char Char Char Char Char Char Char Char Char Char Char Char Char Char"/>
    <w:basedOn w:val="933"/>
    <w:next w:val="1147"/>
    <w:link w:val="933"/>
    <w:qFormat/>
    <w:pPr>
      <w:jc w:val="center"/>
      <w:spacing w:after="160" w:line="240" w:lineRule="exact"/>
      <w:widowControl/>
    </w:pPr>
    <w:rPr>
      <w:rFonts w:ascii="宋体" w:hAnsi="宋体"/>
      <w:b/>
      <w:sz w:val="30"/>
      <w:szCs w:val="30"/>
      <w:lang w:eastAsia="en-US"/>
    </w:rPr>
  </w:style>
  <w:style w:type="paragraph" w:styleId="1148">
    <w:name w:val="Char Char Char"/>
    <w:basedOn w:val="933"/>
    <w:next w:val="1148"/>
    <w:link w:val="933"/>
    <w:qFormat/>
    <w:rPr>
      <w:rFonts w:ascii="Tahoma" w:hAnsi="Tahoma"/>
      <w:sz w:val="24"/>
      <w:szCs w:val="20"/>
    </w:rPr>
  </w:style>
  <w:style w:type="paragraph" w:styleId="1149">
    <w:name w:val="_Style 160"/>
    <w:next w:val="1149"/>
    <w:link w:val="933"/>
    <w:qFormat/>
    <w:rPr>
      <w:sz w:val="21"/>
      <w:szCs w:val="24"/>
      <w:lang w:val="en-US" w:eastAsia="zh-CN" w:bidi="ar-SA"/>
    </w:rPr>
  </w:style>
  <w:style w:type="paragraph" w:styleId="1150">
    <w:name w:val="xl36"/>
    <w:basedOn w:val="933"/>
    <w:next w:val="1150"/>
    <w:link w:val="93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name w:val="修订"/>
    <w:next w:val="1151"/>
    <w:link w:val="933"/>
    <w:uiPriority w:val="99"/>
    <w:unhideWhenUsed/>
    <w:rPr>
      <w:sz w:val="21"/>
      <w:szCs w:val="24"/>
      <w:lang w:val="en-US" w:eastAsia="zh-CN" w:bidi="ar-SA"/>
    </w:rPr>
  </w:style>
  <w:style w:type="paragraph" w:styleId="1152">
    <w:name w:val="Char Char1"/>
    <w:basedOn w:val="958"/>
    <w:next w:val="1152"/>
    <w:link w:val="933"/>
    <w:qFormat/>
    <w:rPr>
      <w:rFonts w:ascii="Tahoma" w:hAnsi="Tahoma"/>
      <w:sz w:val="24"/>
    </w:rPr>
  </w:style>
  <w:style w:type="paragraph" w:styleId="1153">
    <w:name w:val="正文列项_字母"/>
    <w:basedOn w:val="933"/>
    <w:next w:val="1153"/>
    <w:link w:val="933"/>
    <w:qFormat/>
    <w:pPr>
      <w:numPr>
        <w:ilvl w:val="6"/>
        <w:numId w:val="1"/>
      </w:numPr>
      <w:ind w:left="480" w:hanging="180"/>
      <w:spacing w:line="460" w:lineRule="exact"/>
      <w:tabs>
        <w:tab w:val="clear" w:pos="635" w:leader="none"/>
      </w:tabs>
      <w:outlineLvl w:val="6"/>
    </w:pPr>
    <w:rPr>
      <w:rFonts w:ascii="宋体"/>
      <w:sz w:val="28"/>
      <w:szCs w:val="20"/>
    </w:rPr>
  </w:style>
  <w:style w:type="paragraph" w:styleId="1154">
    <w:name w:val="图例"/>
    <w:basedOn w:val="933"/>
    <w:next w:val="1154"/>
    <w:link w:val="933"/>
    <w:qFormat/>
    <w:pPr>
      <w:jc w:val="center"/>
      <w:spacing w:before="120" w:after="120" w:line="360" w:lineRule="auto"/>
    </w:pPr>
    <w:rPr>
      <w:rFonts w:eastAsia="仿宋_GB2312"/>
      <w:b/>
      <w:sz w:val="24"/>
      <w:szCs w:val="20"/>
    </w:rPr>
  </w:style>
  <w:style w:type="paragraph" w:styleId="1155">
    <w:name w:val="xl39"/>
    <w:basedOn w:val="933"/>
    <w:next w:val="1155"/>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xl37"/>
    <w:basedOn w:val="933"/>
    <w:next w:val="1156"/>
    <w:link w:val="93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name w:val="xl48"/>
    <w:basedOn w:val="933"/>
    <w:next w:val="1157"/>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8">
    <w:name w:val="项目编号2"/>
    <w:basedOn w:val="1132"/>
    <w:next w:val="1158"/>
    <w:link w:val="933"/>
    <w:qFormat/>
    <w:pPr>
      <w:numPr>
        <w:numId w:val="5"/>
      </w:numPr>
    </w:pPr>
  </w:style>
  <w:style w:type="paragraph" w:styleId="1159">
    <w:name w:val="样式 标题 2 + 宋体 五号 行距: 单倍行距"/>
    <w:basedOn w:val="935"/>
    <w:next w:val="1159"/>
    <w:link w:val="933"/>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160">
    <w:name w:val="??"/>
    <w:next w:val="1160"/>
    <w:link w:val="933"/>
    <w:qFormat/>
    <w:pPr>
      <w:jc w:val="both"/>
      <w:widowControl w:val="off"/>
    </w:pPr>
    <w:rPr>
      <w:sz w:val="21"/>
      <w:lang w:val="en-US" w:eastAsia="en-US" w:bidi="ar-SA"/>
    </w:rPr>
  </w:style>
  <w:style w:type="paragraph" w:styleId="1161">
    <w:name w:val="xl44"/>
    <w:basedOn w:val="933"/>
    <w:next w:val="1161"/>
    <w:link w:val="9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2">
    <w:name w:val="样式2"/>
    <w:basedOn w:val="996"/>
    <w:next w:val="1162"/>
    <w:link w:val="933"/>
    <w:qFormat/>
    <w:pPr>
      <w:jc w:val="center"/>
      <w:spacing w:line="360" w:lineRule="auto"/>
    </w:pPr>
    <w:rPr>
      <w:sz w:val="24"/>
    </w:rPr>
  </w:style>
  <w:style w:type="paragraph" w:styleId="1163">
    <w:name w:val="xl51"/>
    <w:basedOn w:val="933"/>
    <w:next w:val="1163"/>
    <w:link w:val="9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4">
    <w:name w:val="图文"/>
    <w:basedOn w:val="933"/>
    <w:next w:val="1164"/>
    <w:link w:val="933"/>
    <w:qFormat/>
    <w:pPr>
      <w:spacing w:after="50" w:line="360" w:lineRule="auto"/>
    </w:pPr>
    <w:rPr>
      <w:sz w:val="24"/>
    </w:rPr>
  </w:style>
  <w:style w:type="paragraph" w:styleId="1165">
    <w:name w:val="Char Char Char Char Char Char Char Char Char Char Char Char Char Char Char Char1"/>
    <w:basedOn w:val="933"/>
    <w:next w:val="1165"/>
    <w:link w:val="933"/>
    <w:qFormat/>
    <w:pPr>
      <w:jc w:val="center"/>
      <w:spacing w:after="160" w:line="240" w:lineRule="exact"/>
      <w:widowControl/>
    </w:pPr>
    <w:rPr>
      <w:rFonts w:ascii="宋体" w:hAnsi="宋体"/>
      <w:b/>
      <w:sz w:val="30"/>
      <w:szCs w:val="30"/>
      <w:lang w:eastAsia="en-US"/>
    </w:rPr>
  </w:style>
  <w:style w:type="paragraph" w:styleId="1166">
    <w:name w:val="正文 + 宋体"/>
    <w:basedOn w:val="933"/>
    <w:next w:val="1166"/>
    <w:link w:val="933"/>
    <w:qFormat/>
    <w:pPr>
      <w:ind w:left="360" w:hanging="360"/>
      <w:jc w:val="left"/>
      <w:widowControl/>
    </w:pPr>
    <w:rPr>
      <w:rFonts w:ascii="宋体" w:hAnsi="宋体" w:cs="宋体"/>
      <w:b/>
      <w:bCs/>
      <w:color w:val="000000"/>
      <w:sz w:val="18"/>
      <w:szCs w:val="18"/>
    </w:rPr>
  </w:style>
  <w:style w:type="paragraph" w:styleId="1167">
    <w:name w:val="Char3 Char Char Char2"/>
    <w:basedOn w:val="933"/>
    <w:next w:val="1167"/>
    <w:link w:val="933"/>
    <w:qFormat/>
    <w:rPr>
      <w:rFonts w:ascii="Tahoma" w:hAnsi="Tahoma"/>
      <w:sz w:val="24"/>
      <w:szCs w:val="20"/>
    </w:rPr>
  </w:style>
  <w:style w:type="paragraph" w:styleId="1168">
    <w:name w:val="xl27"/>
    <w:basedOn w:val="933"/>
    <w:next w:val="1168"/>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9">
    <w:name w:val="Char Char1 Char Char Char Char Char Char1"/>
    <w:basedOn w:val="933"/>
    <w:next w:val="1169"/>
    <w:link w:val="933"/>
    <w:qFormat/>
    <w:pPr>
      <w:jc w:val="left"/>
      <w:spacing w:after="160" w:line="240" w:lineRule="exact"/>
      <w:widowControl/>
    </w:pPr>
    <w:rPr>
      <w:rFonts w:ascii="Verdana" w:hAnsi="Verdana" w:eastAsia="仿宋_GB2312"/>
      <w:sz w:val="24"/>
      <w:szCs w:val="20"/>
      <w:lang w:eastAsia="en-US"/>
    </w:rPr>
  </w:style>
  <w:style w:type="paragraph" w:styleId="1170">
    <w:name w:val="1 Char Char Char Char"/>
    <w:basedOn w:val="933"/>
    <w:next w:val="1170"/>
    <w:link w:val="933"/>
    <w:qFormat/>
    <w:rPr>
      <w:rFonts w:ascii="Tahoma" w:hAnsi="Tahoma"/>
      <w:sz w:val="24"/>
      <w:szCs w:val="20"/>
    </w:rPr>
  </w:style>
  <w:style w:type="paragraph" w:styleId="1171">
    <w:name w:val="List Paragraph1"/>
    <w:basedOn w:val="933"/>
    <w:next w:val="1171"/>
    <w:link w:val="933"/>
    <w:qFormat/>
    <w:pPr>
      <w:ind w:firstLine="420"/>
    </w:pPr>
    <w:rPr>
      <w:rFonts w:ascii="Calibri" w:hAnsi="Calibri"/>
      <w:szCs w:val="22"/>
    </w:rPr>
  </w:style>
  <w:style w:type="paragraph" w:styleId="1172">
    <w:name w:val="文档正文"/>
    <w:basedOn w:val="933"/>
    <w:next w:val="1172"/>
    <w:link w:val="933"/>
    <w:qFormat/>
    <w:pPr>
      <w:spacing w:before="120" w:after="120" w:line="180" w:lineRule="auto"/>
    </w:pPr>
    <w:rPr>
      <w:rFonts w:ascii="Arial" w:hAnsi="Arial"/>
      <w:szCs w:val="20"/>
    </w:rPr>
  </w:style>
  <w:style w:type="paragraph" w:styleId="1173">
    <w:name w:val="xl32"/>
    <w:basedOn w:val="933"/>
    <w:next w:val="1173"/>
    <w:link w:val="9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4">
    <w:name w:val="列出段落2"/>
    <w:basedOn w:val="933"/>
    <w:next w:val="1174"/>
    <w:link w:val="933"/>
    <w:qFormat/>
    <w:pPr>
      <w:ind w:firstLine="420"/>
    </w:pPr>
    <w:rPr>
      <w:rFonts w:ascii="Calibri" w:hAnsi="Calibri"/>
      <w:szCs w:val="22"/>
    </w:rPr>
  </w:style>
  <w:style w:type="paragraph" w:styleId="1175">
    <w:name w:val="font6"/>
    <w:basedOn w:val="933"/>
    <w:next w:val="1175"/>
    <w:link w:val="933"/>
    <w:qFormat/>
    <w:pPr>
      <w:jc w:val="left"/>
      <w:spacing w:before="100" w:beforeAutospacing="1" w:after="100" w:afterAutospacing="1"/>
      <w:widowControl/>
    </w:pPr>
    <w:rPr>
      <w:rFonts w:ascii="宋体" w:hAnsi="宋体" w:cs="宋体"/>
      <w:sz w:val="20"/>
      <w:szCs w:val="20"/>
    </w:rPr>
  </w:style>
  <w:style w:type="paragraph" w:styleId="1176">
    <w:name w:val="xl43"/>
    <w:basedOn w:val="933"/>
    <w:next w:val="1176"/>
    <w:link w:val="93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7">
    <w:name w:val="Char3"/>
    <w:basedOn w:val="933"/>
    <w:next w:val="1177"/>
    <w:link w:val="933"/>
    <w:qFormat/>
    <w:pPr>
      <w:tabs>
        <w:tab w:val="left" w:pos="360" w:leader="none"/>
      </w:tabs>
    </w:pPr>
    <w:rPr>
      <w:sz w:val="24"/>
    </w:rPr>
  </w:style>
  <w:style w:type="paragraph" w:styleId="1178">
    <w:name w:val="样式 宋体 五号 行距: 单倍行距"/>
    <w:basedOn w:val="933"/>
    <w:next w:val="1178"/>
    <w:link w:val="933"/>
    <w:qFormat/>
    <w:pPr>
      <w:jc w:val="left"/>
    </w:pPr>
    <w:rPr>
      <w:rFonts w:ascii="宋体" w:hAnsi="宋体"/>
      <w:szCs w:val="20"/>
    </w:rPr>
  </w:style>
  <w:style w:type="paragraph" w:styleId="1179">
    <w:name w:val="标题1-附件"/>
    <w:basedOn w:val="934"/>
    <w:next w:val="1179"/>
    <w:link w:val="933"/>
    <w:qFormat/>
    <w:pPr>
      <w:jc w:val="left"/>
    </w:pPr>
    <w:rPr>
      <w:sz w:val="24"/>
      <w:szCs w:val="24"/>
    </w:rPr>
  </w:style>
  <w:style w:type="paragraph" w:styleId="1180">
    <w:name w:val="default"/>
    <w:basedOn w:val="933"/>
    <w:next w:val="1180"/>
    <w:link w:val="933"/>
    <w:qFormat/>
    <w:pPr>
      <w:jc w:val="left"/>
      <w:spacing w:before="100" w:beforeAutospacing="1" w:after="100" w:afterAutospacing="1"/>
      <w:widowControl/>
    </w:pPr>
    <w:rPr>
      <w:rFonts w:ascii="宋体" w:hAnsi="宋体" w:cs="宋体"/>
      <w:sz w:val="24"/>
    </w:rPr>
  </w:style>
  <w:style w:type="paragraph" w:styleId="1181">
    <w:name w:val="font7"/>
    <w:basedOn w:val="933"/>
    <w:next w:val="1181"/>
    <w:link w:val="933"/>
    <w:qFormat/>
    <w:pPr>
      <w:jc w:val="left"/>
      <w:spacing w:before="100" w:beforeAutospacing="1" w:after="100" w:afterAutospacing="1"/>
      <w:widowControl/>
    </w:pPr>
    <w:rPr>
      <w:rFonts w:eastAsia="Arial Unicode MS"/>
      <w:b/>
      <w:bCs/>
      <w:color w:val="000000"/>
      <w:sz w:val="20"/>
      <w:szCs w:val="20"/>
    </w:rPr>
  </w:style>
  <w:style w:type="paragraph" w:styleId="1182">
    <w:name w:val="1名"/>
    <w:basedOn w:val="933"/>
    <w:next w:val="1182"/>
    <w:link w:val="933"/>
    <w:qFormat/>
    <w:pPr>
      <w:numPr>
        <w:ilvl w:val="0"/>
        <w:numId w:val="7"/>
      </w:numPr>
      <w:spacing w:before="120"/>
      <w:tabs>
        <w:tab w:val="left" w:pos="360" w:leader="none"/>
      </w:tabs>
    </w:pPr>
    <w:rPr>
      <w:rFonts w:ascii="宋体"/>
      <w:sz w:val="28"/>
      <w:szCs w:val="20"/>
    </w:rPr>
  </w:style>
  <w:style w:type="paragraph" w:styleId="1183">
    <w:name w:val="Char21"/>
    <w:basedOn w:val="933"/>
    <w:next w:val="1183"/>
    <w:link w:val="933"/>
    <w:qFormat/>
    <w:rPr>
      <w:rFonts w:ascii="Tahoma" w:hAnsi="Tahoma"/>
      <w:sz w:val="24"/>
      <w:szCs w:val="20"/>
    </w:rPr>
  </w:style>
  <w:style w:type="paragraph" w:styleId="1184">
    <w:name w:val="Char22"/>
    <w:basedOn w:val="933"/>
    <w:next w:val="1184"/>
    <w:link w:val="933"/>
    <w:qFormat/>
    <w:rPr>
      <w:rFonts w:ascii="Tahoma" w:hAnsi="Tahoma"/>
      <w:sz w:val="24"/>
      <w:szCs w:val="20"/>
    </w:rPr>
  </w:style>
  <w:style w:type="paragraph" w:styleId="1185">
    <w:name w:val="xl26"/>
    <w:basedOn w:val="933"/>
    <w:next w:val="1185"/>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186">
    <w:name w:val="Table Normal"/>
    <w:next w:val="1186"/>
    <w:link w:val="933"/>
    <w:uiPriority w:val="2"/>
    <w:unhideWhenUsed/>
    <w:qFormat/>
    <w:pPr>
      <w:widowControl w:val="off"/>
    </w:pPr>
    <w:rPr>
      <w:rFonts w:ascii="Calibri" w:hAnsi="Calibri"/>
      <w:sz w:val="22"/>
      <w:szCs w:val="22"/>
      <w:lang w:val="en-US" w:eastAsia="en-US" w:bidi="ar-SA"/>
    </w:rPr>
    <w:tblPr/>
  </w:style>
  <w:style w:type="character" w:styleId="1187">
    <w:name w:val="font21"/>
    <w:next w:val="1187"/>
    <w:link w:val="933"/>
    <w:rPr>
      <w:rFonts w:hint="eastAsia" w:ascii="宋体" w:hAnsi="宋体" w:eastAsia="宋体" w:cs="宋体"/>
      <w:i w:val="0"/>
      <w:iCs w:val="0"/>
      <w:color w:val="000000"/>
      <w:sz w:val="24"/>
      <w:szCs w:val="24"/>
      <w:u w:val="none"/>
    </w:rPr>
  </w:style>
  <w:style w:type="character" w:styleId="1188">
    <w:name w:val="font41"/>
    <w:next w:val="1188"/>
    <w:link w:val="933"/>
    <w:rPr>
      <w:rFonts w:hint="eastAsia" w:ascii="宋体" w:hAnsi="宋体" w:eastAsia="宋体" w:cs="宋体"/>
      <w:i w:val="0"/>
      <w:iCs w:val="0"/>
      <w:color w:val="000000"/>
      <w:sz w:val="24"/>
      <w:szCs w:val="24"/>
      <w:u w:val="none"/>
      <w:vertAlign w:val="subscript"/>
    </w:rPr>
  </w:style>
  <w:style w:type="character" w:styleId="1189">
    <w:name w:val="font11"/>
    <w:next w:val="1189"/>
    <w:link w:val="933"/>
    <w:rPr>
      <w:rFonts w:hint="eastAsia" w:ascii="宋体" w:hAnsi="宋体" w:eastAsia="宋体" w:cs="宋体"/>
      <w:i w:val="0"/>
      <w:iCs w:val="0"/>
      <w:color w:val="000000"/>
      <w:sz w:val="22"/>
      <w:szCs w:val="22"/>
      <w:u w:val="none"/>
    </w:rPr>
  </w:style>
  <w:style w:type="paragraph" w:styleId="1190">
    <w:name w:val="p0"/>
    <w:basedOn w:val="933"/>
    <w:next w:val="1190"/>
    <w:link w:val="933"/>
    <w:qFormat/>
    <w:pPr>
      <w:jc w:val="left"/>
      <w:spacing w:before="100" w:beforeAutospacing="1" w:after="100" w:afterAutospacing="1"/>
      <w:widowControl/>
    </w:pPr>
    <w:rPr>
      <w:rFonts w:ascii="宋体" w:hAnsi="宋体" w:cs="宋体"/>
      <w:sz w:val="24"/>
    </w:rPr>
  </w:style>
  <w:style w:type="character" w:styleId="1191">
    <w:name w:val="font141"/>
    <w:next w:val="1191"/>
    <w:link w:val="933"/>
    <w:qFormat/>
    <w:rPr>
      <w:rFonts w:ascii="Calibri" w:hAnsi="Calibri" w:cs="Calibri"/>
      <w:color w:val="000000"/>
      <w:sz w:val="18"/>
      <w:szCs w:val="18"/>
      <w:u w:val="none"/>
    </w:rPr>
  </w:style>
  <w:style w:type="character" w:styleId="1192">
    <w:name w:val="font151"/>
    <w:next w:val="1192"/>
    <w:link w:val="933"/>
    <w:qFormat/>
    <w:rPr>
      <w:rFonts w:hint="eastAsia" w:ascii="宋体" w:hAnsi="宋体" w:eastAsia="宋体" w:cs="宋体"/>
      <w:color w:val="ff0000"/>
      <w:sz w:val="18"/>
      <w:szCs w:val="18"/>
      <w:u w:val="none"/>
    </w:rPr>
  </w:style>
  <w:style w:type="character" w:styleId="1193">
    <w:name w:val="font51"/>
    <w:next w:val="1193"/>
    <w:link w:val="933"/>
    <w:qFormat/>
    <w:rPr>
      <w:rFonts w:hint="eastAsia" w:ascii="宋体" w:hAnsi="宋体" w:eastAsia="宋体" w:cs="宋体"/>
      <w:color w:val="000000"/>
      <w:sz w:val="18"/>
      <w:szCs w:val="18"/>
      <w:u w:val="none"/>
    </w:rPr>
  </w:style>
  <w:style w:type="paragraph" w:styleId="1194">
    <w:name w:val="null3"/>
    <w:next w:val="1194"/>
    <w:link w:val="933"/>
    <w:qFormat/>
    <w:rPr>
      <w:rFonts w:hint="eastAsia" w:ascii="Calibri" w:hAnsi="Calibri"/>
      <w:lang w:val="en-US" w:eastAsia="zh-CN" w:bidi="ar-SA"/>
    </w:rPr>
  </w:style>
  <w:style w:type="character" w:styleId="1195">
    <w:name w:val="font61"/>
    <w:next w:val="1195"/>
    <w:link w:val="933"/>
    <w:qFormat/>
    <w:rPr>
      <w:rFonts w:hint="eastAsia" w:ascii="宋体" w:hAnsi="宋体" w:eastAsia="宋体" w:cs="宋体"/>
      <w:color w:val="ff0000"/>
      <w:sz w:val="18"/>
      <w:szCs w:val="18"/>
      <w:u w:val="none"/>
    </w:rPr>
  </w:style>
  <w:style w:type="paragraph" w:styleId="1196">
    <w:name w:val="普通(网站)1"/>
    <w:basedOn w:val="933"/>
    <w:next w:val="1196"/>
    <w:link w:val="933"/>
    <w:uiPriority w:val="99"/>
    <w:unhideWhenUsed/>
    <w:qFormat/>
    <w:pPr>
      <w:jc w:val="left"/>
      <w:spacing w:before="100" w:beforeAutospacing="1" w:after="100" w:afterAutospacing="1"/>
      <w:widowControl/>
    </w:pPr>
    <w:rPr>
      <w:rFonts w:ascii="宋体" w:hAnsi="宋体" w:cs="宋体"/>
      <w:sz w:val="24"/>
    </w:rPr>
  </w:style>
  <w:style w:type="character" w:styleId="20786" w:default="1">
    <w:name w:val="Default Paragraph Font"/>
    <w:uiPriority w:val="1"/>
    <w:semiHidden/>
    <w:unhideWhenUsed/>
  </w:style>
  <w:style w:type="numbering" w:styleId="20787" w:default="1">
    <w:name w:val="No List"/>
    <w:uiPriority w:val="99"/>
    <w:semiHidden/>
    <w:unhideWhenUsed/>
  </w:style>
  <w:style w:type="table" w:styleId="207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嵇玲</cp:lastModifiedBy>
  <cp:revision>3</cp:revision>
  <dcterms:created xsi:type="dcterms:W3CDTF">2024-12-09T09:24:00Z</dcterms:created>
  <dcterms:modified xsi:type="dcterms:W3CDTF">2026-06-04T01:47:40Z</dcterms:modified>
</cp:coreProperties>
</file>