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bookmarkStart w:id="0" w:name="OLE_LINK21"/>
      <w:r/>
      <w:bookmarkStart w:id="1" w:name="OLE_LINK23"/>
      <w:r>
        <w:rPr>
          <w:rFonts w:ascii="宋体" w:hAnsi="宋体"/>
          <w:b/>
          <w:sz w:val="32"/>
        </w:rPr>
        <w:t xml:space="preserve">JSZC-320500-JZCG-G2026-0122</w:t>
      </w:r>
      <w:bookmarkEnd w:id="0"/>
      <w:r/>
      <w:bookmarkEnd w:id="1"/>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苏州市吴中区数据局</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吴中区人工智能政务应用</w:t>
      </w:r>
      <w:r>
        <w:rPr>
          <w:rFonts w:hint="eastAsia" w:ascii="宋体" w:hAnsi="宋体"/>
          <w:b/>
          <w:sz w:val="32"/>
        </w:rPr>
        <w:t xml:space="preserve">智算云服务</w:t>
      </w:r>
      <w:r>
        <w:rPr>
          <w:rFonts w:hint="eastAsia" w:ascii="宋体" w:hAnsi="宋体"/>
          <w:b/>
          <w:sz w:val="32"/>
        </w:rPr>
        <w:t xml:space="preserve">采购</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15"/>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ascii="宋体" w:hAnsi="宋体"/>
          <w:b/>
          <w:sz w:val="32"/>
        </w:rPr>
        <w:t xml:space="preserve"> </w:t>
      </w:r>
      <w:r>
        <w:rPr>
          <w:rFonts w:hint="eastAsia" w:ascii="宋体" w:hAnsi="宋体"/>
          <w:b/>
          <w:sz w:val="32"/>
        </w:rPr>
        <w:t xml:space="preserve">月</w:t>
      </w:r>
      <w:r/>
    </w:p>
    <w:p>
      <w:pPr>
        <w:ind w:left="0"/>
        <w:jc w:val="center"/>
        <w:rPr>
          <w:rFonts w:hint="eastAsia"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22"/>
        <w:ind w:firstLine="0"/>
        <w:jc w:val="left"/>
        <w:spacing w:before="120" w:after="120"/>
        <w:tabs>
          <w:tab w:val="right" w:pos="9856" w:leader="dot"/>
        </w:tabs>
        <w:rPr>
          <w:rStyle w:val="1054"/>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22"/>
        <w:ind w:firstLine="0"/>
        <w:jc w:val="left"/>
        <w:spacing w:before="120" w:after="120"/>
        <w:tabs>
          <w:tab w:val="right" w:pos="9854" w:leader="dot"/>
        </w:tabs>
        <w:rPr>
          <w:rStyle w:val="1054"/>
          <w:rFonts w:hint="eastAsia" w:ascii="宋体" w:hAnsi="宋体" w:cs="Calibri"/>
          <w:bCs/>
          <w:caps/>
          <w:color w:val="auto"/>
          <w:sz w:val="32"/>
          <w:szCs w:val="32"/>
        </w:rPr>
        <w:outlineLvl w:val="9"/>
      </w:pPr>
      <w:r>
        <w:rPr>
          <w:rStyle w:val="1054"/>
          <w:rFonts w:ascii="宋体" w:hAnsi="宋体" w:cs="Calibri"/>
          <w:bCs/>
          <w:caps/>
          <w:color w:val="auto"/>
          <w:sz w:val="32"/>
        </w:rPr>
        <w:fldChar w:fldCharType="begin"/>
      </w:r>
      <w:r>
        <w:rPr>
          <w:rStyle w:val="1054"/>
          <w:rFonts w:ascii="宋体" w:hAnsi="宋体" w:cs="Calibri"/>
          <w:bCs/>
          <w:caps/>
          <w:color w:val="auto"/>
          <w:sz w:val="32"/>
        </w:rPr>
        <w:instrText xml:space="preserve"> TOC \o "1-1" \h \z \u </w:instrText>
      </w:r>
      <w:r>
        <w:rPr>
          <w:rStyle w:val="1054"/>
          <w:rFonts w:ascii="宋体" w:hAnsi="宋体" w:cs="Calibri"/>
          <w:bCs/>
          <w:caps/>
          <w:color w:val="auto"/>
          <w:sz w:val="32"/>
        </w:rPr>
        <w:fldChar w:fldCharType="separate"/>
      </w:r>
      <w:hyperlink w:tooltip="#_Toc105397776" w:anchor="_Toc105397776" w:history="1">
        <w:r>
          <w:rPr>
            <w:rStyle w:val="1054"/>
            <w:rFonts w:ascii="宋体" w:hAnsi="宋体" w:cs="Calibri"/>
            <w:bCs/>
            <w:caps/>
            <w:color w:val="auto"/>
            <w:sz w:val="32"/>
            <w:szCs w:val="32"/>
          </w:rPr>
          <w:t xml:space="preserve">第一章 投标邀请函</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_Toc105397776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hint="eastAsia" w:ascii="宋体" w:hAnsi="宋体" w:cs="Calibri"/>
            <w:bCs/>
            <w:caps/>
            <w:color w:val="auto"/>
            <w:sz w:val="32"/>
            <w:szCs w:val="32"/>
          </w:rPr>
          <w:t xml:space="preserve">5</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hint="eastAsia" w:ascii="宋体" w:hAnsi="宋体" w:cs="Calibri"/>
          <w:bCs/>
          <w:caps/>
          <w:color w:val="auto"/>
          <w:sz w:val="32"/>
          <w:szCs w:val="32"/>
        </w:rPr>
        <w:outlineLvl w:val="9"/>
      </w:pPr>
      <w:r/>
      <w:hyperlink w:tooltip="#_Toc105397777" w:anchor="_Toc105397777" w:history="1">
        <w:r>
          <w:rPr>
            <w:rStyle w:val="1054"/>
            <w:rFonts w:ascii="宋体" w:hAnsi="宋体" w:cs="Calibri"/>
            <w:bCs/>
            <w:caps/>
            <w:color w:val="auto"/>
            <w:sz w:val="32"/>
            <w:szCs w:val="32"/>
          </w:rPr>
          <w:t xml:space="preserve">第二章 投标人须知</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_Toc105397777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hint="eastAsia" w:ascii="宋体" w:hAnsi="宋体" w:cs="Calibri"/>
            <w:bCs/>
            <w:caps/>
            <w:color w:val="auto"/>
            <w:sz w:val="32"/>
            <w:szCs w:val="32"/>
          </w:rPr>
          <w:t xml:space="preserve">8</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hint="eastAsia" w:ascii="宋体" w:hAnsi="宋体" w:cs="Calibri"/>
          <w:bCs/>
          <w:caps/>
          <w:color w:val="auto"/>
          <w:sz w:val="32"/>
          <w:szCs w:val="32"/>
        </w:rPr>
        <w:outlineLvl w:val="9"/>
      </w:pPr>
      <w:r/>
      <w:hyperlink w:tooltip="#_Toc105397778" w:anchor="_Toc105397778" w:history="1">
        <w:r>
          <w:rPr>
            <w:rStyle w:val="1054"/>
            <w:rFonts w:ascii="宋体" w:hAnsi="宋体" w:cs="Calibri"/>
            <w:bCs/>
            <w:caps/>
            <w:color w:val="auto"/>
            <w:sz w:val="32"/>
            <w:szCs w:val="32"/>
          </w:rPr>
          <w:t xml:space="preserve">第三章 投标文件格式</w:t>
        </w:r>
        <w:r>
          <w:rPr>
            <w:rStyle w:val="1054"/>
            <w:rFonts w:ascii="宋体" w:hAnsi="宋体" w:cs="Calibri"/>
            <w:bCs/>
            <w:caps/>
            <w:color w:val="auto"/>
            <w:sz w:val="32"/>
            <w:szCs w:val="32"/>
          </w:rPr>
          <w:tab/>
        </w:r>
        <w:r>
          <w:rPr>
            <w:rStyle w:val="1054"/>
            <w:rFonts w:ascii="宋体" w:hAnsi="宋体" w:cs="Calibri"/>
            <w:bCs/>
            <w:caps/>
            <w:color w:val="auto"/>
            <w:sz w:val="32"/>
            <w:szCs w:val="32"/>
          </w:rPr>
          <w:fldChar w:fldCharType="begin"/>
        </w:r>
        <w:r>
          <w:rPr>
            <w:rStyle w:val="1054"/>
            <w:rFonts w:ascii="宋体" w:hAnsi="宋体" w:cs="Calibri"/>
            <w:bCs/>
            <w:caps/>
            <w:color w:val="auto"/>
            <w:sz w:val="32"/>
            <w:szCs w:val="32"/>
          </w:rPr>
          <w:instrText xml:space="preserve"> PAGEREF _Toc105397778 \h </w:instrText>
        </w:r>
        <w:r>
          <w:rPr>
            <w:rStyle w:val="1054"/>
            <w:rFonts w:ascii="宋体" w:hAnsi="宋体" w:cs="Calibri"/>
            <w:bCs/>
            <w:caps/>
            <w:color w:val="auto"/>
            <w:sz w:val="32"/>
            <w:szCs w:val="32"/>
          </w:rPr>
        </w:r>
        <w:r>
          <w:rPr>
            <w:rStyle w:val="1054"/>
            <w:rFonts w:ascii="宋体" w:hAnsi="宋体" w:cs="Calibri"/>
            <w:bCs/>
            <w:caps/>
            <w:color w:val="auto"/>
            <w:sz w:val="32"/>
            <w:szCs w:val="32"/>
          </w:rPr>
          <w:fldChar w:fldCharType="separate"/>
        </w:r>
        <w:r>
          <w:rPr>
            <w:rStyle w:val="1054"/>
            <w:rFonts w:hint="eastAsia" w:ascii="宋体" w:hAnsi="宋体" w:cs="Calibri"/>
            <w:bCs/>
            <w:caps/>
            <w:color w:val="auto"/>
            <w:sz w:val="32"/>
            <w:szCs w:val="32"/>
          </w:rPr>
          <w:t xml:space="preserve">20</w:t>
        </w:r>
        <w:r>
          <w:rPr>
            <w:rStyle w:val="1054"/>
            <w:rFonts w:ascii="宋体" w:hAnsi="宋体" w:cs="Calibri"/>
            <w:bCs/>
            <w:caps/>
            <w:color w:val="auto"/>
            <w:sz w:val="32"/>
            <w:szCs w:val="32"/>
          </w:rPr>
          <w:fldChar w:fldCharType="end"/>
        </w:r>
      </w:hyperlink>
      <w:r/>
      <w:r/>
    </w:p>
    <w:p>
      <w:pPr>
        <w:pStyle w:val="1022"/>
        <w:ind w:firstLine="0"/>
        <w:jc w:val="left"/>
        <w:spacing w:before="120" w:after="120"/>
        <w:tabs>
          <w:tab w:val="right" w:pos="9854" w:leader="dot"/>
        </w:tabs>
        <w:rPr>
          <w:rStyle w:val="1054"/>
          <w:rFonts w:hint="eastAsia" w:ascii="宋体" w:hAnsi="宋体" w:cs="Calibri"/>
          <w:bCs/>
          <w:caps/>
          <w:color w:val="auto"/>
          <w:sz w:val="32"/>
          <w:szCs w:val="32"/>
        </w:rPr>
        <w:outlineLvl w:val="9"/>
      </w:pPr>
      <w:r/>
      <w:hyperlink w:tooltip="#_Toc105397793" w:anchor="_Toc105397793" w:history="1">
        <w:r>
          <w:rPr>
            <w:rStyle w:val="1054"/>
            <w:rFonts w:ascii="宋体" w:hAnsi="宋体" w:cs="Calibri"/>
            <w:bCs/>
            <w:caps/>
            <w:color w:val="auto"/>
            <w:sz w:val="32"/>
            <w:szCs w:val="32"/>
          </w:rPr>
          <w:t xml:space="preserve">第四章 招标书</w:t>
        </w:r>
        <w:r>
          <w:rPr>
            <w:rStyle w:val="1054"/>
            <w:rFonts w:ascii="宋体" w:hAnsi="宋体" w:cs="Calibri"/>
            <w:bCs/>
            <w:caps/>
            <w:color w:val="auto"/>
            <w:sz w:val="32"/>
            <w:szCs w:val="32"/>
          </w:rPr>
          <w:tab/>
        </w:r>
        <w:r>
          <w:rPr>
            <w:rStyle w:val="1054"/>
            <w:rFonts w:ascii="宋体" w:hAnsi="宋体" w:cs="Calibri"/>
            <w:bCs/>
            <w:caps/>
            <w:color w:val="auto"/>
            <w:sz w:val="32"/>
            <w:szCs w:val="32"/>
          </w:rPr>
          <w:t xml:space="preserve">3</w:t>
        </w:r>
        <w:r>
          <w:rPr>
            <w:rStyle w:val="1054"/>
            <w:rFonts w:ascii="宋体" w:hAnsi="宋体" w:cs="Calibri"/>
            <w:bCs/>
            <w:caps/>
            <w:color w:val="auto"/>
            <w:sz w:val="32"/>
            <w:szCs w:val="32"/>
          </w:rPr>
          <w:t xml:space="preserve">2</w:t>
        </w:r>
      </w:hyperlink>
      <w:r/>
      <w:r/>
    </w:p>
    <w:p>
      <w:pPr>
        <w:pStyle w:val="1022"/>
        <w:ind w:firstLine="0"/>
        <w:jc w:val="left"/>
        <w:spacing w:before="120" w:after="120"/>
        <w:tabs>
          <w:tab w:val="right" w:pos="9854" w:leader="dot"/>
        </w:tabs>
        <w:rPr>
          <w:rStyle w:val="1054"/>
          <w:rFonts w:hint="eastAsia" w:ascii="宋体" w:hAnsi="宋体" w:cs="Calibri"/>
          <w:bCs/>
          <w:caps/>
          <w:color w:val="auto"/>
          <w:sz w:val="32"/>
          <w:szCs w:val="32"/>
        </w:rPr>
        <w:outlineLvl w:val="9"/>
      </w:pPr>
      <w:r/>
      <w:hyperlink w:tooltip="#_Toc105397794" w:anchor="_Toc105397794" w:history="1">
        <w:r>
          <w:rPr>
            <w:rStyle w:val="1054"/>
            <w:rFonts w:ascii="宋体" w:hAnsi="宋体" w:cs="Calibri"/>
            <w:bCs/>
            <w:caps/>
            <w:color w:val="auto"/>
            <w:sz w:val="32"/>
            <w:szCs w:val="32"/>
          </w:rPr>
          <w:t xml:space="preserve">第五章 合同及主要条款</w:t>
        </w:r>
        <w:r>
          <w:rPr>
            <w:rStyle w:val="1054"/>
            <w:rFonts w:ascii="宋体" w:hAnsi="宋体" w:cs="Calibri"/>
            <w:bCs/>
            <w:caps/>
            <w:color w:val="auto"/>
            <w:sz w:val="32"/>
            <w:szCs w:val="32"/>
          </w:rPr>
          <w:tab/>
        </w:r>
        <w:r>
          <w:rPr>
            <w:rStyle w:val="1054"/>
            <w:rFonts w:ascii="宋体" w:hAnsi="宋体" w:cs="Calibri"/>
            <w:bCs/>
            <w:caps/>
            <w:color w:val="auto"/>
            <w:sz w:val="32"/>
            <w:szCs w:val="32"/>
          </w:rPr>
          <w:t xml:space="preserve">53</w:t>
        </w:r>
      </w:hyperlink>
      <w:r/>
      <w:r/>
    </w:p>
    <w:p>
      <w:pPr>
        <w:pStyle w:val="1022"/>
        <w:ind w:firstLine="0"/>
        <w:jc w:val="left"/>
        <w:spacing w:before="120" w:after="120"/>
        <w:tabs>
          <w:tab w:val="right" w:pos="9854" w:leader="dot"/>
        </w:tabs>
        <w:rPr>
          <w:rStyle w:val="1054"/>
          <w:rFonts w:hint="eastAsia" w:ascii="宋体" w:hAnsi="宋体" w:cs="Calibri"/>
          <w:bCs/>
          <w:caps/>
          <w:color w:val="auto"/>
          <w:sz w:val="32"/>
          <w:szCs w:val="32"/>
        </w:rPr>
        <w:outlineLvl w:val="9"/>
      </w:pPr>
      <w:r/>
      <w:hyperlink w:tooltip="#_Toc105397795" w:anchor="_Toc105397795" w:history="1">
        <w:r>
          <w:rPr>
            <w:rStyle w:val="1054"/>
            <w:rFonts w:ascii="宋体" w:hAnsi="宋体" w:cs="Calibri"/>
            <w:bCs/>
            <w:caps/>
            <w:color w:val="auto"/>
            <w:sz w:val="32"/>
            <w:szCs w:val="32"/>
          </w:rPr>
          <w:t xml:space="preserve">第六章 评标办法和评分标准</w:t>
        </w:r>
        <w:r>
          <w:rPr>
            <w:rStyle w:val="1054"/>
            <w:rFonts w:ascii="宋体" w:hAnsi="宋体" w:cs="Calibri"/>
            <w:bCs/>
            <w:caps/>
            <w:color w:val="auto"/>
            <w:sz w:val="32"/>
            <w:szCs w:val="32"/>
          </w:rPr>
          <w:tab/>
        </w:r>
        <w:r>
          <w:rPr>
            <w:rStyle w:val="1054"/>
            <w:rFonts w:ascii="宋体" w:hAnsi="宋体" w:cs="Calibri"/>
            <w:bCs/>
            <w:caps/>
            <w:color w:val="auto"/>
            <w:sz w:val="32"/>
            <w:szCs w:val="32"/>
          </w:rPr>
          <w:t xml:space="preserve">61</w:t>
        </w:r>
      </w:hyperlink>
      <w:r/>
      <w:r/>
    </w:p>
    <w:p>
      <w:r/>
      <w:r/>
    </w:p>
    <w:p>
      <w:pPr>
        <w:pStyle w:val="1022"/>
        <w:ind w:firstLine="0"/>
        <w:jc w:val="left"/>
        <w:spacing w:before="120" w:after="120"/>
        <w:tabs>
          <w:tab w:val="right" w:pos="9856" w:leader="dot"/>
        </w:tabs>
        <w:rPr>
          <w:rFonts w:hint="eastAsia" w:ascii="宋体" w:hAnsi="宋体"/>
          <w:sz w:val="32"/>
          <w:szCs w:val="32"/>
        </w:rPr>
        <w:outlineLvl w:val="9"/>
      </w:pPr>
      <w:r>
        <w:rPr>
          <w:rStyle w:val="1054"/>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2" w:name="_Toc15681"/>
      <w:r/>
      <w:bookmarkStart w:id="3" w:name="_Toc1612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吴中区人工智能政务应用</w:t>
            </w:r>
            <w:r>
              <w:rPr>
                <w:rFonts w:hint="eastAsia" w:ascii="宋体" w:hAnsi="宋体" w:cs="Times New Roman"/>
                <w:sz w:val="21"/>
                <w:szCs w:val="21"/>
              </w:rPr>
              <w:t xml:space="preserve">智算云服务</w:t>
            </w:r>
            <w:r>
              <w:rPr>
                <w:rFonts w:hint="eastAsia" w:ascii="宋体" w:hAnsi="宋体" w:cs="Times New Roman"/>
                <w:sz w:val="21"/>
                <w:szCs w:val="21"/>
              </w:rPr>
              <w:t xml:space="preserve">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江工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苏州市吴中区数据局</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苏州市吴中区越溪</w:t>
            </w:r>
            <w:r>
              <w:rPr>
                <w:rFonts w:hint="eastAsia" w:ascii="宋体" w:hAnsi="宋体"/>
                <w:sz w:val="21"/>
                <w:szCs w:val="21"/>
              </w:rPr>
              <w:t xml:space="preserve">街道苏街198号</w:t>
            </w:r>
            <w:r>
              <w:rPr>
                <w:rFonts w:hint="eastAsia" w:ascii="宋体" w:hAnsi="宋体"/>
                <w:sz w:val="21"/>
                <w:szCs w:val="21"/>
              </w:rPr>
              <w:t xml:space="preserve">吴中商务中心B幢5楼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惠洪</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18951112228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3"/>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3"/>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5" w:name="_Toc28592"/>
      <w:r/>
      <w:bookmarkStart w:id="6" w:name="_Toc7166"/>
      <w:r/>
      <w:r/>
    </w:p>
    <w:p>
      <w:pPr>
        <w:ind w:left="0"/>
        <w:jc w:val="center"/>
        <w:rPr>
          <w:rFonts w:hint="eastAsia" w:ascii="宋体" w:hAnsi="宋体"/>
          <w:b/>
          <w:sz w:val="44"/>
          <w:szCs w:val="22"/>
        </w:rPr>
      </w:pPr>
      <w:r>
        <w:rPr>
          <w:rFonts w:hint="eastAsia" w:ascii="宋体" w:hAnsi="宋体"/>
          <w:b/>
          <w:sz w:val="44"/>
          <w:szCs w:val="22"/>
        </w:rPr>
      </w:r>
      <w:r/>
    </w:p>
    <w:p>
      <w:pPr>
        <w:pStyle w:val="1015"/>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15"/>
        <w:rPr>
          <w:rFonts w:hint="eastAsia" w:ascii="宋体" w:hAnsi="宋体"/>
        </w:rPr>
      </w:pPr>
      <w:r>
        <w:rPr>
          <w:rFonts w:hint="eastAsia" w:ascii="宋体" w:hAnsi="宋体"/>
        </w:rPr>
      </w:r>
      <w:r/>
    </w:p>
    <w:p>
      <w:pPr>
        <w:pStyle w:val="1007"/>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89"/>
        <w:ind w:left="431" w:firstLine="17"/>
        <w:jc w:val="center"/>
        <w:spacing w:before="0" w:after="0" w:line="360" w:lineRule="auto"/>
        <w:rPr>
          <w:rStyle w:val="1119"/>
          <w:rFonts w:hint="eastAsia"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吴中区人工智能政务应用</w:t>
      </w:r>
      <w:r>
        <w:rPr>
          <w:rFonts w:hint="eastAsia" w:ascii="宋体" w:hAnsi="宋体"/>
          <w:b/>
          <w:sz w:val="21"/>
          <w:szCs w:val="21"/>
          <w:u w:val="single"/>
        </w:rPr>
        <w:t xml:space="preserve">智算云服务</w:t>
      </w:r>
      <w:r>
        <w:rPr>
          <w:rFonts w:hint="eastAsia" w:ascii="宋体" w:hAnsi="宋体"/>
          <w:b/>
          <w:sz w:val="21"/>
          <w:szCs w:val="21"/>
          <w:u w:val="single"/>
        </w:rPr>
        <w:t xml:space="preserve">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06 </w:t>
      </w:r>
      <w:r>
        <w:rPr>
          <w:rFonts w:hint="eastAsia" w:ascii="宋体" w:hAnsi="宋体"/>
          <w:b/>
          <w:sz w:val="21"/>
          <w:szCs w:val="21"/>
          <w:u w:val="single"/>
        </w:rPr>
        <w:t xml:space="preserve">月</w:t>
      </w:r>
      <w:r>
        <w:rPr>
          <w:rFonts w:ascii="宋体" w:hAnsi="宋体"/>
          <w:b/>
          <w:sz w:val="21"/>
          <w:szCs w:val="21"/>
          <w:u w:val="single"/>
        </w:rPr>
        <w:t xml:space="preserve"> 17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JSZC-320500-JZCG-G2026-0122</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吴中区人工智能政务应用</w:t>
      </w:r>
      <w:r>
        <w:rPr>
          <w:rFonts w:hint="eastAsia" w:ascii="宋体" w:hAnsi="宋体"/>
          <w:sz w:val="21"/>
          <w:szCs w:val="21"/>
        </w:rPr>
        <w:t xml:space="preserve">智算云服务</w:t>
      </w:r>
      <w:r>
        <w:rPr>
          <w:rFonts w:hint="eastAsia" w:ascii="宋体" w:hAnsi="宋体"/>
          <w:sz w:val="21"/>
          <w:szCs w:val="21"/>
        </w:rPr>
        <w:t xml:space="preserve">采购</w:t>
      </w:r>
      <w:r>
        <w:rPr>
          <w:rFonts w:ascii="宋体" w:hAnsi="宋体"/>
          <w:sz w:val="21"/>
          <w:szCs w:val="21"/>
        </w:rPr>
        <w:t xml:space="preserve">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人民币捌佰陆拾陆万陆仟元整</w:t>
      </w:r>
      <w:r>
        <w:rPr>
          <w:rFonts w:hint="eastAsia" w:ascii="宋体" w:hAnsi="宋体"/>
          <w:sz w:val="21"/>
        </w:rPr>
        <w:t xml:space="preserve">（¥</w:t>
      </w:r>
      <w:r>
        <w:rPr>
          <w:rFonts w:hint="eastAsia" w:ascii="宋体" w:hAnsi="宋体"/>
          <w:sz w:val="21"/>
        </w:rPr>
        <w:t xml:space="preserve">8</w:t>
      </w:r>
      <w:r>
        <w:rPr>
          <w:rFonts w:ascii="宋体" w:hAnsi="宋体"/>
          <w:sz w:val="21"/>
        </w:rPr>
        <w:t xml:space="preserve">666</w:t>
      </w:r>
      <w:r>
        <w:rPr>
          <w:rFonts w:hint="eastAsia" w:ascii="宋体" w:hAnsi="宋体"/>
          <w:sz w:val="21"/>
        </w:rPr>
        <w:t xml:space="preserve">000.00）</w:t>
      </w:r>
      <w:r>
        <w:rPr>
          <w:rFonts w:ascii="宋体" w:hAnsi="宋体"/>
          <w:sz w:val="21"/>
          <w:szCs w:val="21"/>
        </w:rPr>
        <w:t xml:space="preserve"> </w:t>
      </w:r>
      <w:r/>
    </w:p>
    <w:p>
      <w:pPr>
        <w:pStyle w:val="1007"/>
        <w:ind w:left="0" w:firstLine="420"/>
        <w:spacing w:line="360" w:lineRule="auto"/>
        <w:rPr>
          <w:rFonts w:hint="eastAsia" w:ascii="宋体" w:hAnsi="宋体"/>
          <w:sz w:val="21"/>
        </w:rPr>
      </w:pPr>
      <w:r>
        <w:rPr>
          <w:rFonts w:hint="eastAsia" w:ascii="宋体" w:hAnsi="宋体"/>
          <w:sz w:val="21"/>
          <w:szCs w:val="21"/>
        </w:rPr>
        <w:t xml:space="preserve">5.最高限价：</w:t>
      </w:r>
      <w:r>
        <w:rPr>
          <w:rFonts w:hint="eastAsia" w:ascii="宋体" w:hAnsi="宋体"/>
          <w:sz w:val="21"/>
          <w:szCs w:val="21"/>
        </w:rPr>
        <w:t xml:space="preserve">人民币捌佰陆拾陆万陆仟元整</w:t>
      </w:r>
      <w:r>
        <w:rPr>
          <w:rFonts w:hint="eastAsia" w:ascii="宋体" w:hAnsi="宋体"/>
          <w:sz w:val="21"/>
        </w:rPr>
        <w:t xml:space="preserve">（¥</w:t>
      </w:r>
      <w:r>
        <w:rPr>
          <w:rFonts w:hint="eastAsia" w:ascii="宋体" w:hAnsi="宋体"/>
          <w:sz w:val="21"/>
        </w:rPr>
        <w:t xml:space="preserve">8</w:t>
      </w:r>
      <w:r>
        <w:rPr>
          <w:rFonts w:ascii="宋体" w:hAnsi="宋体"/>
          <w:sz w:val="21"/>
        </w:rPr>
        <w:t xml:space="preserve">666</w:t>
      </w:r>
      <w:r>
        <w:rPr>
          <w:rFonts w:hint="eastAsia" w:ascii="宋体" w:hAnsi="宋体"/>
          <w:sz w:val="21"/>
        </w:rPr>
        <w:t xml:space="preserve">000.00）</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6.合同履行期</w:t>
      </w:r>
      <w:r>
        <w:rPr>
          <w:rFonts w:hint="eastAsia" w:ascii="宋体" w:hAnsi="宋体"/>
          <w:sz w:val="21"/>
          <w:szCs w:val="21"/>
        </w:rPr>
        <w:t xml:space="preserve">限：</w:t>
      </w:r>
      <w:r>
        <w:rPr>
          <w:rFonts w:hint="eastAsia" w:ascii="宋体" w:hAnsi="宋体"/>
          <w:sz w:val="21"/>
        </w:rPr>
        <w:t xml:space="preserve">自服务</w:t>
      </w:r>
      <w:r>
        <w:rPr>
          <w:rFonts w:hint="eastAsia" w:ascii="宋体" w:hAnsi="宋体"/>
          <w:sz w:val="21"/>
        </w:rPr>
        <w:t xml:space="preserve">内容</w:t>
      </w:r>
      <w:r>
        <w:rPr>
          <w:rFonts w:hint="eastAsia" w:ascii="宋体" w:hAnsi="宋体"/>
          <w:sz w:val="21"/>
        </w:rPr>
        <w:t xml:space="preserve">验收合格之日起一年</w:t>
      </w:r>
      <w:r>
        <w:rPr>
          <w:rFonts w:hint="eastAsia" w:ascii="宋体" w:hAnsi="宋体"/>
          <w:sz w:val="21"/>
          <w:szCs w:val="21"/>
        </w:rPr>
        <w:t xml:space="preserve">。</w:t>
      </w:r>
      <w:r>
        <w:rPr>
          <w:rFonts w:ascii="宋体" w:hAnsi="宋体"/>
          <w:sz w:val="21"/>
          <w:szCs w:val="21"/>
        </w:rPr>
        <w:t xml:space="preserve">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吴中区人工智能政务应用</w:t>
      </w:r>
      <w:r>
        <w:rPr>
          <w:rFonts w:hint="eastAsia" w:ascii="宋体" w:hAnsi="宋体"/>
          <w:sz w:val="21"/>
          <w:szCs w:val="21"/>
        </w:rPr>
        <w:t xml:space="preserve">智算云服务</w:t>
      </w:r>
      <w:r>
        <w:rPr>
          <w:rFonts w:hint="eastAsia" w:ascii="宋体" w:hAnsi="宋体"/>
          <w:sz w:val="21"/>
          <w:szCs w:val="21"/>
        </w:rPr>
        <w:t xml:space="preserve">采购</w:t>
      </w:r>
      <w:r>
        <w:rPr>
          <w:rFonts w:hint="eastAsia" w:ascii="宋体" w:hAnsi="宋体"/>
          <w:sz w:val="21"/>
          <w:szCs w:val="21"/>
        </w:rPr>
        <w:t xml:space="preserve">（详见采购文件第四章）</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07"/>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07"/>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06 月 17 日 09 点 30 分</w:t>
      </w:r>
      <w:r>
        <w:rPr>
          <w:rFonts w:hint="eastAsia" w:ascii="宋体" w:hAnsi="宋体"/>
          <w:sz w:val="21"/>
          <w:szCs w:val="21"/>
        </w:rPr>
        <w:t xml:space="preserve">（北京时间）；</w:t>
      </w:r>
      <w:r>
        <w:rPr>
          <w:rFonts w:ascii="宋体" w:hAnsi="宋体"/>
          <w:sz w:val="21"/>
          <w:szCs w:val="21"/>
        </w:rPr>
        <w:t xml:space="preserve">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06 月 17 日 09 点 30 分</w:t>
      </w:r>
      <w:r>
        <w:rPr>
          <w:rFonts w:hint="eastAsia" w:ascii="宋体" w:hAnsi="宋体"/>
          <w:sz w:val="21"/>
          <w:szCs w:val="21"/>
        </w:rPr>
        <w:t xml:space="preserve">（北京时间）；</w:t>
      </w:r>
      <w:r/>
    </w:p>
    <w:p>
      <w:pPr>
        <w:pStyle w:val="1007"/>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07"/>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7"/>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8"/>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8"/>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8"/>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名称：苏州市吴中区数据局</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地址：苏州市吴中区越溪</w:t>
      </w:r>
      <w:r>
        <w:rPr>
          <w:rFonts w:hint="eastAsia" w:ascii="宋体" w:hAnsi="宋体"/>
          <w:sz w:val="21"/>
          <w:szCs w:val="21"/>
        </w:rPr>
        <w:t xml:space="preserve">街道苏街198号</w:t>
      </w:r>
      <w:r>
        <w:rPr>
          <w:rFonts w:hint="eastAsia" w:ascii="宋体" w:hAnsi="宋体"/>
          <w:sz w:val="21"/>
          <w:szCs w:val="21"/>
        </w:rPr>
        <w:t xml:space="preserve">吴中商务中心B幢5楼</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联系人：惠洪</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联系方式：18951112228</w:t>
      </w:r>
      <w:r>
        <w:rPr>
          <w:rFonts w:hint="eastAsia" w:ascii="宋体" w:hAnsi="宋体"/>
          <w:sz w:val="21"/>
          <w:szCs w:val="21"/>
        </w:rPr>
        <w:t xml:space="preserve">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0512-69820710</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jc w:val="left"/>
        <w:rPr>
          <w:rFonts w:hint="eastAsia" w:ascii="宋体" w:hAnsi="宋体"/>
          <w:sz w:val="21"/>
          <w:szCs w:val="21"/>
        </w:rPr>
      </w:pPr>
      <w:r>
        <w:rPr>
          <w:rFonts w:hint="eastAsia" w:ascii="宋体" w:hAnsi="宋体"/>
          <w:sz w:val="21"/>
          <w:szCs w:val="21"/>
        </w:rPr>
        <w:br w:type="page" w:clear="all"/>
      </w:r>
      <w:r/>
    </w:p>
    <w:p>
      <w:pPr>
        <w:pStyle w:val="989"/>
        <w:ind w:left="0" w:firstLine="0"/>
        <w:jc w:val="center"/>
        <w:rPr>
          <w:rFonts w:hint="eastAsia" w:ascii="宋体" w:hAnsi="宋体"/>
          <w:b/>
          <w:sz w:val="44"/>
          <w:szCs w:val="22"/>
        </w:rPr>
      </w:pPr>
      <w:r/>
      <w:bookmarkStart w:id="10" w:name="_Toc105397777"/>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07"/>
        <w:ind w:left="0" w:firstLine="422"/>
        <w:spacing w:line="360" w:lineRule="auto"/>
        <w:rPr>
          <w:rFonts w:hint="eastAsia"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07"/>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07"/>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07"/>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3.2落实政府采购政策需满足的资格要求：无</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46"/>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4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6"/>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46"/>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0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0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0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07"/>
        <w:ind w:left="0" w:firstLine="420"/>
        <w:spacing w:line="360" w:lineRule="auto"/>
        <w:rPr>
          <w:rFonts w:hint="eastAsia"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07"/>
        <w:ind w:left="0" w:firstLine="422"/>
        <w:spacing w:line="360" w:lineRule="auto"/>
        <w:rPr>
          <w:rFonts w:hint="eastAsia" w:ascii="宋体" w:hAnsi="宋体"/>
          <w:b/>
          <w:sz w:val="21"/>
          <w:szCs w:val="21"/>
        </w:rPr>
      </w:pPr>
      <w:r/>
      <w:bookmarkStart w:id="27" w:name="OLE_LINK22"/>
      <w:r/>
      <w:bookmarkStart w:id="28" w:name="OLE_LINK32"/>
      <w:r/>
      <w:bookmarkStart w:id="29" w:name="OLE_LINK33"/>
      <w:r/>
      <w:bookmarkStart w:id="30" w:name="OLE_LINK35"/>
      <w:r/>
      <w:bookmarkStart w:id="31"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bookmarkEnd w:id="31"/>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1007"/>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7"/>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资格审查文件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.1关于资格文件的声明函（格式见第三章）；</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1007"/>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合格投标人资格证明材料：</w:t>
      </w:r>
      <w:r/>
    </w:p>
    <w:p>
      <w:pPr>
        <w:pStyle w:val="1046"/>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6"/>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6"/>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7"/>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7"/>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符合性审查文件</w:t>
      </w:r>
      <w:r/>
    </w:p>
    <w:p>
      <w:pPr>
        <w:pStyle w:val="100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.4</w:t>
      </w:r>
      <w:r>
        <w:rPr>
          <w:rFonts w:hint="eastAsia" w:ascii="宋体" w:hAnsi="宋体"/>
          <w:sz w:val="21"/>
          <w:szCs w:val="21"/>
        </w:rPr>
        <w:t xml:space="preserve">实质性响应内容(供应商根据采购文件中实质性响应内容制作)；</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4</w:t>
      </w:r>
      <w:r>
        <w:rPr>
          <w:rFonts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ascii="宋体" w:hAnsi="宋体"/>
          <w:b/>
          <w:sz w:val="21"/>
          <w:szCs w:val="21"/>
        </w:rPr>
        <w:t xml:space="preserve">5</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23"/>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w:t>
      </w:r>
      <w:r>
        <w:rPr>
          <w:rFonts w:ascii="宋体" w:hAnsi="宋体" w:cs="宋体"/>
          <w:b/>
          <w:bCs/>
          <w:sz w:val="21"/>
          <w:szCs w:val="21"/>
          <w:highlight w:val="yellow"/>
        </w:rPr>
        <w:t xml:space="preserve">3</w:t>
      </w:r>
      <w:r>
        <w:rPr>
          <w:rFonts w:ascii="宋体" w:hAnsi="宋体" w:cs="宋体"/>
          <w:b/>
          <w:bCs/>
          <w:sz w:val="21"/>
          <w:szCs w:val="21"/>
          <w:highlight w:val="yellow"/>
        </w:rPr>
        <w:t xml:space="preserve">.1-14.1.</w:t>
      </w:r>
      <w:r>
        <w:rPr>
          <w:rFonts w:ascii="宋体" w:hAnsi="宋体" w:cs="宋体"/>
          <w:b/>
          <w:bCs/>
          <w:sz w:val="21"/>
          <w:szCs w:val="21"/>
          <w:highlight w:val="yellow"/>
        </w:rPr>
        <w:t xml:space="preserve">3</w:t>
      </w:r>
      <w:r>
        <w:rPr>
          <w:rFonts w:ascii="宋体" w:hAnsi="宋体" w:cs="宋体"/>
          <w:b/>
          <w:bCs/>
          <w:sz w:val="21"/>
          <w:szCs w:val="21"/>
          <w:highlight w:val="yellow"/>
        </w:rPr>
        <w:t xml:space="preserve">.</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3"/>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w:t>
      </w:r>
      <w:r>
        <w:rPr>
          <w:rFonts w:ascii="宋体" w:hAnsi="宋体" w:cs="宋体"/>
          <w:b/>
          <w:bCs/>
          <w:sz w:val="21"/>
          <w:szCs w:val="21"/>
          <w:highlight w:val="yellow"/>
        </w:rPr>
        <w:t xml:space="preserve">4</w:t>
      </w:r>
      <w:r>
        <w:rPr>
          <w:rFonts w:ascii="宋体" w:hAnsi="宋体" w:cs="宋体"/>
          <w:b/>
          <w:bCs/>
          <w:sz w:val="21"/>
          <w:szCs w:val="21"/>
          <w:highlight w:val="yellow"/>
        </w:rPr>
        <w:t xml:space="preserve">.1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w:t>
      </w:r>
      <w:r>
        <w:rPr>
          <w:rFonts w:ascii="宋体" w:hAnsi="宋体" w:cs="宋体"/>
          <w:b/>
          <w:bCs/>
          <w:sz w:val="21"/>
          <w:szCs w:val="21"/>
          <w:highlight w:val="yellow"/>
        </w:rPr>
        <w:t xml:space="preserve">4</w:t>
      </w:r>
      <w:r>
        <w:rPr>
          <w:rFonts w:ascii="宋体" w:hAnsi="宋体" w:cs="宋体"/>
          <w:b/>
          <w:bCs/>
          <w:sz w:val="21"/>
          <w:szCs w:val="21"/>
          <w:highlight w:val="yellow"/>
        </w:rPr>
        <w:t xml:space="preserve">.</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3"/>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w:t>
      </w:r>
      <w:r>
        <w:rPr>
          <w:rFonts w:ascii="宋体" w:hAnsi="宋体"/>
          <w:b/>
          <w:sz w:val="21"/>
          <w:szCs w:val="21"/>
          <w:highlight w:val="yellow"/>
        </w:rPr>
        <w:t xml:space="preserve">3</w:t>
      </w:r>
      <w:r>
        <w:rPr>
          <w:rFonts w:ascii="宋体" w:hAnsi="宋体"/>
          <w:b/>
          <w:sz w:val="21"/>
          <w:szCs w:val="21"/>
          <w:highlight w:val="yellow"/>
        </w:rPr>
        <w:t xml:space="preserve">-14.1.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3"/>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3"/>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3"/>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3"/>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23"/>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3"/>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3"/>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07"/>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3"/>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3"/>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3"/>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3"/>
        <w:ind w:left="0" w:firstLine="422"/>
        <w:spacing w:line="360" w:lineRule="auto"/>
        <w:rPr>
          <w:rFonts w:hint="eastAsia"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9"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9"/>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0" w:name="OLE_LINK15"/>
      <w:r/>
      <w:bookmarkStart w:id="41"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0"/>
      <w:r/>
      <w:bookmarkEnd w:id="41"/>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2" w:name="OLE_LINK29"/>
      <w:r/>
      <w:bookmarkStart w:id="43"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3"/>
        <w:ind w:left="0" w:firstLine="422"/>
        <w:spacing w:line="360" w:lineRule="auto"/>
        <w:rPr>
          <w:color w:val="333333"/>
          <w:shd w:val="clear" w:color="auto" w:fill="ffffff"/>
        </w:rPr>
      </w:pPr>
      <w:r/>
      <w:bookmarkStart w:id="44" w:name="OLE_LINK3"/>
      <w:r/>
      <w:bookmarkStart w:id="45" w:name="OLE_LINK4"/>
      <w:r/>
      <w:bookmarkStart w:id="46" w:name="OLE_LINK31"/>
      <w:r/>
      <w:bookmarkStart w:id="47" w:name="OLE_LINK34"/>
      <w:r/>
      <w:bookmarkEnd w:id="42"/>
      <w:r/>
      <w:bookmarkEnd w:id="4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3"/>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4"/>
      <w:r/>
      <w:bookmarkEnd w:id="45"/>
      <w:r/>
      <w:bookmarkEnd w:id="46"/>
      <w:r/>
      <w:bookmarkEnd w:id="47"/>
      <w:r/>
      <w:r/>
    </w:p>
    <w:p>
      <w:pPr>
        <w:pStyle w:val="1223"/>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6"/>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3"/>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3"/>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23"/>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9501"/>
      <w:r/>
      <w:bookmarkStart w:id="53" w:name="_Toc18442"/>
      <w:r/>
      <w:r/>
    </w:p>
    <w:p>
      <w:pPr>
        <w:pStyle w:val="1223"/>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52"/>
      <w:r/>
      <w:bookmarkEnd w:id="53"/>
      <w:r/>
      <w:r/>
    </w:p>
    <w:p>
      <w:pPr>
        <w:pStyle w:val="1223"/>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3"/>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3"/>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3"/>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3"/>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2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223"/>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54"/>
      <w:r/>
      <w:bookmarkEnd w:id="55"/>
      <w:r/>
      <w:r/>
    </w:p>
    <w:p>
      <w:pPr>
        <w:pStyle w:val="1223"/>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3"/>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3"/>
        <w:ind w:left="0" w:firstLine="0"/>
        <w:spacing w:line="360" w:lineRule="auto"/>
        <w:rPr>
          <w:rFonts w:hint="eastAsia" w:ascii="宋体" w:hAnsi="宋体" w:cs="宋体"/>
          <w:sz w:val="21"/>
          <w:szCs w:val="21"/>
        </w:rPr>
      </w:pPr>
      <w:r>
        <w:rPr>
          <w:rFonts w:hint="eastAsia" w:ascii="宋体" w:hAnsi="宋体" w:cs="宋体"/>
          <w:sz w:val="21"/>
          <w:szCs w:val="21"/>
        </w:rPr>
      </w:r>
      <w:r/>
    </w:p>
    <w:p>
      <w:pPr>
        <w:pStyle w:val="989"/>
        <w:ind w:left="0" w:firstLine="0"/>
        <w:jc w:val="center"/>
        <w:rPr>
          <w:rFonts w:hint="eastAsia" w:ascii="宋体" w:hAnsi="宋体"/>
          <w:sz w:val="21"/>
          <w:szCs w:val="21"/>
          <w:lang w:val="zh-CN"/>
        </w:rPr>
      </w:pPr>
      <w:r/>
      <w:bookmarkStart w:id="56" w:name="_Toc105397778"/>
      <w:r/>
      <w:bookmarkStart w:id="57" w:name="_Toc7264"/>
      <w:r/>
      <w:bookmarkStart w:id="58" w:name="_Toc24711"/>
      <w:r>
        <w:rPr>
          <w:rFonts w:hint="eastAsia" w:ascii="宋体" w:hAnsi="宋体"/>
          <w:b/>
          <w:sz w:val="44"/>
          <w:szCs w:val="22"/>
        </w:rPr>
        <w:br w:type="page" w:clear="all"/>
      </w:r>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23"/>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60" w:name="_Toc3821"/>
      <w:r/>
      <w:bookmarkStart w:id="61" w:name="_Toc17036"/>
      <w:r/>
      <w:bookmarkStart w:id="62" w:name="_Toc105397779"/>
      <w:r/>
      <w:bookmarkStart w:id="63" w:name="_Toc71810480"/>
      <w:r>
        <w:rPr>
          <w:rFonts w:hint="eastAsia" w:ascii="宋体" w:hAnsi="宋体"/>
          <w:b/>
          <w:sz w:val="21"/>
          <w:szCs w:val="21"/>
        </w:rPr>
        <w:t xml:space="preserve">附件1.投标函</w:t>
      </w:r>
      <w:bookmarkEnd w:id="60"/>
      <w:r/>
      <w:bookmarkEnd w:id="61"/>
      <w:r/>
      <w:bookmarkEnd w:id="62"/>
      <w:r/>
      <w:bookmarkEnd w:id="63"/>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64" w:name="_Toc71810481"/>
      <w:r/>
      <w:bookmarkStart w:id="6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4"/>
      <w:r/>
      <w:bookmarkEnd w:id="65"/>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w:t>
      </w:r>
      <w:r>
        <w:rPr>
          <w:rFonts w:hint="eastAsia" w:ascii="宋体" w:hAnsi="宋体"/>
          <w:b/>
          <w:sz w:val="21"/>
          <w:szCs w:val="21"/>
        </w:rPr>
        <w:t xml:space="preserve">优惠率</w:t>
      </w:r>
      <w:r>
        <w:rPr>
          <w:rFonts w:hint="eastAsia" w:ascii="宋体" w:hAnsi="宋体"/>
          <w:b/>
          <w:sz w:val="21"/>
          <w:szCs w:val="21"/>
        </w:rPr>
        <w:t xml:space="preserve">）</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w:t>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rPr>
      </w:pPr>
      <w:r>
        <w:rPr>
          <w:rFonts w:hint="eastAsia" w:ascii="宋体" w:hAnsi="宋体"/>
          <w:sz w:val="21"/>
          <w:szCs w:val="21"/>
        </w:rPr>
        <w:t xml:space="preserve">1.开标一览表必须加盖投标人公章（复印件无效）。</w:t>
      </w:r>
      <w:r/>
    </w:p>
    <w:p>
      <w:pPr>
        <w:ind w:left="0" w:firstLine="420"/>
        <w:spacing w:line="440" w:lineRule="exact"/>
        <w:rPr>
          <w:rFonts w:hint="eastAsia" w:ascii="宋体" w:hAnsi="宋体"/>
          <w:sz w:val="21"/>
          <w:szCs w:val="21"/>
        </w:rPr>
      </w:pPr>
      <w:r>
        <w:rPr>
          <w:rFonts w:hint="eastAsia" w:ascii="宋体" w:hAnsi="宋体"/>
          <w:sz w:val="21"/>
          <w:szCs w:val="21"/>
        </w:rPr>
        <w:t xml:space="preserve">2.如有分包，投标人</w:t>
      </w:r>
      <w:r>
        <w:rPr>
          <w:rFonts w:hint="eastAsia" w:ascii="宋体" w:hAnsi="宋体"/>
          <w:sz w:val="21"/>
          <w:szCs w:val="21"/>
        </w:rPr>
        <w:t xml:space="preserve">投任何</w:t>
      </w:r>
      <w:r>
        <w:rPr>
          <w:rFonts w:hint="eastAsia" w:ascii="宋体" w:hAnsi="宋体"/>
          <w:sz w:val="21"/>
          <w:szCs w:val="21"/>
        </w:rPr>
        <w:t xml:space="preserve">一个包的标的，都需单独填写开标一览表。</w:t>
      </w:r>
      <w:r/>
    </w:p>
    <w:p>
      <w:pPr>
        <w:ind w:left="0" w:firstLine="422"/>
        <w:spacing w:line="440" w:lineRule="exact"/>
        <w:rPr>
          <w:rFonts w:hint="eastAsia" w:ascii="宋体" w:hAnsi="宋体"/>
          <w:b/>
          <w:sz w:val="21"/>
          <w:szCs w:val="21"/>
        </w:rPr>
      </w:pPr>
      <w:r>
        <w:rPr>
          <w:rFonts w:hint="eastAsia" w:ascii="宋体" w:hAnsi="宋体"/>
          <w:b/>
          <w:color w:val="000000"/>
          <w:sz w:val="21"/>
          <w:szCs w:val="21"/>
        </w:rPr>
        <w:t xml:space="preserve">3.报价方式：本项目按优惠</w:t>
      </w:r>
      <w:r>
        <w:rPr>
          <w:rFonts w:hint="eastAsia" w:ascii="宋体" w:hAnsi="宋体"/>
          <w:b/>
          <w:sz w:val="21"/>
          <w:szCs w:val="21"/>
        </w:rPr>
        <w:t xml:space="preserve">率报价，投标人在编写电子投标文件“开标一览表”时，优惠率中请填写投标优惠率数值（例如：投标优惠率3.25%，填写数字“3.25”即可），优惠率报价填写到小数点后2位。</w:t>
      </w:r>
      <w:r/>
    </w:p>
    <w:p>
      <w:pPr>
        <w:ind w:left="0" w:firstLine="422"/>
        <w:spacing w:line="440" w:lineRule="exact"/>
        <w:rPr>
          <w:rFonts w:hint="eastAsia" w:ascii="宋体" w:hAnsi="宋体"/>
          <w:b/>
          <w:sz w:val="21"/>
          <w:szCs w:val="21"/>
        </w:rPr>
      </w:pPr>
      <w:r>
        <w:rPr>
          <w:rFonts w:hint="eastAsia" w:ascii="宋体" w:hAnsi="宋体"/>
          <w:b/>
          <w:color w:val="000000"/>
          <w:sz w:val="21"/>
          <w:szCs w:val="21"/>
        </w:rPr>
        <w:t xml:space="preserve">4.投标报价得分计算</w:t>
      </w:r>
      <w:r>
        <w:rPr>
          <w:rFonts w:hint="eastAsia" w:ascii="宋体" w:hAnsi="宋体"/>
          <w:b/>
          <w:sz w:val="21"/>
          <w:szCs w:val="21"/>
        </w:rPr>
        <w:t xml:space="preserve">示例：</w:t>
      </w:r>
      <w:r/>
    </w:p>
    <w:p>
      <w:pPr>
        <w:ind w:left="0" w:firstLine="422"/>
        <w:spacing w:line="440" w:lineRule="exact"/>
        <w:rPr>
          <w:rFonts w:hint="eastAsia" w:ascii="宋体" w:hAnsi="宋体"/>
          <w:b/>
          <w:sz w:val="21"/>
          <w:szCs w:val="21"/>
        </w:rPr>
      </w:pPr>
      <w:r>
        <w:rPr>
          <w:rFonts w:hint="eastAsia" w:ascii="宋体" w:hAnsi="宋体"/>
          <w:b/>
          <w:sz w:val="21"/>
          <w:szCs w:val="21"/>
        </w:rPr>
        <w:t xml:space="preserve">A、B、C三家供应商各自的优惠率报价依次为1.00%、2.00%、3.00%，则投标优惠率最高的C供应商报价最低，其价格分为满分；</w:t>
      </w:r>
      <w:r/>
    </w:p>
    <w:p>
      <w:pPr>
        <w:ind w:left="0" w:firstLine="422"/>
        <w:spacing w:line="440" w:lineRule="exact"/>
        <w:rPr>
          <w:rFonts w:hint="eastAsia" w:ascii="宋体" w:hAnsi="宋体"/>
          <w:b/>
          <w:sz w:val="21"/>
          <w:szCs w:val="21"/>
        </w:rPr>
      </w:pPr>
      <w:r>
        <w:rPr>
          <w:rFonts w:hint="eastAsia" w:ascii="宋体" w:hAnsi="宋体"/>
          <w:b/>
          <w:sz w:val="21"/>
          <w:szCs w:val="21"/>
        </w:rPr>
        <w:t xml:space="preserve">A供应商的投标报价得分=（1-3.00%）/（1-1.00%）×价格权重×100；</w:t>
      </w:r>
      <w:r/>
    </w:p>
    <w:p>
      <w:pPr>
        <w:ind w:left="0" w:firstLine="422"/>
        <w:spacing w:line="440" w:lineRule="exact"/>
        <w:rPr>
          <w:rFonts w:hint="eastAsia" w:ascii="宋体" w:hAnsi="宋体"/>
          <w:b/>
          <w:sz w:val="21"/>
          <w:szCs w:val="21"/>
        </w:rPr>
      </w:pPr>
      <w:r>
        <w:rPr>
          <w:rFonts w:hint="eastAsia" w:ascii="宋体" w:hAnsi="宋体"/>
          <w:b/>
          <w:sz w:val="21"/>
          <w:szCs w:val="21"/>
        </w:rPr>
        <w:t xml:space="preserve">B供应商的投标报价得分=（1-3.00%）/（1-2.00%）×价格权重×100。</w:t>
      </w:r>
      <w:r/>
    </w:p>
    <w:p>
      <w:pPr>
        <w:pStyle w:val="1015"/>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73" w:name="_Toc241"/>
      <w:r/>
      <w:bookmarkStart w:id="74" w:name="_Toc7945"/>
      <w:r/>
      <w:bookmarkStart w:id="75" w:name="_Toc71810482"/>
      <w:r/>
      <w:bookmarkEnd w:id="73"/>
      <w:r/>
      <w:bookmarkEnd w:id="74"/>
      <w:r/>
      <w:bookmarkEnd w:id="75"/>
      <w:r/>
      <w:r/>
    </w:p>
    <w:p>
      <w:pPr>
        <w:ind w:left="0"/>
        <w:jc w:val="left"/>
        <w:rPr>
          <w:rFonts w:hint="eastAsia" w:ascii="宋体" w:hAnsi="宋体"/>
          <w:b/>
          <w:sz w:val="21"/>
          <w:szCs w:val="21"/>
        </w:rPr>
      </w:pPr>
      <w:r>
        <w:rPr>
          <w:rFonts w:hint="eastAsia" w:ascii="宋体" w:hAnsi="宋体"/>
          <w:b/>
          <w:sz w:val="21"/>
          <w:szCs w:val="21"/>
        </w:r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6" w:name="_Toc71810483"/>
      <w:r/>
      <w:bookmarkStart w:id="77" w:name="_Toc105397782"/>
      <w:r>
        <w:rPr>
          <w:rFonts w:ascii="宋体" w:hAnsi="宋体"/>
          <w:b/>
          <w:sz w:val="21"/>
          <w:szCs w:val="21"/>
        </w:rPr>
        <w:t xml:space="preserve">附件</w:t>
      </w:r>
      <w:r>
        <w:rPr>
          <w:rFonts w:ascii="宋体" w:hAnsi="宋体"/>
          <w:b/>
          <w:sz w:val="21"/>
          <w:szCs w:val="21"/>
        </w:rPr>
        <w:t xml:space="preserve">3</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15"/>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8" w:name="_Toc105397783"/>
      <w:r/>
      <w:bookmarkStart w:id="79" w:name="_Toc71810484"/>
      <w:r/>
      <w:bookmarkStart w:id="80" w:name="_Toc19621"/>
      <w:r/>
      <w:bookmarkStart w:id="81" w:name="_Toc21574"/>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苏州市吴中区数据局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吴中区人工智能政务应用</w:t>
      </w:r>
      <w:r>
        <w:rPr>
          <w:rFonts w:hint="eastAsia" w:ascii="宋体" w:hAnsi="宋体"/>
          <w:b/>
          <w:sz w:val="21"/>
          <w:szCs w:val="21"/>
          <w:u w:val="single"/>
        </w:rPr>
        <w:t xml:space="preserve">智算云服务</w:t>
      </w:r>
      <w:r>
        <w:rPr>
          <w:rFonts w:hint="eastAsia" w:ascii="宋体" w:hAnsi="宋体"/>
          <w:b/>
          <w:sz w:val="21"/>
          <w:szCs w:val="21"/>
          <w:u w:val="single"/>
        </w:rPr>
        <w:t xml:space="preserve">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吴中区人工智能政务应用</w:t>
      </w:r>
      <w:r>
        <w:rPr>
          <w:rFonts w:hint="eastAsia" w:ascii="宋体" w:hAnsi="宋体"/>
          <w:b/>
          <w:sz w:val="21"/>
          <w:szCs w:val="21"/>
          <w:u w:val="single"/>
        </w:rPr>
        <w:t xml:space="preserve">智算云服务</w:t>
      </w:r>
      <w:r>
        <w:rPr>
          <w:rFonts w:hint="eastAsia" w:ascii="宋体" w:hAnsi="宋体"/>
          <w:b/>
          <w:sz w:val="21"/>
          <w:szCs w:val="21"/>
          <w:u w:val="single"/>
        </w:rPr>
        <w:t xml:space="preserve">采购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15"/>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3" w:name="_Toc105397784"/>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82"/>
      <w:r/>
      <w:bookmarkEnd w:id="8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4" w:name="_Toc32206"/>
      <w:r/>
      <w:bookmarkStart w:id="85" w:name="_Toc15378"/>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1"/>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8"/>
        <w:ind w:left="0" w:firstLine="0"/>
        <w:rPr>
          <w:rFonts w:hint="eastAsia" w:ascii="宋体" w:hAnsi="宋体"/>
          <w:b/>
          <w:lang w:val="zh-CN"/>
        </w:rPr>
      </w:pPr>
      <w:r>
        <w:rPr>
          <w:rFonts w:hint="eastAsia" w:ascii="宋体" w:hAnsi="宋体"/>
          <w:b/>
          <w:lang w:val="zh-CN"/>
        </w:rPr>
      </w:r>
      <w:r/>
    </w:p>
    <w:p>
      <w:pPr>
        <w:pStyle w:val="1048"/>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8"/>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8"/>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8"/>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8"/>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7" w:name="_Toc71810487"/>
      <w:r/>
      <w:bookmarkStart w:id="88" w:name="_Toc105397785"/>
      <w:r>
        <w:rPr>
          <w:rFonts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9" w:name="_Toc31973"/>
      <w:r/>
      <w:bookmarkStart w:id="90" w:name="_Toc27138"/>
      <w:r>
        <w:rPr>
          <w:rFonts w:ascii="宋体" w:hAnsi="宋体"/>
          <w:sz w:val="21"/>
          <w:szCs w:val="21"/>
        </w:rPr>
        <w:t xml:space="preserve"> </w:t>
      </w:r>
      <w:r/>
    </w:p>
    <w:p>
      <w:pPr>
        <w:pStyle w:val="1015"/>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1015"/>
        <w:rPr>
          <w:rFonts w:hint="eastAsia" w:ascii="宋体" w:hAnsi="宋体"/>
        </w:rPr>
      </w:pPr>
      <w:r>
        <w:rPr>
          <w:rFonts w:hint="eastAsia" w:ascii="宋体" w:hAnsi="宋体"/>
        </w:rPr>
      </w:r>
      <w:r/>
    </w:p>
    <w:p>
      <w:pPr>
        <w:pStyle w:val="1007"/>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pStyle w:val="1015"/>
        <w:rPr>
          <w:rFonts w:hint="eastAsia" w:ascii="宋体" w:hAnsi="宋体"/>
        </w:rPr>
      </w:pPr>
      <w:r>
        <w:rPr>
          <w:rFonts w:hint="eastAsia" w:ascii="宋体" w:hAnsi="宋体"/>
        </w:rPr>
      </w:r>
      <w:r/>
    </w:p>
    <w:p>
      <w:pPr>
        <w:pStyle w:val="1007"/>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6"/>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.项目服务人员配置表</w:t>
      </w:r>
      <w:bookmarkEnd w:id="9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hint="eastAsia" w:ascii="宋体" w:hAnsi="宋体"/>
        </w:rPr>
      </w:pPr>
      <w:r>
        <w:rPr>
          <w:rFonts w:hint="eastAsia" w:ascii="宋体" w:hAnsi="宋体"/>
        </w:rPr>
      </w:r>
      <w:r/>
    </w:p>
    <w:p>
      <w:pPr>
        <w:pStyle w:val="1007"/>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94" w:name="_Toc105397788"/>
      <w:r/>
      <w:bookmarkStart w:id="95" w:name="_Toc71810490"/>
      <w:r/>
      <w:bookmarkEnd w:id="89"/>
      <w:r/>
      <w:bookmarkEnd w:id="90"/>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.针对本项目的实施方案</w:t>
      </w:r>
      <w:bookmarkEnd w:id="9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hint="eastAsia" w:ascii="宋体" w:hAnsi="宋体"/>
        </w:rPr>
      </w:pPr>
      <w:r>
        <w:rPr>
          <w:rFonts w:hint="eastAsia" w:ascii="宋体" w:hAnsi="宋体"/>
        </w:rPr>
      </w:r>
      <w:r/>
    </w:p>
    <w:p>
      <w:pPr>
        <w:pStyle w:val="1007"/>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6" w:name="_Toc105397789"/>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w:t>
      </w:r>
      <w:r>
        <w:rPr>
          <w:rFonts w:ascii="宋体" w:hAnsi="宋体"/>
          <w:b/>
          <w:sz w:val="21"/>
          <w:szCs w:val="21"/>
        </w:rPr>
        <w:t xml:space="preserve">关于资格文件的声明函</w:t>
      </w:r>
      <w:bookmarkEnd w:id="95"/>
      <w:r/>
      <w:bookmarkEnd w:id="96"/>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1"/>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97" w:name="OLE_LINK7"/>
      <w:r/>
      <w:bookmarkStart w:id="98" w:name="OLE_LINK8"/>
      <w:r/>
      <w:bookmarkStart w:id="99"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7"/>
      <w:r/>
      <w:bookmarkEnd w:id="98"/>
      <w:r/>
      <w:bookmarkEnd w:id="99"/>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1"/>
        <w:rPr>
          <w:lang w:val="zh-CN"/>
        </w:rPr>
      </w:pPr>
      <w:r>
        <w:rPr>
          <w:lang w:val="zh-CN"/>
        </w:rPr>
      </w:r>
      <w:r/>
    </w:p>
    <w:p>
      <w:pPr>
        <w:rPr>
          <w:lang w:val="zh-CN"/>
        </w:rPr>
      </w:pPr>
      <w:r>
        <w:rPr>
          <w:lang w:val="zh-CN"/>
        </w:rPr>
      </w:r>
      <w:r/>
    </w:p>
    <w:p>
      <w:pPr>
        <w:pStyle w:val="1001"/>
        <w:rPr>
          <w:lang w:val="zh-CN"/>
        </w:rPr>
      </w:pPr>
      <w:r>
        <w:rPr>
          <w:lang w:val="zh-CN"/>
        </w:rPr>
      </w:r>
      <w:r/>
    </w:p>
    <w:p>
      <w:pPr>
        <w:pStyle w:val="989"/>
        <w:ind w:left="0" w:firstLine="0"/>
        <w:jc w:val="center"/>
        <w:rPr>
          <w:rFonts w:hint="eastAsia" w:ascii="宋体" w:hAnsi="宋体"/>
          <w:b/>
          <w:sz w:val="44"/>
          <w:szCs w:val="22"/>
        </w:rPr>
      </w:pPr>
      <w:r/>
      <w:bookmarkStart w:id="101" w:name="_Toc4098"/>
      <w:r/>
      <w:bookmarkStart w:id="102" w:name="_Toc105397793"/>
      <w:r/>
      <w:bookmarkStart w:id="103" w:name="_Toc23660"/>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苏州市吴中区数据局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吴中区人工智能政务应用</w:t>
      </w:r>
      <w:r>
        <w:rPr>
          <w:rFonts w:hint="eastAsia" w:ascii="宋体" w:hAnsi="宋体"/>
          <w:sz w:val="21"/>
          <w:u w:val="single"/>
        </w:rPr>
        <w:t xml:space="preserve">智算云服务</w:t>
      </w:r>
      <w:r>
        <w:rPr>
          <w:rFonts w:hint="eastAsia" w:ascii="宋体" w:hAnsi="宋体"/>
          <w:sz w:val="21"/>
          <w:u w:val="single"/>
        </w:rPr>
        <w:t xml:space="preserve">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JSZC-320500-JZCG-G2026-0122</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吴中区人工智能政务应用</w:t>
      </w:r>
      <w:r>
        <w:rPr>
          <w:rFonts w:hint="eastAsia" w:ascii="宋体" w:hAnsi="宋体"/>
          <w:sz w:val="21"/>
        </w:rPr>
        <w:t xml:space="preserve">智算云服务</w:t>
      </w:r>
      <w:r>
        <w:rPr>
          <w:rFonts w:hint="eastAsia" w:ascii="宋体" w:hAnsi="宋体"/>
          <w:sz w:val="21"/>
        </w:rPr>
        <w:t xml:space="preserve">采购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三、预算金额：</w:t>
      </w:r>
      <w:bookmarkStart w:id="105" w:name="OLE_LINK17"/>
      <w:r/>
      <w:bookmarkStart w:id="106" w:name="OLE_LINK18"/>
      <w:r>
        <w:rPr>
          <w:rFonts w:hint="eastAsia" w:ascii="宋体" w:hAnsi="宋体"/>
          <w:sz w:val="21"/>
          <w:szCs w:val="21"/>
        </w:rPr>
        <w:t xml:space="preserve">人民币捌佰陆拾陆万陆仟元整</w:t>
      </w:r>
      <w:r>
        <w:rPr>
          <w:rFonts w:hint="eastAsia" w:ascii="宋体" w:hAnsi="宋体"/>
          <w:sz w:val="21"/>
        </w:rPr>
        <w:t xml:space="preserve">（¥</w:t>
      </w:r>
      <w:r>
        <w:rPr>
          <w:rFonts w:hint="eastAsia" w:ascii="宋体" w:hAnsi="宋体"/>
          <w:sz w:val="21"/>
        </w:rPr>
        <w:t xml:space="preserve">8</w:t>
      </w:r>
      <w:r>
        <w:rPr>
          <w:rFonts w:ascii="宋体" w:hAnsi="宋体"/>
          <w:sz w:val="21"/>
        </w:rPr>
        <w:t xml:space="preserve">666</w:t>
      </w:r>
      <w:r>
        <w:rPr>
          <w:rFonts w:hint="eastAsia" w:ascii="宋体" w:hAnsi="宋体"/>
          <w:sz w:val="21"/>
        </w:rPr>
        <w:t xml:space="preserve">000.00）</w:t>
      </w:r>
      <w:bookmarkEnd w:id="105"/>
      <w:r/>
      <w:bookmarkEnd w:id="106"/>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人民币捌佰陆拾陆万陆仟元整</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8</w:t>
      </w:r>
      <w:r>
        <w:rPr>
          <w:rFonts w:ascii="宋体" w:hAnsi="宋体"/>
          <w:sz w:val="21"/>
        </w:rPr>
        <w:t xml:space="preserve">666</w:t>
      </w:r>
      <w:r>
        <w:rPr>
          <w:rFonts w:hint="eastAsia" w:ascii="宋体" w:hAnsi="宋体"/>
          <w:sz w:val="21"/>
        </w:rPr>
        <w:t xml:space="preserve">000.00）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rPr>
        <w:t xml:space="preserve">自服务</w:t>
      </w:r>
      <w:r>
        <w:rPr>
          <w:rFonts w:hint="eastAsia" w:ascii="宋体" w:hAnsi="宋体"/>
          <w:sz w:val="21"/>
        </w:rPr>
        <w:t xml:space="preserve">内容验收</w:t>
      </w:r>
      <w:r>
        <w:rPr>
          <w:rFonts w:hint="eastAsia" w:ascii="宋体" w:hAnsi="宋体"/>
          <w:sz w:val="21"/>
        </w:rPr>
        <w:t xml:space="preserve">合格之日起一年。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（一）项目</w:t>
      </w:r>
      <w:r>
        <w:rPr>
          <w:rFonts w:hint="eastAsia" w:ascii="宋体" w:hAnsi="宋体"/>
          <w:b/>
          <w:sz w:val="21"/>
        </w:rPr>
        <w:t xml:space="preserve">背景</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为深入贯彻落实苏州市关于发展新一代人工智能的重大战略部署，抢抓人工智能发展机遇，</w:t>
      </w:r>
      <w:r>
        <w:rPr>
          <w:rFonts w:hint="eastAsia" w:ascii="宋体" w:hAnsi="宋体"/>
          <w:sz w:val="21"/>
        </w:rPr>
        <w:t xml:space="preserve">塑造人工智能创新发展和融合应用特色优势，</w:t>
      </w:r>
      <w:r>
        <w:rPr>
          <w:rFonts w:hint="eastAsia" w:ascii="宋体" w:hAnsi="宋体"/>
          <w:sz w:val="21"/>
        </w:rPr>
        <w:t xml:space="preserve">加速推进政务服务智能化转型，结合当前吴中区</w:t>
      </w:r>
      <w:r>
        <w:rPr>
          <w:rFonts w:hint="eastAsia" w:ascii="宋体" w:hAnsi="宋体"/>
          <w:sz w:val="21"/>
        </w:rPr>
        <w:t xml:space="preserve">新型智慧城市建设既有基础，进一步开展“人工智能+”城市建设，</w:t>
      </w:r>
      <w:r>
        <w:rPr>
          <w:rFonts w:hint="eastAsia" w:ascii="宋体" w:hAnsi="宋体"/>
          <w:sz w:val="21"/>
        </w:rPr>
        <w:t xml:space="preserve">打造</w:t>
      </w:r>
      <w:r>
        <w:rPr>
          <w:rFonts w:hint="eastAsia" w:ascii="宋体" w:hAnsi="宋体"/>
          <w:sz w:val="21"/>
        </w:rPr>
        <w:t xml:space="preserve">坚实算力底座</w:t>
      </w:r>
      <w:r>
        <w:rPr>
          <w:rFonts w:hint="eastAsia" w:ascii="宋体" w:hAnsi="宋体"/>
          <w:sz w:val="21"/>
        </w:rPr>
        <w:t xml:space="preserve">，构建可复用、可推广的大模型服务及配套智能工具，推动人工智能技术在政务领域的深度应用与融合创新，计划采购吴中区人工智能政务应用</w:t>
      </w:r>
      <w:r>
        <w:rPr>
          <w:rFonts w:hint="eastAsia" w:ascii="宋体" w:hAnsi="宋体"/>
          <w:sz w:val="21"/>
        </w:rPr>
        <w:t xml:space="preserve">智算云</w:t>
      </w:r>
      <w:r>
        <w:rPr>
          <w:rFonts w:hint="eastAsia" w:ascii="宋体" w:hAnsi="宋体"/>
          <w:sz w:val="21"/>
        </w:rPr>
        <w:t xml:space="preserve">服务。</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（二）采购需求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1、建设要求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建设符合《国家人工智能产业综合标准化体系建设指南（2024 版）》、《人工智能云平台技术规范》、《生成式人工智能服务管理暂行办法》、《生成式人工智能模型训练合规技术规范》、《</w:t>
      </w:r>
      <w:r>
        <w:rPr>
          <w:rFonts w:hint="eastAsia" w:ascii="宋体" w:hAnsi="宋体"/>
          <w:sz w:val="21"/>
        </w:rPr>
        <w:t xml:space="preserve">苏州市加快建设“人工智能+”城市行动方案（2025～2026年）</w:t>
      </w:r>
      <w:r>
        <w:rPr>
          <w:rFonts w:hint="eastAsia" w:ascii="宋体" w:hAnsi="宋体"/>
          <w:sz w:val="21"/>
        </w:rPr>
        <w:t xml:space="preserve">》等国家行业标准、规范的人工智能政务应用</w:t>
      </w:r>
      <w:r>
        <w:rPr>
          <w:rFonts w:hint="eastAsia" w:ascii="宋体" w:hAnsi="宋体"/>
          <w:sz w:val="21"/>
        </w:rPr>
        <w:t xml:space="preserve">智算云</w:t>
      </w:r>
      <w:r>
        <w:rPr>
          <w:rFonts w:hint="eastAsia" w:ascii="宋体" w:hAnsi="宋体"/>
          <w:sz w:val="21"/>
        </w:rPr>
        <w:t xml:space="preserve">服务。</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、建设模式</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采用“服务商建设运营、政府购买服务”的模式，按照人工智能云平台技术规范要求，</w:t>
      </w:r>
      <w:r>
        <w:rPr>
          <w:rFonts w:ascii="宋体" w:hAnsi="宋体"/>
          <w:sz w:val="21"/>
        </w:rPr>
        <w:t xml:space="preserve">引入符合招标文件建设标准的</w:t>
      </w:r>
      <w:r>
        <w:rPr>
          <w:rFonts w:ascii="宋体" w:hAnsi="宋体"/>
          <w:sz w:val="21"/>
        </w:rPr>
        <w:t xml:space="preserve">智算云服务</w:t>
      </w:r>
      <w:r>
        <w:rPr>
          <w:rFonts w:ascii="宋体" w:hAnsi="宋体"/>
          <w:sz w:val="21"/>
        </w:rPr>
        <w:t xml:space="preserve">商，搭建人工智能政务应用</w:t>
      </w:r>
      <w:r>
        <w:rPr>
          <w:rFonts w:ascii="宋体" w:hAnsi="宋体"/>
          <w:sz w:val="21"/>
        </w:rPr>
        <w:t xml:space="preserve">智算云服务</w:t>
      </w:r>
      <w:r>
        <w:rPr>
          <w:rFonts w:ascii="宋体" w:hAnsi="宋体"/>
          <w:sz w:val="21"/>
        </w:rPr>
        <w:t xml:space="preserve">平台并开展相关服务</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智算云服务</w:t>
      </w:r>
      <w:r>
        <w:rPr>
          <w:rFonts w:hint="eastAsia" w:ascii="宋体" w:hAnsi="宋体"/>
          <w:sz w:val="21"/>
        </w:rPr>
        <w:t xml:space="preserve">商</w:t>
      </w:r>
      <w:r>
        <w:rPr>
          <w:rFonts w:hint="eastAsia" w:ascii="宋体" w:hAnsi="宋体"/>
          <w:sz w:val="21"/>
        </w:rPr>
        <w:t xml:space="preserve">（即中标人</w:t>
      </w:r>
      <w:r>
        <w:rPr>
          <w:rFonts w:hint="eastAsia" w:ascii="宋体" w:hAnsi="宋体"/>
          <w:sz w:val="21"/>
        </w:rPr>
        <w:t xml:space="preserve">）</w:t>
      </w:r>
      <w:r>
        <w:rPr>
          <w:rFonts w:hint="eastAsia" w:ascii="宋体" w:hAnsi="宋体"/>
          <w:sz w:val="21"/>
        </w:rPr>
        <w:t xml:space="preserve">应在</w:t>
      </w:r>
      <w:r>
        <w:rPr>
          <w:rFonts w:hint="eastAsia" w:ascii="宋体" w:hAnsi="宋体"/>
          <w:sz w:val="21"/>
        </w:rPr>
        <w:t xml:space="preserve">吴中区数据局</w:t>
      </w:r>
      <w:r>
        <w:rPr>
          <w:rFonts w:hint="eastAsia" w:ascii="宋体" w:hAnsi="宋体"/>
          <w:sz w:val="21"/>
        </w:rPr>
        <w:t xml:space="preserve">的指导下构建统一完整的人工智能政务应用</w:t>
      </w:r>
      <w:r>
        <w:rPr>
          <w:rFonts w:hint="eastAsia" w:ascii="宋体" w:hAnsi="宋体"/>
          <w:sz w:val="21"/>
        </w:rPr>
        <w:t xml:space="preserve">智算云服务</w:t>
      </w:r>
      <w:r>
        <w:rPr>
          <w:rFonts w:hint="eastAsia" w:ascii="宋体" w:hAnsi="宋体"/>
          <w:sz w:val="21"/>
        </w:rPr>
        <w:t xml:space="preserve">体系。</w:t>
      </w:r>
      <w:r>
        <w:rPr>
          <w:rFonts w:hint="eastAsia" w:ascii="宋体" w:hAnsi="宋体"/>
          <w:sz w:val="21"/>
        </w:rPr>
        <w:t xml:space="preserve">吴中区数据局作为</w:t>
      </w:r>
      <w:r>
        <w:rPr>
          <w:rFonts w:hint="eastAsia" w:ascii="宋体" w:hAnsi="宋体"/>
          <w:sz w:val="21"/>
        </w:rPr>
        <w:t xml:space="preserve">云管理</w:t>
      </w:r>
      <w:r>
        <w:rPr>
          <w:rFonts w:hint="eastAsia" w:ascii="宋体" w:hAnsi="宋体"/>
          <w:sz w:val="21"/>
        </w:rPr>
        <w:t xml:space="preserve">单位设定</w:t>
      </w:r>
      <w:r>
        <w:rPr>
          <w:rFonts w:hint="eastAsia" w:ascii="宋体" w:hAnsi="宋体"/>
          <w:sz w:val="21"/>
        </w:rPr>
        <w:t xml:space="preserve">智算云服务</w:t>
      </w:r>
      <w:r>
        <w:rPr>
          <w:rFonts w:hint="eastAsia" w:ascii="宋体" w:hAnsi="宋体"/>
          <w:sz w:val="21"/>
        </w:rPr>
        <w:t xml:space="preserve">目录内容</w:t>
      </w:r>
      <w:r>
        <w:rPr>
          <w:rFonts w:hint="eastAsia" w:ascii="宋体" w:hAnsi="宋体"/>
          <w:sz w:val="21"/>
        </w:rPr>
        <w:t xml:space="preserve">及项目整体预算限价</w:t>
      </w:r>
      <w:r>
        <w:rPr>
          <w:rFonts w:hint="eastAsia" w:ascii="宋体" w:hAnsi="宋体"/>
          <w:sz w:val="21"/>
        </w:rPr>
        <w:t xml:space="preserve">，根据服务使用情况据实结算服务费。</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★本项目中，中标人为提供招标要求的</w:t>
      </w:r>
      <w:r>
        <w:rPr>
          <w:rFonts w:hint="eastAsia" w:ascii="宋体" w:hAnsi="宋体"/>
          <w:b/>
          <w:sz w:val="21"/>
        </w:rPr>
        <w:t xml:space="preserve">智算云服务</w:t>
      </w:r>
      <w:r>
        <w:rPr>
          <w:rFonts w:hint="eastAsia" w:ascii="宋体" w:hAnsi="宋体"/>
          <w:b/>
          <w:sz w:val="21"/>
        </w:rPr>
        <w:t xml:space="preserve">而建设的人工智能政务应用</w:t>
      </w:r>
      <w:r>
        <w:rPr>
          <w:rFonts w:hint="eastAsia" w:ascii="宋体" w:hAnsi="宋体"/>
          <w:b/>
          <w:sz w:val="21"/>
        </w:rPr>
        <w:t xml:space="preserve">智算云服务</w:t>
      </w:r>
      <w:r>
        <w:rPr>
          <w:rFonts w:hint="eastAsia" w:ascii="宋体" w:hAnsi="宋体"/>
          <w:b/>
          <w:sz w:val="21"/>
        </w:rPr>
        <w:t xml:space="preserve">平台应确保完全独立部署、</w:t>
      </w:r>
      <w:r>
        <w:rPr>
          <w:rFonts w:hint="eastAsia" w:ascii="宋体" w:hAnsi="宋体"/>
          <w:b/>
          <w:sz w:val="21"/>
        </w:rPr>
        <w:t xml:space="preserve">专云专用</w:t>
      </w:r>
      <w:r>
        <w:rPr>
          <w:rFonts w:hint="eastAsia" w:ascii="宋体" w:hAnsi="宋体"/>
          <w:b/>
          <w:sz w:val="21"/>
        </w:rPr>
        <w:t xml:space="preserve">，以保证其安全性与合</w:t>
      </w:r>
      <w:r>
        <w:rPr>
          <w:rFonts w:hint="eastAsia" w:ascii="宋体" w:hAnsi="宋体"/>
          <w:b/>
          <w:sz w:val="21"/>
        </w:rPr>
        <w:t xml:space="preserve">规</w:t>
      </w:r>
      <w:r>
        <w:rPr>
          <w:rFonts w:hint="eastAsia" w:ascii="宋体" w:hAnsi="宋体"/>
          <w:b/>
          <w:sz w:val="21"/>
        </w:rPr>
        <w:t xml:space="preserve">性。采购人有权进行核实，如不满足，采购人</w:t>
      </w:r>
      <w:r>
        <w:rPr>
          <w:rFonts w:hint="eastAsia" w:ascii="宋体" w:hAnsi="宋体"/>
          <w:b/>
          <w:sz w:val="21"/>
        </w:rPr>
        <w:t xml:space="preserve">有权</w:t>
      </w:r>
      <w:r>
        <w:rPr>
          <w:rFonts w:hint="eastAsia" w:ascii="宋体" w:hAnsi="宋体"/>
          <w:b/>
          <w:sz w:val="21"/>
        </w:rPr>
        <w:t xml:space="preserve">有权</w:t>
      </w:r>
      <w:r>
        <w:rPr>
          <w:rFonts w:hint="eastAsia" w:ascii="宋体" w:hAnsi="宋体"/>
          <w:b/>
          <w:sz w:val="21"/>
        </w:rPr>
        <w:t xml:space="preserve">追究其法律责任</w:t>
      </w:r>
      <w:r>
        <w:rPr>
          <w:rFonts w:hint="eastAsia" w:ascii="宋体" w:hAnsi="宋体"/>
          <w:b/>
          <w:sz w:val="21"/>
        </w:rPr>
        <w:t xml:space="preserve">。</w:t>
      </w:r>
      <w:r>
        <w:rPr>
          <w:rFonts w:hint="eastAsia" w:ascii="宋体" w:hAnsi="宋体"/>
          <w:b/>
          <w:sz w:val="21"/>
        </w:rPr>
        <w:t xml:space="preserve">（投标文件中须提供相关内容承诺函并加盖投标单位公章，承诺函格式自拟</w:t>
      </w:r>
      <w:r>
        <w:rPr>
          <w:rFonts w:hint="eastAsia" w:ascii="宋体" w:hAnsi="宋体"/>
          <w:b/>
          <w:sz w:val="21"/>
        </w:rPr>
        <w:t xml:space="preserve">，未提供或未按要求提供视为非实质性响应，按无效投标处理。</w:t>
      </w:r>
      <w:r>
        <w:rPr>
          <w:rFonts w:hint="eastAsia" w:ascii="宋体" w:hAnsi="宋体"/>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3</w:t>
      </w:r>
      <w:r>
        <w:rPr>
          <w:rFonts w:hint="eastAsia" w:ascii="宋体" w:hAnsi="宋体"/>
          <w:sz w:val="21"/>
        </w:rPr>
        <w:t xml:space="preserve">、总体要求</w:t>
      </w:r>
      <w:r/>
    </w:p>
    <w:p>
      <w:pPr>
        <w:ind w:left="0" w:firstLine="420"/>
        <w:spacing w:line="360" w:lineRule="auto"/>
        <w:tabs>
          <w:tab w:val="left" w:pos="567" w:leader="none"/>
        </w:tabs>
        <w:rPr>
          <w:rFonts w:hint="eastAsia" w:ascii="宋体" w:hAnsi="宋体"/>
          <w:sz w:val="21"/>
        </w:rPr>
      </w:pPr>
      <w:r>
        <w:rPr>
          <w:rFonts w:ascii="宋体" w:hAnsi="宋体"/>
          <w:sz w:val="21"/>
        </w:rPr>
        <w:t xml:space="preserve">3</w:t>
      </w:r>
      <w:r>
        <w:rPr>
          <w:rFonts w:hint="eastAsia" w:ascii="宋体" w:hAnsi="宋体"/>
          <w:sz w:val="21"/>
        </w:rPr>
        <w:t xml:space="preserve">.</w:t>
      </w:r>
      <w:r>
        <w:rPr>
          <w:rFonts w:ascii="宋体" w:hAnsi="宋体"/>
          <w:sz w:val="21"/>
        </w:rPr>
        <w:t xml:space="preserve">1</w:t>
      </w:r>
      <w:r>
        <w:rPr>
          <w:rFonts w:hint="eastAsia" w:ascii="宋体" w:hAnsi="宋体"/>
          <w:sz w:val="21"/>
        </w:rPr>
        <w:t xml:space="preserve">政策及合</w:t>
      </w:r>
      <w:r>
        <w:rPr>
          <w:rFonts w:hint="eastAsia" w:ascii="宋体" w:hAnsi="宋体"/>
          <w:sz w:val="21"/>
        </w:rPr>
        <w:t xml:space="preserve">规</w:t>
      </w:r>
      <w:r>
        <w:rPr>
          <w:rFonts w:hint="eastAsia" w:ascii="宋体" w:hAnsi="宋体"/>
          <w:sz w:val="21"/>
        </w:rPr>
        <w:t xml:space="preserve">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投标人提供的人工智能政务应用</w:t>
      </w:r>
      <w:r>
        <w:rPr>
          <w:rFonts w:hint="eastAsia" w:ascii="宋体" w:hAnsi="宋体"/>
          <w:sz w:val="21"/>
        </w:rPr>
        <w:t xml:space="preserve">智算云服务</w:t>
      </w:r>
      <w:r>
        <w:rPr>
          <w:rFonts w:hint="eastAsia" w:ascii="宋体" w:hAnsi="宋体"/>
          <w:sz w:val="21"/>
        </w:rPr>
        <w:t xml:space="preserve">应遵循国家相关标准，具体如下：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《中华人民共和国网络安全法》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《中华人民共和国保守国家秘密法》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《涉及国家秘密的计算机信息系统安全保密技术要求》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《涉及国家秘密的计算机信息系统安全保密方案设计指南》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《网络安全等级保护基本要求第1部分：安全通用要求（送审讨论稿）》</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《关键信息基础设施安全保护条例（征求意见稿）》</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《国家人工智能产业综合标准化体系建设指南（2024版）》</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《生成式人工智能服务管理暂行办法》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《关于贯彻落实党的二十届三中全会精神进一步全面深化改革在推进中国式现代化中走在前做示范的决定》（苏发〔2024〕12号）</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《苏州市加快建设“人工智能+”城市行动方案（2025～2026年）》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GB/T21062.1-2007《政务信息资源交换体系第1部分：总体框架》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GB/T21062.2-2007《政务信息资源交换体系第2部分：技术要求》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GB/T21062.3-2007《政务信息资源交换体系第3部分：数据接口规范》</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GB/T21062.4-2007《政务信息资源交换体系第4部分：技术管理要求》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GB/T21061-2007《国家电子政务网络技术和管理运行规范》</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GB/T19488.1-2004《电子政务数据元：第1部分：设计和管理规范》</w:t>
      </w:r>
      <w:r/>
    </w:p>
    <w:p>
      <w:pPr>
        <w:ind w:left="0" w:firstLine="400"/>
        <w:spacing w:line="360" w:lineRule="auto"/>
        <w:tabs>
          <w:tab w:val="left" w:pos="567" w:leader="none"/>
        </w:tabs>
        <w:rPr>
          <w:rFonts w:hint="eastAsia" w:ascii="宋体" w:hAnsi="宋体"/>
          <w:sz w:val="21"/>
        </w:rPr>
      </w:pPr>
      <w:r/>
      <w:hyperlink r:id="rId16" w:tooltip="https://std.samr.gov.cn/gb/search/gbDetailed?id=71F772D82EEAD3A7E05397BE0A0AB82A" w:history="1">
        <w:r>
          <w:rPr>
            <w:rFonts w:ascii="宋体" w:hAnsi="宋体"/>
            <w:sz w:val="21"/>
          </w:rPr>
          <w:t xml:space="preserve">GB/T 19668.5-2018 </w:t>
        </w:r>
      </w:hyperlink>
      <w:r>
        <w:rPr>
          <w:rFonts w:hint="eastAsia" w:ascii="宋体" w:hAnsi="宋体"/>
          <w:sz w:val="21"/>
        </w:rPr>
        <w:t xml:space="preserve">《</w:t>
      </w:r>
      <w:r>
        <w:rPr>
          <w:rFonts w:ascii="宋体" w:hAnsi="宋体"/>
          <w:sz w:val="21"/>
        </w:rPr>
        <w:t xml:space="preserve">信息技术服务 监理 第5部分：软件工程监理规范</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GB/T22239-2019《网络安全等级保护基本要求》</w:t>
      </w:r>
      <w:r/>
    </w:p>
    <w:p>
      <w:pPr>
        <w:ind w:left="0" w:firstLine="400"/>
        <w:spacing w:line="360" w:lineRule="auto"/>
        <w:tabs>
          <w:tab w:val="left" w:pos="567" w:leader="none"/>
        </w:tabs>
        <w:rPr>
          <w:rFonts w:hint="eastAsia" w:ascii="宋体" w:hAnsi="宋体"/>
          <w:sz w:val="21"/>
        </w:rPr>
      </w:pPr>
      <w:r/>
      <w:hyperlink r:id="rId17" w:tooltip="https://std.samr.gov.cn/gb/search/gbDetailed?id=88F4E6DA63444198E05397BE0A0ADE2D" w:history="1">
        <w:r>
          <w:rPr>
            <w:rFonts w:ascii="宋体" w:hAnsi="宋体"/>
            <w:sz w:val="21"/>
          </w:rPr>
          <w:t xml:space="preserve">GB/T 25070-2019 </w:t>
        </w:r>
      </w:hyperlink>
      <w:r>
        <w:rPr>
          <w:rFonts w:ascii="宋体" w:hAnsi="宋体"/>
          <w:sz w:val="21"/>
        </w:rPr>
        <w:t xml:space="preserve">《信息安全技术 网络安全等级保护安全设计技术要求》</w:t>
      </w:r>
      <w:r/>
    </w:p>
    <w:p>
      <w:pPr>
        <w:ind w:left="0" w:firstLine="420"/>
        <w:spacing w:line="360" w:lineRule="auto"/>
        <w:tabs>
          <w:tab w:val="left" w:pos="567" w:leader="none"/>
        </w:tabs>
        <w:rPr>
          <w:rFonts w:hint="eastAsia" w:ascii="宋体" w:hAnsi="宋体"/>
          <w:sz w:val="21"/>
        </w:rPr>
      </w:pPr>
      <w:r>
        <w:rPr>
          <w:rFonts w:ascii="宋体" w:hAnsi="宋体"/>
          <w:sz w:val="21"/>
        </w:rPr>
        <w:t xml:space="preserve">3</w:t>
      </w:r>
      <w:r>
        <w:rPr>
          <w:rFonts w:hint="eastAsia" w:ascii="宋体" w:hAnsi="宋体"/>
          <w:sz w:val="21"/>
        </w:rPr>
        <w:t xml:space="preserve">.</w:t>
      </w:r>
      <w:r>
        <w:rPr>
          <w:rFonts w:ascii="宋体" w:hAnsi="宋体"/>
          <w:sz w:val="21"/>
        </w:rPr>
        <w:t xml:space="preserve">2</w:t>
      </w:r>
      <w:r>
        <w:rPr>
          <w:rFonts w:hint="eastAsia" w:ascii="宋体" w:hAnsi="宋体"/>
          <w:sz w:val="21"/>
        </w:rPr>
        <w:t xml:space="preserve">人工智能政务应用</w:t>
      </w:r>
      <w:r>
        <w:rPr>
          <w:rFonts w:hint="eastAsia" w:ascii="宋体" w:hAnsi="宋体"/>
          <w:sz w:val="21"/>
        </w:rPr>
        <w:t xml:space="preserve">智算云服务</w:t>
      </w:r>
      <w:r>
        <w:rPr>
          <w:rFonts w:hint="eastAsia" w:ascii="宋体" w:hAnsi="宋体"/>
          <w:sz w:val="21"/>
        </w:rPr>
        <w:t xml:space="preserve">商要求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提供的</w:t>
      </w:r>
      <w:r>
        <w:rPr>
          <w:rFonts w:hint="eastAsia" w:ascii="宋体" w:hAnsi="宋体"/>
          <w:sz w:val="21"/>
        </w:rPr>
        <w:t xml:space="preserve">智算云</w:t>
      </w:r>
      <w:r>
        <w:rPr>
          <w:rFonts w:hint="eastAsia" w:ascii="宋体" w:hAnsi="宋体"/>
          <w:sz w:val="21"/>
        </w:rPr>
        <w:t xml:space="preserve">平台应能实现</w:t>
      </w:r>
      <w:r>
        <w:rPr>
          <w:rFonts w:hint="eastAsia" w:ascii="宋体" w:hAnsi="宋体"/>
          <w:sz w:val="21"/>
        </w:rPr>
        <w:t xml:space="preserve">包括虚机开通</w:t>
      </w:r>
      <w:r>
        <w:rPr>
          <w:rFonts w:hint="eastAsia" w:ascii="宋体" w:hAnsi="宋体"/>
          <w:sz w:val="21"/>
        </w:rPr>
        <w:t xml:space="preserve">、</w:t>
      </w:r>
      <w:r>
        <w:rPr>
          <w:rFonts w:hint="eastAsia" w:ascii="宋体" w:hAnsi="宋体"/>
          <w:sz w:val="21"/>
        </w:rPr>
        <w:t xml:space="preserve">算力调度</w:t>
      </w:r>
      <w:r>
        <w:rPr>
          <w:rFonts w:hint="eastAsia" w:ascii="宋体" w:hAnsi="宋体"/>
          <w:sz w:val="21"/>
        </w:rPr>
        <w:t xml:space="preserve">以及告警等服务能力。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提供的一体化管理工具应能实现对算力、模型及智能体的统一纳管和监控能力。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采用的云平台软件、管理工具和人工智能相关服务产品应满足国家在知识产权方面的有关规定和要求。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应能够对</w:t>
      </w:r>
      <w:r>
        <w:rPr>
          <w:rFonts w:hint="eastAsia" w:ascii="宋体" w:hAnsi="宋体"/>
          <w:sz w:val="21"/>
        </w:rPr>
        <w:t xml:space="preserve">算力云基础</w:t>
      </w:r>
      <w:r>
        <w:rPr>
          <w:rFonts w:hint="eastAsia" w:ascii="宋体" w:hAnsi="宋体"/>
          <w:sz w:val="21"/>
        </w:rPr>
        <w:t xml:space="preserve">设施、平台软件提供集中运维管理、监控，包括虚拟化、服务器、模型、智能体、组件等，可以实现资源利用率可视化。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承担机房基础设施层面（主要包括机房风火水电）、</w:t>
      </w:r>
      <w:r>
        <w:rPr>
          <w:rFonts w:hint="eastAsia" w:ascii="宋体" w:hAnsi="宋体"/>
          <w:sz w:val="21"/>
        </w:rPr>
        <w:t xml:space="preserve">智算云</w:t>
      </w:r>
      <w:r>
        <w:rPr>
          <w:rFonts w:hint="eastAsia" w:ascii="宋体" w:hAnsi="宋体"/>
          <w:sz w:val="21"/>
        </w:rPr>
        <w:t xml:space="preserve">平台层面（主要</w:t>
      </w:r>
      <w:r>
        <w:rPr>
          <w:rFonts w:hint="eastAsia" w:ascii="宋体" w:hAnsi="宋体"/>
          <w:sz w:val="21"/>
        </w:rPr>
        <w:t xml:space="preserve">包括算力资源</w:t>
      </w:r>
      <w:r>
        <w:rPr>
          <w:rFonts w:hint="eastAsia" w:ascii="宋体" w:hAnsi="宋体"/>
          <w:sz w:val="21"/>
        </w:rPr>
        <w:t xml:space="preserve">、模型）的安全责任；具备实时</w:t>
      </w:r>
      <w:r>
        <w:rPr>
          <w:rFonts w:hint="eastAsia" w:ascii="宋体" w:hAnsi="宋体"/>
          <w:sz w:val="21"/>
        </w:rPr>
        <w:t xml:space="preserve">监控算力及</w:t>
      </w:r>
      <w:r>
        <w:rPr>
          <w:rFonts w:hint="eastAsia" w:ascii="宋体" w:hAnsi="宋体"/>
          <w:sz w:val="21"/>
        </w:rPr>
        <w:t xml:space="preserve">模型资源运行状态的能力。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w:t>
      </w:r>
      <w:r>
        <w:rPr>
          <w:rFonts w:hint="eastAsia" w:ascii="宋体" w:hAnsi="宋体"/>
          <w:sz w:val="21"/>
        </w:rPr>
        <w:t xml:space="preserve">平台应按照信息系统安全等级保护2.0</w:t>
      </w:r>
      <w:r>
        <w:rPr>
          <w:rFonts w:hint="eastAsia" w:ascii="宋体" w:hAnsi="宋体"/>
          <w:sz w:val="21"/>
        </w:rPr>
        <w:t xml:space="preserve">三</w:t>
      </w:r>
      <w:r>
        <w:rPr>
          <w:rFonts w:hint="eastAsia" w:ascii="宋体" w:hAnsi="宋体"/>
          <w:sz w:val="21"/>
        </w:rPr>
        <w:t xml:space="preserve">级进行建设，确保</w:t>
      </w:r>
      <w:r>
        <w:rPr>
          <w:rFonts w:hint="eastAsia" w:ascii="宋体" w:hAnsi="宋体"/>
          <w:sz w:val="21"/>
        </w:rPr>
        <w:t xml:space="preserve">正式进入服务期前</w:t>
      </w:r>
      <w:r>
        <w:rPr>
          <w:rFonts w:hint="eastAsia" w:ascii="宋体" w:hAnsi="宋体"/>
          <w:sz w:val="21"/>
        </w:rPr>
        <w:t xml:space="preserve">通过安全等级保护2.0</w:t>
      </w:r>
      <w:r>
        <w:rPr>
          <w:rFonts w:hint="eastAsia" w:ascii="宋体" w:hAnsi="宋体"/>
          <w:sz w:val="21"/>
        </w:rPr>
        <w:t xml:space="preserve">三</w:t>
      </w:r>
      <w:r>
        <w:rPr>
          <w:rFonts w:hint="eastAsia" w:ascii="宋体" w:hAnsi="宋体"/>
          <w:sz w:val="21"/>
        </w:rPr>
        <w:t xml:space="preserve">级测评。</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w:t>
      </w:r>
      <w:r>
        <w:rPr>
          <w:rFonts w:hint="eastAsia" w:ascii="宋体" w:hAnsi="宋体"/>
          <w:sz w:val="21"/>
        </w:rPr>
        <w:t xml:space="preserve">平台应按照</w:t>
      </w:r>
      <w:r>
        <w:rPr>
          <w:rFonts w:hint="eastAsia" w:ascii="宋体" w:hAnsi="宋体"/>
          <w:sz w:val="21"/>
        </w:rPr>
        <w:t xml:space="preserve">商用密码应用安全性评估要求</w:t>
      </w:r>
      <w:r>
        <w:rPr>
          <w:rFonts w:hint="eastAsia" w:ascii="宋体" w:hAnsi="宋体"/>
          <w:sz w:val="21"/>
        </w:rPr>
        <w:t xml:space="preserve">进行建设，确保</w:t>
      </w:r>
      <w:r>
        <w:rPr>
          <w:rFonts w:hint="eastAsia" w:ascii="宋体" w:hAnsi="宋体"/>
          <w:sz w:val="21"/>
        </w:rPr>
        <w:t xml:space="preserve">正式进入服务期前</w:t>
      </w:r>
      <w:r>
        <w:rPr>
          <w:rFonts w:hint="eastAsia" w:ascii="宋体" w:hAnsi="宋体"/>
          <w:sz w:val="21"/>
        </w:rPr>
        <w:t xml:space="preserve">通过</w:t>
      </w:r>
      <w:r>
        <w:rPr>
          <w:rFonts w:hint="eastAsia" w:ascii="宋体" w:hAnsi="宋体"/>
          <w:sz w:val="21"/>
        </w:rPr>
        <w:t xml:space="preserve">商用密码应用安全性评估</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数据保护：通过使用人工智能政务应用</w:t>
      </w:r>
      <w:r>
        <w:rPr>
          <w:rFonts w:hint="eastAsia" w:ascii="宋体" w:hAnsi="宋体"/>
          <w:sz w:val="21"/>
        </w:rPr>
        <w:t xml:space="preserve">智算云服务</w:t>
      </w:r>
      <w:r>
        <w:rPr>
          <w:rFonts w:hint="eastAsia" w:ascii="宋体" w:hAnsi="宋体"/>
          <w:sz w:val="21"/>
        </w:rPr>
        <w:t xml:space="preserve">所产生的交互数据的所有权及使用权均属于采购人。</w:t>
      </w:r>
      <w:r>
        <w:rPr>
          <w:rFonts w:hint="eastAsia" w:ascii="宋体" w:hAnsi="宋体"/>
          <w:sz w:val="21"/>
        </w:rPr>
        <w:t xml:space="preserve">智算云服务</w:t>
      </w:r>
      <w:r>
        <w:rPr>
          <w:rFonts w:hint="eastAsia" w:ascii="宋体" w:hAnsi="宋体"/>
          <w:sz w:val="21"/>
        </w:rPr>
        <w:t xml:space="preserve">商未经允许不得对云平台上的任何数据进行非法截取、加工、分析处理或提供给第三方机构。若</w:t>
      </w:r>
      <w:r>
        <w:rPr>
          <w:rFonts w:hint="eastAsia" w:ascii="宋体" w:hAnsi="宋体"/>
          <w:sz w:val="21"/>
        </w:rPr>
        <w:t xml:space="preserve">发现</w:t>
      </w:r>
      <w:r>
        <w:rPr>
          <w:rFonts w:hint="eastAsia" w:ascii="宋体" w:hAnsi="宋体"/>
          <w:sz w:val="21"/>
        </w:rPr>
        <w:t xml:space="preserve">智算云服务</w:t>
      </w:r>
      <w:r>
        <w:rPr>
          <w:rFonts w:hint="eastAsia" w:ascii="宋体" w:hAnsi="宋体"/>
          <w:sz w:val="21"/>
        </w:rPr>
        <w:t xml:space="preserve">商未经许可对业务数据进行采集和使用，采购人将对其采取惩罚措施并追究其法律责任。定期开展演练工作，保障灾难发生时，能够保留数据、恢复数据。指导或协助使用单位开展系统应急工作。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w:t>
      </w:r>
      <w:r>
        <w:rPr>
          <w:rFonts w:ascii="宋体" w:hAnsi="宋体"/>
          <w:sz w:val="21"/>
        </w:rPr>
        <w:t xml:space="preserve">3</w:t>
      </w:r>
      <w:r>
        <w:rPr>
          <w:rFonts w:hint="eastAsia" w:ascii="宋体" w:hAnsi="宋体"/>
          <w:sz w:val="21"/>
        </w:rPr>
        <w:t xml:space="preserve">智算云</w:t>
      </w:r>
      <w:r>
        <w:rPr>
          <w:rFonts w:hint="eastAsia" w:ascii="宋体" w:hAnsi="宋体"/>
          <w:sz w:val="21"/>
        </w:rPr>
        <w:t xml:space="preserve">平台架构要求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为本项目提供服务的</w:t>
      </w:r>
      <w:r>
        <w:rPr>
          <w:rFonts w:hint="eastAsia" w:ascii="宋体" w:hAnsi="宋体"/>
          <w:sz w:val="21"/>
        </w:rPr>
        <w:t xml:space="preserve">智算云</w:t>
      </w:r>
      <w:r>
        <w:rPr>
          <w:rFonts w:hint="eastAsia" w:ascii="宋体" w:hAnsi="宋体"/>
          <w:sz w:val="21"/>
        </w:rPr>
        <w:t xml:space="preserve">平台总体网络架构应由电子政务外网和互联网组成。政务外网区满足政务部门包括但不限于办公管理、内部审批、协调监督等业务需求。互联网</w:t>
      </w:r>
      <w:r>
        <w:rPr>
          <w:rFonts w:hint="eastAsia" w:ascii="宋体" w:hAnsi="宋体"/>
          <w:sz w:val="21"/>
        </w:rPr>
        <w:t xml:space="preserve">区满足</w:t>
      </w:r>
      <w:r>
        <w:rPr>
          <w:rFonts w:hint="eastAsia" w:ascii="宋体" w:hAnsi="宋体"/>
          <w:sz w:val="21"/>
        </w:rPr>
        <w:t xml:space="preserve">政务部门包括但不限于社会管理、公共服务等业务需求。参考架构如下：</w:t>
      </w:r>
      <w:r/>
    </w:p>
    <w:p>
      <w:pPr>
        <w:ind w:left="0" w:firstLine="420"/>
        <w:spacing w:line="360" w:lineRule="auto"/>
        <w:tabs>
          <w:tab w:val="left" w:pos="420" w:leader="none"/>
        </w:tabs>
        <w:rPr>
          <w:rFonts w:hint="eastAsia" w:ascii="宋体" w:hAnsi="宋体"/>
          <w:sz w:val="21"/>
        </w:rPr>
      </w:pPr>
      <w:r>
        <w:rPr>
          <w:rFonts w:hint="eastAsia" w:ascii="宋体" w:hAnsi="宋体"/>
          <w:sz w:val="21"/>
        </w:rPr>
        <mc:AlternateContent>
          <mc:Choice Requires="wpg">
            <w:drawing>
              <wp:inline xmlns:wp="http://schemas.openxmlformats.org/drawingml/2006/wordprocessingDrawing" distT="0" distB="0" distL="0" distR="0">
                <wp:extent cx="5813425" cy="3404235"/>
                <wp:effectExtent l="0" t="0" r="8255"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5813425" cy="3404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7.8pt;height:268.1pt;mso-wrap-distance-left:0.0pt;mso-wrap-distance-top:0.0pt;mso-wrap-distance-right:0.0pt;mso-wrap-distance-bottom:0.0pt;" stroked="f">
                <v:path textboxrect="0,0,0,0"/>
                <v:imagedata r:id="rId18" o:title=""/>
              </v:shape>
            </w:pict>
          </mc:Fallback>
        </mc:AlternateConten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（三）</w:t>
      </w:r>
      <w:r>
        <w:rPr>
          <w:rFonts w:hint="eastAsia" w:ascii="宋体" w:hAnsi="宋体"/>
          <w:b/>
          <w:sz w:val="21"/>
        </w:rPr>
        <w:t xml:space="preserve">智算云服务</w:t>
      </w:r>
      <w:r>
        <w:rPr>
          <w:rFonts w:hint="eastAsia" w:ascii="宋体" w:hAnsi="宋体"/>
          <w:b/>
          <w:sz w:val="21"/>
        </w:rPr>
        <w:t xml:space="preserve">内容及要求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以</w:t>
      </w:r>
      <w:r>
        <w:rPr>
          <w:rFonts w:hint="eastAsia" w:ascii="宋体" w:hAnsi="宋体"/>
          <w:sz w:val="21"/>
        </w:rPr>
        <w:t xml:space="preserve">智算云</w:t>
      </w:r>
      <w:r>
        <w:rPr>
          <w:rFonts w:hint="eastAsia" w:ascii="宋体" w:hAnsi="宋体"/>
          <w:sz w:val="21"/>
        </w:rPr>
        <w:t xml:space="preserve">平台为支撑，以一体化管理底座为工具，规划建设人工智能政务应用</w:t>
      </w:r>
      <w:r>
        <w:rPr>
          <w:rFonts w:hint="eastAsia" w:ascii="宋体" w:hAnsi="宋体"/>
          <w:sz w:val="21"/>
        </w:rPr>
        <w:t xml:space="preserve">智算云服务</w:t>
      </w:r>
      <w:r>
        <w:rPr>
          <w:rFonts w:hint="eastAsia" w:ascii="宋体" w:hAnsi="宋体"/>
          <w:sz w:val="21"/>
        </w:rPr>
        <w:t xml:space="preserve">体系，以服务目录形式</w:t>
      </w:r>
      <w:r>
        <w:rPr>
          <w:rFonts w:hint="eastAsia" w:ascii="宋体" w:hAnsi="宋体"/>
          <w:sz w:val="21"/>
        </w:rPr>
        <w:t xml:space="preserve">提供算力服务</w:t>
      </w:r>
      <w:r>
        <w:rPr>
          <w:rFonts w:hint="eastAsia" w:ascii="宋体" w:hAnsi="宋体"/>
          <w:sz w:val="21"/>
        </w:rPr>
        <w:t xml:space="preserve">、模型服务、知识库服务、智能体构建服务、模型内容安全及组件服务、模型训练及智能</w:t>
      </w:r>
      <w:r>
        <w:rPr>
          <w:rFonts w:hint="eastAsia" w:ascii="宋体" w:hAnsi="宋体"/>
          <w:sz w:val="21"/>
        </w:rPr>
        <w:t xml:space="preserve">体开发</w:t>
      </w:r>
      <w:r>
        <w:rPr>
          <w:rFonts w:hint="eastAsia" w:ascii="宋体" w:hAnsi="宋体"/>
          <w:sz w:val="21"/>
        </w:rPr>
        <w:t xml:space="preserve">服务等核心内容，</w:t>
      </w:r>
      <w:r>
        <w:rPr>
          <w:rFonts w:hint="eastAsia" w:ascii="宋体" w:hAnsi="宋体"/>
          <w:sz w:val="21"/>
        </w:rPr>
        <w:t xml:space="preserve">实现算力资源</w:t>
      </w:r>
      <w:r>
        <w:rPr>
          <w:rFonts w:hint="eastAsia" w:ascii="宋体" w:hAnsi="宋体"/>
          <w:sz w:val="21"/>
        </w:rPr>
        <w:t xml:space="preserve">的灵活分配调度、模型的标准化接入和部署、知识库的创建和调用、智能体的可视化编排和构建、模型通用组件的纳管和供给、模型内容安全的防护和处置、模型训练及智能</w:t>
      </w:r>
      <w:r>
        <w:rPr>
          <w:rFonts w:hint="eastAsia" w:ascii="宋体" w:hAnsi="宋体"/>
          <w:sz w:val="21"/>
        </w:rPr>
        <w:t xml:space="preserve">体开发</w:t>
      </w:r>
      <w:r>
        <w:rPr>
          <w:rFonts w:hint="eastAsia" w:ascii="宋体" w:hAnsi="宋体"/>
          <w:sz w:val="21"/>
        </w:rPr>
        <w:t xml:space="preserve">的支撑和指导。同时配套运行维护保障与安全服务保障，确保服务体系的整体有序运行。</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1、基础设施资源服务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应提供计算资源服务、存储资源服务、网络资源服务、备份资源服务等。应</w:t>
      </w:r>
      <w:r>
        <w:rPr>
          <w:rFonts w:hint="eastAsia" w:ascii="宋体" w:hAnsi="宋体"/>
          <w:sz w:val="21"/>
        </w:rPr>
        <w:t xml:space="preserve">具备算力资源</w:t>
      </w:r>
      <w:r>
        <w:rPr>
          <w:rFonts w:hint="eastAsia" w:ascii="宋体" w:hAnsi="宋体"/>
          <w:sz w:val="21"/>
        </w:rPr>
        <w:t xml:space="preserve">调度功能，可</w:t>
      </w:r>
      <w:r>
        <w:rPr>
          <w:rFonts w:hint="eastAsia" w:ascii="宋体" w:hAnsi="宋体"/>
          <w:sz w:val="21"/>
        </w:rPr>
        <w:t xml:space="preserve">完成虚机开通</w:t>
      </w:r>
      <w:r>
        <w:rPr>
          <w:rFonts w:hint="eastAsia" w:ascii="宋体" w:hAnsi="宋体"/>
          <w:sz w:val="21"/>
        </w:rPr>
        <w:t xml:space="preserve">、按需分配及资源弹性伸缩的全流程智能管理。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云服务</w:t>
      </w:r>
      <w:r>
        <w:rPr>
          <w:rFonts w:hint="eastAsia" w:ascii="宋体" w:hAnsi="宋体"/>
          <w:sz w:val="21"/>
        </w:rPr>
        <w:t xml:space="preserve">商</w:t>
      </w:r>
      <w:r>
        <w:rPr>
          <w:rFonts w:hint="eastAsia" w:ascii="宋体" w:hAnsi="宋体"/>
          <w:sz w:val="21"/>
        </w:rPr>
        <w:t xml:space="preserve">应针对当前吴中区各委办局全</w:t>
      </w:r>
      <w:r>
        <w:rPr>
          <w:rFonts w:hint="eastAsia" w:ascii="宋体" w:hAnsi="宋体"/>
          <w:sz w:val="21"/>
        </w:rPr>
        <w:t xml:space="preserve">量云服务</w:t>
      </w:r>
      <w:r>
        <w:rPr>
          <w:rFonts w:hint="eastAsia" w:ascii="宋体" w:hAnsi="宋体"/>
          <w:sz w:val="21"/>
        </w:rPr>
        <w:t xml:space="preserve">资源需求进行充分调研与统计，</w:t>
      </w:r>
      <w:r>
        <w:rPr>
          <w:rFonts w:hint="eastAsia" w:ascii="宋体" w:hAnsi="宋体"/>
          <w:sz w:val="21"/>
        </w:rPr>
        <w:t xml:space="preserve">须</w:t>
      </w:r>
      <w:r>
        <w:rPr>
          <w:rFonts w:hint="eastAsia" w:ascii="宋体" w:hAnsi="宋体"/>
          <w:sz w:val="21"/>
        </w:rPr>
        <w:t xml:space="preserve">建成</w:t>
      </w:r>
      <w:r>
        <w:rPr>
          <w:rFonts w:hint="eastAsia" w:ascii="宋体" w:hAnsi="宋体"/>
          <w:sz w:val="21"/>
        </w:rPr>
        <w:t xml:space="preserve">满足全</w:t>
      </w:r>
      <w:r>
        <w:rPr>
          <w:rFonts w:hint="eastAsia" w:ascii="宋体" w:hAnsi="宋体"/>
          <w:sz w:val="21"/>
        </w:rPr>
        <w:t xml:space="preserve">量云服务</w:t>
      </w:r>
      <w:r>
        <w:rPr>
          <w:rFonts w:hint="eastAsia" w:ascii="宋体" w:hAnsi="宋体"/>
          <w:sz w:val="21"/>
        </w:rPr>
        <w:t xml:space="preserve">资源需求的服务</w:t>
      </w:r>
      <w:r>
        <w:rPr>
          <w:rFonts w:hint="eastAsia" w:ascii="宋体" w:hAnsi="宋体"/>
          <w:sz w:val="21"/>
        </w:rPr>
        <w:t xml:space="preserve">资源池</w:t>
      </w:r>
      <w:r>
        <w:rPr>
          <w:rFonts w:hint="eastAsia" w:ascii="宋体" w:hAnsi="宋体"/>
          <w:sz w:val="21"/>
        </w:rPr>
        <w:t xml:space="preserve">（包括</w:t>
      </w:r>
      <w:r>
        <w:rPr>
          <w:rFonts w:hint="eastAsia" w:ascii="宋体" w:hAnsi="宋体"/>
          <w:sz w:val="21"/>
        </w:rPr>
        <w:t xml:space="preserve">机房、计算、存储、网络等服务资源</w:t>
      </w:r>
      <w:r>
        <w:rPr>
          <w:rFonts w:hint="eastAsia" w:ascii="宋体" w:hAnsi="宋体"/>
          <w:sz w:val="21"/>
        </w:rPr>
        <w:t xml:space="preserve">）。</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★投标人须承诺自双方合同签订之日起45天内完成服务能力建设及业务迁移，且通过招标人组织的服务能力验收后方可进入服务期。</w:t>
      </w:r>
      <w:r>
        <w:rPr>
          <w:rFonts w:hint="eastAsia" w:ascii="宋体" w:hAnsi="宋体"/>
          <w:b/>
          <w:sz w:val="21"/>
        </w:rPr>
        <w:t xml:space="preserve">（投标文件中须提供相关内容承诺函并加盖投标单位公章，承诺函格式自拟，未提供或未按要求提供视为非实质性响应，按无效投标处理。）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2、模型服务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投标人所提供的</w:t>
      </w:r>
      <w:r>
        <w:rPr>
          <w:rFonts w:hint="eastAsia" w:ascii="宋体" w:hAnsi="宋体"/>
          <w:sz w:val="21"/>
        </w:rPr>
        <w:t xml:space="preserve">模型服务应涵盖市场主流技术能力，提供DeepSeek、</w:t>
      </w:r>
      <w:r>
        <w:rPr>
          <w:rFonts w:hint="eastAsia" w:ascii="宋体" w:hAnsi="宋体"/>
          <w:sz w:val="21"/>
        </w:rPr>
        <w:t xml:space="preserve">千问等</w:t>
      </w:r>
      <w:r>
        <w:rPr>
          <w:rFonts w:hint="eastAsia" w:ascii="宋体" w:hAnsi="宋体"/>
          <w:sz w:val="21"/>
        </w:rPr>
        <w:t xml:space="preserve">不同版本开源</w:t>
      </w:r>
      <w:r>
        <w:rPr>
          <w:rFonts w:hint="eastAsia" w:ascii="宋体" w:hAnsi="宋体"/>
          <w:sz w:val="21"/>
        </w:rPr>
        <w:t xml:space="preserve">及闭源主流</w:t>
      </w:r>
      <w:r>
        <w:rPr>
          <w:rFonts w:hint="eastAsia" w:ascii="宋体" w:hAnsi="宋体"/>
          <w:sz w:val="21"/>
        </w:rPr>
        <w:t xml:space="preserve">大模型服务；应提供灵活的部署形态，提供模型接入服务，满足各委办局业务场景需求；应提供灵活的部署形态，如提供私有化部署授权服务，支持模型在本地环境的独立部署，适配高安全等级、大规模业务场景，确保数据本地化处理与自主可控；</w:t>
      </w:r>
      <w:r>
        <w:rPr>
          <w:rFonts w:hint="eastAsia" w:ascii="宋体" w:hAnsi="宋体"/>
          <w:sz w:val="21"/>
        </w:rPr>
        <w:t xml:space="preserve">应提供第三方模型服务实例纳管接入服务，针对第三方模型实现流量管控、流量统计等服务能力，同时提供按不同智能体下发模型服务</w:t>
      </w:r>
      <w:r>
        <w:rPr>
          <w:rFonts w:hint="eastAsia" w:ascii="宋体" w:hAnsi="宋体"/>
          <w:sz w:val="21"/>
        </w:rPr>
        <w:t xml:space="preserve">APIKey</w:t>
      </w:r>
      <w:r>
        <w:rPr>
          <w:rFonts w:hint="eastAsia" w:ascii="宋体" w:hAnsi="宋体"/>
          <w:sz w:val="21"/>
        </w:rPr>
        <w:t xml:space="preserve">的能力。</w:t>
      </w:r>
      <w:r/>
    </w:p>
    <w:p>
      <w:pPr>
        <w:ind w:left="0" w:firstLine="420"/>
        <w:spacing w:line="360" w:lineRule="auto"/>
        <w:tabs>
          <w:tab w:val="left" w:pos="567" w:leader="none"/>
        </w:tabs>
        <w:rPr>
          <w:rFonts w:hint="eastAsia" w:ascii="宋体" w:hAnsi="宋体"/>
          <w:sz w:val="21"/>
        </w:rPr>
      </w:pPr>
      <w:r>
        <w:rPr>
          <w:rFonts w:ascii="宋体" w:hAnsi="宋体"/>
          <w:sz w:val="21"/>
        </w:rPr>
        <w:t xml:space="preserve">3</w:t>
      </w:r>
      <w:r>
        <w:rPr>
          <w:rFonts w:hint="eastAsia" w:ascii="宋体" w:hAnsi="宋体"/>
          <w:sz w:val="21"/>
        </w:rPr>
        <w:t xml:space="preserve">、知识库工具服务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提供标准化知识库产品及配套服务，含私有化部署能力，满足各委办局专属知识库自主建设与不同业务场景的应用需求；知识库产品应支持各委办局基于自身业务特性与职能需求自主管理专属知识库，实现本部门知识资源的系统化沉淀与高效管理；应提供共享知识库服务，构建服务于吴中区全区智能</w:t>
      </w:r>
      <w:r>
        <w:rPr>
          <w:rFonts w:hint="eastAsia" w:ascii="宋体" w:hAnsi="宋体"/>
          <w:sz w:val="21"/>
        </w:rPr>
        <w:t xml:space="preserve">体运行</w:t>
      </w:r>
      <w:r>
        <w:rPr>
          <w:rFonts w:hint="eastAsia" w:ascii="宋体" w:hAnsi="宋体"/>
          <w:sz w:val="21"/>
        </w:rPr>
        <w:t xml:space="preserve">的统一知识检索底座，赋能各委办局智能体高效调用共享知识资源；应提供共享知识库访问API服务，支持各委办局可通过接入服务访问共享知识库，赋能各委办局智能体高效调用共享知识资源。</w:t>
      </w:r>
      <w:r/>
    </w:p>
    <w:p>
      <w:pPr>
        <w:ind w:left="0" w:firstLine="420"/>
        <w:spacing w:line="360" w:lineRule="auto"/>
        <w:tabs>
          <w:tab w:val="left" w:pos="567" w:leader="none"/>
        </w:tabs>
        <w:rPr>
          <w:rFonts w:hint="eastAsia" w:ascii="宋体" w:hAnsi="宋体"/>
          <w:sz w:val="21"/>
        </w:rPr>
      </w:pPr>
      <w:r>
        <w:rPr>
          <w:rFonts w:ascii="宋体" w:hAnsi="宋体"/>
          <w:sz w:val="21"/>
        </w:rPr>
        <w:t xml:space="preserve">4</w:t>
      </w:r>
      <w:r>
        <w:rPr>
          <w:rFonts w:hint="eastAsia" w:ascii="宋体" w:hAnsi="宋体"/>
          <w:sz w:val="21"/>
        </w:rPr>
        <w:t xml:space="preserve">、智能体构建工具服务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投标人应提供服务于吴中区政务场景的智能体构建工具服务，支撑智能化应用快速落地。</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所提供智能体构建工具服务应支持定制化能力扩展，可基于各政企部门业务需求，进行智能</w:t>
      </w:r>
      <w:r>
        <w:rPr>
          <w:rFonts w:hint="eastAsia" w:ascii="宋体" w:hAnsi="宋体"/>
          <w:sz w:val="21"/>
        </w:rPr>
        <w:t xml:space="preserve">体应用</w:t>
      </w:r>
      <w:r>
        <w:rPr>
          <w:rFonts w:hint="eastAsia" w:ascii="宋体" w:hAnsi="宋体"/>
          <w:sz w:val="21"/>
        </w:rPr>
        <w:t xml:space="preserve">构建，能够同时满足业务侧和技术侧需求；应具备标准化接口，可与吴中区各委办局业务系统实现数据互通与功能联动，确保智能服务嵌入实际业务流程；应具备模型、知识库和数据库对接能力，可满足不同智能体构建过程所需的数据、知识调用；应支持智能体体验测试，支持智能</w:t>
      </w:r>
      <w:r>
        <w:rPr>
          <w:rFonts w:hint="eastAsia" w:ascii="宋体" w:hAnsi="宋体"/>
          <w:sz w:val="21"/>
        </w:rPr>
        <w:t xml:space="preserve">体发布</w:t>
      </w:r>
      <w:r>
        <w:rPr>
          <w:rFonts w:hint="eastAsia" w:ascii="宋体" w:hAnsi="宋体"/>
          <w:sz w:val="21"/>
        </w:rPr>
        <w:t xml:space="preserve">前进行测试，可以根据效果调整模型及知识库相关参数，保障智能</w:t>
      </w:r>
      <w:r>
        <w:rPr>
          <w:rFonts w:hint="eastAsia" w:ascii="宋体" w:hAnsi="宋体"/>
          <w:sz w:val="21"/>
        </w:rPr>
        <w:t xml:space="preserve">体应用</w:t>
      </w:r>
      <w:r>
        <w:rPr>
          <w:rFonts w:hint="eastAsia" w:ascii="宋体" w:hAnsi="宋体"/>
          <w:sz w:val="21"/>
        </w:rPr>
        <w:t xml:space="preserve">效果。</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、模型内容安全及模型组件服务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投标人应提供模型内容安全防护及标准化模型组件服务，并支持第三方接入，支撑吴中区人工智能政务应用</w:t>
      </w:r>
      <w:r>
        <w:rPr>
          <w:rFonts w:hint="eastAsia" w:ascii="宋体" w:hAnsi="宋体"/>
          <w:sz w:val="21"/>
        </w:rPr>
        <w:t xml:space="preserve">智算云服务</w:t>
      </w:r>
      <w:r>
        <w:rPr>
          <w:rFonts w:hint="eastAsia" w:ascii="宋体" w:hAnsi="宋体"/>
          <w:sz w:val="21"/>
        </w:rPr>
        <w:t xml:space="preserve">的稳定运行与合</w:t>
      </w:r>
      <w:r>
        <w:rPr>
          <w:rFonts w:hint="eastAsia" w:ascii="宋体" w:hAnsi="宋体"/>
          <w:sz w:val="21"/>
        </w:rPr>
        <w:t xml:space="preserve">规</w:t>
      </w:r>
      <w:r>
        <w:rPr>
          <w:rFonts w:hint="eastAsia" w:ascii="宋体" w:hAnsi="宋体"/>
          <w:sz w:val="21"/>
        </w:rPr>
        <w:t xml:space="preserve">应用；应支持多种风险识别，包括但不限于危害国家安全、危害公共安全、违反社会伦理道德、违反行业领域安全等，并能够根据业务需求动态更新防护规则；应提供OCR（光学字符识别）、ASR（自动语音识别）等通用模型组件能力。</w:t>
      </w:r>
      <w:r>
        <w:rPr>
          <w:rFonts w:hint="eastAsia" w:ascii="宋体" w:hAnsi="宋体"/>
          <w:sz w:val="21"/>
        </w:rPr>
        <w:t xml:space="preserve">模型组件服务应提供标准化接口，支持灵活调用与性能扩展。</w:t>
      </w:r>
      <w:r/>
    </w:p>
    <w:p>
      <w:pPr>
        <w:ind w:left="0" w:firstLine="420"/>
        <w:spacing w:line="360" w:lineRule="auto"/>
        <w:tabs>
          <w:tab w:val="left" w:pos="567" w:leader="none"/>
        </w:tabs>
        <w:rPr>
          <w:rFonts w:hint="eastAsia" w:ascii="宋体" w:hAnsi="宋体"/>
          <w:sz w:val="21"/>
        </w:rPr>
      </w:pPr>
      <w:r>
        <w:rPr>
          <w:rFonts w:ascii="宋体" w:hAnsi="宋体"/>
          <w:sz w:val="21"/>
        </w:rPr>
        <w:t xml:space="preserve">6</w:t>
      </w:r>
      <w:r>
        <w:rPr>
          <w:rFonts w:hint="eastAsia" w:ascii="宋体" w:hAnsi="宋体"/>
          <w:sz w:val="21"/>
        </w:rPr>
        <w:t xml:space="preserve">、模型训练及智能</w:t>
      </w:r>
      <w:r>
        <w:rPr>
          <w:rFonts w:hint="eastAsia" w:ascii="宋体" w:hAnsi="宋体"/>
          <w:sz w:val="21"/>
        </w:rPr>
        <w:t xml:space="preserve">体开发</w:t>
      </w:r>
      <w:r>
        <w:rPr>
          <w:rFonts w:hint="eastAsia" w:ascii="宋体" w:hAnsi="宋体"/>
          <w:sz w:val="21"/>
        </w:rPr>
        <w:t xml:space="preserve">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具备模型训练配套服务能力，通过人工服务模式结合配套工具支持数据预处理、数据对接、数据上传及数据标注等全流程数据准备工作；应提供原厂技术专家支持服务，针对客户实际需求及项目具体场景提供高级技术咨询与专项保障服务。</w:t>
      </w:r>
      <w:r/>
    </w:p>
    <w:p>
      <w:pPr>
        <w:ind w:left="0" w:firstLine="420"/>
        <w:spacing w:line="360" w:lineRule="auto"/>
        <w:tabs>
          <w:tab w:val="left" w:pos="567" w:leader="none"/>
        </w:tabs>
        <w:rPr>
          <w:rFonts w:hint="eastAsia" w:ascii="宋体" w:hAnsi="宋体"/>
          <w:sz w:val="21"/>
        </w:rPr>
      </w:pPr>
      <w:r>
        <w:rPr>
          <w:rFonts w:ascii="宋体" w:hAnsi="宋体"/>
          <w:sz w:val="21"/>
        </w:rPr>
        <w:t xml:space="preserve">7</w:t>
      </w:r>
      <w:r>
        <w:rPr>
          <w:rFonts w:hint="eastAsia" w:ascii="宋体" w:hAnsi="宋体"/>
          <w:sz w:val="21"/>
        </w:rPr>
        <w:t xml:space="preserve">、运行维护保障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投标人应保障</w:t>
      </w:r>
      <w:r>
        <w:rPr>
          <w:rFonts w:hint="eastAsia" w:ascii="宋体" w:hAnsi="宋体"/>
          <w:sz w:val="21"/>
        </w:rPr>
        <w:t xml:space="preserve">智算云</w:t>
      </w:r>
      <w:r>
        <w:rPr>
          <w:rFonts w:hint="eastAsia" w:ascii="宋体" w:hAnsi="宋体"/>
          <w:sz w:val="21"/>
        </w:rPr>
        <w:t xml:space="preserve">平台及核心服务的稳定运行，提供运维服务包括定期</w:t>
      </w:r>
      <w:r>
        <w:rPr>
          <w:rFonts w:hint="eastAsia" w:ascii="宋体" w:hAnsi="宋体"/>
          <w:sz w:val="21"/>
        </w:rPr>
        <w:t xml:space="preserve">算力设备</w:t>
      </w:r>
      <w:r>
        <w:rPr>
          <w:rFonts w:hint="eastAsia" w:ascii="宋体" w:hAnsi="宋体"/>
          <w:sz w:val="21"/>
        </w:rPr>
        <w:t xml:space="preserve">硬件巡检与状态维护，保障硬件设备稳定运行；提供平台版本升级、漏洞修复及故障应急响应，快速解决使用中的技术异常；</w:t>
      </w:r>
      <w:r>
        <w:rPr>
          <w:rFonts w:hint="eastAsia" w:ascii="宋体" w:hAnsi="宋体"/>
          <w:sz w:val="21"/>
        </w:rPr>
        <w:t xml:space="preserve">协助算力资源优化</w:t>
      </w:r>
      <w:r>
        <w:rPr>
          <w:rFonts w:hint="eastAsia" w:ascii="宋体" w:hAnsi="宋体"/>
          <w:sz w:val="21"/>
        </w:rPr>
        <w:t xml:space="preserve">配置，确保资源高效利用，支撑业务持续开展；应提供符合采购人需求的人员绩效考核体系或机制。明确人力资源政策、预算和合理分工，确保人员管理满足采购人业务要求。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w:t>
      </w:r>
      <w:r>
        <w:rPr>
          <w:rFonts w:hint="eastAsia" w:ascii="宋体" w:hAnsi="宋体"/>
          <w:sz w:val="21"/>
        </w:rPr>
        <w:t xml:space="preserve">服务服务商应建立人员选聘、试用、培训、考核与离职管理程序，确保</w:t>
      </w:r>
      <w:r>
        <w:rPr>
          <w:rFonts w:hint="eastAsia" w:ascii="宋体" w:hAnsi="宋体"/>
          <w:sz w:val="21"/>
        </w:rPr>
        <w:t xml:space="preserve">云服务</w:t>
      </w:r>
      <w:r>
        <w:rPr>
          <w:rFonts w:hint="eastAsia" w:ascii="宋体" w:hAnsi="宋体"/>
          <w:sz w:val="21"/>
        </w:rPr>
        <w:t xml:space="preserve">正常提供。人员应掌握岗位必要的专业技能，具备从事相关工作的资格。人员应按照采购人要求参加岗位技能考核，合格后才能上岗。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投标人应满足《信息技术服务运行维护第三部分：应急响应规范》</w:t>
      </w:r>
      <w:bookmarkStart w:id="107" w:name="OLE_LINK20"/>
      <w:r>
        <w:rPr>
          <w:rFonts w:hint="eastAsia" w:ascii="宋体" w:hAnsi="宋体"/>
          <w:sz w:val="21"/>
        </w:rPr>
        <w:t xml:space="preserve">（GB/T28827.3-2012）</w:t>
      </w:r>
      <w:bookmarkEnd w:id="107"/>
      <w:r>
        <w:rPr>
          <w:rFonts w:hint="eastAsia" w:ascii="宋体" w:hAnsi="宋体"/>
          <w:sz w:val="21"/>
        </w:rPr>
        <w:t xml:space="preserve">要求，并编制应急演练与应急响应方案。当发生重大应急事件时，</w:t>
      </w:r>
      <w:r>
        <w:rPr>
          <w:rFonts w:hint="eastAsia" w:ascii="宋体" w:hAnsi="宋体"/>
          <w:sz w:val="21"/>
        </w:rPr>
        <w:t xml:space="preserve">智算云服务</w:t>
      </w:r>
      <w:r>
        <w:rPr>
          <w:rFonts w:hint="eastAsia" w:ascii="宋体" w:hAnsi="宋体"/>
          <w:sz w:val="21"/>
        </w:rPr>
        <w:t xml:space="preserve">商实施应急响应操作，并在事后制定重大事件报告。</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投标人应无条件接受采购人的服务质量和服务水平制定的评分评比机制。按照采购人要求，采购人有权聘请具备资质的第三方负责对投标人提供的服务内容及服务质量进行考核评估。</w:t>
      </w:r>
      <w:r/>
    </w:p>
    <w:p>
      <w:pPr>
        <w:ind w:left="0" w:firstLine="420"/>
        <w:spacing w:line="360" w:lineRule="auto"/>
        <w:tabs>
          <w:tab w:val="left" w:pos="567" w:leader="none"/>
        </w:tabs>
        <w:rPr>
          <w:rFonts w:hint="eastAsia" w:ascii="宋体" w:hAnsi="宋体"/>
          <w:sz w:val="21"/>
        </w:rPr>
      </w:pPr>
      <w:r>
        <w:rPr>
          <w:rFonts w:ascii="宋体" w:hAnsi="宋体"/>
          <w:sz w:val="21"/>
        </w:rPr>
        <w:t xml:space="preserve">8</w:t>
      </w:r>
      <w:r>
        <w:rPr>
          <w:rFonts w:hint="eastAsia" w:ascii="宋体" w:hAnsi="宋体"/>
          <w:sz w:val="21"/>
        </w:rPr>
        <w:t xml:space="preserve">、安全服务保障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应提供符合国家电子政务外网信息安全标准体系框架的安全服务，遵循统一规划、分层管理原则，结合国家电子政务外网信息安全建设实际需求开展分类设计，确保安全服务符合政务外</w:t>
      </w:r>
      <w:r>
        <w:rPr>
          <w:rFonts w:hint="eastAsia" w:ascii="宋体" w:hAnsi="宋体"/>
          <w:sz w:val="21"/>
        </w:rPr>
        <w:t xml:space="preserve">网规范</w:t>
      </w:r>
      <w:r>
        <w:rPr>
          <w:rFonts w:hint="eastAsia" w:ascii="宋体" w:hAnsi="宋体"/>
          <w:sz w:val="21"/>
        </w:rPr>
        <w:t xml:space="preserve">原则。</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应提供采用集中化、自动化、智能化手段的安全管理服务，减轻安全管理负担，减少因管理疏漏对系统安全造成的威胁，符合可管理性原则。</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应提供技术措施与管理措施相结合的安全服务，配套完善的安全管理机制，全面覆盖信息安全问题，落实技术管理并重原则。</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应提供数据安全服务，保证生产数据的可靠备份，实现数据损坏时的恢复；确保不同用户私有数据隔离存储，仅具备权限用户可访问特定数据；针对客户界面显示、开发测试等场景，依据隐私保护和商业秘密保护要求，采取模糊化或标签化处理；健全数据泄露等突发安全事件应急响应机制和应急预案；对信息传输接口部署相应加密措施，建设数据防泄漏手段；通过身份鉴别、多层安全审批、命令级规则固化及实时审计报警，控制数据访问权限，防范违规操作。</w:t>
      </w:r>
      <w:r/>
    </w:p>
    <w:p>
      <w:pPr>
        <w:ind w:left="0" w:firstLine="420"/>
        <w:spacing w:line="360" w:lineRule="auto"/>
        <w:tabs>
          <w:tab w:val="left" w:pos="567" w:leader="none"/>
        </w:tabs>
        <w:rPr>
          <w:rFonts w:hint="eastAsia" w:ascii="宋体" w:hAnsi="宋体"/>
          <w:sz w:val="21"/>
        </w:rPr>
      </w:pPr>
      <w:r>
        <w:rPr>
          <w:rFonts w:ascii="宋体" w:hAnsi="宋体"/>
          <w:sz w:val="21"/>
        </w:rPr>
        <w:t xml:space="preserve">9</w:t>
      </w:r>
      <w:r>
        <w:rPr>
          <w:rFonts w:hint="eastAsia" w:ascii="宋体" w:hAnsi="宋体"/>
          <w:sz w:val="21"/>
        </w:rPr>
        <w:t xml:space="preserve">、技术要求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9.1</w:t>
      </w:r>
      <w:r>
        <w:rPr>
          <w:rFonts w:hint="eastAsia" w:ascii="宋体" w:hAnsi="宋体"/>
          <w:sz w:val="21"/>
        </w:rPr>
        <w:t xml:space="preserve">智算云</w:t>
      </w:r>
      <w:r>
        <w:rPr>
          <w:rFonts w:hint="eastAsia" w:ascii="宋体" w:hAnsi="宋体"/>
          <w:sz w:val="21"/>
        </w:rPr>
        <w:t xml:space="preserve">平台要求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智算云</w:t>
      </w:r>
      <w:r>
        <w:rPr>
          <w:rFonts w:hint="eastAsia" w:ascii="宋体" w:hAnsi="宋体"/>
          <w:sz w:val="21"/>
        </w:rPr>
        <w:t xml:space="preserve">平台应支持</w:t>
      </w:r>
      <w:r>
        <w:rPr>
          <w:rFonts w:hint="eastAsia" w:ascii="宋体" w:hAnsi="宋体"/>
          <w:sz w:val="21"/>
        </w:rPr>
        <w:t xml:space="preserve">一</w:t>
      </w:r>
      <w:r>
        <w:rPr>
          <w:rFonts w:hint="eastAsia" w:ascii="宋体" w:hAnsi="宋体"/>
          <w:sz w:val="21"/>
        </w:rPr>
        <w:t xml:space="preserve">云多芯。为了保证云平台“</w:t>
      </w:r>
      <w:r>
        <w:rPr>
          <w:rFonts w:hint="eastAsia" w:ascii="宋体" w:hAnsi="宋体"/>
          <w:sz w:val="21"/>
        </w:rPr>
        <w:t xml:space="preserve">一</w:t>
      </w:r>
      <w:r>
        <w:rPr>
          <w:rFonts w:hint="eastAsia" w:ascii="宋体" w:hAnsi="宋体"/>
          <w:sz w:val="21"/>
        </w:rPr>
        <w:t xml:space="preserve">云多芯”稳定安全运行，平台应通过《一云多芯稳定性度量评估模型》基础建设、兼容性、可用性、可靠性、可扩展性、安全性、可维护性、管理能力的检验，并且具有“</w:t>
      </w:r>
      <w:r>
        <w:rPr>
          <w:rFonts w:hint="eastAsia" w:ascii="宋体" w:hAnsi="宋体"/>
          <w:sz w:val="21"/>
        </w:rPr>
        <w:t xml:space="preserve">一</w:t>
      </w:r>
      <w:r>
        <w:rPr>
          <w:rFonts w:hint="eastAsia" w:ascii="宋体" w:hAnsi="宋体"/>
          <w:sz w:val="21"/>
        </w:rPr>
        <w:t xml:space="preserve">云多芯”稳定安全运行能力。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▲为了保障</w:t>
      </w:r>
      <w:r>
        <w:rPr>
          <w:rFonts w:hint="eastAsia" w:ascii="宋体" w:hAnsi="宋体"/>
          <w:sz w:val="21"/>
        </w:rPr>
        <w:t xml:space="preserve">智算云</w:t>
      </w:r>
      <w:r>
        <w:rPr>
          <w:rFonts w:hint="eastAsia" w:ascii="宋体" w:hAnsi="宋体"/>
          <w:sz w:val="21"/>
        </w:rPr>
        <w:t xml:space="preserve">平台性能，平台应通过</w:t>
      </w:r>
      <w:r>
        <w:rPr>
          <w:rFonts w:hint="eastAsia" w:ascii="宋体" w:hAnsi="宋体"/>
          <w:sz w:val="21"/>
        </w:rPr>
        <w:t xml:space="preserve">信通院《容器平台性能评估办法》</w:t>
      </w:r>
      <w:r>
        <w:rPr>
          <w:rFonts w:hint="eastAsia" w:ascii="宋体" w:hAnsi="宋体"/>
          <w:sz w:val="21"/>
        </w:rPr>
        <w:t xml:space="preserve">认证和电子标准化院GB/T32399-</w:t>
      </w:r>
      <w:r>
        <w:rPr>
          <w:rFonts w:ascii="宋体" w:hAnsi="宋体"/>
          <w:sz w:val="21"/>
        </w:rPr>
        <w:t xml:space="preserve">2024</w:t>
      </w:r>
      <w:r>
        <w:rPr>
          <w:rFonts w:hint="eastAsia" w:ascii="宋体" w:hAnsi="宋体"/>
          <w:sz w:val="21"/>
        </w:rPr>
        <w:t xml:space="preserve">《信息技术云计算参考框架》认证。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3）▲平台应具备资源计费功能，支持计费精度达到“秒”级。</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4）▲云平台应提供计量报表并支持下载，报表内容包括VDC、部门、用户、状态、区域、产品、实例ID、订单ID、计费开始/结束时间、计量指标、计量单位、使用量、计量值、单价和费用，支持自定义报表策略，支持实时和按周期性发送计量报表到用户指定邮箱。</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5）云平台应提供统一的标准接口，包含但不限于虚拟化平台、运营管理平台、运</w:t>
      </w:r>
      <w:r>
        <w:rPr>
          <w:rFonts w:hint="eastAsia" w:ascii="宋体" w:hAnsi="宋体"/>
          <w:sz w:val="21"/>
        </w:rPr>
        <w:t xml:space="preserve">维管理</w:t>
      </w:r>
      <w:r>
        <w:rPr>
          <w:rFonts w:hint="eastAsia" w:ascii="宋体" w:hAnsi="宋体"/>
          <w:sz w:val="21"/>
        </w:rPr>
        <w:t xml:space="preserve">平台、服务产品等标准接口，具备与云监管部门和第三方平台对接的能力。可提供标准</w:t>
      </w:r>
      <w:r>
        <w:rPr>
          <w:rFonts w:hint="eastAsia" w:ascii="宋体" w:hAnsi="宋体"/>
          <w:sz w:val="21"/>
        </w:rPr>
        <w:t xml:space="preserve">OpenApi</w:t>
      </w:r>
      <w:r>
        <w:rPr>
          <w:rFonts w:hint="eastAsia" w:ascii="宋体" w:hAnsi="宋体"/>
          <w:sz w:val="21"/>
        </w:rPr>
        <w:t xml:space="preserve">文档。</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智算云</w:t>
      </w:r>
      <w:r>
        <w:rPr>
          <w:rFonts w:hint="eastAsia" w:ascii="宋体" w:hAnsi="宋体"/>
          <w:sz w:val="21"/>
        </w:rPr>
        <w:t xml:space="preserve">平台支持在运</w:t>
      </w:r>
      <w:r>
        <w:rPr>
          <w:rFonts w:hint="eastAsia" w:ascii="宋体" w:hAnsi="宋体"/>
          <w:sz w:val="21"/>
        </w:rPr>
        <w:t xml:space="preserve">维功能</w:t>
      </w:r>
      <w:r>
        <w:rPr>
          <w:rFonts w:hint="eastAsia" w:ascii="宋体" w:hAnsi="宋体"/>
          <w:sz w:val="21"/>
        </w:rPr>
        <w:t xml:space="preserve">界面对计算资源池实例进行创建快照、</w:t>
      </w:r>
      <w:r>
        <w:rPr>
          <w:rFonts w:hint="eastAsia" w:ascii="宋体" w:hAnsi="宋体"/>
          <w:sz w:val="21"/>
        </w:rPr>
        <w:t xml:space="preserve">虚机热</w:t>
      </w:r>
      <w:r>
        <w:rPr>
          <w:rFonts w:hint="eastAsia" w:ascii="宋体" w:hAnsi="宋体"/>
          <w:sz w:val="21"/>
        </w:rPr>
        <w:t xml:space="preserve">迁移、编辑、挂起、恢复、锁定、解锁、暂停、废弃、取消废弃、硬/</w:t>
      </w:r>
      <w:r>
        <w:rPr>
          <w:rFonts w:hint="eastAsia" w:ascii="宋体" w:hAnsi="宋体"/>
          <w:sz w:val="21"/>
        </w:rPr>
        <w:t xml:space="preserve">软重启</w:t>
      </w:r>
      <w:r>
        <w:rPr>
          <w:rFonts w:hint="eastAsia" w:ascii="宋体" w:hAnsi="宋体"/>
          <w:sz w:val="21"/>
        </w:rPr>
        <w:t xml:space="preserve">、关闭、启动、重建、删除等操作，支持在该界面跳转到实例控制台。</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）▲云服务器支持安全加固登录，支持在控制台界面直接配置包括密码登录需符合密码复杂性策略、禁用密码登录启用密钥登录。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）▲云物理主机可提供网络增强功能，支持绑定两个VPC网络，单实例提供多网络性能，满足业务流量高峰场景需求。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）▲云服务器规格支持预置模板和自定义配置两种方式。</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ascii="宋体" w:hAnsi="宋体"/>
          <w:sz w:val="21"/>
        </w:rPr>
        <w:t xml:space="preserve">10</w:t>
      </w:r>
      <w:r>
        <w:rPr>
          <w:rFonts w:hint="eastAsia" w:ascii="宋体" w:hAnsi="宋体"/>
          <w:sz w:val="21"/>
        </w:rPr>
        <w:t xml:space="preserve">）▲为保护用户无形资产，应支持在控制台界面配置运行状态云服务器不能直接彻底删除，可以选择是否放入回收站，冷冻期后才能彻底删除，回收站中的云服务器可以选择销毁或恢复。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9.2</w:t>
      </w:r>
      <w:r>
        <w:rPr>
          <w:rFonts w:hint="eastAsia" w:ascii="宋体" w:hAnsi="宋体"/>
          <w:sz w:val="21"/>
        </w:rPr>
        <w:t xml:space="preserve">算力管理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投标人应提供一体化管理底座工具，具备</w:t>
      </w:r>
      <w:r>
        <w:rPr>
          <w:rFonts w:hint="eastAsia" w:ascii="宋体" w:hAnsi="宋体"/>
          <w:sz w:val="21"/>
        </w:rPr>
        <w:t xml:space="preserve">算力全</w:t>
      </w:r>
      <w:r>
        <w:rPr>
          <w:rFonts w:hint="eastAsia" w:ascii="宋体" w:hAnsi="宋体"/>
          <w:sz w:val="21"/>
        </w:rPr>
        <w:t xml:space="preserve">生命周期精细化管理功能，具备以下技术</w:t>
      </w:r>
      <w:r>
        <w:rPr>
          <w:rFonts w:hint="eastAsia" w:ascii="宋体" w:hAnsi="宋体"/>
          <w:sz w:val="21"/>
        </w:rPr>
        <w:t xml:space="preserve">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1）投标人应支持GPU节点多维度性能指标分析，分析维度应覆盖CPU使用率、CPU负载、内存使用率、显存使用量、显存使用率、GPU使用率、GPU功率、网络带宽、网络出入包量，支持按小时/天粒度查看指标变化趋势，</w:t>
      </w:r>
      <w:r>
        <w:rPr>
          <w:rFonts w:hint="eastAsia" w:ascii="宋体" w:hAnsi="宋体"/>
          <w:sz w:val="21"/>
        </w:rPr>
        <w:t xml:space="preserve">且数据</w:t>
      </w:r>
      <w:r>
        <w:rPr>
          <w:rFonts w:hint="eastAsia" w:ascii="宋体" w:hAnsi="宋体"/>
          <w:sz w:val="21"/>
        </w:rPr>
        <w:t xml:space="preserve">采样间隔≤5分钟。支持实时监控与历史数据回溯（回溯周期≥7天），实现资源状态可视化呈现。</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2）投标人应支持第三</w:t>
      </w:r>
      <w:r>
        <w:rPr>
          <w:rFonts w:hint="eastAsia" w:ascii="宋体" w:hAnsi="宋体"/>
          <w:sz w:val="21"/>
        </w:rPr>
        <w:t xml:space="preserve">方算力节点</w:t>
      </w:r>
      <w:r>
        <w:rPr>
          <w:rFonts w:hint="eastAsia" w:ascii="宋体" w:hAnsi="宋体"/>
          <w:sz w:val="21"/>
        </w:rPr>
        <w:t xml:space="preserve">的添加与监控，实现</w:t>
      </w:r>
      <w:r>
        <w:rPr>
          <w:rFonts w:hint="eastAsia" w:ascii="宋体" w:hAnsi="宋体"/>
          <w:sz w:val="21"/>
        </w:rPr>
        <w:t xml:space="preserve">对算力节点</w:t>
      </w:r>
      <w:r>
        <w:rPr>
          <w:rFonts w:hint="eastAsia" w:ascii="宋体" w:hAnsi="宋体"/>
          <w:sz w:val="21"/>
        </w:rPr>
        <w:t xml:space="preserve">、</w:t>
      </w:r>
      <w:r>
        <w:rPr>
          <w:rFonts w:hint="eastAsia" w:ascii="宋体" w:hAnsi="宋体"/>
          <w:sz w:val="21"/>
        </w:rPr>
        <w:t xml:space="preserve">算力卡下</w:t>
      </w:r>
      <w:r>
        <w:rPr>
          <w:rFonts w:hint="eastAsia" w:ascii="宋体" w:hAnsi="宋体"/>
          <w:sz w:val="21"/>
        </w:rPr>
        <w:t xml:space="preserve">资源性能告警数据的实时监控，监控的数据不限于GPU卡利用率、显存利用率、CPU利用率、内存利用率等相关指标，为资源优化</w:t>
      </w:r>
      <w:r>
        <w:rPr>
          <w:rFonts w:hint="eastAsia" w:ascii="宋体" w:hAnsi="宋体"/>
          <w:sz w:val="21"/>
        </w:rPr>
        <w:t xml:space="preserve">及算力</w:t>
      </w:r>
      <w:r>
        <w:rPr>
          <w:rFonts w:hint="eastAsia" w:ascii="宋体" w:hAnsi="宋体"/>
          <w:sz w:val="21"/>
        </w:rPr>
        <w:t xml:space="preserve">告警提供性能数据支撑，</w:t>
      </w:r>
      <w:r>
        <w:rPr>
          <w:rFonts w:hint="eastAsia" w:ascii="宋体" w:hAnsi="宋体"/>
          <w:sz w:val="21"/>
        </w:rPr>
        <w:t xml:space="preserve">保障算力节点</w:t>
      </w:r>
      <w:r>
        <w:rPr>
          <w:rFonts w:hint="eastAsia" w:ascii="宋体" w:hAnsi="宋体"/>
          <w:sz w:val="21"/>
        </w:rPr>
        <w:t xml:space="preserve">的稳定高效运行。</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3）投标人应支持对第三</w:t>
      </w:r>
      <w:r>
        <w:rPr>
          <w:rFonts w:hint="eastAsia" w:ascii="宋体" w:hAnsi="宋体"/>
          <w:sz w:val="21"/>
        </w:rPr>
        <w:t xml:space="preserve">方算力节点</w:t>
      </w:r>
      <w:r>
        <w:rPr>
          <w:rFonts w:hint="eastAsia" w:ascii="宋体" w:hAnsi="宋体"/>
          <w:sz w:val="21"/>
        </w:rPr>
        <w:t xml:space="preserve">的纳管，</w:t>
      </w:r>
      <w:r>
        <w:rPr>
          <w:rFonts w:hint="eastAsia" w:ascii="宋体" w:hAnsi="宋体"/>
          <w:sz w:val="21"/>
        </w:rPr>
        <w:t xml:space="preserve">实现算力节点</w:t>
      </w:r>
      <w:r>
        <w:rPr>
          <w:rFonts w:hint="eastAsia" w:ascii="宋体" w:hAnsi="宋体"/>
          <w:sz w:val="21"/>
        </w:rPr>
        <w:t xml:space="preserve">的池化管理与监控，为模型自动化部署提供可扩展</w:t>
      </w:r>
      <w:r>
        <w:rPr>
          <w:rFonts w:hint="eastAsia" w:ascii="宋体" w:hAnsi="宋体"/>
          <w:sz w:val="21"/>
        </w:rPr>
        <w:t xml:space="preserve">的算力支撑</w:t>
      </w:r>
      <w:r>
        <w:rPr>
          <w:rFonts w:hint="eastAsia" w:ascii="宋体" w:hAnsi="宋体"/>
          <w:sz w:val="21"/>
        </w:rPr>
        <w:t xml:space="preserve">，达到模型自动化部署目标，同时对纳管</w:t>
      </w:r>
      <w:r>
        <w:rPr>
          <w:rFonts w:hint="eastAsia" w:ascii="宋体" w:hAnsi="宋体"/>
          <w:sz w:val="21"/>
        </w:rPr>
        <w:t xml:space="preserve">的算力节点</w:t>
      </w:r>
      <w:r>
        <w:rPr>
          <w:rFonts w:hint="eastAsia" w:ascii="宋体" w:hAnsi="宋体"/>
          <w:sz w:val="21"/>
        </w:rPr>
        <w:t xml:space="preserve">，实现实时监控，</w:t>
      </w:r>
      <w:r>
        <w:rPr>
          <w:rFonts w:hint="eastAsia" w:ascii="宋体" w:hAnsi="宋体"/>
          <w:sz w:val="21"/>
        </w:rPr>
        <w:t xml:space="preserve">保障算力节点</w:t>
      </w:r>
      <w:r>
        <w:rPr>
          <w:rFonts w:hint="eastAsia" w:ascii="宋体" w:hAnsi="宋体"/>
          <w:sz w:val="21"/>
        </w:rPr>
        <w:t xml:space="preserve">的稳定运行。</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4）投标人应具备共享及</w:t>
      </w:r>
      <w:r>
        <w:rPr>
          <w:rFonts w:hint="eastAsia" w:ascii="宋体" w:hAnsi="宋体"/>
          <w:sz w:val="21"/>
        </w:rPr>
        <w:t xml:space="preserve">专享算力资源池</w:t>
      </w:r>
      <w:r>
        <w:rPr>
          <w:rFonts w:hint="eastAsia" w:ascii="宋体" w:hAnsi="宋体"/>
          <w:sz w:val="21"/>
        </w:rPr>
        <w:t xml:space="preserve">属性配置能力，能实时统计资源池CPU核数、</w:t>
      </w:r>
      <w:r>
        <w:rPr>
          <w:rFonts w:hint="eastAsia" w:ascii="宋体" w:hAnsi="宋体"/>
          <w:sz w:val="21"/>
        </w:rPr>
        <w:t xml:space="preserve">算力卡</w:t>
      </w:r>
      <w:r>
        <w:rPr>
          <w:rFonts w:hint="eastAsia" w:ascii="宋体" w:hAnsi="宋体"/>
          <w:sz w:val="21"/>
        </w:rPr>
        <w:t xml:space="preserve">使用率，适配差异</w:t>
      </w:r>
      <w:r>
        <w:rPr>
          <w:rFonts w:hint="eastAsia" w:ascii="宋体" w:hAnsi="宋体"/>
          <w:sz w:val="21"/>
        </w:rPr>
        <w:t xml:space="preserve">化算力</w:t>
      </w:r>
      <w:r>
        <w:rPr>
          <w:rFonts w:hint="eastAsia" w:ascii="宋体" w:hAnsi="宋体"/>
          <w:sz w:val="21"/>
        </w:rPr>
        <w:t xml:space="preserve">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5）投标人应具备</w:t>
      </w:r>
      <w:r>
        <w:rPr>
          <w:rFonts w:hint="eastAsia" w:ascii="宋体" w:hAnsi="宋体"/>
          <w:sz w:val="21"/>
        </w:rPr>
        <w:t xml:space="preserve">算力卡</w:t>
      </w:r>
      <w:r>
        <w:rPr>
          <w:rFonts w:hint="eastAsia" w:ascii="宋体" w:hAnsi="宋体"/>
          <w:sz w:val="21"/>
        </w:rPr>
        <w:t xml:space="preserve">精细管理能力，可直观呈现</w:t>
      </w:r>
      <w:r>
        <w:rPr>
          <w:rFonts w:hint="eastAsia" w:ascii="宋体" w:hAnsi="宋体"/>
          <w:sz w:val="21"/>
        </w:rPr>
        <w:t xml:space="preserve">算力卡</w:t>
      </w:r>
      <w:r>
        <w:rPr>
          <w:rFonts w:hint="eastAsia" w:ascii="宋体" w:hAnsi="宋体"/>
          <w:sz w:val="21"/>
        </w:rPr>
        <w:t xml:space="preserve">利用情况，辅助</w:t>
      </w:r>
      <w:r>
        <w:rPr>
          <w:rFonts w:hint="eastAsia" w:ascii="宋体" w:hAnsi="宋体"/>
          <w:sz w:val="21"/>
        </w:rPr>
        <w:t xml:space="preserve">定位算力瓶颈</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9.3模型管理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1）投标人应提供一体化模型管理底座，具备模型服务全流程管控能力，实现资源集中纳管与稳定运行，具备以下技术能力：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2）投标人应具备主流开源、</w:t>
      </w:r>
      <w:r>
        <w:rPr>
          <w:rFonts w:hint="eastAsia" w:ascii="宋体" w:hAnsi="宋体"/>
          <w:sz w:val="21"/>
        </w:rPr>
        <w:t xml:space="preserve">闭源模型</w:t>
      </w:r>
      <w:r>
        <w:rPr>
          <w:rFonts w:hint="eastAsia" w:ascii="宋体" w:hAnsi="宋体"/>
          <w:sz w:val="21"/>
        </w:rPr>
        <w:t xml:space="preserve">纳管能力，可全量纳入TensorFlow、</w:t>
      </w:r>
      <w:r>
        <w:rPr>
          <w:rFonts w:hint="eastAsia" w:ascii="宋体" w:hAnsi="宋体"/>
          <w:sz w:val="21"/>
        </w:rPr>
        <w:t xml:space="preserve">PyTorch</w:t>
      </w:r>
      <w:r>
        <w:rPr>
          <w:rFonts w:hint="eastAsia" w:ascii="宋体" w:hAnsi="宋体"/>
          <w:sz w:val="21"/>
        </w:rPr>
        <w:t xml:space="preserve">框架下开源模型及国内</w:t>
      </w:r>
      <w:r>
        <w:rPr>
          <w:rFonts w:hint="eastAsia" w:ascii="宋体" w:hAnsi="宋体"/>
          <w:sz w:val="21"/>
        </w:rPr>
        <w:t xml:space="preserve">主流闭源模型</w:t>
      </w:r>
      <w:r>
        <w:rPr>
          <w:rFonts w:hint="eastAsia" w:ascii="宋体" w:hAnsi="宋体"/>
          <w:sz w:val="21"/>
        </w:rPr>
        <w:t xml:space="preserve">（如通义千问、文心一言等）API，实现统一管控。</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3）投标人应具备模型服务从入驻、上架到下架的全生命周期状态管控能力，并记录每个状态变更的操作日志（</w:t>
      </w:r>
      <w:r>
        <w:rPr>
          <w:rFonts w:hint="eastAsia" w:ascii="宋体" w:hAnsi="宋体"/>
          <w:sz w:val="21"/>
        </w:rPr>
        <w:t xml:space="preserve">含操作</w:t>
      </w:r>
      <w:r>
        <w:rPr>
          <w:rFonts w:hint="eastAsia" w:ascii="宋体" w:hAnsi="宋体"/>
          <w:sz w:val="21"/>
        </w:rPr>
        <w:t xml:space="preserve">人、时间、变更内容）。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4）投标人应提供模型服务，可展示已纳管的不同参数模型（如</w:t>
      </w:r>
      <w:r>
        <w:rPr>
          <w:rFonts w:hint="eastAsia" w:ascii="宋体" w:hAnsi="宋体"/>
          <w:sz w:val="21"/>
        </w:rPr>
        <w:t xml:space="preserve">deepseek</w:t>
      </w:r>
      <w:r>
        <w:rPr>
          <w:rFonts w:hint="eastAsia" w:ascii="宋体" w:hAnsi="宋体"/>
          <w:sz w:val="21"/>
        </w:rPr>
        <w:t xml:space="preserve">、</w:t>
      </w:r>
      <w:r>
        <w:rPr>
          <w:rFonts w:hint="eastAsia" w:ascii="宋体" w:hAnsi="宋体"/>
          <w:sz w:val="21"/>
        </w:rPr>
        <w:t xml:space="preserve">千问等</w:t>
      </w:r>
      <w:r>
        <w:rPr>
          <w:rFonts w:hint="eastAsia" w:ascii="宋体" w:hAnsi="宋体"/>
          <w:sz w:val="21"/>
        </w:rPr>
        <w:t xml:space="preserve">）；同时支持用户在线提交模型服务申请，系统自动关联申请用户信息与模型授权记录。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5）投标人应支撑模型API网关功能，应具备API访问权限精细化管控能力。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6）投标人应提供模型服务</w:t>
      </w:r>
      <w:r>
        <w:rPr>
          <w:rFonts w:hint="eastAsia" w:ascii="宋体" w:hAnsi="宋体"/>
          <w:sz w:val="21"/>
        </w:rPr>
        <w:t xml:space="preserve">APIkey</w:t>
      </w:r>
      <w:r>
        <w:rPr>
          <w:rFonts w:hint="eastAsia" w:ascii="宋体" w:hAnsi="宋体"/>
          <w:sz w:val="21"/>
        </w:rPr>
        <w:t xml:space="preserve">服务中心，展示已授权分配的</w:t>
      </w:r>
      <w:r>
        <w:rPr>
          <w:rFonts w:hint="eastAsia" w:ascii="宋体" w:hAnsi="宋体"/>
          <w:sz w:val="21"/>
        </w:rPr>
        <w:t xml:space="preserve">APIkey</w:t>
      </w:r>
      <w:r>
        <w:rPr>
          <w:rFonts w:hint="eastAsia" w:ascii="宋体" w:hAnsi="宋体"/>
          <w:sz w:val="21"/>
        </w:rPr>
        <w:t xml:space="preserve">列表。支持</w:t>
      </w:r>
      <w:r>
        <w:rPr>
          <w:rFonts w:hint="eastAsia" w:ascii="宋体" w:hAnsi="宋体"/>
          <w:sz w:val="21"/>
        </w:rPr>
        <w:t xml:space="preserve">APIkey</w:t>
      </w:r>
      <w:r>
        <w:rPr>
          <w:rFonts w:hint="eastAsia" w:ascii="宋体" w:hAnsi="宋体"/>
          <w:sz w:val="21"/>
        </w:rPr>
        <w:t xml:space="preserve">的额度变更、启用/停用、删除操作，并记录相关日志。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7）投标人应具备模型</w:t>
      </w:r>
      <w:r>
        <w:rPr>
          <w:rFonts w:hint="eastAsia" w:ascii="宋体" w:hAnsi="宋体"/>
          <w:sz w:val="21"/>
        </w:rPr>
        <w:t xml:space="preserve">跨池部署</w:t>
      </w:r>
      <w:r>
        <w:rPr>
          <w:rFonts w:hint="eastAsia" w:ascii="宋体" w:hAnsi="宋体"/>
          <w:sz w:val="21"/>
        </w:rPr>
        <w:t xml:space="preserve">能力，支持多资源池并行部署，部署成功率≥99%，</w:t>
      </w:r>
      <w:r>
        <w:rPr>
          <w:rFonts w:hint="eastAsia" w:ascii="宋体" w:hAnsi="宋体"/>
          <w:sz w:val="21"/>
        </w:rPr>
        <w:t xml:space="preserve">且部署</w:t>
      </w:r>
      <w:r>
        <w:rPr>
          <w:rFonts w:hint="eastAsia" w:ascii="宋体" w:hAnsi="宋体"/>
          <w:sz w:val="21"/>
        </w:rPr>
        <w:t xml:space="preserve">后服务启动时间≤3分钟，且保障服务连续性。</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8）投标人应具备模型实例可视能力，可清晰展示实例运行状态、并发数、</w:t>
      </w:r>
      <w:r>
        <w:rPr>
          <w:rFonts w:hint="eastAsia" w:ascii="宋体" w:hAnsi="宋体"/>
          <w:sz w:val="21"/>
        </w:rPr>
        <w:t xml:space="preserve">占用卡</w:t>
      </w:r>
      <w:r>
        <w:rPr>
          <w:rFonts w:hint="eastAsia" w:ascii="宋体" w:hAnsi="宋体"/>
          <w:sz w:val="21"/>
        </w:rPr>
        <w:t xml:space="preserve">数及所属资源池信息，支持实例资源使用趋势分析（分析周期≥7天）。</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9）投标人应具备模型实例动态扩展能力，支持按并发量扩展实例，扩展后服务并发处理能力提升比例≥1:1.5，应对业务波峰需求。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10）投标人应具备针对第三方模型服务的流量限制能力与流量统计分析能力，确保能基于所提供的服务，构建满足实际应用需求的第三方模型服务流量管理与分析技术体系。</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11）投标人应具备模型服务运营分析能力，可基于部门、智能体、模型三个维度，统计模型服务调用量、并发峰值、调用成功率、token数等核心参数；支持导出统计报表。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9.4知识库工具管理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投标人应提供一体化管理底座工具，具备知识库全周期管控与高效支撑能力，具体包括：</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1）投标人应具备知识库全流程管理能力，概览、申请、共享核心环节，支持结构化、半结构化数据（文本、PDF、表格）、非结构化数据存储，存储数据校验通过率≥99%，实现资源集中纳管。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2）投标人应具备知识高效检索能力，支持向量、全文、知识图谱融合检索，具备通过标签库进行语义补充的能力，具备跨语言检索能力。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3）支持单节点≤15个知识库、单节点≤5000个文件限额配置，敏感知识调用应日志留痕（留痕保存≥1年。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4）投标人应提供共享知识库实例管理服务，覆盖从知识库搭建到检索应用的全流程端到端支持，支持多格式多模态文档的解析处理、内容切片、知识查询及源文件管理功能。</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9.5智能体构建工具服务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投标人应提供一体化管理底座工具，具备智能体构建服务能力，具备以下技术能力：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1）投标人应提供向量知识库管理能力，支持各类知识库上传及自定义分段处理能力，集成向量模型、召回模型、OCR模型等，保障知识问答过程中的知识准确检索。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2）投标人应提供MCP服务，能够接入外部MCP服务，同时支持将内部智能体或工具发布为MCP服务。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3）投标人应提供智能体编排能力，能够提供零代码、低代码的智能</w:t>
      </w:r>
      <w:r>
        <w:rPr>
          <w:rFonts w:hint="eastAsia" w:ascii="宋体" w:hAnsi="宋体"/>
          <w:sz w:val="21"/>
        </w:rPr>
        <w:t xml:space="preserve">体开发</w:t>
      </w:r>
      <w:r>
        <w:rPr>
          <w:rFonts w:hint="eastAsia" w:ascii="宋体" w:hAnsi="宋体"/>
          <w:sz w:val="21"/>
        </w:rPr>
        <w:t xml:space="preserve">服务，零代码支持提示词+知识库+工具快速编排智能体，低代码方式支持通过拖拉</w:t>
      </w:r>
      <w:r>
        <w:rPr>
          <w:rFonts w:hint="eastAsia" w:ascii="宋体" w:hAnsi="宋体"/>
          <w:sz w:val="21"/>
        </w:rPr>
        <w:t xml:space="preserve">拽方式</w:t>
      </w:r>
      <w:r>
        <w:rPr>
          <w:rFonts w:hint="eastAsia" w:ascii="宋体" w:hAnsi="宋体"/>
          <w:sz w:val="21"/>
        </w:rPr>
        <w:t xml:space="preserve">完成大模型节点、代码节点、知识检索检点、数据模型节点等节点组装编排，同时支持多智能体协同构建，满足业务</w:t>
      </w:r>
      <w:r>
        <w:rPr>
          <w:rFonts w:hint="eastAsia" w:ascii="宋体" w:hAnsi="宋体"/>
          <w:sz w:val="21"/>
        </w:rPr>
        <w:t xml:space="preserve">侧简单</w:t>
      </w:r>
      <w:r>
        <w:rPr>
          <w:rFonts w:hint="eastAsia" w:ascii="宋体" w:hAnsi="宋体"/>
          <w:sz w:val="21"/>
        </w:rPr>
        <w:t xml:space="preserve">任务、复杂任务的智能体构建需求。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9.6模型内容安全及组件服务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1）投标人应提供完整大模型内容安全防护体系，包括输入阶段动态敏感词过滤、内容预审和违规内容拦截，输出阶段内容合</w:t>
      </w:r>
      <w:r>
        <w:rPr>
          <w:rFonts w:hint="eastAsia" w:ascii="宋体" w:hAnsi="宋体"/>
          <w:sz w:val="21"/>
        </w:rPr>
        <w:t xml:space="preserve">规</w:t>
      </w:r>
      <w:r>
        <w:rPr>
          <w:rFonts w:hint="eastAsia" w:ascii="宋体" w:hAnsi="宋体"/>
          <w:sz w:val="21"/>
        </w:rPr>
        <w:t xml:space="preserve">分析和安全筛查等，应具备“预防-监控-追溯”一体化安全保障能力；</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所提供大模型内容安全防护能力，应支持多种风险识别，包括但不限于危害国家安全（如违反社会主义核心价值观、危害国家军事安全等）、危害公共安全（如涉恐、涉爆、网络安全等）、违反社会伦理道德（如歧视、封建迷信等）、违反行业领域安全（如医疗安全）等；</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3）投标人所提供大模型内容安全防护功能应支持黑白名单机制，白名单优先放行可信实体，黑名单则精准拦截风险对象，对不同的应用场景提供灵活的防护行为；</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4）投标人所提供模型安全服务应建立全链路日志与溯源体系，完整记录交互数据及安全处置过程，支持风险追溯与合</w:t>
      </w:r>
      <w:r>
        <w:rPr>
          <w:rFonts w:hint="eastAsia" w:ascii="宋体" w:hAnsi="宋体"/>
          <w:sz w:val="21"/>
        </w:rPr>
        <w:t xml:space="preserve">规</w:t>
      </w:r>
      <w:r>
        <w:rPr>
          <w:rFonts w:hint="eastAsia" w:ascii="宋体" w:hAnsi="宋体"/>
          <w:sz w:val="21"/>
        </w:rPr>
        <w:t xml:space="preserve">审计。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5）投标人所提供模型安全服务应具备分级安全防护配置功能，可动态维护如敏感词库、干预规则或风险判定阈值，结合应用场景可实施差异化管控，依据内容风险等级匹配对应管控强度，为高频政务场景提供专属安全配置方案。</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6）投标人应结合国家政府机构大模型内容安全管理相关要求对大模型内容安全防护能力在服务期内提供持续升级服务，升级频率不低于3个月/次。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7）投标人应能够提供OCR（光学字符识别）、ASR（自动语音识别）、TTS（文本到语音）、知识分类、智能摘要、实体抽取、知识问答等多类类别模型组件，并提供对应的组件服务支撑。</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8）投标人应具备组件服务</w:t>
      </w:r>
      <w:r>
        <w:rPr>
          <w:rFonts w:hint="eastAsia" w:ascii="宋体" w:hAnsi="宋体"/>
          <w:sz w:val="21"/>
        </w:rPr>
        <w:t xml:space="preserve">APIKey</w:t>
      </w:r>
      <w:r>
        <w:rPr>
          <w:rFonts w:hint="eastAsia" w:ascii="宋体" w:hAnsi="宋体"/>
          <w:sz w:val="21"/>
        </w:rPr>
        <w:t xml:space="preserve">授权能力，通过高效的组件管理与灵活配置机制，提升开发效率及组件复用性。</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9.7模型训练及智能</w:t>
      </w:r>
      <w:r>
        <w:rPr>
          <w:rFonts w:hint="eastAsia" w:ascii="宋体" w:hAnsi="宋体"/>
          <w:sz w:val="21"/>
        </w:rPr>
        <w:t xml:space="preserve">体开发</w:t>
      </w:r>
      <w:r>
        <w:rPr>
          <w:rFonts w:hint="eastAsia" w:ascii="宋体" w:hAnsi="宋体"/>
          <w:sz w:val="21"/>
        </w:rPr>
        <w:t xml:space="preserve">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1）投标人所提供大模型训练服务应支持主流国产GPU卡训练。</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2）投标人应提供数据预处理服务，涵盖多种常见的数据</w:t>
      </w:r>
      <w:r>
        <w:rPr>
          <w:rFonts w:hint="eastAsia" w:ascii="宋体" w:hAnsi="宋体"/>
          <w:sz w:val="21"/>
        </w:rPr>
        <w:t xml:space="preserve">集相关</w:t>
      </w:r>
      <w:r>
        <w:rPr>
          <w:rFonts w:hint="eastAsia" w:ascii="宋体" w:hAnsi="宋体"/>
          <w:sz w:val="21"/>
        </w:rPr>
        <w:t xml:space="preserve">处理功能，如数据清洗、增广、特征分析、质检、上传、管理等具体操作。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3）投标人应提供数据对接服务，确保训练数据能够高效链接模型训练，可复用相关数据和模型资源参与训练。</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4）若招标人有高级咨询需求，投标人应安排具备丰富模型训练及开发经验的专业技术团队，针对模型训练及开发过程中的技术问题、业务应用问题等提供专业建议和解决方案，如制定技术方案、诊断解决问题、分析行业趋势等。</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5）投标人应具备原厂定制开发服务能力，能根据招标人实际需求定制开发智能体产品，服务按合理人力计费形式收费，接到招标人需求后对咨询问题复杂度进行专业评估并确定相应工作量。</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9.8其他技术能力要求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1）投标人应支持平台及第三方智能体的注册接入与管控，允许</w:t>
      </w:r>
      <w:r>
        <w:rPr>
          <w:rFonts w:hint="eastAsia" w:ascii="宋体" w:hAnsi="宋体"/>
          <w:sz w:val="21"/>
        </w:rPr>
        <w:t xml:space="preserve">智能体按业务</w:t>
      </w:r>
      <w:r>
        <w:rPr>
          <w:rFonts w:hint="eastAsia" w:ascii="宋体" w:hAnsi="宋体"/>
          <w:sz w:val="21"/>
        </w:rPr>
        <w:t xml:space="preserve">需求申请模型服务、组件服务；应按智能体及服务类型差异化下发</w:t>
      </w:r>
      <w:r>
        <w:rPr>
          <w:rFonts w:hint="eastAsia" w:ascii="宋体" w:hAnsi="宋体"/>
          <w:sz w:val="21"/>
        </w:rPr>
        <w:t xml:space="preserve">APIKey</w:t>
      </w:r>
      <w:r>
        <w:rPr>
          <w:rFonts w:hint="eastAsia" w:ascii="宋体" w:hAnsi="宋体"/>
          <w:sz w:val="21"/>
        </w:rPr>
        <w:t xml:space="preserve">，实现分智能体调用统计分析以支撑运营优化决策，同时支持智能</w:t>
      </w:r>
      <w:r>
        <w:rPr>
          <w:rFonts w:hint="eastAsia" w:ascii="宋体" w:hAnsi="宋体"/>
          <w:sz w:val="21"/>
        </w:rPr>
        <w:t xml:space="preserve">体广场</w:t>
      </w:r>
      <w:r>
        <w:rPr>
          <w:rFonts w:hint="eastAsia" w:ascii="宋体" w:hAnsi="宋体"/>
          <w:sz w:val="21"/>
        </w:rPr>
        <w:t xml:space="preserve">上架展示与服务共享，满足其他业务单位的服务申请使用需求。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hint="eastAsia" w:ascii="宋体" w:hAnsi="宋体"/>
          <w:sz w:val="21"/>
        </w:rPr>
        <w:t xml:space="preserve">2）▲投标人所使用的</w:t>
      </w:r>
      <w:r>
        <w:rPr>
          <w:rFonts w:hint="eastAsia" w:ascii="宋体" w:hAnsi="宋体"/>
          <w:sz w:val="21"/>
        </w:rPr>
        <w:t xml:space="preserve">智算云</w:t>
      </w:r>
      <w:r>
        <w:rPr>
          <w:rFonts w:hint="eastAsia" w:ascii="宋体" w:hAnsi="宋体"/>
          <w:sz w:val="21"/>
        </w:rPr>
        <w:t xml:space="preserve">平台应具备广泛的适配能力，至少适配6种以上不同型号的GPU。</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（四）服务要求</w:t>
      </w:r>
      <w:r/>
    </w:p>
    <w:p>
      <w:pPr>
        <w:ind w:left="0" w:firstLine="420"/>
        <w:spacing w:line="360" w:lineRule="auto"/>
        <w:tabs>
          <w:tab w:val="left" w:pos="567" w:leader="none"/>
        </w:tabs>
        <w:rPr>
          <w:rFonts w:hint="eastAsia" w:ascii="宋体" w:hAnsi="宋体"/>
          <w:sz w:val="21"/>
        </w:rPr>
      </w:pPr>
      <w:r>
        <w:rPr>
          <w:rFonts w:ascii="宋体" w:hAnsi="宋体"/>
          <w:sz w:val="21"/>
        </w:rPr>
        <w:t xml:space="preserve">1</w:t>
      </w:r>
      <w:r>
        <w:rPr>
          <w:rFonts w:hint="eastAsia" w:ascii="宋体" w:hAnsi="宋体"/>
          <w:sz w:val="21"/>
        </w:rPr>
        <w:t xml:space="preserve">、项目实施团队及运</w:t>
      </w:r>
      <w:r>
        <w:rPr>
          <w:rFonts w:hint="eastAsia" w:ascii="宋体" w:hAnsi="宋体"/>
          <w:sz w:val="21"/>
        </w:rPr>
        <w:t xml:space="preserve">维能力</w:t>
      </w:r>
      <w:r>
        <w:rPr>
          <w:rFonts w:hint="eastAsia" w:ascii="宋体" w:hAnsi="宋体"/>
          <w:sz w:val="21"/>
        </w:rPr>
        <w:t xml:space="preserve">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项目实施过程中，中标供应商应保证关键岗位人员不能随意变更，如因正当理由需要调整项目主要人员的，应当提前1个月通知</w:t>
      </w:r>
      <w:r>
        <w:rPr>
          <w:rFonts w:hint="eastAsia" w:ascii="宋体" w:hAnsi="宋体"/>
          <w:sz w:val="21"/>
        </w:rPr>
        <w:t xml:space="preserve">云管理</w:t>
      </w:r>
      <w:r>
        <w:rPr>
          <w:rFonts w:hint="eastAsia" w:ascii="宋体" w:hAnsi="宋体"/>
          <w:sz w:val="21"/>
        </w:rPr>
        <w:t xml:space="preserve">单位，获得书面同意后方可更换。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中标供应商应负责人工智能政务应用</w:t>
      </w:r>
      <w:r>
        <w:rPr>
          <w:rFonts w:hint="eastAsia" w:ascii="宋体" w:hAnsi="宋体"/>
          <w:sz w:val="21"/>
        </w:rPr>
        <w:t xml:space="preserve">智算云</w:t>
      </w:r>
      <w:r>
        <w:rPr>
          <w:rFonts w:hint="eastAsia" w:ascii="宋体" w:hAnsi="宋体"/>
          <w:sz w:val="21"/>
        </w:rPr>
        <w:t xml:space="preserve">服务服务的整体运维服务，包括基础设施运维、专业服务运维等。应提供7×24小时运维响应服务。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重大活动保障：即时协调专家资源对采购人的重大活动进行技术保障，包括节假日（五一、国庆、春节）重保、</w:t>
      </w:r>
      <w:r>
        <w:rPr>
          <w:rFonts w:hint="eastAsia" w:ascii="宋体" w:hAnsi="宋体"/>
          <w:sz w:val="21"/>
        </w:rPr>
        <w:t xml:space="preserve">两会重保等</w:t>
      </w:r>
      <w:r>
        <w:rPr>
          <w:rFonts w:hint="eastAsia" w:ascii="宋体" w:hAnsi="宋体"/>
          <w:sz w:val="21"/>
        </w:rPr>
        <w:t xml:space="preserve">重大活动。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投标人应设置</w:t>
      </w:r>
      <w:r>
        <w:rPr>
          <w:rFonts w:hint="eastAsia" w:ascii="宋体" w:hAnsi="宋体"/>
          <w:sz w:val="21"/>
        </w:rPr>
        <w:t xml:space="preserve">专职项目</w:t>
      </w:r>
      <w:r>
        <w:rPr>
          <w:rFonts w:hint="eastAsia" w:ascii="宋体" w:hAnsi="宋体"/>
          <w:sz w:val="21"/>
        </w:rPr>
        <w:t xml:space="preserve">经理、专职技术负责人、专职实施交付团队（项目经理和技术负责人除外，团队成员不少于5人）进行</w:t>
      </w:r>
      <w:r>
        <w:rPr>
          <w:rFonts w:hint="eastAsia" w:ascii="宋体" w:hAnsi="宋体"/>
          <w:sz w:val="21"/>
        </w:rPr>
        <w:t xml:space="preserve">项目的实施交付，相关人员应熟悉人工智能、大模型、云计算、网络技术、信息安全、数据库技术等领域知识。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（2）投标人应为本项目提供驻场运维服务。驻场运维服务团队应至少配备</w:t>
      </w:r>
      <w:r>
        <w:rPr>
          <w:rFonts w:ascii="宋体" w:hAnsi="宋体"/>
          <w:sz w:val="21"/>
        </w:rPr>
        <w:t xml:space="preserve">2</w:t>
      </w:r>
      <w:r>
        <w:rPr>
          <w:rFonts w:hint="eastAsia" w:ascii="宋体" w:hAnsi="宋体"/>
          <w:sz w:val="21"/>
        </w:rPr>
        <w:t xml:space="preserve">名专业技术人员，提供7x24小时不间断服务。</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、保密要求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为确保信息的安全保密，</w:t>
      </w:r>
      <w:r>
        <w:rPr>
          <w:rFonts w:hint="eastAsia" w:ascii="宋体" w:hAnsi="宋体"/>
          <w:sz w:val="21"/>
        </w:rPr>
        <w:t xml:space="preserve">智算云服务</w:t>
      </w:r>
      <w:r>
        <w:rPr>
          <w:rFonts w:hint="eastAsia" w:ascii="宋体" w:hAnsi="宋体"/>
          <w:sz w:val="21"/>
        </w:rPr>
        <w:t xml:space="preserve">商应分别与使用单位以及相关运</w:t>
      </w:r>
      <w:r>
        <w:rPr>
          <w:rFonts w:hint="eastAsia" w:ascii="宋体" w:hAnsi="宋体"/>
          <w:sz w:val="21"/>
        </w:rPr>
        <w:t xml:space="preserve">维人员</w:t>
      </w:r>
      <w:r>
        <w:rPr>
          <w:rFonts w:hint="eastAsia" w:ascii="宋体" w:hAnsi="宋体"/>
          <w:sz w:val="21"/>
        </w:rPr>
        <w:t xml:space="preserve">签署保密协议。</w:t>
      </w:r>
      <w:r/>
    </w:p>
    <w:p>
      <w:pPr>
        <w:ind w:left="0" w:firstLine="420"/>
        <w:spacing w:line="360" w:lineRule="auto"/>
        <w:tabs>
          <w:tab w:val="left" w:pos="567" w:leader="none"/>
        </w:tabs>
        <w:rPr>
          <w:rFonts w:hint="eastAsia" w:ascii="宋体" w:hAnsi="宋体"/>
          <w:sz w:val="21"/>
        </w:rPr>
      </w:pPr>
      <w:r>
        <w:rPr>
          <w:rFonts w:ascii="宋体" w:hAnsi="宋体"/>
          <w:sz w:val="21"/>
        </w:rPr>
        <w:t xml:space="preserve">3</w:t>
      </w:r>
      <w:r>
        <w:rPr>
          <w:rFonts w:hint="eastAsia" w:ascii="宋体" w:hAnsi="宋体"/>
          <w:sz w:val="21"/>
        </w:rPr>
        <w:t xml:space="preserve">、培训要求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人员培训为项目实施关键环节，投标人应组织专业培训以保障</w:t>
      </w:r>
      <w:r>
        <w:rPr>
          <w:rFonts w:hint="eastAsia" w:ascii="宋体" w:hAnsi="宋体"/>
          <w:sz w:val="21"/>
        </w:rPr>
        <w:t xml:space="preserve">智算云服务</w:t>
      </w:r>
      <w:r>
        <w:rPr>
          <w:rFonts w:hint="eastAsia" w:ascii="宋体" w:hAnsi="宋体"/>
          <w:sz w:val="21"/>
        </w:rPr>
        <w:t xml:space="preserve">的可靠运行。培训应依托专业技术知识与实操经验，确保参训人员全面掌握系统软件及设备的使用、维护与管理技能，达到独立开展系统管理、故障排查、日常测试及维护工作的能力，保障项目所供软、硬件产品正常安全运行。</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培训内容应遵循专业化原则，针对系统高可靠性运行需求，围绕技术基础与业务实操开展专项培训，确保相关人员具备支撑日常运行、维护及管理工作的专业能力。</w:t>
      </w:r>
      <w:r/>
    </w:p>
    <w:p>
      <w:pPr>
        <w:ind w:left="0" w:firstLine="420"/>
        <w:spacing w:line="360" w:lineRule="auto"/>
        <w:tabs>
          <w:tab w:val="left" w:pos="567" w:leader="none"/>
        </w:tabs>
        <w:rPr>
          <w:rFonts w:hint="eastAsia" w:ascii="宋体" w:hAnsi="宋体"/>
          <w:sz w:val="21"/>
        </w:rPr>
      </w:pPr>
      <w:r>
        <w:rPr>
          <w:rFonts w:ascii="宋体" w:hAnsi="宋体"/>
          <w:sz w:val="21"/>
        </w:rPr>
        <w:t xml:space="preserve">4</w:t>
      </w:r>
      <w:r>
        <w:rPr>
          <w:rFonts w:hint="eastAsia" w:ascii="宋体" w:hAnsi="宋体"/>
          <w:sz w:val="21"/>
        </w:rPr>
        <w:t xml:space="preserve">、灾难恢复要求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w:t>
      </w:r>
      <w:r>
        <w:rPr>
          <w:rFonts w:hint="eastAsia" w:ascii="宋体" w:hAnsi="宋体"/>
          <w:sz w:val="21"/>
        </w:rPr>
        <w:t xml:space="preserve">服务服务商应制定灾难恢复预案，灾难事件发生后，</w:t>
      </w:r>
      <w:r>
        <w:rPr>
          <w:rFonts w:hint="eastAsia" w:ascii="宋体" w:hAnsi="宋体"/>
          <w:sz w:val="21"/>
        </w:rPr>
        <w:t xml:space="preserve">智算云服务</w:t>
      </w:r>
      <w:r>
        <w:rPr>
          <w:rFonts w:hint="eastAsia" w:ascii="宋体" w:hAnsi="宋体"/>
          <w:sz w:val="21"/>
        </w:rPr>
        <w:t xml:space="preserve">商应立即按照《灾难恢复预案》执行灾难恢复措施。</w:t>
      </w:r>
      <w:r>
        <w:rPr>
          <w:rFonts w:hint="eastAsia" w:ascii="宋体" w:hAnsi="宋体"/>
          <w:sz w:val="21"/>
        </w:rPr>
        <w:t xml:space="preserve">智算云服务</w:t>
      </w:r>
      <w:r>
        <w:rPr>
          <w:rFonts w:hint="eastAsia" w:ascii="宋体" w:hAnsi="宋体"/>
          <w:sz w:val="21"/>
        </w:rPr>
        <w:t xml:space="preserve">商应每年对《灾难恢复预案》进行风险评估，并根据评估结果更新《灾难恢复预案》。</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运</w:t>
      </w:r>
      <w:r>
        <w:rPr>
          <w:rFonts w:hint="eastAsia" w:ascii="宋体" w:hAnsi="宋体"/>
          <w:sz w:val="21"/>
        </w:rPr>
        <w:t xml:space="preserve">维人员</w:t>
      </w:r>
      <w:r>
        <w:rPr>
          <w:rFonts w:hint="eastAsia" w:ascii="宋体" w:hAnsi="宋体"/>
          <w:sz w:val="21"/>
        </w:rPr>
        <w:t xml:space="preserve">具备故障快速定位和恢复能力，故障定位排除时限不超过30分钟，重要业务系统故障定位排除时限不超过10分钟。</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、服务验收标准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项目完工后由采购人根据合同、招标文件、投标文件组织验收。</w:t>
      </w:r>
      <w:r/>
    </w:p>
    <w:p>
      <w:pPr>
        <w:ind w:left="0" w:firstLine="420"/>
        <w:spacing w:line="360" w:lineRule="auto"/>
        <w:tabs>
          <w:tab w:val="left" w:pos="567" w:leader="none"/>
        </w:tabs>
        <w:rPr>
          <w:rFonts w:hint="eastAsia" w:ascii="宋体" w:hAnsi="宋体"/>
          <w:sz w:val="21"/>
        </w:rPr>
      </w:pPr>
      <w:r>
        <w:rPr>
          <w:rFonts w:ascii="宋体" w:hAnsi="宋体"/>
          <w:sz w:val="21"/>
        </w:rPr>
        <w:t xml:space="preserve">6</w:t>
      </w:r>
      <w:r>
        <w:rPr>
          <w:rFonts w:hint="eastAsia" w:ascii="宋体" w:hAnsi="宋体"/>
          <w:sz w:val="21"/>
        </w:rPr>
        <w:t xml:space="preserve">、计量计费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本次招标的采购规模仅作为预算的计算依据，项目的实际采购量据实核算，并以使用单位提出、采购人批准的需求为准。</w:t>
      </w:r>
      <w:r/>
    </w:p>
    <w:p>
      <w:pPr>
        <w:ind w:left="0" w:firstLine="420"/>
        <w:spacing w:line="360" w:lineRule="auto"/>
        <w:tabs>
          <w:tab w:val="left" w:pos="567" w:leader="none"/>
        </w:tabs>
        <w:rPr>
          <w:rFonts w:hint="eastAsia" w:ascii="宋体" w:hAnsi="宋体"/>
          <w:sz w:val="21"/>
        </w:rPr>
      </w:pPr>
      <w:r>
        <w:rPr>
          <w:rFonts w:ascii="宋体" w:hAnsi="宋体"/>
          <w:sz w:val="21"/>
        </w:rPr>
        <w:t xml:space="preserve">7</w:t>
      </w:r>
      <w:r>
        <w:rPr>
          <w:rFonts w:hint="eastAsia" w:ascii="宋体" w:hAnsi="宋体"/>
          <w:sz w:val="21"/>
        </w:rPr>
        <w:t xml:space="preserve">、服务全过程管控要求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采购人有权按照国家、省及</w:t>
      </w:r>
      <w:r>
        <w:rPr>
          <w:rFonts w:hint="eastAsia" w:ascii="宋体" w:hAnsi="宋体"/>
          <w:sz w:val="21"/>
        </w:rPr>
        <w:t xml:space="preserve">市网络</w:t>
      </w:r>
      <w:r>
        <w:rPr>
          <w:rFonts w:hint="eastAsia" w:ascii="宋体" w:hAnsi="宋体"/>
          <w:sz w:val="21"/>
        </w:rPr>
        <w:t xml:space="preserve">安全和信息化等法律法规、通知文件、标准规范、规定要求，对投标人的服务进行全过程管控。</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采购人有权委托第三方机构依据国家相关标准、招投标文件及合同约定，对</w:t>
      </w:r>
      <w:r>
        <w:rPr>
          <w:rFonts w:hint="eastAsia" w:ascii="宋体" w:hAnsi="宋体"/>
          <w:sz w:val="21"/>
        </w:rPr>
        <w:t xml:space="preserve">智算云</w:t>
      </w:r>
      <w:r>
        <w:rPr>
          <w:rFonts w:hint="eastAsia" w:ascii="宋体" w:hAnsi="宋体"/>
          <w:sz w:val="21"/>
        </w:rPr>
        <w:t xml:space="preserve">平台和涉及的系统软件、网络设备、服务器等软硬件设备进行各项功能、性能、技术和安全随机动态抽样测试。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检查方法包括现场抽查、人员访谈、查看日志、文档检查、SLA考核以及包括渗透测试在内的技术检查等。服务基本符合相关要求，采购人出具优化建议书，投标人应于30个日历日内完成优化；服务不符合相关要求的，采购人出具整改通知书，投标人应于30个日历日内完成整改。</w:t>
      </w:r>
      <w:r/>
    </w:p>
    <w:p>
      <w:pPr>
        <w:ind w:left="0" w:firstLine="420"/>
        <w:spacing w:line="360" w:lineRule="auto"/>
        <w:tabs>
          <w:tab w:val="left" w:pos="567" w:leader="none"/>
        </w:tabs>
        <w:rPr>
          <w:rFonts w:hint="eastAsia" w:ascii="宋体" w:hAnsi="宋体"/>
          <w:sz w:val="21"/>
        </w:rPr>
      </w:pPr>
      <w:r>
        <w:rPr>
          <w:rFonts w:ascii="宋体" w:hAnsi="宋体"/>
          <w:sz w:val="21"/>
        </w:rPr>
        <w:t xml:space="preserve">8</w:t>
      </w:r>
      <w:r>
        <w:rPr>
          <w:rFonts w:hint="eastAsia" w:ascii="宋体" w:hAnsi="宋体"/>
          <w:sz w:val="21"/>
        </w:rPr>
        <w:t xml:space="preserve">、服务退出要求</w:t>
      </w:r>
      <w:r/>
    </w:p>
    <w:p>
      <w:pPr>
        <w:ind w:left="0" w:firstLine="422"/>
        <w:spacing w:line="360" w:lineRule="auto"/>
        <w:tabs>
          <w:tab w:val="left" w:pos="567" w:leader="none"/>
        </w:tabs>
        <w:rPr>
          <w:rFonts w:hint="eastAsia" w:ascii="宋体" w:hAnsi="宋体"/>
          <w:color w:val="ff0000"/>
          <w:sz w:val="21"/>
        </w:rPr>
      </w:pPr>
      <w:r>
        <w:rPr>
          <w:rFonts w:hint="eastAsia" w:ascii="宋体" w:hAnsi="宋体"/>
          <w:b/>
          <w:sz w:val="21"/>
        </w:rPr>
        <w:t xml:space="preserve">★</w:t>
      </w:r>
      <w:r>
        <w:rPr>
          <w:rFonts w:hint="eastAsia" w:ascii="宋体" w:hAnsi="宋体"/>
          <w:b/>
          <w:sz w:val="21"/>
        </w:rPr>
        <w:t xml:space="preserve">智算云服务</w:t>
      </w:r>
      <w:r>
        <w:rPr>
          <w:rFonts w:hint="eastAsia" w:ascii="宋体" w:hAnsi="宋体"/>
          <w:b/>
          <w:sz w:val="21"/>
        </w:rPr>
        <w:t xml:space="preserve">商</w:t>
      </w:r>
      <w:r>
        <w:rPr>
          <w:rFonts w:hint="eastAsia" w:ascii="宋体" w:hAnsi="宋体"/>
          <w:b/>
          <w:sz w:val="21"/>
        </w:rPr>
        <w:t xml:space="preserve">（中标人</w:t>
      </w:r>
      <w:r>
        <w:rPr>
          <w:rFonts w:hint="eastAsia" w:ascii="宋体" w:hAnsi="宋体"/>
          <w:b/>
          <w:sz w:val="21"/>
        </w:rPr>
        <w:t xml:space="preserve">）</w:t>
      </w:r>
      <w:r>
        <w:rPr>
          <w:rFonts w:hint="eastAsia" w:ascii="宋体" w:hAnsi="宋体"/>
          <w:b/>
          <w:sz w:val="21"/>
        </w:rPr>
        <w:t xml:space="preserve">应承诺：</w:t>
      </w:r>
      <w:r>
        <w:rPr>
          <w:rFonts w:hint="eastAsia" w:ascii="宋体" w:hAnsi="宋体"/>
          <w:b/>
          <w:sz w:val="21"/>
        </w:rPr>
        <w:t xml:space="preserve">本项目</w:t>
      </w:r>
      <w:r>
        <w:rPr>
          <w:rFonts w:hint="eastAsia" w:ascii="宋体" w:hAnsi="宋体"/>
          <w:b/>
          <w:sz w:val="21"/>
        </w:rPr>
        <w:t xml:space="preserve">服务期满后，若有需要，</w:t>
      </w:r>
      <w:r>
        <w:rPr>
          <w:rFonts w:hint="eastAsia" w:ascii="宋体" w:hAnsi="宋体"/>
          <w:b/>
          <w:sz w:val="21"/>
        </w:rPr>
        <w:t xml:space="preserve">应</w:t>
      </w:r>
      <w:r>
        <w:rPr>
          <w:rFonts w:hint="eastAsia" w:ascii="宋体" w:hAnsi="宋体"/>
          <w:b/>
          <w:sz w:val="21"/>
        </w:rPr>
        <w:t xml:space="preserve">配合制定数据和应用系统迁移出</w:t>
      </w:r>
      <w:r>
        <w:rPr>
          <w:rFonts w:hint="eastAsia" w:ascii="宋体" w:hAnsi="宋体"/>
          <w:b/>
          <w:sz w:val="21"/>
        </w:rPr>
        <w:t xml:space="preserve">智算云</w:t>
      </w:r>
      <w:r>
        <w:rPr>
          <w:rFonts w:hint="eastAsia" w:ascii="宋体" w:hAnsi="宋体"/>
          <w:b/>
          <w:sz w:val="21"/>
        </w:rPr>
        <w:t xml:space="preserve">平台的接口和方案，完整返还存储在平台的上数据，退出服务后承担保密责任，按要求彻底清除数据。</w:t>
      </w:r>
      <w:r>
        <w:rPr>
          <w:rFonts w:hint="eastAsia" w:ascii="宋体" w:hAnsi="宋体"/>
          <w:b/>
          <w:sz w:val="21"/>
        </w:rPr>
        <w:t xml:space="preserve">（投标文件中须提供相关内容承诺函并加盖投标单位公章，承诺函格式自拟，未提供或未按要求提供视为非实质性响应，按无效投标处理。）</w:t>
      </w:r>
      <w:r/>
    </w:p>
    <w:p>
      <w:pPr>
        <w:ind w:left="0" w:firstLine="420"/>
        <w:spacing w:line="360" w:lineRule="auto"/>
        <w:tabs>
          <w:tab w:val="left" w:pos="567" w:leader="none"/>
        </w:tabs>
        <w:rPr>
          <w:rFonts w:hint="eastAsia" w:ascii="宋体" w:hAnsi="宋体"/>
          <w:sz w:val="21"/>
        </w:rPr>
      </w:pPr>
      <w:r>
        <w:rPr>
          <w:rFonts w:ascii="宋体" w:hAnsi="宋体"/>
          <w:sz w:val="21"/>
        </w:rPr>
        <w:t xml:space="preserve">9</w:t>
      </w:r>
      <w:r>
        <w:rPr>
          <w:rFonts w:hint="eastAsia" w:ascii="宋体" w:hAnsi="宋体"/>
          <w:sz w:val="21"/>
        </w:rPr>
        <w:t xml:space="preserve">、其他要求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本项目所配置的设备功能和性能应以满足本项目所有应用系统的高效运行为准则，如产生性能瓶颈、端口不足或功能受限，由人工智能政务应用</w:t>
      </w:r>
      <w:r>
        <w:rPr>
          <w:rFonts w:hint="eastAsia" w:ascii="宋体" w:hAnsi="宋体"/>
          <w:sz w:val="21"/>
        </w:rPr>
        <w:t xml:space="preserve">智算云</w:t>
      </w:r>
      <w:r>
        <w:rPr>
          <w:rFonts w:hint="eastAsia" w:ascii="宋体" w:hAnsi="宋体"/>
          <w:sz w:val="21"/>
        </w:rPr>
        <w:t xml:space="preserve">服务服务商自行升级扩展。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如招标文件中遗漏了应具备的设备、配件或服务，请投标人在投标文件中指出，并提出解决方案供采购人、采购机构参考。</w:t>
      </w:r>
      <w:r/>
    </w:p>
    <w:p>
      <w:pPr>
        <w:ind w:left="0" w:firstLine="422"/>
        <w:spacing w:line="360" w:lineRule="auto"/>
        <w:tabs>
          <w:tab w:val="left" w:pos="567" w:leader="none"/>
        </w:tabs>
        <w:rPr>
          <w:rFonts w:hint="eastAsia" w:ascii="宋体" w:hAnsi="宋体"/>
          <w:color w:val="ff0000"/>
          <w:sz w:val="21"/>
        </w:rPr>
      </w:pPr>
      <w:r>
        <w:rPr>
          <w:rFonts w:hint="eastAsia" w:ascii="宋体" w:hAnsi="宋体"/>
          <w:b/>
          <w:sz w:val="21"/>
        </w:rPr>
        <w:t xml:space="preserve">★知识产权：投标人承诺负责本项目所涉及的全部知识产权问题。</w:t>
      </w:r>
      <w:r>
        <w:rPr>
          <w:rFonts w:hint="eastAsia" w:ascii="宋体" w:hAnsi="宋体"/>
          <w:b/>
          <w:sz w:val="21"/>
        </w:rPr>
        <w:t xml:space="preserve">（投标文件中须提供相关内容承诺函并加盖投标单位公章，承诺函格式自拟，未提供或未按要求提供视为非实质性响应，按无效投标处理。）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未尽事宜执行最新国家或行业相关标准及规范。</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（五）商务条款</w:t>
      </w:r>
      <w:r/>
    </w:p>
    <w:p>
      <w:pPr>
        <w:ind w:left="0" w:firstLine="420"/>
        <w:spacing w:line="360" w:lineRule="auto"/>
        <w:tabs>
          <w:tab w:val="left" w:pos="567" w:leader="none"/>
        </w:tabs>
        <w:rPr>
          <w:rFonts w:hint="eastAsia" w:ascii="宋体" w:hAnsi="宋体"/>
          <w:sz w:val="21"/>
        </w:rPr>
      </w:pPr>
      <w:r>
        <w:rPr>
          <w:rFonts w:ascii="宋体" w:hAnsi="宋体"/>
          <w:sz w:val="21"/>
        </w:rPr>
        <w:t xml:space="preserve">1</w:t>
      </w:r>
      <w:r>
        <w:rPr>
          <w:rFonts w:hint="eastAsia" w:ascii="宋体" w:hAnsi="宋体"/>
          <w:sz w:val="21"/>
        </w:rPr>
        <w:t xml:space="preserve">、报价要求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本项目服务目录</w:t>
      </w:r>
      <w:r>
        <w:rPr>
          <w:rFonts w:hint="eastAsia" w:ascii="宋体" w:hAnsi="宋体"/>
          <w:sz w:val="21"/>
        </w:rPr>
        <w:t xml:space="preserve">参照</w:t>
      </w:r>
      <w:r>
        <w:rPr>
          <w:rFonts w:hint="eastAsia" w:ascii="宋体" w:hAnsi="宋体"/>
          <w:sz w:val="21"/>
        </w:rPr>
        <w:t xml:space="preserve">吴中区人工智能政务应用</w:t>
      </w:r>
      <w:r>
        <w:rPr>
          <w:rFonts w:hint="eastAsia" w:ascii="宋体" w:hAnsi="宋体"/>
          <w:sz w:val="21"/>
        </w:rPr>
        <w:t xml:space="preserve">智算云服务</w:t>
      </w:r>
      <w:r>
        <w:rPr>
          <w:rFonts w:hint="eastAsia" w:ascii="宋体" w:hAnsi="宋体"/>
          <w:sz w:val="21"/>
        </w:rPr>
        <w:t xml:space="preserve">采购目录</w:t>
      </w:r>
      <w:r>
        <w:rPr>
          <w:rFonts w:hint="eastAsia" w:ascii="宋体" w:hAnsi="宋体"/>
          <w:sz w:val="21"/>
        </w:rPr>
        <w:t xml:space="preserve">（详见《六、服务目录》）</w:t>
      </w:r>
      <w:r>
        <w:rPr>
          <w:rFonts w:hint="eastAsia" w:ascii="宋体" w:hAnsi="宋体"/>
          <w:sz w:val="21"/>
        </w:rPr>
        <w:t xml:space="preserve">，本次招标对服务采购目录的服务内容以及收费标准一并认定。投标人所报价格应包含为完成本项目所需的一切费用。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2、服务期限及服务地点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服务期限：一年。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服务地点：招标人指定地点。</w:t>
      </w:r>
      <w:r/>
    </w:p>
    <w:p>
      <w:pPr>
        <w:ind w:left="0" w:firstLine="420"/>
        <w:spacing w:line="360" w:lineRule="auto"/>
        <w:tabs>
          <w:tab w:val="left" w:pos="567" w:leader="none"/>
        </w:tabs>
        <w:rPr>
          <w:rFonts w:hint="eastAsia" w:ascii="宋体" w:hAnsi="宋体"/>
          <w:sz w:val="21"/>
        </w:rPr>
      </w:pPr>
      <w:r>
        <w:rPr>
          <w:rFonts w:ascii="宋体" w:hAnsi="宋体"/>
          <w:sz w:val="21"/>
        </w:rPr>
        <w:t xml:space="preserve">3</w:t>
      </w:r>
      <w:r>
        <w:rPr>
          <w:rFonts w:hint="eastAsia" w:ascii="宋体" w:hAnsi="宋体"/>
          <w:sz w:val="21"/>
        </w:rPr>
        <w:t xml:space="preserve">、服务费结算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本项目服务费用以各单项实际使用量据实结算。合同签订后，招标人使用</w:t>
      </w:r>
      <w:r>
        <w:rPr>
          <w:rFonts w:hint="eastAsia" w:ascii="宋体" w:hAnsi="宋体"/>
          <w:sz w:val="21"/>
        </w:rPr>
        <w:t xml:space="preserve">智算云</w:t>
      </w:r>
      <w:r>
        <w:rPr>
          <w:rFonts w:hint="eastAsia" w:ascii="宋体" w:hAnsi="宋体"/>
          <w:sz w:val="21"/>
        </w:rPr>
        <w:t xml:space="preserve">服务，按照实际使用的服务项目、数量、时长、单价和优惠率计算</w:t>
      </w:r>
      <w:r>
        <w:rPr>
          <w:rFonts w:hint="eastAsia" w:ascii="宋体" w:hAnsi="宋体"/>
          <w:sz w:val="21"/>
        </w:rPr>
        <w:t xml:space="preserve">智算云</w:t>
      </w:r>
      <w:r>
        <w:rPr>
          <w:rFonts w:hint="eastAsia" w:ascii="宋体" w:hAnsi="宋体"/>
          <w:sz w:val="21"/>
        </w:rPr>
        <w:t xml:space="preserve">服务费。</w:t>
      </w:r>
      <w:r/>
    </w:p>
    <w:p>
      <w:pPr>
        <w:ind w:left="0" w:firstLine="420"/>
        <w:spacing w:line="360" w:lineRule="auto"/>
        <w:tabs>
          <w:tab w:val="left" w:pos="567" w:leader="none"/>
        </w:tabs>
        <w:rPr>
          <w:rFonts w:hint="eastAsia" w:ascii="宋体" w:hAnsi="宋体"/>
          <w:sz w:val="21"/>
        </w:rPr>
      </w:pPr>
      <w:r>
        <w:rPr>
          <w:rFonts w:ascii="宋体" w:hAnsi="宋体"/>
          <w:sz w:val="21"/>
        </w:rPr>
        <w:t xml:space="preserve">4</w:t>
      </w:r>
      <w:r>
        <w:rPr>
          <w:rFonts w:hint="eastAsia" w:ascii="宋体" w:hAnsi="宋体"/>
          <w:sz w:val="21"/>
        </w:rPr>
        <w:t xml:space="preserve">、服务水平和质量考核要求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招标人通过制定</w:t>
      </w:r>
      <w:r>
        <w:rPr>
          <w:rFonts w:hint="eastAsia" w:ascii="宋体" w:hAnsi="宋体"/>
          <w:sz w:val="21"/>
        </w:rPr>
        <w:t xml:space="preserve">智算云</w:t>
      </w:r>
      <w:r>
        <w:rPr>
          <w:rFonts w:hint="eastAsia" w:ascii="宋体" w:hAnsi="宋体"/>
          <w:sz w:val="21"/>
        </w:rPr>
        <w:t xml:space="preserve">《云服务质量考核标准》《云服务满意度评价表》及后续相关信息化管理办法规定对</w:t>
      </w:r>
      <w:r>
        <w:rPr>
          <w:rFonts w:hint="eastAsia" w:ascii="宋体" w:hAnsi="宋体"/>
          <w:sz w:val="21"/>
        </w:rPr>
        <w:t xml:space="preserve">智算云服务</w:t>
      </w:r>
      <w:r>
        <w:rPr>
          <w:rFonts w:hint="eastAsia" w:ascii="宋体" w:hAnsi="宋体"/>
          <w:sz w:val="21"/>
        </w:rPr>
        <w:t xml:space="preserve">商进行考核，相关考核细则在合同签订时进行约定。考核结果与云服务费挂钩，考核结果作为支付服务费、扣减服务费的依据。</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智算云服务</w:t>
      </w:r>
      <w:r>
        <w:rPr>
          <w:rFonts w:hint="eastAsia" w:ascii="宋体" w:hAnsi="宋体"/>
          <w:sz w:val="21"/>
        </w:rPr>
        <w:t xml:space="preserve">商应建立服务质量自我检查制度，定期对服务质量进行检查，对发现的问题及时予以纠正和处理。</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、付款方式：</w:t>
      </w:r>
      <w:r>
        <w:rPr>
          <w:rFonts w:hint="eastAsia" w:ascii="宋体" w:hAnsi="宋体"/>
          <w:sz w:val="21"/>
        </w:rPr>
        <w:t xml:space="preserve">合同签订后，乙方向甲方开具发票，甲方自收到发票之日起30日内支付合同总价10%的预付款。剩余费用先用后付的方式，服务满6个月，乙方提供上半年云服务费用（即合同总价的4</w:t>
      </w:r>
      <w:r>
        <w:rPr>
          <w:rFonts w:ascii="宋体" w:hAnsi="宋体"/>
          <w:sz w:val="21"/>
        </w:rPr>
        <w:t xml:space="preserve">0</w:t>
      </w:r>
      <w:r>
        <w:rPr>
          <w:rFonts w:hint="eastAsia" w:ascii="宋体" w:hAnsi="宋体"/>
          <w:sz w:val="21"/>
        </w:rPr>
        <w:t xml:space="preserve">%，不含已支付的1</w:t>
      </w:r>
      <w:r>
        <w:rPr>
          <w:rFonts w:ascii="宋体" w:hAnsi="宋体"/>
          <w:sz w:val="21"/>
        </w:rPr>
        <w:t xml:space="preserve">0</w:t>
      </w:r>
      <w:r>
        <w:rPr>
          <w:rFonts w:hint="eastAsia" w:ascii="宋体" w:hAnsi="宋体"/>
          <w:sz w:val="21"/>
        </w:rPr>
        <w:t xml:space="preserve">%预付款）的计价单及发票，甲方支付上半年的云服务费用。服务满12个月，乙方提供下半年云服务费用（即合同总价的</w:t>
      </w:r>
      <w:r>
        <w:rPr>
          <w:rFonts w:ascii="宋体" w:hAnsi="宋体"/>
          <w:sz w:val="21"/>
        </w:rPr>
        <w:t xml:space="preserve">50</w:t>
      </w:r>
      <w:r>
        <w:rPr>
          <w:rFonts w:hint="eastAsia" w:ascii="宋体" w:hAnsi="宋体"/>
          <w:sz w:val="21"/>
        </w:rPr>
        <w:t xml:space="preserve">%）的计价单及发票，甲方支付下半年的云服务费用。</w:t>
      </w:r>
      <w:r/>
    </w:p>
    <w:p>
      <w:pPr>
        <w:ind w:left="0" w:firstLine="420"/>
        <w:spacing w:line="360" w:lineRule="auto"/>
        <w:tabs>
          <w:tab w:val="left" w:pos="567" w:leader="none"/>
        </w:tabs>
        <w:rPr>
          <w:rFonts w:hint="eastAsia" w:ascii="宋体" w:hAnsi="宋体"/>
          <w:sz w:val="21"/>
        </w:rPr>
      </w:pPr>
      <w:r>
        <w:rPr>
          <w:rFonts w:ascii="宋体" w:hAnsi="宋体"/>
          <w:sz w:val="21"/>
        </w:rPr>
        <w:t xml:space="preserve">6</w:t>
      </w:r>
      <w:r>
        <w:rPr>
          <w:rFonts w:hint="eastAsia" w:ascii="宋体" w:hAnsi="宋体"/>
          <w:sz w:val="21"/>
        </w:rPr>
        <w:t xml:space="preserve">、合同及项目验收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中标人应在签订合同后4</w:t>
      </w:r>
      <w:r>
        <w:rPr>
          <w:rFonts w:ascii="宋体" w:hAnsi="宋体"/>
          <w:sz w:val="21"/>
        </w:rPr>
        <w:t xml:space="preserve">5</w:t>
      </w:r>
      <w:r>
        <w:rPr>
          <w:rFonts w:hint="eastAsia" w:ascii="宋体" w:hAnsi="宋体"/>
          <w:sz w:val="21"/>
        </w:rPr>
        <w:t xml:space="preserve">日历天</w:t>
      </w:r>
      <w:r>
        <w:rPr>
          <w:rFonts w:hint="eastAsia" w:ascii="宋体" w:hAnsi="宋体"/>
          <w:sz w:val="21"/>
        </w:rPr>
        <w:t xml:space="preserve">内完成</w:t>
      </w:r>
      <w:r>
        <w:rPr>
          <w:rFonts w:hint="eastAsia" w:ascii="宋体" w:hAnsi="宋体"/>
          <w:sz w:val="21"/>
        </w:rPr>
        <w:t xml:space="preserve">智算云</w:t>
      </w:r>
      <w:r>
        <w:rPr>
          <w:rFonts w:hint="eastAsia" w:ascii="宋体" w:hAnsi="宋体"/>
          <w:sz w:val="21"/>
        </w:rPr>
        <w:t xml:space="preserve">的建设、测试等工作，具备服务能力并通过招标人组织的服务能力验收，且平台资源量应满足吴中区全</w:t>
      </w:r>
      <w:r>
        <w:rPr>
          <w:rFonts w:hint="eastAsia" w:ascii="宋体" w:hAnsi="宋体"/>
          <w:sz w:val="21"/>
        </w:rPr>
        <w:t xml:space="preserve">量资源</w:t>
      </w:r>
      <w:r>
        <w:rPr>
          <w:rFonts w:hint="eastAsia" w:ascii="宋体" w:hAnsi="宋体"/>
          <w:sz w:val="21"/>
        </w:rPr>
        <w:t xml:space="preserve">需求。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7、管理平台接口对接要求</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★为了满足苏州市一朵云监管平台的建设，</w:t>
      </w:r>
      <w:r>
        <w:rPr>
          <w:rFonts w:hint="eastAsia" w:ascii="宋体" w:hAnsi="宋体"/>
          <w:b/>
          <w:sz w:val="21"/>
        </w:rPr>
        <w:t xml:space="preserve">智算云服务</w:t>
      </w:r>
      <w:r>
        <w:rPr>
          <w:rFonts w:hint="eastAsia" w:ascii="宋体" w:hAnsi="宋体"/>
          <w:b/>
          <w:sz w:val="21"/>
        </w:rPr>
        <w:t xml:space="preserve">商</w:t>
      </w:r>
      <w:r>
        <w:rPr>
          <w:rFonts w:hint="eastAsia" w:ascii="宋体" w:hAnsi="宋体"/>
          <w:b/>
          <w:sz w:val="21"/>
        </w:rPr>
        <w:t xml:space="preserve">（即中标</w:t>
      </w:r>
      <w:r>
        <w:rPr>
          <w:rFonts w:hint="eastAsia" w:ascii="宋体" w:hAnsi="宋体"/>
          <w:b/>
          <w:sz w:val="21"/>
        </w:rPr>
        <w:t xml:space="preserve">人</w:t>
      </w:r>
      <w:r>
        <w:rPr>
          <w:rFonts w:hint="eastAsia" w:ascii="宋体" w:hAnsi="宋体"/>
          <w:b/>
          <w:sz w:val="21"/>
        </w:rPr>
        <w:t xml:space="preserve">）</w:t>
      </w:r>
      <w:r>
        <w:rPr>
          <w:rFonts w:hint="eastAsia" w:ascii="宋体" w:hAnsi="宋体"/>
          <w:b/>
          <w:sz w:val="21"/>
        </w:rPr>
        <w:t xml:space="preserve">应承诺在服务期内支持本项目</w:t>
      </w:r>
      <w:r>
        <w:rPr>
          <w:rFonts w:hint="eastAsia" w:ascii="宋体" w:hAnsi="宋体"/>
          <w:b/>
          <w:sz w:val="21"/>
        </w:rPr>
        <w:t xml:space="preserve">云服务</w:t>
      </w:r>
      <w:r>
        <w:rPr>
          <w:rFonts w:hint="eastAsia" w:ascii="宋体" w:hAnsi="宋体"/>
          <w:b/>
          <w:sz w:val="21"/>
        </w:rPr>
        <w:t xml:space="preserve">平台与上级主管单位统一管理平台的接口对接，配合管理平台接口规范的制定、开发和适配联调等工作。</w:t>
      </w:r>
      <w:r>
        <w:rPr>
          <w:rFonts w:hint="eastAsia" w:ascii="宋体" w:hAnsi="宋体"/>
          <w:b/>
          <w:sz w:val="21"/>
        </w:rPr>
        <w:t xml:space="preserve">（投标文件中须提供相关内容承诺函并加盖投标单位公章，承诺函格式自拟，未提供或未按要求提供视为非实质性响应，按无效投标处理。）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8、履约验收基本要求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（2）采购文件、投标</w:t>
      </w:r>
      <w:r>
        <w:rPr>
          <w:rFonts w:hint="eastAsia" w:ascii="宋体" w:hAnsi="宋体"/>
          <w:sz w:val="21"/>
        </w:rPr>
        <w:t xml:space="preserve">文件、政府采购合同等是履约验收工作的重要依据。在政府采购合同约定的履行验收条件达到时，</w:t>
      </w:r>
      <w:r>
        <w:rPr>
          <w:rFonts w:hint="eastAsia" w:ascii="宋体" w:hAnsi="宋体"/>
          <w:sz w:val="21"/>
        </w:rPr>
        <w:t xml:space="preserve">中标人</w:t>
      </w:r>
      <w:r>
        <w:rPr>
          <w:rFonts w:hint="eastAsia" w:ascii="宋体" w:hAnsi="宋体"/>
          <w:sz w:val="21"/>
        </w:rPr>
        <w:t xml:space="preserve">可以主动联系采购人启动履约验收工作。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w:t>
      </w:r>
      <w:r>
        <w:rPr>
          <w:rFonts w:hint="eastAsia" w:ascii="宋体" w:hAnsi="宋体"/>
          <w:sz w:val="21"/>
        </w:rPr>
        <w:t xml:space="preserve">实施情况进行分期考核，综合考核情况和服务效果进行验收。中标人</w:t>
      </w:r>
      <w:r>
        <w:rPr>
          <w:rFonts w:hint="eastAsia" w:ascii="宋体" w:hAnsi="宋体"/>
          <w:sz w:val="21"/>
        </w:rPr>
        <w:t xml:space="preserve">应根据验收方案内容做好相应配合工作。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567" w:leader="none"/>
        </w:tabs>
        <w:rPr>
          <w:rFonts w:hint="eastAsia" w:ascii="宋体" w:hAnsi="宋体"/>
          <w:sz w:val="21"/>
        </w:rPr>
      </w:pPr>
      <w:r>
        <w:rPr>
          <w:rFonts w:ascii="宋体" w:hAnsi="宋体"/>
          <w:sz w:val="21"/>
        </w:rPr>
        <w:t xml:space="preserve">9</w:t>
      </w:r>
      <w:r>
        <w:rPr>
          <w:rFonts w:hint="eastAsia" w:ascii="宋体" w:hAnsi="宋体"/>
          <w:sz w:val="21"/>
        </w:rPr>
        <w:t xml:space="preserve">、其他要求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投标人应当按照招标文件的要求编制投标文件，并对其提交的投标文件的真实性、合法性承担法律责任。</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w:t>
      </w:r>
      <w:r>
        <w:rPr>
          <w:rFonts w:hint="eastAsia" w:ascii="宋体" w:hAnsi="宋体"/>
          <w:b/>
          <w:sz w:val="21"/>
        </w:rPr>
        <w:t xml:space="preserve">服务目录</w:t>
      </w:r>
      <w:r/>
    </w:p>
    <w:p>
      <w:pPr>
        <w:pStyle w:val="1001"/>
        <w:ind w:left="0" w:firstLine="0"/>
        <w:jc w:val="center"/>
        <w:rPr>
          <w:b/>
          <w:bCs/>
        </w:rPr>
      </w:pPr>
      <w:r>
        <w:rPr>
          <w:rFonts w:hint="eastAsia"/>
          <w:b/>
          <w:bCs/>
        </w:rPr>
        <w:t xml:space="preserve">智算云服务</w:t>
      </w:r>
      <w:r>
        <w:rPr>
          <w:rFonts w:hint="eastAsia"/>
          <w:b/>
          <w:bCs/>
        </w:rPr>
        <w:t xml:space="preserve">目录</w:t>
      </w:r>
      <w:r/>
    </w:p>
    <w:tbl>
      <w:tblPr>
        <w:tblW w:w="5000" w:type="pct"/>
        <w:tblLook w:val="04A0" w:firstRow="1" w:lastRow="0" w:firstColumn="1" w:lastColumn="0" w:noHBand="0" w:noVBand="1"/>
      </w:tblPr>
      <w:tblGrid>
        <w:gridCol w:w="785"/>
        <w:gridCol w:w="2028"/>
        <w:gridCol w:w="660"/>
        <w:gridCol w:w="1084"/>
        <w:gridCol w:w="1119"/>
        <w:gridCol w:w="4178"/>
      </w:tblGrid>
      <w:tr>
        <w:trPr>
          <w:trHeight w:val="295"/>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jc w:val="center"/>
              <w:rPr>
                <w:rFonts w:hint="eastAsia" w:ascii="仿宋_GB2312" w:hAnsi="等线" w:eastAsia="仿宋_GB2312"/>
                <w:b/>
                <w:bCs/>
                <w:color w:val="000000"/>
              </w:rPr>
            </w:pPr>
            <w:r>
              <w:rPr>
                <w:rFonts w:hint="eastAsia" w:ascii="仿宋_GB2312" w:hAnsi="等线" w:eastAsia="仿宋_GB2312"/>
                <w:b/>
                <w:bCs/>
                <w:color w:val="000000"/>
              </w:rPr>
              <w:t xml:space="preserve">服务项</w:t>
            </w:r>
            <w:r/>
          </w:p>
        </w:tc>
        <w:tc>
          <w:tcPr>
            <w:shd w:val="clear" w:color="auto" w:fill="auto"/>
            <w:tcBorders>
              <w:top w:val="single" w:color="auto"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b/>
                <w:bCs/>
                <w:color w:val="000000"/>
              </w:rPr>
            </w:pPr>
            <w:r>
              <w:rPr>
                <w:rFonts w:hint="eastAsia" w:ascii="仿宋_GB2312" w:hAnsi="等线" w:eastAsia="仿宋_GB2312"/>
                <w:b/>
                <w:bCs/>
                <w:color w:val="000000"/>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b/>
                <w:bCs/>
                <w:color w:val="000000"/>
              </w:rPr>
            </w:pPr>
            <w:r>
              <w:rPr>
                <w:rFonts w:hint="eastAsia" w:ascii="仿宋_GB2312" w:hAnsi="等线" w:eastAsia="仿宋_GB2312"/>
                <w:b/>
                <w:bCs/>
                <w:color w:val="000000"/>
              </w:rPr>
              <w:t xml:space="preserve">计费要素</w:t>
            </w:r>
            <w:r/>
          </w:p>
        </w:tc>
        <w:tc>
          <w:tcPr>
            <w:shd w:val="clear" w:color="auto" w:fill="auto"/>
            <w:tcBorders>
              <w:top w:val="single" w:color="auto"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b/>
                <w:bCs/>
                <w:color w:val="000000"/>
              </w:rPr>
            </w:pPr>
            <w:r>
              <w:rPr>
                <w:rFonts w:hint="eastAsia" w:ascii="仿宋_GB2312" w:hAnsi="等线" w:eastAsia="仿宋_GB2312"/>
                <w:b/>
                <w:bCs/>
                <w:color w:val="000000"/>
              </w:rPr>
              <w:t xml:space="preserve">目录限价（元）/月</w:t>
            </w:r>
            <w:r/>
          </w:p>
        </w:tc>
        <w:tc>
          <w:tcPr>
            <w:shd w:val="clear" w:color="auto" w:fill="auto"/>
            <w:tcBorders>
              <w:top w:val="single" w:color="auto"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b/>
                <w:bCs/>
                <w:color w:val="000000"/>
              </w:rPr>
            </w:pPr>
            <w:r>
              <w:rPr>
                <w:rFonts w:hint="eastAsia" w:ascii="仿宋_GB2312" w:hAnsi="等线" w:eastAsia="仿宋_GB2312"/>
                <w:b/>
                <w:bCs/>
                <w:color w:val="000000"/>
              </w:rPr>
              <w:t xml:space="preserve">目录限价（元）/年</w:t>
            </w:r>
            <w:r/>
          </w:p>
        </w:tc>
        <w:tc>
          <w:tcPr>
            <w:shd w:val="clear" w:color="auto" w:fill="auto"/>
            <w:tcBorders>
              <w:top w:val="single" w:color="auto" w:sz="4" w:space="0"/>
              <w:left w:val="none" w:color="000000" w:sz="4" w:space="0"/>
              <w:bottom w:val="single" w:color="auto" w:sz="4" w:space="0"/>
              <w:right w:val="single" w:color="auto" w:sz="4" w:space="0"/>
            </w:tcBorders>
            <w:tcW w:w="2120" w:type="pct"/>
            <w:vAlign w:val="center"/>
            <w:textDirection w:val="lrTb"/>
            <w:noWrap w:val="false"/>
          </w:tcPr>
          <w:p>
            <w:pPr>
              <w:ind w:left="0"/>
              <w:jc w:val="center"/>
              <w:rPr>
                <w:rFonts w:hint="eastAsia" w:ascii="仿宋_GB2312" w:hAnsi="等线" w:eastAsia="仿宋_GB2312"/>
                <w:b/>
                <w:bCs/>
                <w:color w:val="000000"/>
              </w:rPr>
            </w:pPr>
            <w:r>
              <w:rPr>
                <w:rFonts w:hint="eastAsia" w:ascii="仿宋_GB2312" w:hAnsi="等线" w:eastAsia="仿宋_GB2312"/>
                <w:b/>
                <w:bCs/>
                <w:color w:val="000000"/>
              </w:rPr>
              <w:t xml:space="preserve">服务说明</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t xml:space="preserve">GPU云服务器</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 卡 GPU 64G显存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108000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16核32G，CPU主频≥2.6Hz，默认提供≥40GB系统盘，单卡</w:t>
            </w:r>
            <w:r>
              <w:rPr>
                <w:rFonts w:hint="eastAsia" w:ascii="仿宋_GB2312" w:hAnsi="等线" w:eastAsia="仿宋_GB2312"/>
                <w:color w:val="000000"/>
              </w:rPr>
              <w:t xml:space="preserve">提供算力</w:t>
            </w:r>
            <w:r>
              <w:rPr>
                <w:rFonts w:hint="eastAsia" w:ascii="仿宋_GB2312" w:hAnsi="等线" w:eastAsia="仿宋_GB2312"/>
                <w:color w:val="000000"/>
              </w:rPr>
              <w:t xml:space="preserve">≥FP16 0.275PFLOPS</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 卡 GPU 64G显存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21600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259200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32核128G，CPU主频≥2.6Hz，默认提供≥40GB 系统盘，单卡</w:t>
            </w:r>
            <w:r>
              <w:rPr>
                <w:rFonts w:hint="eastAsia" w:ascii="仿宋_GB2312" w:hAnsi="等线" w:eastAsia="仿宋_GB2312"/>
                <w:color w:val="000000"/>
              </w:rPr>
              <w:t xml:space="preserve">提供算力</w:t>
            </w:r>
            <w:r>
              <w:rPr>
                <w:rFonts w:hint="eastAsia" w:ascii="仿宋_GB2312" w:hAnsi="等线" w:eastAsia="仿宋_GB2312"/>
                <w:color w:val="000000"/>
              </w:rPr>
              <w:t xml:space="preserve">≥FP16 0.275PFLOPS</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 卡 GPU 64G显存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46800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561600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96核256GiB，CPU主频≥2.6Hz，默认提供≥40GB 系统盘，单卡</w:t>
            </w:r>
            <w:r>
              <w:rPr>
                <w:rFonts w:hint="eastAsia" w:ascii="仿宋_GB2312" w:hAnsi="等线" w:eastAsia="仿宋_GB2312"/>
                <w:color w:val="000000"/>
              </w:rPr>
              <w:t xml:space="preserve">提供算力</w:t>
            </w:r>
            <w:r>
              <w:rPr>
                <w:rFonts w:hint="eastAsia" w:ascii="仿宋_GB2312" w:hAnsi="等线" w:eastAsia="仿宋_GB2312"/>
                <w:color w:val="000000"/>
              </w:rPr>
              <w:t xml:space="preserve">≥FP16 0.275PFLOPS</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通用云服务器</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1核1GB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w:t>
            </w:r>
            <w:r/>
          </w:p>
        </w:tc>
        <w:tc>
          <w:tcPr>
            <w:shd w:val="clear" w:color="auto" w:fill="auto"/>
            <w:tcBorders>
              <w:top w:val="none" w:color="000000" w:sz="4" w:space="0"/>
              <w:left w:val="single" w:color="auto" w:sz="4" w:space="0"/>
              <w:bottom w:val="single" w:color="auto" w:sz="4" w:space="0"/>
              <w:right w:val="single" w:color="auto" w:sz="4" w:space="0"/>
            </w:tcBorders>
            <w:tcW w:w="212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CPU主频≥2.1GHz，win系统盘默认60GB、非win系统盘默认40GB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1核2GB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90.42</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1085</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1核4GB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160.42</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1925</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1核8GB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300.42</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3605</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2核4GB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180.84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2170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2核8GB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320.84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3850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2核16GB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600.84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7210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4核4GB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221.67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2660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4核8GB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361.67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4340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4核16GB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641.67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7700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4核32GB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1201.67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14420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6核8GB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402.5</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4830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6核24GB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962.5</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11550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8核8GB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443.34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5320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8核10GB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513.34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6160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8核16GB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8680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8核32GB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1283.34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15400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8核64GB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2403.34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28840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12核24GB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1085</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13020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12核32GB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1365</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16380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16核24GB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1166.67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14000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16核32GB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1446.67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17360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16核64GB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2566.67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30800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16核128GB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4806.67</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57680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24核24GB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1330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15960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24核64GB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2730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32760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32核32GB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1773.34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21280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32核64GB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2893.34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34720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32核96GB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4013.34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48160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32核128GB</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5133.34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61600</w:t>
            </w:r>
            <w:r/>
          </w:p>
        </w:tc>
        <w:tc>
          <w:tcPr>
            <w:tcBorders>
              <w:top w:val="none" w:color="000000" w:sz="4" w:space="0"/>
              <w:left w:val="single" w:color="auto" w:sz="4" w:space="0"/>
              <w:bottom w:val="single" w:color="auto" w:sz="4" w:space="0"/>
              <w:right w:val="single" w:color="auto" w:sz="4" w:space="0"/>
            </w:tcBorders>
            <w:tcW w:w="212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1核vCPU</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核</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20.42</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基于标准虚机，按需增减核数，用于定制配置</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1GB内存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420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基于标准虚机，按需增减内存，用于定制配置</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t xml:space="preserve">GPU云</w:t>
            </w:r>
            <w:r>
              <w:rPr>
                <w:rFonts w:hint="eastAsia" w:ascii="仿宋_GB2312" w:hAnsi="等线" w:eastAsia="仿宋_GB2312"/>
                <w:color w:val="000000"/>
              </w:rPr>
              <w:t xml:space="preserve">物理机</w:t>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GPU云</w:t>
            </w:r>
            <w:r>
              <w:rPr>
                <w:rFonts w:hint="eastAsia" w:ascii="仿宋_GB2312" w:hAnsi="等线" w:eastAsia="仿宋_GB2312"/>
                <w:color w:val="000000"/>
              </w:rPr>
              <w:t xml:space="preserve">物理机</w:t>
            </w:r>
            <w:r>
              <w:rPr>
                <w:rFonts w:hint="eastAsia" w:ascii="仿宋_GB2312" w:hAnsi="等线" w:eastAsia="仿宋_GB2312"/>
                <w:color w:val="00000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72000</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864000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1.采用风冷散热方式，单台提供非稀疏情况下AI</w:t>
            </w:r>
            <w:r>
              <w:rPr>
                <w:rFonts w:hint="eastAsia" w:ascii="仿宋_GB2312" w:hAnsi="等线" w:eastAsia="仿宋_GB2312"/>
                <w:color w:val="000000"/>
              </w:rPr>
              <w:t xml:space="preserve">算力</w:t>
            </w:r>
            <w:r>
              <w:rPr>
                <w:rFonts w:hint="eastAsia" w:ascii="仿宋_GB2312" w:hAnsi="等线" w:eastAsia="仿宋_GB2312"/>
                <w:color w:val="000000"/>
              </w:rPr>
              <w:t xml:space="preserve">≥2.2P FLOPS@FP16</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2.AI芯片：单机配置≥8颗64G AI芯片，8路AI芯片互联总带宽≥300GB/s;</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3.CPU:单机提供≥4颗处理器；单颗CPU主频≥2.6GHz，核数≥48核；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4.内存: 配置DDR4内存≥512GB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5.存储：本次配置≥2块960G SSD 硬盘， 配置≥4 块3.84TB SSD 硬盘</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6.阵列卡：配置1块磁盘阵列卡，缓存≥4G Cache,支持RAID 0,1,5,6,10,50,60, 配置超级电容</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7.网卡：配置≥2张双口万兆网卡;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8.电源模块支持热插拔，2+2冗余备份；</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9.支持中文 BIOS 界面；</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GPU云</w:t>
            </w:r>
            <w:r>
              <w:rPr>
                <w:rFonts w:hint="eastAsia" w:ascii="仿宋_GB2312" w:hAnsi="等线" w:eastAsia="仿宋_GB2312"/>
                <w:color w:val="000000"/>
              </w:rPr>
              <w:t xml:space="preserve">物理机</w:t>
            </w:r>
            <w:r>
              <w:rPr>
                <w:rFonts w:hint="eastAsia" w:ascii="仿宋_GB2312" w:hAnsi="等线" w:eastAsia="仿宋_GB2312"/>
                <w:color w:val="000000"/>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78000</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936000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1.采用风冷散热方式，单台提供非稀疏情况下AI</w:t>
            </w:r>
            <w:r>
              <w:rPr>
                <w:rFonts w:hint="eastAsia" w:ascii="仿宋_GB2312" w:hAnsi="等线" w:eastAsia="仿宋_GB2312"/>
                <w:color w:val="000000"/>
              </w:rPr>
              <w:t xml:space="preserve">算力</w:t>
            </w:r>
            <w:r>
              <w:rPr>
                <w:rFonts w:hint="eastAsia" w:ascii="仿宋_GB2312" w:hAnsi="等线" w:eastAsia="仿宋_GB2312"/>
                <w:color w:val="000000"/>
              </w:rPr>
              <w:t xml:space="preserve">≥2.2P FLOPS@FP16;</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2.AI芯片：单机配置≥8颗64G AI芯片，8路AI芯片互联总带宽≥300GB/s;</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3.CPU:单机提供≥4颗处理器；单颗CPU主频≥2.6GHz,核数≥48核；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4.内存: 配置DDR4内存≥1024GB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5.存储：本次配置≥2块960G SSD硬盘， 配置≥4 块7.68TB SSD硬盘</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6.阵列卡：配置 1块磁盘阵列卡，缓存≥4G Cache,支持 RAID 0,1,5,6,10,50,60, 配置超级电容</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7.网卡： 配置≥1张双口万兆网卡;配置≥4块</w:t>
            </w:r>
            <w:r>
              <w:rPr>
                <w:rFonts w:hint="eastAsia" w:ascii="仿宋_GB2312" w:hAnsi="等线" w:eastAsia="仿宋_GB2312"/>
                <w:color w:val="000000"/>
              </w:rPr>
              <w:t xml:space="preserve">双口光网卡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8.电源模块支持热插拔，2+2冗余备份；</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9.支持中文 BIOS 界面；</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通用云</w:t>
            </w:r>
            <w:r>
              <w:rPr>
                <w:rFonts w:hint="eastAsia" w:ascii="仿宋_GB2312" w:hAnsi="等线" w:eastAsia="仿宋_GB2312"/>
                <w:color w:val="000000"/>
              </w:rPr>
              <w:t xml:space="preserve">物理机</w:t>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基础机型1</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2844</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34128</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CPU：配置2颗英特尔4310或同级别处理器，主频≥2.1GHz，核数≥12 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内存：≥128G，配置16GB*8，≥24个DDR4内存插槽</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硬盘1：配置≥2块600GB 10K 热插拔SAS硬盘；硬盘2：配置≥2块1.8TB SAS硬盘</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计算型1</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3528</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42336</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CPU：配置2颗英特尔4314或同级别处理器，主频≥2.4GHz，核数≥16核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内存：≥32G_DDR4*8（256GB）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硬盘：≥480G SSD*2</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HBA卡：单口16Gb HBA卡*2（含模块） （可选）</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计算型2</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4620</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55440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CPU：配置2颗英特尔5318Y或同级别处理器，主频≥2.1GHz，核数≥24核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内存：≥32G_DDR4*16（512GB）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硬盘：≥480G SSD*2</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HBA卡：单口16Gb HBA卡*2（含模块）(可选)</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计算型3</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5748</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68976</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CPU：配置2颗英特尔6342或同级别处理器，主频≥2.8GHz，核数≥24核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内存：≥32G_DDR4*16（512GB）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硬盘：≥480G_SSD*2</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HBA卡：单口16Gb HBA卡*2（含模块）（可选）</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网络增强型1</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4620</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55440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CPU：配置2颗英特尔5318Y或同级别处理器，主频≥2.1GHz，核数≥24核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内存：≥32G_DDR4*16（512GB）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硬盘：≥480G SSD*2</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2（光口），配4个万兆光模块（多模）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HBA卡：单口16Gb HBA卡*2（含模块）（可选）</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内存型</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7908</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94896</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CPU：配置2颗英特尔8352Y或同级别处理器，主频≥2.2GHz，核数≥32核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内存：≥64G_DDR4*16（1TB）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硬盘：≥480G SSD *2</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HBA卡（可选）：单口16Gb HBA卡*2（含模块）</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存储型1</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4740</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56880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CPU：配置2颗英特尔4314或同级别处理器，主频≥2.4GHz，核数≥16核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内存：≥32G_DDR4*16（512GB）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硬盘1：≥480G SSD*2； 硬盘2：≥SATA 8T*10</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 RAID卡*1</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single" w:color="auto" w:sz="4" w:space="0"/>
              <w:bottom w:val="single" w:color="auto" w:sz="4" w:space="0"/>
              <w:right w:val="single" w:color="auto" w:sz="4" w:space="0"/>
            </w:tcBorders>
            <w:tcW w:w="1029"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存储型2</w:t>
            </w:r>
            <w:r/>
          </w:p>
        </w:tc>
        <w:tc>
          <w:tcPr>
            <w:shd w:val="clear" w:color="auto" w:fill="auto"/>
            <w:tcBorders>
              <w:top w:val="none" w:color="000000" w:sz="4" w:space="0"/>
              <w:left w:val="single" w:color="auto" w:sz="4" w:space="0"/>
              <w:bottom w:val="single" w:color="auto" w:sz="4" w:space="0"/>
              <w:right w:val="single" w:color="auto" w:sz="4" w:space="0"/>
            </w:tcBorders>
            <w:tcW w:w="335"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550"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5280</w:t>
            </w:r>
            <w:r/>
          </w:p>
        </w:tc>
        <w:tc>
          <w:tcPr>
            <w:shd w:val="clear" w:color="auto" w:fill="auto"/>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63360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规格：2U标准机架式；含机架安装导轨；1+1冗余电源</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CPU：配置2颗英特尔4314或同级别处理器，主频≥2.4GHz，核数≥16核</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内存：≥32G_DDR4*8（256GB）</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硬盘1：配置≥2块480GB SSD硬盘； 硬盘2：配置≥10块1.92T SSD硬盘</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网卡：双口万兆网卡* 2（光口），配2个万兆光模块（多模）</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1029"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335"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50"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tcBorders>
              <w:top w:val="none" w:color="000000"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阵列卡：八通道高性能 RAID卡*1</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大模型推理服务-模型API服务（并发/秒授权，</w:t>
            </w:r>
            <w:r>
              <w:rPr>
                <w:rFonts w:hint="eastAsia" w:ascii="仿宋_GB2312" w:hAnsi="等线" w:eastAsia="仿宋_GB2312"/>
                <w:color w:val="000000"/>
              </w:rPr>
              <w:t xml:space="preserve">含算力</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14B 模型基础套</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36000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 DeepSeek、</w:t>
            </w:r>
            <w:r>
              <w:rPr>
                <w:rFonts w:hint="eastAsia" w:ascii="仿宋_GB2312" w:hAnsi="等线" w:eastAsia="仿宋_GB2312"/>
                <w:color w:val="000000"/>
              </w:rPr>
              <w:t xml:space="preserve">千问等</w:t>
            </w:r>
            <w:r>
              <w:rPr>
                <w:rFonts w:hint="eastAsia" w:ascii="仿宋_GB2312" w:hAnsi="等线" w:eastAsia="仿宋_GB2312"/>
                <w:color w:val="000000"/>
              </w:rPr>
              <w:t xml:space="preserve">模型14B模型 SaaS API服务，支持 10 并发/秒，每日最大支持 864000 </w:t>
            </w:r>
            <w:r>
              <w:rPr>
                <w:rFonts w:hint="eastAsia" w:ascii="仿宋_GB2312" w:hAnsi="等线" w:eastAsia="仿宋_GB2312"/>
                <w:color w:val="000000"/>
              </w:rPr>
              <w:t xml:space="preserve">个</w:t>
            </w:r>
            <w:r>
              <w:rPr>
                <w:rFonts w:hint="eastAsia" w:ascii="仿宋_GB2312" w:hAnsi="等线" w:eastAsia="仿宋_GB2312"/>
                <w:color w:val="000000"/>
              </w:rPr>
              <w:t xml:space="preserve">请求，支持整数选购（如30 并发/</w:t>
            </w:r>
            <w:r>
              <w:rPr>
                <w:rFonts w:hint="eastAsia" w:ascii="仿宋_GB2312" w:hAnsi="等线" w:eastAsia="仿宋_GB2312"/>
                <w:color w:val="000000"/>
              </w:rPr>
              <w:t xml:space="preserve">秒需求</w:t>
            </w:r>
            <w:r>
              <w:rPr>
                <w:rFonts w:hint="eastAsia" w:ascii="仿宋_GB2312" w:hAnsi="等线" w:eastAsia="仿宋_GB2312"/>
                <w:color w:val="000000"/>
              </w:rPr>
              <w:t xml:space="preserve">可选购3个）</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32B 模型基础套</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 DeepSeek、</w:t>
            </w:r>
            <w:r>
              <w:rPr>
                <w:rFonts w:hint="eastAsia" w:ascii="仿宋_GB2312" w:hAnsi="等线" w:eastAsia="仿宋_GB2312"/>
                <w:color w:val="000000"/>
              </w:rPr>
              <w:t xml:space="preserve">千问等</w:t>
            </w:r>
            <w:r>
              <w:rPr>
                <w:rFonts w:hint="eastAsia" w:ascii="仿宋_GB2312" w:hAnsi="等线" w:eastAsia="仿宋_GB2312"/>
                <w:color w:val="000000"/>
              </w:rPr>
              <w:t xml:space="preserve">模型15-32B模型 SaaS API服务，支持 10 并发/秒，每日最大支持 864000 </w:t>
            </w:r>
            <w:r>
              <w:rPr>
                <w:rFonts w:hint="eastAsia" w:ascii="仿宋_GB2312" w:hAnsi="等线" w:eastAsia="仿宋_GB2312"/>
                <w:color w:val="000000"/>
              </w:rPr>
              <w:t xml:space="preserve">个</w:t>
            </w:r>
            <w:r>
              <w:rPr>
                <w:rFonts w:hint="eastAsia" w:ascii="仿宋_GB2312" w:hAnsi="等线" w:eastAsia="仿宋_GB2312"/>
                <w:color w:val="000000"/>
              </w:rPr>
              <w:t xml:space="preserve">请求，支持整数选购（如30 并发/</w:t>
            </w:r>
            <w:r>
              <w:rPr>
                <w:rFonts w:hint="eastAsia" w:ascii="仿宋_GB2312" w:hAnsi="等线" w:eastAsia="仿宋_GB2312"/>
                <w:color w:val="000000"/>
              </w:rPr>
              <w:t xml:space="preserve">秒需求</w:t>
            </w:r>
            <w:r>
              <w:rPr>
                <w:rFonts w:hint="eastAsia" w:ascii="仿宋_GB2312" w:hAnsi="等线" w:eastAsia="仿宋_GB2312"/>
                <w:color w:val="000000"/>
              </w:rPr>
              <w:t xml:space="preserve">可选购3个）</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72B 模型基础套</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144000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 DeepSeek、</w:t>
            </w:r>
            <w:r>
              <w:rPr>
                <w:rFonts w:hint="eastAsia" w:ascii="仿宋_GB2312" w:hAnsi="等线" w:eastAsia="仿宋_GB2312"/>
                <w:color w:val="000000"/>
              </w:rPr>
              <w:t xml:space="preserve">千问等</w:t>
            </w:r>
            <w:r>
              <w:rPr>
                <w:rFonts w:hint="eastAsia" w:ascii="仿宋_GB2312" w:hAnsi="等线" w:eastAsia="仿宋_GB2312"/>
                <w:color w:val="000000"/>
              </w:rPr>
              <w:t xml:space="preserve">模型33-72B模型 SaaS API服务，支持 10 并发/秒，每日最大支持 864000 </w:t>
            </w:r>
            <w:r>
              <w:rPr>
                <w:rFonts w:hint="eastAsia" w:ascii="仿宋_GB2312" w:hAnsi="等线" w:eastAsia="仿宋_GB2312"/>
                <w:color w:val="000000"/>
              </w:rPr>
              <w:t xml:space="preserve">个</w:t>
            </w:r>
            <w:r>
              <w:rPr>
                <w:rFonts w:hint="eastAsia" w:ascii="仿宋_GB2312" w:hAnsi="等线" w:eastAsia="仿宋_GB2312"/>
                <w:color w:val="000000"/>
              </w:rPr>
              <w:t xml:space="preserve">请求，支持整数选购（如30 并发/</w:t>
            </w:r>
            <w:r>
              <w:rPr>
                <w:rFonts w:hint="eastAsia" w:ascii="仿宋_GB2312" w:hAnsi="等线" w:eastAsia="仿宋_GB2312"/>
                <w:color w:val="000000"/>
              </w:rPr>
              <w:t xml:space="preserve">秒需求</w:t>
            </w:r>
            <w:r>
              <w:rPr>
                <w:rFonts w:hint="eastAsia" w:ascii="仿宋_GB2312" w:hAnsi="等线" w:eastAsia="仿宋_GB2312"/>
                <w:color w:val="000000"/>
              </w:rPr>
              <w:t xml:space="preserve">可选购3个）</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72B 模型基础套</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64800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777600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 DeepSeek、</w:t>
            </w:r>
            <w:r>
              <w:rPr>
                <w:rFonts w:hint="eastAsia" w:ascii="仿宋_GB2312" w:hAnsi="等线" w:eastAsia="仿宋_GB2312"/>
                <w:color w:val="000000"/>
              </w:rPr>
              <w:t xml:space="preserve">千问等</w:t>
            </w:r>
            <w:r>
              <w:rPr>
                <w:rFonts w:hint="eastAsia" w:ascii="仿宋_GB2312" w:hAnsi="等线" w:eastAsia="仿宋_GB2312"/>
                <w:color w:val="000000"/>
              </w:rPr>
              <w:t xml:space="preserve">模型73-671B模型 SaaS API服务，支持 10 并发/秒，每日最大支持 864000 </w:t>
            </w:r>
            <w:r>
              <w:rPr>
                <w:rFonts w:hint="eastAsia" w:ascii="仿宋_GB2312" w:hAnsi="等线" w:eastAsia="仿宋_GB2312"/>
                <w:color w:val="000000"/>
              </w:rPr>
              <w:t xml:space="preserve">个</w:t>
            </w:r>
            <w:r>
              <w:rPr>
                <w:rFonts w:hint="eastAsia" w:ascii="仿宋_GB2312" w:hAnsi="等线" w:eastAsia="仿宋_GB2312"/>
                <w:color w:val="000000"/>
              </w:rPr>
              <w:t xml:space="preserve">请求，支持整数选购（如30 并发/</w:t>
            </w:r>
            <w:r>
              <w:rPr>
                <w:rFonts w:hint="eastAsia" w:ascii="仿宋_GB2312" w:hAnsi="等线" w:eastAsia="仿宋_GB2312"/>
                <w:color w:val="000000"/>
              </w:rPr>
              <w:t xml:space="preserve">秒需求</w:t>
            </w:r>
            <w:r>
              <w:rPr>
                <w:rFonts w:hint="eastAsia" w:ascii="仿宋_GB2312" w:hAnsi="等线" w:eastAsia="仿宋_GB2312"/>
                <w:color w:val="000000"/>
              </w:rPr>
              <w:t xml:space="preserve">可选购3个）</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大模型推理服务-软件授权（独享部分，</w:t>
            </w:r>
            <w:r>
              <w:rPr>
                <w:rFonts w:hint="eastAsia" w:ascii="仿宋_GB2312" w:hAnsi="等线" w:eastAsia="仿宋_GB2312"/>
                <w:color w:val="000000"/>
              </w:rPr>
              <w:t xml:space="preserve">不含算力</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闭源基础</w:t>
            </w:r>
            <w:r>
              <w:rPr>
                <w:rFonts w:hint="eastAsia" w:ascii="仿宋_GB2312" w:hAnsi="等线" w:eastAsia="仿宋_GB2312"/>
                <w:color w:val="000000"/>
              </w:rPr>
              <w:t xml:space="preserve">模型服务-小参数</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实例</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提供2.9B、7B、13B、14B、32B、34B多</w:t>
            </w:r>
            <w:r>
              <w:rPr>
                <w:rFonts w:hint="eastAsia" w:ascii="仿宋_GB2312" w:hAnsi="等线" w:eastAsia="仿宋_GB2312"/>
                <w:color w:val="000000"/>
              </w:rPr>
              <w:t xml:space="preserve">尺寸闭源模型</w:t>
            </w:r>
            <w:r>
              <w:rPr>
                <w:rFonts w:hint="eastAsia" w:ascii="仿宋_GB2312" w:hAnsi="等线" w:eastAsia="仿宋_GB2312"/>
                <w:color w:val="000000"/>
              </w:rPr>
              <w:t xml:space="preserve">软件授权部署服务（按照委办单位单个授权，不含算力，应单独配备对应算力，并发数量无限制），具备基础推理能力，可处理较复杂任务，满足政务日常工作需求，适合知识问答、内容总结、简单数据分析等应用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闭源基础</w:t>
            </w:r>
            <w:r>
              <w:rPr>
                <w:rFonts w:hint="eastAsia" w:ascii="仿宋_GB2312" w:hAnsi="等线" w:eastAsia="仿宋_GB2312"/>
                <w:color w:val="000000"/>
              </w:rPr>
              <w:t xml:space="preserve">模型服务-中参数</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实例</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11000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132000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提供60B、72B多</w:t>
            </w:r>
            <w:r>
              <w:rPr>
                <w:rFonts w:hint="eastAsia" w:ascii="仿宋_GB2312" w:hAnsi="等线" w:eastAsia="仿宋_GB2312"/>
                <w:color w:val="000000"/>
              </w:rPr>
              <w:t xml:space="preserve">尺寸闭源模型</w:t>
            </w:r>
            <w:r>
              <w:rPr>
                <w:rFonts w:hint="eastAsia" w:ascii="仿宋_GB2312" w:hAnsi="等线" w:eastAsia="仿宋_GB2312"/>
                <w:color w:val="000000"/>
              </w:rPr>
              <w:t xml:space="preserve">软件授权部署服务（按照委办厅局或公司单个单位授权，不含算力，应单独配备对应算力，并发数量无限制），具备基础型服务所有能力，同时可提供较强推理能力，可处理复杂任务，适合公文写作、内容润色、内容审核等应用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闭源基础</w:t>
            </w:r>
            <w:r>
              <w:rPr>
                <w:rFonts w:hint="eastAsia" w:ascii="仿宋_GB2312" w:hAnsi="等线" w:eastAsia="仿宋_GB2312"/>
                <w:color w:val="000000"/>
              </w:rPr>
              <w:t xml:space="preserve">模型服务-大参数</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实例</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16000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192000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提供671B</w:t>
            </w:r>
            <w:r>
              <w:rPr>
                <w:rFonts w:hint="eastAsia" w:ascii="仿宋_GB2312" w:hAnsi="等线" w:eastAsia="仿宋_GB2312"/>
                <w:color w:val="000000"/>
              </w:rPr>
              <w:t xml:space="preserve">闭源模型</w:t>
            </w:r>
            <w:r>
              <w:rPr>
                <w:rFonts w:hint="eastAsia" w:ascii="仿宋_GB2312" w:hAnsi="等线" w:eastAsia="仿宋_GB2312"/>
                <w:color w:val="000000"/>
              </w:rPr>
              <w:t xml:space="preserve">软件授权部署服务（按照委办单位单个授权，不含算力，应单独配备对应算力，并发数量无限制），提供目前业内最强内容处理和常识能力，适用于百科知识问答、长文本内容分析等应用场景</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智能</w:t>
            </w:r>
            <w:r>
              <w:rPr>
                <w:rFonts w:hint="eastAsia" w:ascii="仿宋_GB2312" w:hAnsi="等线" w:eastAsia="仿宋_GB2312"/>
                <w:color w:val="000000"/>
              </w:rPr>
              <w:t xml:space="preserve">体服务</w:t>
            </w:r>
            <w:r>
              <w:rPr>
                <w:rFonts w:hint="eastAsia" w:ascii="仿宋_GB2312" w:hAnsi="等线" w:eastAsia="仿宋_GB2312"/>
                <w:color w:val="000000"/>
              </w:rPr>
              <w:t xml:space="preserve">-软件授权（独享部分，不含算力）</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智能体编排</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15000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180000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智能体编排开发工具授权及部署（按照委办厅局或公司单个单位授权，不含算力，单独配备对应算力，并发数量无限制），支持零代码构建、低代码构建、模板构建等多种智能体编排方式，满足不同开发能力的企业进行智能</w:t>
            </w:r>
            <w:r>
              <w:rPr>
                <w:rFonts w:hint="eastAsia" w:ascii="仿宋_GB2312" w:hAnsi="等线" w:eastAsia="仿宋_GB2312"/>
                <w:color w:val="000000"/>
              </w:rPr>
              <w:t xml:space="preserve">体应用</w:t>
            </w:r>
            <w:r>
              <w:rPr>
                <w:rFonts w:hint="eastAsia" w:ascii="仿宋_GB2312" w:hAnsi="等线" w:eastAsia="仿宋_GB2312"/>
                <w:color w:val="000000"/>
              </w:rPr>
              <w:t xml:space="preserve">开发</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AI知识库标准版</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套/节点</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8200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98400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全流程、端到端、多模态的知识库创建及检索服务平台，支持多种格式文档解析、多种业务模版解析、多模态文档解析；支持文档自定义切片、切片更新管理、知识图谱构建、知识智能检索、知识源文件管理、权限管理并提供可视化管理；提供SDK接口调用。适用于用户快速构建专属多模态知识库，大幅提高知识接入效率。</w:t>
            </w:r>
            <w:r>
              <w:rPr>
                <w:rFonts w:hint="eastAsia" w:ascii="仿宋_GB2312" w:hAnsi="等线" w:eastAsia="仿宋_GB2312"/>
                <w:color w:val="000000"/>
              </w:rPr>
              <w:t xml:space="preserve">标准版应支持</w:t>
            </w:r>
            <w:r>
              <w:rPr>
                <w:rFonts w:hint="eastAsia" w:ascii="仿宋_GB2312" w:hAnsi="等线" w:eastAsia="仿宋_GB2312"/>
                <w:color w:val="000000"/>
              </w:rPr>
              <w:t xml:space="preserve">知识库总个数上限≤20个且单个知识库文档个数上限≤300个，即单个节点支持处理总文档数≤6000个</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AI知识库高级版</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套/节点</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144000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提供全流程、端到端、多模态的知识库创建及检索服务平台，支持多种格式文档解析、多种业务模版解析、多模态文档解析；支持文档自定义切片、切片更新管理、知识图谱构建、知</w:t>
            </w:r>
            <w:r>
              <w:rPr>
                <w:rFonts w:hint="eastAsia" w:ascii="仿宋_GB2312" w:hAnsi="等线" w:eastAsia="仿宋_GB2312"/>
                <w:color w:val="000000"/>
              </w:rPr>
              <w:t xml:space="preserve">识智能检索、知识源文件管理、权限管理并提供可视化管理；提供SDK接口调用。适用于用户快速构建专属多模态知识库，大幅提高知识接入效率。</w:t>
            </w:r>
            <w:r>
              <w:rPr>
                <w:rFonts w:hint="eastAsia" w:ascii="仿宋_GB2312" w:hAnsi="等线" w:eastAsia="仿宋_GB2312"/>
                <w:color w:val="000000"/>
              </w:rPr>
              <w:t xml:space="preserve">高级版应支持</w:t>
            </w:r>
            <w:r>
              <w:rPr>
                <w:rFonts w:hint="eastAsia" w:ascii="仿宋_GB2312" w:hAnsi="等线" w:eastAsia="仿宋_GB2312"/>
                <w:color w:val="000000"/>
              </w:rPr>
              <w:t xml:space="preserve">知识库总个数上限≤20 </w:t>
            </w:r>
            <w:r>
              <w:rPr>
                <w:rFonts w:hint="eastAsia" w:ascii="仿宋_GB2312" w:hAnsi="等线" w:eastAsia="仿宋_GB2312"/>
                <w:color w:val="000000"/>
              </w:rPr>
              <w:t xml:space="preserve">个</w:t>
            </w:r>
            <w:r>
              <w:rPr>
                <w:rFonts w:hint="eastAsia" w:ascii="仿宋_GB2312" w:hAnsi="等线" w:eastAsia="仿宋_GB2312"/>
                <w:color w:val="000000"/>
              </w:rPr>
              <w:t xml:space="preserve">且单个知识库文档个数上限≤300 </w:t>
            </w:r>
            <w:r>
              <w:rPr>
                <w:rFonts w:hint="eastAsia" w:ascii="仿宋_GB2312" w:hAnsi="等线" w:eastAsia="仿宋_GB2312"/>
                <w:color w:val="000000"/>
              </w:rPr>
              <w:t xml:space="preserve">个</w:t>
            </w:r>
            <w:r>
              <w:rPr>
                <w:rFonts w:hint="eastAsia" w:ascii="仿宋_GB2312" w:hAnsi="等线" w:eastAsia="仿宋_GB2312"/>
                <w:color w:val="000000"/>
              </w:rPr>
              <w:t xml:space="preserve">， 即单个节点支持处理总文档数≤6000 </w:t>
            </w:r>
            <w:r>
              <w:rPr>
                <w:rFonts w:hint="eastAsia" w:ascii="仿宋_GB2312" w:hAnsi="等线" w:eastAsia="仿宋_GB2312"/>
                <w:color w:val="000000"/>
              </w:rPr>
              <w:t xml:space="preserve">个</w:t>
            </w:r>
            <w:r>
              <w:rPr>
                <w:rFonts w:hint="eastAsia" w:ascii="仿宋_GB2312" w:hAnsi="等线" w:eastAsia="仿宋_GB2312"/>
                <w:color w:val="000000"/>
              </w:rPr>
              <w:t xml:space="preserve">。高级版在标准版的基础上应提供更高的并发性能</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知识库数量授权</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在知识库标准版或高级版的基础上，扩展支持的知识库数量。单独购买知识库数量授权，每个授权可增加1个知识库名额，单个知识库最大文档个数≤300 </w:t>
            </w:r>
            <w:r>
              <w:rPr>
                <w:rFonts w:hint="eastAsia" w:ascii="仿宋_GB2312" w:hAnsi="等线" w:eastAsia="仿宋_GB2312"/>
                <w:color w:val="000000"/>
              </w:rPr>
              <w:t xml:space="preserve">个</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大模型工厂服务</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大模型训练</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180000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2160000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后训练服务，包括大模型训练、数据预处理、数据对接、数据上传、数据打标、知识库构建、高级咨询以及技术保障服务，模型准确度不低于90%（按照委办厅局或公司单位具体场景需求设定评价标准，基于评价标准对模型生成内容进行抽检评分） 限单个场景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部署服务</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提供DeepSeek-R1，</w:t>
            </w:r>
            <w:r>
              <w:rPr>
                <w:rFonts w:hint="eastAsia" w:ascii="仿宋_GB2312" w:hAnsi="等线" w:eastAsia="仿宋_GB2312"/>
                <w:color w:val="000000"/>
              </w:rPr>
              <w:t xml:space="preserve">千问的</w:t>
            </w:r>
            <w:r>
              <w:rPr>
                <w:rFonts w:hint="eastAsia" w:ascii="仿宋_GB2312" w:hAnsi="等线" w:eastAsia="仿宋_GB2312"/>
                <w:color w:val="000000"/>
              </w:rPr>
              <w:t xml:space="preserve">1.5B、7B、8B、14B、32B、70B、671B等开源模型的部署服务，具备基础推理能力，可处理较复杂任务，满足政务日常工作需求，适合知识问答、内容总结、简单数据分析等应用场景</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运管服务</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算力管理-算力</w:t>
            </w:r>
            <w:r>
              <w:rPr>
                <w:rFonts w:hint="eastAsia" w:ascii="仿宋_GB2312" w:hAnsi="等线" w:eastAsia="仿宋_GB2312"/>
                <w:color w:val="000000"/>
              </w:rPr>
              <w:t xml:space="preserve">节点监控接入管理</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节点</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7200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支持第三</w:t>
            </w:r>
            <w:r>
              <w:rPr>
                <w:rFonts w:hint="eastAsia" w:ascii="仿宋_GB2312" w:hAnsi="等线" w:eastAsia="仿宋_GB2312"/>
                <w:color w:val="000000"/>
              </w:rPr>
              <w:t xml:space="preserve">方算力节点</w:t>
            </w:r>
            <w:r>
              <w:rPr>
                <w:rFonts w:hint="eastAsia" w:ascii="仿宋_GB2312" w:hAnsi="等线" w:eastAsia="仿宋_GB2312"/>
                <w:color w:val="000000"/>
              </w:rPr>
              <w:t xml:space="preserve">的添加与监控，实现</w:t>
            </w:r>
            <w:r>
              <w:rPr>
                <w:rFonts w:hint="eastAsia" w:ascii="仿宋_GB2312" w:hAnsi="等线" w:eastAsia="仿宋_GB2312"/>
                <w:color w:val="000000"/>
              </w:rPr>
              <w:t xml:space="preserve">对算力节点</w:t>
            </w:r>
            <w:r>
              <w:rPr>
                <w:rFonts w:hint="eastAsia" w:ascii="仿宋_GB2312" w:hAnsi="等线" w:eastAsia="仿宋_GB2312"/>
                <w:color w:val="000000"/>
              </w:rPr>
              <w:t xml:space="preserve">、</w:t>
            </w:r>
            <w:r>
              <w:rPr>
                <w:rFonts w:hint="eastAsia" w:ascii="仿宋_GB2312" w:hAnsi="等线" w:eastAsia="仿宋_GB2312"/>
                <w:color w:val="000000"/>
              </w:rPr>
              <w:t xml:space="preserve">算力卡下</w:t>
            </w:r>
            <w:r>
              <w:rPr>
                <w:rFonts w:hint="eastAsia" w:ascii="仿宋_GB2312" w:hAnsi="等线" w:eastAsia="仿宋_GB2312"/>
                <w:color w:val="000000"/>
              </w:rPr>
              <w:t xml:space="preserve">资源性能告警数据的实时监控，监控的数据不限于</w:t>
            </w:r>
            <w:r>
              <w:rPr>
                <w:rFonts w:hint="eastAsia" w:ascii="仿宋_GB2312" w:hAnsi="等线" w:eastAsia="仿宋_GB2312"/>
                <w:color w:val="000000"/>
              </w:rPr>
              <w:t xml:space="preserve">gpu</w:t>
            </w:r>
            <w:r>
              <w:rPr>
                <w:rFonts w:hint="eastAsia" w:ascii="仿宋_GB2312" w:hAnsi="等线" w:eastAsia="仿宋_GB2312"/>
                <w:color w:val="000000"/>
              </w:rPr>
              <w:t xml:space="preserve">卡利用率、显存利用率、</w:t>
            </w:r>
            <w:r>
              <w:rPr>
                <w:rFonts w:hint="eastAsia" w:ascii="仿宋_GB2312" w:hAnsi="等线" w:eastAsia="仿宋_GB2312"/>
                <w:color w:val="000000"/>
              </w:rPr>
              <w:t xml:space="preserve">cpu</w:t>
            </w:r>
            <w:r>
              <w:rPr>
                <w:rFonts w:hint="eastAsia" w:ascii="仿宋_GB2312" w:hAnsi="等线" w:eastAsia="仿宋_GB2312"/>
                <w:color w:val="000000"/>
              </w:rPr>
              <w:t xml:space="preserve"> 利用率、内存利用率等相关指标，为资源优化</w:t>
            </w:r>
            <w:r>
              <w:rPr>
                <w:rFonts w:hint="eastAsia" w:ascii="仿宋_GB2312" w:hAnsi="等线" w:eastAsia="仿宋_GB2312"/>
                <w:color w:val="000000"/>
              </w:rPr>
              <w:t xml:space="preserve">及算力</w:t>
            </w:r>
            <w:r>
              <w:rPr>
                <w:rFonts w:hint="eastAsia" w:ascii="仿宋_GB2312" w:hAnsi="等线" w:eastAsia="仿宋_GB2312"/>
                <w:color w:val="000000"/>
              </w:rPr>
              <w:t xml:space="preserve">告警提供性能数据支撑，</w:t>
            </w:r>
            <w:r>
              <w:rPr>
                <w:rFonts w:hint="eastAsia" w:ascii="仿宋_GB2312" w:hAnsi="等线" w:eastAsia="仿宋_GB2312"/>
                <w:color w:val="000000"/>
              </w:rPr>
              <w:t xml:space="preserve">保障算力节点</w:t>
            </w:r>
            <w:r>
              <w:rPr>
                <w:rFonts w:hint="eastAsia" w:ascii="仿宋_GB2312" w:hAnsi="等线" w:eastAsia="仿宋_GB2312"/>
                <w:color w:val="000000"/>
              </w:rPr>
              <w:t xml:space="preserve">的稳定高效运行</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算力管理-算力</w:t>
            </w:r>
            <w:r>
              <w:rPr>
                <w:rFonts w:hint="eastAsia" w:ascii="仿宋_GB2312" w:hAnsi="等线" w:eastAsia="仿宋_GB2312"/>
                <w:color w:val="000000"/>
              </w:rPr>
              <w:t xml:space="preserve">节点调度接入管理</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节点</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支持对第三</w:t>
            </w:r>
            <w:r>
              <w:rPr>
                <w:rFonts w:hint="eastAsia" w:ascii="仿宋_GB2312" w:hAnsi="等线" w:eastAsia="仿宋_GB2312"/>
                <w:color w:val="000000"/>
              </w:rPr>
              <w:t xml:space="preserve">方算力节点</w:t>
            </w:r>
            <w:r>
              <w:rPr>
                <w:rFonts w:hint="eastAsia" w:ascii="仿宋_GB2312" w:hAnsi="等线" w:eastAsia="仿宋_GB2312"/>
                <w:color w:val="000000"/>
              </w:rPr>
              <w:t xml:space="preserve">的纳管，</w:t>
            </w:r>
            <w:r>
              <w:rPr>
                <w:rFonts w:hint="eastAsia" w:ascii="仿宋_GB2312" w:hAnsi="等线" w:eastAsia="仿宋_GB2312"/>
                <w:color w:val="000000"/>
              </w:rPr>
              <w:t xml:space="preserve">实现算力节点</w:t>
            </w:r>
            <w:r>
              <w:rPr>
                <w:rFonts w:hint="eastAsia" w:ascii="仿宋_GB2312" w:hAnsi="等线" w:eastAsia="仿宋_GB2312"/>
                <w:color w:val="000000"/>
              </w:rPr>
              <w:t xml:space="preserve">的池化管理与监控，为模型自动化部署提供可扩展</w:t>
            </w:r>
            <w:r>
              <w:rPr>
                <w:rFonts w:hint="eastAsia" w:ascii="仿宋_GB2312" w:hAnsi="等线" w:eastAsia="仿宋_GB2312"/>
                <w:color w:val="000000"/>
              </w:rPr>
              <w:t xml:space="preserve">的算力支撑</w:t>
            </w:r>
            <w:r>
              <w:rPr>
                <w:rFonts w:hint="eastAsia" w:ascii="仿宋_GB2312" w:hAnsi="等线" w:eastAsia="仿宋_GB2312"/>
                <w:color w:val="000000"/>
              </w:rPr>
              <w:t xml:space="preserve">，达到模型自动化部署目标，同时对纳管</w:t>
            </w:r>
            <w:r>
              <w:rPr>
                <w:rFonts w:hint="eastAsia" w:ascii="仿宋_GB2312" w:hAnsi="等线" w:eastAsia="仿宋_GB2312"/>
                <w:color w:val="000000"/>
              </w:rPr>
              <w:t xml:space="preserve">的算力节点</w:t>
            </w:r>
            <w:r>
              <w:rPr>
                <w:rFonts w:hint="eastAsia" w:ascii="仿宋_GB2312" w:hAnsi="等线" w:eastAsia="仿宋_GB2312"/>
                <w:color w:val="000000"/>
              </w:rPr>
              <w:t xml:space="preserve">，实现实时监控，</w:t>
            </w:r>
            <w:r>
              <w:rPr>
                <w:rFonts w:hint="eastAsia" w:ascii="仿宋_GB2312" w:hAnsi="等线" w:eastAsia="仿宋_GB2312"/>
                <w:color w:val="000000"/>
              </w:rPr>
              <w:t xml:space="preserve">保障算力节点</w:t>
            </w:r>
            <w:r>
              <w:rPr>
                <w:rFonts w:hint="eastAsia" w:ascii="仿宋_GB2312" w:hAnsi="等线" w:eastAsia="仿宋_GB2312"/>
                <w:color w:val="000000"/>
              </w:rPr>
              <w:t xml:space="preserve">的稳定运行</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模型管理-实例接入管理</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实例</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10800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支持第三方模型服务实例的纳管接入，实现第三方模型服务与平台服务网关的绑定，对第三方模型进行流量管控与统计，并支持按照不同智能体进行模型服务</w:t>
            </w:r>
            <w:r>
              <w:rPr>
                <w:rFonts w:hint="eastAsia" w:ascii="仿宋_GB2312" w:hAnsi="等线" w:eastAsia="仿宋_GB2312"/>
                <w:color w:val="000000"/>
              </w:rPr>
              <w:t xml:space="preserve">apikey</w:t>
            </w:r>
            <w:r>
              <w:rPr>
                <w:rFonts w:hint="eastAsia" w:ascii="仿宋_GB2312" w:hAnsi="等线" w:eastAsia="仿宋_GB2312"/>
                <w:color w:val="000000"/>
              </w:rPr>
              <w:t xml:space="preserve">的下发，进而达到模型服务流量限制与流量统计分析的模板</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智能</w:t>
            </w:r>
            <w:r>
              <w:rPr>
                <w:rFonts w:hint="eastAsia" w:ascii="仿宋_GB2312" w:hAnsi="等线" w:eastAsia="仿宋_GB2312"/>
                <w:color w:val="000000"/>
              </w:rPr>
              <w:t xml:space="preserve">体管理</w:t>
            </w:r>
            <w:r>
              <w:rPr>
                <w:rFonts w:hint="eastAsia" w:ascii="仿宋_GB2312" w:hAnsi="等线" w:eastAsia="仿宋_GB2312"/>
                <w:color w:val="000000"/>
              </w:rPr>
              <w:t xml:space="preserve">-实例接入管理</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实例</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支持平台及第三方智能体的注册接入管理，智能体可基于业务诉求进行模型服务、组件服务</w:t>
            </w:r>
            <w:r>
              <w:rPr>
                <w:rFonts w:hint="eastAsia" w:ascii="仿宋_GB2312" w:hAnsi="等线" w:eastAsia="仿宋_GB2312"/>
                <w:color w:val="000000"/>
              </w:rPr>
              <w:t xml:space="preserve">的申请，平台基于不同智能体、不同模型/组件服务进行</w:t>
            </w:r>
            <w:r>
              <w:rPr>
                <w:rFonts w:hint="eastAsia" w:ascii="仿宋_GB2312" w:hAnsi="等线" w:eastAsia="仿宋_GB2312"/>
                <w:color w:val="000000"/>
              </w:rPr>
              <w:t xml:space="preserve">apikey</w:t>
            </w:r>
            <w:r>
              <w:rPr>
                <w:rFonts w:hint="eastAsia" w:ascii="仿宋_GB2312" w:hAnsi="等线" w:eastAsia="仿宋_GB2312"/>
                <w:color w:val="000000"/>
              </w:rPr>
              <w:t xml:space="preserve"> 的下发，实现基于不同智能体的调用统计分析，为智能体运营优化提供决策数据，同时支持智能</w:t>
            </w:r>
            <w:r>
              <w:rPr>
                <w:rFonts w:hint="eastAsia" w:ascii="仿宋_GB2312" w:hAnsi="等线" w:eastAsia="仿宋_GB2312"/>
                <w:color w:val="000000"/>
              </w:rPr>
              <w:t xml:space="preserve">体广场</w:t>
            </w:r>
            <w:r>
              <w:rPr>
                <w:rFonts w:hint="eastAsia" w:ascii="仿宋_GB2312" w:hAnsi="等线" w:eastAsia="仿宋_GB2312"/>
                <w:color w:val="000000"/>
              </w:rPr>
              <w:t xml:space="preserve">上架服务，实现智能</w:t>
            </w:r>
            <w:r>
              <w:rPr>
                <w:rFonts w:hint="eastAsia" w:ascii="仿宋_GB2312" w:hAnsi="等线" w:eastAsia="仿宋_GB2312"/>
                <w:color w:val="000000"/>
              </w:rPr>
              <w:t xml:space="preserve">体展示</w:t>
            </w:r>
            <w:r>
              <w:rPr>
                <w:rFonts w:hint="eastAsia" w:ascii="仿宋_GB2312" w:hAnsi="等线" w:eastAsia="仿宋_GB2312"/>
                <w:color w:val="000000"/>
              </w:rPr>
              <w:t xml:space="preserve">与服务共享，其他业务单位基于智能</w:t>
            </w:r>
            <w:r>
              <w:rPr>
                <w:rFonts w:hint="eastAsia" w:ascii="仿宋_GB2312" w:hAnsi="等线" w:eastAsia="仿宋_GB2312"/>
                <w:color w:val="000000"/>
              </w:rPr>
              <w:t xml:space="preserve">体服务</w:t>
            </w:r>
            <w:r>
              <w:rPr>
                <w:rFonts w:hint="eastAsia" w:ascii="仿宋_GB2312" w:hAnsi="等线" w:eastAsia="仿宋_GB2312"/>
                <w:color w:val="000000"/>
              </w:rPr>
              <w:t xml:space="preserve">内容进行服务的申请使用</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AI增值服务（API服务-</w:t>
            </w:r>
            <w:r>
              <w:rPr>
                <w:rFonts w:hint="eastAsia" w:ascii="仿宋_GB2312" w:hAnsi="等线" w:eastAsia="仿宋_GB2312"/>
                <w:color w:val="000000"/>
              </w:rPr>
              <w:t xml:space="preserve">含算力</w:t>
            </w:r>
            <w:r>
              <w:rPr>
                <w:rFonts w:hint="eastAsia" w:ascii="仿宋_GB2312" w:hAnsi="等线" w:eastAsia="仿宋_GB2312"/>
                <w:color w:val="00000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安全推理服务基础套餐</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应用</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26400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面向各类场景应用，提供企业级大模型推理引擎及专属模型输入安全检测、 输出安全检测、内容安全引导等全链路内容安全防护服务。可支持10以下并发/秒应用，1个应用的授权</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共享 AI 知识库（</w:t>
            </w:r>
            <w:r>
              <w:rPr>
                <w:rFonts w:hint="eastAsia" w:ascii="仿宋_GB2312" w:hAnsi="等线" w:eastAsia="仿宋_GB2312"/>
                <w:color w:val="000000"/>
              </w:rPr>
              <w:t xml:space="preserve">个</w:t>
            </w:r>
            <w:r>
              <w:rPr>
                <w:rFonts w:hint="eastAsia" w:ascii="仿宋_GB2312" w:hAnsi="等线" w:eastAsia="仿宋_GB2312"/>
                <w:color w:val="00000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12000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提供共享AI知识库实例管理服务，提供集成AI套件，提供全流程、端到端的知识库创建及检索服务。支持多类型多模态文档解析、文档切片、知识检索、 知识源文件管理；支持 SDK调用。适用于用户快速构建专属多模态知识库， 大幅提高知识接入效率。该规格为创建维护单个共享知识库，单个知识库文件个数上限为1000个；</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共享 AI 知识库（应用）</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应用</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提供共享AI知识库访问API，可支持10以下并发/秒应用，1个应用的授权。</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语音转文字服务基础套餐</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应用</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26400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面向各类场景应用，提供企业级语音转文字服务。可支持10以下并发/秒应用，1个应用的授权</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OCR图片识别服务基础套餐</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应用</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26400</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面向各类场景应用，提供企业级OCR图片识别服务。可支持10以下并发/秒应用，1个应用的授权</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存储服务</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普通云硬盘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0.44</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5.28</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为云服务器提供块级别存储空间，一块云硬盘只能挂载到单台云服务器上，单盘不大于32768GB（32TB),物理存储设备为SATA机械硬盘。普通云盘适用于数据不经常访问的低</w:t>
            </w:r>
            <w:r>
              <w:rPr>
                <w:rFonts w:eastAsia="仿宋_GB2312" w:cs="Calibri"/>
                <w:color w:val="000000"/>
              </w:rPr>
              <w:t xml:space="preserve"> </w:t>
            </w:r>
            <w:r>
              <w:rPr>
                <w:rFonts w:hint="eastAsia" w:ascii="仿宋_GB2312" w:hAnsi="等线" w:eastAsia="仿宋_GB2312"/>
                <w:color w:val="000000"/>
              </w:rPr>
              <w:t xml:space="preserve"> I/O 负载的业务场景。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高效云</w:t>
            </w:r>
            <w:r>
              <w:rPr>
                <w:rFonts w:hint="eastAsia" w:ascii="仿宋_GB2312" w:hAnsi="等线" w:eastAsia="仿宋_GB2312"/>
                <w:color w:val="000000"/>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0.51</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6.05</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为云服务器提供块级别存储空间，一块云硬盘只能挂载到单台云服务器上，单盘不大于32768GB（32TB),物理存储设备为SAS机械硬盘。</w:t>
            </w:r>
            <w:r>
              <w:rPr>
                <w:rFonts w:hint="eastAsia" w:ascii="仿宋_GB2312" w:hAnsi="等线" w:eastAsia="仿宋_GB2312"/>
                <w:color w:val="000000"/>
              </w:rPr>
              <w:t xml:space="preserve">高效云</w:t>
            </w:r>
            <w:r>
              <w:rPr>
                <w:rFonts w:hint="eastAsia" w:ascii="仿宋_GB2312" w:hAnsi="等线" w:eastAsia="仿宋_GB2312"/>
                <w:color w:val="000000"/>
              </w:rPr>
              <w:t xml:space="preserve">盘适用于一般工作负载的业务场景。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SSD云硬盘</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0.65</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为云服务器提供块级别存储空间，一块云硬盘只能挂载到单台云服务器上，单盘不大于32768GB（32TB),物理存储设备为固态硬盘。SSD云盘适用于数据访问频繁的高I/O 负载的业务场景。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文件存储</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0.21</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2.42</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基于分布式文件系统提供POSIX文件接口，适配原生操作系统，提供共享访问，同时保证数据一致性和锁互斥，弹性扩展，满足高吞吐、低延迟、海量文件存储场景</w:t>
            </w:r>
            <w:r/>
          </w:p>
        </w:tc>
      </w:tr>
      <w:tr>
        <w:trPr>
          <w:trHeight w:val="295"/>
        </w:trPr>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ind w:left="0"/>
              <w:jc w:val="left"/>
              <w:rPr>
                <w:rFonts w:hint="eastAsia" w:ascii="仿宋_GB2312" w:hAnsi="等线" w:eastAsia="仿宋_GB2312"/>
                <w:color w:val="000000"/>
              </w:rPr>
            </w:pPr>
            <w:r>
              <w:rPr>
                <w:rFonts w:hint="eastAsia" w:ascii="仿宋_GB2312" w:hAnsi="等线" w:eastAsia="仿宋_GB2312"/>
                <w:color w:val="000000"/>
              </w:rPr>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对象存储</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0.21</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2.42</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基于分布式技术提供对象存储服务，采用数据冗余机制将数据分散存放提升数据可靠性，以更低地时延响应热点数据的访问，满足客户低延迟海量数据存储需求</w:t>
            </w:r>
            <w:r/>
          </w:p>
        </w:tc>
      </w:tr>
      <w:tr>
        <w:trPr>
          <w:trHeight w:val="29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备份服务</w:t>
            </w:r>
            <w:r/>
          </w:p>
        </w:tc>
        <w:tc>
          <w:tcPr>
            <w:shd w:val="clear" w:color="auto" w:fill="auto"/>
            <w:tcBorders>
              <w:top w:val="none" w:color="000000" w:sz="4" w:space="0"/>
              <w:left w:val="none" w:color="000000" w:sz="4" w:space="0"/>
              <w:bottom w:val="single" w:color="auto" w:sz="4" w:space="0"/>
              <w:right w:val="single" w:color="auto" w:sz="4" w:space="0"/>
            </w:tcBorders>
            <w:tcW w:w="1029"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云备份</w:t>
            </w:r>
            <w:r/>
          </w:p>
        </w:tc>
        <w:tc>
          <w:tcPr>
            <w:shd w:val="clear" w:color="auto" w:fill="auto"/>
            <w:tcBorders>
              <w:top w:val="none" w:color="000000" w:sz="4" w:space="0"/>
              <w:left w:val="none" w:color="000000" w:sz="4" w:space="0"/>
              <w:bottom w:val="single" w:color="auto" w:sz="4" w:space="0"/>
              <w:right w:val="single" w:color="auto" w:sz="4" w:space="0"/>
            </w:tcBorders>
            <w:tcW w:w="335"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GB</w:t>
            </w:r>
            <w:r/>
          </w:p>
        </w:tc>
        <w:tc>
          <w:tcPr>
            <w:shd w:val="clear" w:color="auto" w:fill="auto"/>
            <w:tcBorders>
              <w:top w:val="none" w:color="000000" w:sz="4" w:space="0"/>
              <w:left w:val="none" w:color="000000" w:sz="4" w:space="0"/>
              <w:bottom w:val="single" w:color="auto" w:sz="4" w:space="0"/>
              <w:right w:val="single" w:color="auto" w:sz="4" w:space="0"/>
            </w:tcBorders>
            <w:tcW w:w="550"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0.42</w:t>
            </w:r>
            <w:r/>
          </w:p>
        </w:tc>
        <w:tc>
          <w:tcPr>
            <w:shd w:val="clear" w:color="auto" w:fill="auto"/>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ind w:left="0"/>
              <w:jc w:val="center"/>
              <w:rPr>
                <w:rFonts w:hint="eastAsia" w:ascii="仿宋_GB2312" w:hAnsi="等线" w:eastAsia="仿宋_GB2312"/>
                <w:color w:val="000000"/>
              </w:rPr>
            </w:pPr>
            <w:r>
              <w:rPr>
                <w:rFonts w:hint="eastAsia" w:ascii="仿宋_GB2312" w:hAnsi="等线" w:eastAsia="仿宋_GB2312"/>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120" w:type="pct"/>
            <w:vAlign w:val="center"/>
            <w:textDirection w:val="lrTb"/>
            <w:noWrap w:val="false"/>
          </w:tcPr>
          <w:p>
            <w:pPr>
              <w:ind w:left="0"/>
              <w:rPr>
                <w:rFonts w:hint="eastAsia" w:ascii="仿宋_GB2312" w:hAnsi="等线" w:eastAsia="仿宋_GB2312"/>
                <w:color w:val="000000"/>
              </w:rPr>
            </w:pPr>
            <w:r>
              <w:rPr>
                <w:rFonts w:hint="eastAsia" w:ascii="仿宋_GB2312" w:hAnsi="等线" w:eastAsia="仿宋_GB2312"/>
                <w:color w:val="000000"/>
              </w:rPr>
              <w:t xml:space="preserve">含备份空间+备份软件授权：提供云硬盘、云服务器、数据库的定时备份服务，根据所申请的容量计费，该容量指用户备份数据的可用存储空间。使用场景：文件备份、数据库备份、虚拟机备份、应用备份等</w:t>
            </w:r>
            <w:r/>
          </w:p>
        </w:tc>
      </w:tr>
    </w:tbl>
    <w:p>
      <w:pPr>
        <w:ind w:left="0" w:firstLine="420"/>
        <w:spacing w:line="360" w:lineRule="auto"/>
        <w:tabs>
          <w:tab w:val="left" w:pos="567" w:leader="none"/>
        </w:tabs>
        <w:rPr>
          <w:rFonts w:hint="eastAsia" w:ascii="宋体" w:hAnsi="宋体"/>
          <w:sz w:val="21"/>
        </w:rPr>
      </w:pPr>
      <w:r>
        <w:rPr>
          <w:rFonts w:hint="eastAsia" w:ascii="宋体" w:hAnsi="宋体"/>
          <w:sz w:val="21"/>
        </w:rPr>
        <w:t xml:space="preserve">计费说明：</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智算</w:t>
      </w:r>
      <w:r>
        <w:rPr>
          <w:rFonts w:hint="eastAsia" w:ascii="宋体" w:hAnsi="宋体"/>
          <w:sz w:val="21"/>
        </w:rPr>
        <w:t xml:space="preserve">云</w:t>
      </w:r>
      <w:r>
        <w:rPr>
          <w:rFonts w:hint="eastAsia" w:ascii="宋体" w:hAnsi="宋体"/>
          <w:sz w:val="21"/>
        </w:rPr>
        <w:t xml:space="preserve">服务费</w:t>
      </w:r>
      <w:r>
        <w:rPr>
          <w:rFonts w:hint="eastAsia" w:ascii="宋体" w:hAnsi="宋体"/>
          <w:sz w:val="21"/>
        </w:rPr>
        <w:t xml:space="preserve">计算</w:t>
      </w:r>
      <w:r>
        <w:rPr>
          <w:rFonts w:hint="eastAsia" w:ascii="宋体" w:hAnsi="宋体"/>
          <w:sz w:val="21"/>
        </w:rPr>
        <w:t xml:space="preserve">方式如下</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单项</w:t>
      </w:r>
      <w:r>
        <w:rPr>
          <w:rFonts w:hint="eastAsia" w:ascii="宋体" w:hAnsi="宋体"/>
          <w:sz w:val="21"/>
        </w:rPr>
        <w:t xml:space="preserve">智算</w:t>
      </w:r>
      <w:r>
        <w:rPr>
          <w:rFonts w:hint="eastAsia" w:ascii="宋体" w:hAnsi="宋体"/>
          <w:sz w:val="21"/>
        </w:rPr>
        <w:t xml:space="preserve">云</w:t>
      </w:r>
      <w:r>
        <w:rPr>
          <w:rFonts w:hint="eastAsia" w:ascii="宋体" w:hAnsi="宋体"/>
          <w:sz w:val="21"/>
        </w:rPr>
        <w:t xml:space="preserve">服务</w:t>
      </w:r>
      <w:r>
        <w:rPr>
          <w:rFonts w:hint="eastAsia" w:ascii="宋体" w:hAnsi="宋体"/>
          <w:sz w:val="21"/>
        </w:rPr>
        <w:t xml:space="preserve">资源费用=</w:t>
      </w:r>
      <w:r>
        <w:rPr>
          <w:rFonts w:hint="eastAsia" w:ascii="宋体" w:hAnsi="宋体"/>
          <w:sz w:val="21"/>
        </w:rPr>
        <w:t xml:space="preserve">智算</w:t>
      </w:r>
      <w:r>
        <w:rPr>
          <w:rFonts w:hint="eastAsia" w:ascii="宋体" w:hAnsi="宋体"/>
          <w:sz w:val="21"/>
        </w:rPr>
        <w:t xml:space="preserve">云</w:t>
      </w:r>
      <w:r>
        <w:rPr>
          <w:rFonts w:hint="eastAsia" w:ascii="宋体" w:hAnsi="宋体"/>
          <w:sz w:val="21"/>
        </w:rPr>
        <w:t xml:space="preserve">服务</w:t>
      </w:r>
      <w:r>
        <w:rPr>
          <w:rFonts w:hint="eastAsia" w:ascii="宋体" w:hAnsi="宋体"/>
          <w:sz w:val="21"/>
        </w:rPr>
        <w:t xml:space="preserve">目录</w:t>
      </w:r>
      <w:r>
        <w:rPr>
          <w:rFonts w:hint="eastAsia" w:ascii="宋体" w:hAnsi="宋体"/>
          <w:sz w:val="21"/>
        </w:rPr>
        <w:t xml:space="preserve">单价*</w:t>
      </w:r>
      <w:r>
        <w:rPr>
          <w:rFonts w:hint="eastAsia" w:ascii="宋体" w:hAnsi="宋体"/>
          <w:sz w:val="21"/>
        </w:rPr>
        <w:t xml:space="preserve">对应</w:t>
      </w:r>
      <w:r>
        <w:rPr>
          <w:rFonts w:hint="eastAsia" w:ascii="宋体" w:hAnsi="宋体"/>
          <w:sz w:val="21"/>
        </w:rPr>
        <w:t xml:space="preserve">资源</w:t>
      </w:r>
      <w:r>
        <w:rPr>
          <w:rFonts w:hint="eastAsia" w:ascii="宋体" w:hAnsi="宋体"/>
          <w:sz w:val="21"/>
        </w:rPr>
        <w:t xml:space="preserve">项</w:t>
      </w:r>
      <w:r>
        <w:rPr>
          <w:rFonts w:hint="eastAsia" w:ascii="宋体" w:hAnsi="宋体"/>
          <w:sz w:val="21"/>
        </w:rPr>
        <w:t xml:space="preserve">数量*使用时长；</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智算云</w:t>
      </w:r>
      <w:r>
        <w:rPr>
          <w:rFonts w:hint="eastAsia" w:ascii="宋体" w:hAnsi="宋体"/>
          <w:sz w:val="21"/>
        </w:rPr>
        <w:t xml:space="preserve">服务费（总）=各单项</w:t>
      </w:r>
      <w:r>
        <w:rPr>
          <w:rFonts w:hint="eastAsia" w:ascii="宋体" w:hAnsi="宋体"/>
          <w:sz w:val="21"/>
        </w:rPr>
        <w:t xml:space="preserve">智算</w:t>
      </w:r>
      <w:r>
        <w:rPr>
          <w:rFonts w:hint="eastAsia" w:ascii="宋体" w:hAnsi="宋体"/>
          <w:sz w:val="21"/>
        </w:rPr>
        <w:t xml:space="preserve">云</w:t>
      </w:r>
      <w:r>
        <w:rPr>
          <w:rFonts w:hint="eastAsia" w:ascii="宋体" w:hAnsi="宋体"/>
          <w:sz w:val="21"/>
        </w:rPr>
        <w:t xml:space="preserve">服务</w:t>
      </w:r>
      <w:r>
        <w:rPr>
          <w:rFonts w:hint="eastAsia" w:ascii="宋体" w:hAnsi="宋体"/>
          <w:sz w:val="21"/>
        </w:rPr>
        <w:t xml:space="preserve">资源</w:t>
      </w:r>
      <w:r>
        <w:rPr>
          <w:rFonts w:hint="eastAsia" w:ascii="宋体" w:hAnsi="宋体"/>
          <w:sz w:val="21"/>
        </w:rPr>
        <w:t xml:space="preserve">费用之</w:t>
      </w:r>
      <w:r>
        <w:rPr>
          <w:rFonts w:hint="eastAsia" w:ascii="宋体" w:hAnsi="宋体"/>
          <w:sz w:val="21"/>
        </w:rPr>
        <w:t xml:space="preserve">和</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2、提供调试期，即提供自新项目申请资源开通之日（含）起15天的免费调试期。调试期到期后即开始计费。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3、短期资源按天计费，收费标准=</w:t>
      </w:r>
      <w:r>
        <w:rPr>
          <w:rFonts w:hint="eastAsia" w:ascii="宋体" w:hAnsi="宋体"/>
          <w:sz w:val="21"/>
        </w:rPr>
        <w:t xml:space="preserve">资源月</w:t>
      </w:r>
      <w:r>
        <w:rPr>
          <w:rFonts w:hint="eastAsia" w:ascii="宋体" w:hAnsi="宋体"/>
          <w:sz w:val="21"/>
        </w:rPr>
        <w:t xml:space="preserve">费/当月天数*实际使用天数（自然日）。</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w:t>
      </w:r>
      <w:r>
        <w:rPr>
          <w:rFonts w:hint="eastAsia" w:ascii="宋体" w:hAnsi="宋体"/>
          <w:sz w:val="21"/>
        </w:rPr>
        <w:t xml:space="preserve">智算</w:t>
      </w:r>
      <w:r>
        <w:rPr>
          <w:rFonts w:hint="eastAsia" w:ascii="宋体" w:hAnsi="宋体"/>
          <w:sz w:val="21"/>
        </w:rPr>
        <w:t xml:space="preserve">云服务</w:t>
      </w:r>
      <w:r>
        <w:rPr>
          <w:rFonts w:hint="eastAsia" w:ascii="宋体" w:hAnsi="宋体"/>
          <w:sz w:val="21"/>
        </w:rPr>
        <w:t xml:space="preserve">发生变更（升配、降配）操作，按实际天数计费</w:t>
      </w:r>
      <w:r>
        <w:rPr>
          <w:rFonts w:hint="eastAsia" w:ascii="宋体" w:hAnsi="宋体"/>
          <w:sz w:val="21"/>
        </w:rPr>
        <w:t xml:space="preserve">；</w:t>
      </w:r>
      <w:r>
        <w:rPr>
          <w:rFonts w:hint="eastAsia" w:ascii="宋体" w:hAnsi="宋体"/>
          <w:sz w:val="21"/>
        </w:rPr>
        <w:t xml:space="preserve">智算</w:t>
      </w:r>
      <w:r>
        <w:rPr>
          <w:rFonts w:hint="eastAsia" w:ascii="宋体" w:hAnsi="宋体"/>
          <w:sz w:val="21"/>
        </w:rPr>
        <w:t xml:space="preserve">云服务</w:t>
      </w:r>
      <w:r>
        <w:rPr>
          <w:rFonts w:hint="eastAsia" w:ascii="宋体" w:hAnsi="宋体"/>
          <w:sz w:val="21"/>
        </w:rPr>
        <w:t xml:space="preserve">注销当天正常收费</w:t>
      </w:r>
      <w:r>
        <w:rPr>
          <w:rFonts w:hint="eastAsia" w:ascii="宋体" w:hAnsi="宋体"/>
          <w:sz w:val="21"/>
        </w:rPr>
        <w:t xml:space="preserve">；</w:t>
      </w:r>
      <w:r>
        <w:rPr>
          <w:rFonts w:hint="eastAsia" w:ascii="宋体" w:hAnsi="宋体"/>
          <w:sz w:val="21"/>
        </w:rPr>
        <w:t xml:space="preserve">变更及注销导致使用天数不满一个月的，按天计费，计费规则参考短期计费标准。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w:t>
      </w:r>
      <w:r>
        <w:rPr>
          <w:rFonts w:hint="eastAsia" w:ascii="宋体" w:hAnsi="宋体"/>
          <w:sz w:val="21"/>
        </w:rPr>
        <w:t xml:space="preserve">中标</w:t>
      </w:r>
      <w:r>
        <w:rPr>
          <w:rFonts w:hint="eastAsia" w:ascii="宋体" w:hAnsi="宋体"/>
          <w:sz w:val="21"/>
        </w:rPr>
        <w:t xml:space="preserve">人</w:t>
      </w:r>
      <w:r>
        <w:rPr>
          <w:rFonts w:hint="eastAsia" w:ascii="宋体" w:hAnsi="宋体"/>
          <w:sz w:val="21"/>
        </w:rPr>
        <w:t xml:space="preserve">在服务期内需按照招标人的要求，在每次费用结算周期前提供</w:t>
      </w:r>
      <w:r>
        <w:rPr>
          <w:rFonts w:hint="eastAsia" w:ascii="宋体" w:hAnsi="宋体"/>
          <w:sz w:val="21"/>
        </w:rPr>
        <w:t xml:space="preserve">云资源</w:t>
      </w:r>
      <w:r>
        <w:rPr>
          <w:rFonts w:hint="eastAsia" w:ascii="宋体" w:hAnsi="宋体"/>
          <w:sz w:val="21"/>
        </w:rPr>
        <w:t xml:space="preserve">使用确认单。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6、在服务期内做好</w:t>
      </w:r>
      <w:r>
        <w:rPr>
          <w:rFonts w:hint="eastAsia" w:ascii="宋体" w:hAnsi="宋体"/>
          <w:sz w:val="21"/>
        </w:rPr>
        <w:t xml:space="preserve">云资源</w:t>
      </w:r>
      <w:r>
        <w:rPr>
          <w:rFonts w:hint="eastAsia" w:ascii="宋体" w:hAnsi="宋体"/>
          <w:sz w:val="21"/>
        </w:rPr>
        <w:t xml:space="preserve">使用日常监测工作，对于</w:t>
      </w:r>
      <w:r>
        <w:rPr>
          <w:rFonts w:hint="eastAsia" w:ascii="宋体" w:hAnsi="宋体"/>
          <w:sz w:val="21"/>
        </w:rPr>
        <w:t xml:space="preserve">资源月</w:t>
      </w:r>
      <w:r>
        <w:rPr>
          <w:rFonts w:hint="eastAsia" w:ascii="宋体" w:hAnsi="宋体"/>
          <w:sz w:val="21"/>
        </w:rPr>
        <w:t xml:space="preserve">使用率</w:t>
      </w:r>
      <w:r>
        <w:rPr>
          <w:rFonts w:hint="eastAsia" w:ascii="宋体" w:hAnsi="宋体"/>
          <w:sz w:val="21"/>
        </w:rPr>
        <w:t xml:space="preserve">过低</w:t>
      </w:r>
      <w:r>
        <w:rPr>
          <w:rFonts w:hint="eastAsia" w:ascii="宋体" w:hAnsi="宋体"/>
          <w:sz w:val="21"/>
        </w:rPr>
        <w:t xml:space="preserve">的系统，应及时通知</w:t>
      </w:r>
      <w:r>
        <w:rPr>
          <w:rFonts w:hint="eastAsia" w:ascii="宋体" w:hAnsi="宋体"/>
          <w:sz w:val="21"/>
        </w:rPr>
        <w:t xml:space="preserve">用户</w:t>
      </w:r>
      <w:r>
        <w:rPr>
          <w:rFonts w:hint="eastAsia" w:ascii="宋体" w:hAnsi="宋体"/>
          <w:sz w:val="21"/>
        </w:rPr>
        <w:t xml:space="preserve">单位</w:t>
      </w:r>
      <w:r>
        <w:rPr>
          <w:rFonts w:hint="eastAsia" w:ascii="宋体" w:hAnsi="宋体"/>
          <w:sz w:val="21"/>
        </w:rPr>
        <w:t xml:space="preserve">并配合</w:t>
      </w:r>
      <w:r>
        <w:rPr>
          <w:rFonts w:hint="eastAsia" w:ascii="宋体" w:hAnsi="宋体"/>
          <w:sz w:val="21"/>
        </w:rPr>
        <w:t xml:space="preserve">优化</w:t>
      </w:r>
      <w:r>
        <w:rPr>
          <w:rFonts w:hint="eastAsia" w:ascii="宋体" w:hAnsi="宋体"/>
          <w:sz w:val="21"/>
        </w:rPr>
        <w:t xml:space="preserve">；</w:t>
      </w:r>
      <w:r>
        <w:rPr>
          <w:rFonts w:hint="eastAsia" w:ascii="宋体" w:hAnsi="宋体"/>
          <w:sz w:val="21"/>
        </w:rPr>
        <w:t xml:space="preserve">长期未整改</w:t>
      </w:r>
      <w:r>
        <w:rPr>
          <w:rFonts w:hint="eastAsia" w:ascii="宋体" w:hAnsi="宋体"/>
          <w:sz w:val="21"/>
        </w:rPr>
        <w:t xml:space="preserve">的</w:t>
      </w:r>
      <w:r>
        <w:rPr>
          <w:rFonts w:hint="eastAsia" w:ascii="宋体" w:hAnsi="宋体"/>
          <w:sz w:val="21"/>
        </w:rPr>
        <w:t xml:space="preserve">项目</w:t>
      </w:r>
      <w:r>
        <w:rPr>
          <w:rFonts w:hint="eastAsia" w:ascii="宋体" w:hAnsi="宋体"/>
          <w:sz w:val="21"/>
        </w:rPr>
        <w:t xml:space="preserve">，</w:t>
      </w:r>
      <w:r>
        <w:rPr>
          <w:rFonts w:hint="eastAsia" w:ascii="宋体" w:hAnsi="宋体"/>
          <w:sz w:val="21"/>
        </w:rPr>
        <w:t xml:space="preserve">应配合招标人要求对</w:t>
      </w:r>
      <w:r>
        <w:rPr>
          <w:rFonts w:hint="eastAsia" w:ascii="宋体" w:hAnsi="宋体"/>
          <w:sz w:val="21"/>
        </w:rPr>
        <w:t xml:space="preserve">相关</w:t>
      </w:r>
      <w:r>
        <w:rPr>
          <w:rFonts w:hint="eastAsia" w:ascii="宋体" w:hAnsi="宋体"/>
          <w:sz w:val="21"/>
        </w:rPr>
        <w:t xml:space="preserve">系统进行优化处理。</w:t>
      </w:r>
      <w:r/>
    </w:p>
    <w:p>
      <w:pPr>
        <w:pStyle w:val="1001"/>
      </w:pPr>
      <w:r/>
      <w:r/>
    </w:p>
    <w:p>
      <w:pPr>
        <w:pStyle w:val="1015"/>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9"/>
        <w:ind w:left="0" w:firstLine="0"/>
        <w:jc w:val="center"/>
        <w:rPr>
          <w:rFonts w:hint="eastAsia" w:ascii="宋体" w:hAnsi="宋体"/>
          <w:b/>
          <w:sz w:val="44"/>
          <w:szCs w:val="22"/>
        </w:rPr>
      </w:pPr>
      <w:r/>
      <w:bookmarkStart w:id="108" w:name="_Toc5111"/>
      <w:r/>
      <w:bookmarkStart w:id="109" w:name="_Toc11789"/>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 合同及主要条款</w:t>
      </w:r>
      <w:bookmarkEnd w:id="108"/>
      <w:r/>
      <w:bookmarkEnd w:id="109"/>
      <w:r/>
      <w:bookmarkEnd w:id="111"/>
      <w:r/>
      <w:r/>
    </w:p>
    <w:p>
      <w:pPr>
        <w:ind w:left="0"/>
        <w:jc w:val="center"/>
        <w:rPr>
          <w:rFonts w:hint="eastAsia" w:ascii="宋体" w:hAnsi="宋体"/>
          <w:b/>
          <w:sz w:val="32"/>
          <w:szCs w:val="32"/>
        </w:rPr>
      </w:pPr>
      <w:r/>
      <w:bookmarkStart w:id="113" w:name="OLE_LINK13"/>
      <w:r/>
      <w:bookmarkStart w:id="114" w:name="_Toc57376410"/>
      <w:r/>
      <w:bookmarkStart w:id="115" w:name="_Toc27667"/>
      <w:r/>
      <w:bookmarkStart w:id="116" w:name="_Toc8564"/>
      <w:r/>
      <w:bookmarkStart w:id="117" w:name="_Toc105397795"/>
      <w:r/>
      <w:bookmarkEnd w:id="110"/>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ind w:left="0" w:firstLine="420"/>
        <w:spacing w:line="480" w:lineRule="exact"/>
        <w:widowControl w:val="off"/>
        <w:rPr>
          <w:rFonts w:hint="eastAsia" w:ascii="宋体" w:hAnsi="宋体"/>
          <w:sz w:val="21"/>
          <w:szCs w:val="21"/>
          <w:u w:val="single"/>
        </w:rPr>
      </w:pPr>
      <w:r>
        <w:rPr>
          <w:rFonts w:ascii="Segoe UI Symbol" w:hAnsi="Segoe UI Symbol" w:cs="Segoe UI Symbol"/>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合同签订后，乙方向甲方开具发票，甲方自收到发票之日起30日内支付合同总价10%的预付款。剩余费用先用后付的方式，服务满6个月，乙方提供上半年云服务费用</w:t>
      </w:r>
      <w:r>
        <w:rPr>
          <w:rFonts w:hint="eastAsia" w:ascii="宋体" w:hAnsi="宋体"/>
          <w:sz w:val="21"/>
          <w:szCs w:val="21"/>
          <w:u w:val="single"/>
        </w:rPr>
        <w:t xml:space="preserve">（即合同总价的4</w:t>
      </w:r>
      <w:r>
        <w:rPr>
          <w:rFonts w:ascii="宋体" w:hAnsi="宋体"/>
          <w:sz w:val="21"/>
          <w:szCs w:val="21"/>
          <w:u w:val="single"/>
        </w:rPr>
        <w:t xml:space="preserve">0</w:t>
      </w:r>
      <w:r>
        <w:rPr>
          <w:rFonts w:hint="eastAsia" w:ascii="宋体" w:hAnsi="宋体"/>
          <w:sz w:val="21"/>
          <w:szCs w:val="21"/>
          <w:u w:val="single"/>
        </w:rPr>
        <w:t xml:space="preserve">%，不含已支付的1</w:t>
      </w:r>
      <w:r>
        <w:rPr>
          <w:rFonts w:ascii="宋体" w:hAnsi="宋体"/>
          <w:sz w:val="21"/>
          <w:szCs w:val="21"/>
          <w:u w:val="single"/>
        </w:rPr>
        <w:t xml:space="preserve">0</w:t>
      </w:r>
      <w:r>
        <w:rPr>
          <w:rFonts w:hint="eastAsia" w:ascii="宋体" w:hAnsi="宋体"/>
          <w:sz w:val="21"/>
          <w:szCs w:val="21"/>
          <w:u w:val="single"/>
        </w:rPr>
        <w:t xml:space="preserve">%预付款）</w:t>
      </w:r>
      <w:r>
        <w:rPr>
          <w:rFonts w:hint="eastAsia" w:ascii="宋体" w:hAnsi="宋体"/>
          <w:sz w:val="21"/>
          <w:szCs w:val="21"/>
          <w:u w:val="single"/>
        </w:rPr>
        <w:t xml:space="preserve">的计价单及发票，甲方支付上半年的云服务费用。服务满12个月，乙方提供下半年云服务费用</w:t>
      </w:r>
      <w:r>
        <w:rPr>
          <w:rFonts w:hint="eastAsia" w:ascii="宋体" w:hAnsi="宋体"/>
          <w:sz w:val="21"/>
          <w:szCs w:val="21"/>
          <w:u w:val="single"/>
        </w:rPr>
        <w:t xml:space="preserve">（即合同总价的</w:t>
      </w:r>
      <w:r>
        <w:rPr>
          <w:rFonts w:ascii="宋体" w:hAnsi="宋体"/>
          <w:sz w:val="21"/>
          <w:szCs w:val="21"/>
          <w:u w:val="single"/>
        </w:rPr>
        <w:t xml:space="preserve">50</w:t>
      </w:r>
      <w:r>
        <w:rPr>
          <w:rFonts w:hint="eastAsia" w:ascii="宋体" w:hAnsi="宋体"/>
          <w:sz w:val="21"/>
          <w:szCs w:val="21"/>
          <w:u w:val="single"/>
        </w:rPr>
        <w:t xml:space="preserve">%）</w:t>
      </w:r>
      <w:r>
        <w:rPr>
          <w:rFonts w:hint="eastAsia" w:ascii="宋体" w:hAnsi="宋体"/>
          <w:sz w:val="21"/>
          <w:szCs w:val="21"/>
          <w:u w:val="single"/>
        </w:rPr>
        <w:t xml:space="preserve">的计价单及发票，甲方支付下半年的云服务费用。</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w:t>
      </w:r>
      <w:r>
        <w:rPr>
          <w:rFonts w:ascii="宋体" w:hAnsi="宋体"/>
          <w:sz w:val="21"/>
          <w:szCs w:val="21"/>
          <w:lang w:bidi="ar"/>
        </w:rPr>
        <w:t xml:space="preserve">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3"/>
            <w:r/>
            <w:r/>
          </w:p>
        </w:tc>
      </w:tr>
    </w:tbl>
    <w:p>
      <w:pPr>
        <w:pStyle w:val="1048"/>
        <w:ind w:left="0" w:firstLine="0"/>
        <w:rPr>
          <w:rFonts w:hint="eastAsia" w:ascii="宋体" w:hAnsi="宋体"/>
          <w:b/>
          <w:sz w:val="44"/>
          <w:szCs w:val="22"/>
        </w:rPr>
      </w:pPr>
      <w:r>
        <w:rPr>
          <w:rFonts w:hint="eastAsia" w:ascii="宋体" w:hAnsi="宋体"/>
          <w:b/>
          <w:sz w:val="44"/>
          <w:szCs w:val="22"/>
        </w:rPr>
      </w:r>
      <w:r/>
    </w:p>
    <w:p>
      <w:pPr>
        <w:pStyle w:val="1048"/>
        <w:ind w:left="400" w:firstLine="883"/>
        <w:rPr>
          <w:rFonts w:hint="eastAsia" w:ascii="宋体" w:hAnsi="宋体"/>
          <w:b/>
          <w:sz w:val="44"/>
          <w:szCs w:val="22"/>
        </w:rPr>
      </w:pPr>
      <w:r>
        <w:rPr>
          <w:rFonts w:hint="eastAsia" w:ascii="宋体" w:hAnsi="宋体"/>
          <w:b/>
          <w:sz w:val="44"/>
          <w:szCs w:val="22"/>
        </w:rPr>
        <w:br w:type="page" w:clear="all"/>
      </w:r>
      <w:r/>
    </w:p>
    <w:p>
      <w:pPr>
        <w:pStyle w:val="989"/>
        <w:ind w:left="0" w:firstLine="0"/>
        <w:jc w:val="center"/>
        <w:rPr>
          <w:rFonts w:hint="eastAsia" w:ascii="宋体" w:hAnsi="宋体"/>
          <w:b/>
          <w:sz w:val="44"/>
          <w:szCs w:val="22"/>
        </w:rPr>
      </w:pPr>
      <w:r>
        <w:rPr>
          <w:rFonts w:hint="eastAsia" w:ascii="宋体" w:hAnsi="宋体"/>
          <w:b/>
          <w:sz w:val="44"/>
          <w:szCs w:val="22"/>
        </w:rPr>
        <w:t xml:space="preserve">第六章 </w:t>
      </w:r>
      <w:bookmarkStart w:id="118" w:name="评分要点"/>
      <w:r/>
      <w:bookmarkEnd w:id="118"/>
      <w:r>
        <w:rPr>
          <w:rFonts w:hint="eastAsia" w:ascii="宋体" w:hAnsi="宋体"/>
          <w:b/>
          <w:sz w:val="44"/>
          <w:szCs w:val="22"/>
        </w:rPr>
        <w:t xml:space="preserve"> 评标办法和评分标准</w:t>
      </w:r>
      <w:bookmarkEnd w:id="114"/>
      <w:r/>
      <w:bookmarkEnd w:id="115"/>
      <w:r/>
      <w:bookmarkEnd w:id="116"/>
      <w:r/>
      <w:bookmarkEnd w:id="117"/>
      <w:r/>
      <w:r/>
    </w:p>
    <w:p>
      <w:pPr>
        <w:ind w:left="0" w:firstLine="422"/>
        <w:spacing w:line="360" w:lineRule="auto"/>
        <w:rPr>
          <w:rFonts w:hint="eastAsia" w:ascii="宋体" w:hAnsi="宋体"/>
          <w:b/>
          <w:sz w:val="21"/>
          <w:szCs w:val="21"/>
        </w:rPr>
      </w:pPr>
      <w:r/>
      <w:bookmarkStart w:id="119" w:name="_Toc16264"/>
      <w:r/>
      <w:bookmarkStart w:id="120" w:name="_Toc698"/>
      <w:r/>
      <w:bookmarkStart w:id="121" w:name="_Toc17476"/>
      <w:r>
        <w:rPr>
          <w:rFonts w:hint="eastAsia" w:ascii="宋体" w:hAnsi="宋体"/>
          <w:b/>
          <w:sz w:val="21"/>
          <w:szCs w:val="21"/>
        </w:rPr>
        <w:t xml:space="preserve">一、评标办法：</w:t>
      </w:r>
      <w:bookmarkEnd w:id="119"/>
      <w:r/>
      <w:bookmarkEnd w:id="120"/>
      <w:r/>
      <w:bookmarkEnd w:id="121"/>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7"/>
        <w:ind w:left="0" w:firstLine="0"/>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957"/>
        <w:gridCol w:w="851"/>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评审项</w:t>
            </w:r>
            <w:r/>
          </w:p>
        </w:tc>
        <w:tc>
          <w:tcPr>
            <w:tcW w:w="5957"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评审规则</w:t>
            </w:r>
            <w:r/>
          </w:p>
        </w:tc>
        <w:tc>
          <w:tcPr>
            <w:tcW w:w="851"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（一）</w:t>
            </w:r>
            <w:r>
              <w:rPr>
                <w:rFonts w:hint="eastAsia" w:ascii="宋体" w:hAnsi="宋体"/>
                <w:b/>
                <w:color w:val="000000"/>
                <w:sz w:val="21"/>
                <w:szCs w:val="21"/>
              </w:rPr>
              <w:t xml:space="preserve">价格部分</w:t>
            </w:r>
            <w:r/>
          </w:p>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1</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w:t>
            </w:r>
            <w:r>
              <w:rPr>
                <w:rFonts w:hint="eastAsia" w:ascii="宋体" w:hAnsi="宋体"/>
                <w:bCs/>
                <w:color w:val="000000"/>
                <w:sz w:val="21"/>
                <w:szCs w:val="21"/>
              </w:rPr>
              <w:t xml:space="preserve">报价</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第一步：本次报价报的是优惠率，不报总价，优惠率是指</w:t>
            </w:r>
            <w:r>
              <w:rPr>
                <w:rFonts w:hint="eastAsia" w:ascii="宋体" w:hAnsi="宋体"/>
                <w:color w:val="000000"/>
                <w:sz w:val="21"/>
                <w:szCs w:val="21"/>
                <w:lang w:bidi="ar"/>
              </w:rPr>
              <w:t xml:space="preserve">预算单价</w:t>
            </w:r>
            <w:r>
              <w:rPr>
                <w:rFonts w:hint="eastAsia" w:ascii="宋体" w:hAnsi="宋体"/>
                <w:color w:val="000000"/>
                <w:sz w:val="21"/>
                <w:szCs w:val="21"/>
                <w:lang w:bidi="ar"/>
              </w:rPr>
              <w:t xml:space="preserve">的优惠比例。</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第二步：在所有有效投标报价中满足招标文件要求，且投标优惠率最高的为评标基准价，其他投标人的价格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投标报价得分＝（1-最高优惠率）/（1-投标优惠率）×10％×100</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举例：</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A、B、C三家供应商各自的优惠率报价依次为1.00%、2.00%、3.00%，则投标报价最低的为C供应商，其价格分为满分10分；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A供应商的投标报价得分：（1-3.00%）/（1-1.00%）×10％×100=9.80分；</w:t>
            </w:r>
            <w:r/>
          </w:p>
          <w:p>
            <w:pPr>
              <w:ind w:left="0"/>
              <w:widowControl w:val="off"/>
              <w:rPr>
                <w:lang w:bidi="ar"/>
              </w:rPr>
            </w:pPr>
            <w:r>
              <w:rPr>
                <w:rFonts w:hint="eastAsia" w:ascii="宋体" w:hAnsi="宋体"/>
                <w:color w:val="000000"/>
                <w:sz w:val="21"/>
                <w:szCs w:val="21"/>
                <w:lang w:bidi="ar"/>
              </w:rPr>
              <w:t xml:space="preserve">B供应商的投标报价得分：（1-3.00%）/（1-2.00%）×10％×100=9.90分。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sz w:val="21"/>
              </w:rPr>
              <w:t xml:space="preserve">（二）技术参数比较（10分）</w:t>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技术参数比较</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bookmarkStart w:id="122" w:name="OLE_LINK26"/>
            <w:r>
              <w:rPr>
                <w:rFonts w:hint="eastAsia" w:ascii="宋体" w:hAnsi="宋体"/>
                <w:color w:val="000000"/>
                <w:sz w:val="21"/>
                <w:szCs w:val="21"/>
                <w:lang w:bidi="ar"/>
              </w:rPr>
              <w:t xml:space="preserve">▲</w:t>
            </w:r>
            <w:bookmarkEnd w:id="122"/>
            <w:r>
              <w:rPr>
                <w:rFonts w:hint="eastAsia" w:ascii="宋体" w:hAnsi="宋体"/>
                <w:color w:val="000000"/>
                <w:sz w:val="21"/>
                <w:szCs w:val="21"/>
                <w:lang w:bidi="ar"/>
              </w:rPr>
              <w:t xml:space="preserve">”的技术指标为重要参数，每符合一个得1分。本项最高得10分。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（注“▲”的技术参数需提供以下任意一种证明材料并加盖投标单位公章，</w:t>
            </w:r>
            <w:r>
              <w:rPr>
                <w:rFonts w:hint="eastAsia" w:ascii="宋体" w:hAnsi="宋体"/>
                <w:b/>
                <w:color w:val="000000"/>
                <w:sz w:val="21"/>
                <w:szCs w:val="21"/>
                <w:lang w:bidi="ar"/>
              </w:rPr>
              <w:t xml:space="preserve">未按要求提供或不提供不得分</w:t>
            </w:r>
            <w:r>
              <w:rPr>
                <w:rFonts w:hint="eastAsia" w:ascii="宋体" w:hAnsi="宋体"/>
                <w:b/>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b/>
                <w:color w:val="000000"/>
                <w:sz w:val="21"/>
                <w:szCs w:val="21"/>
                <w:lang w:bidi="ar"/>
              </w:rPr>
              <w:t xml:space="preserve">1.具有国家认可的第三方权威机构出具的检测报告复印件；2.</w:t>
            </w:r>
            <w:r>
              <w:rPr>
                <w:rFonts w:hint="eastAsia" w:ascii="宋体" w:hAnsi="宋体"/>
                <w:b/>
                <w:color w:val="000000"/>
                <w:sz w:val="21"/>
                <w:szCs w:val="21"/>
                <w:lang w:bidi="ar"/>
              </w:rPr>
              <w:t xml:space="preserve">官网截</w:t>
            </w:r>
            <w:r>
              <w:rPr>
                <w:rFonts w:hint="eastAsia" w:ascii="宋体" w:hAnsi="宋体"/>
                <w:b/>
                <w:color w:val="000000"/>
                <w:sz w:val="21"/>
                <w:szCs w:val="21"/>
                <w:lang w:bidi="ar"/>
              </w:rPr>
              <w:t xml:space="preserve">图证明；3.技术参数彩页；4</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真实功能截图。）</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90"/>
        </w:trPr>
        <w:tc>
          <w:tcPr>
            <w:tcW w:w="1413" w:type="dxa"/>
            <w:vAlign w:val="center"/>
            <w:vMerge w:val="restart"/>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sz w:val="21"/>
              </w:rPr>
              <w:t xml:space="preserve">（三）服务方案（</w:t>
            </w:r>
            <w:r>
              <w:rPr>
                <w:rFonts w:ascii="宋体" w:hAnsi="宋体"/>
                <w:b/>
                <w:bCs/>
                <w:sz w:val="21"/>
              </w:rPr>
              <w:t xml:space="preserve">54</w:t>
            </w:r>
            <w:r>
              <w:rPr>
                <w:rFonts w:hint="eastAsia" w:ascii="宋体" w:hAnsi="宋体"/>
                <w:b/>
                <w:bCs/>
                <w:sz w:val="21"/>
              </w:rPr>
              <w:t xml:space="preserve">分）</w:t>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1.总体技术方案</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总体技术方案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（1）项目背景；</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（2）项目现状；</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（3）需求分析；</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4</w:t>
            </w:r>
            <w:r>
              <w:rPr>
                <w:rFonts w:hint="eastAsia" w:ascii="宋体" w:hAnsi="宋体"/>
                <w:color w:val="000000"/>
                <w:sz w:val="21"/>
                <w:szCs w:val="21"/>
                <w:lang w:bidi="ar"/>
              </w:rPr>
              <w:t xml:space="preserve">）项目总体框架图；</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（5）网络拓扑图；</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（6）重难点等内容。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上述每项应逐条叙述，内容完整，条理清晰的得2分，内容基本完整，条理较为清晰的得1分；每项叙述内容完全脱离采购需求或未作为完整叙述的不得分，本项最高得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2.核心服务方案</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核心服务方案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算力服务</w:t>
            </w:r>
            <w:r>
              <w:rPr>
                <w:rFonts w:hint="eastAsia" w:ascii="宋体" w:hAnsi="宋体"/>
                <w:color w:val="000000"/>
                <w:sz w:val="21"/>
                <w:szCs w:val="21"/>
                <w:lang w:bidi="ar"/>
              </w:rPr>
              <w:t xml:space="preserve">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（2）模型服务方案；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（3）知识库服务方案；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4</w:t>
            </w:r>
            <w:r>
              <w:rPr>
                <w:rFonts w:hint="eastAsia" w:ascii="宋体" w:hAnsi="宋体"/>
                <w:color w:val="000000"/>
                <w:sz w:val="21"/>
                <w:szCs w:val="21"/>
                <w:lang w:bidi="ar"/>
              </w:rPr>
              <w:t xml:space="preserve">）智能体构建服务方案；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）模型安全及组件服务方案；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（6）模型训练及开发服务方案等内容。</w:t>
            </w:r>
            <w:r/>
          </w:p>
          <w:p>
            <w:pPr>
              <w:ind w:left="0"/>
              <w:widowControl w:val="off"/>
              <w:rPr>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上述每项应逐条叙述，内容完整，条理清晰的得2分，内容基本完整，条理较为清晰的得1分；每项叙述内容完全脱离采购需求或未作为完整叙述的不得分，本项最高得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3.安全保障方案</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安全保障方案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（1）网络安全；</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（2）安全通信网络</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（3）安全区域边界</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（4）安全计算环境</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（5）安全管理中心</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智算云</w:t>
            </w:r>
            <w:r>
              <w:rPr>
                <w:rFonts w:hint="eastAsia" w:ascii="宋体" w:hAnsi="宋体"/>
                <w:color w:val="000000"/>
                <w:sz w:val="21"/>
                <w:szCs w:val="21"/>
                <w:lang w:bidi="ar"/>
              </w:rPr>
              <w:t xml:space="preserve">平台内部安全及租户安全等内容。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上述每项应逐条叙述，内容完整，条理清晰的得2分，内容基本完整，条理较为清晰的得1分；每项叙述内容完全脱离采购需求或未作为完整叙述的不得分，本项最高得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4.项目实施方案</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项目实施方案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（1）项目质量控制保障；</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（2）项目进度及风险管理；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3</w:t>
            </w:r>
            <w:r>
              <w:rPr>
                <w:rFonts w:hint="eastAsia" w:ascii="宋体" w:hAnsi="宋体"/>
                <w:color w:val="000000"/>
                <w:sz w:val="21"/>
                <w:szCs w:val="21"/>
                <w:lang w:bidi="ar"/>
              </w:rPr>
              <w:t xml:space="preserve">）项目</w:t>
            </w:r>
            <w:r>
              <w:rPr>
                <w:rFonts w:hint="eastAsia" w:ascii="宋体" w:hAnsi="宋体"/>
                <w:color w:val="000000"/>
                <w:sz w:val="21"/>
                <w:szCs w:val="21"/>
                <w:lang w:bidi="ar"/>
              </w:rPr>
              <w:t xml:space="preserve">组织结构等内容。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上述每项应逐条叙述，内容完整，条理清晰的得2分，内容基本完整，条理较为清晰的得1分；每项叙述内容完全脱离采购需求或未作为完整叙述的不得分，本项最高得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ascii="宋体" w:hAnsi="宋体"/>
                <w:bCs/>
                <w:color w:val="000000"/>
                <w:sz w:val="21"/>
                <w:szCs w:val="21"/>
              </w:rPr>
              <w:t xml:space="preserve">5</w:t>
            </w:r>
            <w:r>
              <w:rPr>
                <w:rFonts w:hint="eastAsia" w:ascii="宋体" w:hAnsi="宋体"/>
                <w:bCs/>
                <w:color w:val="000000"/>
                <w:sz w:val="21"/>
                <w:szCs w:val="21"/>
              </w:rPr>
              <w:t xml:space="preserve">.运维服务方案</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运维服务方案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（1）运维服务体系</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（2）运维团队构成；</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3</w:t>
            </w:r>
            <w:r>
              <w:rPr>
                <w:rFonts w:hint="eastAsia" w:ascii="宋体" w:hAnsi="宋体"/>
                <w:color w:val="000000"/>
                <w:sz w:val="21"/>
                <w:szCs w:val="21"/>
                <w:lang w:bidi="ar"/>
              </w:rPr>
              <w:t xml:space="preserve">）运</w:t>
            </w:r>
            <w:r>
              <w:rPr>
                <w:rFonts w:hint="eastAsia" w:ascii="宋体" w:hAnsi="宋体"/>
                <w:color w:val="000000"/>
                <w:sz w:val="21"/>
                <w:szCs w:val="21"/>
                <w:lang w:bidi="ar"/>
              </w:rPr>
              <w:t xml:space="preserve">维管理</w:t>
            </w:r>
            <w:r>
              <w:rPr>
                <w:rFonts w:hint="eastAsia" w:ascii="宋体" w:hAnsi="宋体"/>
                <w:color w:val="000000"/>
                <w:sz w:val="21"/>
                <w:szCs w:val="21"/>
                <w:lang w:bidi="ar"/>
              </w:rPr>
              <w:t xml:space="preserve">方案等。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上述每项应逐条叙述，内容完整，条理清晰的得2分，内容基本完整，条理较为清晰的得1分；每项叙述内容完全脱离采购需求或未作为完整叙述的不得分，本项最高得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ascii="宋体" w:hAnsi="宋体"/>
                <w:bCs/>
                <w:color w:val="000000"/>
                <w:sz w:val="21"/>
                <w:szCs w:val="21"/>
              </w:rPr>
              <w:t xml:space="preserve">6</w:t>
            </w:r>
            <w:r>
              <w:rPr>
                <w:rFonts w:hint="eastAsia" w:ascii="宋体" w:hAnsi="宋体"/>
                <w:bCs/>
                <w:color w:val="000000"/>
                <w:sz w:val="21"/>
                <w:szCs w:val="21"/>
              </w:rPr>
              <w:t xml:space="preserve">.迁移服务方案</w:t>
            </w:r>
            <w:r/>
          </w:p>
        </w:tc>
        <w:tc>
          <w:tcPr>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迁移服务方案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移设计</w:t>
            </w:r>
            <w:r>
              <w:rPr>
                <w:rFonts w:hint="eastAsia" w:ascii="宋体" w:hAnsi="宋体"/>
                <w:color w:val="000000"/>
                <w:sz w:val="21"/>
                <w:szCs w:val="21"/>
                <w:lang w:bidi="ar"/>
              </w:rPr>
              <w:t xml:space="preserve">服务</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（2）数据迁移服务</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业务系统迁移服务等。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分，内容基本完整，条理较为清晰的得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分；每项叙述内容完全脱离采购需求或未作为完整叙述的不得分，本项最高得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558"/>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ascii="宋体" w:hAnsi="宋体"/>
                <w:bCs/>
                <w:color w:val="000000"/>
                <w:sz w:val="21"/>
                <w:szCs w:val="21"/>
              </w:rPr>
              <w:t xml:space="preserve">7</w:t>
            </w:r>
            <w:r>
              <w:rPr>
                <w:rFonts w:hint="eastAsia" w:ascii="宋体" w:hAnsi="宋体"/>
                <w:bCs/>
                <w:color w:val="000000"/>
                <w:sz w:val="21"/>
                <w:szCs w:val="21"/>
              </w:rPr>
              <w:t xml:space="preserve">.培训方案</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投标人根据本项目特点，制定</w:t>
            </w:r>
            <w:r>
              <w:rPr>
                <w:rFonts w:hint="eastAsia" w:ascii="宋体" w:hAnsi="宋体"/>
                <w:bCs/>
                <w:color w:val="000000"/>
                <w:sz w:val="21"/>
                <w:szCs w:val="21"/>
              </w:rPr>
              <w:t xml:space="preserve">培训方案</w:t>
            </w:r>
            <w:r>
              <w:rPr>
                <w:rFonts w:hint="eastAsia" w:ascii="宋体" w:hAnsi="宋体"/>
                <w:sz w:val="21"/>
                <w:szCs w:val="21"/>
              </w:rPr>
              <w:t xml:space="preserve">，</w:t>
            </w:r>
            <w:r>
              <w:rPr>
                <w:rFonts w:hint="eastAsia" w:ascii="宋体" w:hAnsi="宋体"/>
                <w:color w:val="000000"/>
                <w:sz w:val="21"/>
                <w:szCs w:val="21"/>
                <w:lang w:bidi="ar"/>
              </w:rPr>
              <w:t xml:space="preserve">包括但不限于：</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培训</w:t>
            </w:r>
            <w:r>
              <w:rPr>
                <w:rFonts w:hint="eastAsia" w:ascii="宋体" w:hAnsi="宋体"/>
                <w:color w:val="000000"/>
                <w:sz w:val="21"/>
                <w:szCs w:val="21"/>
                <w:lang w:bidi="ar"/>
              </w:rPr>
              <w:t xml:space="preserve">方式及对象；</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（2）培训</w:t>
            </w:r>
            <w:r>
              <w:rPr>
                <w:rFonts w:hint="eastAsia" w:ascii="宋体" w:hAnsi="宋体"/>
                <w:color w:val="000000"/>
                <w:sz w:val="21"/>
                <w:szCs w:val="21"/>
                <w:lang w:bidi="ar"/>
              </w:rPr>
              <w:t xml:space="preserve">内容</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3</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培训</w:t>
            </w:r>
            <w:r>
              <w:rPr>
                <w:rFonts w:hint="eastAsia" w:ascii="宋体" w:hAnsi="宋体"/>
                <w:color w:val="000000"/>
                <w:sz w:val="21"/>
                <w:szCs w:val="21"/>
                <w:lang w:bidi="ar"/>
              </w:rPr>
              <w:t xml:space="preserve">管理体系等；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上述每项应逐条叙述，内容完整，条理清晰的得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分，内容基本完整，条理较为清晰的得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分；每项叙述内容完全脱离采购需求或未作为完整叙述的不得分，本项最高得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252"/>
        </w:trPr>
        <w:tc>
          <w:tcPr>
            <w:tcW w:w="1413" w:type="dxa"/>
            <w:vAlign w:val="center"/>
            <w:vMerge w:val="restart"/>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sz w:val="21"/>
              </w:rPr>
              <w:t xml:space="preserve">（四）人员服务能力（</w:t>
            </w:r>
            <w:r>
              <w:rPr>
                <w:rFonts w:ascii="宋体" w:hAnsi="宋体"/>
                <w:b/>
                <w:bCs/>
                <w:sz w:val="21"/>
              </w:rPr>
              <w:t xml:space="preserve">11</w:t>
            </w:r>
            <w:r>
              <w:rPr>
                <w:rFonts w:hint="eastAsia" w:ascii="宋体" w:hAnsi="宋体"/>
                <w:b/>
                <w:bCs/>
                <w:sz w:val="21"/>
              </w:rPr>
              <w:t xml:space="preserve">分）</w:t>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1.项目经理</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bCs/>
                <w:color w:val="000000"/>
                <w:sz w:val="21"/>
                <w:szCs w:val="21"/>
              </w:rPr>
              <w:t xml:space="preserve">拟派</w:t>
            </w:r>
            <w:r>
              <w:rPr>
                <w:rFonts w:hint="eastAsia" w:ascii="宋体" w:hAnsi="宋体"/>
                <w:bCs/>
                <w:color w:val="000000"/>
                <w:sz w:val="21"/>
                <w:szCs w:val="21"/>
              </w:rPr>
              <w:t xml:space="preserve">专职项目</w:t>
            </w:r>
            <w:r>
              <w:rPr>
                <w:rFonts w:hint="eastAsia" w:ascii="宋体" w:hAnsi="宋体"/>
                <w:bCs/>
                <w:color w:val="000000"/>
                <w:sz w:val="21"/>
                <w:szCs w:val="21"/>
              </w:rPr>
              <w:t xml:space="preserve">经理</w:t>
            </w:r>
            <w:r>
              <w:rPr>
                <w:rFonts w:hint="eastAsia" w:ascii="宋体" w:hAnsi="宋体"/>
                <w:color w:val="000000"/>
                <w:sz w:val="21"/>
                <w:szCs w:val="21"/>
                <w:lang w:bidi="ar"/>
              </w:rPr>
              <w:t xml:space="preserve">具备</w:t>
            </w:r>
            <w:r>
              <w:rPr>
                <w:rFonts w:hint="eastAsia" w:ascii="宋体" w:hAnsi="宋体"/>
                <w:color w:val="000000"/>
                <w:sz w:val="21"/>
                <w:szCs w:val="21"/>
                <w:lang w:bidi="ar"/>
              </w:rPr>
              <w:t xml:space="preserve">有效期内的</w:t>
            </w:r>
            <w:r>
              <w:rPr>
                <w:rFonts w:hint="eastAsia" w:ascii="宋体" w:hAnsi="宋体"/>
                <w:color w:val="000000"/>
                <w:sz w:val="21"/>
                <w:szCs w:val="21"/>
                <w:lang w:bidi="ar"/>
              </w:rPr>
              <w:t xml:space="preserve">信息系统项目管理师</w:t>
            </w:r>
            <w:r>
              <w:rPr>
                <w:rFonts w:hint="eastAsia" w:ascii="宋体" w:hAnsi="宋体"/>
                <w:color w:val="000000"/>
                <w:sz w:val="21"/>
                <w:szCs w:val="21"/>
                <w:lang w:bidi="ar"/>
              </w:rPr>
              <w:t xml:space="preserve">证书</w:t>
            </w:r>
            <w:r>
              <w:rPr>
                <w:rFonts w:hint="eastAsia" w:ascii="宋体" w:hAnsi="宋体"/>
                <w:color w:val="000000"/>
                <w:sz w:val="21"/>
                <w:szCs w:val="21"/>
                <w:lang w:bidi="ar"/>
              </w:rPr>
              <w:t xml:space="preserve">、注册信息安全专业人员（CISP）</w:t>
            </w:r>
            <w:r>
              <w:rPr>
                <w:rFonts w:hint="eastAsia" w:ascii="宋体" w:hAnsi="宋体"/>
                <w:color w:val="000000"/>
                <w:sz w:val="21"/>
                <w:szCs w:val="21"/>
                <w:lang w:bidi="ar"/>
              </w:rPr>
              <w:t xml:space="preserve">证书</w:t>
            </w:r>
            <w:r>
              <w:rPr>
                <w:rFonts w:hint="eastAsia" w:ascii="宋体" w:hAnsi="宋体"/>
                <w:color w:val="000000"/>
                <w:sz w:val="21"/>
                <w:szCs w:val="21"/>
                <w:lang w:bidi="ar"/>
              </w:rPr>
              <w:t xml:space="preserve">、数据库系统工程师证书</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，每提供一项证书得1分，最高3分。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（注：投标文件中须提供以上人员身份证扫描件、证书复印件或证明材料复印件及投标单位为该员工缴纳的最近一期的</w:t>
            </w:r>
            <w:r>
              <w:rPr>
                <w:rFonts w:hint="eastAsia" w:ascii="宋体" w:hAnsi="宋体"/>
                <w:b/>
                <w:color w:val="000000"/>
                <w:sz w:val="21"/>
                <w:szCs w:val="21"/>
                <w:lang w:bidi="ar"/>
              </w:rPr>
              <w:t xml:space="preserve">社保证明</w:t>
            </w:r>
            <w:r>
              <w:rPr>
                <w:rFonts w:hint="eastAsia" w:ascii="宋体" w:hAnsi="宋体"/>
                <w:b/>
                <w:color w:val="000000"/>
                <w:sz w:val="21"/>
                <w:szCs w:val="21"/>
                <w:lang w:bidi="ar"/>
              </w:rPr>
              <w:t xml:space="preserve">复印件并加盖投标单位公章，未按要求提供或不提供不得分。）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2.技术负责人</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bCs/>
                <w:color w:val="000000"/>
                <w:sz w:val="21"/>
                <w:szCs w:val="21"/>
              </w:rPr>
              <w:t xml:space="preserve">拟派专职技术负责人</w:t>
            </w:r>
            <w:r>
              <w:rPr>
                <w:rFonts w:hint="eastAsia" w:ascii="宋体" w:hAnsi="宋体"/>
                <w:color w:val="000000"/>
                <w:sz w:val="21"/>
                <w:szCs w:val="21"/>
                <w:lang w:bidi="ar"/>
              </w:rPr>
              <w:t xml:space="preserve">具备</w:t>
            </w:r>
            <w:r>
              <w:rPr>
                <w:rFonts w:hint="eastAsia" w:ascii="宋体" w:hAnsi="宋体"/>
                <w:color w:val="000000"/>
                <w:sz w:val="21"/>
                <w:szCs w:val="21"/>
                <w:lang w:bidi="ar"/>
              </w:rPr>
              <w:t xml:space="preserve">有效期内的</w:t>
            </w:r>
            <w:r>
              <w:rPr>
                <w:rFonts w:hint="eastAsia" w:ascii="宋体" w:hAnsi="宋体"/>
                <w:color w:val="000000"/>
                <w:sz w:val="21"/>
                <w:szCs w:val="21"/>
                <w:lang w:bidi="ar"/>
              </w:rPr>
              <w:t xml:space="preserve">网络工程师</w:t>
            </w:r>
            <w:r>
              <w:rPr>
                <w:rFonts w:hint="eastAsia" w:ascii="宋体" w:hAnsi="宋体"/>
                <w:color w:val="000000"/>
                <w:sz w:val="21"/>
                <w:szCs w:val="21"/>
                <w:lang w:bidi="ar"/>
              </w:rPr>
              <w:t xml:space="preserve">证书</w:t>
            </w:r>
            <w:r>
              <w:rPr>
                <w:rFonts w:hint="eastAsia" w:ascii="宋体" w:hAnsi="宋体"/>
                <w:color w:val="000000"/>
                <w:sz w:val="21"/>
                <w:szCs w:val="21"/>
                <w:lang w:bidi="ar"/>
              </w:rPr>
              <w:t xml:space="preserve">、</w:t>
            </w:r>
            <w:bookmarkStart w:id="123" w:name="_Hlk193806886"/>
            <w:r>
              <w:rPr>
                <w:rFonts w:hint="eastAsia" w:ascii="宋体" w:hAnsi="宋体"/>
                <w:color w:val="000000"/>
                <w:sz w:val="21"/>
                <w:szCs w:val="21"/>
                <w:lang w:bidi="ar"/>
              </w:rPr>
              <w:t xml:space="preserve">注册信息安全专业人员（CISP）证书</w:t>
            </w:r>
            <w:bookmarkEnd w:id="123"/>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每提供一项证书得1分，最高2分。</w:t>
            </w:r>
            <w:r/>
          </w:p>
          <w:p>
            <w:pPr>
              <w:ind w:left="0"/>
              <w:widowControl w:val="off"/>
              <w:rPr>
                <w:lang w:bidi="ar"/>
              </w:rPr>
            </w:pPr>
            <w:r>
              <w:rPr>
                <w:rFonts w:hint="eastAsia" w:ascii="宋体" w:hAnsi="宋体"/>
                <w:b/>
                <w:color w:val="000000"/>
                <w:sz w:val="21"/>
                <w:szCs w:val="21"/>
                <w:lang w:bidi="ar"/>
              </w:rPr>
              <w:t xml:space="preserve">（注：投标文件中须提供以上人员身份证扫描件、证书复印件或证明材料复印件及投标单位为该员工缴纳的最近一期的</w:t>
            </w:r>
            <w:r>
              <w:rPr>
                <w:rFonts w:hint="eastAsia" w:ascii="宋体" w:hAnsi="宋体"/>
                <w:b/>
                <w:color w:val="000000"/>
                <w:sz w:val="21"/>
                <w:szCs w:val="21"/>
                <w:lang w:bidi="ar"/>
              </w:rPr>
              <w:t xml:space="preserve">社保证明</w:t>
            </w:r>
            <w:r>
              <w:rPr>
                <w:rFonts w:hint="eastAsia" w:ascii="宋体" w:hAnsi="宋体"/>
                <w:b/>
                <w:color w:val="000000"/>
                <w:sz w:val="21"/>
                <w:szCs w:val="21"/>
                <w:lang w:bidi="ar"/>
              </w:rPr>
              <w:t xml:space="preserve">复印件并加盖投标单位公章，未按要求提供或不提供不得分。）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3.</w:t>
            </w:r>
            <w:r>
              <w:rPr>
                <w:rFonts w:hint="eastAsia" w:ascii="宋体" w:hAnsi="宋体"/>
                <w:bCs/>
                <w:color w:val="000000"/>
                <w:sz w:val="21"/>
                <w:szCs w:val="21"/>
              </w:rPr>
              <w:t xml:space="preserve">实施交付团队</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bCs/>
                <w:color w:val="000000"/>
                <w:sz w:val="21"/>
                <w:szCs w:val="21"/>
              </w:rPr>
              <w:t xml:space="preserve">拟投入本项目的专职实施交付团队（</w:t>
            </w:r>
            <w:r>
              <w:rPr>
                <w:rFonts w:hint="eastAsia" w:ascii="宋体" w:hAnsi="宋体"/>
                <w:bCs/>
                <w:color w:val="000000"/>
                <w:sz w:val="21"/>
                <w:szCs w:val="21"/>
              </w:rPr>
              <w:t xml:space="preserve">除项目</w:t>
            </w:r>
            <w:r>
              <w:rPr>
                <w:rFonts w:hint="eastAsia" w:ascii="宋体" w:hAnsi="宋体"/>
                <w:bCs/>
                <w:color w:val="000000"/>
                <w:sz w:val="21"/>
                <w:szCs w:val="21"/>
              </w:rPr>
              <w:t xml:space="preserve">经理和技术负责人外）</w:t>
            </w:r>
            <w:r>
              <w:rPr>
                <w:rFonts w:hint="eastAsia" w:ascii="宋体" w:hAnsi="宋体"/>
                <w:color w:val="000000"/>
                <w:sz w:val="21"/>
                <w:szCs w:val="21"/>
                <w:lang w:bidi="ar"/>
              </w:rPr>
              <w:t xml:space="preserve">具备有效期内的</w:t>
            </w:r>
            <w:r>
              <w:rPr>
                <w:rFonts w:hint="eastAsia" w:ascii="宋体" w:hAnsi="宋体"/>
                <w:color w:val="000000"/>
                <w:sz w:val="21"/>
                <w:szCs w:val="21"/>
                <w:lang w:bidi="ar"/>
              </w:rPr>
              <w:t xml:space="preserve">系统集成项目管理工程师证书、信息安全工程师证书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数据库系统工程师</w:t>
            </w:r>
            <w:r>
              <w:rPr>
                <w:rFonts w:hint="eastAsia" w:ascii="宋体" w:hAnsi="宋体"/>
                <w:color w:val="000000"/>
                <w:sz w:val="21"/>
                <w:szCs w:val="21"/>
                <w:lang w:bidi="ar"/>
              </w:rPr>
              <w:t xml:space="preserve">证书、</w:t>
            </w:r>
            <w:r>
              <w:rPr>
                <w:rFonts w:hint="eastAsia" w:ascii="宋体" w:hAnsi="宋体"/>
                <w:color w:val="000000"/>
                <w:sz w:val="21"/>
                <w:szCs w:val="21"/>
                <w:lang w:bidi="ar"/>
              </w:rPr>
              <w:t xml:space="preserve">信息安全保障人员认证</w:t>
            </w:r>
            <w:r>
              <w:rPr>
                <w:rFonts w:hint="eastAsia" w:ascii="宋体" w:hAnsi="宋体"/>
                <w:color w:val="000000"/>
                <w:sz w:val="21"/>
                <w:szCs w:val="21"/>
                <w:lang w:bidi="ar"/>
              </w:rPr>
              <w:t xml:space="preserve">证书、</w:t>
            </w:r>
            <w:r>
              <w:rPr>
                <w:rFonts w:hint="eastAsia" w:ascii="宋体" w:hAnsi="宋体"/>
                <w:color w:val="000000"/>
                <w:sz w:val="21"/>
                <w:szCs w:val="21"/>
                <w:lang w:bidi="ar"/>
              </w:rPr>
              <w:t xml:space="preserve">网络工程师证书，每提供一项证书得1分，最多得5分。</w:t>
            </w:r>
            <w:r>
              <w:rPr>
                <w:rFonts w:hint="eastAsia" w:ascii="宋体" w:hAnsi="宋体"/>
                <w:color w:val="000000"/>
                <w:sz w:val="21"/>
                <w:szCs w:val="21"/>
                <w:lang w:bidi="ar"/>
              </w:rPr>
              <w:t xml:space="preserve">一人多证或多人同证均不重复计分。</w:t>
            </w:r>
            <w:r/>
          </w:p>
          <w:p>
            <w:pPr>
              <w:ind w:left="0"/>
              <w:widowControl w:val="off"/>
              <w:rPr>
                <w:b/>
                <w:lang w:bidi="ar"/>
              </w:rPr>
            </w:pPr>
            <w:r>
              <w:rPr>
                <w:rFonts w:hint="eastAsia" w:ascii="宋体" w:hAnsi="宋体"/>
                <w:b/>
                <w:bCs/>
                <w:color w:val="000000"/>
                <w:sz w:val="21"/>
                <w:szCs w:val="21"/>
              </w:rPr>
              <w:t xml:space="preserve">（注：投标文件中须提供相关人员身份证扫描件、证书复印件或证明材料复印件及投标单位为该员工缴纳的最近一期的</w:t>
            </w:r>
            <w:r>
              <w:rPr>
                <w:rFonts w:hint="eastAsia" w:ascii="宋体" w:hAnsi="宋体"/>
                <w:b/>
                <w:bCs/>
                <w:color w:val="000000"/>
                <w:sz w:val="21"/>
                <w:szCs w:val="21"/>
              </w:rPr>
              <w:t xml:space="preserve">社保证明</w:t>
            </w:r>
            <w:r>
              <w:rPr>
                <w:rFonts w:hint="eastAsia" w:ascii="宋体" w:hAnsi="宋体"/>
                <w:b/>
                <w:bCs/>
                <w:color w:val="000000"/>
                <w:sz w:val="21"/>
                <w:szCs w:val="21"/>
              </w:rPr>
              <w:t xml:space="preserve">复印件并加盖投标单位公章，未按要求提供或不提供不得分。）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5</w:t>
            </w:r>
            <w:r/>
          </w:p>
        </w:tc>
      </w:tr>
      <w:tr>
        <w:trPr>
          <w:trHeight w:val="416"/>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4.驻场运维服务</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bookmarkStart w:id="124" w:name="_Hlk193807391"/>
            <w:r>
              <w:rPr>
                <w:rFonts w:hint="eastAsia" w:ascii="宋体" w:hAnsi="宋体"/>
                <w:color w:val="000000"/>
                <w:sz w:val="21"/>
                <w:szCs w:val="21"/>
                <w:lang w:bidi="ar"/>
              </w:rPr>
              <w:t xml:space="preserve">投标人承诺</w:t>
            </w:r>
            <w:bookmarkStart w:id="125" w:name="_Hlk193807145"/>
            <w:r>
              <w:rPr>
                <w:rFonts w:hint="eastAsia" w:ascii="宋体" w:hAnsi="宋体"/>
                <w:color w:val="000000"/>
                <w:sz w:val="21"/>
                <w:szCs w:val="21"/>
                <w:lang w:bidi="ar"/>
              </w:rPr>
              <w:t xml:space="preserve">为本项目提供驻场运维服务。</w:t>
            </w:r>
            <w:bookmarkEnd w:id="124"/>
            <w:r/>
            <w:bookmarkEnd w:id="125"/>
            <w:r>
              <w:rPr>
                <w:rFonts w:hint="eastAsia" w:ascii="宋体" w:hAnsi="宋体"/>
                <w:color w:val="000000"/>
                <w:sz w:val="21"/>
                <w:szCs w:val="21"/>
                <w:lang w:bidi="ar"/>
              </w:rPr>
              <w:t xml:space="preserve">驻场运维服务团队在满足采购需求中人数要求（</w:t>
            </w:r>
            <w:r>
              <w:rPr>
                <w:rFonts w:ascii="宋体" w:hAnsi="宋体"/>
                <w:color w:val="000000"/>
                <w:sz w:val="21"/>
                <w:szCs w:val="21"/>
                <w:lang w:bidi="ar"/>
              </w:rPr>
              <w:t xml:space="preserve">2</w:t>
            </w:r>
            <w:r>
              <w:rPr>
                <w:rFonts w:hint="eastAsia" w:ascii="宋体" w:hAnsi="宋体"/>
                <w:color w:val="000000"/>
                <w:sz w:val="21"/>
                <w:szCs w:val="21"/>
                <w:lang w:bidi="ar"/>
              </w:rPr>
              <w:t xml:space="preserve">名）的基础上，每增加1名得1分，最高得1分。</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rPr>
              <w:t xml:space="preserve">（注：须提供承诺书复印件并加盖投标单位公章，承诺书格式自拟</w:t>
            </w:r>
            <w:r>
              <w:rPr>
                <w:rFonts w:hint="eastAsia" w:ascii="宋体" w:hAnsi="宋体"/>
                <w:b/>
                <w:bCs/>
                <w:color w:val="000000"/>
                <w:sz w:val="21"/>
                <w:szCs w:val="21"/>
              </w:rPr>
              <w:t xml:space="preserve">，</w:t>
            </w:r>
            <w:r>
              <w:rPr>
                <w:rFonts w:hint="eastAsia" w:ascii="宋体" w:hAnsi="宋体"/>
                <w:b/>
                <w:bCs/>
                <w:color w:val="000000"/>
                <w:sz w:val="21"/>
                <w:szCs w:val="21"/>
              </w:rPr>
              <w:t xml:space="preserve">未按要求提供或不提供不得分。）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p>
        </w:tc>
      </w:tr>
      <w:tr>
        <w:trPr>
          <w:trHeight w:val="416"/>
        </w:trPr>
        <w:tc>
          <w:tcPr>
            <w:tcW w:w="1413" w:type="dxa"/>
            <w:vAlign w:val="center"/>
            <w:vMerge w:val="restart"/>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sz w:val="21"/>
              </w:rPr>
              <w:t xml:space="preserve">（五）投标人综合实力（</w:t>
            </w:r>
            <w:r>
              <w:rPr>
                <w:rFonts w:ascii="宋体" w:hAnsi="宋体"/>
                <w:b/>
                <w:bCs/>
                <w:sz w:val="21"/>
              </w:rPr>
              <w:t xml:space="preserve">13</w:t>
            </w:r>
            <w:r>
              <w:rPr>
                <w:rFonts w:hint="eastAsia" w:ascii="宋体" w:hAnsi="宋体"/>
                <w:b/>
                <w:bCs/>
                <w:sz w:val="21"/>
              </w:rPr>
              <w:t xml:space="preserve">分）</w:t>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t xml:space="preserve">.</w:t>
            </w:r>
            <w:r>
              <w:rPr>
                <w:rFonts w:hint="eastAsia" w:ascii="宋体" w:hAnsi="宋体"/>
                <w:bCs/>
                <w:color w:val="000000"/>
                <w:sz w:val="21"/>
                <w:szCs w:val="21"/>
              </w:rPr>
              <w:t xml:space="preserve">体系证书</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 投标单位具备有效期内的信息技术服务管理体系认证证书、信息安全管理体系认证证书、质量管理体系认证证书、环境管理体系认证证书</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，每提供一项得1分，最高得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（注：投标文件中需提供以上证书</w:t>
            </w:r>
            <w:r>
              <w:rPr>
                <w:rFonts w:hint="eastAsia" w:ascii="宋体" w:hAnsi="宋体"/>
                <w:b/>
                <w:color w:val="000000"/>
                <w:sz w:val="21"/>
                <w:szCs w:val="21"/>
                <w:lang w:bidi="ar"/>
              </w:rPr>
              <w:t xml:space="preserve">复印件并加盖投标单位公章或网上发文完整截图并加盖投标单位公章，未按要求提供或不提供不得分。）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w:t>
            </w:r>
            <w:r>
              <w:rPr>
                <w:rFonts w:hint="eastAsia" w:ascii="宋体" w:hAnsi="宋体"/>
                <w:bCs/>
                <w:color w:val="000000"/>
                <w:sz w:val="21"/>
                <w:szCs w:val="21"/>
              </w:rPr>
              <w:t xml:space="preserve">软著证书</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投标单位或其所投</w:t>
            </w:r>
            <w:r>
              <w:rPr>
                <w:rFonts w:hint="eastAsia" w:ascii="宋体" w:hAnsi="宋体"/>
                <w:color w:val="000000"/>
                <w:sz w:val="21"/>
                <w:szCs w:val="21"/>
                <w:lang w:bidi="ar"/>
              </w:rPr>
              <w:t xml:space="preserve">智算云服务</w:t>
            </w:r>
            <w:r>
              <w:rPr>
                <w:rFonts w:hint="eastAsia" w:ascii="宋体" w:hAnsi="宋体"/>
                <w:color w:val="000000"/>
                <w:sz w:val="21"/>
                <w:szCs w:val="21"/>
                <w:lang w:bidi="ar"/>
              </w:rPr>
              <w:t xml:space="preserve">平台厂商应具备本项目要求的</w:t>
            </w:r>
            <w:r>
              <w:rPr>
                <w:rFonts w:hint="eastAsia" w:ascii="宋体" w:hAnsi="宋体"/>
                <w:color w:val="000000"/>
                <w:sz w:val="21"/>
                <w:szCs w:val="21"/>
                <w:lang w:bidi="ar"/>
              </w:rPr>
              <w:t xml:space="preserve">智算云服务</w:t>
            </w:r>
            <w:r>
              <w:rPr>
                <w:rFonts w:hint="eastAsia" w:ascii="宋体" w:hAnsi="宋体"/>
                <w:color w:val="000000"/>
                <w:sz w:val="21"/>
                <w:szCs w:val="21"/>
                <w:lang w:bidi="ar"/>
              </w:rPr>
              <w:t xml:space="preserve">能力，提供以下相关能力</w:t>
            </w:r>
            <w:r>
              <w:rPr>
                <w:rFonts w:hint="eastAsia" w:ascii="宋体" w:hAnsi="宋体"/>
                <w:color w:val="000000"/>
                <w:sz w:val="21"/>
                <w:szCs w:val="21"/>
                <w:lang w:bidi="ar"/>
              </w:rPr>
              <w:t xml:space="preserve">的软著证书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GPU云服务器类、</w:t>
            </w:r>
            <w:bookmarkStart w:id="126" w:name="_Hlk193810610"/>
            <w:r>
              <w:rPr>
                <w:rFonts w:hint="eastAsia" w:ascii="宋体" w:hAnsi="宋体"/>
                <w:color w:val="000000"/>
                <w:sz w:val="21"/>
                <w:szCs w:val="21"/>
                <w:lang w:bidi="ar"/>
              </w:rPr>
              <w:t xml:space="preserve">大模型知识库平台类</w:t>
            </w:r>
            <w:bookmarkEnd w:id="126"/>
            <w:r>
              <w:rPr>
                <w:rFonts w:hint="eastAsia" w:ascii="宋体" w:hAnsi="宋体"/>
                <w:color w:val="000000"/>
                <w:sz w:val="21"/>
                <w:szCs w:val="21"/>
                <w:lang w:bidi="ar"/>
              </w:rPr>
              <w:t xml:space="preserve">、大模型服务管理平台类、</w:t>
            </w:r>
            <w:bookmarkStart w:id="127" w:name="_Hlk193810643"/>
            <w:r>
              <w:rPr>
                <w:rFonts w:hint="eastAsia" w:ascii="宋体" w:hAnsi="宋体"/>
                <w:color w:val="000000"/>
                <w:sz w:val="21"/>
                <w:szCs w:val="21"/>
                <w:lang w:bidi="ar"/>
              </w:rPr>
              <w:t xml:space="preserve">大模型Agent平台类</w:t>
            </w:r>
            <w:bookmarkEnd w:id="127"/>
            <w:r>
              <w:rPr>
                <w:rFonts w:hint="eastAsia" w:ascii="宋体" w:hAnsi="宋体"/>
                <w:color w:val="000000"/>
                <w:sz w:val="21"/>
                <w:szCs w:val="21"/>
                <w:lang w:bidi="ar"/>
              </w:rPr>
              <w:t xml:space="preserve">。每提供一类得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hint="eastAsia" w:ascii="宋体" w:hAnsi="宋体"/>
                <w:color w:val="000000"/>
                <w:sz w:val="21"/>
                <w:szCs w:val="21"/>
                <w:lang w:bidi="ar"/>
              </w:rPr>
            </w:pPr>
            <w:r>
              <w:rPr>
                <w:rFonts w:hint="eastAsia" w:ascii="宋体" w:hAnsi="宋体"/>
                <w:b/>
                <w:color w:val="000000"/>
                <w:sz w:val="21"/>
                <w:szCs w:val="21"/>
                <w:lang w:bidi="ar"/>
              </w:rPr>
              <w:t xml:space="preserve">（注：投标文件内须提供相关证书复印件并加盖投标单位公章，未提供不得分。）</w:t>
            </w:r>
            <w:r>
              <w:rPr>
                <w:rFonts w:hint="eastAsia" w:ascii="宋体" w:hAnsi="宋体"/>
                <w:color w:val="000000"/>
                <w:sz w:val="21"/>
                <w:szCs w:val="21"/>
                <w:lang w:bidi="ar"/>
              </w:rPr>
              <w:t xml:space="preserve">。</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w:t>
            </w:r>
            <w:r>
              <w:rPr>
                <w:rFonts w:hint="eastAsia" w:ascii="宋体" w:hAnsi="宋体"/>
                <w:bCs/>
                <w:color w:val="000000"/>
                <w:sz w:val="21"/>
                <w:szCs w:val="21"/>
              </w:rPr>
              <w:t xml:space="preserve">相关业务领域</w:t>
            </w:r>
            <w:r>
              <w:rPr>
                <w:rFonts w:hint="eastAsia" w:ascii="宋体" w:hAnsi="宋体"/>
                <w:bCs/>
                <w:color w:val="000000"/>
                <w:sz w:val="21"/>
                <w:szCs w:val="21"/>
              </w:rPr>
              <w:t xml:space="preserve">证书</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投标单位具有有效期内的ITSS信息技术服务标准符合性证书</w:t>
            </w:r>
            <w:r>
              <w:rPr>
                <w:rFonts w:hint="eastAsia" w:ascii="宋体" w:hAnsi="宋体"/>
                <w:color w:val="000000"/>
                <w:sz w:val="21"/>
                <w:szCs w:val="21"/>
                <w:lang w:bidi="ar"/>
              </w:rPr>
              <w:t xml:space="preserve">（类别：云服务、运行维护），每提供一个得1分，最高得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hint="eastAsia" w:ascii="宋体" w:hAnsi="宋体"/>
                <w:color w:val="000000"/>
                <w:sz w:val="21"/>
                <w:szCs w:val="21"/>
                <w:lang w:bidi="ar"/>
              </w:rPr>
            </w:pPr>
            <w:r>
              <w:rPr>
                <w:rFonts w:hint="eastAsia" w:ascii="宋体" w:hAnsi="宋体"/>
                <w:b/>
                <w:color w:val="000000"/>
                <w:sz w:val="21"/>
                <w:szCs w:val="21"/>
                <w:lang w:bidi="ar"/>
              </w:rPr>
              <w:t xml:space="preserve">（注：投标文件内须提供相关证书复印件并加盖投标单位公章，未提供不得分。）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2</w:t>
            </w:r>
            <w:r/>
          </w:p>
        </w:tc>
      </w:tr>
      <w:tr>
        <w:trPr>
          <w:trHeight w:val="416"/>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w:t>
            </w:r>
            <w:r>
              <w:rPr>
                <w:rFonts w:ascii="宋体" w:hAnsi="宋体"/>
                <w:bCs/>
                <w:color w:val="000000"/>
                <w:sz w:val="21"/>
                <w:szCs w:val="21"/>
              </w:rPr>
              <w:t xml:space="preserve">.</w:t>
            </w:r>
            <w:r>
              <w:rPr>
                <w:rFonts w:hint="eastAsia" w:ascii="宋体" w:hAnsi="宋体"/>
                <w:bCs/>
                <w:color w:val="000000"/>
                <w:sz w:val="21"/>
                <w:szCs w:val="21"/>
              </w:rPr>
              <w:t xml:space="preserve">兼容性认证证书</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为保证兼容性，除G</w:t>
            </w:r>
            <w:r>
              <w:rPr>
                <w:rFonts w:ascii="宋体" w:hAnsi="宋体"/>
                <w:color w:val="000000"/>
                <w:sz w:val="21"/>
                <w:szCs w:val="21"/>
                <w:lang w:bidi="ar"/>
              </w:rPr>
              <w:t xml:space="preserve">PU</w:t>
            </w:r>
            <w:r>
              <w:rPr>
                <w:rFonts w:hint="eastAsia" w:ascii="宋体" w:hAnsi="宋体"/>
                <w:color w:val="000000"/>
                <w:sz w:val="21"/>
                <w:szCs w:val="21"/>
                <w:lang w:bidi="ar"/>
              </w:rPr>
              <w:t xml:space="preserve">外，投标单位所投</w:t>
            </w:r>
            <w:r>
              <w:rPr>
                <w:rFonts w:hint="eastAsia" w:ascii="宋体" w:hAnsi="宋体"/>
                <w:color w:val="000000"/>
                <w:sz w:val="21"/>
                <w:szCs w:val="21"/>
                <w:lang w:bidi="ar"/>
              </w:rPr>
              <w:t xml:space="preserve">智算云服务</w:t>
            </w:r>
            <w:r>
              <w:rPr>
                <w:rFonts w:hint="eastAsia" w:ascii="宋体" w:hAnsi="宋体"/>
                <w:color w:val="000000"/>
                <w:sz w:val="21"/>
                <w:szCs w:val="21"/>
                <w:lang w:bidi="ar"/>
              </w:rPr>
              <w:t xml:space="preserve">平台还应支持主流品牌国产化CPU及操作系统、数据库、中间件等国产化软件。每提供一项兼容性互认证证书得0.5分，最高得3分。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（注：投标文件内须提供相关证书</w:t>
            </w:r>
            <w:r>
              <w:rPr>
                <w:rFonts w:hint="eastAsia" w:ascii="宋体" w:hAnsi="宋体"/>
                <w:b/>
                <w:color w:val="000000"/>
                <w:sz w:val="21"/>
                <w:szCs w:val="21"/>
                <w:lang w:bidi="ar"/>
              </w:rPr>
              <w:t xml:space="preserve">复印件</w:t>
            </w:r>
            <w:r>
              <w:rPr>
                <w:rFonts w:hint="eastAsia" w:ascii="宋体" w:hAnsi="宋体"/>
                <w:b/>
                <w:color w:val="000000"/>
                <w:sz w:val="21"/>
                <w:szCs w:val="21"/>
                <w:lang w:bidi="ar"/>
              </w:rPr>
              <w:t xml:space="preserve">并加盖投标</w:t>
            </w:r>
            <w:r>
              <w:rPr>
                <w:rFonts w:hint="eastAsia" w:ascii="宋体" w:hAnsi="宋体"/>
                <w:b/>
                <w:color w:val="000000"/>
                <w:sz w:val="21"/>
                <w:szCs w:val="21"/>
                <w:lang w:bidi="ar"/>
              </w:rPr>
              <w:t xml:space="preserve">单位</w:t>
            </w:r>
            <w:r>
              <w:rPr>
                <w:rFonts w:hint="eastAsia" w:ascii="宋体" w:hAnsi="宋体"/>
                <w:b/>
                <w:color w:val="000000"/>
                <w:sz w:val="21"/>
                <w:szCs w:val="21"/>
                <w:lang w:bidi="ar"/>
              </w:rPr>
              <w:t xml:space="preserve">公章，未提供不得分。）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416"/>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sz w:val="21"/>
              </w:rPr>
              <w:t xml:space="preserve">（六）类似业绩（</w:t>
            </w:r>
            <w:r>
              <w:rPr>
                <w:rFonts w:ascii="宋体" w:hAnsi="宋体"/>
                <w:b/>
                <w:bCs/>
                <w:sz w:val="21"/>
              </w:rPr>
              <w:t xml:space="preserve">2</w:t>
            </w:r>
            <w:r>
              <w:rPr>
                <w:rFonts w:hint="eastAsia" w:ascii="宋体" w:hAnsi="宋体"/>
                <w:b/>
                <w:bCs/>
                <w:sz w:val="21"/>
              </w:rPr>
              <w:t xml:space="preserve">分）</w:t>
            </w:r>
            <w:r/>
          </w:p>
        </w:tc>
        <w:tc>
          <w:tcPr>
            <w:shd w:val="clear" w:color="auto" w:fill="auto"/>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类似业绩</w:t>
            </w:r>
            <w:r/>
          </w:p>
        </w:tc>
        <w:tc>
          <w:tcPr>
            <w:shd w:val="clear" w:color="auto" w:fill="auto"/>
            <w:tcW w:w="595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投标单位自202</w:t>
            </w:r>
            <w:r>
              <w:rPr>
                <w:rFonts w:ascii="宋体" w:hAnsi="宋体"/>
                <w:color w:val="000000"/>
                <w:sz w:val="21"/>
                <w:szCs w:val="21"/>
                <w:lang w:bidi="ar"/>
              </w:rPr>
              <w:t xml:space="preserve">3</w:t>
            </w:r>
            <w:r>
              <w:rPr>
                <w:rFonts w:hint="eastAsia" w:ascii="宋体" w:hAnsi="宋体"/>
                <w:color w:val="000000"/>
                <w:sz w:val="21"/>
                <w:szCs w:val="21"/>
                <w:lang w:bidi="ar"/>
              </w:rPr>
              <w:t xml:space="preserve">年1月1日起至今（以合同签订之日起为准）完成的类似项目业绩的，每提供一个得1分，最高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（注：投标文件中需提供合同复印件并加盖投标单位公章，不提供不得分。类似业绩日期认定：以签订合同日期为准。）</w:t>
            </w:r>
            <w:r/>
          </w:p>
        </w:tc>
        <w:tc>
          <w:tcPr>
            <w:shd w:val="clear" w:color="auto" w:fill="auto"/>
            <w:tcW w:w="851"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w:t>
            </w:r>
            <w:r/>
          </w:p>
        </w:tc>
      </w:tr>
    </w:tbl>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楷体">
    <w:panose1 w:val="02010600040101010101"/>
  </w:font>
  <w:font w:name="Wingdings">
    <w:panose1 w:val="05000000000000000000"/>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8"/>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8"/>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8"/>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both"/>
      <w:pBdr>
        <w:bottom w:val="single" w:color="auto"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5"/>
    <w:uiPriority w:val="11"/>
    <w:rPr>
      <w:sz w:val="24"/>
      <w:szCs w:val="24"/>
    </w:rPr>
  </w:style>
  <w:style w:type="character" w:styleId="853">
    <w:name w:val="Quote Char"/>
    <w:link w:val="1240"/>
    <w:uiPriority w:val="29"/>
    <w:rPr>
      <w:i/>
    </w:rPr>
  </w:style>
  <w:style w:type="character" w:styleId="854">
    <w:name w:val="Intense Quote Char"/>
    <w:link w:val="1366"/>
    <w:uiPriority w:val="30"/>
    <w:rPr>
      <w:i/>
    </w:rPr>
  </w:style>
  <w:style w:type="character" w:styleId="855">
    <w:name w:val="Header Char"/>
    <w:basedOn w:val="998"/>
    <w:link w:val="1033"/>
    <w:uiPriority w:val="99"/>
  </w:style>
  <w:style w:type="character" w:styleId="856">
    <w:name w:val="Footer Char"/>
    <w:basedOn w:val="998"/>
    <w:link w:val="1031"/>
    <w:uiPriority w:val="99"/>
  </w:style>
  <w:style w:type="character" w:styleId="857">
    <w:name w:val="Caption Char"/>
    <w:basedOn w:val="1008"/>
    <w:link w:val="1031"/>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8"/>
    <w:uiPriority w:val="99"/>
    <w:rPr>
      <w:sz w:val="18"/>
    </w:rPr>
  </w:style>
  <w:style w:type="character" w:styleId="984">
    <w:name w:val="Endnote Text Char"/>
    <w:link w:val="1028"/>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1"/>
    <w:qFormat/>
    <w:pPr>
      <w:ind w:left="1024"/>
      <w:jc w:val="both"/>
    </w:pPr>
    <w:rPr>
      <w:rFonts w:ascii="Calibri" w:hAnsi="Calibri"/>
    </w:rPr>
  </w:style>
  <w:style w:type="paragraph" w:styleId="989">
    <w:name w:val="Heading 1"/>
    <w:basedOn w:val="988"/>
    <w:next w:val="988"/>
    <w:qFormat/>
    <w:pPr>
      <w:ind w:left="432" w:firstLine="18"/>
      <w:spacing w:before="340" w:after="330" w:line="578" w:lineRule="auto"/>
      <w:outlineLvl w:val="0"/>
    </w:pPr>
  </w:style>
  <w:style w:type="paragraph" w:styleId="990">
    <w:name w:val="Heading 2"/>
    <w:basedOn w:val="988"/>
    <w:next w:val="988"/>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2"/>
    <w:qFormat/>
    <w:pPr>
      <w:ind w:left="720"/>
      <w:spacing w:before="260" w:after="260" w:line="416" w:lineRule="auto"/>
      <w:outlineLvl w:val="2"/>
    </w:pPr>
    <w:rPr>
      <w:rFonts w:ascii="Times New Roman" w:hAnsi="Times New Roman" w:cs="Times New Roman"/>
    </w:rPr>
  </w:style>
  <w:style w:type="paragraph" w:styleId="992">
    <w:name w:val="Heading 4"/>
    <w:basedOn w:val="989"/>
    <w:next w:val="988"/>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qFormat/>
    <w:pPr>
      <w:ind w:left="1440"/>
      <w:spacing w:before="240" w:after="64" w:line="320" w:lineRule="auto"/>
      <w:outlineLvl w:val="7"/>
    </w:pPr>
    <w:rPr>
      <w:rFonts w:ascii="Times New Roman" w:hAnsi="Times New Roman" w:cs="Times New Roman"/>
    </w:rPr>
  </w:style>
  <w:style w:type="paragraph" w:styleId="997">
    <w:name w:val="Heading 9"/>
    <w:basedOn w:val="989"/>
    <w:next w:val="988"/>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style>
  <w:style w:type="table" w:styleId="999" w:default="1">
    <w:name w:val="Normal Table"/>
    <w:uiPriority w:val="99"/>
    <w:semiHidden/>
    <w:unhideWhenUsed/>
    <w:tblPr>
      <w:tblInd w:w="0" w:type="dxa"/>
      <w:tblCellMar>
        <w:left w:w="108" w:type="dxa"/>
        <w:top w:w="0" w:type="dxa"/>
        <w:right w:w="108" w:type="dxa"/>
        <w:bottom w:w="0" w:type="dxa"/>
      </w:tblCellMar>
    </w:tblPr>
  </w:style>
  <w:style w:type="numbering" w:styleId="1000" w:default="1">
    <w:name w:val="No List"/>
    <w:uiPriority w:val="99"/>
    <w:semiHidden/>
    <w:unhideWhenUsed/>
  </w:style>
  <w:style w:type="paragraph" w:styleId="1001">
    <w:name w:val="Body Text Indent"/>
    <w:basedOn w:val="988"/>
    <w:next w:val="988"/>
    <w:qFormat/>
    <w:pPr>
      <w:ind w:left="420" w:firstLine="1188"/>
      <w:spacing w:line="360" w:lineRule="exact"/>
    </w:pPr>
    <w:rPr>
      <w:rFonts w:ascii="Times New Roman" w:hAnsi="Times New Roman" w:cs="Times New Roman"/>
    </w:rPr>
  </w:style>
  <w:style w:type="paragraph" w:styleId="1002" w:customStyle="1">
    <w:name w:val="正文2"/>
    <w:basedOn w:val="988"/>
    <w:next w:val="988"/>
    <w:qFormat/>
    <w:pPr>
      <w:ind w:left="0" w:hanging="2155"/>
      <w:spacing w:line="360" w:lineRule="auto"/>
      <w:shd w:val="clear" w:color="auto" w:fill="ffffff"/>
    </w:pPr>
    <w:rPr>
      <w:rFonts w:ascii="宋体" w:hAnsi="宋体"/>
    </w:rPr>
  </w:style>
  <w:style w:type="paragraph" w:styleId="1003">
    <w:name w:val="toc 7"/>
    <w:basedOn w:val="989"/>
    <w:next w:val="988"/>
    <w:qFormat/>
    <w:pPr>
      <w:ind w:left="1640" w:firstLine="3784"/>
      <w:spacing w:before="0" w:after="0" w:line="360" w:lineRule="auto"/>
    </w:pPr>
    <w:rPr>
      <w:rFonts w:ascii="Times New Roman" w:hAnsi="Times New Roman" w:cs="Times New Roman"/>
    </w:rPr>
  </w:style>
  <w:style w:type="paragraph" w:styleId="1004">
    <w:name w:val="List Bullet 4"/>
    <w:basedOn w:val="989"/>
    <w:next w:val="1005"/>
    <w:qFormat/>
    <w:pPr>
      <w:ind w:left="1620" w:firstLine="2652"/>
      <w:spacing w:before="0" w:after="0" w:line="360" w:lineRule="auto"/>
    </w:pPr>
    <w:rPr>
      <w:rFonts w:ascii="Times New Roman" w:hAnsi="Times New Roman" w:cs="Times New Roman"/>
    </w:rPr>
  </w:style>
  <w:style w:type="paragraph" w:styleId="1005">
    <w:name w:val="List Bullet 2"/>
    <w:basedOn w:val="989"/>
    <w:next w:val="988"/>
    <w:qFormat/>
    <w:pPr>
      <w:ind w:left="900" w:firstLine="2652"/>
      <w:spacing w:before="0" w:after="0" w:line="360" w:lineRule="auto"/>
    </w:pPr>
    <w:rPr>
      <w:rFonts w:ascii="Times New Roman" w:hAnsi="Times New Roman" w:cs="Times New Roman"/>
    </w:rPr>
  </w:style>
  <w:style w:type="paragraph" w:styleId="1006">
    <w:name w:val="List Number"/>
    <w:basedOn w:val="989"/>
    <w:next w:val="988"/>
    <w:qFormat/>
    <w:pPr>
      <w:ind w:left="454" w:firstLine="2788"/>
      <w:spacing w:before="0" w:after="0" w:line="240" w:lineRule="auto"/>
    </w:pPr>
    <w:rPr>
      <w:rFonts w:ascii="Times New Roman" w:hAnsi="Times New Roman" w:cs="Times New Roman"/>
    </w:rPr>
  </w:style>
  <w:style w:type="paragraph" w:styleId="1007">
    <w:name w:val="Normal Indent"/>
    <w:basedOn w:val="988"/>
    <w:next w:val="988"/>
    <w:link w:val="1057"/>
    <w:qFormat/>
    <w:pPr>
      <w:ind w:left="420" w:firstLine="4772"/>
    </w:pPr>
  </w:style>
  <w:style w:type="paragraph" w:styleId="1008">
    <w:name w:val="Caption"/>
    <w:basedOn w:val="989"/>
    <w:next w:val="988"/>
    <w:qFormat/>
    <w:pPr>
      <w:ind w:left="200" w:firstLine="2248"/>
      <w:jc w:val="center"/>
      <w:spacing w:before="0" w:after="0" w:line="240" w:lineRule="auto"/>
    </w:pPr>
    <w:rPr>
      <w:rFonts w:ascii="Times New Roman" w:hAnsi="Times New Roman" w:cs="Times New Roman"/>
    </w:rPr>
  </w:style>
  <w:style w:type="paragraph" w:styleId="1009">
    <w:name w:val="List Bullet"/>
    <w:basedOn w:val="989"/>
    <w:next w:val="988"/>
    <w:qFormat/>
    <w:pPr>
      <w:ind w:left="900" w:firstLine="2652"/>
      <w:spacing w:before="0" w:after="0" w:line="360" w:lineRule="auto"/>
    </w:pPr>
    <w:rPr>
      <w:rFonts w:ascii="Times New Roman" w:hAnsi="Times New Roman" w:cs="Times New Roman"/>
    </w:rPr>
  </w:style>
  <w:style w:type="paragraph" w:styleId="1010">
    <w:name w:val="Document Map"/>
    <w:basedOn w:val="989"/>
    <w:next w:val="1011"/>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88"/>
    <w:qFormat/>
    <w:pPr>
      <w:ind w:firstLine="4608"/>
      <w:spacing w:line="360" w:lineRule="auto"/>
    </w:pPr>
    <w:rPr>
      <w:rFonts w:ascii="Calibri" w:hAnsi="Calibri"/>
    </w:rPr>
  </w:style>
  <w:style w:type="paragraph" w:styleId="1012">
    <w:name w:val="annotation text"/>
    <w:basedOn w:val="989"/>
    <w:next w:val="988"/>
    <w:qFormat/>
    <w:pPr>
      <w:ind w:left="0" w:firstLine="3584"/>
      <w:spacing w:before="0" w:after="0" w:line="360" w:lineRule="auto"/>
    </w:pPr>
    <w:rPr>
      <w:rFonts w:ascii="Times New Roman" w:hAnsi="Times New Roman" w:cs="Times New Roman"/>
    </w:rPr>
  </w:style>
  <w:style w:type="paragraph" w:styleId="1013">
    <w:name w:val="Body Text 3"/>
    <w:basedOn w:val="989"/>
    <w:next w:val="988"/>
    <w:qFormat/>
    <w:pPr>
      <w:ind w:left="0" w:firstLine="2048"/>
      <w:spacing w:before="0" w:after="0" w:line="500" w:lineRule="exact"/>
    </w:pPr>
    <w:rPr>
      <w:rFonts w:ascii="Times New Roman" w:hAnsi="Times New Roman" w:cs="Times New Roman"/>
    </w:rPr>
  </w:style>
  <w:style w:type="paragraph" w:styleId="1014">
    <w:name w:val="List Bullet 3"/>
    <w:basedOn w:val="989"/>
    <w:next w:val="988"/>
    <w:qFormat/>
    <w:pPr>
      <w:ind w:left="900" w:firstLine="2652"/>
      <w:spacing w:before="0" w:after="0" w:line="360" w:lineRule="auto"/>
    </w:pPr>
    <w:rPr>
      <w:rFonts w:ascii="Times New Roman" w:hAnsi="Times New Roman" w:cs="Times New Roman"/>
    </w:rPr>
  </w:style>
  <w:style w:type="paragraph" w:styleId="1015">
    <w:name w:val="Body Text"/>
    <w:basedOn w:val="988"/>
    <w:next w:val="988"/>
    <w:qFormat/>
    <w:pPr>
      <w:ind w:left="0" w:firstLine="2560"/>
    </w:pPr>
    <w:rPr>
      <w:rFonts w:ascii="Times New Roman" w:hAnsi="Times New Roman" w:cs="Times New Roman"/>
    </w:rPr>
  </w:style>
  <w:style w:type="paragraph" w:styleId="1016">
    <w:name w:val="List Number 3"/>
    <w:basedOn w:val="989"/>
    <w:next w:val="988"/>
    <w:qFormat/>
    <w:pPr>
      <w:ind w:left="420" w:firstLine="3584"/>
      <w:spacing w:before="0" w:after="0" w:line="240" w:lineRule="auto"/>
    </w:pPr>
    <w:rPr>
      <w:rFonts w:ascii="Times New Roman" w:hAnsi="Times New Roman" w:cs="Times New Roman"/>
    </w:rPr>
  </w:style>
  <w:style w:type="paragraph" w:styleId="1017">
    <w:name w:val="List 2"/>
    <w:basedOn w:val="989"/>
    <w:next w:val="1003"/>
    <w:qFormat/>
    <w:pPr>
      <w:ind w:left="100" w:firstLine="3640"/>
      <w:spacing w:before="0" w:after="0" w:line="240" w:lineRule="auto"/>
    </w:pPr>
    <w:rPr>
      <w:rFonts w:ascii="Times New Roman" w:hAnsi="Times New Roman" w:cs="Times New Roman"/>
    </w:rPr>
  </w:style>
  <w:style w:type="paragraph" w:styleId="1018">
    <w:name w:val="Block Text"/>
    <w:basedOn w:val="989"/>
    <w:next w:val="988"/>
    <w:qFormat/>
    <w:pPr>
      <w:ind w:left="420" w:right="33" w:firstLine="2560"/>
      <w:spacing w:before="0" w:after="0" w:line="240" w:lineRule="auto"/>
    </w:pPr>
    <w:rPr>
      <w:rFonts w:ascii="Times New Roman" w:hAnsi="Times New Roman" w:cs="Times New Roman"/>
    </w:rPr>
  </w:style>
  <w:style w:type="paragraph" w:styleId="1019">
    <w:name w:val="toc 5"/>
    <w:basedOn w:val="989"/>
    <w:next w:val="988"/>
    <w:qFormat/>
    <w:pPr>
      <w:ind w:left="1160" w:firstLine="3784"/>
      <w:spacing w:before="0" w:after="0" w:line="360" w:lineRule="auto"/>
    </w:pPr>
    <w:rPr>
      <w:rFonts w:ascii="Times New Roman" w:hAnsi="Times New Roman" w:cs="Times New Roman"/>
    </w:rPr>
  </w:style>
  <w:style w:type="paragraph" w:styleId="1020">
    <w:name w:val="toc 3"/>
    <w:basedOn w:val="989"/>
    <w:next w:val="988"/>
    <w:qFormat/>
    <w:pPr>
      <w:ind w:left="0" w:firstLine="1024"/>
      <w:spacing w:before="0" w:after="0" w:line="360" w:lineRule="auto"/>
    </w:pPr>
    <w:rPr>
      <w:rFonts w:ascii="Times New Roman" w:hAnsi="Times New Roman" w:cs="Times New Roman"/>
    </w:rPr>
  </w:style>
  <w:style w:type="paragraph" w:styleId="1021">
    <w:name w:val="Plain Text"/>
    <w:basedOn w:val="989"/>
    <w:next w:val="1022"/>
    <w:qFormat/>
    <w:pPr>
      <w:ind w:left="0" w:firstLine="2048"/>
      <w:spacing w:before="0" w:after="0" w:line="240" w:lineRule="auto"/>
    </w:pPr>
    <w:rPr>
      <w:rFonts w:ascii="Times New Roman" w:hAnsi="Times New Roman" w:cs="Times New Roman"/>
    </w:rPr>
  </w:style>
  <w:style w:type="paragraph" w:styleId="1022">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3">
    <w:name w:val="List Bullet 5"/>
    <w:basedOn w:val="989"/>
    <w:next w:val="1024"/>
    <w:qFormat/>
    <w:pPr>
      <w:ind w:left="2040" w:firstLine="2560"/>
      <w:spacing w:before="0" w:after="0" w:line="360" w:lineRule="auto"/>
    </w:pPr>
    <w:rPr>
      <w:rFonts w:ascii="Times New Roman" w:hAnsi="Times New Roman" w:cs="Times New Roman"/>
    </w:rPr>
  </w:style>
  <w:style w:type="paragraph" w:styleId="1024" w:customStyle="1">
    <w:name w:val="正文首行缩进1"/>
    <w:next w:val="1016"/>
    <w:qFormat/>
    <w:pPr>
      <w:ind w:left="420" w:firstLine="2724"/>
      <w:spacing w:after="120" w:line="360" w:lineRule="auto"/>
    </w:pPr>
    <w:rPr>
      <w:rFonts w:ascii="Calibri" w:hAnsi="Calibri"/>
    </w:rPr>
  </w:style>
  <w:style w:type="paragraph" w:styleId="1025">
    <w:name w:val="toc 8"/>
    <w:basedOn w:val="989"/>
    <w:next w:val="988"/>
    <w:qFormat/>
    <w:pPr>
      <w:ind w:left="1880" w:firstLine="3784"/>
      <w:spacing w:before="0" w:after="0" w:line="360" w:lineRule="auto"/>
    </w:pPr>
    <w:rPr>
      <w:rFonts w:ascii="Times New Roman" w:hAnsi="Times New Roman" w:cs="Times New Roman"/>
    </w:rPr>
  </w:style>
  <w:style w:type="paragraph" w:styleId="1026">
    <w:name w:val="Date"/>
    <w:basedOn w:val="989"/>
    <w:next w:val="988"/>
    <w:qFormat/>
    <w:pPr>
      <w:ind w:left="0" w:firstLine="2560"/>
      <w:spacing w:before="0" w:after="0" w:line="240" w:lineRule="auto"/>
    </w:pPr>
    <w:rPr>
      <w:rFonts w:ascii="Times New Roman" w:hAnsi="Times New Roman" w:cs="Times New Roman"/>
    </w:rPr>
  </w:style>
  <w:style w:type="paragraph" w:styleId="1027">
    <w:name w:val="Body Text Indent 2"/>
    <w:basedOn w:val="989"/>
    <w:next w:val="1001"/>
    <w:qFormat/>
    <w:pPr>
      <w:ind w:left="481" w:firstLine="2784"/>
      <w:spacing w:before="0" w:after="0" w:line="400" w:lineRule="exact"/>
    </w:pPr>
    <w:rPr>
      <w:rFonts w:ascii="Times New Roman" w:hAnsi="Times New Roman" w:cs="Times New Roman"/>
    </w:rPr>
  </w:style>
  <w:style w:type="paragraph" w:styleId="1028">
    <w:name w:val="endnote text"/>
    <w:basedOn w:val="989"/>
    <w:next w:val="1029"/>
    <w:qFormat/>
    <w:pPr>
      <w:ind w:left="0" w:firstLine="2560"/>
      <w:spacing w:before="0" w:after="0" w:line="360" w:lineRule="auto"/>
    </w:pPr>
    <w:rPr>
      <w:rFonts w:ascii="Times New Roman" w:hAnsi="Times New Roman" w:cs="Times New Roman"/>
    </w:rPr>
  </w:style>
  <w:style w:type="paragraph" w:styleId="1029" w:customStyle="1">
    <w:name w:val="Char11"/>
    <w:basedOn w:val="989"/>
    <w:next w:val="988"/>
    <w:qFormat/>
    <w:pPr>
      <w:ind w:left="0" w:firstLine="3584"/>
      <w:spacing w:before="0" w:after="0" w:line="240" w:lineRule="auto"/>
    </w:pPr>
    <w:rPr>
      <w:rFonts w:ascii="Times New Roman" w:hAnsi="Times New Roman" w:cs="Times New Roman"/>
    </w:rPr>
  </w:style>
  <w:style w:type="paragraph" w:styleId="1030">
    <w:name w:val="Balloon Text"/>
    <w:basedOn w:val="989"/>
    <w:next w:val="1006"/>
    <w:qFormat/>
    <w:pPr>
      <w:ind w:left="0" w:firstLine="2048"/>
      <w:spacing w:before="0" w:after="0" w:line="240" w:lineRule="auto"/>
    </w:pPr>
    <w:rPr>
      <w:rFonts w:ascii="Times New Roman" w:hAnsi="Times New Roman" w:cs="Times New Roman"/>
    </w:rPr>
  </w:style>
  <w:style w:type="paragraph" w:styleId="1031">
    <w:name w:val="Footer"/>
    <w:basedOn w:val="988"/>
    <w:next w:val="1032"/>
    <w:link w:val="1058"/>
    <w:qFormat/>
    <w:pPr>
      <w:ind w:left="0" w:firstLine="3584"/>
    </w:pPr>
  </w:style>
  <w:style w:type="paragraph" w:styleId="1032" w:customStyle="1">
    <w:name w:val="Char Char Char Char Char Char Char Char Char Char Char Char Char"/>
    <w:basedOn w:val="989"/>
    <w:next w:val="988"/>
    <w:qFormat/>
    <w:pPr>
      <w:ind w:left="0" w:firstLine="3584"/>
      <w:spacing w:before="0" w:after="160" w:line="240" w:lineRule="exact"/>
    </w:pPr>
    <w:rPr>
      <w:rFonts w:ascii="Times New Roman" w:hAnsi="Times New Roman" w:cs="Times New Roman"/>
    </w:rPr>
  </w:style>
  <w:style w:type="paragraph" w:styleId="1033">
    <w:name w:val="Header"/>
    <w:basedOn w:val="989"/>
    <w:next w:val="1026"/>
    <w:link w:val="1059"/>
    <w:qFormat/>
    <w:pPr>
      <w:ind w:left="0" w:firstLine="3584"/>
      <w:jc w:val="center"/>
      <w:spacing w:before="0" w:after="0" w:line="240" w:lineRule="auto"/>
    </w:pPr>
  </w:style>
  <w:style w:type="paragraph" w:styleId="1034">
    <w:name w:val="toc 4"/>
    <w:basedOn w:val="989"/>
    <w:next w:val="988"/>
    <w:qFormat/>
    <w:pPr>
      <w:ind w:left="1260" w:firstLine="1024"/>
      <w:spacing w:before="0" w:after="0" w:line="240" w:lineRule="auto"/>
    </w:pPr>
    <w:rPr>
      <w:rFonts w:ascii="Times New Roman" w:hAnsi="Times New Roman" w:cs="Times New Roman"/>
    </w:rPr>
  </w:style>
  <w:style w:type="paragraph" w:styleId="1035">
    <w:name w:val="Subtitle"/>
    <w:next w:val="988"/>
    <w:qFormat/>
    <w:pPr>
      <w:ind w:left="1024"/>
      <w:jc w:val="center"/>
      <w:spacing w:after="60"/>
    </w:pPr>
    <w:rPr>
      <w:rFonts w:ascii="Calibri" w:hAnsi="Calibri"/>
    </w:rPr>
  </w:style>
  <w:style w:type="paragraph" w:styleId="1036">
    <w:name w:val="List"/>
    <w:basedOn w:val="989"/>
    <w:next w:val="1037"/>
    <w:qFormat/>
    <w:pPr>
      <w:ind w:left="200" w:firstLine="3640"/>
      <w:spacing w:before="0" w:after="0" w:line="240" w:lineRule="auto"/>
    </w:pPr>
    <w:rPr>
      <w:rFonts w:ascii="Times New Roman" w:hAnsi="Times New Roman" w:cs="Times New Roman"/>
    </w:rPr>
  </w:style>
  <w:style w:type="paragraph" w:styleId="1037">
    <w:name w:val="Body Text First Indent"/>
    <w:next w:val="988"/>
    <w:qFormat/>
    <w:pPr>
      <w:ind w:left="420" w:firstLine="3748"/>
      <w:spacing w:after="120"/>
    </w:pPr>
    <w:rPr>
      <w:rFonts w:ascii="Calibri" w:hAnsi="Calibri"/>
    </w:rPr>
  </w:style>
  <w:style w:type="paragraph" w:styleId="1038">
    <w:name w:val="footnote text"/>
    <w:basedOn w:val="989"/>
    <w:next w:val="1018"/>
    <w:qFormat/>
    <w:pPr>
      <w:ind w:left="0" w:firstLine="3584"/>
      <w:spacing w:before="0" w:after="0" w:line="360" w:lineRule="auto"/>
    </w:pPr>
    <w:rPr>
      <w:rFonts w:ascii="Times New Roman" w:hAnsi="Times New Roman" w:cs="Times New Roman"/>
    </w:rPr>
  </w:style>
  <w:style w:type="paragraph" w:styleId="1039">
    <w:name w:val="toc 6"/>
    <w:basedOn w:val="989"/>
    <w:next w:val="988"/>
    <w:qFormat/>
    <w:pPr>
      <w:ind w:left="1400" w:firstLine="3784"/>
      <w:spacing w:before="0" w:after="0" w:line="360" w:lineRule="auto"/>
    </w:pPr>
    <w:rPr>
      <w:rFonts w:ascii="Times New Roman" w:hAnsi="Times New Roman" w:cs="Times New Roman"/>
    </w:rPr>
  </w:style>
  <w:style w:type="paragraph" w:styleId="1040">
    <w:name w:val="List 5"/>
    <w:basedOn w:val="989"/>
    <w:next w:val="1015"/>
    <w:qFormat/>
    <w:pPr>
      <w:ind w:left="2100" w:firstLine="3676"/>
      <w:spacing w:before="0" w:after="0" w:line="240" w:lineRule="auto"/>
    </w:pPr>
    <w:rPr>
      <w:rFonts w:ascii="Times New Roman" w:hAnsi="Times New Roman" w:cs="Times New Roman"/>
    </w:rPr>
  </w:style>
  <w:style w:type="paragraph" w:styleId="1041">
    <w:name w:val="Body Text Indent 3"/>
    <w:basedOn w:val="989"/>
    <w:next w:val="1039"/>
    <w:qFormat/>
    <w:pPr>
      <w:ind w:left="480" w:firstLine="2784"/>
      <w:spacing w:before="0" w:after="0" w:line="400" w:lineRule="exact"/>
    </w:pPr>
    <w:rPr>
      <w:rFonts w:ascii="Times New Roman" w:hAnsi="Times New Roman" w:cs="Times New Roman"/>
    </w:rPr>
  </w:style>
  <w:style w:type="paragraph" w:styleId="1042">
    <w:name w:val="toc 2"/>
    <w:basedOn w:val="989"/>
    <w:next w:val="988"/>
    <w:qFormat/>
    <w:pPr>
      <w:ind w:left="0" w:firstLine="1024"/>
      <w:spacing w:before="0" w:after="0" w:line="360" w:lineRule="auto"/>
    </w:pPr>
    <w:rPr>
      <w:rFonts w:ascii="Times New Roman" w:hAnsi="Times New Roman" w:cs="Times New Roman"/>
    </w:rPr>
  </w:style>
  <w:style w:type="paragraph" w:styleId="1043">
    <w:name w:val="toc 9"/>
    <w:basedOn w:val="989"/>
    <w:next w:val="988"/>
    <w:qFormat/>
    <w:pPr>
      <w:ind w:left="2120" w:firstLine="3784"/>
      <w:spacing w:before="0" w:after="0" w:line="360" w:lineRule="auto"/>
    </w:pPr>
    <w:rPr>
      <w:rFonts w:ascii="Times New Roman" w:hAnsi="Times New Roman" w:cs="Times New Roman"/>
    </w:rPr>
  </w:style>
  <w:style w:type="paragraph" w:styleId="1044">
    <w:name w:val="Body Text 2"/>
    <w:basedOn w:val="989"/>
    <w:next w:val="1009"/>
    <w:qFormat/>
    <w:pPr>
      <w:ind w:left="0" w:firstLine="1024"/>
      <w:spacing w:before="0" w:after="120" w:line="480" w:lineRule="auto"/>
    </w:pPr>
    <w:rPr>
      <w:rFonts w:ascii="Times New Roman" w:hAnsi="Times New Roman" w:cs="Times New Roman"/>
    </w:rPr>
  </w:style>
  <w:style w:type="paragraph" w:styleId="1045">
    <w:name w:val="HTML Preformatted"/>
    <w:basedOn w:val="989"/>
    <w:next w:val="1008"/>
    <w:qFormat/>
    <w:pPr>
      <w:ind w:left="0" w:firstLine="2048"/>
      <w:spacing w:before="0" w:after="0" w:line="253" w:lineRule="atLeast"/>
    </w:pPr>
    <w:rPr>
      <w:rFonts w:ascii="Times New Roman" w:hAnsi="Times New Roman" w:cs="Times New Roman"/>
    </w:rPr>
  </w:style>
  <w:style w:type="paragraph" w:styleId="1046">
    <w:name w:val="Normal (Web)"/>
    <w:basedOn w:val="988"/>
    <w:next w:val="1017"/>
    <w:qFormat/>
    <w:pPr>
      <w:ind w:left="15" w:right="15" w:firstLine="4608"/>
      <w:spacing w:before="60" w:after="60" w:line="312" w:lineRule="auto"/>
    </w:pPr>
    <w:rPr>
      <w:rFonts w:ascii="Times New Roman" w:hAnsi="Times New Roman" w:cs="Times New Roman"/>
    </w:rPr>
  </w:style>
  <w:style w:type="paragraph" w:styleId="1047">
    <w:name w:val="index 1"/>
    <w:basedOn w:val="989"/>
    <w:next w:val="988"/>
    <w:qFormat/>
    <w:pPr>
      <w:ind w:left="0" w:firstLine="3584"/>
      <w:spacing w:before="0" w:after="0" w:line="240" w:lineRule="auto"/>
    </w:pPr>
    <w:rPr>
      <w:rFonts w:ascii="Times New Roman" w:hAnsi="Times New Roman" w:cs="Times New Roman"/>
    </w:rPr>
  </w:style>
  <w:style w:type="paragraph" w:styleId="1048">
    <w:name w:val="Body Text First Indent 2"/>
    <w:basedOn w:val="1001"/>
    <w:link w:val="1407"/>
    <w:unhideWhenUsed/>
    <w:qFormat/>
    <w:pPr>
      <w:ind w:firstLine="420"/>
    </w:pPr>
  </w:style>
  <w:style w:type="table" w:styleId="104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0">
    <w:name w:val="Strong"/>
    <w:qFormat/>
    <w:rPr>
      <w:rFonts w:ascii="Times New Roman" w:hAnsi="Times New Roman" w:eastAsia="宋体" w:cs="Times New Roman"/>
      <w:b/>
      <w:sz w:val="20"/>
    </w:rPr>
  </w:style>
  <w:style w:type="character" w:styleId="1051">
    <w:name w:val="page number"/>
    <w:qFormat/>
    <w:rPr>
      <w:rFonts w:ascii="Times New Roman" w:hAnsi="Times New Roman" w:eastAsia="宋体" w:cs="Times New Roman"/>
      <w:sz w:val="20"/>
    </w:rPr>
  </w:style>
  <w:style w:type="character" w:styleId="1052">
    <w:name w:val="FollowedHyperlink"/>
    <w:qFormat/>
    <w:rPr>
      <w:rFonts w:ascii="Times New Roman" w:hAnsi="Times New Roman" w:eastAsia="宋体" w:cs="Times New Roman"/>
      <w:color w:val="800080"/>
      <w:sz w:val="20"/>
      <w:u w:val="single"/>
    </w:rPr>
  </w:style>
  <w:style w:type="character" w:styleId="1053">
    <w:name w:val="Emphasis"/>
    <w:qFormat/>
    <w:rPr>
      <w:rFonts w:ascii="Times New Roman" w:hAnsi="Times New Roman" w:eastAsia="宋体" w:cs="Times New Roman"/>
      <w:i/>
      <w:sz w:val="21"/>
    </w:rPr>
  </w:style>
  <w:style w:type="character" w:styleId="1054">
    <w:name w:val="Hyperlink"/>
    <w:uiPriority w:val="99"/>
    <w:qFormat/>
    <w:rPr>
      <w:rFonts w:ascii="Times New Roman" w:hAnsi="Times New Roman" w:eastAsia="宋体" w:cs="Times New Roman"/>
      <w:color w:val="0000ff"/>
      <w:sz w:val="20"/>
      <w:u w:val="single"/>
    </w:rPr>
  </w:style>
  <w:style w:type="character" w:styleId="1055">
    <w:name w:val="annotation reference"/>
    <w:qFormat/>
    <w:rPr>
      <w:rFonts w:ascii="Times New Roman" w:hAnsi="Times New Roman" w:eastAsia="宋体" w:cs="Times New Roman"/>
      <w:sz w:val="20"/>
    </w:rPr>
  </w:style>
  <w:style w:type="character" w:styleId="1056">
    <w:name w:val="footnote reference"/>
    <w:qFormat/>
    <w:rPr>
      <w:rFonts w:ascii="Times New Roman" w:hAnsi="Times New Roman" w:eastAsia="宋体" w:cs="Times New Roman"/>
      <w:vertAlign w:val="superscript"/>
    </w:rPr>
  </w:style>
  <w:style w:type="character" w:styleId="1057" w:customStyle="1">
    <w:name w:val="正文缩进 字符"/>
    <w:link w:val="1007"/>
    <w:qFormat/>
    <w:rPr>
      <w:rFonts w:ascii="Calibri" w:hAnsi="Calibri" w:eastAsia="宋体" w:cs="Times New Roman"/>
    </w:rPr>
  </w:style>
  <w:style w:type="character" w:styleId="1058" w:customStyle="1">
    <w:name w:val="页脚 字符"/>
    <w:link w:val="1031"/>
    <w:qFormat/>
    <w:rPr>
      <w:rFonts w:ascii="Calibri" w:hAnsi="Calibri" w:eastAsia="宋体" w:cs="Times New Roman"/>
    </w:rPr>
  </w:style>
  <w:style w:type="character" w:styleId="1059" w:customStyle="1">
    <w:name w:val="页眉 字符"/>
    <w:link w:val="1033"/>
    <w:qFormat/>
    <w:rPr>
      <w:rFonts w:ascii="Calibri" w:hAnsi="Calibri" w:eastAsia="宋体" w:cs="Times New Roman"/>
    </w:rPr>
  </w:style>
  <w:style w:type="character" w:styleId="1060" w:customStyle="1">
    <w:name w:val="日期 Char"/>
    <w:qFormat/>
    <w:rPr>
      <w:rFonts w:ascii="Times New Roman" w:hAnsi="Times New Roman" w:eastAsia="宋体" w:cs="Times New Roman"/>
      <w:sz w:val="20"/>
    </w:rPr>
  </w:style>
  <w:style w:type="character" w:styleId="1061" w:customStyle="1">
    <w:name w:val="批注引用1"/>
    <w:qFormat/>
    <w:rPr>
      <w:rFonts w:ascii="Times New Roman" w:hAnsi="Times New Roman" w:eastAsia="宋体" w:cs="Times New Roman"/>
      <w:sz w:val="20"/>
    </w:rPr>
  </w:style>
  <w:style w:type="character" w:styleId="1062" w:customStyle="1">
    <w:name w:val="应答文本 Char Char"/>
    <w:qFormat/>
    <w:rPr>
      <w:rFonts w:ascii="Times New Roman" w:hAnsi="Times New Roman" w:eastAsia="宋体" w:cs="Times New Roman"/>
      <w:sz w:val="20"/>
    </w:rPr>
  </w:style>
  <w:style w:type="character" w:styleId="1063" w:customStyle="1">
    <w:name w:val="图片0 Char Char"/>
    <w:qFormat/>
    <w:rPr>
      <w:rFonts w:ascii="Times New Roman" w:hAnsi="Times New Roman" w:eastAsia="宋体" w:cs="Times New Roman"/>
      <w:sz w:val="20"/>
    </w:rPr>
  </w:style>
  <w:style w:type="character" w:styleId="1064" w:customStyle="1">
    <w:name w:val="尾注文本 Char"/>
    <w:qFormat/>
    <w:rPr>
      <w:rFonts w:ascii="Times New Roman" w:hAnsi="Times New Roman" w:eastAsia="宋体" w:cs="Times New Roman"/>
      <w:sz w:val="20"/>
    </w:rPr>
  </w:style>
  <w:style w:type="character" w:styleId="1065" w:customStyle="1">
    <w:name w:val="文档结构图 字符"/>
    <w:qFormat/>
    <w:rPr>
      <w:rFonts w:ascii="Microsoft YaHei UI" w:hAnsi="Times New Roman" w:eastAsia="Microsoft YaHei UI" w:cs="Times New Roman"/>
      <w:sz w:val="18"/>
      <w:szCs w:val="18"/>
    </w:rPr>
  </w:style>
  <w:style w:type="character" w:styleId="1066" w:customStyle="1">
    <w:name w:val="_Style 337"/>
    <w:qFormat/>
    <w:rPr>
      <w:rFonts w:ascii="Times New Roman" w:hAnsi="Times New Roman" w:eastAsia="宋体" w:cs="Times New Roman"/>
      <w:color w:val="auto"/>
      <w:sz w:val="21"/>
    </w:rPr>
  </w:style>
  <w:style w:type="character" w:styleId="1067" w:customStyle="1">
    <w:name w:val="正文文本 字符"/>
    <w:qFormat/>
    <w:rPr>
      <w:rFonts w:ascii="Times New Roman" w:hAnsi="Times New Roman" w:eastAsia="宋体" w:cs="Times New Roman"/>
      <w:sz w:val="21"/>
    </w:rPr>
  </w:style>
  <w:style w:type="character" w:styleId="1068" w:customStyle="1">
    <w:name w:val="批注文字 字符"/>
    <w:qFormat/>
    <w:rPr>
      <w:rFonts w:ascii="Times New Roman" w:hAnsi="Times New Roman" w:eastAsia="宋体" w:cs="Times New Roman"/>
      <w:sz w:val="20"/>
    </w:rPr>
  </w:style>
  <w:style w:type="character" w:styleId="1069" w:customStyle="1">
    <w:name w:val="批注文字 Char1"/>
    <w:qFormat/>
    <w:rPr>
      <w:rFonts w:ascii="Times New Roman" w:hAnsi="Times New Roman" w:eastAsia="宋体" w:cs="Times New Roman"/>
      <w:sz w:val="20"/>
    </w:rPr>
  </w:style>
  <w:style w:type="character" w:styleId="1070" w:customStyle="1">
    <w:name w:val="txt"/>
    <w:qFormat/>
    <w:rPr>
      <w:rFonts w:ascii="Times New Roman" w:hAnsi="Times New Roman" w:eastAsia="宋体" w:cs="Times New Roman"/>
      <w:sz w:val="20"/>
    </w:rPr>
  </w:style>
  <w:style w:type="character" w:styleId="1071" w:customStyle="1">
    <w:name w:val="标书正文 Char"/>
    <w:qFormat/>
    <w:rPr>
      <w:rFonts w:ascii="Times New Roman" w:hAnsi="Times New Roman" w:eastAsia="宋体" w:cs="Times New Roman"/>
      <w:sz w:val="20"/>
    </w:rPr>
  </w:style>
  <w:style w:type="character" w:styleId="1072" w:customStyle="1">
    <w:name w:val="font21"/>
    <w:qFormat/>
    <w:rPr>
      <w:rFonts w:hint="eastAsia" w:ascii="宋体" w:hAnsi="宋体" w:eastAsia="宋体" w:cs="宋体"/>
      <w:color w:val="ff0000"/>
      <w:sz w:val="24"/>
      <w:szCs w:val="24"/>
      <w:u w:val="none"/>
    </w:rPr>
  </w:style>
  <w:style w:type="character" w:styleId="1073" w:customStyle="1">
    <w:name w:val="apple-converted-space"/>
    <w:qFormat/>
    <w:rPr>
      <w:rFonts w:ascii="Times New Roman" w:hAnsi="Times New Roman" w:eastAsia="宋体" w:cs="Times New Roman"/>
      <w:sz w:val="20"/>
    </w:rPr>
  </w:style>
  <w:style w:type="character" w:styleId="1074" w:customStyle="1">
    <w:name w:val="纯文本 Char1"/>
    <w:qFormat/>
    <w:rPr>
      <w:rFonts w:ascii="Times New Roman" w:hAnsi="Times New Roman" w:eastAsia="宋体" w:cs="Times New Roman"/>
      <w:sz w:val="20"/>
    </w:rPr>
  </w:style>
  <w:style w:type="character" w:styleId="1075" w:customStyle="1">
    <w:name w:val="para1"/>
    <w:qFormat/>
    <w:rPr>
      <w:rFonts w:ascii="Times New Roman" w:hAnsi="Times New Roman" w:eastAsia="宋体" w:cs="Times New Roman"/>
      <w:sz w:val="20"/>
    </w:rPr>
  </w:style>
  <w:style w:type="character" w:styleId="1076" w:customStyle="1">
    <w:name w:val="HTML 预设格式 Char1"/>
    <w:qFormat/>
    <w:rPr>
      <w:rFonts w:ascii="Times New Roman" w:hAnsi="Times New Roman" w:eastAsia="宋体" w:cs="Times New Roman"/>
      <w:sz w:val="20"/>
    </w:rPr>
  </w:style>
  <w:style w:type="character" w:styleId="1077" w:customStyle="1">
    <w:name w:val="批注文字 Char"/>
    <w:qFormat/>
    <w:rPr>
      <w:rFonts w:ascii="Times New Roman" w:hAnsi="Times New Roman" w:eastAsia="宋体" w:cs="Times New Roman"/>
      <w:sz w:val="20"/>
    </w:rPr>
  </w:style>
  <w:style w:type="character" w:styleId="1078" w:customStyle="1">
    <w:name w:val="文档结构图 Char"/>
    <w:qFormat/>
    <w:rPr>
      <w:rFonts w:ascii="Times New Roman" w:hAnsi="Times New Roman" w:eastAsia="宋体" w:cs="Times New Roman"/>
      <w:sz w:val="20"/>
    </w:rPr>
  </w:style>
  <w:style w:type="character" w:styleId="1079" w:customStyle="1">
    <w:name w:val="超级链接"/>
    <w:qFormat/>
    <w:rPr>
      <w:rFonts w:ascii="Times New Roman" w:hAnsi="Times New Roman" w:eastAsia="宋体" w:cs="Times New Roman"/>
      <w:color w:val="0000ff"/>
      <w:sz w:val="20"/>
      <w:u w:val="single"/>
    </w:rPr>
  </w:style>
  <w:style w:type="character" w:styleId="1080" w:customStyle="1">
    <w:name w:val="p141"/>
    <w:qFormat/>
    <w:rPr>
      <w:rFonts w:ascii="Times New Roman" w:hAnsi="Times New Roman" w:eastAsia="宋体" w:cs="Times New Roman"/>
      <w:color w:val="000000"/>
      <w:sz w:val="20"/>
      <w:u w:val="none"/>
    </w:rPr>
  </w:style>
  <w:style w:type="character" w:styleId="1081" w:customStyle="1">
    <w:name w:val="宏文本 Char"/>
    <w:qFormat/>
    <w:rPr>
      <w:rFonts w:ascii="Times New Roman" w:hAnsi="Times New Roman" w:eastAsia="宋体" w:cs="Times New Roman"/>
      <w:sz w:val="20"/>
    </w:rPr>
  </w:style>
  <w:style w:type="character" w:styleId="1082" w:customStyle="1">
    <w:name w:val="_Style 313"/>
    <w:qFormat/>
    <w:rPr>
      <w:rFonts w:ascii="Times New Roman" w:hAnsi="Times New Roman" w:eastAsia="宋体" w:cs="Times New Roman"/>
      <w:b/>
      <w:i/>
      <w:sz w:val="21"/>
    </w:rPr>
  </w:style>
  <w:style w:type="character" w:styleId="1083" w:customStyle="1">
    <w:name w:val="页脚 Char1"/>
    <w:qFormat/>
    <w:rPr>
      <w:rFonts w:ascii="Times New Roman" w:hAnsi="Times New Roman" w:eastAsia="宋体" w:cs="Times New Roman"/>
      <w:sz w:val="20"/>
    </w:rPr>
  </w:style>
  <w:style w:type="character" w:styleId="1084" w:customStyle="1">
    <w:name w:val="页眉 Char"/>
    <w:qFormat/>
    <w:rPr>
      <w:rFonts w:ascii="Times New Roman" w:hAnsi="Times New Roman" w:eastAsia="宋体" w:cs="Times New Roman"/>
      <w:sz w:val="20"/>
    </w:rPr>
  </w:style>
  <w:style w:type="character" w:styleId="1085" w:customStyle="1">
    <w:name w:val="标题 7 Char"/>
    <w:qFormat/>
    <w:rPr>
      <w:rFonts w:ascii="Times New Roman" w:hAnsi="Times New Roman" w:eastAsia="宋体" w:cs="Times New Roman"/>
      <w:b/>
      <w:sz w:val="20"/>
    </w:rPr>
  </w:style>
  <w:style w:type="character" w:styleId="1086" w:customStyle="1">
    <w:name w:val="Char Char12"/>
    <w:qFormat/>
    <w:rPr>
      <w:rFonts w:ascii="Times New Roman" w:hAnsi="Times New Roman" w:eastAsia="宋体" w:cs="Times New Roman"/>
      <w:sz w:val="20"/>
    </w:rPr>
  </w:style>
  <w:style w:type="character" w:styleId="1087" w:customStyle="1">
    <w:name w:val="标题 3 Char"/>
    <w:qFormat/>
    <w:rPr>
      <w:rFonts w:ascii="Times New Roman" w:hAnsi="Times New Roman" w:eastAsia="宋体" w:cs="Times New Roman"/>
      <w:b/>
      <w:sz w:val="20"/>
    </w:rPr>
  </w:style>
  <w:style w:type="character" w:styleId="1088" w:customStyle="1">
    <w:name w:val="正文（首行缩进 2 字符） Char Char"/>
    <w:qFormat/>
    <w:rPr>
      <w:rFonts w:ascii="Times New Roman" w:hAnsi="Times New Roman" w:eastAsia="宋体" w:cs="Times New Roman"/>
      <w:sz w:val="20"/>
    </w:rPr>
  </w:style>
  <w:style w:type="character" w:styleId="1089" w:customStyle="1">
    <w:name w:val="表格用 Char Char"/>
    <w:qFormat/>
    <w:rPr>
      <w:rFonts w:ascii="Times New Roman" w:hAnsi="Times New Roman" w:eastAsia="宋体" w:cs="Times New Roman"/>
      <w:sz w:val="20"/>
    </w:rPr>
  </w:style>
  <w:style w:type="character" w:styleId="1090" w:customStyle="1">
    <w:name w:val="正文文本缩进 3 Char1"/>
    <w:qFormat/>
    <w:rPr>
      <w:rFonts w:ascii="Times New Roman" w:hAnsi="Times New Roman" w:eastAsia="宋体" w:cs="Times New Roman"/>
      <w:sz w:val="20"/>
    </w:rPr>
  </w:style>
  <w:style w:type="character" w:styleId="1091" w:customStyle="1">
    <w:name w:val="正文缩进 Char"/>
    <w:qFormat/>
    <w:rPr>
      <w:rFonts w:ascii="Times New Roman" w:hAnsi="Times New Roman" w:eastAsia="宋体" w:cs="Times New Roman"/>
      <w:sz w:val="20"/>
    </w:rPr>
  </w:style>
  <w:style w:type="character" w:styleId="1092" w:customStyle="1">
    <w:name w:val="批注框文本 Char1"/>
    <w:qFormat/>
    <w:rPr>
      <w:rFonts w:ascii="Times New Roman" w:hAnsi="Times New Roman" w:eastAsia="宋体" w:cs="Times New Roman"/>
      <w:sz w:val="20"/>
    </w:rPr>
  </w:style>
  <w:style w:type="character" w:styleId="1093" w:customStyle="1">
    <w:name w:val="Char Char13"/>
    <w:qFormat/>
    <w:rPr>
      <w:rFonts w:ascii="Times New Roman" w:hAnsi="Times New Roman" w:eastAsia="宋体" w:cs="Times New Roman"/>
      <w:sz w:val="20"/>
    </w:rPr>
  </w:style>
  <w:style w:type="character" w:styleId="1094" w:customStyle="1">
    <w:name w:val="样式2 Char"/>
    <w:qFormat/>
    <w:rPr>
      <w:rFonts w:ascii="Times New Roman" w:hAnsi="Times New Roman" w:eastAsia="宋体" w:cs="Times New Roman"/>
      <w:b/>
      <w:sz w:val="20"/>
    </w:rPr>
  </w:style>
  <w:style w:type="character" w:styleId="1095" w:customStyle="1">
    <w:name w:val="页脚 Char"/>
    <w:qFormat/>
    <w:rPr>
      <w:rFonts w:ascii="Times New Roman" w:hAnsi="Times New Roman" w:eastAsia="宋体" w:cs="Times New Roman"/>
      <w:sz w:val="20"/>
    </w:rPr>
  </w:style>
  <w:style w:type="character" w:styleId="1096" w:customStyle="1">
    <w:name w:val="标准文本 Char"/>
    <w:qFormat/>
    <w:rPr>
      <w:rFonts w:ascii="Times New Roman" w:hAnsi="Times New Roman" w:eastAsia="宋体" w:cs="Times New Roman"/>
      <w:sz w:val="20"/>
    </w:rPr>
  </w:style>
  <w:style w:type="character" w:styleId="1097" w:customStyle="1">
    <w:name w:val="font01"/>
    <w:qFormat/>
    <w:rPr>
      <w:rFonts w:hint="eastAsia" w:ascii="宋体" w:hAnsi="宋体" w:eastAsia="宋体" w:cs="宋体"/>
      <w:color w:val="000000"/>
      <w:sz w:val="24"/>
      <w:szCs w:val="24"/>
      <w:u w:val="none"/>
    </w:rPr>
  </w:style>
  <w:style w:type="character" w:styleId="1098" w:customStyle="1">
    <w:name w:val="标题 3 Char1"/>
    <w:qFormat/>
    <w:rPr>
      <w:rFonts w:ascii="Times New Roman" w:hAnsi="Times New Roman" w:eastAsia="宋体" w:cs="Times New Roman"/>
      <w:b/>
      <w:sz w:val="20"/>
      <w:u w:val="single"/>
    </w:rPr>
  </w:style>
  <w:style w:type="character" w:styleId="1099" w:customStyle="1">
    <w:name w:val="表格 Char Char"/>
    <w:qFormat/>
    <w:rPr>
      <w:rFonts w:ascii="Times New Roman" w:hAnsi="Times New Roman" w:eastAsia="宋体" w:cs="Times New Roman"/>
      <w:sz w:val="20"/>
    </w:rPr>
  </w:style>
  <w:style w:type="character" w:styleId="1100" w:customStyle="1">
    <w:name w:val="正文首行缩进 Char"/>
    <w:qFormat/>
    <w:rPr>
      <w:rFonts w:ascii="Times New Roman" w:hAnsi="Times New Roman" w:eastAsia="宋体" w:cs="Times New Roman"/>
      <w:sz w:val="20"/>
    </w:rPr>
  </w:style>
  <w:style w:type="character" w:styleId="1101" w:customStyle="1">
    <w:name w:val="标题 9 Char"/>
    <w:qFormat/>
    <w:rPr>
      <w:rFonts w:ascii="Times New Roman" w:hAnsi="Times New Roman" w:eastAsia="宋体" w:cs="Times New Roman"/>
      <w:sz w:val="20"/>
    </w:rPr>
  </w:style>
  <w:style w:type="character" w:styleId="1102" w:customStyle="1">
    <w:name w:val="lh151"/>
    <w:qFormat/>
    <w:rPr>
      <w:rFonts w:ascii="Times New Roman" w:hAnsi="Times New Roman" w:eastAsia="宋体" w:cs="Times New Roman"/>
      <w:color w:val="666666"/>
      <w:sz w:val="20"/>
    </w:rPr>
  </w:style>
  <w:style w:type="character" w:styleId="1103" w:customStyle="1">
    <w:name w:val="日期 Char1"/>
    <w:qFormat/>
    <w:rPr>
      <w:rFonts w:ascii="Times New Roman" w:hAnsi="Times New Roman" w:eastAsia="宋体" w:cs="Times New Roman"/>
      <w:sz w:val="20"/>
    </w:rPr>
  </w:style>
  <w:style w:type="character" w:styleId="1104" w:customStyle="1">
    <w:name w:val="图片 Char Char"/>
    <w:qFormat/>
    <w:rPr>
      <w:rFonts w:ascii="Times New Roman" w:hAnsi="Times New Roman" w:eastAsia="宋体" w:cs="Times New Roman"/>
      <w:sz w:val="20"/>
    </w:rPr>
  </w:style>
  <w:style w:type="character" w:styleId="1105" w:customStyle="1">
    <w:name w:val="批注框文本 字符"/>
    <w:qFormat/>
    <w:rPr>
      <w:rFonts w:ascii="Times New Roman" w:hAnsi="Times New Roman" w:eastAsia="宋体" w:cs="Times New Roman"/>
      <w:sz w:val="20"/>
    </w:rPr>
  </w:style>
  <w:style w:type="character" w:styleId="1106" w:customStyle="1">
    <w:name w:val="HTML 预设格式 Char"/>
    <w:qFormat/>
    <w:rPr>
      <w:rFonts w:ascii="Times New Roman" w:hAnsi="Times New Roman" w:eastAsia="宋体" w:cs="Times New Roman"/>
      <w:sz w:val="20"/>
    </w:rPr>
  </w:style>
  <w:style w:type="character" w:styleId="1107" w:customStyle="1">
    <w:name w:val="列出段落 Char"/>
    <w:qFormat/>
    <w:rPr>
      <w:rFonts w:ascii="Times New Roman" w:hAnsi="Times New Roman" w:eastAsia="宋体" w:cs="Times New Roman"/>
      <w:sz w:val="20"/>
    </w:rPr>
  </w:style>
  <w:style w:type="character" w:styleId="1108" w:customStyle="1">
    <w:name w:val="标题 5 Char"/>
    <w:qFormat/>
    <w:rPr>
      <w:rFonts w:ascii="Times New Roman" w:hAnsi="Times New Roman" w:eastAsia="宋体" w:cs="Times New Roman"/>
      <w:b/>
      <w:sz w:val="20"/>
    </w:rPr>
  </w:style>
  <w:style w:type="character" w:styleId="1109" w:customStyle="1">
    <w:name w:val="链接"/>
    <w:qFormat/>
    <w:rPr>
      <w:rFonts w:ascii="Times New Roman" w:hAnsi="Times New Roman" w:eastAsia="宋体" w:cs="Times New Roman"/>
      <w:color w:val="0000ff"/>
      <w:sz w:val="20"/>
      <w:u w:val="single"/>
    </w:rPr>
  </w:style>
  <w:style w:type="character" w:styleId="1110" w:customStyle="1">
    <w:name w:val="18h1"/>
    <w:qFormat/>
    <w:rPr>
      <w:rFonts w:ascii="Times New Roman" w:hAnsi="Times New Roman" w:eastAsia="宋体" w:cs="Times New Roman"/>
      <w:color w:val="3b3b3b"/>
      <w:sz w:val="20"/>
    </w:rPr>
  </w:style>
  <w:style w:type="character" w:styleId="1111" w:customStyle="1">
    <w:name w:val="表格文字（两侧对齐） Char Char"/>
    <w:qFormat/>
    <w:rPr>
      <w:rFonts w:ascii="Times New Roman" w:hAnsi="Times New Roman" w:eastAsia="宋体" w:cs="Times New Roman"/>
      <w:sz w:val="20"/>
    </w:rPr>
  </w:style>
  <w:style w:type="character" w:styleId="1112" w:customStyle="1">
    <w:name w:val="正文文本缩进 2 Char"/>
    <w:qFormat/>
    <w:rPr>
      <w:rFonts w:ascii="Times New Roman" w:hAnsi="Times New Roman" w:eastAsia="宋体" w:cs="Times New Roman"/>
      <w:sz w:val="20"/>
    </w:rPr>
  </w:style>
  <w:style w:type="character" w:styleId="1113" w:customStyle="1">
    <w:name w:val="Char Char14"/>
    <w:qFormat/>
    <w:rPr>
      <w:rFonts w:ascii="Times New Roman" w:hAnsi="Times New Roman" w:eastAsia="宋体" w:cs="Times New Roman"/>
      <w:sz w:val="20"/>
    </w:rPr>
  </w:style>
  <w:style w:type="character" w:styleId="1114" w:customStyle="1">
    <w:name w:val="标题 1 Char1"/>
    <w:qFormat/>
    <w:rPr>
      <w:rFonts w:ascii="Times New Roman" w:hAnsi="Times New Roman" w:eastAsia="宋体" w:cs="Times New Roman"/>
      <w:b/>
      <w:sz w:val="20"/>
    </w:rPr>
  </w:style>
  <w:style w:type="character" w:styleId="1115" w:customStyle="1">
    <w:name w:val="批注框文本 Char"/>
    <w:qFormat/>
    <w:rPr>
      <w:rFonts w:ascii="Times New Roman" w:hAnsi="Times New Roman" w:eastAsia="宋体" w:cs="Times New Roman"/>
      <w:sz w:val="20"/>
    </w:rPr>
  </w:style>
  <w:style w:type="character" w:styleId="1116" w:customStyle="1">
    <w:name w:val="apple-style-span"/>
    <w:qFormat/>
    <w:rPr>
      <w:rFonts w:ascii="Times New Roman" w:hAnsi="Times New Roman" w:eastAsia="宋体" w:cs="Times New Roman"/>
      <w:sz w:val="20"/>
    </w:rPr>
  </w:style>
  <w:style w:type="character" w:styleId="1117" w:customStyle="1">
    <w:name w:val="插图 Char Char"/>
    <w:qFormat/>
    <w:rPr>
      <w:rFonts w:ascii="Times New Roman" w:hAnsi="Times New Roman" w:eastAsia="宋体" w:cs="Times New Roman"/>
      <w:sz w:val="20"/>
    </w:rPr>
  </w:style>
  <w:style w:type="character" w:styleId="1118" w:customStyle="1">
    <w:name w:val="标题 2 Char1"/>
    <w:qFormat/>
    <w:rPr>
      <w:rFonts w:ascii="Times New Roman" w:hAnsi="Times New Roman" w:eastAsia="宋体" w:cs="Times New Roman"/>
      <w:b/>
      <w:sz w:val="20"/>
    </w:rPr>
  </w:style>
  <w:style w:type="character" w:styleId="1119" w:customStyle="1">
    <w:name w:val="_Style 332"/>
    <w:qFormat/>
    <w:rPr>
      <w:rFonts w:ascii="Times New Roman" w:hAnsi="Times New Roman" w:eastAsia="宋体" w:cs="Times New Roman"/>
      <w:i/>
      <w:color w:val="auto"/>
      <w:sz w:val="21"/>
    </w:rPr>
  </w:style>
  <w:style w:type="character" w:styleId="1120" w:customStyle="1">
    <w:name w:val="正文文本 3 Char1"/>
    <w:qFormat/>
    <w:rPr>
      <w:rFonts w:ascii="Times New Roman" w:hAnsi="Times New Roman" w:eastAsia="宋体" w:cs="Times New Roman"/>
      <w:sz w:val="20"/>
    </w:rPr>
  </w:style>
  <w:style w:type="character" w:styleId="1121" w:customStyle="1">
    <w:name w:val="标题 5 Char1"/>
    <w:qFormat/>
    <w:rPr>
      <w:rFonts w:ascii="Times New Roman" w:hAnsi="Times New Roman" w:eastAsia="宋体" w:cs="Times New Roman"/>
      <w:b/>
      <w:sz w:val="20"/>
    </w:rPr>
  </w:style>
  <w:style w:type="character" w:styleId="1122" w:customStyle="1">
    <w:name w:val="批注主题 Char"/>
    <w:qFormat/>
    <w:rPr>
      <w:rFonts w:ascii="Times New Roman" w:hAnsi="Times New Roman" w:eastAsia="宋体" w:cs="Times New Roman"/>
      <w:b/>
      <w:sz w:val="20"/>
    </w:rPr>
  </w:style>
  <w:style w:type="character" w:styleId="1123" w:customStyle="1">
    <w:name w:val="标题 1 Char"/>
    <w:qFormat/>
    <w:rPr>
      <w:rFonts w:ascii="Times New Roman" w:hAnsi="Times New Roman" w:eastAsia="宋体" w:cs="Times New Roman"/>
      <w:b/>
      <w:sz w:val="20"/>
    </w:rPr>
  </w:style>
  <w:style w:type="character" w:styleId="1124" w:customStyle="1">
    <w:name w:val="正文文本 2 Char1"/>
    <w:qFormat/>
    <w:rPr>
      <w:rFonts w:ascii="Times New Roman" w:hAnsi="Times New Roman" w:eastAsia="宋体" w:cs="Times New Roman"/>
      <w:sz w:val="20"/>
    </w:rPr>
  </w:style>
  <w:style w:type="character" w:styleId="1125" w:customStyle="1">
    <w:name w:val="标题 4 Char1"/>
    <w:qFormat/>
    <w:rPr>
      <w:rFonts w:ascii="Times New Roman" w:hAnsi="Times New Roman" w:eastAsia="宋体" w:cs="Times New Roman"/>
      <w:b/>
      <w:sz w:val="20"/>
    </w:rPr>
  </w:style>
  <w:style w:type="character" w:styleId="1126" w:customStyle="1">
    <w:name w:val="正文文本 2 Char"/>
    <w:qFormat/>
    <w:rPr>
      <w:rFonts w:ascii="Times New Roman" w:hAnsi="Times New Roman" w:eastAsia="宋体" w:cs="Times New Roman"/>
      <w:sz w:val="20"/>
    </w:rPr>
  </w:style>
  <w:style w:type="character" w:styleId="1127" w:customStyle="1">
    <w:name w:val="_Style 376"/>
    <w:qFormat/>
    <w:rPr>
      <w:rFonts w:ascii="Times New Roman" w:hAnsi="Times New Roman" w:eastAsia="宋体" w:cs="Times New Roman"/>
      <w:b/>
      <w:color w:val="auto"/>
      <w:sz w:val="21"/>
    </w:rPr>
  </w:style>
  <w:style w:type="character" w:styleId="1128" w:customStyle="1">
    <w:name w:val="062"/>
    <w:qFormat/>
    <w:rPr>
      <w:rFonts w:ascii="Times New Roman" w:hAnsi="Times New Roman" w:eastAsia="宋体" w:cs="Times New Roman"/>
      <w:b/>
      <w:sz w:val="20"/>
    </w:rPr>
  </w:style>
  <w:style w:type="character" w:styleId="1129" w:customStyle="1">
    <w:name w:val="正文文本 Char1"/>
    <w:qFormat/>
    <w:rPr>
      <w:rFonts w:ascii="Times New Roman" w:hAnsi="Times New Roman" w:eastAsia="宋体" w:cs="Times New Roman"/>
      <w:sz w:val="20"/>
    </w:rPr>
  </w:style>
  <w:style w:type="character" w:styleId="1130" w:customStyle="1">
    <w:name w:val="题注 Char"/>
    <w:qFormat/>
    <w:rPr>
      <w:rFonts w:ascii="Times New Roman" w:hAnsi="Times New Roman" w:eastAsia="宋体" w:cs="Times New Roman"/>
      <w:sz w:val="20"/>
    </w:rPr>
  </w:style>
  <w:style w:type="character" w:styleId="1131" w:customStyle="1">
    <w:name w:val="脚注文本 Char"/>
    <w:qFormat/>
    <w:rPr>
      <w:rFonts w:ascii="Times New Roman" w:hAnsi="Times New Roman" w:eastAsia="宋体" w:cs="Times New Roman"/>
      <w:sz w:val="20"/>
    </w:rPr>
  </w:style>
  <w:style w:type="character" w:styleId="1132" w:customStyle="1">
    <w:name w:val="_Style 336"/>
    <w:qFormat/>
    <w:rPr>
      <w:rFonts w:ascii="Times New Roman" w:hAnsi="Times New Roman" w:eastAsia="宋体" w:cs="Times New Roman"/>
      <w:i/>
      <w:color w:val="auto"/>
      <w:sz w:val="21"/>
    </w:rPr>
  </w:style>
  <w:style w:type="character" w:styleId="1133" w:customStyle="1">
    <w:name w:val="表格 Char"/>
    <w:qFormat/>
    <w:rPr>
      <w:rFonts w:ascii="Times New Roman" w:hAnsi="Times New Roman" w:eastAsia="宋体" w:cs="Times New Roman"/>
      <w:color w:val="000000"/>
      <w:sz w:val="20"/>
    </w:rPr>
  </w:style>
  <w:style w:type="character" w:styleId="1134" w:customStyle="1">
    <w:name w:val="批注主题 字符"/>
    <w:qFormat/>
    <w:rPr>
      <w:rFonts w:ascii="Times New Roman" w:hAnsi="Times New Roman" w:eastAsia="宋体" w:cs="Times New Roman"/>
      <w:b/>
      <w:sz w:val="20"/>
    </w:rPr>
  </w:style>
  <w:style w:type="character" w:styleId="1135" w:customStyle="1">
    <w:name w:val="图注 Char Char"/>
    <w:qFormat/>
    <w:rPr>
      <w:rFonts w:ascii="Times New Roman" w:hAnsi="Times New Roman" w:eastAsia="宋体" w:cs="Times New Roman"/>
      <w:sz w:val="20"/>
    </w:rPr>
  </w:style>
  <w:style w:type="character" w:styleId="1136" w:customStyle="1">
    <w:name w:val="页码1"/>
    <w:qFormat/>
    <w:rPr>
      <w:rFonts w:ascii="Times New Roman" w:hAnsi="Times New Roman" w:eastAsia="宋体" w:cs="Times New Roman"/>
      <w:sz w:val="20"/>
    </w:rPr>
  </w:style>
  <w:style w:type="character" w:styleId="1137" w:customStyle="1">
    <w:name w:val="列表框1 Char Char"/>
    <w:qFormat/>
    <w:rPr>
      <w:rFonts w:ascii="Times New Roman" w:hAnsi="Times New Roman" w:eastAsia="宋体" w:cs="Times New Roman"/>
      <w:sz w:val="20"/>
    </w:rPr>
  </w:style>
  <w:style w:type="character" w:styleId="1138" w:customStyle="1">
    <w:name w:val="1ji Char"/>
    <w:qFormat/>
    <w:rPr>
      <w:rFonts w:ascii="Times New Roman" w:hAnsi="Times New Roman" w:eastAsia="宋体" w:cs="Times New Roman"/>
      <w:b/>
      <w:sz w:val="20"/>
    </w:rPr>
  </w:style>
  <w:style w:type="character" w:styleId="1139" w:customStyle="1">
    <w:name w:val="正文文本缩进 Char"/>
    <w:qFormat/>
    <w:rPr>
      <w:rFonts w:ascii="Times New Roman" w:hAnsi="Times New Roman" w:eastAsia="宋体" w:cs="Times New Roman"/>
      <w:sz w:val="20"/>
    </w:rPr>
  </w:style>
  <w:style w:type="character" w:styleId="1140" w:customStyle="1">
    <w:name w:val="标准文本 Char Char"/>
    <w:qFormat/>
    <w:rPr>
      <w:rFonts w:ascii="Times New Roman" w:hAnsi="Times New Roman" w:eastAsia="宋体" w:cs="Times New Roman"/>
      <w:sz w:val="20"/>
    </w:rPr>
  </w:style>
  <w:style w:type="character" w:styleId="1141" w:customStyle="1">
    <w:name w:val="表格用 Char"/>
    <w:qFormat/>
    <w:rPr>
      <w:rFonts w:ascii="Times New Roman" w:hAnsi="Times New Roman" w:eastAsia="宋体" w:cs="Times New Roman"/>
      <w:color w:val="000000"/>
      <w:sz w:val="20"/>
    </w:rPr>
  </w:style>
  <w:style w:type="character" w:styleId="1142" w:customStyle="1">
    <w:name w:val="标题 7 Char1"/>
    <w:qFormat/>
    <w:rPr>
      <w:rFonts w:ascii="Times New Roman" w:hAnsi="Times New Roman" w:eastAsia="宋体" w:cs="Times New Roman"/>
      <w:b/>
      <w:sz w:val="20"/>
    </w:rPr>
  </w:style>
  <w:style w:type="character" w:styleId="1143" w:customStyle="1">
    <w:name w:val="H 3 Char"/>
    <w:qFormat/>
    <w:rPr>
      <w:rFonts w:ascii="Times New Roman" w:hAnsi="Times New Roman" w:eastAsia="宋体" w:cs="Times New Roman"/>
      <w:b/>
      <w:sz w:val="20"/>
    </w:rPr>
  </w:style>
  <w:style w:type="character" w:styleId="1144" w:customStyle="1">
    <w:name w:val="正文文本缩进 3 字符"/>
    <w:qFormat/>
    <w:rPr>
      <w:rFonts w:ascii="Times New Roman" w:hAnsi="Times New Roman" w:eastAsia="宋体" w:cs="Times New Roman"/>
      <w:sz w:val="16"/>
      <w:szCs w:val="16"/>
    </w:rPr>
  </w:style>
  <w:style w:type="character" w:styleId="1145" w:customStyle="1">
    <w:name w:val="标题 Char"/>
    <w:qFormat/>
    <w:rPr>
      <w:rFonts w:ascii="Times New Roman" w:hAnsi="Times New Roman" w:eastAsia="宋体" w:cs="Times New Roman"/>
      <w:b/>
      <w:sz w:val="20"/>
    </w:rPr>
  </w:style>
  <w:style w:type="character" w:styleId="1146" w:customStyle="1">
    <w:name w:val="H 4 Char"/>
    <w:qFormat/>
    <w:rPr>
      <w:rFonts w:ascii="Times New Roman" w:hAnsi="Times New Roman" w:eastAsia="宋体" w:cs="Times New Roman"/>
      <w:b/>
      <w:sz w:val="20"/>
    </w:rPr>
  </w:style>
  <w:style w:type="character" w:styleId="1147" w:customStyle="1">
    <w:name w:val="批注主题 Char1"/>
    <w:qFormat/>
    <w:rPr>
      <w:rFonts w:ascii="Times New Roman" w:hAnsi="Times New Roman" w:eastAsia="宋体" w:cs="Times New Roman"/>
      <w:b/>
      <w:sz w:val="20"/>
    </w:rPr>
  </w:style>
  <w:style w:type="character" w:styleId="1148" w:customStyle="1">
    <w:name w:val="正文文本缩进 Char1"/>
    <w:qFormat/>
    <w:rPr>
      <w:rFonts w:ascii="Times New Roman" w:hAnsi="Times New Roman" w:eastAsia="宋体" w:cs="Times New Roman"/>
      <w:sz w:val="20"/>
    </w:rPr>
  </w:style>
  <w:style w:type="character" w:styleId="1149" w:customStyle="1">
    <w:name w:val="正文文本 3 Char"/>
    <w:qFormat/>
    <w:rPr>
      <w:rFonts w:ascii="Times New Roman" w:hAnsi="Times New Roman" w:eastAsia="宋体" w:cs="Times New Roman"/>
      <w:sz w:val="20"/>
    </w:rPr>
  </w:style>
  <w:style w:type="character" w:styleId="1150" w:customStyle="1">
    <w:name w:val="正文首行缩进 2 Char"/>
    <w:qFormat/>
    <w:rPr>
      <w:rFonts w:ascii="Times New Roman" w:hAnsi="Times New Roman" w:eastAsia="宋体" w:cs="Times New Roman"/>
      <w:sz w:val="20"/>
    </w:rPr>
  </w:style>
  <w:style w:type="character" w:styleId="1151" w:customStyle="1">
    <w:name w:val="页眉 Char1"/>
    <w:qFormat/>
    <w:rPr>
      <w:rFonts w:ascii="Times New Roman" w:hAnsi="Times New Roman" w:eastAsia="宋体" w:cs="Times New Roman"/>
      <w:sz w:val="20"/>
    </w:rPr>
  </w:style>
  <w:style w:type="character" w:styleId="1152" w:customStyle="1">
    <w:name w:val="Char Char2"/>
    <w:qFormat/>
    <w:rPr>
      <w:rFonts w:ascii="Times New Roman" w:hAnsi="Times New Roman" w:eastAsia="宋体" w:cs="Times New Roman"/>
      <w:sz w:val="20"/>
    </w:rPr>
  </w:style>
  <w:style w:type="character" w:styleId="1153" w:customStyle="1">
    <w:name w:val="样式 首行缩进:  2 字符 Char1"/>
    <w:qFormat/>
    <w:rPr>
      <w:rFonts w:ascii="Times New Roman" w:hAnsi="Times New Roman" w:eastAsia="宋体" w:cs="Times New Roman"/>
      <w:sz w:val="20"/>
    </w:rPr>
  </w:style>
  <w:style w:type="character" w:styleId="1154" w:customStyle="1">
    <w:name w:val="标题 2 Char"/>
    <w:qFormat/>
    <w:rPr>
      <w:rFonts w:ascii="Times New Roman" w:hAnsi="Times New Roman" w:eastAsia="宋体" w:cs="Times New Roman"/>
      <w:b/>
      <w:sz w:val="20"/>
    </w:rPr>
  </w:style>
  <w:style w:type="character" w:styleId="1155" w:customStyle="1">
    <w:name w:val="表格文字图表文字 Char Char"/>
    <w:qFormat/>
    <w:rPr>
      <w:rFonts w:ascii="Times New Roman" w:hAnsi="Times New Roman" w:eastAsia="宋体" w:cs="Times New Roman"/>
      <w:sz w:val="20"/>
    </w:rPr>
  </w:style>
  <w:style w:type="character" w:styleId="1156" w:customStyle="1">
    <w:name w:val="图片 Char"/>
    <w:qFormat/>
    <w:rPr>
      <w:rFonts w:ascii="Times New Roman" w:hAnsi="Times New Roman" w:eastAsia="宋体" w:cs="Times New Roman"/>
      <w:sz w:val="20"/>
    </w:rPr>
  </w:style>
  <w:style w:type="character" w:styleId="1157" w:customStyle="1">
    <w:name w:val="标题 6 Char"/>
    <w:qFormat/>
    <w:rPr>
      <w:rFonts w:ascii="Times New Roman" w:hAnsi="Times New Roman" w:eastAsia="宋体" w:cs="Times New Roman"/>
      <w:b/>
      <w:sz w:val="20"/>
    </w:rPr>
  </w:style>
  <w:style w:type="character" w:styleId="1158" w:customStyle="1">
    <w:name w:val="标题 4 Char"/>
    <w:qFormat/>
    <w:rPr>
      <w:rFonts w:ascii="Times New Roman" w:hAnsi="Times New Roman" w:eastAsia="宋体" w:cs="Times New Roman"/>
      <w:b/>
      <w:sz w:val="20"/>
    </w:rPr>
  </w:style>
  <w:style w:type="character" w:styleId="1159" w:customStyle="1">
    <w:name w:val="文档结构图 Char1"/>
    <w:qFormat/>
    <w:rPr>
      <w:rFonts w:ascii="Times New Roman" w:hAnsi="Times New Roman" w:eastAsia="宋体" w:cs="Times New Roman"/>
      <w:sz w:val="20"/>
    </w:rPr>
  </w:style>
  <w:style w:type="character" w:styleId="1160" w:customStyle="1">
    <w:name w:val="项目符0 Char"/>
    <w:qFormat/>
    <w:rPr>
      <w:rFonts w:ascii="Times New Roman" w:hAnsi="Times New Roman" w:eastAsia="宋体" w:cs="Times New Roman"/>
      <w:sz w:val="20"/>
    </w:rPr>
  </w:style>
  <w:style w:type="character" w:styleId="1161" w:customStyle="1">
    <w:name w:val="正文文本缩进 3 Char"/>
    <w:qFormat/>
    <w:rPr>
      <w:rFonts w:ascii="Times New Roman" w:hAnsi="Times New Roman" w:eastAsia="宋体" w:cs="Times New Roman"/>
      <w:sz w:val="20"/>
    </w:rPr>
  </w:style>
  <w:style w:type="character" w:styleId="1162" w:customStyle="1">
    <w:name w:val="Char Char3"/>
    <w:qFormat/>
    <w:rPr>
      <w:rFonts w:ascii="Times New Roman" w:hAnsi="Times New Roman" w:eastAsia="宋体" w:cs="Times New Roman"/>
      <w:sz w:val="20"/>
    </w:rPr>
  </w:style>
  <w:style w:type="character" w:styleId="1163" w:customStyle="1">
    <w:name w:val="纯文本 Char"/>
    <w:qFormat/>
    <w:rPr>
      <w:rFonts w:ascii="Times New Roman" w:hAnsi="Times New Roman" w:eastAsia="宋体" w:cs="Times New Roman"/>
      <w:sz w:val="20"/>
    </w:rPr>
  </w:style>
  <w:style w:type="character" w:styleId="1164" w:customStyle="1">
    <w:name w:val="正文文本缩进 2 Char1"/>
    <w:qFormat/>
    <w:rPr>
      <w:rFonts w:ascii="Times New Roman" w:hAnsi="Times New Roman" w:eastAsia="宋体" w:cs="Times New Roman"/>
      <w:sz w:val="20"/>
    </w:rPr>
  </w:style>
  <w:style w:type="character" w:styleId="1165" w:customStyle="1">
    <w:name w:val="标题 8 Char"/>
    <w:qFormat/>
    <w:rPr>
      <w:rFonts w:ascii="Times New Roman" w:hAnsi="Times New Roman" w:eastAsia="宋体" w:cs="Times New Roman"/>
      <w:sz w:val="20"/>
    </w:rPr>
  </w:style>
  <w:style w:type="character" w:styleId="1166" w:customStyle="1">
    <w:name w:val="标题 6 Char1"/>
    <w:qFormat/>
    <w:rPr>
      <w:rFonts w:ascii="Times New Roman" w:hAnsi="Times New Roman" w:eastAsia="宋体" w:cs="Times New Roman"/>
      <w:b/>
      <w:sz w:val="20"/>
    </w:rPr>
  </w:style>
  <w:style w:type="character" w:styleId="1167" w:customStyle="1">
    <w:name w:val="case31"/>
    <w:qFormat/>
    <w:rPr>
      <w:rFonts w:ascii="Times New Roman" w:hAnsi="Times New Roman" w:eastAsia="宋体" w:cs="Times New Roman"/>
      <w:sz w:val="20"/>
    </w:rPr>
  </w:style>
  <w:style w:type="character" w:styleId="1168" w:customStyle="1">
    <w:name w:val="正文文本 Char"/>
    <w:qFormat/>
    <w:rPr>
      <w:rFonts w:ascii="Times New Roman" w:hAnsi="Times New Roman" w:eastAsia="宋体" w:cs="Times New Roman"/>
      <w:sz w:val="20"/>
    </w:rPr>
  </w:style>
  <w:style w:type="paragraph" w:styleId="1169" w:customStyle="1">
    <w:name w:val="节标题"/>
    <w:basedOn w:val="989"/>
    <w:next w:val="1170"/>
    <w:qFormat/>
    <w:pPr>
      <w:ind w:left="0" w:firstLine="5120"/>
      <w:jc w:val="center"/>
      <w:spacing w:before="0" w:after="0" w:line="289" w:lineRule="atLeast"/>
    </w:pPr>
    <w:rPr>
      <w:rFonts w:ascii="Times New Roman" w:hAnsi="Times New Roman" w:cs="Times New Roman"/>
    </w:rPr>
  </w:style>
  <w:style w:type="paragraph" w:styleId="1170" w:customStyle="1">
    <w:name w:val="文档标题6"/>
    <w:basedOn w:val="995"/>
    <w:next w:val="988"/>
    <w:qFormat/>
    <w:pPr>
      <w:ind w:left="1134" w:firstLine="20"/>
      <w:spacing w:before="280" w:after="280" w:line="360" w:lineRule="auto"/>
      <w:outlineLvl w:val="5"/>
    </w:pPr>
  </w:style>
  <w:style w:type="paragraph" w:styleId="1171" w:customStyle="1">
    <w:name w:val="正文段"/>
    <w:basedOn w:val="989"/>
    <w:next w:val="1172"/>
    <w:qFormat/>
    <w:pPr>
      <w:ind w:left="454" w:firstLine="1222"/>
      <w:spacing w:before="0" w:after="240" w:line="240" w:lineRule="atLeast"/>
    </w:pPr>
    <w:rPr>
      <w:rFonts w:ascii="Times New Roman" w:hAnsi="Times New Roman" w:cs="Times New Roman"/>
    </w:rPr>
  </w:style>
  <w:style w:type="paragraph" w:styleId="1172" w:customStyle="1">
    <w:name w:val="批注主题1"/>
    <w:next w:val="988"/>
    <w:qFormat/>
    <w:pPr>
      <w:ind w:left="200" w:firstLine="4808"/>
      <w:spacing w:line="360" w:lineRule="auto"/>
    </w:pPr>
    <w:rPr>
      <w:rFonts w:ascii="Calibri" w:hAnsi="Calibri"/>
    </w:rPr>
  </w:style>
  <w:style w:type="paragraph" w:styleId="1173" w:customStyle="1">
    <w:name w:val="_Style 224"/>
    <w:next w:val="1174"/>
    <w:qFormat/>
    <w:pPr>
      <w:ind w:firstLine="3584"/>
    </w:pPr>
    <w:rPr>
      <w:rFonts w:ascii="Calibri" w:hAnsi="Calibri"/>
    </w:rPr>
  </w:style>
  <w:style w:type="paragraph" w:styleId="1174" w:customStyle="1">
    <w:name w:val="编号1"/>
    <w:basedOn w:val="989"/>
    <w:next w:val="1175"/>
    <w:qFormat/>
    <w:pPr>
      <w:ind w:left="360" w:right="210" w:firstLine="2200"/>
      <w:spacing w:before="0" w:after="0" w:line="240" w:lineRule="auto"/>
    </w:pPr>
    <w:rPr>
      <w:rFonts w:ascii="Times New Roman" w:hAnsi="Times New Roman" w:cs="Times New Roman"/>
    </w:rPr>
  </w:style>
  <w:style w:type="paragraph" w:styleId="1175" w:customStyle="1">
    <w:name w:val="图片"/>
    <w:basedOn w:val="989"/>
    <w:next w:val="1176"/>
    <w:qFormat/>
    <w:pPr>
      <w:ind w:left="-283" w:firstLine="2674"/>
      <w:jc w:val="center"/>
      <w:spacing w:before="0" w:after="0" w:line="360" w:lineRule="auto"/>
    </w:pPr>
    <w:rPr>
      <w:rFonts w:ascii="Times New Roman" w:hAnsi="Times New Roman" w:cs="Times New Roman"/>
    </w:rPr>
  </w:style>
  <w:style w:type="paragraph" w:styleId="1176" w:customStyle="1">
    <w:name w:val="样式 目录 3 + 左侧:  2 字符"/>
    <w:next w:val="1041"/>
    <w:qFormat/>
    <w:pPr>
      <w:ind w:left="400" w:firstLine="5120"/>
      <w:spacing w:line="360" w:lineRule="auto"/>
      <w:widowControl w:val="off"/>
    </w:pPr>
    <w:rPr>
      <w:rFonts w:ascii="Calibri" w:hAnsi="Calibri"/>
    </w:rPr>
  </w:style>
  <w:style w:type="paragraph" w:styleId="1177" w:customStyle="1">
    <w:name w:val="图注"/>
    <w:next w:val="1178"/>
    <w:qFormat/>
    <w:pPr>
      <w:ind w:left="360" w:firstLine="2152"/>
      <w:jc w:val="center"/>
    </w:pPr>
    <w:rPr>
      <w:rFonts w:ascii="Calibri" w:hAnsi="Calibri"/>
    </w:rPr>
  </w:style>
  <w:style w:type="paragraph" w:styleId="1178" w:customStyle="1">
    <w:name w:val="列表编号 41"/>
    <w:basedOn w:val="989"/>
    <w:next w:val="1179"/>
    <w:qFormat/>
    <w:pPr>
      <w:ind w:left="1620" w:firstLine="2712"/>
      <w:spacing w:before="0" w:after="0" w:line="360" w:lineRule="auto"/>
    </w:pPr>
    <w:rPr>
      <w:rFonts w:ascii="Times New Roman" w:hAnsi="Times New Roman" w:cs="Times New Roman"/>
    </w:rPr>
  </w:style>
  <w:style w:type="paragraph" w:styleId="1179" w:customStyle="1">
    <w:name w:val="项目符0"/>
    <w:basedOn w:val="989"/>
    <w:next w:val="1180"/>
    <w:qFormat/>
    <w:pPr>
      <w:ind w:left="300" w:right="57" w:firstLine="2760"/>
      <w:spacing w:before="0" w:after="0" w:line="300" w:lineRule="auto"/>
    </w:pPr>
    <w:rPr>
      <w:rFonts w:ascii="Times New Roman" w:hAnsi="Times New Roman" w:cs="Times New Roman"/>
    </w:rPr>
  </w:style>
  <w:style w:type="paragraph" w:styleId="1180" w:customStyle="1">
    <w:name w:val="宏文本1"/>
    <w:next w:val="1181"/>
    <w:qFormat/>
    <w:pPr>
      <w:ind w:firstLine="5632"/>
      <w:widowControl w:val="off"/>
    </w:pPr>
    <w:rPr>
      <w:rFonts w:ascii="Calibri" w:hAnsi="Calibri"/>
    </w:rPr>
  </w:style>
  <w:style w:type="paragraph" w:styleId="1181" w:customStyle="1">
    <w:name w:val="Item Step in Table"/>
    <w:next w:val="1182"/>
    <w:qFormat/>
    <w:pPr>
      <w:ind w:left="397" w:firstLine="3699"/>
      <w:jc w:val="both"/>
      <w:spacing w:before="40" w:after="40"/>
    </w:pPr>
    <w:rPr>
      <w:rFonts w:ascii="Calibri" w:hAnsi="Calibri"/>
    </w:rPr>
  </w:style>
  <w:style w:type="paragraph" w:styleId="1182" w:customStyle="1">
    <w:name w:val="Char Char Char Char Char Char1 Char Char Char Char Char Char"/>
    <w:basedOn w:val="989"/>
    <w:next w:val="1183"/>
    <w:qFormat/>
    <w:pPr>
      <w:ind w:left="0" w:firstLine="2560"/>
      <w:spacing w:before="0" w:after="0" w:line="240" w:lineRule="auto"/>
    </w:pPr>
    <w:rPr>
      <w:rFonts w:ascii="Times New Roman" w:hAnsi="Times New Roman" w:cs="Times New Roman"/>
    </w:rPr>
  </w:style>
  <w:style w:type="paragraph" w:styleId="1183" w:customStyle="1">
    <w:name w:val="Char Char1"/>
    <w:basedOn w:val="989"/>
    <w:next w:val="1184"/>
    <w:qFormat/>
    <w:pPr>
      <w:ind w:left="0" w:firstLine="3584"/>
      <w:spacing w:before="0" w:after="160" w:line="240" w:lineRule="exact"/>
    </w:pPr>
    <w:rPr>
      <w:rFonts w:ascii="Times New Roman" w:hAnsi="Times New Roman" w:cs="Times New Roman"/>
    </w:rPr>
  </w:style>
  <w:style w:type="paragraph" w:styleId="1184" w:customStyle="1">
    <w:name w:val="样式 标题 3 + 行距: 1.5 倍行距"/>
    <w:basedOn w:val="992"/>
    <w:next w:val="1047"/>
    <w:qFormat/>
    <w:pPr>
      <w:ind w:left="200" w:firstLine="18"/>
      <w:spacing w:before="0" w:after="0" w:line="360" w:lineRule="auto"/>
      <w:outlineLvl w:val="2"/>
    </w:pPr>
  </w:style>
  <w:style w:type="paragraph" w:styleId="1185" w:customStyle="1">
    <w:name w:val="xl76"/>
    <w:basedOn w:val="989"/>
    <w:next w:val="1044"/>
    <w:qFormat/>
    <w:pPr>
      <w:ind w:left="0" w:firstLine="3584"/>
      <w:jc w:val="center"/>
      <w:spacing w:before="280" w:after="280" w:line="240" w:lineRule="auto"/>
    </w:pPr>
    <w:rPr>
      <w:rFonts w:ascii="Times New Roman" w:hAnsi="Times New Roman" w:cs="Times New Roman"/>
    </w:rPr>
  </w:style>
  <w:style w:type="paragraph" w:styleId="1186" w:customStyle="1">
    <w:name w:val="xl26"/>
    <w:basedOn w:val="989"/>
    <w:next w:val="1187"/>
    <w:qFormat/>
    <w:pPr>
      <w:ind w:left="0" w:firstLine="20"/>
      <w:jc w:val="center"/>
      <w:spacing w:before="280" w:after="280" w:line="240" w:lineRule="auto"/>
      <w:shd w:val="clear" w:color="000000" w:fill="ffffff"/>
    </w:pPr>
    <w:rPr>
      <w:rFonts w:ascii="Times New Roman" w:hAnsi="Times New Roman" w:cs="Times New Roman"/>
    </w:rPr>
  </w:style>
  <w:style w:type="paragraph" w:styleId="1187" w:customStyle="1">
    <w:name w:val="Char1 Char Char"/>
    <w:basedOn w:val="989"/>
    <w:next w:val="1027"/>
    <w:qFormat/>
    <w:pPr>
      <w:ind w:left="0" w:firstLine="2560"/>
      <w:spacing w:before="0" w:after="0" w:line="240" w:lineRule="auto"/>
    </w:pPr>
    <w:rPr>
      <w:rFonts w:ascii="Times New Roman" w:hAnsi="Times New Roman" w:cs="Times New Roman"/>
    </w:rPr>
  </w:style>
  <w:style w:type="paragraph" w:styleId="1188" w:customStyle="1">
    <w:name w:val="纯文本2"/>
    <w:basedOn w:val="989"/>
    <w:next w:val="1189"/>
    <w:qFormat/>
    <w:pPr>
      <w:ind w:left="0" w:firstLine="3584"/>
      <w:spacing w:before="0" w:after="0" w:line="240" w:lineRule="auto"/>
    </w:pPr>
    <w:rPr>
      <w:rFonts w:ascii="Times New Roman" w:hAnsi="Times New Roman" w:cs="Times New Roman"/>
    </w:rPr>
  </w:style>
  <w:style w:type="paragraph" w:styleId="1189" w:customStyle="1">
    <w:name w:val="xl69"/>
    <w:basedOn w:val="989"/>
    <w:next w:val="1190"/>
    <w:qFormat/>
    <w:pPr>
      <w:ind w:left="0" w:firstLine="3584"/>
      <w:spacing w:before="280" w:after="280" w:line="240" w:lineRule="auto"/>
    </w:pPr>
    <w:rPr>
      <w:rFonts w:ascii="Times New Roman" w:hAnsi="Times New Roman" w:cs="Times New Roman"/>
    </w:rPr>
  </w:style>
  <w:style w:type="paragraph" w:styleId="1190" w:customStyle="1">
    <w:name w:val="Char Char Char"/>
    <w:basedOn w:val="989"/>
    <w:next w:val="1191"/>
    <w:qFormat/>
    <w:pPr>
      <w:ind w:left="0" w:firstLine="2560"/>
      <w:spacing w:before="0" w:after="0" w:line="240" w:lineRule="auto"/>
    </w:pPr>
    <w:rPr>
      <w:rFonts w:ascii="Times New Roman" w:hAnsi="Times New Roman" w:cs="Times New Roman"/>
    </w:rPr>
  </w:style>
  <w:style w:type="paragraph" w:styleId="1191" w:customStyle="1">
    <w:name w:val="表格"/>
    <w:basedOn w:val="989"/>
    <w:next w:val="1186"/>
    <w:qFormat/>
    <w:pPr>
      <w:ind w:left="0" w:firstLine="2560"/>
      <w:spacing w:before="0" w:after="0" w:line="360" w:lineRule="auto"/>
    </w:pPr>
    <w:rPr>
      <w:rFonts w:ascii="Times New Roman" w:hAnsi="Times New Roman" w:cs="Times New Roman"/>
    </w:rPr>
  </w:style>
  <w:style w:type="paragraph" w:styleId="1192" w:customStyle="1">
    <w:name w:val="xl68"/>
    <w:basedOn w:val="989"/>
    <w:next w:val="1193"/>
    <w:qFormat/>
    <w:pPr>
      <w:ind w:left="100" w:firstLine="5220"/>
      <w:spacing w:before="280" w:after="280" w:line="240" w:lineRule="auto"/>
    </w:pPr>
    <w:rPr>
      <w:rFonts w:ascii="Times New Roman" w:hAnsi="Times New Roman" w:cs="Times New Roman"/>
    </w:rPr>
  </w:style>
  <w:style w:type="paragraph" w:styleId="1193" w:customStyle="1">
    <w:name w:val="Char1"/>
    <w:basedOn w:val="989"/>
    <w:next w:val="1194"/>
    <w:qFormat/>
    <w:pPr>
      <w:ind w:left="0" w:firstLine="2560"/>
      <w:spacing w:before="0" w:after="0" w:line="240" w:lineRule="auto"/>
    </w:pPr>
    <w:rPr>
      <w:rFonts w:ascii="Times New Roman" w:hAnsi="Times New Roman" w:cs="Times New Roman"/>
    </w:rPr>
  </w:style>
  <w:style w:type="paragraph" w:styleId="1194" w:customStyle="1">
    <w:name w:val="需求文档正文样式"/>
    <w:basedOn w:val="989"/>
    <w:next w:val="1195"/>
    <w:qFormat/>
    <w:pPr>
      <w:ind w:left="437" w:firstLine="2741"/>
      <w:spacing w:before="0" w:after="0" w:line="360" w:lineRule="auto"/>
    </w:pPr>
    <w:rPr>
      <w:rFonts w:ascii="Times New Roman" w:hAnsi="Times New Roman" w:cs="Times New Roman"/>
    </w:rPr>
  </w:style>
  <w:style w:type="paragraph" w:styleId="1195" w:customStyle="1">
    <w:name w:val="xl74"/>
    <w:basedOn w:val="989"/>
    <w:next w:val="1196"/>
    <w:qFormat/>
    <w:pPr>
      <w:ind w:left="0" w:firstLine="16"/>
      <w:jc w:val="center"/>
      <w:spacing w:before="280" w:after="280" w:line="240" w:lineRule="auto"/>
      <w:shd w:val="clear" w:color="000000" w:fill="538dd5"/>
    </w:pPr>
    <w:rPr>
      <w:rFonts w:ascii="Times New Roman" w:hAnsi="Times New Roman" w:cs="Times New Roman"/>
    </w:rPr>
  </w:style>
  <w:style w:type="paragraph" w:styleId="1196" w:customStyle="1">
    <w:name w:val="xl88"/>
    <w:basedOn w:val="989"/>
    <w:next w:val="1197"/>
    <w:qFormat/>
    <w:pPr>
      <w:ind w:left="0" w:firstLine="5120"/>
      <w:spacing w:before="280" w:after="280" w:line="240" w:lineRule="auto"/>
    </w:pPr>
    <w:rPr>
      <w:rFonts w:ascii="Times New Roman" w:hAnsi="Times New Roman" w:cs="Times New Roman"/>
    </w:rPr>
  </w:style>
  <w:style w:type="paragraph" w:styleId="1197" w:customStyle="1">
    <w:name w:val="xl70"/>
    <w:basedOn w:val="989"/>
    <w:next w:val="1043"/>
    <w:qFormat/>
    <w:pPr>
      <w:ind w:left="0" w:firstLine="1024"/>
      <w:spacing w:before="280" w:after="280" w:line="240" w:lineRule="auto"/>
    </w:pPr>
    <w:rPr>
      <w:rFonts w:ascii="Times New Roman" w:hAnsi="Times New Roman" w:cs="Times New Roman"/>
    </w:rPr>
  </w:style>
  <w:style w:type="paragraph" w:styleId="1198" w:customStyle="1">
    <w:name w:val="文档标题5"/>
    <w:basedOn w:val="994"/>
    <w:next w:val="988"/>
    <w:qFormat/>
    <w:pPr>
      <w:ind w:left="992" w:firstLine="18"/>
      <w:spacing w:before="280" w:after="280" w:line="360" w:lineRule="auto"/>
      <w:outlineLvl w:val="4"/>
    </w:pPr>
  </w:style>
  <w:style w:type="paragraph" w:styleId="1199" w:customStyle="1">
    <w:name w:val="样式 加粗 居中"/>
    <w:basedOn w:val="989"/>
    <w:next w:val="1200"/>
    <w:qFormat/>
    <w:pPr>
      <w:ind w:left="0" w:firstLine="2560"/>
      <w:jc w:val="center"/>
      <w:spacing w:before="0" w:after="0" w:line="360" w:lineRule="auto"/>
    </w:pPr>
    <w:rPr>
      <w:rFonts w:ascii="Times New Roman" w:hAnsi="Times New Roman" w:cs="Times New Roman"/>
    </w:rPr>
  </w:style>
  <w:style w:type="paragraph" w:styleId="1200" w:customStyle="1">
    <w:name w:val="_Style 12"/>
    <w:next w:val="1201"/>
    <w:qFormat/>
    <w:pPr>
      <w:ind w:firstLine="14"/>
      <w:spacing w:line="360" w:lineRule="auto"/>
      <w:shd w:val="clear" w:color="000000" w:fill="000080"/>
    </w:pPr>
    <w:rPr>
      <w:rFonts w:ascii="Calibri" w:hAnsi="Calibri"/>
    </w:rPr>
  </w:style>
  <w:style w:type="paragraph" w:styleId="1201" w:customStyle="1">
    <w:name w:val="正文文本缩进1"/>
    <w:basedOn w:val="989"/>
    <w:next w:val="1202"/>
    <w:qFormat/>
    <w:pPr>
      <w:ind w:left="420" w:firstLine="3584"/>
      <w:spacing w:before="0" w:after="120" w:line="240" w:lineRule="auto"/>
    </w:pPr>
    <w:rPr>
      <w:rFonts w:ascii="Times New Roman" w:hAnsi="Times New Roman" w:cs="Times New Roman"/>
    </w:rPr>
  </w:style>
  <w:style w:type="paragraph" w:styleId="1202" w:customStyle="1">
    <w:name w:val="列表编号 31"/>
    <w:basedOn w:val="989"/>
    <w:next w:val="1045"/>
    <w:qFormat/>
    <w:pPr>
      <w:ind w:left="1200" w:firstLine="2712"/>
      <w:spacing w:before="0" w:after="0" w:line="360" w:lineRule="auto"/>
    </w:pPr>
    <w:rPr>
      <w:rFonts w:ascii="Times New Roman" w:hAnsi="Times New Roman" w:cs="Times New Roman"/>
    </w:rPr>
  </w:style>
  <w:style w:type="paragraph" w:styleId="1203" w:customStyle="1">
    <w:name w:val="三号 居中"/>
    <w:basedOn w:val="989"/>
    <w:next w:val="1204"/>
    <w:qFormat/>
    <w:pPr>
      <w:ind w:left="0" w:firstLine="6144"/>
      <w:jc w:val="center"/>
      <w:spacing w:before="0" w:after="0" w:line="360" w:lineRule="auto"/>
    </w:pPr>
    <w:rPr>
      <w:rFonts w:ascii="Times New Roman" w:hAnsi="Times New Roman" w:cs="Times New Roman"/>
    </w:rPr>
  </w:style>
  <w:style w:type="paragraph" w:styleId="1204" w:customStyle="1">
    <w:name w:val="列出段落1"/>
    <w:basedOn w:val="989"/>
    <w:next w:val="1205"/>
    <w:qFormat/>
    <w:pPr>
      <w:ind w:left="420" w:firstLine="3748"/>
      <w:spacing w:before="0" w:after="0" w:line="240" w:lineRule="auto"/>
    </w:pPr>
    <w:rPr>
      <w:rFonts w:ascii="Times New Roman" w:hAnsi="Times New Roman" w:cs="Times New Roman"/>
    </w:rPr>
  </w:style>
  <w:style w:type="paragraph" w:styleId="1205" w:customStyle="1">
    <w:name w:val="Char Char Char Char Char Char1 Char Char Char1 Char Char Char"/>
    <w:basedOn w:val="989"/>
    <w:next w:val="1206"/>
    <w:qFormat/>
    <w:pPr>
      <w:ind w:left="0" w:firstLine="2560"/>
      <w:spacing w:before="0" w:after="0" w:line="240" w:lineRule="auto"/>
    </w:pPr>
    <w:rPr>
      <w:rFonts w:ascii="Times New Roman" w:hAnsi="Times New Roman" w:cs="Times New Roman"/>
    </w:rPr>
  </w:style>
  <w:style w:type="paragraph" w:styleId="1206" w:customStyle="1">
    <w:name w:val="Char Char Char Char Char Char1 Char Char Char1 Char"/>
    <w:basedOn w:val="989"/>
    <w:next w:val="1207"/>
    <w:qFormat/>
    <w:pPr>
      <w:ind w:left="0" w:firstLine="2560"/>
      <w:spacing w:before="0" w:after="0" w:line="240" w:lineRule="auto"/>
    </w:pPr>
    <w:rPr>
      <w:rFonts w:ascii="Times New Roman" w:hAnsi="Times New Roman" w:cs="Times New Roman"/>
    </w:rPr>
  </w:style>
  <w:style w:type="paragraph" w:styleId="1207" w:customStyle="1">
    <w:name w:val="正文符号4"/>
    <w:basedOn w:val="989"/>
    <w:next w:val="1199"/>
    <w:qFormat/>
    <w:pPr>
      <w:ind w:left="0" w:firstLine="5632"/>
      <w:spacing w:before="0" w:after="0" w:line="240" w:lineRule="auto"/>
    </w:pPr>
    <w:rPr>
      <w:rFonts w:ascii="Times New Roman" w:hAnsi="Times New Roman" w:cs="Times New Roman"/>
    </w:rPr>
  </w:style>
  <w:style w:type="paragraph" w:styleId="1208" w:customStyle="1">
    <w:name w:val="加粗（居中）"/>
    <w:next w:val="1209"/>
    <w:qFormat/>
    <w:pPr>
      <w:ind w:firstLine="2560"/>
    </w:pPr>
    <w:rPr>
      <w:rFonts w:ascii="Calibri" w:hAnsi="Calibri"/>
    </w:rPr>
  </w:style>
  <w:style w:type="paragraph" w:styleId="1209" w:customStyle="1">
    <w:name w:val="xl65"/>
    <w:basedOn w:val="989"/>
    <w:next w:val="1169"/>
    <w:qFormat/>
    <w:pPr>
      <w:ind w:left="0" w:firstLine="5120"/>
      <w:spacing w:before="280" w:after="280" w:line="240" w:lineRule="auto"/>
    </w:pPr>
    <w:rPr>
      <w:rFonts w:ascii="Times New Roman" w:hAnsi="Times New Roman" w:cs="Times New Roman"/>
    </w:rPr>
  </w:style>
  <w:style w:type="paragraph" w:styleId="1210" w:customStyle="1">
    <w:name w:val="WPSOffice手动目录 3"/>
    <w:qFormat/>
    <w:pPr>
      <w:ind w:left="400"/>
    </w:pPr>
  </w:style>
  <w:style w:type="paragraph" w:styleId="1211" w:customStyle="1">
    <w:name w:val="xl77"/>
    <w:basedOn w:val="989"/>
    <w:next w:val="1212"/>
    <w:qFormat/>
    <w:pPr>
      <w:ind w:left="0" w:firstLine="3584"/>
      <w:spacing w:before="280" w:after="280" w:line="240" w:lineRule="auto"/>
    </w:pPr>
    <w:rPr>
      <w:rFonts w:ascii="Times New Roman" w:hAnsi="Times New Roman" w:cs="Times New Roman"/>
    </w:rPr>
  </w:style>
  <w:style w:type="paragraph" w:styleId="1212" w:customStyle="1">
    <w:name w:val="Char Char Char1"/>
    <w:basedOn w:val="989"/>
    <w:next w:val="1213"/>
    <w:qFormat/>
    <w:pPr>
      <w:ind w:left="900" w:firstLine="2096"/>
      <w:spacing w:before="0" w:after="0" w:line="240" w:lineRule="auto"/>
    </w:pPr>
    <w:rPr>
      <w:rFonts w:ascii="Times New Roman" w:hAnsi="Times New Roman" w:cs="Times New Roman"/>
    </w:rPr>
  </w:style>
  <w:style w:type="paragraph" w:styleId="1213" w:customStyle="1">
    <w:name w:val="索引 21"/>
    <w:basedOn w:val="989"/>
    <w:next w:val="988"/>
    <w:qFormat/>
    <w:pPr>
      <w:ind w:left="200" w:firstLine="2560"/>
      <w:jc w:val="center"/>
      <w:spacing w:before="0" w:after="0" w:line="360" w:lineRule="auto"/>
    </w:pPr>
    <w:rPr>
      <w:rFonts w:ascii="Times New Roman" w:hAnsi="Times New Roman" w:cs="Times New Roman"/>
    </w:rPr>
  </w:style>
  <w:style w:type="paragraph" w:styleId="1214" w:customStyle="1">
    <w:name w:val="正文（首行缩进 2 字符）"/>
    <w:next w:val="1215"/>
    <w:qFormat/>
    <w:pPr>
      <w:ind w:left="480" w:firstLine="2784"/>
      <w:jc w:val="center"/>
      <w:spacing w:line="300" w:lineRule="auto"/>
    </w:pPr>
    <w:rPr>
      <w:rFonts w:ascii="Calibri" w:hAnsi="Calibri"/>
    </w:rPr>
  </w:style>
  <w:style w:type="paragraph" w:styleId="1215" w:customStyle="1">
    <w:name w:val="xl28"/>
    <w:basedOn w:val="989"/>
    <w:next w:val="1216"/>
    <w:qFormat/>
    <w:pPr>
      <w:ind w:left="0" w:firstLine="20"/>
      <w:spacing w:before="280" w:after="280" w:line="240" w:lineRule="auto"/>
      <w:shd w:val="clear" w:color="000000" w:fill="ffffff"/>
    </w:pPr>
    <w:rPr>
      <w:rFonts w:ascii="Times New Roman" w:hAnsi="Times New Roman" w:cs="Times New Roman"/>
    </w:rPr>
  </w:style>
  <w:style w:type="paragraph" w:styleId="1216" w:customStyle="1">
    <w:name w:val="HTML 预设格式1"/>
    <w:basedOn w:val="989"/>
    <w:next w:val="1217"/>
    <w:qFormat/>
    <w:pPr>
      <w:ind w:left="0" w:firstLine="3584"/>
      <w:spacing w:before="0" w:after="0" w:line="253" w:lineRule="atLeast"/>
    </w:pPr>
    <w:rPr>
      <w:rFonts w:ascii="Times New Roman" w:hAnsi="Times New Roman" w:cs="Times New Roman"/>
    </w:rPr>
  </w:style>
  <w:style w:type="paragraph" w:styleId="1217" w:customStyle="1">
    <w:name w:val="项目符号：一级"/>
    <w:basedOn w:val="989"/>
    <w:next w:val="988"/>
    <w:qFormat/>
    <w:pPr>
      <w:ind w:left="425" w:firstLine="1111"/>
      <w:spacing w:before="0" w:after="0" w:line="360" w:lineRule="auto"/>
    </w:pPr>
    <w:rPr>
      <w:rFonts w:ascii="Times New Roman" w:hAnsi="Times New Roman" w:cs="Times New Roman"/>
    </w:rPr>
  </w:style>
  <w:style w:type="paragraph" w:styleId="1218" w:customStyle="1">
    <w:name w:val="Default"/>
    <w:next w:val="1023"/>
    <w:qFormat/>
    <w:pPr>
      <w:ind w:firstLine="5120"/>
      <w:widowControl w:val="off"/>
    </w:pPr>
    <w:rPr>
      <w:rFonts w:ascii="Calibri" w:hAnsi="Calibri"/>
    </w:rPr>
  </w:style>
  <w:style w:type="paragraph" w:styleId="1219" w:customStyle="1">
    <w:name w:val="xl84"/>
    <w:basedOn w:val="989"/>
    <w:next w:val="1220"/>
    <w:qFormat/>
    <w:pPr>
      <w:ind w:left="0" w:firstLine="2048"/>
      <w:jc w:val="center"/>
      <w:spacing w:before="280" w:after="280" w:line="240" w:lineRule="auto"/>
    </w:pPr>
    <w:rPr>
      <w:rFonts w:ascii="Times New Roman" w:hAnsi="Times New Roman" w:cs="Times New Roman"/>
    </w:rPr>
  </w:style>
  <w:style w:type="paragraph" w:styleId="1220" w:customStyle="1">
    <w:name w:val="2-2ji"/>
    <w:basedOn w:val="991"/>
    <w:next w:val="1221"/>
    <w:qFormat/>
    <w:pPr>
      <w:ind w:left="0" w:firstLine="24"/>
      <w:jc w:val="center"/>
      <w:spacing w:before="0" w:after="0" w:line="360" w:lineRule="auto"/>
      <w:outlineLvl w:val="1"/>
    </w:pPr>
  </w:style>
  <w:style w:type="paragraph" w:styleId="1221" w:customStyle="1">
    <w:name w:val="应答文本"/>
    <w:basedOn w:val="989"/>
    <w:next w:val="1222"/>
    <w:qFormat/>
    <w:pPr>
      <w:ind w:left="1296" w:firstLine="2112"/>
      <w:spacing w:before="0" w:after="0" w:line="460" w:lineRule="exact"/>
    </w:pPr>
    <w:rPr>
      <w:rFonts w:ascii="Times New Roman" w:hAnsi="Times New Roman" w:cs="Times New Roman"/>
    </w:rPr>
  </w:style>
  <w:style w:type="paragraph" w:styleId="1222" w:customStyle="1">
    <w:name w:val="引文目录1"/>
    <w:basedOn w:val="989"/>
    <w:next w:val="988"/>
    <w:qFormat/>
    <w:pPr>
      <w:ind w:left="420" w:firstLine="2560"/>
      <w:jc w:val="center"/>
      <w:spacing w:before="0" w:after="0" w:line="360" w:lineRule="auto"/>
    </w:pPr>
    <w:rPr>
      <w:rFonts w:ascii="Times New Roman" w:hAnsi="Times New Roman" w:cs="Times New Roman"/>
    </w:rPr>
  </w:style>
  <w:style w:type="paragraph" w:styleId="1223" w:customStyle="1">
    <w:name w:val="首行缩进"/>
    <w:basedOn w:val="988"/>
    <w:qFormat/>
    <w:pPr>
      <w:ind w:firstLine="480"/>
    </w:pPr>
    <w:rPr>
      <w:rFonts w:ascii="Times New Roman" w:hAnsi="Times New Roman" w:cs="Times New Roman"/>
      <w:lang w:val="zh-CN"/>
    </w:rPr>
  </w:style>
  <w:style w:type="paragraph" w:styleId="1224" w:customStyle="1">
    <w:name w:val="font9"/>
    <w:basedOn w:val="989"/>
    <w:next w:val="1225"/>
    <w:qFormat/>
    <w:pPr>
      <w:ind w:left="0" w:firstLine="7168"/>
      <w:spacing w:before="280" w:after="280" w:line="240" w:lineRule="auto"/>
    </w:pPr>
    <w:rPr>
      <w:rFonts w:ascii="Times New Roman" w:hAnsi="Times New Roman" w:cs="Times New Roman"/>
    </w:rPr>
  </w:style>
  <w:style w:type="paragraph" w:styleId="1225" w:customStyle="1">
    <w:name w:val="样式 标题 3 + (中文) 黑体 小四 非加粗 段前: 7.8 磅 段后: 0 磅 行距: 固定值 20 磅"/>
    <w:basedOn w:val="992"/>
    <w:next w:val="1226"/>
    <w:qFormat/>
    <w:pPr>
      <w:ind w:left="0"/>
      <w:spacing w:before="0" w:after="0" w:line="400" w:lineRule="exact"/>
      <w:outlineLvl w:val="2"/>
    </w:pPr>
  </w:style>
  <w:style w:type="paragraph" w:styleId="1226" w:customStyle="1">
    <w:name w:val="标书正文"/>
    <w:basedOn w:val="989"/>
    <w:next w:val="1227"/>
    <w:qFormat/>
    <w:pPr>
      <w:ind w:left="440" w:right="100" w:firstLine="2760"/>
      <w:spacing w:before="0" w:after="0" w:line="360" w:lineRule="auto"/>
    </w:pPr>
    <w:rPr>
      <w:rFonts w:ascii="Times New Roman" w:hAnsi="Times New Roman" w:cs="Times New Roman"/>
    </w:rPr>
  </w:style>
  <w:style w:type="paragraph" w:styleId="1227" w:customStyle="1">
    <w:name w:val="xl67"/>
    <w:basedOn w:val="989"/>
    <w:next w:val="1228"/>
    <w:qFormat/>
    <w:pPr>
      <w:ind w:left="0" w:firstLine="5120"/>
      <w:spacing w:before="280" w:after="280" w:line="240" w:lineRule="auto"/>
    </w:pPr>
    <w:rPr>
      <w:rFonts w:ascii="Times New Roman" w:hAnsi="Times New Roman" w:cs="Times New Roman"/>
    </w:rPr>
  </w:style>
  <w:style w:type="paragraph" w:styleId="1228" w:customStyle="1">
    <w:name w:val="索引 61"/>
    <w:basedOn w:val="989"/>
    <w:next w:val="988"/>
    <w:qFormat/>
    <w:pPr>
      <w:ind w:left="1000" w:firstLine="2560"/>
      <w:jc w:val="center"/>
      <w:spacing w:before="0" w:after="0" w:line="360" w:lineRule="auto"/>
    </w:pPr>
    <w:rPr>
      <w:rFonts w:ascii="Times New Roman" w:hAnsi="Times New Roman" w:cs="Times New Roman"/>
    </w:rPr>
  </w:style>
  <w:style w:type="paragraph" w:styleId="1229" w:customStyle="1">
    <w:name w:val="目录3"/>
    <w:basedOn w:val="989"/>
    <w:next w:val="988"/>
    <w:qFormat/>
    <w:pPr>
      <w:ind w:left="419" w:firstLine="5283"/>
      <w:spacing w:before="0" w:after="0" w:line="317" w:lineRule="atLeast"/>
    </w:pPr>
    <w:rPr>
      <w:rFonts w:ascii="Times New Roman" w:hAnsi="Times New Roman" w:cs="Times New Roman"/>
    </w:rPr>
  </w:style>
  <w:style w:type="paragraph" w:styleId="1230" w:customStyle="1">
    <w:name w:val="xl90"/>
    <w:basedOn w:val="989"/>
    <w:next w:val="1231"/>
    <w:qFormat/>
    <w:pPr>
      <w:ind w:left="0" w:firstLine="3584"/>
      <w:spacing w:before="280" w:after="280" w:line="240" w:lineRule="auto"/>
    </w:pPr>
    <w:rPr>
      <w:rFonts w:ascii="Times New Roman" w:hAnsi="Times New Roman" w:cs="Times New Roman"/>
    </w:rPr>
  </w:style>
  <w:style w:type="paragraph" w:styleId="1231" w:customStyle="1">
    <w:name w:val="列表框1"/>
    <w:next w:val="1222"/>
    <w:qFormat/>
    <w:pPr>
      <w:ind w:firstLine="2048"/>
      <w:spacing w:line="460" w:lineRule="exact"/>
    </w:pPr>
    <w:rPr>
      <w:rFonts w:ascii="Calibri" w:hAnsi="Calibri"/>
    </w:rPr>
  </w:style>
  <w:style w:type="paragraph" w:styleId="1232" w:customStyle="1">
    <w:name w:val="1ji"/>
    <w:basedOn w:val="990"/>
    <w:next w:val="1211"/>
    <w:qFormat/>
    <w:pPr>
      <w:ind w:left="0" w:firstLine="18"/>
      <w:jc w:val="center"/>
      <w:spacing w:before="0" w:after="0" w:line="240" w:lineRule="auto"/>
      <w:outlineLvl w:val="0"/>
    </w:pPr>
  </w:style>
  <w:style w:type="paragraph" w:styleId="1233" w:customStyle="1">
    <w:name w:val="索引 81"/>
    <w:basedOn w:val="989"/>
    <w:next w:val="988"/>
    <w:qFormat/>
    <w:pPr>
      <w:ind w:left="1400" w:firstLine="2560"/>
      <w:jc w:val="center"/>
      <w:spacing w:before="0" w:after="0" w:line="360" w:lineRule="auto"/>
    </w:pPr>
    <w:rPr>
      <w:rFonts w:ascii="Times New Roman" w:hAnsi="Times New Roman" w:cs="Times New Roman"/>
    </w:rPr>
  </w:style>
  <w:style w:type="paragraph" w:styleId="1234" w:customStyle="1">
    <w:name w:val="正文1"/>
    <w:basedOn w:val="988"/>
    <w:next w:val="988"/>
    <w:qFormat/>
    <w:pPr>
      <w:spacing w:line="312" w:lineRule="atLeast"/>
    </w:pPr>
    <w:rPr>
      <w:rFonts w:ascii="楷体_GB2312" w:hAnsi="Times New Roman" w:eastAsia="楷体_GB2312" w:cs="Times New Roman"/>
      <w:sz w:val="24"/>
    </w:rPr>
  </w:style>
  <w:style w:type="paragraph" w:styleId="1235" w:customStyle="1">
    <w:name w:val="Char Char Char Char Char Char1 Char Char Char1 Char Char Char Char Char Char Char Char Char Char Char Char Char Char Char Char Char Char"/>
    <w:basedOn w:val="989"/>
    <w:next w:val="1236"/>
    <w:qFormat/>
    <w:pPr>
      <w:ind w:left="0" w:firstLine="2560"/>
      <w:spacing w:before="0" w:after="0" w:line="240" w:lineRule="auto"/>
    </w:pPr>
    <w:rPr>
      <w:rFonts w:ascii="Times New Roman" w:hAnsi="Times New Roman" w:cs="Times New Roman"/>
    </w:rPr>
  </w:style>
  <w:style w:type="paragraph" w:styleId="1236" w:customStyle="1">
    <w:name w:val="样式 加粗 居中11"/>
    <w:basedOn w:val="989"/>
    <w:next w:val="1237"/>
    <w:qFormat/>
    <w:pPr>
      <w:ind w:left="0" w:firstLine="2560"/>
      <w:jc w:val="center"/>
      <w:spacing w:before="0" w:after="0" w:line="360" w:lineRule="auto"/>
    </w:pPr>
    <w:rPr>
      <w:rFonts w:ascii="Times New Roman" w:hAnsi="Times New Roman" w:cs="Times New Roman"/>
    </w:rPr>
  </w:style>
  <w:style w:type="paragraph" w:styleId="1237" w:customStyle="1">
    <w:name w:val="xl89"/>
    <w:basedOn w:val="989"/>
    <w:next w:val="1238"/>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 Char Char Char Char Char Char"/>
    <w:basedOn w:val="989"/>
    <w:next w:val="1239"/>
    <w:qFormat/>
    <w:pPr>
      <w:ind w:left="0" w:firstLine="2560"/>
      <w:spacing w:before="0" w:after="0" w:line="240" w:lineRule="auto"/>
    </w:pPr>
    <w:rPr>
      <w:rFonts w:ascii="Times New Roman" w:hAnsi="Times New Roman" w:cs="Times New Roman"/>
    </w:rPr>
  </w:style>
  <w:style w:type="paragraph" w:styleId="1239" w:customStyle="1">
    <w:name w:val="文章附标题"/>
    <w:basedOn w:val="989"/>
    <w:next w:val="989"/>
    <w:qFormat/>
    <w:pPr>
      <w:ind w:left="0" w:firstLine="5120"/>
      <w:jc w:val="center"/>
      <w:spacing w:before="187" w:after="175" w:line="374" w:lineRule="atLeast"/>
    </w:pPr>
    <w:rPr>
      <w:rFonts w:ascii="Times New Roman" w:hAnsi="Times New Roman" w:cs="Times New Roman"/>
    </w:rPr>
  </w:style>
  <w:style w:type="paragraph" w:styleId="1240">
    <w:name w:val="Quote"/>
    <w:next w:val="988"/>
    <w:qFormat/>
    <w:pPr>
      <w:ind w:left="3680" w:right="864"/>
      <w:jc w:val="center"/>
      <w:spacing w:before="200" w:after="160"/>
    </w:pPr>
    <w:rPr>
      <w:rFonts w:ascii="Calibri" w:hAnsi="Calibri"/>
      <w:i/>
    </w:rPr>
  </w:style>
  <w:style w:type="paragraph" w:styleId="1241" w:customStyle="1">
    <w:name w:val="Default Paragraph Font Para Char Char Char Char Char Char"/>
    <w:basedOn w:val="989"/>
    <w:next w:val="1242"/>
    <w:qFormat/>
    <w:pPr>
      <w:ind w:left="0" w:firstLine="3584"/>
      <w:spacing w:before="0" w:after="160" w:line="240" w:lineRule="exact"/>
    </w:pPr>
    <w:rPr>
      <w:rFonts w:ascii="Times New Roman" w:hAnsi="Times New Roman" w:cs="Times New Roman"/>
    </w:rPr>
  </w:style>
  <w:style w:type="paragraph" w:styleId="1242" w:customStyle="1">
    <w:name w:val="xl23"/>
    <w:basedOn w:val="989"/>
    <w:next w:val="1025"/>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列出段落11"/>
    <w:basedOn w:val="989"/>
    <w:next w:val="1244"/>
    <w:qFormat/>
    <w:pPr>
      <w:ind w:left="420" w:firstLine="3748"/>
      <w:spacing w:before="0" w:after="0" w:line="240" w:lineRule="auto"/>
    </w:pPr>
    <w:rPr>
      <w:rFonts w:ascii="Times New Roman" w:hAnsi="Times New Roman" w:cs="Times New Roman"/>
    </w:rPr>
  </w:style>
  <w:style w:type="paragraph" w:styleId="1244" w:customStyle="1">
    <w:name w:val="样式 标题 2 + (西文) 宋体 非加粗 居中"/>
    <w:basedOn w:val="991"/>
    <w:next w:val="1245"/>
    <w:qFormat/>
    <w:pPr>
      <w:ind w:left="0" w:firstLine="24"/>
      <w:jc w:val="center"/>
      <w:spacing w:line="412" w:lineRule="auto"/>
      <w:outlineLvl w:val="1"/>
    </w:pPr>
  </w:style>
  <w:style w:type="paragraph" w:styleId="1245" w:customStyle="1">
    <w:name w:val="页脚 Char Char"/>
    <w:basedOn w:val="989"/>
    <w:next w:val="1246"/>
    <w:qFormat/>
    <w:pPr>
      <w:ind w:left="0" w:firstLine="5120"/>
      <w:spacing w:before="0" w:after="0" w:line="240" w:lineRule="auto"/>
    </w:pPr>
    <w:rPr>
      <w:rFonts w:ascii="Times New Roman" w:hAnsi="Times New Roman" w:cs="Times New Roman"/>
    </w:rPr>
  </w:style>
  <w:style w:type="paragraph" w:styleId="1246" w:customStyle="1">
    <w:name w:val="样式 标题 1 + 段前: 16 磅 段后: 16 磅"/>
    <w:basedOn w:val="990"/>
    <w:next w:val="1247"/>
    <w:qFormat/>
    <w:pPr>
      <w:ind w:left="0" w:firstLine="18"/>
      <w:jc w:val="center"/>
      <w:spacing w:before="120" w:after="0" w:line="360" w:lineRule="auto"/>
      <w:outlineLvl w:val="0"/>
    </w:pPr>
  </w:style>
  <w:style w:type="paragraph" w:styleId="1247" w:customStyle="1">
    <w:name w:val="Char1 Char Char Char Char Char Char"/>
    <w:basedOn w:val="989"/>
    <w:next w:val="1248"/>
    <w:qFormat/>
    <w:pPr>
      <w:ind w:left="0" w:firstLine="2560"/>
      <w:spacing w:before="0" w:after="0" w:line="240" w:lineRule="auto"/>
    </w:pPr>
    <w:rPr>
      <w:rFonts w:ascii="Times New Roman" w:hAnsi="Times New Roman" w:cs="Times New Roman"/>
    </w:rPr>
  </w:style>
  <w:style w:type="paragraph" w:styleId="1248" w:customStyle="1">
    <w:name w:val="文档标题4"/>
    <w:basedOn w:val="993"/>
    <w:next w:val="988"/>
    <w:qFormat/>
    <w:pPr>
      <w:ind w:left="851" w:firstLine="30"/>
      <w:spacing w:after="280" w:line="360" w:lineRule="auto"/>
      <w:outlineLvl w:val="3"/>
    </w:pPr>
  </w:style>
  <w:style w:type="paragraph" w:styleId="1249" w:customStyle="1">
    <w:name w:val="font0"/>
    <w:basedOn w:val="989"/>
    <w:next w:val="1224"/>
    <w:qFormat/>
    <w:pPr>
      <w:ind w:left="0" w:firstLine="1024"/>
      <w:spacing w:before="280" w:after="280" w:line="240" w:lineRule="auto"/>
    </w:pPr>
    <w:rPr>
      <w:rFonts w:ascii="Times New Roman" w:hAnsi="Times New Roman" w:cs="Times New Roman"/>
    </w:rPr>
  </w:style>
  <w:style w:type="paragraph" w:styleId="1250" w:customStyle="1">
    <w:name w:val="CM5"/>
    <w:basedOn w:val="989"/>
    <w:next w:val="988"/>
    <w:qFormat/>
    <w:pPr>
      <w:ind w:left="200" w:firstLine="2760"/>
      <w:spacing w:before="0" w:after="0" w:line="400" w:lineRule="atLeast"/>
    </w:pPr>
    <w:rPr>
      <w:rFonts w:ascii="Times New Roman" w:hAnsi="Times New Roman" w:cs="Times New Roman"/>
    </w:rPr>
  </w:style>
  <w:style w:type="paragraph" w:styleId="1251" w:customStyle="1">
    <w:name w:val="Pa0"/>
    <w:basedOn w:val="989"/>
    <w:next w:val="988"/>
    <w:qFormat/>
    <w:pPr>
      <w:ind w:left="0" w:firstLine="4608"/>
      <w:spacing w:before="0" w:after="0" w:line="241" w:lineRule="atLeast"/>
    </w:pPr>
    <w:rPr>
      <w:rFonts w:ascii="Times New Roman" w:hAnsi="Times New Roman" w:cs="Times New Roman"/>
    </w:rPr>
  </w:style>
  <w:style w:type="paragraph" w:styleId="1252" w:customStyle="1">
    <w:name w:val="招标文件》"/>
    <w:basedOn w:val="989"/>
    <w:next w:val="1188"/>
    <w:qFormat/>
    <w:pPr>
      <w:ind w:left="420" w:firstLine="2140"/>
      <w:spacing w:before="120" w:after="120" w:line="300" w:lineRule="auto"/>
    </w:pPr>
    <w:rPr>
      <w:rFonts w:ascii="Times New Roman" w:hAnsi="Times New Roman" w:cs="Times New Roman"/>
    </w:rPr>
  </w:style>
  <w:style w:type="paragraph" w:styleId="1253" w:customStyle="1">
    <w:name w:val="段"/>
    <w:next w:val="988"/>
    <w:qFormat/>
    <w:pPr>
      <w:ind w:firstLine="200"/>
      <w:jc w:val="both"/>
      <w:spacing w:line="360" w:lineRule="auto"/>
    </w:pPr>
    <w:rPr>
      <w:sz w:val="24"/>
      <w:szCs w:val="22"/>
    </w:rPr>
  </w:style>
  <w:style w:type="paragraph" w:styleId="1254" w:customStyle="1">
    <w:name w:val="标书_正文"/>
    <w:basedOn w:val="989"/>
    <w:next w:val="1255"/>
    <w:qFormat/>
    <w:pPr>
      <w:ind w:left="420" w:firstLine="1188"/>
      <w:spacing w:before="0" w:after="0" w:line="360" w:lineRule="auto"/>
    </w:pPr>
    <w:rPr>
      <w:rFonts w:ascii="Times New Roman" w:hAnsi="Times New Roman" w:cs="Times New Roman"/>
    </w:rPr>
  </w:style>
  <w:style w:type="paragraph" w:styleId="1255" w:customStyle="1">
    <w:name w:val="样式 标题 2 + Times New Roman 四号 非加粗 段前: 5 磅 段后: 0 磅 行距: 固定值 20..."/>
    <w:basedOn w:val="991"/>
    <w:next w:val="1203"/>
    <w:qFormat/>
    <w:pPr>
      <w:ind w:left="0" w:firstLine="24"/>
      <w:spacing w:before="100" w:after="0" w:line="400" w:lineRule="exact"/>
      <w:outlineLvl w:val="1"/>
    </w:pPr>
  </w:style>
  <w:style w:type="paragraph" w:styleId="1256" w:customStyle="1">
    <w:name w:val="图片0"/>
    <w:basedOn w:val="989"/>
    <w:next w:val="1036"/>
    <w:qFormat/>
    <w:pPr>
      <w:ind w:left="-161" w:firstLine="1187"/>
      <w:spacing w:before="0" w:after="0" w:line="276" w:lineRule="auto"/>
    </w:pPr>
    <w:rPr>
      <w:rFonts w:ascii="Times New Roman" w:hAnsi="Times New Roman" w:cs="Times New Roman"/>
    </w:rPr>
  </w:style>
  <w:style w:type="paragraph" w:styleId="1257" w:customStyle="1">
    <w:name w:val="Char Char Char2 Char Char Char2 Char"/>
    <w:basedOn w:val="989"/>
    <w:next w:val="1229"/>
    <w:qFormat/>
    <w:pPr>
      <w:ind w:left="560" w:firstLine="3632"/>
      <w:spacing w:before="0" w:after="160" w:line="240" w:lineRule="exact"/>
    </w:pPr>
    <w:rPr>
      <w:rFonts w:ascii="Times New Roman" w:hAnsi="Times New Roman" w:cs="Times New Roman"/>
    </w:rPr>
  </w:style>
  <w:style w:type="paragraph" w:styleId="1258" w:customStyle="1">
    <w:name w:val="Char Char Char Char"/>
    <w:next w:val="1259"/>
    <w:qFormat/>
    <w:pPr>
      <w:ind w:firstLine="10"/>
      <w:spacing w:line="360" w:lineRule="auto"/>
      <w:shd w:val="clear" w:color="000000" w:fill="000080"/>
    </w:pPr>
    <w:rPr>
      <w:rFonts w:ascii="Calibri" w:hAnsi="Calibri"/>
    </w:rPr>
  </w:style>
  <w:style w:type="paragraph" w:styleId="1259" w:customStyle="1">
    <w:name w:val="杨昂超式样黑体主"/>
    <w:basedOn w:val="989"/>
    <w:next w:val="1260"/>
    <w:qFormat/>
    <w:pPr>
      <w:ind w:left="0" w:firstLine="4608"/>
      <w:spacing w:before="0" w:after="0" w:line="240" w:lineRule="auto"/>
    </w:pPr>
    <w:rPr>
      <w:rFonts w:ascii="Times New Roman" w:hAnsi="Times New Roman" w:cs="Times New Roman"/>
    </w:rPr>
  </w:style>
  <w:style w:type="paragraph" w:styleId="1260" w:customStyle="1">
    <w:name w:val="Char Char Char Char Char Char1 Char Char Char Char Char Char Char Char Char Char"/>
    <w:basedOn w:val="989"/>
    <w:next w:val="1261"/>
    <w:qFormat/>
    <w:pPr>
      <w:ind w:left="0" w:firstLine="2560"/>
      <w:spacing w:before="0" w:after="0" w:line="240" w:lineRule="auto"/>
    </w:pPr>
    <w:rPr>
      <w:rFonts w:ascii="Times New Roman" w:hAnsi="Times New Roman" w:cs="Times New Roman"/>
    </w:rPr>
  </w:style>
  <w:style w:type="paragraph" w:styleId="1261" w:customStyle="1">
    <w:name w:val="目录1"/>
    <w:basedOn w:val="989"/>
    <w:next w:val="988"/>
    <w:qFormat/>
    <w:pPr>
      <w:ind w:left="0" w:firstLine="7168"/>
      <w:spacing w:before="0" w:after="136" w:line="289" w:lineRule="atLeast"/>
    </w:pPr>
    <w:rPr>
      <w:rFonts w:ascii="Times New Roman" w:hAnsi="Times New Roman" w:cs="Times New Roman"/>
    </w:rPr>
  </w:style>
  <w:style w:type="paragraph" w:styleId="1262" w:customStyle="1">
    <w:name w:val="文档结构图1"/>
    <w:basedOn w:val="989"/>
    <w:next w:val="1263"/>
    <w:qFormat/>
    <w:pPr>
      <w:ind w:left="200" w:firstLine="2248"/>
      <w:spacing w:before="0" w:after="0" w:line="360" w:lineRule="auto"/>
    </w:pPr>
    <w:rPr>
      <w:rFonts w:ascii="Times New Roman" w:hAnsi="Times New Roman" w:cs="Times New Roman"/>
    </w:rPr>
  </w:style>
  <w:style w:type="paragraph" w:styleId="1263" w:customStyle="1">
    <w:name w:val="2ji"/>
    <w:basedOn w:val="991"/>
    <w:next w:val="1031"/>
    <w:qFormat/>
    <w:pPr>
      <w:ind w:left="0" w:firstLine="24"/>
      <w:spacing w:before="0" w:after="0" w:line="360" w:lineRule="auto"/>
      <w:outlineLvl w:val="1"/>
    </w:pPr>
  </w:style>
  <w:style w:type="paragraph" w:styleId="1264" w:customStyle="1">
    <w:name w:val="xl91"/>
    <w:basedOn w:val="989"/>
    <w:next w:val="1185"/>
    <w:qFormat/>
    <w:pPr>
      <w:ind w:left="0" w:firstLine="3584"/>
      <w:spacing w:before="280" w:after="280" w:line="240" w:lineRule="auto"/>
    </w:pPr>
    <w:rPr>
      <w:rFonts w:ascii="Times New Roman" w:hAnsi="Times New Roman" w:cs="Times New Roman"/>
    </w:rPr>
  </w:style>
  <w:style w:type="paragraph" w:styleId="1265" w:customStyle="1">
    <w:name w:val="Text Body"/>
    <w:basedOn w:val="989"/>
    <w:next w:val="1266"/>
    <w:qFormat/>
    <w:pPr>
      <w:ind w:left="0" w:firstLine="4096"/>
      <w:spacing w:before="0" w:after="120" w:line="240" w:lineRule="auto"/>
    </w:pPr>
    <w:rPr>
      <w:rFonts w:ascii="Times New Roman" w:hAnsi="Times New Roman" w:cs="Times New Roman"/>
    </w:rPr>
  </w:style>
  <w:style w:type="paragraph" w:styleId="1266" w:customStyle="1">
    <w:name w:val="项目符1"/>
    <w:basedOn w:val="989"/>
    <w:next w:val="1267"/>
    <w:qFormat/>
    <w:pPr>
      <w:ind w:left="1365" w:right="100" w:firstLine="2728"/>
      <w:spacing w:before="78" w:after="78" w:line="300" w:lineRule="auto"/>
    </w:pPr>
    <w:rPr>
      <w:rFonts w:ascii="Times New Roman" w:hAnsi="Times New Roman" w:cs="Times New Roman"/>
    </w:rPr>
  </w:style>
  <w:style w:type="paragraph" w:styleId="1267" w:customStyle="1">
    <w:name w:val="引文目录标题1"/>
    <w:basedOn w:val="989"/>
    <w:next w:val="988"/>
    <w:qFormat/>
    <w:pPr>
      <w:ind w:left="0" w:firstLine="4608"/>
      <w:jc w:val="center"/>
      <w:spacing w:before="120" w:after="0" w:line="360" w:lineRule="auto"/>
    </w:pPr>
    <w:rPr>
      <w:rFonts w:ascii="Times New Roman" w:hAnsi="Times New Roman" w:cs="Times New Roman"/>
    </w:rPr>
  </w:style>
  <w:style w:type="paragraph" w:styleId="1268" w:customStyle="1">
    <w:name w:val="样式 标题 3 + (西文) 黑体 (中文) 黑体 (符号) 宋体 小四 段前: 5 磅 段后: 5 磅 行距: 1..."/>
    <w:basedOn w:val="992"/>
    <w:next w:val="1269"/>
    <w:qFormat/>
    <w:pPr>
      <w:ind w:left="1429" w:firstLine="18"/>
      <w:spacing w:before="100" w:after="100" w:line="360" w:lineRule="auto"/>
      <w:outlineLvl w:val="2"/>
    </w:pPr>
  </w:style>
  <w:style w:type="paragraph" w:styleId="1269" w:customStyle="1">
    <w:name w:val="xl22"/>
    <w:basedOn w:val="989"/>
    <w:next w:val="1270"/>
    <w:qFormat/>
    <w:pPr>
      <w:ind w:left="0" w:firstLine="20"/>
      <w:jc w:val="right"/>
      <w:spacing w:before="280" w:after="280" w:line="240" w:lineRule="auto"/>
      <w:shd w:val="clear" w:color="000000" w:fill="ffffff"/>
    </w:pPr>
    <w:rPr>
      <w:rFonts w:ascii="Times New Roman" w:hAnsi="Times New Roman" w:cs="Times New Roman"/>
    </w:rPr>
  </w:style>
  <w:style w:type="paragraph" w:styleId="1270" w:customStyle="1">
    <w:name w:val="自定义一"/>
    <w:basedOn w:val="989"/>
    <w:next w:val="988"/>
    <w:qFormat/>
    <w:pPr>
      <w:ind w:left="0"/>
      <w:spacing w:before="0" w:after="0" w:line="360" w:lineRule="auto"/>
    </w:pPr>
    <w:rPr>
      <w:rFonts w:ascii="Times New Roman" w:hAnsi="Times New Roman" w:cs="Times New Roman"/>
    </w:rPr>
  </w:style>
  <w:style w:type="paragraph" w:styleId="1271" w:customStyle="1">
    <w:name w:val="xl78"/>
    <w:basedOn w:val="989"/>
    <w:next w:val="1272"/>
    <w:qFormat/>
    <w:pPr>
      <w:ind w:left="0" w:firstLine="3584"/>
      <w:jc w:val="center"/>
      <w:spacing w:before="280" w:after="280" w:line="240" w:lineRule="auto"/>
    </w:pPr>
    <w:rPr>
      <w:rFonts w:ascii="Times New Roman" w:hAnsi="Times New Roman" w:cs="Times New Roman"/>
    </w:rPr>
  </w:style>
  <w:style w:type="paragraph" w:styleId="1272" w:customStyle="1">
    <w:name w:val="段落正文"/>
    <w:next w:val="1214"/>
    <w:qFormat/>
    <w:pPr>
      <w:ind w:firstLine="4608"/>
      <w:jc w:val="center"/>
      <w:spacing w:line="360" w:lineRule="auto"/>
    </w:pPr>
    <w:rPr>
      <w:rFonts w:ascii="Calibri" w:hAnsi="Calibri"/>
    </w:rPr>
  </w:style>
  <w:style w:type="paragraph" w:styleId="1273" w:customStyle="1">
    <w:name w:val="_Style 169"/>
    <w:next w:val="988"/>
    <w:qFormat/>
    <w:pPr>
      <w:ind w:left="2560"/>
    </w:pPr>
    <w:rPr>
      <w:rFonts w:ascii="Calibri" w:hAnsi="Calibri"/>
    </w:rPr>
  </w:style>
  <w:style w:type="paragraph" w:styleId="1274" w:customStyle="1">
    <w:name w:val="样式 小四 行距: 1.5 倍行距 首行缩进:  2 字符"/>
    <w:basedOn w:val="989"/>
    <w:next w:val="1219"/>
    <w:qFormat/>
    <w:pPr>
      <w:ind w:left="480" w:firstLine="2784"/>
      <w:spacing w:before="0" w:after="0" w:line="360" w:lineRule="auto"/>
    </w:pPr>
    <w:rPr>
      <w:rFonts w:ascii="Times New Roman" w:hAnsi="Times New Roman" w:cs="Times New Roman"/>
    </w:rPr>
  </w:style>
  <w:style w:type="paragraph" w:styleId="1275" w:customStyle="1">
    <w:name w:val="小节标题"/>
    <w:basedOn w:val="989"/>
    <w:next w:val="988"/>
    <w:qFormat/>
    <w:pPr>
      <w:ind w:left="0" w:firstLine="7168"/>
      <w:spacing w:before="175" w:after="102" w:line="351" w:lineRule="atLeast"/>
    </w:pPr>
    <w:rPr>
      <w:rFonts w:ascii="Times New Roman" w:hAnsi="Times New Roman" w:cs="Times New Roman"/>
    </w:rPr>
  </w:style>
  <w:style w:type="paragraph" w:styleId="1276" w:customStyle="1">
    <w:name w:val="TOC 标题2"/>
    <w:basedOn w:val="989"/>
    <w:next w:val="98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7" w:customStyle="1">
    <w:name w:val="表格文字（两侧对齐）"/>
    <w:basedOn w:val="989"/>
    <w:next w:val="1278"/>
    <w:qFormat/>
    <w:pPr>
      <w:ind w:left="0" w:firstLine="3584"/>
      <w:spacing w:before="0" w:after="0" w:line="240" w:lineRule="auto"/>
    </w:pPr>
    <w:rPr>
      <w:rFonts w:ascii="Times New Roman" w:hAnsi="Times New Roman" w:cs="Times New Roman"/>
    </w:rPr>
  </w:style>
  <w:style w:type="paragraph" w:styleId="1278" w:customStyle="1">
    <w:name w:val="Char"/>
    <w:basedOn w:val="989"/>
    <w:next w:val="1257"/>
    <w:qFormat/>
    <w:pPr>
      <w:ind w:left="900" w:firstLine="2608"/>
      <w:spacing w:before="0" w:after="0" w:line="240" w:lineRule="auto"/>
    </w:pPr>
    <w:rPr>
      <w:rFonts w:ascii="Times New Roman" w:hAnsi="Times New Roman" w:cs="Times New Roman"/>
    </w:rPr>
  </w:style>
  <w:style w:type="paragraph" w:styleId="1279" w:customStyle="1">
    <w:name w:val="xl86"/>
    <w:basedOn w:val="989"/>
    <w:next w:val="1280"/>
    <w:qFormat/>
    <w:pPr>
      <w:ind w:left="0" w:firstLine="5120"/>
      <w:spacing w:before="280" w:after="280" w:line="240" w:lineRule="auto"/>
    </w:pPr>
    <w:rPr>
      <w:rFonts w:ascii="Times New Roman" w:hAnsi="Times New Roman" w:cs="Times New Roman"/>
    </w:rPr>
  </w:style>
  <w:style w:type="paragraph" w:styleId="1280" w:customStyle="1">
    <w:name w:val="索引 71"/>
    <w:basedOn w:val="989"/>
    <w:next w:val="988"/>
    <w:qFormat/>
    <w:pPr>
      <w:ind w:left="1200" w:firstLine="2560"/>
      <w:jc w:val="center"/>
      <w:spacing w:before="0" w:after="0" w:line="360" w:lineRule="auto"/>
    </w:pPr>
    <w:rPr>
      <w:rFonts w:ascii="Times New Roman" w:hAnsi="Times New Roman" w:cs="Times New Roman"/>
    </w:rPr>
  </w:style>
  <w:style w:type="paragraph" w:styleId="1281" w:customStyle="1">
    <w:name w:val="111"/>
    <w:next w:val="1282"/>
    <w:qFormat/>
    <w:pPr>
      <w:ind w:left="480" w:firstLine="4320"/>
      <w:spacing w:line="440" w:lineRule="exact"/>
    </w:pPr>
    <w:rPr>
      <w:rFonts w:ascii="Calibri" w:hAnsi="Calibri"/>
    </w:rPr>
  </w:style>
  <w:style w:type="paragraph" w:styleId="1282" w:customStyle="1">
    <w:name w:val="4"/>
    <w:basedOn w:val="989"/>
    <w:next w:val="1001"/>
    <w:qFormat/>
    <w:pPr>
      <w:ind w:left="409" w:firstLine="3737"/>
      <w:spacing w:before="0" w:after="0" w:line="420" w:lineRule="exact"/>
    </w:pPr>
    <w:rPr>
      <w:rFonts w:ascii="Times New Roman" w:hAnsi="Times New Roman" w:cs="Times New Roman"/>
    </w:rPr>
  </w:style>
  <w:style w:type="paragraph" w:styleId="1283" w:customStyle="1">
    <w:name w:val="Char Char Char Char Char Char1 Char Char Char1 Char Char Char Char Char Char"/>
    <w:basedOn w:val="989"/>
    <w:next w:val="1268"/>
    <w:qFormat/>
    <w:pPr>
      <w:ind w:left="0" w:firstLine="2560"/>
      <w:spacing w:before="0" w:after="0" w:line="240" w:lineRule="auto"/>
    </w:pPr>
    <w:rPr>
      <w:rFonts w:ascii="Times New Roman" w:hAnsi="Times New Roman" w:cs="Times New Roman"/>
    </w:rPr>
  </w:style>
  <w:style w:type="paragraph" w:styleId="1284" w:customStyle="1">
    <w:name w:val="Char Char Char Char Char Char1 Char Char Char Char Char Char1 Char Char Char"/>
    <w:basedOn w:val="989"/>
    <w:next w:val="1285"/>
    <w:qFormat/>
    <w:pPr>
      <w:ind w:left="0" w:firstLine="2560"/>
      <w:spacing w:before="0" w:after="0" w:line="240" w:lineRule="auto"/>
    </w:pPr>
    <w:rPr>
      <w:rFonts w:ascii="Times New Roman" w:hAnsi="Times New Roman" w:cs="Times New Roman"/>
    </w:rPr>
  </w:style>
  <w:style w:type="paragraph" w:styleId="1285" w:customStyle="1">
    <w:name w:val="正文符号1"/>
    <w:basedOn w:val="989"/>
    <w:next w:val="1286"/>
    <w:qFormat/>
    <w:pPr>
      <w:ind w:left="987" w:firstLine="5724"/>
      <w:spacing w:before="0" w:after="0" w:line="240" w:lineRule="auto"/>
    </w:pPr>
    <w:rPr>
      <w:rFonts w:ascii="Times New Roman" w:hAnsi="Times New Roman" w:cs="Times New Roman"/>
    </w:rPr>
  </w:style>
  <w:style w:type="paragraph" w:styleId="1286" w:customStyle="1">
    <w:name w:val="索引 31"/>
    <w:basedOn w:val="989"/>
    <w:next w:val="988"/>
    <w:qFormat/>
    <w:pPr>
      <w:ind w:left="400" w:firstLine="2560"/>
      <w:jc w:val="center"/>
      <w:spacing w:before="0" w:after="0" w:line="360" w:lineRule="auto"/>
    </w:pPr>
    <w:rPr>
      <w:rFonts w:ascii="Times New Roman" w:hAnsi="Times New Roman" w:cs="Times New Roman"/>
    </w:rPr>
  </w:style>
  <w:style w:type="paragraph" w:styleId="1287" w:customStyle="1">
    <w:name w:val="目录4"/>
    <w:basedOn w:val="989"/>
    <w:next w:val="988"/>
    <w:qFormat/>
    <w:pPr>
      <w:ind w:left="629" w:firstLine="5237"/>
      <w:spacing w:before="0" w:after="0" w:line="317" w:lineRule="atLeast"/>
    </w:pPr>
    <w:rPr>
      <w:rFonts w:ascii="Times New Roman" w:hAnsi="Times New Roman" w:cs="Times New Roman"/>
    </w:rPr>
  </w:style>
  <w:style w:type="paragraph" w:styleId="1288" w:customStyle="1">
    <w:name w:val="p15"/>
    <w:basedOn w:val="988"/>
    <w:qFormat/>
    <w:pPr>
      <w:ind w:left="0"/>
    </w:pPr>
    <w:rPr>
      <w:rFonts w:ascii="宋体" w:hAnsi="宋体"/>
      <w:sz w:val="28"/>
      <w:szCs w:val="28"/>
    </w:rPr>
  </w:style>
  <w:style w:type="paragraph" w:styleId="1289" w:customStyle="1">
    <w:name w:val="四号 居中"/>
    <w:basedOn w:val="989"/>
    <w:next w:val="1283"/>
    <w:qFormat/>
    <w:pPr>
      <w:ind w:left="0" w:firstLine="6144"/>
      <w:jc w:val="center"/>
      <w:spacing w:before="0" w:after="0" w:line="360" w:lineRule="auto"/>
    </w:pPr>
    <w:rPr>
      <w:rFonts w:ascii="Times New Roman" w:hAnsi="Times New Roman" w:cs="Times New Roman"/>
    </w:rPr>
  </w:style>
  <w:style w:type="paragraph" w:styleId="1290" w:customStyle="1">
    <w:name w:val="p0"/>
    <w:next w:val="988"/>
    <w:qFormat/>
    <w:pPr>
      <w:ind w:firstLine="2048"/>
      <w:spacing w:line="360" w:lineRule="auto"/>
    </w:pPr>
    <w:rPr>
      <w:rFonts w:ascii="Calibri" w:hAnsi="Calibri"/>
    </w:rPr>
  </w:style>
  <w:style w:type="paragraph" w:styleId="1291" w:customStyle="1">
    <w:name w:val="列表编号 21"/>
    <w:basedOn w:val="989"/>
    <w:next w:val="1292"/>
    <w:qFormat/>
    <w:pPr>
      <w:ind w:left="0" w:firstLine="2560"/>
      <w:spacing w:before="0" w:after="0" w:line="360" w:lineRule="auto"/>
    </w:pPr>
    <w:rPr>
      <w:rFonts w:ascii="Times New Roman" w:hAnsi="Times New Roman" w:cs="Times New Roman"/>
    </w:rPr>
  </w:style>
  <w:style w:type="paragraph" w:styleId="1292" w:customStyle="1">
    <w:name w:val="正文文本 21"/>
    <w:basedOn w:val="989"/>
    <w:next w:val="1173"/>
    <w:qFormat/>
    <w:pPr>
      <w:ind w:left="0" w:firstLine="2560"/>
      <w:jc w:val="center"/>
      <w:spacing w:before="0" w:after="120" w:line="480" w:lineRule="auto"/>
    </w:pPr>
    <w:rPr>
      <w:rFonts w:ascii="Times New Roman" w:hAnsi="Times New Roman" w:cs="Times New Roman"/>
    </w:rPr>
  </w:style>
  <w:style w:type="paragraph" w:styleId="1293" w:customStyle="1">
    <w:name w:val="a2"/>
    <w:basedOn w:val="989"/>
    <w:next w:val="1028"/>
    <w:qFormat/>
    <w:pPr>
      <w:ind w:left="0" w:firstLine="1024"/>
      <w:spacing w:before="280" w:after="280" w:line="240" w:lineRule="auto"/>
    </w:pPr>
    <w:rPr>
      <w:rFonts w:ascii="Times New Roman" w:hAnsi="Times New Roman" w:cs="Times New Roman"/>
    </w:rPr>
  </w:style>
  <w:style w:type="paragraph" w:styleId="1294" w:customStyle="1">
    <w:name w:val="font8"/>
    <w:basedOn w:val="989"/>
    <w:next w:val="1218"/>
    <w:qFormat/>
    <w:pPr>
      <w:ind w:left="0" w:firstLine="2048"/>
      <w:spacing w:before="280" w:after="280" w:line="240" w:lineRule="auto"/>
    </w:pPr>
    <w:rPr>
      <w:rFonts w:ascii="Times New Roman" w:hAnsi="Times New Roman" w:cs="Times New Roman"/>
    </w:rPr>
  </w:style>
  <w:style w:type="paragraph" w:styleId="1295" w:customStyle="1">
    <w:name w:val="Char Char Char Char Char Char1 Char Char Char Char Char Char1 Char Char Char Char Char Char Char"/>
    <w:basedOn w:val="989"/>
    <w:next w:val="1296"/>
    <w:qFormat/>
    <w:pPr>
      <w:ind w:left="0" w:firstLine="2560"/>
      <w:spacing w:before="0" w:after="0" w:line="240" w:lineRule="auto"/>
    </w:pPr>
    <w:rPr>
      <w:rFonts w:ascii="Times New Roman" w:hAnsi="Times New Roman" w:cs="Times New Roman"/>
    </w:rPr>
  </w:style>
  <w:style w:type="paragraph" w:styleId="1296" w:customStyle="1">
    <w:name w:val="xl87"/>
    <w:basedOn w:val="989"/>
    <w:next w:val="1252"/>
    <w:qFormat/>
    <w:pPr>
      <w:ind w:left="0" w:firstLine="5120"/>
      <w:spacing w:before="280" w:after="280" w:line="240" w:lineRule="auto"/>
    </w:pPr>
    <w:rPr>
      <w:rFonts w:ascii="Times New Roman" w:hAnsi="Times New Roman" w:cs="Times New Roman"/>
    </w:rPr>
  </w:style>
  <w:style w:type="paragraph" w:styleId="1297" w:customStyle="1">
    <w:name w:val="444"/>
    <w:basedOn w:val="989"/>
    <w:next w:val="1010"/>
    <w:qFormat/>
    <w:pPr>
      <w:ind w:left="0" w:firstLine="4608"/>
      <w:jc w:val="center"/>
      <w:spacing w:before="0" w:after="0" w:line="312" w:lineRule="atLeast"/>
    </w:pPr>
    <w:rPr>
      <w:rFonts w:ascii="Times New Roman" w:hAnsi="Times New Roman" w:cs="Times New Roman"/>
    </w:rPr>
  </w:style>
  <w:style w:type="paragraph" w:styleId="1298" w:customStyle="1">
    <w:name w:val="表格文字图表文字"/>
    <w:basedOn w:val="989"/>
    <w:next w:val="1299"/>
    <w:qFormat/>
    <w:pPr>
      <w:ind w:left="0" w:firstLine="3584"/>
      <w:jc w:val="center"/>
      <w:spacing w:before="0" w:after="0" w:line="240" w:lineRule="auto"/>
    </w:pPr>
    <w:rPr>
      <w:rFonts w:ascii="Times New Roman" w:hAnsi="Times New Roman" w:cs="Times New Roman"/>
    </w:rPr>
  </w:style>
  <w:style w:type="paragraph" w:styleId="1299" w:customStyle="1">
    <w:name w:val="样式 目录 3 + 左侧:  2 字符1"/>
    <w:next w:val="1300"/>
    <w:qFormat/>
    <w:pPr>
      <w:ind w:left="960" w:firstLine="5120"/>
      <w:spacing w:line="360" w:lineRule="auto"/>
      <w:widowControl w:val="off"/>
    </w:pPr>
    <w:rPr>
      <w:rFonts w:ascii="Calibri" w:hAnsi="Calibri"/>
    </w:rPr>
  </w:style>
  <w:style w:type="paragraph" w:styleId="1300" w:customStyle="1">
    <w:name w:val="文档正文"/>
    <w:basedOn w:val="989"/>
    <w:next w:val="1301"/>
    <w:qFormat/>
    <w:pPr>
      <w:ind w:left="567" w:firstLine="3639"/>
      <w:spacing w:before="0" w:after="0" w:line="480" w:lineRule="atLeast"/>
    </w:pPr>
    <w:rPr>
      <w:rFonts w:ascii="Times New Roman" w:hAnsi="Times New Roman" w:cs="Times New Roman"/>
    </w:rPr>
  </w:style>
  <w:style w:type="paragraph" w:styleId="1301" w:customStyle="1">
    <w:name w:val="列表框2"/>
    <w:next w:val="1302"/>
    <w:qFormat/>
    <w:pPr>
      <w:ind w:firstLine="2048"/>
      <w:spacing w:line="460" w:lineRule="exact"/>
    </w:pPr>
    <w:rPr>
      <w:rFonts w:ascii="Calibri" w:hAnsi="Calibri"/>
    </w:rPr>
  </w:style>
  <w:style w:type="paragraph" w:styleId="1302" w:customStyle="1">
    <w:name w:val="font10"/>
    <w:basedOn w:val="989"/>
    <w:next w:val="1021"/>
    <w:qFormat/>
    <w:pPr>
      <w:ind w:left="0" w:firstLine="3584"/>
      <w:spacing w:before="280" w:after="280" w:line="240" w:lineRule="auto"/>
    </w:pPr>
    <w:rPr>
      <w:rFonts w:ascii="Times New Roman" w:hAnsi="Times New Roman" w:cs="Times New Roman"/>
    </w:rPr>
  </w:style>
  <w:style w:type="paragraph" w:styleId="1303" w:customStyle="1">
    <w:name w:val="纯文本1"/>
    <w:basedOn w:val="989"/>
    <w:next w:val="1033"/>
    <w:qFormat/>
    <w:pPr>
      <w:ind w:left="0" w:firstLine="3584"/>
      <w:spacing w:before="0" w:after="0" w:line="240" w:lineRule="auto"/>
    </w:pPr>
    <w:rPr>
      <w:rFonts w:ascii="Times New Roman" w:hAnsi="Times New Roman" w:cs="Times New Roman"/>
    </w:rPr>
  </w:style>
  <w:style w:type="paragraph" w:styleId="1304" w:customStyle="1">
    <w:name w:val="索引 91"/>
    <w:basedOn w:val="989"/>
    <w:next w:val="988"/>
    <w:qFormat/>
    <w:pPr>
      <w:ind w:left="1600" w:firstLine="2560"/>
      <w:jc w:val="center"/>
      <w:spacing w:before="0" w:after="0" w:line="360" w:lineRule="auto"/>
    </w:pPr>
    <w:rPr>
      <w:rFonts w:ascii="Times New Roman" w:hAnsi="Times New Roman" w:cs="Times New Roman"/>
    </w:rPr>
  </w:style>
  <w:style w:type="paragraph" w:styleId="1305" w:customStyle="1">
    <w:name w:val="xl79"/>
    <w:basedOn w:val="989"/>
    <w:next w:val="1281"/>
    <w:qFormat/>
    <w:pPr>
      <w:ind w:left="0" w:firstLine="3584"/>
      <w:jc w:val="center"/>
      <w:spacing w:before="280" w:after="280" w:line="240" w:lineRule="auto"/>
    </w:pPr>
    <w:rPr>
      <w:rFonts w:ascii="Times New Roman" w:hAnsi="Times New Roman" w:cs="Times New Roman"/>
    </w:rPr>
  </w:style>
  <w:style w:type="paragraph" w:styleId="1306" w:customStyle="1">
    <w:name w:val="表格文字（4号居中）"/>
    <w:next w:val="1307"/>
    <w:qFormat/>
    <w:pPr>
      <w:ind w:firstLine="2560"/>
      <w:jc w:val="center"/>
    </w:pPr>
    <w:rPr>
      <w:rFonts w:ascii="Calibri" w:hAnsi="Calibri"/>
    </w:rPr>
  </w:style>
  <w:style w:type="paragraph" w:styleId="1307" w:customStyle="1">
    <w:name w:val="!方块加粗"/>
    <w:basedOn w:val="989"/>
    <w:next w:val="1274"/>
    <w:qFormat/>
    <w:pPr>
      <w:ind w:left="600" w:firstLine="5212"/>
      <w:spacing w:before="0" w:after="0" w:line="360" w:lineRule="auto"/>
    </w:pPr>
    <w:rPr>
      <w:rFonts w:ascii="Times New Roman" w:hAnsi="Times New Roman" w:cs="Times New Roman"/>
    </w:rPr>
  </w:style>
  <w:style w:type="paragraph" w:styleId="1308" w:customStyle="1">
    <w:name w:val="xl75"/>
    <w:basedOn w:val="989"/>
    <w:next w:val="1034"/>
    <w:qFormat/>
    <w:pPr>
      <w:ind w:left="0" w:firstLine="3584"/>
      <w:jc w:val="center"/>
      <w:spacing w:before="280" w:after="280" w:line="240" w:lineRule="auto"/>
    </w:pPr>
    <w:rPr>
      <w:rFonts w:ascii="Times New Roman" w:hAnsi="Times New Roman" w:cs="Times New Roman"/>
    </w:rPr>
  </w:style>
  <w:style w:type="paragraph" w:styleId="1309" w:customStyle="1">
    <w:name w:val="xl81"/>
    <w:basedOn w:val="989"/>
    <w:next w:val="1310"/>
    <w:qFormat/>
    <w:pPr>
      <w:ind w:left="0" w:firstLine="5120"/>
      <w:spacing w:before="280" w:after="280" w:line="240" w:lineRule="auto"/>
    </w:pPr>
    <w:rPr>
      <w:rFonts w:ascii="Times New Roman" w:hAnsi="Times New Roman" w:cs="Times New Roman"/>
    </w:rPr>
  </w:style>
  <w:style w:type="paragraph" w:styleId="1310" w:customStyle="1">
    <w:name w:val="xl25"/>
    <w:basedOn w:val="989"/>
    <w:next w:val="1311"/>
    <w:qFormat/>
    <w:pPr>
      <w:ind w:left="0" w:firstLine="14"/>
      <w:spacing w:before="280" w:after="280" w:line="240" w:lineRule="auto"/>
      <w:shd w:val="clear" w:color="000000" w:fill="ffffff"/>
    </w:pPr>
    <w:rPr>
      <w:rFonts w:ascii="Times New Roman" w:hAnsi="Times New Roman" w:cs="Times New Roman"/>
    </w:rPr>
  </w:style>
  <w:style w:type="paragraph" w:styleId="1311" w:customStyle="1">
    <w:name w:val="普通(网站)1"/>
    <w:basedOn w:val="989"/>
    <w:next w:val="1312"/>
    <w:qFormat/>
    <w:pPr>
      <w:ind w:left="200" w:firstLine="1224"/>
      <w:spacing w:before="280" w:after="280" w:line="240" w:lineRule="auto"/>
    </w:pPr>
    <w:rPr>
      <w:rFonts w:ascii="Times New Roman" w:hAnsi="Times New Roman" w:cs="Times New Roman"/>
    </w:rPr>
  </w:style>
  <w:style w:type="paragraph" w:styleId="1312" w:customStyle="1">
    <w:name w:val="xl27"/>
    <w:basedOn w:val="989"/>
    <w:next w:val="1298"/>
    <w:qFormat/>
    <w:pPr>
      <w:ind w:left="0" w:firstLine="20"/>
      <w:spacing w:before="280" w:after="280" w:line="240" w:lineRule="auto"/>
      <w:shd w:val="clear" w:color="000000" w:fill="ffffff"/>
    </w:pPr>
    <w:rPr>
      <w:rFonts w:ascii="Times New Roman" w:hAnsi="Times New Roman" w:cs="Times New Roman"/>
    </w:rPr>
  </w:style>
  <w:style w:type="paragraph" w:styleId="1313" w:customStyle="1">
    <w:name w:val="H 4"/>
    <w:basedOn w:val="993"/>
    <w:next w:val="1314"/>
    <w:qFormat/>
    <w:pPr>
      <w:ind w:left="426" w:firstLine="24"/>
      <w:spacing w:before="0" w:after="0" w:line="360" w:lineRule="auto"/>
      <w:outlineLvl w:val="3"/>
    </w:pPr>
  </w:style>
  <w:style w:type="paragraph" w:styleId="1314" w:customStyle="1">
    <w:name w:val="xl82"/>
    <w:basedOn w:val="989"/>
    <w:next w:val="1309"/>
    <w:qFormat/>
    <w:pPr>
      <w:ind w:left="0" w:firstLine="5120"/>
      <w:spacing w:before="280" w:after="280" w:line="240" w:lineRule="auto"/>
    </w:pPr>
    <w:rPr>
      <w:rFonts w:ascii="Times New Roman" w:hAnsi="Times New Roman" w:cs="Times New Roman"/>
    </w:rPr>
  </w:style>
  <w:style w:type="paragraph" w:styleId="1315" w:customStyle="1">
    <w:name w:val="Char Char Char Char Char Char Char Char"/>
    <w:next w:val="1316"/>
    <w:qFormat/>
    <w:pPr>
      <w:ind w:firstLine="14"/>
      <w:jc w:val="both"/>
      <w:shd w:val="clear" w:color="000000" w:fill="000080"/>
      <w:widowControl w:val="off"/>
    </w:pPr>
    <w:rPr>
      <w:rFonts w:ascii="Calibri" w:hAnsi="Calibri"/>
    </w:rPr>
  </w:style>
  <w:style w:type="paragraph" w:styleId="1316" w:customStyle="1">
    <w:name w:val="Char Char Char Char Char Char1 Char Char Char1 Char Char Char Char Char Char Char Char Char Char Char Char Char Char Char"/>
    <w:basedOn w:val="989"/>
    <w:next w:val="1317"/>
    <w:qFormat/>
    <w:pPr>
      <w:ind w:left="0" w:firstLine="2560"/>
      <w:spacing w:before="0" w:after="0" w:line="240" w:lineRule="auto"/>
    </w:pPr>
    <w:rPr>
      <w:rFonts w:ascii="Times New Roman" w:hAnsi="Times New Roman" w:cs="Times New Roman"/>
    </w:rPr>
  </w:style>
  <w:style w:type="paragraph" w:styleId="1317" w:customStyle="1">
    <w:name w:val="样式1"/>
    <w:basedOn w:val="989"/>
    <w:next w:val="1318"/>
    <w:qFormat/>
    <w:pPr>
      <w:ind w:left="0" w:firstLine="1536"/>
      <w:spacing w:before="120" w:after="120" w:line="300" w:lineRule="auto"/>
    </w:pPr>
    <w:rPr>
      <w:rFonts w:ascii="Times New Roman" w:hAnsi="Times New Roman" w:cs="Times New Roman"/>
    </w:rPr>
  </w:style>
  <w:style w:type="paragraph" w:styleId="1318" w:customStyle="1">
    <w:name w:val="索引 41"/>
    <w:basedOn w:val="989"/>
    <w:next w:val="988"/>
    <w:qFormat/>
    <w:pPr>
      <w:ind w:left="600" w:firstLine="2560"/>
      <w:jc w:val="center"/>
      <w:spacing w:before="0" w:after="0" w:line="360" w:lineRule="auto"/>
    </w:pPr>
    <w:rPr>
      <w:rFonts w:ascii="Times New Roman" w:hAnsi="Times New Roman" w:cs="Times New Roman"/>
    </w:rPr>
  </w:style>
  <w:style w:type="paragraph" w:styleId="1319" w:customStyle="1">
    <w:name w:val="自定义二"/>
    <w:basedOn w:val="989"/>
    <w:next w:val="988"/>
    <w:qFormat/>
    <w:pPr>
      <w:ind w:left="0" w:firstLine="14"/>
      <w:spacing w:before="0" w:after="0" w:line="360" w:lineRule="auto"/>
      <w:outlineLvl w:val="1"/>
    </w:pPr>
    <w:rPr>
      <w:rFonts w:ascii="Times New Roman" w:hAnsi="Times New Roman" w:cs="Times New Roman"/>
    </w:rPr>
  </w:style>
  <w:style w:type="paragraph" w:styleId="1320" w:customStyle="1">
    <w:name w:val="Bullet"/>
    <w:next w:val="1258"/>
    <w:qFormat/>
    <w:pPr>
      <w:ind w:left="567" w:right="2835" w:firstLine="3584"/>
      <w:spacing w:after="60"/>
    </w:pPr>
    <w:rPr>
      <w:rFonts w:ascii="Calibri" w:hAnsi="Calibri"/>
    </w:rPr>
  </w:style>
  <w:style w:type="paragraph" w:styleId="1321" w:customStyle="1">
    <w:name w:val="Char Char Char Char Char Char1"/>
    <w:basedOn w:val="989"/>
    <w:next w:val="1322"/>
    <w:qFormat/>
    <w:pPr>
      <w:ind w:left="0" w:firstLine="2560"/>
      <w:spacing w:before="0" w:after="0" w:line="240" w:lineRule="auto"/>
    </w:pPr>
    <w:rPr>
      <w:rFonts w:ascii="Times New Roman" w:hAnsi="Times New Roman" w:cs="Times New Roman"/>
    </w:rPr>
  </w:style>
  <w:style w:type="paragraph" w:styleId="1322" w:customStyle="1">
    <w:name w:val="正文缩进2"/>
    <w:basedOn w:val="989"/>
    <w:next w:val="1323"/>
    <w:qFormat/>
    <w:pPr>
      <w:ind w:left="420" w:firstLine="1188"/>
      <w:spacing w:before="0" w:after="0" w:line="240" w:lineRule="auto"/>
    </w:pPr>
    <w:rPr>
      <w:rFonts w:ascii="Times New Roman" w:hAnsi="Times New Roman" w:cs="Times New Roman"/>
    </w:rPr>
  </w:style>
  <w:style w:type="paragraph" w:styleId="1323" w:customStyle="1">
    <w:name w:val="列出段落2"/>
    <w:basedOn w:val="989"/>
    <w:next w:val="1324"/>
    <w:qFormat/>
    <w:pPr>
      <w:ind w:left="420" w:firstLine="3748"/>
      <w:spacing w:before="0" w:after="0" w:line="240" w:lineRule="auto"/>
    </w:pPr>
    <w:rPr>
      <w:rFonts w:ascii="Times New Roman" w:hAnsi="Times New Roman" w:cs="Times New Roman"/>
    </w:rPr>
  </w:style>
  <w:style w:type="paragraph" w:styleId="1324" w:customStyle="1">
    <w:name w:val="正文文本缩进 31"/>
    <w:basedOn w:val="989"/>
    <w:next w:val="1325"/>
    <w:qFormat/>
    <w:pPr>
      <w:ind w:left="1200" w:firstLine="1248"/>
      <w:spacing w:before="120" w:after="0" w:line="22" w:lineRule="atLeast"/>
    </w:pPr>
    <w:rPr>
      <w:rFonts w:ascii="Times New Roman" w:hAnsi="Times New Roman" w:cs="Times New Roman"/>
    </w:rPr>
  </w:style>
  <w:style w:type="paragraph" w:styleId="1325" w:customStyle="1">
    <w:name w:val="样式 正文首行缩进 + 首行缩进:  2 字符5"/>
    <w:next w:val="1326"/>
    <w:qFormat/>
    <w:pPr>
      <w:ind w:left="200" w:firstLine="3784"/>
      <w:spacing w:line="300" w:lineRule="auto"/>
    </w:pPr>
    <w:rPr>
      <w:rFonts w:ascii="Calibri" w:hAnsi="Calibri"/>
    </w:rPr>
  </w:style>
  <w:style w:type="paragraph" w:styleId="1326" w:customStyle="1">
    <w:name w:val="Char2"/>
    <w:basedOn w:val="989"/>
    <w:next w:val="1320"/>
    <w:qFormat/>
    <w:pPr>
      <w:ind w:left="0" w:firstLine="3584"/>
      <w:spacing w:before="0" w:after="160" w:line="240" w:lineRule="exact"/>
    </w:pPr>
    <w:rPr>
      <w:rFonts w:ascii="Times New Roman" w:hAnsi="Times New Roman" w:cs="Times New Roman"/>
    </w:rPr>
  </w:style>
  <w:style w:type="paragraph" w:styleId="1327" w:customStyle="1">
    <w:name w:val="WPSOffice手动目录 1"/>
    <w:qFormat/>
  </w:style>
  <w:style w:type="paragraph" w:styleId="1328" w:customStyle="1">
    <w:name w:val="纯文本4"/>
    <w:basedOn w:val="988"/>
    <w:qFormat/>
    <w:pPr>
      <w:ind w:left="0"/>
      <w:widowControl w:val="off"/>
    </w:pPr>
    <w:rPr>
      <w:rFonts w:ascii="宋体" w:hAnsi="Courier New" w:eastAsia="楷体_GB2312" w:cs="Times New Roman"/>
      <w:sz w:val="26"/>
    </w:rPr>
  </w:style>
  <w:style w:type="paragraph" w:styleId="1329" w:customStyle="1">
    <w:name w:val="Char Char Char Char Char Char Char Char Char Char Char Char Char Char Char Char"/>
    <w:basedOn w:val="989"/>
    <w:next w:val="1330"/>
    <w:qFormat/>
    <w:pPr>
      <w:ind w:left="682" w:firstLine="1224"/>
      <w:spacing w:before="0" w:after="0" w:line="360" w:lineRule="auto"/>
    </w:pPr>
    <w:rPr>
      <w:rFonts w:ascii="Times New Roman" w:hAnsi="Times New Roman" w:cs="Times New Roman"/>
    </w:rPr>
  </w:style>
  <w:style w:type="paragraph" w:styleId="1330" w:customStyle="1">
    <w:name w:val="列表编号 51"/>
    <w:basedOn w:val="989"/>
    <w:next w:val="1331"/>
    <w:qFormat/>
    <w:pPr>
      <w:ind w:left="900" w:firstLine="2652"/>
      <w:spacing w:before="0" w:after="0" w:line="360" w:lineRule="auto"/>
    </w:pPr>
    <w:rPr>
      <w:rFonts w:ascii="Times New Roman" w:hAnsi="Times New Roman" w:cs="Times New Roman"/>
    </w:rPr>
  </w:style>
  <w:style w:type="paragraph" w:styleId="1331" w:customStyle="1">
    <w:name w:val="样式 标题 1 + 黑体 (符号) 宋体 三号 段前: 7.8 磅 段后: 7.8 磅 行距: 1.5 倍行距"/>
    <w:basedOn w:val="990"/>
    <w:next w:val="1332"/>
    <w:qFormat/>
    <w:pPr>
      <w:ind w:left="432" w:firstLine="18"/>
      <w:spacing w:before="40" w:after="40" w:line="360" w:lineRule="auto"/>
      <w:outlineLvl w:val="0"/>
    </w:pPr>
  </w:style>
  <w:style w:type="paragraph" w:styleId="1332" w:customStyle="1">
    <w:name w:val="表格用"/>
    <w:basedOn w:val="989"/>
    <w:next w:val="1289"/>
    <w:qFormat/>
    <w:pPr>
      <w:ind w:left="0" w:firstLine="1024"/>
      <w:spacing w:before="0" w:after="0" w:line="360" w:lineRule="auto"/>
    </w:pPr>
    <w:rPr>
      <w:rFonts w:ascii="Times New Roman" w:hAnsi="Times New Roman" w:cs="Times New Roman"/>
    </w:rPr>
  </w:style>
  <w:style w:type="paragraph" w:styleId="1333" w:customStyle="1">
    <w:name w:val="xl71"/>
    <w:basedOn w:val="989"/>
    <w:next w:val="1334"/>
    <w:qFormat/>
    <w:pPr>
      <w:ind w:left="0" w:firstLine="1536"/>
      <w:spacing w:before="280" w:after="280" w:line="240" w:lineRule="auto"/>
    </w:pPr>
    <w:rPr>
      <w:rFonts w:ascii="Times New Roman" w:hAnsi="Times New Roman" w:cs="Times New Roman"/>
    </w:rPr>
  </w:style>
  <w:style w:type="paragraph" w:styleId="1334" w:customStyle="1">
    <w:name w:val="正文文本 31"/>
    <w:basedOn w:val="989"/>
    <w:next w:val="1335"/>
    <w:qFormat/>
    <w:pPr>
      <w:ind w:left="0" w:firstLine="3584"/>
      <w:jc w:val="center"/>
      <w:spacing w:before="0" w:after="120" w:line="360" w:lineRule="auto"/>
    </w:pPr>
    <w:rPr>
      <w:rFonts w:ascii="Times New Roman" w:hAnsi="Times New Roman" w:cs="Times New Roman"/>
    </w:rPr>
  </w:style>
  <w:style w:type="paragraph" w:styleId="1335" w:customStyle="1">
    <w:name w:val="列出段落111"/>
    <w:basedOn w:val="989"/>
    <w:next w:val="1271"/>
    <w:qFormat/>
    <w:pPr>
      <w:ind w:left="420" w:firstLine="3748"/>
      <w:spacing w:before="0" w:after="0" w:line="240" w:lineRule="auto"/>
    </w:pPr>
    <w:rPr>
      <w:rFonts w:ascii="Times New Roman" w:hAnsi="Times New Roman" w:cs="Times New Roman"/>
    </w:rPr>
  </w:style>
  <w:style w:type="paragraph" w:styleId="1336" w:customStyle="1">
    <w:name w:val="修订1"/>
    <w:qFormat/>
    <w:rPr>
      <w:rFonts w:ascii="Calibri" w:hAnsi="Calibri"/>
    </w:rPr>
  </w:style>
  <w:style w:type="paragraph" w:styleId="1337" w:customStyle="1">
    <w:name w:val="正文文本缩进 21"/>
    <w:basedOn w:val="989"/>
    <w:next w:val="1277"/>
    <w:qFormat/>
    <w:pPr>
      <w:ind w:left="480" w:firstLine="4832"/>
      <w:spacing w:before="0" w:after="0" w:line="240" w:lineRule="auto"/>
    </w:pPr>
    <w:rPr>
      <w:rFonts w:ascii="Times New Roman" w:hAnsi="Times New Roman" w:cs="Times New Roman"/>
    </w:rPr>
  </w:style>
  <w:style w:type="paragraph" w:styleId="1338" w:customStyle="1">
    <w:name w:val="Char Char4 Char Char"/>
    <w:basedOn w:val="989"/>
    <w:next w:val="1287"/>
    <w:qFormat/>
    <w:pPr>
      <w:ind w:left="0" w:firstLine="2560"/>
      <w:spacing w:before="0" w:after="0" w:line="240" w:lineRule="auto"/>
    </w:pPr>
    <w:rPr>
      <w:rFonts w:ascii="Times New Roman" w:hAnsi="Times New Roman" w:cs="Times New Roman"/>
    </w:rPr>
  </w:style>
  <w:style w:type="paragraph" w:styleId="1339" w:customStyle="1">
    <w:name w:val="样式"/>
    <w:next w:val="988"/>
    <w:qFormat/>
    <w:pPr>
      <w:ind w:firstLine="3584"/>
      <w:widowControl w:val="off"/>
    </w:pPr>
    <w:rPr>
      <w:rFonts w:ascii="Calibri" w:hAnsi="Calibri"/>
    </w:rPr>
  </w:style>
  <w:style w:type="paragraph" w:styleId="1340" w:customStyle="1">
    <w:name w:val="TOC 标题1"/>
    <w:basedOn w:val="990"/>
    <w:next w:val="988"/>
    <w:qFormat/>
    <w:pPr>
      <w:ind w:left="0" w:firstLine="6144"/>
      <w:spacing w:before="480" w:after="0" w:line="276" w:lineRule="auto"/>
    </w:pPr>
    <w:rPr>
      <w:b/>
      <w:sz w:val="30"/>
    </w:rPr>
  </w:style>
  <w:style w:type="paragraph" w:styleId="1341" w:customStyle="1">
    <w:name w:val="纯文本3"/>
    <w:basedOn w:val="988"/>
    <w:qFormat/>
    <w:rPr>
      <w:rFonts w:ascii="宋体" w:hAnsi="Courier New" w:cs="Times New Roman"/>
    </w:rPr>
  </w:style>
  <w:style w:type="paragraph" w:styleId="1342" w:customStyle="1">
    <w:name w:val="afont"/>
    <w:basedOn w:val="989"/>
    <w:next w:val="1014"/>
    <w:qFormat/>
    <w:pPr>
      <w:ind w:left="0" w:firstLine="2048"/>
      <w:spacing w:before="100" w:after="100" w:line="285" w:lineRule="atLeast"/>
    </w:pPr>
    <w:rPr>
      <w:rFonts w:ascii="Times New Roman" w:hAnsi="Times New Roman" w:cs="Times New Roman"/>
    </w:rPr>
  </w:style>
  <w:style w:type="paragraph" w:styleId="1343" w:customStyle="1">
    <w:name w:val="xl85"/>
    <w:basedOn w:val="989"/>
    <w:next w:val="1344"/>
    <w:qFormat/>
    <w:pPr>
      <w:ind w:left="0" w:firstLine="2048"/>
      <w:jc w:val="center"/>
      <w:spacing w:before="280" w:after="280" w:line="240" w:lineRule="auto"/>
    </w:pPr>
    <w:rPr>
      <w:rFonts w:ascii="Times New Roman" w:hAnsi="Times New Roman" w:cs="Times New Roman"/>
    </w:rPr>
  </w:style>
  <w:style w:type="paragraph" w:styleId="1344" w:customStyle="1">
    <w:name w:val="文章总标题"/>
    <w:basedOn w:val="989"/>
    <w:next w:val="1345"/>
    <w:qFormat/>
    <w:pPr>
      <w:ind w:left="0" w:firstLine="7168"/>
      <w:jc w:val="center"/>
      <w:spacing w:before="566" w:after="544" w:line="566" w:lineRule="atLeast"/>
    </w:pPr>
    <w:rPr>
      <w:rFonts w:ascii="Times New Roman" w:hAnsi="Times New Roman" w:cs="Times New Roman"/>
    </w:rPr>
  </w:style>
  <w:style w:type="paragraph" w:styleId="1345" w:customStyle="1">
    <w:name w:val="样式 首行缩进:  2 字符"/>
    <w:basedOn w:val="989"/>
    <w:next w:val="1308"/>
    <w:qFormat/>
    <w:pPr>
      <w:ind w:left="200" w:firstLine="1224"/>
      <w:spacing w:before="0" w:after="0" w:line="400" w:lineRule="exact"/>
    </w:pPr>
    <w:rPr>
      <w:rFonts w:ascii="Times New Roman" w:hAnsi="Times New Roman" w:cs="Times New Roman"/>
    </w:rPr>
  </w:style>
  <w:style w:type="paragraph" w:styleId="1346" w:customStyle="1">
    <w:name w:val="二级条标题"/>
    <w:basedOn w:val="989"/>
    <w:next w:val="988"/>
    <w:qFormat/>
    <w:pPr>
      <w:ind w:left="0" w:firstLine="8"/>
      <w:spacing w:before="0" w:after="0" w:line="240" w:lineRule="auto"/>
      <w:outlineLvl w:val="3"/>
    </w:pPr>
    <w:rPr>
      <w:rFonts w:ascii="Times New Roman" w:hAnsi="Times New Roman" w:cs="Times New Roman"/>
    </w:rPr>
  </w:style>
  <w:style w:type="paragraph" w:styleId="1347" w:customStyle="1">
    <w:name w:val="Plain Text*"/>
    <w:basedOn w:val="988"/>
    <w:qFormat/>
    <w:pPr>
      <w:ind w:left="0"/>
      <w:jc w:val="left"/>
    </w:pPr>
    <w:rPr>
      <w:rFonts w:ascii="宋体" w:hAnsi="宋体" w:eastAsia="楷体_GB2312" w:cs="Courier New"/>
      <w:sz w:val="26"/>
      <w:lang w:val="zh-CN"/>
    </w:rPr>
  </w:style>
  <w:style w:type="paragraph" w:styleId="1348" w:customStyle="1">
    <w:name w:val="样式 加粗 居中2"/>
    <w:basedOn w:val="989"/>
    <w:next w:val="1200"/>
    <w:qFormat/>
    <w:pPr>
      <w:ind w:left="0" w:firstLine="2560"/>
      <w:jc w:val="center"/>
      <w:spacing w:before="0" w:after="0" w:line="360" w:lineRule="auto"/>
    </w:pPr>
    <w:rPr>
      <w:rFonts w:ascii="Times New Roman" w:hAnsi="Times New Roman" w:cs="Times New Roman"/>
    </w:rPr>
  </w:style>
  <w:style w:type="paragraph" w:styleId="1349" w:customStyle="1">
    <w:name w:val="标准文本"/>
    <w:basedOn w:val="989"/>
    <w:next w:val="1303"/>
    <w:qFormat/>
    <w:pPr>
      <w:ind w:left="480" w:firstLine="2784"/>
      <w:spacing w:before="0" w:after="0" w:line="360" w:lineRule="auto"/>
    </w:pPr>
    <w:rPr>
      <w:rFonts w:ascii="Times New Roman" w:hAnsi="Times New Roman" w:cs="Times New Roman"/>
    </w:rPr>
  </w:style>
  <w:style w:type="paragraph" w:styleId="1350" w:customStyle="1">
    <w:name w:val="font5"/>
    <w:basedOn w:val="989"/>
    <w:next w:val="1351"/>
    <w:qFormat/>
    <w:pPr>
      <w:ind w:left="0" w:firstLine="5120"/>
      <w:spacing w:before="280" w:after="280" w:line="240" w:lineRule="auto"/>
    </w:pPr>
    <w:rPr>
      <w:rFonts w:ascii="Times New Roman" w:hAnsi="Times New Roman" w:cs="Times New Roman"/>
    </w:rPr>
  </w:style>
  <w:style w:type="paragraph" w:styleId="1351" w:customStyle="1">
    <w:name w:val="索引标题1"/>
    <w:basedOn w:val="989"/>
    <w:next w:val="1230"/>
    <w:qFormat/>
    <w:pPr>
      <w:ind w:left="0" w:firstLine="4608"/>
      <w:jc w:val="center"/>
      <w:spacing w:before="0" w:after="0" w:line="360" w:lineRule="auto"/>
    </w:pPr>
    <w:rPr>
      <w:rFonts w:ascii="Times New Roman" w:hAnsi="Times New Roman" w:cs="Times New Roman"/>
    </w:rPr>
  </w:style>
  <w:style w:type="paragraph" w:styleId="1352" w:customStyle="1">
    <w:name w:val="Char Char Char Char Char Char1 Char Char Char1 Char Char Char Char Char Char Char Char Char Char Char Char Char Char Char Char"/>
    <w:basedOn w:val="989"/>
    <w:next w:val="1353"/>
    <w:qFormat/>
    <w:pPr>
      <w:ind w:left="0" w:firstLine="2560"/>
      <w:spacing w:before="0" w:after="0" w:line="240" w:lineRule="auto"/>
    </w:pPr>
    <w:rPr>
      <w:rFonts w:ascii="Times New Roman" w:hAnsi="Times New Roman" w:cs="Times New Roman"/>
    </w:rPr>
  </w:style>
  <w:style w:type="paragraph" w:styleId="1353" w:customStyle="1">
    <w:name w:val="1正文"/>
    <w:basedOn w:val="989"/>
    <w:next w:val="1354"/>
    <w:qFormat/>
    <w:pPr>
      <w:ind w:left="480" w:firstLine="2784"/>
      <w:spacing w:before="0" w:after="0" w:line="300" w:lineRule="auto"/>
    </w:pPr>
    <w:rPr>
      <w:rFonts w:ascii="Times New Roman" w:hAnsi="Times New Roman" w:cs="Times New Roman"/>
    </w:rPr>
  </w:style>
  <w:style w:type="paragraph" w:styleId="1354" w:customStyle="1">
    <w:name w:val="目录2"/>
    <w:basedOn w:val="989"/>
    <w:next w:val="988"/>
    <w:qFormat/>
    <w:pPr>
      <w:ind w:left="209" w:firstLine="5329"/>
      <w:spacing w:before="0" w:after="0" w:line="317" w:lineRule="atLeast"/>
    </w:pPr>
    <w:rPr>
      <w:rFonts w:ascii="Times New Roman" w:hAnsi="Times New Roman" w:cs="Times New Roman"/>
    </w:rPr>
  </w:style>
  <w:style w:type="paragraph" w:styleId="1355" w:customStyle="1">
    <w:name w:val="图表目录1"/>
    <w:basedOn w:val="989"/>
    <w:next w:val="988"/>
    <w:qFormat/>
    <w:pPr>
      <w:ind w:left="200" w:firstLine="2616"/>
      <w:jc w:val="center"/>
      <w:spacing w:before="0" w:after="0" w:line="360" w:lineRule="auto"/>
    </w:pPr>
    <w:rPr>
      <w:rFonts w:ascii="Times New Roman" w:hAnsi="Times New Roman" w:cs="Times New Roman"/>
    </w:rPr>
  </w:style>
  <w:style w:type="paragraph" w:styleId="1356" w:customStyle="1">
    <w:name w:val="xl63"/>
    <w:basedOn w:val="989"/>
    <w:next w:val="1306"/>
    <w:qFormat/>
    <w:pPr>
      <w:ind w:left="0" w:firstLine="5120"/>
      <w:spacing w:before="280" w:after="280" w:line="240" w:lineRule="auto"/>
    </w:pPr>
    <w:rPr>
      <w:rFonts w:ascii="Times New Roman" w:hAnsi="Times New Roman" w:cs="Times New Roman"/>
    </w:rPr>
  </w:style>
  <w:style w:type="paragraph" w:styleId="1357">
    <w:name w:val="List Paragraph"/>
    <w:basedOn w:val="988"/>
    <w:next w:val="1264"/>
    <w:qFormat/>
    <w:pPr>
      <w:ind w:left="420" w:firstLine="3748"/>
    </w:pPr>
    <w:rPr>
      <w:rFonts w:ascii="Times New Roman" w:hAnsi="Times New Roman" w:cs="Times New Roman"/>
    </w:rPr>
  </w:style>
  <w:style w:type="paragraph" w:styleId="1358" w:customStyle="1">
    <w:name w:val="xl73"/>
    <w:basedOn w:val="989"/>
    <w:next w:val="1359"/>
    <w:qFormat/>
    <w:pPr>
      <w:ind w:left="0" w:firstLine="3584"/>
      <w:spacing w:before="280" w:after="280" w:line="240" w:lineRule="auto"/>
    </w:pPr>
    <w:rPr>
      <w:rFonts w:ascii="Times New Roman" w:hAnsi="Times New Roman" w:cs="Times New Roman"/>
    </w:rPr>
  </w:style>
  <w:style w:type="paragraph" w:styleId="1359" w:customStyle="1">
    <w:name w:val="xl80"/>
    <w:basedOn w:val="989"/>
    <w:next w:val="1360"/>
    <w:qFormat/>
    <w:pPr>
      <w:ind w:left="0" w:firstLine="3584"/>
      <w:jc w:val="center"/>
      <w:spacing w:before="280" w:after="280" w:line="240" w:lineRule="auto"/>
    </w:pPr>
    <w:rPr>
      <w:rFonts w:ascii="Times New Roman" w:hAnsi="Times New Roman" w:cs="Times New Roman"/>
    </w:rPr>
  </w:style>
  <w:style w:type="paragraph" w:styleId="1360" w:customStyle="1">
    <w:name w:val="样式2"/>
    <w:basedOn w:val="994"/>
    <w:next w:val="1361"/>
    <w:qFormat/>
    <w:pPr>
      <w:ind w:left="1134" w:firstLine="18"/>
      <w:spacing w:before="0" w:after="0" w:line="360" w:lineRule="auto"/>
      <w:outlineLvl w:val="4"/>
    </w:pPr>
  </w:style>
  <w:style w:type="paragraph" w:styleId="1361" w:customStyle="1">
    <w:name w:val="日期1"/>
    <w:basedOn w:val="989"/>
    <w:next w:val="988"/>
    <w:qFormat/>
    <w:pPr>
      <w:ind w:left="100" w:firstLine="6144"/>
      <w:spacing w:before="0" w:after="0" w:line="240" w:lineRule="auto"/>
    </w:pPr>
    <w:rPr>
      <w:rFonts w:ascii="Times New Roman" w:hAnsi="Times New Roman" w:cs="Times New Roman"/>
    </w:rPr>
  </w:style>
  <w:style w:type="paragraph" w:styleId="1362" w:customStyle="1">
    <w:name w:val="图1"/>
    <w:basedOn w:val="989"/>
    <w:next w:val="988"/>
    <w:qFormat/>
    <w:pPr>
      <w:ind w:left="1105" w:firstLine="2580"/>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w:basedOn w:val="989"/>
    <w:next w:val="1343"/>
    <w:qFormat/>
    <w:pPr>
      <w:ind w:left="0" w:firstLine="2560"/>
      <w:spacing w:before="0" w:after="0" w:line="240" w:lineRule="auto"/>
    </w:pPr>
    <w:rPr>
      <w:rFonts w:ascii="Times New Roman" w:hAnsi="Times New Roman" w:cs="Times New Roman"/>
    </w:rPr>
  </w:style>
  <w:style w:type="paragraph" w:styleId="1364" w:customStyle="1">
    <w:name w:val="Char Char Char Char Char Char Char"/>
    <w:basedOn w:val="989"/>
    <w:next w:val="1249"/>
    <w:qFormat/>
    <w:pPr>
      <w:ind w:left="200" w:firstLine="4808"/>
      <w:spacing w:before="0" w:after="0" w:line="360" w:lineRule="auto"/>
    </w:pPr>
    <w:rPr>
      <w:rFonts w:ascii="Times New Roman" w:hAnsi="Times New Roman" w:cs="Times New Roman"/>
    </w:rPr>
  </w:style>
  <w:style w:type="paragraph" w:styleId="1365" w:customStyle="1">
    <w:name w:val="Char Char Char Char Char Char Char Char Char Char Char Char Char Char Char"/>
    <w:basedOn w:val="989"/>
    <w:next w:val="1340"/>
    <w:qFormat/>
    <w:pPr>
      <w:ind w:left="0" w:firstLine="3584"/>
      <w:jc w:val="center"/>
      <w:spacing w:before="0" w:after="0" w:line="400" w:lineRule="exact"/>
    </w:pPr>
    <w:rPr>
      <w:rFonts w:ascii="Times New Roman" w:hAnsi="Times New Roman" w:cs="Times New Roman"/>
    </w:rPr>
  </w:style>
  <w:style w:type="paragraph" w:styleId="1366">
    <w:name w:val="Intense Quote"/>
    <w:next w:val="988"/>
    <w:qFormat/>
    <w:pPr>
      <w:ind w:left="3766" w:right="950"/>
      <w:jc w:val="center"/>
      <w:spacing w:before="360" w:after="360"/>
    </w:pPr>
    <w:rPr>
      <w:rFonts w:ascii="Calibri" w:hAnsi="Calibri"/>
      <w:i/>
    </w:rPr>
  </w:style>
  <w:style w:type="paragraph" w:styleId="1367" w:customStyle="1">
    <w:name w:val="索引 51"/>
    <w:basedOn w:val="989"/>
    <w:next w:val="988"/>
    <w:qFormat/>
    <w:pPr>
      <w:ind w:left="800" w:firstLine="2560"/>
      <w:jc w:val="center"/>
      <w:spacing w:before="0" w:after="0" w:line="360" w:lineRule="auto"/>
    </w:pPr>
    <w:rPr>
      <w:rFonts w:ascii="Times New Roman" w:hAnsi="Times New Roman" w:cs="Times New Roman"/>
    </w:rPr>
  </w:style>
  <w:style w:type="paragraph" w:styleId="1368" w:customStyle="1">
    <w:name w:val="图表"/>
    <w:basedOn w:val="989"/>
    <w:next w:val="1369"/>
    <w:qFormat/>
    <w:pPr>
      <w:ind w:left="0" w:firstLine="2048"/>
      <w:jc w:val="center"/>
      <w:spacing w:before="0" w:after="0" w:line="240" w:lineRule="auto"/>
    </w:pPr>
    <w:rPr>
      <w:rFonts w:ascii="Times New Roman" w:hAnsi="Times New Roman" w:cs="Times New Roman"/>
    </w:rPr>
  </w:style>
  <w:style w:type="paragraph" w:styleId="1369" w:customStyle="1">
    <w:name w:val="reader-word-layer"/>
    <w:basedOn w:val="989"/>
    <w:next w:val="1370"/>
    <w:qFormat/>
    <w:pPr>
      <w:ind w:left="0" w:firstLine="1024"/>
      <w:spacing w:before="280" w:after="280" w:line="240" w:lineRule="auto"/>
    </w:pPr>
    <w:rPr>
      <w:rFonts w:ascii="Times New Roman" w:hAnsi="Times New Roman" w:cs="Times New Roman"/>
    </w:rPr>
  </w:style>
  <w:style w:type="paragraph" w:styleId="1370" w:customStyle="1">
    <w:name w:val="样式 加粗 居中1"/>
    <w:next w:val="1209"/>
    <w:qFormat/>
    <w:pPr>
      <w:ind w:firstLine="2560"/>
      <w:jc w:val="center"/>
    </w:pPr>
    <w:rPr>
      <w:rFonts w:ascii="Calibri" w:hAnsi="Calibri"/>
    </w:rPr>
  </w:style>
  <w:style w:type="paragraph" w:styleId="1371" w:customStyle="1">
    <w:name w:val="修订2"/>
    <w:qFormat/>
    <w:rPr>
      <w:rFonts w:ascii="Calibri" w:hAnsi="Calibri"/>
    </w:rPr>
  </w:style>
  <w:style w:type="paragraph" w:styleId="1372" w:customStyle="1">
    <w:name w:val="Body"/>
    <w:next w:val="1304"/>
    <w:qFormat/>
    <w:pPr>
      <w:ind w:left="567" w:right="2835" w:firstLine="3584"/>
      <w:spacing w:after="60"/>
    </w:pPr>
    <w:rPr>
      <w:rFonts w:ascii="Calibri" w:hAnsi="Calibri"/>
    </w:rPr>
  </w:style>
  <w:style w:type="paragraph" w:styleId="1373" w:customStyle="1">
    <w:name w:val="font6"/>
    <w:basedOn w:val="989"/>
    <w:next w:val="1374"/>
    <w:qFormat/>
    <w:pPr>
      <w:ind w:left="0" w:firstLine="5120"/>
      <w:spacing w:before="280" w:after="280" w:line="240" w:lineRule="auto"/>
    </w:pPr>
    <w:rPr>
      <w:rFonts w:ascii="Times New Roman" w:hAnsi="Times New Roman" w:cs="Times New Roman"/>
    </w:rPr>
  </w:style>
  <w:style w:type="paragraph" w:styleId="1374" w:customStyle="1">
    <w:name w:val="正文首行缩进 21"/>
    <w:basedOn w:val="1001"/>
    <w:next w:val="1372"/>
    <w:qFormat/>
    <w:pPr>
      <w:ind w:left="200" w:firstLine="3784"/>
      <w:jc w:val="center"/>
      <w:spacing w:after="120" w:line="360" w:lineRule="auto"/>
    </w:pPr>
    <w:rPr>
      <w:rFonts w:ascii="Calibri" w:hAnsi="Calibri"/>
    </w:rPr>
  </w:style>
  <w:style w:type="paragraph" w:styleId="1375" w:customStyle="1">
    <w:name w:val="Char Char"/>
    <w:next w:val="1368"/>
    <w:qFormat/>
    <w:pPr>
      <w:ind w:firstLine="14"/>
      <w:spacing w:line="360" w:lineRule="auto"/>
      <w:shd w:val="clear" w:color="000000" w:fill="000080"/>
    </w:pPr>
    <w:rPr>
      <w:rFonts w:ascii="Calibri" w:hAnsi="Calibri"/>
    </w:rPr>
  </w:style>
  <w:style w:type="paragraph" w:styleId="1376" w:customStyle="1">
    <w:name w:val="正文_0_0"/>
    <w:next w:val="1208"/>
    <w:qFormat/>
    <w:pPr>
      <w:ind w:firstLine="3584"/>
      <w:jc w:val="both"/>
      <w:widowControl w:val="off"/>
    </w:pPr>
    <w:rPr>
      <w:rFonts w:ascii="Calibri" w:hAnsi="Calibri"/>
    </w:rPr>
  </w:style>
  <w:style w:type="paragraph" w:styleId="1377" w:customStyle="1">
    <w:name w:val="font7"/>
    <w:basedOn w:val="989"/>
    <w:next w:val="1378"/>
    <w:qFormat/>
    <w:pPr>
      <w:ind w:left="0" w:firstLine="3584"/>
      <w:spacing w:before="280" w:after="280" w:line="240" w:lineRule="auto"/>
    </w:pPr>
    <w:rPr>
      <w:rFonts w:ascii="Times New Roman" w:hAnsi="Times New Roman" w:cs="Times New Roman"/>
    </w:rPr>
  </w:style>
  <w:style w:type="paragraph" w:styleId="1378" w:customStyle="1">
    <w:name w:val="Char Char Char Char Char Char1 Char Char Char Char Char Char1 Char Char Char1"/>
    <w:basedOn w:val="989"/>
    <w:next w:val="1379"/>
    <w:qFormat/>
    <w:pPr>
      <w:ind w:left="0" w:firstLine="2560"/>
      <w:spacing w:before="0" w:after="0" w:line="240" w:lineRule="auto"/>
    </w:pPr>
    <w:rPr>
      <w:rFonts w:ascii="Times New Roman" w:hAnsi="Times New Roman" w:cs="Times New Roman"/>
    </w:rPr>
  </w:style>
  <w:style w:type="paragraph" w:styleId="1379" w:customStyle="1">
    <w:name w:val="xl64"/>
    <w:basedOn w:val="989"/>
    <w:next w:val="1346"/>
    <w:qFormat/>
    <w:pPr>
      <w:ind w:left="0" w:firstLine="3584"/>
      <w:spacing w:before="280" w:after="280" w:line="240" w:lineRule="auto"/>
    </w:pPr>
    <w:rPr>
      <w:rFonts w:ascii="Times New Roman" w:hAnsi="Times New Roman" w:cs="Times New Roman"/>
    </w:rPr>
  </w:style>
  <w:style w:type="paragraph" w:styleId="1380" w:customStyle="1">
    <w:name w:val="style16"/>
    <w:basedOn w:val="989"/>
    <w:next w:val="1373"/>
    <w:qFormat/>
    <w:pPr>
      <w:ind w:left="0" w:firstLine="2048"/>
      <w:spacing w:before="280" w:after="280" w:line="240" w:lineRule="auto"/>
    </w:pPr>
    <w:rPr>
      <w:rFonts w:ascii="Times New Roman" w:hAnsi="Times New Roman" w:cs="Times New Roman"/>
    </w:rPr>
  </w:style>
  <w:style w:type="paragraph" w:styleId="1381" w:customStyle="1">
    <w:name w:val="索引 11"/>
    <w:basedOn w:val="989"/>
    <w:next w:val="988"/>
    <w:qFormat/>
    <w:pPr>
      <w:ind w:left="0" w:firstLine="3584"/>
      <w:spacing w:before="0" w:after="0" w:line="240" w:lineRule="auto"/>
    </w:pPr>
    <w:rPr>
      <w:rFonts w:ascii="Times New Roman" w:hAnsi="Times New Roman" w:cs="Times New Roman"/>
    </w:rPr>
  </w:style>
  <w:style w:type="paragraph" w:styleId="1382" w:customStyle="1">
    <w:name w:val="H 3"/>
    <w:basedOn w:val="992"/>
    <w:next w:val="1383"/>
    <w:qFormat/>
    <w:pPr>
      <w:ind w:left="1429" w:firstLine="18"/>
      <w:spacing w:before="0" w:after="0" w:line="360" w:lineRule="auto"/>
      <w:outlineLvl w:val="2"/>
    </w:pPr>
  </w:style>
  <w:style w:type="paragraph" w:styleId="1383" w:customStyle="1">
    <w:name w:val="xl83"/>
    <w:basedOn w:val="989"/>
    <w:next w:val="1364"/>
    <w:qFormat/>
    <w:pPr>
      <w:ind w:left="0" w:firstLine="5120"/>
      <w:spacing w:before="280" w:after="280" w:line="240" w:lineRule="auto"/>
    </w:pPr>
    <w:rPr>
      <w:rFonts w:ascii="Times New Roman" w:hAnsi="Times New Roman" w:cs="Times New Roman"/>
    </w:rPr>
  </w:style>
  <w:style w:type="paragraph" w:styleId="1384" w:customStyle="1">
    <w:name w:val="表格文字（居中）"/>
    <w:basedOn w:val="989"/>
    <w:next w:val="1380"/>
    <w:qFormat/>
    <w:pPr>
      <w:ind w:left="0" w:firstLine="2560"/>
      <w:jc w:val="center"/>
      <w:spacing w:before="0" w:after="0" w:line="360" w:lineRule="auto"/>
    </w:pPr>
    <w:rPr>
      <w:rFonts w:ascii="Times New Roman" w:hAnsi="Times New Roman" w:cs="Times New Roman"/>
    </w:rPr>
  </w:style>
  <w:style w:type="paragraph" w:styleId="1385" w:customStyle="1">
    <w:name w:val="正文首行缩进两字符"/>
    <w:basedOn w:val="989"/>
    <w:next w:val="1367"/>
    <w:qFormat/>
    <w:pPr>
      <w:ind w:left="200" w:firstLine="3784"/>
      <w:spacing w:before="0" w:after="0" w:line="360" w:lineRule="auto"/>
    </w:pPr>
    <w:rPr>
      <w:rFonts w:ascii="Times New Roman" w:hAnsi="Times New Roman" w:cs="Times New Roman"/>
    </w:rPr>
  </w:style>
  <w:style w:type="paragraph" w:styleId="1386" w:customStyle="1">
    <w:name w:val="1"/>
    <w:basedOn w:val="989"/>
    <w:next w:val="1022"/>
    <w:qFormat/>
    <w:pPr>
      <w:ind w:left="0" w:firstLine="2048"/>
      <w:spacing w:before="0" w:after="0" w:line="240" w:lineRule="auto"/>
    </w:pPr>
    <w:rPr>
      <w:rFonts w:ascii="Times New Roman" w:hAnsi="Times New Roman" w:cs="Times New Roman"/>
    </w:rPr>
  </w:style>
  <w:style w:type="paragraph" w:styleId="1387" w:customStyle="1">
    <w:name w:val="_Style 398"/>
    <w:basedOn w:val="989"/>
    <w:next w:val="98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8" w:customStyle="1">
    <w:name w:val="Table Paragraph"/>
    <w:basedOn w:val="988"/>
    <w:uiPriority w:val="1"/>
    <w:qFormat/>
    <w:rPr>
      <w:rFonts w:ascii="宋体" w:hAnsi="宋体"/>
      <w:lang w:val="zh-CN" w:bidi="zh-CN"/>
    </w:rPr>
  </w:style>
  <w:style w:type="paragraph" w:styleId="1389" w:customStyle="1">
    <w:name w:val="_Style 400"/>
    <w:qFormat/>
    <w:rPr>
      <w:rFonts w:ascii="Calibri" w:hAnsi="Calibri"/>
    </w:rPr>
  </w:style>
  <w:style w:type="paragraph" w:styleId="1390" w:customStyle="1">
    <w:name w:val="Style1"/>
    <w:basedOn w:val="988"/>
    <w:qFormat/>
    <w:pPr>
      <w:ind w:left="0"/>
      <w:tabs>
        <w:tab w:val="left" w:pos="-720" w:leader="none"/>
      </w:tabs>
    </w:pPr>
    <w:rPr>
      <w:rFonts w:ascii="Times New Roman" w:hAnsi="Times New Roman" w:cs="Times New Roman"/>
      <w:spacing w:val="-3"/>
      <w:sz w:val="24"/>
      <w:szCs w:val="24"/>
      <w:lang w:val="en-AU" w:eastAsia="en-US"/>
    </w:rPr>
  </w:style>
  <w:style w:type="paragraph" w:styleId="1391" w:customStyle="1">
    <w:name w:val="msolistparagraph"/>
    <w:basedOn w:val="989"/>
    <w:next w:val="1256"/>
    <w:qFormat/>
    <w:pPr>
      <w:ind w:left="420" w:firstLine="3748"/>
      <w:spacing w:before="0" w:after="0" w:line="240" w:lineRule="auto"/>
    </w:pPr>
    <w:rPr>
      <w:rFonts w:ascii="Times New Roman" w:hAnsi="Times New Roman" w:cs="Times New Roman"/>
    </w:rPr>
  </w:style>
  <w:style w:type="paragraph" w:styleId="1392" w:customStyle="1">
    <w:name w:val="Char1 Char Char Char"/>
    <w:basedOn w:val="989"/>
    <w:next w:val="1393"/>
    <w:qFormat/>
    <w:pPr>
      <w:ind w:left="0" w:firstLine="2560"/>
      <w:spacing w:before="0" w:after="0" w:line="240" w:lineRule="auto"/>
    </w:pPr>
    <w:rPr>
      <w:rFonts w:ascii="Times New Roman" w:hAnsi="Times New Roman" w:cs="Times New Roman"/>
    </w:rPr>
  </w:style>
  <w:style w:type="paragraph" w:styleId="1393" w:customStyle="1">
    <w:name w:val="xl24"/>
    <w:basedOn w:val="989"/>
    <w:next w:val="1338"/>
    <w:qFormat/>
    <w:pPr>
      <w:ind w:left="0" w:firstLine="20"/>
      <w:jc w:val="center"/>
      <w:spacing w:before="280" w:after="280" w:line="240" w:lineRule="auto"/>
      <w:shd w:val="clear" w:color="000000" w:fill="ffffff"/>
    </w:pPr>
    <w:rPr>
      <w:rFonts w:ascii="Times New Roman" w:hAnsi="Times New Roman" w:cs="Times New Roman"/>
    </w:rPr>
  </w:style>
  <w:style w:type="paragraph" w:styleId="1394" w:customStyle="1">
    <w:name w:val="表格文字"/>
    <w:next w:val="1352"/>
    <w:qFormat/>
    <w:pPr>
      <w:ind w:firstLine="3584"/>
    </w:pPr>
    <w:rPr>
      <w:rFonts w:ascii="Calibri" w:hAnsi="Calibri"/>
    </w:rPr>
  </w:style>
  <w:style w:type="paragraph" w:styleId="1395" w:customStyle="1">
    <w:name w:val="xl72"/>
    <w:basedOn w:val="989"/>
    <w:next w:val="1251"/>
    <w:qFormat/>
    <w:pPr>
      <w:ind w:left="0" w:firstLine="3584"/>
      <w:spacing w:before="280" w:after="280" w:line="240" w:lineRule="auto"/>
    </w:pPr>
    <w:rPr>
      <w:rFonts w:ascii="Times New Roman" w:hAnsi="Times New Roman" w:cs="Times New Roman"/>
    </w:rPr>
  </w:style>
  <w:style w:type="paragraph" w:styleId="1396" w:customStyle="1">
    <w:name w:val="插图"/>
    <w:next w:val="988"/>
    <w:qFormat/>
    <w:pPr>
      <w:ind w:firstLine="4608"/>
      <w:jc w:val="center"/>
    </w:pPr>
    <w:rPr>
      <w:rFonts w:ascii="Calibri" w:hAnsi="Calibri"/>
    </w:rPr>
  </w:style>
  <w:style w:type="paragraph" w:styleId="1397" w:customStyle="1">
    <w:name w:val="列出段落3"/>
    <w:basedOn w:val="989"/>
    <w:next w:val="1291"/>
    <w:qFormat/>
    <w:pPr>
      <w:ind w:left="420" w:firstLine="3748"/>
      <w:spacing w:before="0" w:after="0" w:line="240" w:lineRule="auto"/>
    </w:pPr>
    <w:rPr>
      <w:rFonts w:ascii="Times New Roman" w:hAnsi="Times New Roman" w:cs="Times New Roman"/>
    </w:rPr>
  </w:style>
  <w:style w:type="paragraph" w:styleId="1398" w:customStyle="1">
    <w:name w:val="目录标题"/>
    <w:basedOn w:val="989"/>
    <w:next w:val="988"/>
    <w:qFormat/>
    <w:pPr>
      <w:ind w:left="419" w:firstLine="7331"/>
      <w:jc w:val="center"/>
      <w:spacing w:before="566" w:after="544" w:line="566" w:lineRule="atLeast"/>
    </w:pPr>
    <w:rPr>
      <w:rFonts w:ascii="Times New Roman" w:hAnsi="Times New Roman" w:cs="Times New Roman"/>
    </w:rPr>
  </w:style>
  <w:style w:type="paragraph" w:styleId="1399" w:customStyle="1">
    <w:name w:val="默认段落字体 Para Char Char Char Char Char Char Char Char Char1 Char Char Char Char"/>
    <w:basedOn w:val="989"/>
    <w:next w:val="1294"/>
    <w:qFormat/>
    <w:pPr>
      <w:ind w:left="0" w:firstLine="2560"/>
      <w:spacing w:before="0" w:after="0" w:line="240" w:lineRule="auto"/>
    </w:pPr>
    <w:rPr>
      <w:rFonts w:ascii="Times New Roman" w:hAnsi="Times New Roman" w:cs="Times New Roman"/>
    </w:rPr>
  </w:style>
  <w:style w:type="paragraph" w:styleId="1400" w:customStyle="1">
    <w:name w:val="WPSOffice手动目录 2"/>
    <w:qFormat/>
    <w:pPr>
      <w:ind w:left="200"/>
    </w:pPr>
  </w:style>
  <w:style w:type="paragraph" w:styleId="1401" w:customStyle="1">
    <w:name w:val="表内文字"/>
    <w:basedOn w:val="989"/>
    <w:next w:val="1030"/>
    <w:qFormat/>
    <w:pPr>
      <w:ind w:left="0" w:firstLine="7680"/>
      <w:jc w:val="center"/>
      <w:spacing w:before="50" w:after="50" w:line="240" w:lineRule="auto"/>
    </w:pPr>
    <w:rPr>
      <w:rFonts w:ascii="Times New Roman" w:hAnsi="Times New Roman" w:cs="Times New Roman"/>
    </w:rPr>
  </w:style>
  <w:style w:type="paragraph" w:styleId="1402" w:customStyle="1">
    <w:name w:val="xl66"/>
    <w:basedOn w:val="989"/>
    <w:next w:val="1384"/>
    <w:qFormat/>
    <w:pPr>
      <w:ind w:left="0" w:firstLine="3584"/>
      <w:spacing w:before="280" w:after="280" w:line="240" w:lineRule="auto"/>
    </w:pPr>
    <w:rPr>
      <w:rFonts w:ascii="Times New Roman" w:hAnsi="Times New Roman" w:cs="Times New Roman"/>
    </w:rPr>
  </w:style>
  <w:style w:type="paragraph" w:styleId="1403" w:customStyle="1">
    <w:name w:val="*正文"/>
    <w:basedOn w:val="988"/>
    <w:qFormat/>
    <w:pPr>
      <w:ind w:left="0" w:firstLine="200"/>
      <w:spacing w:line="360" w:lineRule="auto"/>
    </w:pPr>
    <w:rPr>
      <w:rFonts w:ascii="仿宋_GB2312" w:hAnsi="Times New Roman" w:eastAsia="仿宋_GB2312" w:cs="Times New Roman"/>
      <w:sz w:val="24"/>
      <w:szCs w:val="28"/>
    </w:rPr>
  </w:style>
  <w:style w:type="paragraph" w:styleId="1404" w:customStyle="1">
    <w:name w:val="0"/>
    <w:basedOn w:val="989"/>
    <w:next w:val="1297"/>
    <w:qFormat/>
    <w:pPr>
      <w:ind w:left="0" w:firstLine="2815"/>
      <w:spacing w:before="0" w:after="0" w:line="360" w:lineRule="auto"/>
    </w:pPr>
    <w:rPr>
      <w:rFonts w:ascii="Times New Roman" w:hAnsi="Times New Roman" w:cs="Times New Roman"/>
    </w:rPr>
  </w:style>
  <w:style w:type="table" w:styleId="1405" w:customStyle="1">
    <w:name w:val="网格型1"/>
    <w:basedOn w:val="99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6" w:customStyle="1">
    <w:name w:val="font61"/>
    <w:qFormat/>
    <w:rPr>
      <w:rFonts w:hint="default" w:ascii="Times New Roman" w:hAnsi="Times New Roman" w:cs="Times New Roman"/>
      <w:b/>
      <w:bCs/>
      <w:color w:val="000000"/>
      <w:sz w:val="24"/>
      <w:szCs w:val="24"/>
      <w:u w:val="none"/>
    </w:rPr>
  </w:style>
  <w:style w:type="character" w:styleId="1407" w:customStyle="1">
    <w:name w:val="正文文本首行缩进 2 字符"/>
    <w:basedOn w:val="998"/>
    <w:link w:val="1048"/>
    <w:qFormat/>
    <w:rPr>
      <w:rFonts w:ascii="Times New Roman" w:hAnsi="Times New Roman" w:cs="Times New Roman"/>
    </w:rPr>
  </w:style>
  <w:style w:type="paragraph" w:styleId="1408" w:customStyle="1">
    <w:name w:val="replp"/>
    <w:basedOn w:val="988"/>
    <w:pPr>
      <w:ind w:left="0"/>
      <w:jc w:val="left"/>
      <w:spacing w:before="100" w:beforeAutospacing="1" w:after="100" w:afterAutospacing="1"/>
    </w:pPr>
    <w:rPr>
      <w:rFonts w:ascii="宋体" w:hAnsi="宋体"/>
      <w:sz w:val="24"/>
      <w:szCs w:val="24"/>
    </w:rPr>
  </w:style>
  <w:style w:type="character" w:styleId="1409" w:customStyle="1">
    <w:name w:val="repla"/>
    <w:basedOn w:val="998"/>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s://std.samr.gov.cn/gb/search/gbDetailed?id=71F772D82EEAD3A7E05397BE0A0AB82A" TargetMode="External"/><Relationship Id="rId17" Type="http://schemas.openxmlformats.org/officeDocument/2006/relationships/hyperlink" Target="https://std.samr.gov.cn/gb/search/gbDetailed?id=88F4E6DA63444198E05397BE0A0ADE2D" TargetMode="External"/><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5BB7E7E-94CC-45CC-BD3B-C7B9046CA0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21</cp:revision>
  <dcterms:created xsi:type="dcterms:W3CDTF">2026-05-22T07:14:00Z</dcterms:created>
  <dcterms:modified xsi:type="dcterms:W3CDTF">2026-05-27T01:32:14Z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