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20"/>
        <w:jc w:val="center"/>
        <w:spacing w:line="360" w:lineRule="auto"/>
        <w:rPr>
          <w:rFonts w:hint="eastAsia" w:ascii="宋体" w:hAnsi="宋体" w:eastAsia="宋体"/>
          <w:b/>
          <w:color w:val="000000"/>
          <w:sz w:val="72"/>
          <w:szCs w:val="20"/>
        </w:rPr>
      </w:pPr>
      <w:r/>
      <w:bookmarkStart w:id="0" w:name="_Toc97193184"/>
      <w:r/>
      <w:bookmarkStart w:id="1" w:name="_Toc97191717"/>
      <w:r/>
      <w:bookmarkStart w:id="2" w:name="_Toc2583690"/>
      <w:r/>
      <w:bookmarkStart w:id="3" w:name="_Toc97191716"/>
      <w:r/>
      <w:bookmarkStart w:id="4" w:name="_Toc97193183"/>
      <w:r/>
      <w:bookmarkStart w:id="5" w:name="_Toc97191718"/>
      <w:r/>
      <w:bookmarkStart w:id="6" w:name="_Toc97193185"/>
      <w:r/>
      <w:bookmarkStart w:id="7" w:name="_Toc97193186"/>
      <w:r/>
      <w:bookmarkStart w:id="8" w:name="_Toc97191719"/>
      <w:r/>
      <w:bookmarkStart w:id="9" w:name="_Hlk145533390"/>
      <w:r/>
      <w:bookmarkStart w:id="10" w:name="_Toc97191725"/>
      <w:r/>
      <w:bookmarkStart w:id="11" w:name="_Toc97193187"/>
      <w:r/>
      <w:bookmarkStart w:id="12" w:name="_Toc97191730"/>
      <w:r/>
      <w:bookmarkStart w:id="13" w:name="_Toc97193188"/>
      <w:r/>
      <w:bookmarkStart w:id="14" w:name="_Toc97191731"/>
      <w:r/>
      <w:bookmarkStart w:id="15" w:name="_Toc97193189"/>
      <w:r>
        <w:rPr>
          <w:rFonts w:hint="eastAsia" w:ascii="宋体" w:hAnsi="宋体" w:eastAsia="宋体"/>
          <w:b/>
          <w:color w:val="000000"/>
          <w:sz w:val="72"/>
          <w:szCs w:val="20"/>
        </w:rPr>
        <w:t xml:space="preserve">苏 州 市 政 府 采 购 招 标 文 件</w:t>
      </w:r>
      <w:r/>
    </w:p>
    <w:p>
      <w:pPr>
        <w:ind w:left="420"/>
        <w:jc w:val="center"/>
        <w:rPr>
          <w:rFonts w:hint="eastAsia" w:ascii="宋体" w:hAnsi="宋体" w:eastAsia="宋体"/>
          <w:b/>
          <w:color w:val="000000"/>
          <w:spacing w:val="40"/>
          <w:sz w:val="15"/>
          <w:szCs w:val="15"/>
        </w:rPr>
      </w:pPr>
      <w:r>
        <w:rPr>
          <w:rFonts w:hint="eastAsia" w:ascii="宋体" w:hAnsi="宋体" w:eastAsia="宋体"/>
          <w:b/>
          <w:color w:val="000000"/>
          <w:spacing w:val="40"/>
          <w:sz w:val="15"/>
          <w:szCs w:val="15"/>
        </w:rPr>
      </w:r>
      <w:r/>
    </w:p>
    <w:p>
      <w:pPr>
        <w:ind w:left="420"/>
        <w:jc w:val="center"/>
        <w:rPr>
          <w:rFonts w:hint="eastAsia" w:ascii="宋体" w:hAnsi="宋体" w:eastAsia="宋体"/>
          <w:b/>
          <w:color w:val="000000"/>
          <w:spacing w:val="40"/>
          <w:sz w:val="15"/>
          <w:szCs w:val="15"/>
        </w:rPr>
      </w:pPr>
      <w:r>
        <w:rPr>
          <w:rFonts w:hint="eastAsia" w:ascii="宋体" w:hAnsi="宋体" w:eastAsia="宋体"/>
          <w:b/>
          <w:color w:val="000000"/>
          <w:spacing w:val="40"/>
          <w:sz w:val="15"/>
          <w:szCs w:val="15"/>
        </w:rPr>
      </w:r>
      <w:r/>
    </w:p>
    <w:p>
      <w:pPr>
        <w:ind w:left="420"/>
        <w:jc w:val="center"/>
        <w:rPr>
          <w:rFonts w:hint="eastAsia" w:ascii="宋体" w:hAnsi="宋体" w:eastAsia="宋体"/>
          <w:color w:val="000000"/>
          <w:szCs w:val="24"/>
        </w:rPr>
      </w:pPr>
      <w:r>
        <w:rPr>
          <w:rFonts w:hint="eastAsia" w:ascii="宋体" w:hAnsi="宋体" w:eastAsia="宋体"/>
          <w:color w:val="000000"/>
          <w:szCs w:val="24"/>
        </w:rPr>
      </w:r>
      <w:r/>
    </w:p>
    <w:p>
      <w:pPr>
        <w:rPr>
          <w:rFonts w:hint="eastAsia" w:ascii="宋体" w:hAnsi="宋体" w:eastAsia="宋体"/>
          <w:color w:val="000000"/>
        </w:rPr>
      </w:pPr>
      <w:r>
        <w:rPr>
          <w:rFonts w:hint="eastAsia" w:ascii="宋体" w:hAnsi="宋体" w:eastAsia="宋体"/>
          <w:color w:val="000000"/>
        </w:rPr>
      </w:r>
      <w:r/>
    </w:p>
    <w:p>
      <w:pPr>
        <w:ind w:left="420"/>
        <w:jc w:val="center"/>
        <w:rPr>
          <w:rFonts w:hint="eastAsia" w:ascii="宋体" w:hAnsi="宋体" w:eastAsia="宋体"/>
          <w:color w:val="000000"/>
        </w:rPr>
      </w:pPr>
      <w:r>
        <w:rPr>
          <w:rFonts w:hint="eastAsia" w:ascii="宋体" w:hAnsi="宋体" w:eastAsia="宋体"/>
          <w:color w:val="000000"/>
        </w:rPr>
      </w:r>
      <w:r/>
    </w:p>
    <w:p>
      <w:pPr>
        <w:ind w:left="420"/>
        <w:jc w:val="center"/>
        <w:rPr>
          <w:rFonts w:hint="eastAsia" w:ascii="宋体" w:hAnsi="宋体" w:eastAsia="宋体"/>
          <w:color w:val="000000"/>
        </w:rPr>
      </w:pPr>
      <w:r>
        <w:rPr>
          <w:rFonts w:hint="eastAsia" w:ascii="宋体" w:hAnsi="宋体" w:eastAsia="宋体"/>
          <w:color w:val="000000"/>
        </w:rPr>
      </w:r>
      <w:r/>
    </w:p>
    <w:p>
      <w:pPr>
        <w:ind w:left="420"/>
        <w:jc w:val="center"/>
        <w:rPr>
          <w:rFonts w:hint="eastAsia" w:ascii="宋体" w:hAnsi="宋体" w:eastAsia="宋体"/>
          <w:color w:val="000000"/>
        </w:rPr>
      </w:pPr>
      <w:r>
        <w:rPr>
          <w:rFonts w:hint="eastAsia" w:ascii="宋体" w:hAnsi="宋体" w:eastAsia="宋体"/>
          <w:color w:val="000000"/>
        </w:rPr>
      </w:r>
      <w:r/>
    </w:p>
    <w:p>
      <w:pPr>
        <w:ind w:left="958"/>
        <w:jc w:val="left"/>
        <w:spacing w:line="360" w:lineRule="auto"/>
        <w:rPr>
          <w:rFonts w:hint="eastAsia" w:ascii="宋体" w:hAnsi="宋体" w:eastAsia="宋体" w:cs="宋体"/>
          <w:b/>
          <w:color w:val="000000"/>
          <w:sz w:val="32"/>
        </w:rPr>
      </w:pPr>
      <w:r>
        <w:rPr>
          <w:rFonts w:hint="eastAsia" w:ascii="宋体" w:hAnsi="宋体" w:eastAsia="宋体" w:cs="宋体"/>
          <w:b/>
          <w:color w:val="000000"/>
          <w:sz w:val="32"/>
        </w:rPr>
        <w:t xml:space="preserve">招标编号: </w:t>
      </w:r>
      <w:r>
        <w:rPr>
          <w:rFonts w:hint="eastAsia" w:ascii="宋体" w:hAnsi="宋体" w:eastAsia="宋体" w:cs="宋体"/>
          <w:b/>
          <w:color w:val="000000"/>
          <w:sz w:val="32"/>
          <w:lang w:eastAsia="zh-CN"/>
        </w:rPr>
        <w:t xml:space="preserve">JSZC-320500-CCCC-G2026-0016</w:t>
      </w:r>
      <w:r>
        <w:rPr>
          <w:rFonts w:hint="eastAsia" w:ascii="宋体" w:hAnsi="宋体" w:eastAsia="宋体" w:cs="宋体"/>
          <w:b/>
          <w:color w:val="000000"/>
          <w:sz w:val="32"/>
        </w:rPr>
        <w:t xml:space="preserve">               </w:t>
      </w:r>
      <w:r/>
    </w:p>
    <w:p>
      <w:pPr>
        <w:ind w:left="958"/>
        <w:jc w:val="left"/>
        <w:spacing w:line="360" w:lineRule="auto"/>
        <w:rPr>
          <w:rFonts w:hint="eastAsia" w:ascii="宋体" w:hAnsi="宋体" w:eastAsia="宋体" w:cs="宋体"/>
          <w:b/>
          <w:color w:val="000000"/>
          <w:sz w:val="32"/>
        </w:rPr>
      </w:pPr>
      <w:r>
        <w:rPr>
          <w:rFonts w:hint="eastAsia" w:ascii="宋体" w:hAnsi="宋体" w:eastAsia="宋体" w:cs="宋体"/>
          <w:b/>
          <w:color w:val="000000"/>
          <w:sz w:val="32"/>
        </w:rPr>
        <w:t xml:space="preserve">招标单位:  苏州市园林综合服务中心</w:t>
      </w:r>
      <w:r/>
    </w:p>
    <w:p>
      <w:pPr>
        <w:ind w:left="2564" w:hanging="1606"/>
        <w:jc w:val="left"/>
        <w:rPr>
          <w:rFonts w:hint="eastAsia" w:ascii="宋体" w:hAnsi="宋体" w:eastAsia="宋体" w:cs="宋体"/>
          <w:b/>
          <w:color w:val="000000"/>
          <w:sz w:val="32"/>
        </w:rPr>
      </w:pPr>
      <w:r>
        <w:rPr>
          <w:rFonts w:hint="eastAsia" w:ascii="宋体" w:hAnsi="宋体" w:eastAsia="宋体" w:cs="宋体"/>
          <w:b/>
          <w:color w:val="000000"/>
          <w:sz w:val="32"/>
        </w:rPr>
        <w:t xml:space="preserve">招标内容:2026年度苏州园林票务管理系统一体化运营管理服务</w:t>
      </w:r>
      <w:r/>
    </w:p>
    <w:p>
      <w:pPr>
        <w:pStyle w:val="892"/>
        <w:ind w:left="420"/>
        <w:rPr>
          <w:rFonts w:hint="eastAsia" w:ascii="宋体" w:hAnsi="宋体" w:eastAsia="宋体"/>
          <w:color w:val="000000"/>
        </w:rPr>
      </w:pPr>
      <w:r>
        <w:rPr>
          <w:rFonts w:hint="eastAsia" w:ascii="宋体" w:hAnsi="宋体" w:eastAsia="宋体"/>
          <w:color w:val="000000"/>
        </w:rPr>
      </w:r>
      <w:r/>
    </w:p>
    <w:p>
      <w:pPr>
        <w:rPr>
          <w:rFonts w:hint="eastAsia" w:ascii="宋体" w:hAnsi="宋体"/>
          <w:color w:val="000000"/>
        </w:rPr>
      </w:pPr>
      <w:r>
        <w:rPr>
          <w:rFonts w:hint="eastAsia" w:ascii="宋体" w:hAnsi="宋体" w:cs="宋体"/>
          <w:color w:val="000000"/>
          <w:sz w:val="24"/>
        </w:rPr>
        <w:t xml:space="preserve">                       </w:t>
      </w:r>
      <w:r>
        <w:rPr>
          <w:rFonts w:ascii="宋体" w:hAnsi="宋体" w:cs="宋体"/>
          <w:color w:val="000000"/>
          <w:sz w:val="24"/>
        </w:rPr>
        <mc:AlternateContent>
          <mc:Choice Requires="wpg">
            <w:drawing>
              <wp:inline xmlns:wp="http://schemas.openxmlformats.org/drawingml/2006/wordprocessingDrawing" distT="0" distB="0" distL="0" distR="0">
                <wp:extent cx="1644650" cy="1715135"/>
                <wp:effectExtent l="0" t="0" r="12700" b="18415"/>
                <wp:docPr id="3" name="图片 1" descr="QQ图片2015042111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QQ图片20150421115336"/>
                        <pic:cNvPicPr>
                          <a:picLocks noChangeAspect="1"/>
                        </pic:cNvPicPr>
                        <pic:nvPr/>
                      </pic:nvPicPr>
                      <pic:blipFill>
                        <a:blip r:embed="rId12"/>
                        <a:stretch/>
                      </pic:blipFill>
                      <pic:spPr bwMode="auto">
                        <a:xfrm>
                          <a:off x="0" y="0"/>
                          <a:ext cx="1644650" cy="1715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9.5pt;height:135.0pt;mso-wrap-distance-left:0.0pt;mso-wrap-distance-top:0.0pt;mso-wrap-distance-right:0.0pt;mso-wrap-distance-bottom:0.0pt;" stroked="f">
                <v:path textboxrect="0,0,0,0"/>
                <v:imagedata r:id="rId12" o:title=""/>
              </v:shape>
            </w:pict>
          </mc:Fallback>
        </mc:AlternateContent>
      </w:r>
      <w:r/>
    </w:p>
    <w:p>
      <w:pPr>
        <w:ind w:left="420"/>
        <w:rPr>
          <w:rFonts w:hint="eastAsia" w:ascii="宋体" w:hAnsi="宋体"/>
          <w:color w:val="000000"/>
        </w:rPr>
      </w:pPr>
      <w:r>
        <w:rPr>
          <w:rFonts w:hint="eastAsia" w:ascii="宋体" w:hAnsi="宋体"/>
          <w:color w:val="000000"/>
        </w:rPr>
      </w:r>
      <w:r/>
    </w:p>
    <w:p>
      <w:pPr>
        <w:ind w:left="420"/>
        <w:rPr>
          <w:rFonts w:hint="eastAsia" w:ascii="宋体" w:hAnsi="宋体"/>
          <w:b/>
          <w:color w:val="000000"/>
        </w:rPr>
      </w:pPr>
      <w:r>
        <w:rPr>
          <w:rFonts w:hint="eastAsia" w:ascii="宋体" w:hAnsi="宋体"/>
          <w:b/>
          <w:color w:val="000000"/>
        </w:rPr>
      </w:r>
      <w:r/>
    </w:p>
    <w:p>
      <w:pPr>
        <w:ind w:firstLine="1921"/>
        <w:rPr>
          <w:rFonts w:hint="eastAsia" w:ascii="宋体" w:hAnsi="宋体"/>
          <w:b/>
          <w:color w:val="000000"/>
          <w:sz w:val="32"/>
        </w:rPr>
      </w:pPr>
      <w:r>
        <w:rPr>
          <w:rFonts w:hint="eastAsia" w:ascii="宋体" w:hAnsi="宋体"/>
          <w:b/>
          <w:color w:val="000000"/>
          <w:sz w:val="32"/>
        </w:rPr>
      </w:r>
      <w:r/>
    </w:p>
    <w:p>
      <w:pPr>
        <w:ind w:firstLine="1928"/>
        <w:spacing w:line="360" w:lineRule="auto"/>
        <w:rPr>
          <w:rFonts w:hint="eastAsia" w:ascii="宋体" w:hAnsi="宋体" w:eastAsia="宋体" w:cs="宋体"/>
          <w:b/>
          <w:color w:val="000000"/>
          <w:sz w:val="32"/>
        </w:rPr>
      </w:pPr>
      <w:r>
        <w:rPr>
          <w:rFonts w:hint="eastAsia" w:ascii="宋体" w:hAnsi="宋体" w:eastAsia="宋体" w:cs="宋体"/>
          <w:b/>
          <w:color w:val="000000"/>
          <w:sz w:val="32"/>
        </w:rPr>
        <w:t xml:space="preserve">苏州市永诚建设咨询有限公司</w:t>
      </w:r>
      <w:r/>
    </w:p>
    <w:p>
      <w:pPr>
        <w:ind w:firstLine="2891"/>
        <w:spacing w:line="360" w:lineRule="auto"/>
        <w:rPr>
          <w:rFonts w:hint="eastAsia" w:ascii="宋体" w:hAnsi="宋体" w:eastAsia="宋体" w:cs="宋体"/>
          <w:b/>
          <w:color w:val="000000"/>
          <w:sz w:val="32"/>
        </w:rPr>
      </w:pPr>
      <w:r>
        <w:rPr>
          <w:rFonts w:hint="eastAsia" w:ascii="宋体" w:hAnsi="宋体" w:eastAsia="宋体" w:cs="宋体"/>
          <w:b/>
          <w:color w:val="000000"/>
          <w:sz w:val="32"/>
        </w:rPr>
        <w:t xml:space="preserve">二○二六年五月</w:t>
      </w:r>
      <w:r/>
    </w:p>
    <w:p>
      <w:pPr>
        <w:ind w:firstLine="562"/>
        <w:jc w:val="right"/>
        <w:spacing w:line="480" w:lineRule="atLeast"/>
        <w:shd w:val="clear" w:color="auto" w:fill="ffffff"/>
        <w:widowControl/>
        <w:rPr>
          <w:rFonts w:hint="eastAsia" w:ascii="宋体" w:hAnsi="宋体" w:eastAsia="宋体" w:cs="宋体"/>
          <w:color w:val="000000"/>
          <w:sz w:val="20"/>
          <w:szCs w:val="21"/>
          <w:highlight w:val="cyan"/>
        </w:rPr>
      </w:pPr>
      <w:r>
        <w:rPr>
          <w:rFonts w:hint="eastAsia" w:ascii="宋体" w:hAnsi="宋体" w:eastAsia="宋体"/>
          <w:b/>
          <w:bCs/>
          <w:color w:val="000000"/>
          <w:sz w:val="28"/>
          <w:szCs w:val="28"/>
        </w:rPr>
        <w:br w:type="page" w:clear="all"/>
      </w:r>
      <w:bookmarkEnd w:id="0"/>
      <w:r/>
      <w:bookmarkEnd w:id="1"/>
      <w:r/>
      <w:bookmarkEnd w:id="2"/>
      <w:r/>
      <w:bookmarkEnd w:id="3"/>
      <w:r/>
      <w:bookmarkEnd w:id="4"/>
      <w:r/>
      <w:r/>
    </w:p>
    <w:p>
      <w:pPr>
        <w:jc w:val="center"/>
        <w:spacing w:line="360" w:lineRule="auto"/>
        <w:shd w:val="clear" w:color="auto" w:fill="ffffff"/>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投标须知前附表</w:t>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下述关于要招标的2026年度苏州园林票务管理系统一体化运营管理服务的具体资料是对招标文件第一部分投标人须知的具体补充和修改，如果有矛盾的话，应以本附表为准。</w:t>
      </w:r>
      <w:r/>
    </w:p>
    <w:tbl>
      <w:tblPr>
        <w:tblStyle w:val="883"/>
        <w:tblW w:w="978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1559"/>
        <w:gridCol w:w="7541"/>
      </w:tblGrid>
      <w:tr>
        <w:trPr>
          <w:jc w:val="center"/>
          <w:trHeight w:val="52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项号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名称</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内容</w:t>
            </w:r>
            <w:r/>
          </w:p>
        </w:tc>
      </w:tr>
      <w:tr>
        <w:trPr>
          <w:jc w:val="center"/>
          <w:trHeight w:val="52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招标单位</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名称：苏州市园林综合服务中心</w:t>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地址：苏州市竹辉路55号</w:t>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联系人：吴正启</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联系电话：0512-61790333 </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招标编号</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JSZC-320500-CCCC-G2026-0016</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招标内容</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2026年度苏州园林票务管理系统一体化运营管理服务</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预算</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项目预算：人民币叁佰玖拾万元整（3900000.00元）</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服务期限</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苏州园林线上票务系统运营管理服务自2026年10月10日-2027年6月30日；售检票及客流量系统硬件运营服务自2026年7月1日-2027年6月30日</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投标有效期</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90天（日历日）</w:t>
            </w:r>
            <w:r/>
          </w:p>
        </w:tc>
      </w:tr>
      <w:tr>
        <w:trPr>
          <w:jc w:val="center"/>
          <w:trHeight w:val="542"/>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投标保证金</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无，投标文件内提供投标（响应）保证承诺书，格式见附件。</w:t>
            </w:r>
            <w:r/>
          </w:p>
        </w:tc>
      </w:tr>
      <w:tr>
        <w:trPr>
          <w:jc w:val="center"/>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8</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招标代理机构</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苏州市永诚建设咨询有限公司</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地址：苏州市东吴北路221号惠康新地7楼</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联系人:</w:t>
            </w:r>
            <w:r>
              <w:rPr>
                <w:rFonts w:hint="eastAsia" w:ascii="宋体" w:hAnsi="宋体" w:eastAsia="宋体" w:cs="宋体"/>
                <w:color w:val="000000"/>
                <w:sz w:val="24"/>
                <w:szCs w:val="24"/>
              </w:rPr>
              <w:t xml:space="preserve">蒯珊珊</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联系电话：0512-69157588*8</w:t>
            </w:r>
            <w:r>
              <w:rPr>
                <w:rFonts w:hint="eastAsia" w:ascii="宋体" w:hAnsi="宋体" w:eastAsia="宋体" w:cs="宋体"/>
                <w:color w:val="000000"/>
                <w:sz w:val="24"/>
                <w:szCs w:val="24"/>
              </w:rPr>
              <w:t xml:space="preserve">09</w:t>
            </w:r>
            <w:r>
              <w:rPr>
                <w:rFonts w:hint="eastAsia" w:ascii="宋体" w:hAnsi="宋体" w:eastAsia="宋体" w:cs="宋体"/>
                <w:color w:val="000000"/>
                <w:sz w:val="24"/>
                <w:szCs w:val="24"/>
                <w:lang w:val="zh-CN"/>
              </w:rPr>
              <w:t xml:space="preserve">  传真：0512-65268668      </w:t>
            </w:r>
            <w:r/>
          </w:p>
        </w:tc>
      </w:tr>
      <w:tr>
        <w:trPr>
          <w:jc w:val="center"/>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9</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依法获取招标文件</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报名供应商确认报名后需自行从报名系统里面下载本项目招标文件，报名日期视同为依法获取招标文件日期，投标单位需打印、保留“</w:t>
            </w:r>
            <w:r>
              <w:rPr>
                <w:rFonts w:hint="eastAsia" w:ascii="宋体" w:hAnsi="宋体" w:eastAsia="宋体" w:cs="宋体"/>
                <w:color w:val="000000"/>
                <w:sz w:val="24"/>
                <w:szCs w:val="24"/>
              </w:rPr>
              <w:t xml:space="preserve">投标供应商确认函</w:t>
            </w:r>
            <w:r>
              <w:rPr>
                <w:rFonts w:hint="eastAsia" w:ascii="宋体" w:hAnsi="宋体" w:eastAsia="宋体" w:cs="宋体"/>
                <w:color w:val="000000"/>
                <w:sz w:val="24"/>
                <w:szCs w:val="24"/>
                <w:lang w:val="zh-CN"/>
              </w:rPr>
              <w:t xml:space="preserve">”，质疑时与质疑函一并提交。未依照采购公告要求实行网上报名的投标单位，视为未参与该项政府采购活动，不具备对该政府采购项目提出质疑的法定权利。代理机构不再收取报名费或资料成本费。</w:t>
            </w:r>
            <w:r/>
          </w:p>
        </w:tc>
      </w:tr>
      <w:tr>
        <w:trPr>
          <w:jc w:val="center"/>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10</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质疑</w:t>
            </w:r>
            <w:r/>
          </w:p>
        </w:tc>
        <w:tc>
          <w:tcPr>
            <w:tcBorders>
              <w:top w:val="single" w:color="auto" w:sz="6" w:space="0"/>
              <w:left w:val="single" w:color="auto" w:sz="6" w:space="0"/>
              <w:bottom w:val="single" w:color="auto" w:sz="6" w:space="0"/>
              <w:right w:val="single" w:color="auto" w:sz="6" w:space="0"/>
            </w:tcBorders>
            <w:tcW w:w="7541" w:type="dxa"/>
            <w:vAlign w:val="bottom"/>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提出质疑的供应商应当是参与所质疑项目采购活动的供应商。潜在供应商已依法获取招标文件的可对文件提出质疑并将符合资格条件的证明材料及网上报名确认单与质疑函一起递交。质疑函应按《政府采购质疑和投诉办法（中华人民共和国财政部令第94号）第十二条规定以书面形式（原件当场送达或邮寄，邮寄不得到付）递交至苏州市永诚建设咨询有限公司。　在采购活动中本身权益未受到损害或从采购活动受益的供应商所提出的质疑不予受理。供应商应当在法定质疑期内一次性提出针对同一采购程序环节的质疑。</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投标文件份数</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1、本项目采用电子投标文件，投标人按照招标文件要求制作上传电子投标文件。</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2、本项目采用电子网上招投标（电子标书），成交单位在领取成交通知书时向采购代理机构提交盖章版响应文件纸质版，份数四份（一正三副）。纸面投标文件与上传的电子投标文件一致。用于存档备案。</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投标文件递交（上传）截止时间</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递交（上传）截止时间：</w:t>
            </w:r>
            <w:r>
              <w:rPr>
                <w:rFonts w:hint="eastAsia" w:ascii="宋体" w:hAnsi="宋体" w:eastAsia="宋体" w:cs="宋体"/>
                <w:color w:val="000000"/>
                <w:sz w:val="24"/>
                <w:szCs w:val="24"/>
                <w:lang w:val="zh-CN"/>
              </w:rPr>
              <w:t xml:space="preserve">202</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年</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月</w:t>
            </w: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lang w:val="zh-CN"/>
              </w:rPr>
              <w:t xml:space="preserve">日09</w:t>
            </w:r>
            <w:r>
              <w:rPr>
                <w:rFonts w:hint="eastAsia" w:ascii="宋体" w:hAnsi="宋体" w:eastAsia="宋体" w:cs="宋体"/>
                <w:color w:val="000000"/>
                <w:sz w:val="24"/>
                <w:szCs w:val="24"/>
                <w:lang w:val="zh-CN"/>
              </w:rPr>
              <w:t xml:space="preserve">：30（北京时间）</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投标文件必须在截止时间前完成递交（上传），逾期递交（上传）的投标文件恕不接收。</w:t>
            </w:r>
            <w:r/>
          </w:p>
        </w:tc>
      </w:tr>
      <w:tr>
        <w:trPr>
          <w:jc w:val="center"/>
          <w:trHeight w:val="44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苏采云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系统</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网址</w:t>
            </w:r>
            <w:r>
              <w:rPr>
                <w:rFonts w:hint="eastAsia" w:ascii="宋体" w:hAnsi="宋体" w:eastAsia="宋体" w:cs="宋体"/>
                <w:color w:val="000000"/>
                <w:sz w:val="24"/>
                <w:szCs w:val="24"/>
              </w:rPr>
              <w:t xml:space="preserve">：http://jszfcg.jsczt.cn/）</w:t>
            </w:r>
            <w:r/>
          </w:p>
        </w:tc>
      </w:tr>
      <w:tr>
        <w:trPr>
          <w:jc w:val="center"/>
          <w:trHeight w:val="93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开标时间</w:t>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地点</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202</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年</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月</w:t>
            </w: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lang w:val="zh-CN"/>
              </w:rPr>
              <w:t xml:space="preserve">日09</w:t>
            </w:r>
            <w:r>
              <w:rPr>
                <w:rFonts w:hint="eastAsia" w:ascii="宋体" w:hAnsi="宋体" w:eastAsia="宋体" w:cs="宋体"/>
                <w:color w:val="000000"/>
                <w:sz w:val="24"/>
                <w:szCs w:val="24"/>
                <w:lang w:val="zh-CN"/>
              </w:rPr>
              <w:t xml:space="preserve">：30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北京时间</w:t>
            </w:r>
            <w:r>
              <w:rPr>
                <w:rFonts w:hint="eastAsia" w:ascii="宋体" w:hAnsi="宋体" w:eastAsia="宋体" w:cs="宋体"/>
                <w:color w:val="000000"/>
                <w:sz w:val="24"/>
                <w:szCs w:val="24"/>
              </w:rPr>
              <w:t xml:space="preserve">）</w:t>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苏采云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系统</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网址</w:t>
            </w:r>
            <w:r>
              <w:rPr>
                <w:rFonts w:hint="eastAsia" w:ascii="宋体" w:hAnsi="宋体" w:eastAsia="宋体" w:cs="宋体"/>
                <w:color w:val="000000"/>
                <w:sz w:val="24"/>
                <w:szCs w:val="24"/>
              </w:rPr>
              <w:t xml:space="preserve">：http://jszfcg.jsczt.cn/）</w:t>
            </w:r>
            <w:r/>
          </w:p>
        </w:tc>
      </w:tr>
      <w:tr>
        <w:trPr>
          <w:jc w:val="center"/>
          <w:trHeight w:val="93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履约保证金</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履约保证金：无</w:t>
            </w:r>
            <w:r/>
          </w:p>
        </w:tc>
      </w:tr>
      <w:tr>
        <w:trPr>
          <w:jc w:val="center"/>
          <w:trHeight w:val="34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中标服务费</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highlight w:val="none"/>
              </w:rPr>
              <w:t xml:space="preserve">本项目预算金额已经包含代理服务费，故</w:t>
            </w:r>
            <w:r>
              <w:rPr>
                <w:rFonts w:hint="eastAsia" w:ascii="宋体" w:hAnsi="宋体" w:eastAsia="宋体" w:cs="宋体"/>
                <w:color w:val="000000"/>
                <w:sz w:val="24"/>
                <w:szCs w:val="24"/>
                <w:highlight w:val="none"/>
                <w:lang w:val="zh-CN"/>
              </w:rPr>
              <w:t xml:space="preserve">由</w:t>
            </w:r>
            <w:r>
              <w:rPr>
                <w:rFonts w:hint="eastAsia" w:ascii="宋体" w:hAnsi="宋体" w:eastAsia="宋体" w:cs="宋体"/>
                <w:color w:val="000000"/>
                <w:sz w:val="24"/>
                <w:szCs w:val="24"/>
                <w:lang w:val="zh-CN"/>
              </w:rPr>
              <w:t xml:space="preserve">中标人支付代理服务费，收费标准：</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预算金额100万以下费率为预算金额的1.5%；</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预算金额100－500万费率为预算金额的1.1%；</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预算金额500-1000万费率为预算金额的0.8%；</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预算金额1000-5000万费率为预算金额的0.5%；</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注：代理服务费按上述规定的标准和差额定率累进法进行计算后收取。在领取中标通知书时由</w:t>
            </w:r>
            <w:r>
              <w:rPr>
                <w:rFonts w:hint="eastAsia" w:ascii="宋体" w:hAnsi="宋体" w:eastAsia="宋体" w:cs="宋体"/>
                <w:color w:val="000000"/>
                <w:sz w:val="24"/>
                <w:szCs w:val="24"/>
              </w:rPr>
              <w:t xml:space="preserve">中标单位</w:t>
            </w:r>
            <w:r>
              <w:rPr>
                <w:rFonts w:hint="eastAsia" w:ascii="宋体" w:hAnsi="宋体" w:eastAsia="宋体" w:cs="宋体"/>
                <w:color w:val="000000"/>
                <w:sz w:val="24"/>
                <w:szCs w:val="24"/>
                <w:lang w:val="zh-CN"/>
              </w:rPr>
              <w:t xml:space="preserve">向代理机构一次付清。</w:t>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按苏州市政府采购网苏州市级政府采购代理服务收费公告信息表公示，本项目代理服务费：46900.00元。供应商报价应包含代理服务费，请各供应商在投标报价时综合考虑。</w:t>
            </w:r>
            <w:r/>
          </w:p>
        </w:tc>
      </w:tr>
      <w:tr>
        <w:trPr>
          <w:jc w:val="center"/>
          <w:trHeight w:val="426"/>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出现下列情形之一的，为废标：</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（一）符合专业条件的投标人或者对招标文件作实质响应的投标人不足三家的；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（二）出现影响</w:t>
            </w: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公正的违法、违规行为的；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（三）投标人的报价均超过了</w:t>
            </w: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预算，</w:t>
            </w: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人不能支付的；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（四）因重大变故，</w:t>
            </w: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任务取消的。</w:t>
            </w:r>
            <w:r/>
          </w:p>
        </w:tc>
      </w:tr>
      <w:tr>
        <w:trPr>
          <w:jc w:val="center"/>
          <w:trHeight w:val="426"/>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18</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投标文件属下列情况之一的，在资格性、符合性检查时按照无效投标处理：</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（一）未按照招标文件规定要求签署、盖章的；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（二）不具备招标文件中规定资格要求的；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（三）投标报价超过</w:t>
            </w: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预算或最高限价的；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（四）投标人的报价只投了同一标段中部分内容；</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（五）投标文件含有</w:t>
            </w: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人不能接受的附加条件的；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（六）投标人的投标文件中出现评委会认为不应雷同的；</w:t>
            </w:r>
            <w:r>
              <w:rPr>
                <w:rFonts w:hint="eastAsia" w:ascii="宋体" w:hAnsi="宋体" w:eastAsia="宋体" w:cs="宋体"/>
                <w:color w:val="000000"/>
                <w:sz w:val="24"/>
                <w:szCs w:val="24"/>
              </w:rPr>
              <w:t xml:space="preserve">不同投标人制作响应文件的机器码一致的</w:t>
            </w:r>
            <w:r>
              <w:rPr>
                <w:rFonts w:hint="eastAsia" w:ascii="宋体" w:hAnsi="宋体" w:eastAsia="宋体" w:cs="宋体"/>
                <w:color w:val="000000"/>
                <w:sz w:val="24"/>
                <w:szCs w:val="24"/>
                <w:lang w:val="zh-CN"/>
              </w:rPr>
              <w:t xml:space="preserve">；</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（七）投标有效期短于90天的；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（八）与招标文件有重大偏离，不符合法律、法规和招标文件中规定的实质性要求的；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（九）其他被评委会认定无效的情况。</w:t>
            </w:r>
            <w:r/>
          </w:p>
        </w:tc>
      </w:tr>
    </w:tbl>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44"/>
          <w:szCs w:val="44"/>
          <w:lang w:val="zh-CN"/>
        </w:rPr>
        <w:t xml:space="preserve">目录</w:t>
      </w:r>
      <w:r/>
    </w:p>
    <w:p>
      <w:pPr>
        <w:spacing w:line="480" w:lineRule="auto"/>
        <w:shd w:val="clear" w:color="auto" w:fill="ffffff"/>
        <w:widowControl/>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TOC \o "1-3" \h \z \u </w:instrText>
      </w:r>
      <w:r>
        <w:rPr>
          <w:rFonts w:hint="eastAsia" w:ascii="宋体" w:hAnsi="宋体" w:eastAsia="宋体" w:cs="宋体"/>
          <w:color w:val="000000"/>
          <w:sz w:val="28"/>
          <w:szCs w:val="28"/>
        </w:rPr>
        <w:fldChar w:fldCharType="separate"/>
      </w:r>
      <w:r>
        <w:fldChar w:fldCharType="begin"/>
      </w:r>
      <w:r>
        <w:instrText xml:space="preserve"> HYPERLINK \l "_Toc97193183" </w:instrText>
      </w:r>
      <w:r>
        <w:fldChar w:fldCharType="separate"/>
      </w:r>
      <w:r>
        <w:rPr>
          <w:rFonts w:hint="eastAsia" w:ascii="宋体" w:hAnsi="宋体" w:eastAsia="宋体" w:cs="宋体"/>
          <w:color w:val="000000"/>
          <w:sz w:val="28"/>
          <w:szCs w:val="28"/>
        </w:rPr>
        <w:t xml:space="preserve">投标须知前附表</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8"/>
          <w:szCs w:val="28"/>
        </w:rPr>
      </w:pPr>
      <w:r>
        <w:fldChar w:fldCharType="begin"/>
      </w:r>
      <w:r>
        <w:instrText xml:space="preserve"> HYPERLINK \l "_Toc97193184" </w:instrText>
      </w:r>
      <w:r>
        <w:fldChar w:fldCharType="separate"/>
      </w:r>
      <w:r>
        <w:rPr>
          <w:rFonts w:hint="eastAsia" w:ascii="宋体" w:hAnsi="宋体" w:eastAsia="宋体" w:cs="宋体"/>
          <w:color w:val="000000"/>
          <w:sz w:val="28"/>
          <w:szCs w:val="28"/>
        </w:rPr>
        <w:t xml:space="preserve">第一章投标邀请函</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8"/>
          <w:szCs w:val="28"/>
        </w:rPr>
      </w:pPr>
      <w:r>
        <w:fldChar w:fldCharType="begin"/>
      </w:r>
      <w:r>
        <w:instrText xml:space="preserve"> HYPERLINK \l "_Toc97193185" </w:instrText>
      </w:r>
      <w:r>
        <w:fldChar w:fldCharType="separate"/>
      </w:r>
      <w:r>
        <w:rPr>
          <w:rFonts w:hint="eastAsia" w:ascii="宋体" w:hAnsi="宋体" w:eastAsia="宋体" w:cs="宋体"/>
          <w:color w:val="000000"/>
          <w:sz w:val="28"/>
          <w:szCs w:val="28"/>
        </w:rPr>
        <w:t xml:space="preserve">第二章投标人须知</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8"/>
          <w:szCs w:val="28"/>
        </w:rPr>
      </w:pPr>
      <w:r>
        <w:fldChar w:fldCharType="begin"/>
      </w:r>
      <w:r>
        <w:instrText xml:space="preserve"> HYPERLINK \l "_Toc97193186" </w:instrText>
      </w:r>
      <w:r>
        <w:fldChar w:fldCharType="separate"/>
      </w:r>
      <w:r>
        <w:rPr>
          <w:rFonts w:hint="eastAsia" w:ascii="宋体" w:hAnsi="宋体" w:eastAsia="宋体" w:cs="宋体"/>
          <w:color w:val="000000"/>
          <w:sz w:val="28"/>
          <w:szCs w:val="28"/>
        </w:rPr>
        <w:t xml:space="preserve">第三章投标文件格式</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8"/>
          <w:szCs w:val="28"/>
        </w:rPr>
      </w:pPr>
      <w:r>
        <w:fldChar w:fldCharType="begin"/>
      </w:r>
      <w:r>
        <w:instrText xml:space="preserve"> HYPERLINK \l "_Toc97193187" </w:instrText>
      </w:r>
      <w:r>
        <w:fldChar w:fldCharType="separate"/>
      </w:r>
      <w:r>
        <w:rPr>
          <w:rFonts w:hint="eastAsia" w:ascii="宋体" w:hAnsi="宋体" w:eastAsia="宋体" w:cs="宋体"/>
          <w:color w:val="000000"/>
          <w:sz w:val="28"/>
          <w:szCs w:val="28"/>
        </w:rPr>
        <w:t xml:space="preserve">第四章招标书</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8"/>
          <w:szCs w:val="28"/>
        </w:rPr>
      </w:pPr>
      <w:r>
        <w:fldChar w:fldCharType="begin"/>
      </w:r>
      <w:r>
        <w:instrText xml:space="preserve"> HYPERLINK \l "_Toc97193188" </w:instrText>
      </w:r>
      <w:r>
        <w:fldChar w:fldCharType="separate"/>
      </w:r>
      <w:r>
        <w:rPr>
          <w:rFonts w:hint="eastAsia" w:ascii="宋体" w:hAnsi="宋体" w:eastAsia="宋体" w:cs="宋体"/>
          <w:color w:val="000000"/>
          <w:sz w:val="28"/>
          <w:szCs w:val="28"/>
        </w:rPr>
        <w:t xml:space="preserve">第五章合同主要文本</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8"/>
          <w:szCs w:val="28"/>
        </w:rPr>
      </w:pPr>
      <w:r>
        <w:fldChar w:fldCharType="begin"/>
      </w:r>
      <w:r>
        <w:instrText xml:space="preserve"> HYPERLINK \l "_Toc97193189" </w:instrText>
      </w:r>
      <w:r>
        <w:fldChar w:fldCharType="separate"/>
      </w:r>
      <w:r>
        <w:rPr>
          <w:rFonts w:hint="eastAsia" w:ascii="宋体" w:hAnsi="宋体" w:eastAsia="宋体" w:cs="宋体"/>
          <w:color w:val="000000"/>
          <w:sz w:val="28"/>
          <w:szCs w:val="28"/>
        </w:rPr>
        <w:t xml:space="preserve">第六章评标办法及评分标准</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8"/>
          <w:szCs w:val="28"/>
          <w:lang w:val="zh-CN"/>
        </w:rPr>
        <w:fldChar w:fldCharType="end"/>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32"/>
          <w:szCs w:val="32"/>
        </w:rPr>
        <w:t xml:space="preserve">第一章投标邀请函</w:t>
      </w:r>
      <w:r/>
    </w:p>
    <w:p>
      <w:pPr>
        <w:ind w:firstLine="482"/>
        <w:spacing w:line="360" w:lineRule="auto"/>
        <w:shd w:val="clear" w:color="auto" w:fill="ffffff"/>
        <w:widowControl/>
        <w:rPr>
          <w:rFonts w:hint="eastAsia" w:ascii="宋体" w:hAnsi="宋体" w:eastAsia="宋体" w:cs="宋体"/>
          <w:b/>
          <w:bCs/>
          <w:color w:val="000000"/>
          <w:sz w:val="24"/>
          <w:szCs w:val="24"/>
        </w:rPr>
      </w:pPr>
      <w:r/>
      <w:bookmarkStart w:id="16" w:name="_Hlk73190876"/>
      <w:r>
        <w:rPr>
          <w:rFonts w:hint="eastAsia" w:ascii="宋体" w:hAnsi="宋体" w:eastAsia="宋体" w:cs="宋体"/>
          <w:b/>
          <w:bCs/>
          <w:color w:val="000000"/>
          <w:sz w:val="24"/>
          <w:szCs w:val="24"/>
        </w:rPr>
        <w:t xml:space="preserve">项目概况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2026年度苏州园林票务管理系统一体化运营管理服务的潜在供应商应在“苏采云”系统（网址：http://jszfcg.jsczt.cn/）获取招标文件，并于2026年6月16日09点30分（北京时间）前提交投标文件。</w:t>
      </w:r>
      <w:r/>
    </w:p>
    <w:p>
      <w:pPr>
        <w:ind w:firstLine="482"/>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JSZC-320500-CCCC-G2026-0016</w:t>
      </w:r>
      <w:r>
        <w:rPr>
          <w:rFonts w:hint="eastAsia" w:ascii="宋体" w:hAnsi="宋体" w:eastAsia="宋体" w:cs="宋体"/>
          <w:color w:val="000000"/>
          <w:sz w:val="24"/>
          <w:szCs w:val="24"/>
        </w:rPr>
        <w:t xml:space="preserve">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项目名称：2026年度苏州园林票务管理系统一体化运营管理服务</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预算金额：人民币叁佰玖拾万元整（3900000.00元）</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服务期限：苏州园林线上票务系统运营管理服务自2026年10月10日-2027年6月30日；售检票及客流量系统硬件运营服务自2026年7月1日-2027年6月30日</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招标需求：苏州园林票务管理系统由苏州园林旅游网、苏州园林旅游微信公众号、苏州园林票务管控平台、</w:t>
      </w:r>
      <w:r>
        <w:rPr>
          <w:rFonts w:hint="eastAsia" w:ascii="宋体" w:hAnsi="宋体" w:eastAsia="宋体" w:cs="宋体"/>
          <w:color w:val="auto"/>
          <w:sz w:val="24"/>
          <w:szCs w:val="24"/>
        </w:rPr>
        <w:t xml:space="preserve">分时系统、客流量监测系统、自助售票机、各景区闸机和手持检票设备、人脸识别设备、护照设备</w:t>
      </w:r>
      <w:r>
        <w:rPr>
          <w:rFonts w:hint="eastAsia" w:ascii="宋体" w:hAnsi="宋体" w:eastAsia="宋体" w:cs="宋体"/>
          <w:color w:val="000000"/>
          <w:sz w:val="24"/>
          <w:szCs w:val="24"/>
        </w:rPr>
        <w:t xml:space="preserve">等软硬件系统构成，全年服务超2000万游客，需委托具有专业资质技术的服务单位开展运营管理工作。具体详见第四章招标书。</w:t>
      </w:r>
      <w:bookmarkEnd w:id="16"/>
      <w:r/>
      <w:r/>
    </w:p>
    <w:p>
      <w:pPr>
        <w:ind w:firstLine="482"/>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二、申请人的资格要求：</w:t>
      </w:r>
      <w:r>
        <w:rPr>
          <w:rFonts w:hint="eastAsia" w:ascii="宋体" w:hAnsi="宋体" w:eastAsia="宋体" w:cs="宋体"/>
          <w:color w:val="000000"/>
          <w:sz w:val="24"/>
          <w:szCs w:val="24"/>
        </w:rPr>
        <w:t xml:space="preserve">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1.1具有独立承担民事责任的能力。</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1.2具有良好的商业信誉和健全的财务会计制度。</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1.3履行合同所必备的设备和专业技术能力。</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1.4有依法缴纳税收和社会保障基金的良好记录。</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1.5参加本次政府采购活动前三年内，在经营活动中没有重大违法记录。</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1.6法律、行政法规规定的其他条件。</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本项目的特定资格要求：无。</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3.落实政府采购政策需满足的资格要求：根据《政府采购促进中小企业发展管理办法》的相关规定，</w:t>
      </w:r>
      <w:r>
        <w:rPr>
          <w:rFonts w:hint="eastAsia" w:ascii="宋体" w:hAnsi="宋体" w:eastAsia="宋体" w:cs="宋体"/>
          <w:b/>
          <w:bCs/>
          <w:color w:val="000000"/>
          <w:sz w:val="24"/>
          <w:szCs w:val="24"/>
        </w:rPr>
        <w:t xml:space="preserve">本项目专门面向中小企业，所属行业为软件和信息技术服务业</w:t>
      </w:r>
      <w:r>
        <w:rPr>
          <w:rFonts w:hint="eastAsia" w:ascii="宋体" w:hAnsi="宋体" w:eastAsia="宋体" w:cs="宋体"/>
          <w:color w:val="000000"/>
          <w:sz w:val="24"/>
          <w:szCs w:val="24"/>
        </w:rPr>
        <w:t xml:space="preserve">，承接服务的投标人应为中小微企业、监狱企业、残疾人福利性单位。中小微企业参加本项目政府采购活动在投标响应文件中需出具《中小企业声明函》（详见格式）。残疾人福利性单位提供残疾人福利性单位声明函或者监狱企业提供监狱企业证明文件，视同提供了中小企业声明函。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4.其他要求：</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4.1单位负责人为同一人或者存在直接控股、管理关系的不同供应商，不得参加同一合同项下的采购活动。</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4.2未被“信用中国”网站或“中国政府采购网”网站列入失信被执行人、重大税收违法案件当事人名单、政府采购严重失信行为记录名单。</w:t>
      </w:r>
      <w:r/>
    </w:p>
    <w:p>
      <w:pPr>
        <w:ind w:firstLine="482"/>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三、报名及获取招标文件的期限及方式：</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1、招标文件获取截止时间：自公告发布之日起5个工作日。</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高新区邓尉路105号狮山科技馆1楼服务大厅，窗口电话：0512 6573 7699）</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在系统操作过程中如有疑问，请按以下方式联系：</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注册咨询：18261002950；</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CA技术咨询电话：400-608-6099；</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签章使用问题：025-83633811、025-83633812、15380932027、15371015030；</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系统使用指导与咨询：联系电话：0512-69820854；智能客服：登录苏采云系统后，联系系统右下方智能客服图标进行咨询。</w:t>
      </w:r>
      <w:r/>
    </w:p>
    <w:p>
      <w:pPr>
        <w:ind w:firstLine="482"/>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四、提交（上传）响应文件：</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截止时间：2026年6月16日09点30分（北京时间）</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地点：“苏采云”政府采购交易系统网上开标大厅</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启直至项目结束始终保持系统在线状态。</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五、公告期限</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自本公告发布之日起5个工作日。</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六、其他补充事宜：</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1、本次招标的有关信息将在苏州市政府采购网、江苏政府采购网、中国政府采购网上发布；有关该采购项目的澄清、修正及成交等信息亦在以上网站发布，敬请留意。</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2、政府采购监督电话：0512-68616651。</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4、本项目获取招标文件截止日期之后仍可以下载招标文件，但截止日期之后下载的招标文件，视为非有效方式且不作为供应商权益受到损害的证明材料和依据。</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七、凡对本次招标提出询问，请按以下方式联系。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1.招标人信息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称：苏州市园林综合服务中心</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址：苏州市竹辉路55号</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联系人：吴正启</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 0512-61790333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2.代理机构信息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称：苏州市永诚建设咨询有限公司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址：苏州市东吴北路221号7楼</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联系人：蒯珊珊、朱琳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电话：0512-69157588*809</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项目联系人：蒯珊珊</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电话：0512-69157588*809</w:t>
      </w:r>
      <w:r/>
    </w:p>
    <w:p>
      <w:pPr>
        <w:ind w:firstLine="480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苏州市永诚建设咨询有限公司</w:t>
      </w:r>
      <w:r/>
    </w:p>
    <w:p>
      <w:pPr>
        <w:spacing w:line="480" w:lineRule="atLeast"/>
        <w:shd w:val="clear" w:color="auto" w:fill="ffffff"/>
        <w:widowControl/>
        <w:rPr>
          <w:rFonts w:hint="eastAsia" w:ascii="宋体" w:hAnsi="宋体" w:eastAsia="宋体" w:cs="宋体"/>
          <w:color w:val="000000"/>
          <w:sz w:val="20"/>
          <w:szCs w:val="21"/>
        </w:rPr>
      </w:pPr>
      <w:r>
        <w:rPr>
          <w:rFonts w:hint="eastAsia" w:ascii="宋体" w:hAnsi="宋体" w:eastAsia="宋体" w:cs="宋体"/>
          <w:color w:val="000000"/>
          <w:sz w:val="20"/>
          <w:szCs w:val="21"/>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keepLines/>
        <w:keepNext/>
        <w:spacing w:before="340" w:after="330" w:line="578" w:lineRule="auto"/>
        <w:rPr>
          <w:rFonts w:hint="eastAsia" w:ascii="宋体" w:hAnsi="宋体" w:eastAsia="宋体"/>
          <w:b/>
          <w:bCs/>
          <w:color w:val="000000"/>
          <w:sz w:val="28"/>
          <w:szCs w:val="28"/>
        </w:rPr>
        <w:outlineLvl w:val="0"/>
      </w:pPr>
      <w:r>
        <w:rPr>
          <w:rFonts w:ascii="宋体" w:hAnsi="宋体" w:eastAsia="宋体"/>
          <w:b/>
          <w:bCs/>
          <w:color w:val="000000"/>
          <w:sz w:val="28"/>
          <w:szCs w:val="28"/>
        </w:rPr>
        <w:br w:type="page" w:clear="all"/>
      </w:r>
      <w:r>
        <w:rPr>
          <w:rFonts w:ascii="宋体" w:hAnsi="宋体" w:eastAsia="宋体"/>
          <w:b/>
          <w:bCs/>
          <w:color w:val="000000"/>
          <w:sz w:val="32"/>
          <w:szCs w:val="32"/>
        </w:rPr>
        <w:t xml:space="preserve">第二章投标人须知</w:t>
      </w:r>
      <w:bookmarkEnd w:id="5"/>
      <w:r/>
      <w:bookmarkEnd w:id="6"/>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A说明和释义</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1.1本招标文件仅适用于苏州市永诚建设咨询有限公司组织的招标活动。</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1.2本次招标活动及因本次招标产生的合同受中国法律、法规及规章制度制约和保护。</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1.3本招标文件的解释权属于苏州市园林综合服务中心。</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2.1采购人：指依法进行政府采购的国家机关、事业单位、团体组织。</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2.2采购代理机构：指依法接受采购人委托，从事货物、工程和服务等政府采购代理业务的社会中介机构。</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2.3投标人：</w:t>
      </w:r>
      <w:r>
        <w:rPr>
          <w:rFonts w:hint="eastAsia" w:ascii="宋体" w:hAnsi="宋体" w:eastAsia="宋体" w:cs="宋体"/>
          <w:sz w:val="24"/>
          <w:szCs w:val="24"/>
        </w:rPr>
        <w:t xml:space="preserve">指响应招标、参加投标竞争的法人、其他组织或者自然人。</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2.4响应：投标人根据采购人或采购代理机构发布的招标文件，编制投标文件并按规定投标的行为。</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2.6甲方（采购人）：合同中明确规定的实际购买货物和服务的法人或其他组织和自然人。</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2.8货物：系指乙方按招标采购文件规定，应向甲方提供的一切设备、备品、备件、工具、手册及其它有关技术资料和材料。</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2.11天：日历日。</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2.12时间：除特别说明，均指北京时间。</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2.13交货地点：合同中明确约定的乙方提交的货物和服务最终到达地点。</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2.14合同价款：根据合同规定，乙方在正确地履行合同义务后甲方应支付乙方的价款。</w:t>
      </w:r>
      <w:r/>
    </w:p>
    <w:p>
      <w:pPr>
        <w:pStyle w:val="884"/>
        <w:ind w:left="0"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2.15产地：货物开采、生长、生产、最终制造、加工或提供服务的来源地。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2.16不可抗力：不能预见、不能避免并且不能克服的客观情况。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2.19书面形式：指书面文字、合同书、信件和传真等可以有形地表现所载内容的形式。</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2.20核心产品：根据本项目技术构成、产品价格比重等合理确定的产品。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B投标人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3.合格投标人的一般条件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3.6法律、行政法规规定的其他条件。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4.合格投标人的特殊条件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见第一章投标邀请函。</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5.投标人代表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5.1指全权代表投标人参加投标活动并签署投标文件的人，如果投标人代表不是法人代表，须持有《法人代表授权委托书》（详见统一格式）。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6.投标费用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6.1无论投标过程中的做法和结果如何，投标人自行承担所有与参加投标有关的全部费用。</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7.联合投标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C招标文件的说明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9.招标文件的澄清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9.4招标文件的澄清、修改、补充等内容均以苏州政府采购网上发布的内容为准。</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10.投标答疑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10.1勘察现场：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10.1.3经采购人允许，投标人可为勘察目的进入采购人的项目现场，但投标人不得因此使采购人承担有关的责任和蒙受损失。投标人应承担勘察现场发生意外的责任及风险。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D投标文件说明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11.2无论是否提交投标文件，投标人都应将招标文件及以后的所有通知、文件等视为保密文件。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12.投标文件计量单位和使用文字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13.投标文件的组成（部分格式见第三章）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13.1报价部分：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13.1.1投标函；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13.1.2开标一览表；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13.1.3投标报价明细表；</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13.2资格及技术部分：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13.2.1关于资格文件的声明函、《投标人与其他单位存在直接控股、管理关系情况表》；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13.2.2授权委托书及投标人授权代理人身份证复印件（如有授权）；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13.2.3投标人情况表；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13.2.4投标人《营业执照》副本复印件；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13.2.5投标人法定代表人身份证复印件；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13.2.6合格供应商的资格条件所需提供的相应证明材料：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13.2.6.1具有独立承担民事责任的能力证明。包括法人或者其他组织的营业执照等证明文件，自然人的身份证明。</w:t>
      </w:r>
      <w:r/>
    </w:p>
    <w:p>
      <w:pPr>
        <w:pStyle w:val="884"/>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13.2.6.2具有良好的商业信誉和健全的财务会计制度证明。包括但不限于最近一</w:t>
      </w:r>
      <w:r>
        <w:rPr>
          <w:rFonts w:hint="eastAsia" w:ascii="宋体" w:hAnsi="宋体" w:eastAsia="宋体" w:cs="宋体"/>
          <w:sz w:val="24"/>
          <w:szCs w:val="24"/>
          <w:highlight w:val="none"/>
        </w:rPr>
        <w:t xml:space="preserve">期</w:t>
      </w:r>
      <w:r>
        <w:rPr>
          <w:rFonts w:hint="eastAsia" w:ascii="宋体" w:hAnsi="宋体" w:eastAsia="宋体" w:cs="宋体"/>
          <w:sz w:val="24"/>
          <w:szCs w:val="24"/>
          <w:highlight w:val="none"/>
          <w:lang w:eastAsia="zh-CN"/>
        </w:rPr>
        <w:t xml:space="preserve">（2024或2025年）</w:t>
      </w:r>
      <w:r>
        <w:rPr>
          <w:rFonts w:hint="eastAsia" w:ascii="宋体" w:hAnsi="宋体" w:eastAsia="宋体" w:cs="宋体"/>
          <w:sz w:val="24"/>
          <w:szCs w:val="24"/>
          <w:highlight w:val="none"/>
        </w:rPr>
        <w:t xml:space="preserve">经审计的财务报告，其他组织、自然人及成立未满一年的法人应提供银行出具的</w:t>
      </w:r>
      <w:r>
        <w:rPr>
          <w:rFonts w:hint="eastAsia" w:ascii="宋体" w:hAnsi="宋体" w:eastAsia="宋体" w:cs="宋体"/>
          <w:sz w:val="24"/>
          <w:szCs w:val="24"/>
        </w:rPr>
        <w:t xml:space="preserve">资信证明。</w:t>
      </w:r>
      <w:r/>
    </w:p>
    <w:p>
      <w:pPr>
        <w:pStyle w:val="884"/>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13.2.6.3具备履行合同所必需设备和专业</w:t>
      </w:r>
      <w:bookmarkStart w:id="17" w:name="_GoBack"/>
      <w:r/>
      <w:bookmarkEnd w:id="17"/>
      <w:r>
        <w:rPr>
          <w:rFonts w:hint="eastAsia" w:ascii="宋体" w:hAnsi="宋体" w:eastAsia="宋体" w:cs="宋体"/>
          <w:sz w:val="24"/>
          <w:szCs w:val="24"/>
        </w:rPr>
        <w:t xml:space="preserve">技术能力证明材料或声明函。</w:t>
      </w:r>
      <w:r/>
    </w:p>
    <w:p>
      <w:pPr>
        <w:pStyle w:val="884"/>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13.2.6.4有依法缴纳税收和社会保障资金的良好记录。供应商应提供截止开标日期半年内任意一个月的依法缴纳税收的凭据和依法缴纳社会保险的凭据（专用收据或社会保险缴纳清单），依法免税或不需要缴纳社会保障资金的供应商，应提供相应证明文件。</w:t>
      </w:r>
      <w:r/>
    </w:p>
    <w:p>
      <w:pPr>
        <w:pStyle w:val="884"/>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13.2.6.5参加政府采购活动前三年内在经营活动中没有重大违法记录的书面声明函。</w:t>
      </w:r>
      <w:r/>
    </w:p>
    <w:p>
      <w:pPr>
        <w:pStyle w:val="884"/>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13.2.6.6《中小企业声明函》或《残疾人福利性单位声明函》或由省级以上监狱管理局、戒毒管理局（含新疆生产建设兵团）出具的属于监狱企业的证明文件；</w:t>
      </w:r>
      <w:r/>
    </w:p>
    <w:p>
      <w:pPr>
        <w:ind w:left="420" w:firstLine="64"/>
        <w:spacing w:line="360" w:lineRule="auto"/>
        <w:tabs>
          <w:tab w:val="left" w:pos="753" w:leader="none"/>
        </w:tabs>
        <w:rPr>
          <w:rFonts w:hint="eastAsia"/>
          <w:sz w:val="24"/>
          <w:szCs w:val="24"/>
        </w:rPr>
      </w:pPr>
      <w:r>
        <w:rPr>
          <w:rFonts w:hint="eastAsia" w:ascii="宋体" w:hAnsi="宋体" w:eastAsia="宋体" w:cs="宋体"/>
          <w:sz w:val="24"/>
          <w:szCs w:val="24"/>
        </w:rPr>
        <w:t xml:space="preserve">13.2.6.7未被“信用中国”网站（www.creditchina.gov.cn）列入失信被执行人、重大税收违法案件当事人名单、政府采购严重失信行为记录名单。提供通过“信用中国”网站查询企业信用记录网页截图或信用报告（查询时间不可早于招标公告发布日期）。</w:t>
      </w:r>
      <w:r/>
    </w:p>
    <w:p>
      <w:pPr>
        <w:pStyle w:val="884"/>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13.2.7《服务要求偏离表》、《商务条款偏离表》；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13.2.8《投标（响应）保证承诺书》；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13.2.9《项目组人员一览表》；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13.2.10《服务实施方案》；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13.2.11《企业类似业绩一览表》；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13.2.12其它有关资格证明文件：</w:t>
      </w:r>
      <w:r/>
    </w:p>
    <w:p>
      <w:pPr>
        <w:pStyle w:val="884"/>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13.2.12.1其他可以证明投标人资信、资质和货物、服务质量的证书、文件、推荐信等资料；</w:t>
      </w:r>
      <w:r/>
    </w:p>
    <w:p>
      <w:pPr>
        <w:pStyle w:val="884"/>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13.2.12.2</w:t>
      </w:r>
      <w:r>
        <w:rPr>
          <w:rFonts w:hint="eastAsia" w:ascii="宋体" w:hAnsi="宋体" w:eastAsia="宋体" w:cs="宋体"/>
          <w:b/>
          <w:bCs/>
          <w:sz w:val="24"/>
          <w:szCs w:val="24"/>
        </w:rPr>
        <w:t xml:space="preserve">价格折扣文件：中小企业此处重复上传一遍“中小企业声明函或残疾人福利性单位声明函或监狱企业证明”。</w:t>
      </w:r>
      <w:r/>
    </w:p>
    <w:p>
      <w:pPr>
        <w:pStyle w:val="884"/>
        <w:ind w:left="0" w:firstLine="0"/>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注：投标人必须提交上述13.1.1—13.2.9款规定的资料，否则，投标文件将因未实质响应招标文件而被拒绝；投标人所提交的资格文件的完整与否，将直接影响投标人的评分。</w:t>
      </w:r>
      <w:r/>
    </w:p>
    <w:p>
      <w:pPr>
        <w:pStyle w:val="884"/>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13.3投标文件由13.1、13.2款规定的内容共同组成。</w:t>
      </w:r>
      <w:r/>
    </w:p>
    <w:p>
      <w:pPr>
        <w:pStyle w:val="884"/>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13.4制作电子投标文件时必须与投标文件制作软件目录一一对应，将相关资料上传至相应模块。</w:t>
      </w:r>
      <w:r/>
    </w:p>
    <w:p>
      <w:pPr>
        <w:pStyle w:val="884"/>
        <w:ind w:left="0" w:firstLine="480"/>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sz w:val="24"/>
          <w:szCs w:val="24"/>
        </w:rPr>
        <w:t xml:space="preserve">13.5开评标过程中如有问题采购代理机构工作人员会及时通过《投标供应商确认函》留存的手机号与供应商联系。</w:t>
      </w:r>
      <w:r>
        <w:rPr>
          <w:rFonts w:hint="eastAsia" w:ascii="宋体" w:hAnsi="宋体" w:eastAsia="宋体" w:cs="宋体"/>
          <w:b/>
          <w:bCs/>
          <w:sz w:val="24"/>
          <w:szCs w:val="24"/>
        </w:rPr>
        <w:t xml:space="preserve">请供应商确保该手机号通讯畅通，否则导致的不利后果由供应商自行承担。在系统操作过程中如有疑问，请按以下方式联系：</w:t>
      </w:r>
      <w:r/>
    </w:p>
    <w:p>
      <w:pPr>
        <w:pStyle w:val="884"/>
        <w:ind w:left="0"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注册咨询：18261002950；</w:t>
      </w:r>
      <w:r/>
    </w:p>
    <w:p>
      <w:pPr>
        <w:pStyle w:val="884"/>
        <w:ind w:left="0"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CA技术咨询电话：400-608-6099；</w:t>
      </w:r>
      <w:r/>
    </w:p>
    <w:p>
      <w:pPr>
        <w:pStyle w:val="884"/>
        <w:ind w:left="0"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签章使用问题：025-83633811、025-83633812、15380932027、15371015030；</w:t>
      </w:r>
      <w:r/>
    </w:p>
    <w:p>
      <w:pPr>
        <w:pStyle w:val="884"/>
        <w:ind w:left="0"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系统使用指导与咨询：联系电话：0512-69820854；智能客服：登录苏采云系统后，联系系统右下方智能客服图标进行咨询。</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14.投标文件编制要求</w:t>
      </w:r>
      <w:r/>
    </w:p>
    <w:p>
      <w:pPr>
        <w:ind w:firstLine="42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14.1投标文件按统一格式、顺序编写。</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15.投标报价（编制）要求的说明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除非合同中另有规定，投标人对《开标一览表》中的全部服务的报价应包括完成本项目服务内容所需的人员工资、加班费、服装、福利、器材保养、耗材、意外险、高温费、节假日补贴以及国家规定的社会保险、管理费、人员培训费、通讯、胸卡、各种税费、保险、劳保、利润、税金、政策性文件规定及合同包含的所有风险、责任等各项应有费用。同时，除非合同条款中另有规定，否则，投标人所报价格在合同实施期间不因市场变化因素而变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投标人应按《投标报价明细表》中的全部货物和服务计算单价和总价。《投标报价明细表》中的每一单项均应计算并填写单价和总价，并由法定代表人或授权代理人签署。投标人未填单价或合价的项目，在实施后，采购人将不予支付，并视为该项费用已包括在其它有价款的单价或合价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15.3投标人应对招标文件内所要采购的全部内容进行报价，只投其中部分内容者，其标书将被拒绝。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15.4一项投标内容只允许一个报价，采购人或采购代理机构不接受任何有选择性的投标报价。投标人应按《投标报价明细表》中的全部内容的每一单项计算并填写单价和总价，该表并由法定代表人或代理人签署。</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15.5投标文件报价中的单价和总价全部采用人民币表示，除非合同的特殊条款另有规定。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15.6最低报价不能作为中标的保证。</w:t>
      </w:r>
      <w:r/>
    </w:p>
    <w:p>
      <w:pPr>
        <w:pStyle w:val="884"/>
        <w:ind w:left="0" w:firstLine="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16.投标保证金：见投标须知前附表。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17.投标文件的有效期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17.1自投标截止日起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在特殊情况下，采购人或采购代理机构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仍予以退还。</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E投标文件的递交</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18.电子投标（响应）文件的制作</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18.1电子投标（响应）文件制作：本项目为网上招投标项目，请投标人插入CA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18.2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18.3投标文件未按照招标文件要求加盖CA电子公章的，投标无效。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18.4联合体投标：如招标（采购）公告中允许联合体投标，联合体投标的投标（响应）文件制作上传操作如下：</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第一步：在投标（响应）文件中上传联合体投标协议书。</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第二步；在投标（响应）文件中，由联合体中的牵头人制作投标（响应）文件。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18.5如投标（响应）文件制作机器码信息一致，视为不同投标供应商使用同一台电脑编制投标（响应）文件，投标（响应）无效。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18.6技术支持</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注册咨询：18261002950；</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CA技术咨询电话：400-608-6099；</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签章使用问题：025-83633811、025-83633812、15380932027、15371015030；</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系统使用指导与咨询：联系电话：0512-69820854；智能客服：登录苏采云系统后，联系系统右下方智能客服图标进行咨询。</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19.投标文件的修改和撤回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F开标和评标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20.开标</w:t>
      </w:r>
      <w:r/>
    </w:p>
    <w:p>
      <w:pPr>
        <w:pStyle w:val="905"/>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rPr>
        <w:t xml:space="preserve">0</w:t>
      </w:r>
      <w:r>
        <w:rPr>
          <w:rFonts w:hint="eastAsia" w:ascii="宋体" w:hAnsi="宋体" w:eastAsia="宋体" w:cs="宋体"/>
          <w:color w:val="000000"/>
          <w:sz w:val="24"/>
          <w:szCs w:val="24"/>
        </w:rPr>
        <w:t xml:space="preserve">.1开标由采购代理机构</w:t>
      </w:r>
      <w:r>
        <w:rPr>
          <w:rFonts w:hint="eastAsia" w:ascii="宋体" w:hAnsi="宋体" w:eastAsia="宋体" w:cs="宋体"/>
          <w:color w:val="000000"/>
          <w:sz w:val="24"/>
          <w:szCs w:val="24"/>
          <w:lang w:val="en-US"/>
        </w:rPr>
        <w:t xml:space="preserve">在线</w:t>
      </w:r>
      <w:r>
        <w:rPr>
          <w:rFonts w:hint="eastAsia" w:ascii="宋体" w:hAnsi="宋体" w:eastAsia="宋体" w:cs="宋体"/>
          <w:color w:val="000000"/>
          <w:sz w:val="24"/>
          <w:szCs w:val="24"/>
        </w:rPr>
        <w:t xml:space="preserve">主持，邀请投标人</w:t>
      </w:r>
      <w:r>
        <w:rPr>
          <w:rFonts w:hint="eastAsia" w:ascii="宋体" w:hAnsi="宋体" w:eastAsia="宋体" w:cs="宋体"/>
          <w:color w:val="000000"/>
          <w:sz w:val="24"/>
          <w:szCs w:val="24"/>
          <w:lang w:val="en-US"/>
        </w:rPr>
        <w:t xml:space="preserve">在线</w:t>
      </w:r>
      <w:r>
        <w:rPr>
          <w:rFonts w:hint="eastAsia" w:ascii="宋体" w:hAnsi="宋体" w:eastAsia="宋体" w:cs="宋体"/>
          <w:color w:val="000000"/>
          <w:sz w:val="24"/>
          <w:szCs w:val="24"/>
        </w:rPr>
        <w:t xml:space="preserve">参加。投标人应当按照《苏采云系统供应商操作手册》规定，</w:t>
      </w:r>
      <w:r>
        <w:rPr>
          <w:rFonts w:hint="eastAsia" w:ascii="宋体" w:hAnsi="宋体" w:eastAsia="宋体" w:cs="宋体"/>
          <w:b/>
          <w:color w:val="000000"/>
          <w:sz w:val="24"/>
          <w:szCs w:val="24"/>
        </w:rPr>
        <w:t xml:space="preserve">参加开标活动和在“苏采云”系统规定的时间内对投标文件进行解密</w:t>
      </w:r>
      <w:r>
        <w:rPr>
          <w:rFonts w:hint="eastAsia" w:ascii="宋体" w:hAnsi="宋体" w:eastAsia="宋体" w:cs="宋体"/>
          <w:color w:val="000000"/>
          <w:sz w:val="24"/>
          <w:szCs w:val="24"/>
        </w:rPr>
        <w:t xml:space="preserve">。评标委员会成员不得参加开标活动。</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.3资格审查</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.3.1公开招标采购项目开标结束后，采购人应当依法对投标人的资格进行审查，未通过资格审查的视为无效投标。</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.3.2.1查询时间：投标文件递交截止时间。</w:t>
      </w:r>
      <w:r/>
    </w:p>
    <w:p>
      <w:pPr>
        <w:pStyle w:val="905"/>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.3.2.2查询渠道</w:t>
      </w:r>
      <w:r>
        <w:rPr>
          <w:rFonts w:hint="eastAsia" w:ascii="宋体" w:hAnsi="宋体" w:eastAsia="宋体" w:cs="宋体"/>
          <w:b/>
          <w:sz w:val="24"/>
          <w:szCs w:val="24"/>
        </w:rPr>
        <w:t xml:space="preserve">：</w:t>
      </w:r>
      <w:r>
        <w:rPr>
          <w:rFonts w:hint="eastAsia" w:ascii="宋体" w:hAnsi="宋体" w:eastAsia="宋体" w:cs="宋体"/>
          <w:color w:val="000000"/>
          <w:sz w:val="24"/>
          <w:szCs w:val="24"/>
        </w:rPr>
        <w:t xml:space="preserve">采购代理机构会在接收投标文件截止时间后，登录信用中国网站（www.creditchina.gov.cn）和中国政府采购网（www.ccgp.gov.cn/）查询供应商的信用记录，并将查询结果递交评标委员会。</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eastAsia="宋体" w:cs="宋体"/>
          <w:sz w:val="24"/>
          <w:szCs w:val="24"/>
          <w:lang w:val="en-US"/>
        </w:rPr>
        <w:t xml:space="preserve">录</w:t>
      </w:r>
      <w:r>
        <w:rPr>
          <w:rFonts w:hint="eastAsia" w:ascii="宋体" w:hAnsi="宋体" w:eastAsia="宋体" w:cs="宋体"/>
          <w:sz w:val="24"/>
          <w:szCs w:val="24"/>
        </w:rPr>
        <w:t xml:space="preserve">到来源网站页面进行复核并打印，作为证据留存。</w:t>
      </w:r>
      <w:r/>
    </w:p>
    <w:p>
      <w:pPr>
        <w:pStyle w:val="905"/>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lang w:val="en-US"/>
        </w:rPr>
        <w:t xml:space="preserve">0</w:t>
      </w:r>
      <w:r>
        <w:rPr>
          <w:rFonts w:hint="eastAsia" w:ascii="宋体" w:hAnsi="宋体" w:eastAsia="宋体" w:cs="宋体"/>
          <w:b/>
          <w:sz w:val="24"/>
          <w:szCs w:val="24"/>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21.评标委员会或评标小组</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21.1评标委员会由采购人或采购代理机构依法组建。</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21.2评标委员会负责具体的评标事务，并独立履行以下职责：</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21.2.1审查、评价投标文件是否符合招标文件的商务、技术等实质性要求；</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21.2.2要求投标人对投标文件有关事项作出澄清或者说明；</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21.2.3对投标文件进行比较和评价；</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21.2.4确定中标候选人名单，以及根据采购人委托直接确定中标人；</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21.2.5向采购人、采购代理机构或者有关部门报告评标中发现的违法行为。</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21.3评标委员会成员应当履行下列义务：</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21.3.1遵纪守法，客观、公正、廉洁地履行职责；</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21.3.2按照招标文件规定的评标办法和评标标准进行评标，对评审意见承担个人责任；</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21.3.3对评标过程和结果，以及投标人的商业秘密保密；</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21.3.4参与评审报告的起草；</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21.3.5配合相关部门的投诉处理工作；</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21.3.6配合采购人或采购代理机构答复投标供应商提出的质疑。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22.评标内容的保密</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22.1公开开标后，直到宣布授予中标单位合同为止，凡属于审查、澄清、评价和比较投标的所有资料，有关授予合同的信息都不应向投标人或与评标无关的其他人泄露。</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22.2在投标文件的审查、澄清、评价和比较以及授予合同的过程中，投标人对采购人或采购代理机构和评标委员会成员施加影响的任何行为，都将取消其中标资格。</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22.3在评标期间，采购人或采购代理机构将通过指定联络人与投标人进行联系。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23.对投标文件初审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23.1开标后，评标委员会在初审过程中有权拒绝有下列情况之一的投标文件：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23.1.1投标人的投标文件未按照本须知规定制作的；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23.1.2与招标文件有重大偏离；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23.1.3投标人拒绝修正错误；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23.1.4投标人的报价是选择性的；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23.1.5投标人的报价只投了部分内容；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23.1.6投标人的投标文件出现了评标委员会认为不应当雷同的情况；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23.1.7其他被评标委员会认定无效的情况。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采购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23.4评标委员会将拒绝被确定为非实质性响应的投标，投标人不能通过修正或撤销不符之处而使其投标成为实质性响应的投标。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同时出现两种以上不一致的，按照前款规定的顺序修正。修正后的报价按照本须知25.1第二款的规定经投标人确认后产生约束力，投标人不确认的，其投标无效。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（五）投标人不同意以上修正，则其投标将被拒绝。</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23.6根据江苏省财政厅《关于推动解决政府采购异常低价问题的通知》（苏财购〔2026〕36号）要求，本项目执行评审委员会启动异常低价投标（响应）的审查，相关情形和具体要求如下：</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（1）评审过程中出现下列情形之一的，评审委员会应当启动异常低价投标（响应）审查程序：</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①投标(响应)报价低于全部通过符合性审查供应商投标(响应)报价平均值50%的，即投标(响应)报价&lt;全部通过符合性审查供应商投标(响应)报价平均值X50%；</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②投标(响应)报价低于通过符合性审查的次低报价供应商投标(响应)报价50%的，即投标(响应)报价&lt;通过符合性审查的次低报价供应商投标(响应)报价X50%；</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③投标(响应)报价低于采购项目最高限价45%的，即投标(响应)报价&lt;采购项目最高限价X45%；</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④评审委员会基于专业判断，认为供应商报价过低，有可能影响产品质量或者不能诚信履约的其他情形。</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23.7除上述情形外，对电子投标文件的判定，只依据电子投标文件本身，不依靠开标后的任何外来证明。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24.投标的澄清</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.1对于投标文件中含义不明确、同类问题表述不一致或者有明显文字和计算错误的内容，评标委员会应当以书面形式要求投标人作出必要的澄清、说明或者补正。</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公章。投标人的澄清、说明或者补正不得超出投标文件的范围或者改变投标文件的实质性内容。</w:t>
      </w:r>
      <w:r/>
    </w:p>
    <w:p>
      <w:pPr>
        <w:pStyle w:val="905"/>
        <w:ind w:firstLine="422"/>
        <w:spacing w:line="360" w:lineRule="auto"/>
        <w:rPr>
          <w:rFonts w:hint="eastAsia" w:ascii="宋体" w:hAnsi="宋体" w:eastAsia="宋体" w:cs="宋体"/>
          <w:color w:val="000000"/>
          <w:sz w:val="24"/>
          <w:szCs w:val="24"/>
        </w:rPr>
      </w:pPr>
      <w:r>
        <w:rPr>
          <w:rFonts w:hint="eastAsia" w:ascii="宋体" w:hAnsi="宋体" w:eastAsia="宋体" w:cs="宋体"/>
          <w:b/>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sz w:val="24"/>
          <w:szCs w:val="24"/>
        </w:rPr>
        <w:t xml:space="preserve">供应商应随时保持系统在线，如因供应商自身原因未在规定时间内提交澄清确认资料的，导致的不利后果由供应商自行承担。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25.1在招标过程中，出现下列情况之一的，应予废标：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25.1.1符合专业条件的供应商或者对招标文件作实质响应的供应商不足三家的；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25.1.2出现影响采购公正的违法、违规行为的；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25.1.3投标人的报价均超过了采购预算，采购人不能支付的；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25.1.4因重大变故，采购任务取消的；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25.2废标后，采购代理机构将把废标的理由通知所有投标人。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26.投标文件的评价和比较</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26.1评标委员会将仅对按照本须知有关规定确定为实质上响应招标文件要求的投标文件进行评价和比较。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26.2评价和比较采用综合评分法，即指投标文件满足招标文件全部实质性要求，且按照评审因素的量化指标评审得分最高的投标人为排名第一的中标候选人的评标方法。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评标委员会严格按照招标文件的要求、条件、评分标准，对投标单位所提供货物或服务的先进性、可靠性、售后服务承诺、质量保证承诺等实质性响应内容进行比较报价，同时考虑以下因素：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26.2.1投标者的资信情况和履约能力；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26.2.2投标者提供的其他优惠条件；</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26.3最低的投标报价或最高的折扣比例是中标的重要条件，但不是唯一条件。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G授予合同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27.中标单位的确认</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27.1由招标人在评审报告推荐的中标候选人中按顺序确定中标供应商。逾期未确认，视同确定排名第一的中标候选人为中标供应商。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27.2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28.合同授予标准</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28.1采购人将把合同授予其投标文件在实质上响应招标文件要求和按本须知规定评选出的投标人。确定为中标的投标人必须具有实施本合同的能力和资源。</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29.中标通知书</w:t>
      </w:r>
      <w:r/>
    </w:p>
    <w:p>
      <w:pPr>
        <w:pStyle w:val="905"/>
        <w:ind w:firstLine="420"/>
        <w:spacing w:line="360" w:lineRule="auto"/>
        <w:rPr>
          <w:rFonts w:hint="eastAsia" w:ascii="宋体" w:hAnsi="宋体" w:eastAsia="宋体" w:cs="宋体"/>
          <w:b/>
          <w:sz w:val="24"/>
          <w:szCs w:val="24"/>
        </w:rPr>
      </w:pPr>
      <w:r>
        <w:rPr>
          <w:rFonts w:hint="eastAsia" w:ascii="宋体" w:hAnsi="宋体" w:eastAsia="宋体" w:cs="宋体"/>
          <w:sz w:val="24"/>
          <w:szCs w:val="24"/>
          <w:lang w:val="en-US"/>
        </w:rPr>
        <w:t xml:space="preserve">29</w:t>
      </w:r>
      <w:r>
        <w:rPr>
          <w:rFonts w:hint="eastAsia" w:ascii="宋体" w:hAnsi="宋体" w:eastAsia="宋体" w:cs="宋体"/>
          <w:sz w:val="24"/>
          <w:szCs w:val="24"/>
        </w:rPr>
        <w:t xml:space="preserve">.1确定出中标人后，采购代理机构在法定时间内向中标人发出中标通知书。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29</w:t>
      </w:r>
      <w:r>
        <w:rPr>
          <w:rFonts w:hint="eastAsia" w:ascii="宋体" w:hAnsi="宋体" w:eastAsia="宋体" w:cs="宋体"/>
          <w:sz w:val="24"/>
          <w:szCs w:val="24"/>
        </w:rPr>
        <w:t xml:space="preserve">.2中标通知书将成为合同的组成部分，对采购人和中标人具有同等法律效力。</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29</w:t>
      </w:r>
      <w:r>
        <w:rPr>
          <w:rFonts w:hint="eastAsia" w:ascii="宋体" w:hAnsi="宋体" w:eastAsia="宋体" w:cs="宋体"/>
          <w:sz w:val="24"/>
          <w:szCs w:val="24"/>
        </w:rPr>
        <w:t xml:space="preserve">.3中标通知书发出后，采购人不得违法改变中标结果，中标人无正当理由不得放弃中标。</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29.4采购人或采购代理机构对未中标单位不承担解释未中标原因的义务。</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30.合同的签订</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.1 按照《关于印发&lt;苏州市政府采购促进中小企业发展实施意见&gt;的通知》（苏财购〔2022〕16号）文件精神，采购人与中标人原则上应当在中标通知书发出之日起十五日（</w:t>
      </w:r>
      <w:r>
        <w:rPr>
          <w:rFonts w:hint="eastAsia" w:ascii="宋体" w:hAnsi="宋体" w:eastAsia="宋体" w:cs="宋体"/>
          <w:sz w:val="24"/>
          <w:szCs w:val="24"/>
          <w:lang w:val="en-US"/>
        </w:rPr>
        <w:t xml:space="preserve">最迟30日</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内</w:t>
      </w:r>
      <w:r>
        <w:rPr>
          <w:rFonts w:hint="eastAsia" w:ascii="宋体" w:hAnsi="宋体" w:eastAsia="宋体" w:cs="宋体"/>
          <w:sz w:val="24"/>
          <w:szCs w:val="24"/>
        </w:rPr>
        <w:t xml:space="preserve">，按照招标文件及投标文件确定的事项签订政府采购合同。</w:t>
      </w:r>
      <w:r/>
    </w:p>
    <w:p>
      <w:pPr>
        <w:pStyle w:val="905"/>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.2 </w:t>
      </w:r>
      <w:r>
        <w:rPr>
          <w:rFonts w:hint="eastAsia" w:ascii="宋体" w:hAnsi="宋体" w:eastAsia="宋体" w:cs="宋体"/>
          <w:sz w:val="24"/>
          <w:szCs w:val="24"/>
          <w:lang w:val="en-US"/>
        </w:rPr>
        <w:t xml:space="preserve">采购人与中标人所签订的合同不得对招标文件确定的事项和中标人投标文件作实质性修改，采购人不得向中标人提出任何不合理的要求作为签订合同的条件。</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.3招标文件、中标人的投标文件及招标过程中有关澄清、承诺文件均应作为合同附件。</w:t>
      </w:r>
      <w:r/>
    </w:p>
    <w:p>
      <w:pPr>
        <w:pStyle w:val="905"/>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30.6中标或者成交供应商拒绝与招标人签订合同的，招标人可以按照评审报告推荐的中标或者成交候选人名单排序，确定下一候选人为中标或者成交供应商，也可以重新开展政府采购活动。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31.履约保证金：按前附表的规定提交履约保证金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H其他事项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32.代理服务费</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32.1中标单位须按前附表的规定计算并支付代理服务费，该费用应在领取中标通知书时付清。</w:t>
      </w:r>
      <w:r/>
    </w:p>
    <w:p>
      <w:pPr>
        <w:pStyle w:val="884"/>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32.2中标单位如果未按规定缴纳代理服务费，采购代理机构将保留诉讼的权利。</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33.监督和公证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33.1有关监督部门将对招投标全过程进行监督。</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34.未尽事宜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rPr>
          <w:rFonts w:hint="eastAsia" w:ascii="宋体" w:hAnsi="宋体" w:eastAsia="宋体"/>
        </w:rPr>
      </w:pPr>
      <w:r>
        <w:rPr>
          <w:rFonts w:hint="eastAsia" w:ascii="宋体" w:hAnsi="宋体" w:eastAsia="宋体"/>
        </w:rPr>
      </w:r>
      <w:r/>
    </w:p>
    <w:p>
      <w:pPr>
        <w:jc w:val="center"/>
        <w:keepLines/>
        <w:keepNext/>
        <w:spacing w:before="340" w:after="330" w:line="578" w:lineRule="auto"/>
        <w:rPr>
          <w:rFonts w:hint="eastAsia" w:ascii="宋体" w:hAnsi="宋体" w:eastAsia="宋体"/>
          <w:b/>
          <w:bCs/>
          <w:color w:val="000000"/>
          <w:sz w:val="32"/>
          <w:szCs w:val="32"/>
        </w:rPr>
        <w:outlineLvl w:val="0"/>
      </w:pPr>
      <w:r>
        <w:rPr>
          <w:rFonts w:ascii="宋体" w:hAnsi="宋体" w:eastAsia="宋体"/>
          <w:b/>
          <w:bCs/>
          <w:color w:val="000000"/>
          <w:sz w:val="28"/>
          <w:szCs w:val="28"/>
        </w:rPr>
        <w:br w:type="page" w:clear="all"/>
      </w:r>
      <w:r>
        <w:rPr>
          <w:rFonts w:ascii="宋体" w:hAnsi="宋体" w:eastAsia="宋体"/>
          <w:b/>
          <w:bCs/>
          <w:color w:val="000000"/>
          <w:sz w:val="32"/>
          <w:szCs w:val="32"/>
        </w:rPr>
        <w:t xml:space="preserve">第三章投标文件格式</w:t>
      </w:r>
      <w:bookmarkEnd w:id="7"/>
      <w:r/>
      <w:bookmarkEnd w:id="8"/>
      <w:r/>
      <w:r/>
    </w:p>
    <w:p>
      <w:pPr>
        <w:ind w:firstLine="480"/>
        <w:spacing w:line="360" w:lineRule="auto"/>
        <w:rPr>
          <w:rFonts w:hint="eastAsia" w:ascii="宋体" w:hAnsi="宋体" w:eastAsia="宋体"/>
          <w:sz w:val="24"/>
          <w:szCs w:val="24"/>
        </w:rPr>
      </w:pPr>
      <w:r>
        <w:rPr>
          <w:rFonts w:ascii="宋体" w:hAnsi="宋体" w:eastAsia="宋体"/>
          <w:sz w:val="24"/>
          <w:szCs w:val="24"/>
        </w:rPr>
        <w:t xml:space="preserve">说明：</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对本章所有的投标书格式，投标人可根据自身情况进行补充和修改，但补充和修改不得造成与本格式内容有实质性的违背。</w:t>
      </w:r>
      <w:r/>
    </w:p>
    <w:p>
      <w:pPr>
        <w:ind w:firstLine="420"/>
        <w:spacing w:line="360" w:lineRule="auto"/>
        <w:rPr>
          <w:rFonts w:hint="eastAsia" w:ascii="宋体" w:hAnsi="宋体" w:eastAsia="宋体"/>
        </w:rPr>
      </w:pPr>
      <w:r>
        <w:rPr>
          <w:rFonts w:hint="eastAsia" w:ascii="宋体" w:hAnsi="宋体" w:eastAsia="宋体"/>
        </w:rPr>
      </w:r>
      <w:r/>
    </w:p>
    <w:p>
      <w:pPr>
        <w:pStyle w:val="884"/>
        <w:ind w:firstLine="0"/>
        <w:spacing w:line="360" w:lineRule="auto"/>
        <w:rPr>
          <w:rFonts w:hint="eastAsia" w:ascii="宋体" w:hAnsi="宋体" w:eastAsia="宋体" w:cs="宋体"/>
          <w:b/>
          <w:sz w:val="24"/>
          <w:szCs w:val="24"/>
        </w:rPr>
        <w:outlineLvl w:val="1"/>
      </w:pPr>
      <w:r>
        <w:rPr>
          <w:rFonts w:ascii="宋体" w:hAnsi="宋体" w:eastAsia="宋体"/>
        </w:rPr>
        <w:br w:type="page" w:clear="all"/>
      </w:r>
      <w:r>
        <w:rPr>
          <w:rFonts w:hint="eastAsia" w:ascii="宋体" w:hAnsi="宋体" w:eastAsia="宋体" w:cs="宋体"/>
          <w:b/>
          <w:sz w:val="24"/>
          <w:szCs w:val="24"/>
        </w:rPr>
        <w:t xml:space="preserve">1、（投标人）法定代表人授权委托书</w:t>
      </w:r>
      <w:r/>
    </w:p>
    <w:p>
      <w:pPr>
        <w:pStyle w:val="884"/>
        <w:ind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授权委托书</w:t>
      </w:r>
      <w:r/>
    </w:p>
    <w:p>
      <w:pPr>
        <w:pStyle w:val="884"/>
        <w:ind w:firstLine="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（姓名）     </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        </w:t>
      </w:r>
      <w:r>
        <w:rPr>
          <w:rFonts w:hint="eastAsia" w:ascii="宋体" w:hAnsi="宋体" w:eastAsia="宋体" w:cs="宋体"/>
          <w:sz w:val="24"/>
          <w:szCs w:val="24"/>
        </w:rPr>
        <w:t xml:space="preserve">的法定代表人，现授权委托</w:t>
      </w:r>
      <w:r>
        <w:rPr>
          <w:rFonts w:hint="eastAsia" w:ascii="宋体" w:hAnsi="宋体" w:eastAsia="宋体" w:cs="宋体"/>
          <w:sz w:val="24"/>
          <w:szCs w:val="24"/>
          <w:u w:val="single"/>
        </w:rPr>
        <w:t xml:space="preserve">（投标人名称）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（姓名）      </w:t>
      </w:r>
      <w:r>
        <w:rPr>
          <w:rFonts w:hint="eastAsia" w:ascii="宋体" w:hAnsi="宋体" w:eastAsia="宋体" w:cs="宋体"/>
          <w:sz w:val="24"/>
          <w:szCs w:val="24"/>
        </w:rPr>
        <w:t xml:space="preserve">为我公司代理人，以本公司的名义参加苏州市永诚建设咨询有限公司组织实施的编号为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号的招标活动。代理人在开标、评标、合同招标过程中所签署的一切文件和处理与这有关的一切事务，我均予以承认。</w:t>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代理人：（签字或盖章）</w:t>
      </w:r>
      <w:r/>
    </w:p>
    <w:p>
      <w:pPr>
        <w:pStyle w:val="884"/>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pStyle w:val="884"/>
        <w:ind w:firstLine="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2、投标函</w:t>
      </w:r>
      <w:r/>
    </w:p>
    <w:p>
      <w:pPr>
        <w:pStyle w:val="907"/>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907"/>
        <w:jc w:val="center"/>
        <w:spacing w:line="360" w:lineRule="auto"/>
        <w:rPr>
          <w:rFonts w:hint="eastAsia" w:hAnsi="宋体" w:eastAsia="宋体" w:cs="宋体"/>
          <w:b/>
          <w:sz w:val="24"/>
          <w:szCs w:val="24"/>
        </w:rPr>
      </w:pPr>
      <w:r>
        <w:rPr>
          <w:rFonts w:hint="eastAsia" w:hAnsi="宋体" w:eastAsia="宋体" w:cs="宋体"/>
          <w:b/>
          <w:sz w:val="24"/>
          <w:szCs w:val="24"/>
        </w:rPr>
        <w:t xml:space="preserve">投标函</w:t>
      </w:r>
      <w:r/>
    </w:p>
    <w:p>
      <w:pPr>
        <w:pStyle w:val="907"/>
        <w:jc w:val="center"/>
        <w:spacing w:line="360" w:lineRule="auto"/>
        <w:rPr>
          <w:rFonts w:hint="eastAsia" w:hAnsi="宋体" w:eastAsia="宋体" w:cs="宋体"/>
          <w:sz w:val="24"/>
          <w:szCs w:val="24"/>
        </w:rPr>
      </w:pPr>
      <w:r>
        <w:rPr>
          <w:rFonts w:hint="eastAsia" w:hAnsi="宋体" w:eastAsia="宋体" w:cs="宋体"/>
          <w:sz w:val="24"/>
          <w:szCs w:val="24"/>
        </w:rPr>
      </w:r>
      <w:r/>
    </w:p>
    <w:p>
      <w:pPr>
        <w:pStyle w:val="907"/>
        <w:spacing w:line="360" w:lineRule="auto"/>
        <w:rPr>
          <w:rFonts w:hint="eastAsia" w:hAnsi="宋体" w:eastAsia="宋体" w:cs="宋体"/>
          <w:sz w:val="24"/>
          <w:szCs w:val="24"/>
        </w:rPr>
      </w:pPr>
      <w:r>
        <w:rPr>
          <w:rFonts w:hint="eastAsia" w:hAnsi="宋体" w:eastAsia="宋体" w:cs="宋体"/>
          <w:sz w:val="24"/>
          <w:szCs w:val="24"/>
          <w:u w:val="single"/>
        </w:rPr>
        <w:t xml:space="preserve"> 苏州市永诚建设咨询有限公司 </w:t>
      </w:r>
      <w:r>
        <w:rPr>
          <w:rFonts w:hint="eastAsia" w:hAnsi="宋体" w:eastAsia="宋体" w:cs="宋体"/>
          <w:sz w:val="24"/>
          <w:szCs w:val="24"/>
        </w:rPr>
        <w:t xml:space="preserve">：</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我们收到贵公司</w:t>
      </w:r>
      <w:r>
        <w:rPr>
          <w:rFonts w:hint="eastAsia" w:hAnsi="宋体" w:eastAsia="宋体" w:cs="宋体"/>
          <w:sz w:val="24"/>
          <w:szCs w:val="24"/>
          <w:u w:val="single"/>
        </w:rPr>
        <w:t xml:space="preserve">       </w:t>
      </w:r>
      <w:r>
        <w:rPr>
          <w:rFonts w:hint="eastAsia" w:hAnsi="宋体" w:eastAsia="宋体" w:cs="宋体"/>
          <w:sz w:val="24"/>
          <w:szCs w:val="24"/>
        </w:rPr>
        <w:t xml:space="preserve">号招标文件，经仔细阅读和研究，我们决定参加投标。</w:t>
      </w:r>
      <w:r/>
    </w:p>
    <w:p>
      <w:pPr>
        <w:pStyle w:val="908"/>
        <w:ind w:firstLine="480"/>
        <w:spacing w:line="360" w:lineRule="auto"/>
        <w:rPr>
          <w:rFonts w:hint="eastAsia" w:hAnsi="宋体" w:eastAsia="宋体" w:cs="宋体"/>
          <w:sz w:val="24"/>
          <w:szCs w:val="24"/>
        </w:rPr>
      </w:pPr>
      <w:r>
        <w:rPr>
          <w:rFonts w:hint="eastAsia" w:hAnsi="宋体" w:eastAsia="宋体" w:cs="宋体"/>
          <w:sz w:val="24"/>
          <w:szCs w:val="24"/>
        </w:rPr>
        <w:t xml:space="preserve">1、我们愿意按照招标文件的一切要求，提供完成该项目的全部内容。</w:t>
      </w:r>
      <w:r>
        <w:rPr>
          <w:rFonts w:hint="eastAsia" w:hAnsi="宋体" w:eastAsia="宋体" w:cs="宋体"/>
          <w:sz w:val="24"/>
          <w:szCs w:val="24"/>
          <w:lang w:val="zh-TW" w:eastAsia="zh-TW"/>
        </w:rPr>
        <w:t xml:space="preserve">除非合同中另有规定，</w:t>
      </w:r>
      <w:r>
        <w:rPr>
          <w:rFonts w:hint="eastAsia" w:hAnsi="宋体" w:eastAsia="宋体" w:cs="宋体"/>
          <w:sz w:val="24"/>
          <w:szCs w:val="24"/>
        </w:rPr>
        <w:t xml:space="preserve">我们</w:t>
      </w:r>
      <w:r>
        <w:rPr>
          <w:rFonts w:hint="eastAsia" w:hAnsi="宋体" w:eastAsia="宋体" w:cs="宋体"/>
          <w:sz w:val="24"/>
          <w:szCs w:val="24"/>
          <w:lang w:val="zh-TW" w:eastAsia="zh-TW"/>
        </w:rPr>
        <w:t xml:space="preserve">对《</w:t>
      </w:r>
      <w:r>
        <w:rPr>
          <w:rFonts w:hint="eastAsia" w:hAnsi="宋体" w:eastAsia="宋体" w:cs="宋体"/>
          <w:sz w:val="24"/>
          <w:szCs w:val="24"/>
          <w:lang w:val="zh-TW"/>
        </w:rPr>
        <w:t xml:space="preserve">开标一览表</w:t>
      </w:r>
      <w:r>
        <w:rPr>
          <w:rFonts w:hint="eastAsia" w:hAnsi="宋体" w:eastAsia="宋体" w:cs="宋体"/>
          <w:sz w:val="24"/>
          <w:szCs w:val="24"/>
          <w:lang w:val="zh-TW" w:eastAsia="zh-TW"/>
        </w:rPr>
        <w:t xml:space="preserve">》中的全部货物和服务的报价包括完成本项目服务内容所需的人员工资、加班费、服装、福利、器材保养、耗材、意外险、高温费、节假日补贴以及国家规定的社会保险、管理费、人员培训费、通讯、胸卡、各种税费、保险、劳保、利润、税金、政策性文件规定及合同包含的所有风险、责任等各项应有费用。</w:t>
      </w:r>
      <w:r/>
    </w:p>
    <w:p>
      <w:pPr>
        <w:pStyle w:val="908"/>
        <w:ind w:firstLine="480"/>
        <w:spacing w:line="360" w:lineRule="auto"/>
        <w:rPr>
          <w:rFonts w:hint="eastAsia" w:hAnsi="宋体" w:eastAsia="宋体" w:cs="宋体"/>
          <w:sz w:val="24"/>
          <w:szCs w:val="24"/>
        </w:rPr>
      </w:pPr>
      <w:r>
        <w:rPr>
          <w:rFonts w:hint="eastAsia" w:hAnsi="宋体" w:eastAsia="宋体" w:cs="宋体"/>
          <w:sz w:val="24"/>
          <w:szCs w:val="24"/>
        </w:rPr>
        <w:t xml:space="preserve">2、如果我们的投标书被接受，我们将严格履行招标文件中规定的每一项要求，按期、按质、按量履行合同的义务。</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3、我们已详细审查全部招标文件，包括补充文件(如果有)。我们完全理解并同意放弃对这方面有不明及误解的权力。</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4、我们同意按招标文件中的规定，本投标书的有效期限为投标截止日起</w:t>
      </w:r>
      <w:r>
        <w:rPr>
          <w:rFonts w:hint="eastAsia" w:hAnsi="宋体" w:eastAsia="宋体" w:cs="宋体"/>
          <w:sz w:val="24"/>
          <w:szCs w:val="24"/>
          <w:u w:val="single"/>
        </w:rPr>
        <w:t xml:space="preserve">九十</w:t>
      </w:r>
      <w:r>
        <w:rPr>
          <w:rFonts w:hint="eastAsia" w:hAnsi="宋体" w:eastAsia="宋体" w:cs="宋体"/>
          <w:sz w:val="24"/>
          <w:szCs w:val="24"/>
        </w:rPr>
        <w:t xml:space="preserve">天。</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5、我们愿意提供采购人或采购代理机构在招标文件中要求的所有资料。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我们声明：我们在参加本次政府采购活动前3年内在经营活动中没有重大违法记录。</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7、我们愿意遵守招标公告及招标文件中所列的收费标准。</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8、我们承诺该项投标在开标后的全过程中保持有效，不作任何更改和变动。</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9、我们愿意按招标文件的规定交纳投标保证金，并同意投标人须知中关于不予退还投标保证金的规定。</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10、如果我们中标，我们愿意按招标文件规定支付代理服务费和履约保证金。</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11、我们承诺我公司符合招标文件投标人须知中“合格投标人的资格条件”的要求，若与真实情况不符，本公司愿意承担由此而产生的一切后果。</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12、综合说明：</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（1）伴随服务及配合措施；</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（2）要求甲方提供的配合；</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（3）对招标文件有不同意见的偏离说明；</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（4）其它说明。</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所有有关标书的函电，请按下列地址联系：</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单位：</w:t>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 xml:space="preserve">联系人：</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地址：</w:t>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 xml:space="preserve">邮政编码：</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联系电话：</w:t>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 xml:space="preserve">传真：</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电子邮箱：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pStyle w:val="884"/>
        <w:ind w:firstLine="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3、开标一览表</w:t>
      </w:r>
      <w:r/>
    </w:p>
    <w:p>
      <w:pPr>
        <w:pStyle w:val="908"/>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908"/>
        <w:jc w:val="center"/>
        <w:spacing w:line="360" w:lineRule="auto"/>
        <w:rPr>
          <w:rFonts w:hint="eastAsia" w:hAnsi="宋体" w:eastAsia="宋体" w:cs="宋体"/>
          <w:b/>
          <w:sz w:val="24"/>
          <w:szCs w:val="24"/>
        </w:rPr>
      </w:pPr>
      <w:r>
        <w:rPr>
          <w:rFonts w:hint="eastAsia" w:hAnsi="宋体" w:eastAsia="宋体" w:cs="宋体"/>
          <w:b/>
          <w:sz w:val="24"/>
          <w:szCs w:val="24"/>
        </w:rPr>
        <w:t xml:space="preserve">开标一览表（以苏采云系统为准）</w:t>
      </w:r>
      <w:r/>
    </w:p>
    <w:p>
      <w:pPr>
        <w:pStyle w:val="908"/>
        <w:jc w:val="center"/>
        <w:spacing w:line="360" w:lineRule="auto"/>
        <w:rPr>
          <w:rFonts w:hint="eastAsia" w:hAnsi="宋体" w:eastAsia="宋体" w:cs="宋体"/>
          <w:b/>
          <w:sz w:val="24"/>
          <w:szCs w:val="24"/>
        </w:rPr>
      </w:pPr>
      <w:r>
        <w:rPr>
          <w:rFonts w:hint="eastAsia" w:hAnsi="宋体" w:eastAsia="宋体" w:cs="宋体"/>
          <w:b/>
          <w:sz w:val="24"/>
          <w:szCs w:val="24"/>
        </w:rPr>
      </w:r>
      <w:r/>
    </w:p>
    <w:tbl>
      <w:tblPr>
        <w:tblStyle w:val="883"/>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981"/>
        <w:gridCol w:w="2392"/>
        <w:gridCol w:w="3767"/>
      </w:tblGrid>
      <w:tr>
        <w:trPr>
          <w:jc w:val="center"/>
          <w:trHeight w:val="1036"/>
        </w:trPr>
        <w:tc>
          <w:tcPr>
            <w:tcW w:w="7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98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2392" w:type="dxa"/>
            <w:vAlign w:val="center"/>
            <w:textDirection w:val="lrTb"/>
            <w:noWrap w:val="false"/>
          </w:tcPr>
          <w:p>
            <w:pPr>
              <w:jc w:val="center"/>
              <w:spacing w:before="120" w:after="120" w:line="360" w:lineRule="auto"/>
              <w:rPr>
                <w:rFonts w:hint="eastAsia" w:ascii="宋体" w:hAnsi="宋体" w:eastAsia="宋体" w:cs="宋体"/>
                <w:sz w:val="24"/>
                <w:szCs w:val="24"/>
              </w:rPr>
            </w:pPr>
            <w:r>
              <w:rPr>
                <w:rFonts w:hint="eastAsia" w:ascii="宋体" w:hAnsi="宋体" w:eastAsia="宋体" w:cs="宋体"/>
                <w:bCs/>
                <w:sz w:val="24"/>
                <w:szCs w:val="24"/>
              </w:rPr>
              <w:t xml:space="preserve">投标总价（元）</w:t>
            </w:r>
            <w:r/>
          </w:p>
        </w:tc>
        <w:tc>
          <w:tcPr>
            <w:tcW w:w="376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服务期限</w:t>
            </w:r>
            <w:r/>
          </w:p>
        </w:tc>
      </w:tr>
      <w:tr>
        <w:trPr>
          <w:jc w:val="center"/>
          <w:trHeight w:val="672"/>
        </w:trPr>
        <w:tc>
          <w:tcPr>
            <w:tcW w:w="7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981" w:type="dxa"/>
            <w:vAlign w:val="center"/>
            <w:textDirection w:val="lrTb"/>
            <w:noWrap w:val="false"/>
          </w:tcPr>
          <w:p>
            <w:pPr>
              <w:jc w:val="center"/>
              <w:spacing w:line="360" w:lineRule="auto"/>
              <w:widowControl/>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2392" w:type="dxa"/>
            <w:vAlign w:val="center"/>
            <w:textDirection w:val="lrTb"/>
            <w:noWrap w:val="false"/>
          </w:tcPr>
          <w:p>
            <w:pPr>
              <w:jc w:val="cente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tc>
        <w:tc>
          <w:tcPr>
            <w:tcW w:w="376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84"/>
        <w:ind w:firstLine="0"/>
        <w:spacing w:line="360" w:lineRule="auto"/>
        <w:rPr>
          <w:rFonts w:hint="eastAsia" w:ascii="宋体" w:hAnsi="宋体" w:eastAsia="宋体" w:cs="宋体"/>
          <w:sz w:val="24"/>
          <w:szCs w:val="24"/>
        </w:rPr>
        <w:outlineLvl w:val="1"/>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6"/>
        <w:ind w:firstLine="480"/>
        <w:spacing w:line="360" w:lineRule="auto"/>
        <w:rPr>
          <w:rFonts w:hint="eastAsia" w:hAnsi="宋体" w:eastAsia="宋体" w:cs="宋体"/>
          <w:sz w:val="24"/>
          <w:szCs w:val="24"/>
        </w:rPr>
      </w:pPr>
      <w:r>
        <w:rPr>
          <w:rFonts w:hint="eastAsia" w:hAnsi="宋体" w:eastAsia="宋体" w:cs="宋体"/>
          <w:sz w:val="24"/>
          <w:szCs w:val="24"/>
        </w:rPr>
      </w:r>
      <w:r/>
    </w:p>
    <w:p>
      <w:pPr>
        <w:pStyle w:val="906"/>
        <w:ind w:firstLine="480"/>
        <w:spacing w:line="360" w:lineRule="auto"/>
        <w:rPr>
          <w:rFonts w:hint="eastAsia" w:hAnsi="宋体" w:eastAsia="宋体" w:cs="宋体"/>
          <w:sz w:val="24"/>
          <w:szCs w:val="24"/>
        </w:rPr>
      </w:pPr>
      <w:r>
        <w:rPr>
          <w:rFonts w:hint="eastAsia"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6"/>
        <w:ind w:firstLine="480"/>
        <w:spacing w:line="360" w:lineRule="auto"/>
        <w:rPr>
          <w:rFonts w:hint="eastAsia" w:hAnsi="宋体" w:eastAsia="宋体" w:cs="宋体"/>
          <w:sz w:val="24"/>
          <w:szCs w:val="24"/>
        </w:rPr>
      </w:pPr>
      <w:r>
        <w:rPr>
          <w:rFonts w:hint="eastAsia"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06"/>
        <w:ind w:firstLine="0"/>
        <w:spacing w:line="360" w:lineRule="auto"/>
        <w:rPr>
          <w:rFonts w:hint="eastAsia" w:hAnsi="宋体" w:eastAsia="宋体" w:cs="宋体"/>
          <w:b/>
          <w:sz w:val="24"/>
          <w:szCs w:val="24"/>
        </w:rPr>
      </w:pPr>
      <w:r>
        <w:rPr>
          <w:rFonts w:eastAsia="宋体"/>
          <w:szCs w:val="21"/>
        </w:rPr>
        <w:br w:type="page" w:clear="all"/>
      </w:r>
      <w:r>
        <w:rPr>
          <w:rFonts w:hint="eastAsia" w:hAnsi="宋体" w:eastAsia="宋体" w:cs="宋体"/>
          <w:b/>
          <w:sz w:val="24"/>
          <w:szCs w:val="24"/>
        </w:rPr>
        <w:t xml:space="preserve">4、投标报价明细表</w:t>
      </w:r>
      <w:r/>
    </w:p>
    <w:p>
      <w:pPr>
        <w:pStyle w:val="907"/>
        <w:jc w:val="center"/>
        <w:spacing w:line="360" w:lineRule="auto"/>
        <w:rPr>
          <w:rFonts w:hint="eastAsia" w:hAnsi="宋体" w:eastAsia="宋体" w:cs="宋体"/>
          <w:b/>
          <w:sz w:val="24"/>
          <w:szCs w:val="24"/>
        </w:rPr>
      </w:pPr>
      <w:r>
        <w:rPr>
          <w:rFonts w:hint="eastAsia" w:hAnsi="宋体" w:eastAsia="宋体" w:cs="宋体"/>
          <w:b/>
          <w:bCs/>
          <w:sz w:val="24"/>
          <w:szCs w:val="24"/>
        </w:rPr>
        <w:t xml:space="preserve">投标报价明细表</w:t>
      </w:r>
      <w:r/>
    </w:p>
    <w:p>
      <w:pPr>
        <w:pStyle w:val="906"/>
        <w:ind w:firstLine="0"/>
        <w:jc w:val="center"/>
        <w:spacing w:line="360" w:lineRule="auto"/>
        <w:rPr>
          <w:rFonts w:hint="eastAsia" w:hAnsi="宋体" w:eastAsia="宋体" w:cs="宋体"/>
          <w:b/>
          <w:bCs/>
          <w:sz w:val="24"/>
          <w:szCs w:val="24"/>
        </w:rPr>
      </w:pPr>
      <w:r>
        <w:rPr>
          <w:rFonts w:hint="eastAsia" w:hAnsi="宋体" w:eastAsia="宋体" w:cs="宋体"/>
          <w:b/>
          <w:bCs/>
          <w:sz w:val="24"/>
          <w:szCs w:val="24"/>
        </w:rPr>
      </w:r>
      <w:r/>
    </w:p>
    <w:tbl>
      <w:tblPr>
        <w:tblStyle w:val="883"/>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单位/数量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t xml:space="preserve">2.报价分析表包含投标单位各项成本核算和投入的成本明细，合计金额应与开标一览表金额一致；否则，以开标一览表为准。</w:t>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w:t>
      </w:r>
      <w:r>
        <w:rPr>
          <w:rFonts w:hint="eastAsia" w:ascii="宋体" w:hAnsi="宋体" w:eastAsia="宋体" w:cs="宋体"/>
          <w:bCs/>
          <w:sz w:val="24"/>
          <w:szCs w:val="24"/>
        </w:rPr>
        <w:t xml:space="preserve">若事</w:t>
      </w:r>
      <w:r>
        <w:rPr>
          <w:rFonts w:hint="eastAsia" w:ascii="宋体" w:hAnsi="宋体" w:eastAsia="宋体" w:cs="宋体"/>
          <w:sz w:val="24"/>
          <w:szCs w:val="24"/>
        </w:rPr>
        <w:t xml:space="preserve">项较多，供应商可根据实际情况另纸说明。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           日期：    年    月    日</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pStyle w:val="884"/>
        <w:ind w:firstLine="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5、商务条款偏离表</w:t>
      </w:r>
      <w:r/>
    </w:p>
    <w:p>
      <w:pPr>
        <w:pStyle w:val="884"/>
        <w:ind w:firstLine="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07"/>
        <w:jc w:val="center"/>
        <w:spacing w:line="360" w:lineRule="auto"/>
        <w:rPr>
          <w:rFonts w:hint="eastAsia" w:hAnsi="宋体" w:eastAsia="宋体" w:cs="宋体"/>
          <w:b/>
          <w:sz w:val="24"/>
          <w:szCs w:val="24"/>
        </w:rPr>
      </w:pPr>
      <w:r>
        <w:rPr>
          <w:rFonts w:hint="eastAsia" w:hAnsi="宋体" w:eastAsia="宋体" w:cs="宋体"/>
          <w:b/>
          <w:sz w:val="24"/>
          <w:szCs w:val="24"/>
        </w:rPr>
        <w:t xml:space="preserve">商务条款偏离表</w:t>
      </w:r>
      <w:r/>
    </w:p>
    <w:p>
      <w:pPr>
        <w:pStyle w:val="884"/>
        <w:ind w:firstLine="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218"/>
        <w:gridCol w:w="2661"/>
        <w:gridCol w:w="2683"/>
        <w:gridCol w:w="1086"/>
      </w:tblGrid>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2218" w:type="dxa"/>
            <w:vAlign w:val="center"/>
            <w:textDirection w:val="lrTb"/>
            <w:noWrap w:val="false"/>
          </w:tcPr>
          <w:p>
            <w:pPr>
              <w:jc w:val="center"/>
              <w:spacing w:before="156" w:after="156"/>
              <w:rPr>
                <w:rFonts w:hint="eastAsia" w:ascii="宋体" w:hAnsi="宋体" w:eastAsia="宋体" w:cs="宋体"/>
                <w:b/>
                <w:sz w:val="24"/>
                <w:szCs w:val="24"/>
              </w:rPr>
            </w:pPr>
            <w:r>
              <w:rPr>
                <w:rFonts w:hint="eastAsia" w:ascii="宋体" w:hAnsi="宋体" w:eastAsia="宋体" w:cs="宋体"/>
                <w:b/>
                <w:sz w:val="24"/>
                <w:szCs w:val="24"/>
              </w:rPr>
              <w:t xml:space="preserve">招标文件条目号</w:t>
            </w:r>
            <w:r/>
          </w:p>
        </w:tc>
        <w:tc>
          <w:tcPr>
            <w:tcW w:w="2661" w:type="dxa"/>
            <w:vAlign w:val="center"/>
            <w:textDirection w:val="lrTb"/>
            <w:noWrap w:val="false"/>
          </w:tcPr>
          <w:p>
            <w:pPr>
              <w:jc w:val="center"/>
              <w:spacing w:before="156" w:after="156"/>
              <w:rPr>
                <w:rFonts w:hint="eastAsia" w:ascii="宋体" w:hAnsi="宋体" w:eastAsia="宋体" w:cs="宋体"/>
                <w:b/>
                <w:sz w:val="24"/>
                <w:szCs w:val="24"/>
              </w:rPr>
            </w:pPr>
            <w:r>
              <w:rPr>
                <w:rFonts w:hint="eastAsia" w:ascii="宋体" w:hAnsi="宋体" w:eastAsia="宋体" w:cs="宋体"/>
                <w:b/>
                <w:sz w:val="24"/>
                <w:szCs w:val="24"/>
              </w:rPr>
              <w:t xml:space="preserve">招标文件的商务条款</w:t>
            </w:r>
            <w:r/>
          </w:p>
        </w:tc>
        <w:tc>
          <w:tcPr>
            <w:tcW w:w="2683" w:type="dxa"/>
            <w:vAlign w:val="center"/>
            <w:textDirection w:val="lrTb"/>
            <w:noWrap w:val="false"/>
          </w:tcPr>
          <w:p>
            <w:pPr>
              <w:jc w:val="center"/>
              <w:spacing w:before="156" w:after="156"/>
              <w:rPr>
                <w:rFonts w:hint="eastAsia" w:ascii="宋体" w:hAnsi="宋体" w:eastAsia="宋体" w:cs="宋体"/>
                <w:b/>
                <w:sz w:val="24"/>
                <w:szCs w:val="24"/>
              </w:rPr>
            </w:pPr>
            <w:r>
              <w:rPr>
                <w:rFonts w:hint="eastAsia" w:ascii="宋体" w:hAnsi="宋体" w:eastAsia="宋体" w:cs="宋体"/>
                <w:b/>
                <w:sz w:val="24"/>
                <w:szCs w:val="24"/>
              </w:rPr>
              <w:t xml:space="preserve">投标文件的商务条款</w:t>
            </w:r>
            <w:r/>
          </w:p>
        </w:tc>
        <w:tc>
          <w:tcPr>
            <w:tcW w:w="1086" w:type="dxa"/>
            <w:vAlign w:val="center"/>
            <w:textDirection w:val="lrTb"/>
            <w:noWrap w:val="false"/>
          </w:tcPr>
          <w:p>
            <w:pPr>
              <w:jc w:val="center"/>
              <w:spacing w:before="156" w:after="156"/>
              <w:rPr>
                <w:rFonts w:hint="eastAsia" w:ascii="宋体" w:hAnsi="宋体" w:eastAsia="宋体" w:cs="宋体"/>
                <w:b/>
                <w:sz w:val="24"/>
                <w:szCs w:val="24"/>
              </w:rPr>
            </w:pPr>
            <w:r>
              <w:rPr>
                <w:rFonts w:hint="eastAsia" w:ascii="宋体" w:hAnsi="宋体" w:eastAsia="宋体" w:cs="宋体"/>
                <w:b/>
                <w:sz w:val="24"/>
                <w:szCs w:val="24"/>
              </w:rPr>
              <w:t xml:space="preserve">说明</w:t>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投标人：（盖章）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pStyle w:val="907"/>
        <w:ind w:firstLine="420"/>
        <w:spacing w:line="360" w:lineRule="auto"/>
        <w:rPr>
          <w:rFonts w:hint="eastAsia" w:hAnsi="宋体" w:eastAsia="宋体"/>
          <w:szCs w:val="21"/>
        </w:rPr>
      </w:pPr>
      <w:r>
        <w:rPr>
          <w:rFonts w:hint="eastAsia" w:hAnsi="宋体" w:eastAsia="宋体"/>
          <w:szCs w:val="21"/>
        </w:rPr>
      </w:r>
      <w:r/>
    </w:p>
    <w:p>
      <w:pPr>
        <w:pStyle w:val="907"/>
        <w:ind w:firstLine="420"/>
        <w:spacing w:line="360" w:lineRule="auto"/>
        <w:rPr>
          <w:rFonts w:hint="eastAsia" w:hAnsi="宋体" w:eastAsia="宋体"/>
          <w:szCs w:val="21"/>
        </w:rPr>
      </w:pPr>
      <w:r>
        <w:rPr>
          <w:rFonts w:hint="eastAsia" w:hAnsi="宋体" w:eastAsia="宋体"/>
          <w:szCs w:val="21"/>
        </w:rPr>
      </w:r>
      <w:r/>
    </w:p>
    <w:p>
      <w:pPr>
        <w:pStyle w:val="907"/>
        <w:ind w:firstLine="420"/>
        <w:spacing w:line="360" w:lineRule="auto"/>
        <w:rPr>
          <w:rFonts w:hint="eastAsia" w:hAnsi="宋体" w:eastAsia="宋体"/>
          <w:szCs w:val="21"/>
        </w:rPr>
      </w:pPr>
      <w:r>
        <w:rPr>
          <w:rFonts w:hint="eastAsia" w:hAnsi="宋体" w:eastAsia="宋体"/>
          <w:szCs w:val="21"/>
        </w:rPr>
      </w:r>
      <w:r/>
    </w:p>
    <w:p>
      <w:pPr>
        <w:pStyle w:val="884"/>
        <w:ind w:firstLine="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6、服务要求偏离表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07"/>
        <w:jc w:val="center"/>
        <w:spacing w:line="360" w:lineRule="auto"/>
        <w:rPr>
          <w:rFonts w:hint="eastAsia" w:hAnsi="宋体" w:eastAsia="宋体" w:cs="宋体"/>
          <w:b/>
          <w:sz w:val="24"/>
          <w:szCs w:val="24"/>
        </w:rPr>
      </w:pPr>
      <w:r>
        <w:rPr>
          <w:rFonts w:hint="eastAsia" w:hAnsi="宋体" w:eastAsia="宋体" w:cs="宋体"/>
          <w:b/>
          <w:sz w:val="24"/>
          <w:szCs w:val="24"/>
        </w:rPr>
        <w:t xml:space="preserve">服务要求偏离表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tbl>
      <w:tblPr>
        <w:tblStyle w:val="883"/>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2044"/>
        <w:gridCol w:w="1636"/>
        <w:gridCol w:w="1452"/>
        <w:gridCol w:w="1717"/>
        <w:gridCol w:w="1774"/>
      </w:tblGrid>
      <w:tr>
        <w:trPr>
          <w:jc w:val="center"/>
          <w:trHeight w:val="567"/>
        </w:trPr>
        <w:tc>
          <w:tcPr>
            <w:tcW w:w="1231"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204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tcW w:w="163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服务要求</w:t>
            </w:r>
            <w:r/>
          </w:p>
        </w:tc>
        <w:tc>
          <w:tcPr>
            <w:tcW w:w="145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响应要求</w:t>
            </w:r>
            <w:r/>
          </w:p>
        </w:tc>
        <w:tc>
          <w:tcPr>
            <w:tcW w:w="171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偏离/响应</w:t>
            </w:r>
            <w:r/>
          </w:p>
        </w:tc>
        <w:tc>
          <w:tcPr>
            <w:tcW w:w="177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说明</w:t>
            </w:r>
            <w:r/>
          </w:p>
        </w:tc>
      </w:tr>
      <w:tr>
        <w:trPr>
          <w:jc w:val="center"/>
          <w:trHeight w:val="567"/>
        </w:trPr>
        <w:tc>
          <w:tcPr>
            <w:tcW w:w="12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注：1、投标人应对照招标文件服务要求等，所响应的要求与招标文件的规定有偏离的，应在此表中申明与服务要求条文的偏差和例外。</w:t>
      </w:r>
      <w:r/>
    </w:p>
    <w:p>
      <w:pPr>
        <w:pStyle w:val="884"/>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p>
    <w:p>
      <w:pPr>
        <w:pStyle w:val="884"/>
        <w:ind w:firstLine="0"/>
        <w:spacing w:line="360" w:lineRule="auto"/>
        <w:rPr>
          <w:rFonts w:hint="eastAsia" w:ascii="宋体" w:hAnsi="宋体" w:eastAsia="宋体" w:cs="宋体"/>
          <w:bCs/>
          <w:sz w:val="24"/>
          <w:szCs w:val="24"/>
        </w:rPr>
        <w:outlineLvl w:val="1"/>
      </w:pPr>
      <w:r>
        <w:rPr>
          <w:rFonts w:hint="eastAsia" w:ascii="宋体" w:hAnsi="宋体" w:eastAsia="宋体" w:cs="宋体"/>
          <w:bCs/>
          <w:sz w:val="24"/>
          <w:szCs w:val="24"/>
        </w:rPr>
      </w:r>
      <w:r/>
    </w:p>
    <w:p>
      <w:pPr>
        <w:pStyle w:val="886"/>
        <w:rPr>
          <w:rFonts w:cs="宋体"/>
          <w:sz w:val="24"/>
          <w:szCs w:val="24"/>
        </w:rPr>
      </w:pPr>
      <w:r>
        <w:rPr>
          <w:rFonts w:cs="宋体"/>
          <w:sz w:val="24"/>
          <w:szCs w:val="24"/>
        </w:rPr>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widowControl/>
        <w:rPr>
          <w:rFonts w:hint="eastAsia" w:ascii="宋体" w:hAnsi="宋体" w:eastAsia="宋体"/>
          <w:b/>
          <w:sz w:val="24"/>
          <w:szCs w:val="24"/>
        </w:rPr>
      </w:pPr>
      <w:r>
        <w:rPr>
          <w:rFonts w:hint="eastAsia" w:ascii="宋体" w:hAnsi="宋体" w:eastAsia="宋体" w:cs="宋体"/>
          <w:sz w:val="24"/>
          <w:szCs w:val="24"/>
        </w:rPr>
        <w:br w:type="page" w:clear="all"/>
      </w:r>
      <w:r>
        <w:rPr>
          <w:rFonts w:ascii="宋体" w:hAnsi="宋体" w:eastAsia="宋体"/>
          <w:b/>
          <w:sz w:val="24"/>
          <w:szCs w:val="24"/>
        </w:rPr>
        <w:t xml:space="preserve">7</w:t>
      </w:r>
      <w:r>
        <w:rPr>
          <w:rFonts w:hint="eastAsia" w:ascii="宋体" w:hAnsi="宋体" w:eastAsia="宋体"/>
          <w:b/>
          <w:sz w:val="24"/>
          <w:szCs w:val="24"/>
        </w:rPr>
        <w:t xml:space="preserve">、服务实施方案</w:t>
      </w:r>
      <w:r/>
    </w:p>
    <w:p>
      <w:pPr>
        <w:pStyle w:val="884"/>
        <w:ind w:firstLine="0"/>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907"/>
        <w:jc w:val="center"/>
        <w:spacing w:line="360" w:lineRule="auto"/>
        <w:rPr>
          <w:rFonts w:hint="eastAsia" w:hAnsi="宋体" w:eastAsia="宋体" w:cs="宋体"/>
          <w:b/>
          <w:sz w:val="24"/>
          <w:szCs w:val="24"/>
        </w:rPr>
      </w:pPr>
      <w:r>
        <w:rPr>
          <w:rFonts w:hint="eastAsia" w:hAnsi="宋体" w:eastAsia="宋体"/>
          <w:b/>
          <w:sz w:val="24"/>
          <w:szCs w:val="24"/>
        </w:rPr>
        <w:t xml:space="preserve">服务实施方案</w:t>
      </w:r>
      <w:r/>
    </w:p>
    <w:p>
      <w:pPr>
        <w:pStyle w:val="884"/>
        <w:ind w:firstLine="0"/>
        <w:jc w:val="cente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sz w:val="24"/>
          <w:szCs w:val="24"/>
        </w:rPr>
      </w:pPr>
      <w:r>
        <w:rPr>
          <w:rFonts w:hint="eastAsia"/>
          <w:sz w:val="24"/>
          <w:szCs w:val="24"/>
        </w:rPr>
      </w:r>
      <w:r/>
    </w:p>
    <w:tbl>
      <w:tblPr>
        <w:tblStyle w:val="883"/>
        <w:tblW w:w="500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780"/>
      </w:tblGrid>
      <w:tr>
        <w:trPr>
          <w:jc w:val="center"/>
          <w:trHeight w:val="1350"/>
        </w:trPr>
        <w:tc>
          <w:tcPr>
            <w:tcW w:w="5000" w:type="pct"/>
            <w:textDirection w:val="lrTb"/>
            <w:noWrap w:val="false"/>
          </w:tcPr>
          <w:p>
            <w:pPr>
              <w:pStyle w:val="909"/>
              <w:rPr>
                <w:rStyle w:val="910"/>
                <w:rFonts w:hint="eastAsia" w:hAnsi="宋体" w:eastAsia="宋体"/>
                <w:sz w:val="24"/>
                <w:szCs w:val="24"/>
              </w:rPr>
            </w:pPr>
            <w:r>
              <w:rPr>
                <w:rStyle w:val="910"/>
                <w:rFonts w:hAnsi="宋体" w:eastAsia="宋体"/>
                <w:sz w:val="24"/>
                <w:szCs w:val="24"/>
              </w:rPr>
              <w:t xml:space="preserve">提示：</w:t>
            </w:r>
            <w:r/>
          </w:p>
          <w:p>
            <w:pPr>
              <w:pStyle w:val="909"/>
              <w:rPr>
                <w:rStyle w:val="910"/>
                <w:rFonts w:hint="eastAsia" w:hAnsi="宋体" w:eastAsia="宋体"/>
                <w:sz w:val="24"/>
                <w:szCs w:val="24"/>
              </w:rPr>
            </w:pPr>
            <w:r>
              <w:rPr>
                <w:rStyle w:val="910"/>
                <w:rFonts w:hAnsi="宋体" w:eastAsia="宋体"/>
                <w:sz w:val="24"/>
                <w:szCs w:val="24"/>
              </w:rPr>
              <w:t xml:space="preserve">1、供应商应根据本次采购项目要求，对所投服务进行详细的说明与描述，包括针对本次采购项目特点及具体情况编写</w:t>
            </w:r>
            <w:r>
              <w:rPr>
                <w:rStyle w:val="910"/>
                <w:rFonts w:hint="eastAsia" w:hAnsi="宋体" w:eastAsia="宋体"/>
                <w:sz w:val="24"/>
                <w:szCs w:val="24"/>
              </w:rPr>
              <w:t xml:space="preserve">中标</w:t>
            </w:r>
            <w:r>
              <w:rPr>
                <w:rStyle w:val="910"/>
                <w:rFonts w:hAnsi="宋体" w:eastAsia="宋体"/>
                <w:sz w:val="24"/>
                <w:szCs w:val="24"/>
              </w:rPr>
              <w:t xml:space="preserve">后拟采取的实施方案等</w:t>
            </w:r>
            <w:r>
              <w:rPr>
                <w:rStyle w:val="910"/>
                <w:rFonts w:hint="eastAsia" w:hAnsi="宋体" w:eastAsia="宋体"/>
                <w:sz w:val="24"/>
                <w:szCs w:val="24"/>
              </w:rPr>
              <w:t xml:space="preserve">。</w:t>
            </w:r>
            <w:r/>
          </w:p>
          <w:p>
            <w:pPr>
              <w:pStyle w:val="909"/>
              <w:rPr>
                <w:rFonts w:hint="eastAsia" w:hAnsi="宋体" w:eastAsia="宋体"/>
                <w:sz w:val="24"/>
                <w:szCs w:val="24"/>
              </w:rPr>
            </w:pPr>
            <w:r>
              <w:rPr>
                <w:rStyle w:val="910"/>
                <w:rFonts w:hAnsi="宋体" w:eastAsia="宋体"/>
                <w:sz w:val="24"/>
                <w:szCs w:val="24"/>
              </w:rPr>
              <w:t xml:space="preserve">2、供应商可根据自身情况编写，本页不够可另加页附后。</w:t>
            </w:r>
            <w:r/>
          </w:p>
        </w:tc>
      </w:tr>
      <w:tr>
        <w:trPr>
          <w:jc w:val="center"/>
          <w:trHeight w:val="7216"/>
        </w:trPr>
        <w:tc>
          <w:tcPr>
            <w:tcW w:w="5000" w:type="pct"/>
            <w:vAlign w:val="bottom"/>
            <w:textDirection w:val="lrTb"/>
            <w:noWrap w:val="false"/>
          </w:tcPr>
          <w:p>
            <w:pPr>
              <w:spacing w:line="360" w:lineRule="auto"/>
              <w:tabs>
                <w:tab w:val="left" w:pos="1320" w:leader="none"/>
              </w:tabs>
              <w:rPr>
                <w:rStyle w:val="910"/>
                <w:rFonts w:hint="eastAsia" w:ascii="宋体" w:hAnsi="宋体" w:eastAsia="宋体"/>
                <w:sz w:val="24"/>
                <w:szCs w:val="24"/>
                <w:u w:val="single"/>
              </w:rPr>
            </w:pPr>
            <w:r>
              <w:rPr>
                <w:rFonts w:hint="eastAsia" w:ascii="宋体" w:hAnsi="宋体" w:eastAsia="宋体"/>
                <w:sz w:val="24"/>
                <w:szCs w:val="24"/>
                <w:u w:val="single"/>
              </w:rPr>
            </w:r>
            <w:r/>
          </w:p>
        </w:tc>
      </w:tr>
    </w:tbl>
    <w:p>
      <w:pPr>
        <w:pStyle w:val="908"/>
        <w:spacing w:line="360" w:lineRule="auto"/>
        <w:rPr>
          <w:rFonts w:hint="eastAsia" w:hAnsi="宋体" w:eastAsia="宋体"/>
          <w:sz w:val="24"/>
          <w:szCs w:val="24"/>
        </w:rPr>
      </w:pPr>
      <w:r>
        <w:rPr>
          <w:rFonts w:hint="eastAsia" w:hAnsi="宋体" w:eastAsia="宋体"/>
          <w:sz w:val="24"/>
          <w:szCs w:val="24"/>
        </w:rPr>
      </w:r>
      <w:r/>
    </w:p>
    <w:p>
      <w:pPr>
        <w:pStyle w:val="907"/>
        <w:ind w:firstLine="480"/>
        <w:spacing w:line="360" w:lineRule="auto"/>
        <w:rPr>
          <w:rFonts w:hint="eastAsia" w:hAnsi="宋体" w:eastAsia="宋体"/>
          <w:sz w:val="24"/>
          <w:szCs w:val="24"/>
        </w:rPr>
      </w:pPr>
      <w:r>
        <w:rPr>
          <w:rFonts w:hint="eastAsia" w:hAnsi="宋体" w:eastAsia="宋体"/>
          <w:sz w:val="24"/>
          <w:szCs w:val="24"/>
        </w:rPr>
        <w:t xml:space="preserve">投标人：（盖章）</w:t>
      </w:r>
      <w:r/>
    </w:p>
    <w:p>
      <w:pPr>
        <w:pStyle w:val="907"/>
        <w:ind w:firstLine="480"/>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pStyle w:val="907"/>
        <w:ind w:firstLine="480"/>
        <w:spacing w:line="360" w:lineRule="auto"/>
        <w:rPr>
          <w:rFonts w:hint="eastAsia" w:hAnsi="宋体" w:eastAsia="宋体"/>
          <w:sz w:val="24"/>
          <w:szCs w:val="24"/>
        </w:rPr>
      </w:pPr>
      <w:r>
        <w:rPr>
          <w:rFonts w:hint="eastAsia" w:hAnsi="宋体" w:eastAsia="宋体"/>
          <w:sz w:val="24"/>
          <w:szCs w:val="24"/>
        </w:rPr>
        <w:t xml:space="preserve">日期</w:t>
      </w:r>
      <w:r>
        <w:rPr>
          <w:rFonts w:hAnsi="宋体" w:eastAsia="宋体"/>
          <w:sz w:val="24"/>
          <w:szCs w:val="24"/>
        </w:rPr>
        <w:t xml:space="preserve">：</w:t>
      </w:r>
      <w:r>
        <w:rPr>
          <w:rFonts w:hint="eastAsia" w:hAnsi="宋体" w:eastAsia="宋体"/>
          <w:sz w:val="24"/>
          <w:szCs w:val="24"/>
        </w:rPr>
        <w:t xml:space="preserve">    年    月    日</w:t>
      </w:r>
      <w:r/>
    </w:p>
    <w:p>
      <w:pPr>
        <w:pStyle w:val="884"/>
        <w:ind w:firstLine="0"/>
        <w:spacing w:line="360" w:lineRule="auto"/>
        <w:rPr>
          <w:rFonts w:hint="eastAsia" w:ascii="宋体" w:hAnsi="宋体" w:eastAsia="宋体" w:cs="宋体"/>
          <w:b/>
          <w:sz w:val="24"/>
          <w:szCs w:val="24"/>
        </w:rPr>
        <w:outlineLvl w:val="1"/>
      </w:pPr>
      <w:r>
        <w:rPr>
          <w:rFonts w:ascii="宋体" w:hAnsi="宋体" w:eastAsia="宋体"/>
          <w:b/>
          <w:sz w:val="24"/>
          <w:szCs w:val="24"/>
        </w:rPr>
        <w:br w:type="page" w:clear="all"/>
      </w:r>
      <w:r>
        <w:rPr>
          <w:rFonts w:hint="eastAsia" w:ascii="宋体" w:hAnsi="宋体" w:eastAsia="宋体" w:cs="宋体"/>
          <w:b/>
          <w:sz w:val="24"/>
          <w:szCs w:val="24"/>
        </w:rPr>
        <w:t xml:space="preserve">8、项目组人员一览表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7"/>
        <w:jc w:val="center"/>
        <w:spacing w:line="360" w:lineRule="auto"/>
        <w:rPr>
          <w:rFonts w:hint="eastAsia" w:hAnsi="宋体" w:eastAsia="宋体" w:cs="宋体"/>
          <w:b/>
          <w:sz w:val="24"/>
          <w:szCs w:val="24"/>
        </w:rPr>
      </w:pPr>
      <w:r>
        <w:rPr>
          <w:rFonts w:hint="eastAsia" w:hAnsi="宋体" w:eastAsia="宋体" w:cs="宋体"/>
          <w:b/>
          <w:bCs/>
          <w:sz w:val="24"/>
          <w:szCs w:val="24"/>
          <w:lang w:val="zh-TW" w:eastAsia="zh-TW"/>
        </w:rPr>
        <w:t xml:space="preserve">项目组人员一览表</w:t>
      </w:r>
      <w:r/>
    </w:p>
    <w:p>
      <w:pPr>
        <w:pStyle w:val="888"/>
        <w:jc w:val="center"/>
        <w:spacing w:line="360" w:lineRule="auto"/>
        <w:rPr>
          <w:rFonts w:hint="eastAsia" w:hAnsi="宋体" w:eastAsia="宋体" w:cs="宋体"/>
          <w:b/>
          <w:bCs/>
          <w:sz w:val="24"/>
          <w:szCs w:val="24"/>
          <w:lang w:val="zh-TW" w:eastAsia="zh-TW"/>
        </w:rPr>
      </w:pPr>
      <w:r>
        <w:rPr>
          <w:rFonts w:hint="eastAsia" w:hAnsi="宋体" w:eastAsia="宋体" w:cs="宋体"/>
          <w:b/>
          <w:bCs/>
          <w:sz w:val="24"/>
          <w:szCs w:val="24"/>
          <w:lang w:val="zh-TW" w:eastAsia="zh-TW"/>
        </w:rPr>
      </w:r>
      <w:r/>
    </w:p>
    <w:p>
      <w:pPr>
        <w:pStyle w:val="888"/>
        <w:ind w:firstLine="480"/>
        <w:jc w:val="center"/>
        <w:spacing w:line="360" w:lineRule="auto"/>
        <w:rPr>
          <w:rFonts w:hint="eastAsia" w:hAnsi="宋体" w:eastAsia="宋体" w:cs="宋体"/>
          <w:sz w:val="24"/>
          <w:szCs w:val="24"/>
        </w:rPr>
      </w:pPr>
      <w:r>
        <w:rPr>
          <w:rFonts w:hint="eastAsia" w:hAnsi="宋体" w:eastAsia="宋体" w:cs="宋体"/>
          <w:sz w:val="24"/>
          <w:szCs w:val="24"/>
        </w:rPr>
      </w:r>
      <w:r/>
    </w:p>
    <w:tbl>
      <w:tblPr>
        <w:tblStyle w:val="883"/>
        <w:tblW w:w="495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autofit"/>
        <w:tblCellMar>
          <w:left w:w="0" w:type="dxa"/>
          <w:top w:w="0" w:type="dxa"/>
          <w:right w:w="0" w:type="dxa"/>
          <w:bottom w:w="0" w:type="dxa"/>
        </w:tblCellMar>
        <w:tblLook w:val="04A0" w:firstRow="1" w:lastRow="0" w:firstColumn="1" w:lastColumn="0" w:noHBand="0" w:noVBand="1"/>
      </w:tblPr>
      <w:tblGrid>
        <w:gridCol w:w="641"/>
        <w:gridCol w:w="1236"/>
        <w:gridCol w:w="1109"/>
        <w:gridCol w:w="791"/>
        <w:gridCol w:w="840"/>
        <w:gridCol w:w="793"/>
        <w:gridCol w:w="1456"/>
        <w:gridCol w:w="1312"/>
        <w:gridCol w:w="1572"/>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项目组所任职务</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专业</w:t>
            </w:r>
            <w:r>
              <w:rPr>
                <w:rFonts w:hint="eastAsia" w:ascii="宋体" w:hAnsi="宋体" w:eastAsia="宋体" w:cs="宋体"/>
                <w:sz w:val="24"/>
                <w:szCs w:val="24"/>
              </w:rPr>
              <w:t xml:space="preserve">/</w:t>
            </w:r>
            <w:r>
              <w:rPr>
                <w:rFonts w:hint="eastAsia" w:ascii="宋体" w:hAnsi="宋体" w:eastAsia="宋体" w:cs="宋体"/>
                <w:sz w:val="24"/>
                <w:szCs w:val="24"/>
                <w:lang w:val="zh-TW" w:eastAsia="zh-TW"/>
              </w:rPr>
              <w:t xml:space="preserve">资格</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从事本工作时间</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典型业务</w:t>
            </w:r>
            <w:r/>
          </w:p>
          <w:p>
            <w:pPr>
              <w:pStyle w:val="889"/>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与技术专长</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9"/>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633"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pStyle w:val="884"/>
        <w:ind w:firstLine="0"/>
        <w:rPr>
          <w:rFonts w:hint="eastAsia" w:ascii="宋体" w:hAnsi="宋体" w:eastAsia="宋体" w:cs="宋体"/>
          <w:sz w:val="24"/>
          <w:szCs w:val="24"/>
          <w:highlight w:val="yellow"/>
        </w:rPr>
        <w:outlineLvl w:val="1"/>
      </w:pPr>
      <w:r>
        <w:rPr>
          <w:rFonts w:hint="eastAsia" w:ascii="宋体" w:hAnsi="宋体" w:eastAsia="宋体" w:cs="宋体"/>
          <w:sz w:val="24"/>
          <w:szCs w:val="24"/>
          <w:highlight w:val="yellow"/>
        </w:rPr>
      </w:r>
      <w:r/>
    </w:p>
    <w:p>
      <w:pPr>
        <w:pStyle w:val="911"/>
        <w:ind w:right="420" w:firstLine="6120"/>
        <w:rPr>
          <w:rFonts w:hint="eastAsia" w:hAnsi="宋体" w:eastAsia="宋体" w:cs="宋体"/>
          <w:sz w:val="24"/>
          <w:szCs w:val="24"/>
        </w:rPr>
      </w:pPr>
      <w:r>
        <w:rPr>
          <w:rFonts w:hint="eastAsia" w:hAnsi="宋体" w:eastAsia="宋体" w:cs="宋体"/>
          <w:sz w:val="24"/>
          <w:szCs w:val="24"/>
        </w:rPr>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投标人：（盖章）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spacing w:line="360" w:lineRule="auto"/>
        <w:rPr>
          <w:rFonts w:hint="eastAsia" w:ascii="宋体" w:hAnsi="宋体" w:eastAsia="宋体" w:cs="宋体"/>
          <w:b/>
          <w:sz w:val="24"/>
          <w:szCs w:val="24"/>
        </w:rPr>
        <w:outlineLvl w:val="1"/>
      </w:pPr>
      <w:r>
        <w:rPr>
          <w:szCs w:val="21"/>
        </w:rPr>
        <w:br w:type="page" w:clear="all"/>
      </w:r>
      <w:r>
        <w:rPr>
          <w:rFonts w:hint="eastAsia" w:ascii="宋体" w:hAnsi="宋体" w:eastAsia="宋体" w:cs="宋体"/>
          <w:b/>
          <w:sz w:val="24"/>
          <w:szCs w:val="24"/>
        </w:rPr>
        <w:t xml:space="preserve">9、企业类似业绩一览表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7"/>
        <w:jc w:val="center"/>
        <w:spacing w:line="360" w:lineRule="auto"/>
        <w:rPr>
          <w:rFonts w:hint="eastAsia" w:hAnsi="宋体" w:eastAsia="宋体" w:cs="宋体"/>
          <w:b/>
          <w:sz w:val="24"/>
          <w:szCs w:val="24"/>
        </w:rPr>
      </w:pPr>
      <w:r>
        <w:rPr>
          <w:rFonts w:hint="eastAsia" w:hAnsi="宋体" w:eastAsia="宋体" w:cs="宋体"/>
          <w:b/>
          <w:bCs/>
          <w:sz w:val="24"/>
          <w:szCs w:val="24"/>
        </w:rPr>
        <w:t xml:space="preserve">企业类似业绩一览表</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Style w:val="8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1937"/>
        <w:gridCol w:w="1769"/>
        <w:gridCol w:w="1769"/>
        <w:gridCol w:w="2064"/>
        <w:gridCol w:w="1411"/>
      </w:tblGrid>
      <w:tr>
        <w:trPr>
          <w:jc w:val="center"/>
          <w:trHeight w:val="1253"/>
        </w:trPr>
        <w:tc>
          <w:tcPr>
            <w:tcW w:w="50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97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合同名称</w:t>
            </w:r>
            <w:r/>
          </w:p>
        </w:tc>
        <w:tc>
          <w:tcPr>
            <w:tcW w:w="888" w:type="pct"/>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业主单位</w:t>
            </w:r>
            <w:r/>
          </w:p>
        </w:tc>
        <w:tc>
          <w:tcPr>
            <w:tcW w:w="888" w:type="pct"/>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项目时间</w:t>
            </w:r>
            <w:r/>
          </w:p>
        </w:tc>
        <w:tc>
          <w:tcPr>
            <w:tcW w:w="1036" w:type="pct"/>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合同金额</w:t>
            </w:r>
            <w:r/>
          </w:p>
        </w:tc>
        <w:tc>
          <w:tcPr>
            <w:tcW w:w="708" w:type="pct"/>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注：附合同复印件等资料。</w:t>
      </w:r>
      <w:r/>
    </w:p>
    <w:p>
      <w:pPr>
        <w:pStyle w:val="904"/>
        <w:ind w:firstLine="482"/>
        <w:spacing w:line="360" w:lineRule="auto"/>
        <w:rPr>
          <w:rFonts w:hint="eastAsia" w:ascii="宋体" w:hAnsi="宋体" w:cs="宋体"/>
          <w:b/>
          <w:bCs/>
          <w:sz w:val="24"/>
        </w:rPr>
      </w:pPr>
      <w:r>
        <w:rPr>
          <w:rFonts w:hint="eastAsia" w:ascii="宋体" w:hAnsi="宋体" w:cs="宋体"/>
          <w:b/>
          <w:bCs/>
          <w:sz w:val="24"/>
        </w:rPr>
      </w:r>
      <w:r/>
    </w:p>
    <w:p>
      <w:pPr>
        <w:pStyle w:val="912"/>
        <w:spacing w:line="360" w:lineRule="auto"/>
        <w:rPr>
          <w:rFonts w:hint="eastAsia" w:hAnsi="宋体" w:eastAsia="宋体" w:cs="宋体"/>
          <w:sz w:val="24"/>
          <w:szCs w:val="24"/>
        </w:rPr>
      </w:pPr>
      <w:r>
        <w:rPr>
          <w:rFonts w:hint="eastAsia" w:hAnsi="宋体" w:eastAsia="宋体" w:cs="宋体"/>
          <w:sz w:val="24"/>
          <w:szCs w:val="24"/>
        </w:rPr>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投标人：（盖章）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pStyle w:val="884"/>
        <w:ind w:firstLine="0"/>
        <w:spacing w:line="360" w:lineRule="auto"/>
        <w:rPr>
          <w:rFonts w:hint="eastAsia" w:ascii="宋体" w:hAnsi="宋体" w:eastAsia="宋体"/>
          <w:szCs w:val="21"/>
        </w:rPr>
        <w:outlineLvl w:val="1"/>
      </w:pPr>
      <w:r>
        <w:rPr>
          <w:rFonts w:hint="eastAsia" w:ascii="宋体" w:hAnsi="宋体" w:eastAsia="宋体"/>
          <w:szCs w:val="21"/>
        </w:rPr>
      </w:r>
      <w:r/>
    </w:p>
    <w:p>
      <w:pPr>
        <w:spacing w:line="360" w:lineRule="auto"/>
        <w:rPr>
          <w:rFonts w:hint="eastAsia" w:ascii="宋体" w:hAnsi="宋体" w:eastAsia="宋体"/>
          <w:b/>
          <w:szCs w:val="21"/>
        </w:rPr>
        <w:outlineLvl w:val="1"/>
      </w:pPr>
      <w:r>
        <w:rPr>
          <w:rFonts w:hint="eastAsia" w:ascii="宋体" w:hAnsi="宋体" w:eastAsia="宋体"/>
          <w:b/>
          <w:szCs w:val="21"/>
        </w:rPr>
      </w:r>
      <w:r/>
    </w:p>
    <w:p>
      <w:pPr>
        <w:jc w:val="left"/>
        <w:spacing w:line="360" w:lineRule="auto"/>
        <w:widowControl/>
        <w:rPr>
          <w:rFonts w:hint="eastAsia" w:ascii="宋体" w:hAnsi="宋体" w:eastAsia="宋体"/>
          <w:b/>
          <w:sz w:val="24"/>
          <w:szCs w:val="24"/>
        </w:rPr>
      </w:pPr>
      <w:r>
        <w:rPr>
          <w:rFonts w:ascii="宋体" w:hAnsi="宋体" w:eastAsia="宋体"/>
          <w:b/>
          <w:szCs w:val="21"/>
        </w:rPr>
        <w:br w:type="page" w:clear="all"/>
      </w:r>
      <w:r>
        <w:rPr>
          <w:rFonts w:ascii="宋体" w:hAnsi="宋体" w:eastAsia="宋体"/>
          <w:b/>
          <w:sz w:val="24"/>
          <w:szCs w:val="24"/>
        </w:rPr>
        <w:t xml:space="preserve">1</w:t>
      </w:r>
      <w:r>
        <w:rPr>
          <w:rFonts w:hint="eastAsia" w:ascii="宋体" w:hAnsi="宋体" w:eastAsia="宋体"/>
          <w:b/>
          <w:sz w:val="24"/>
          <w:szCs w:val="24"/>
        </w:rPr>
        <w:t xml:space="preserve">0、资格证明文件</w:t>
      </w:r>
      <w:r/>
    </w:p>
    <w:p>
      <w:pPr>
        <w:pStyle w:val="884"/>
        <w:ind w:firstLine="0"/>
        <w:spacing w:line="360" w:lineRule="auto"/>
        <w:rPr>
          <w:rFonts w:hint="eastAsia" w:ascii="宋体" w:hAnsi="宋体" w:eastAsia="宋体"/>
          <w:b/>
          <w:sz w:val="24"/>
          <w:szCs w:val="24"/>
        </w:rPr>
      </w:pPr>
      <w:r>
        <w:rPr>
          <w:rFonts w:hint="eastAsia" w:ascii="宋体" w:hAnsi="宋体" w:eastAsia="宋体"/>
          <w:b/>
          <w:sz w:val="24"/>
          <w:szCs w:val="24"/>
        </w:rPr>
      </w:r>
      <w:r/>
    </w:p>
    <w:p>
      <w:pPr>
        <w:pStyle w:val="884"/>
        <w:ind w:firstLine="0"/>
        <w:spacing w:line="360" w:lineRule="auto"/>
        <w:rPr>
          <w:rFonts w:hint="eastAsia" w:ascii="宋体" w:hAnsi="宋体" w:eastAsia="宋体"/>
          <w:b/>
          <w:sz w:val="24"/>
          <w:szCs w:val="24"/>
        </w:rPr>
      </w:pPr>
      <w:r>
        <w:rPr>
          <w:rFonts w:hint="eastAsia" w:ascii="宋体" w:hAnsi="宋体" w:eastAsia="宋体"/>
          <w:b/>
          <w:sz w:val="24"/>
          <w:szCs w:val="24"/>
        </w:rPr>
        <w:t xml:space="preserve">（1）关于资格文件的声明函</w:t>
      </w:r>
      <w:r/>
    </w:p>
    <w:p>
      <w:pPr>
        <w:pStyle w:val="884"/>
        <w:ind w:firstLine="0"/>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84"/>
        <w:ind w:firstLine="0"/>
        <w:jc w:val="center"/>
        <w:spacing w:line="360" w:lineRule="auto"/>
        <w:rPr>
          <w:rFonts w:hint="eastAsia" w:ascii="宋体" w:hAnsi="宋体" w:eastAsia="宋体"/>
          <w:b/>
          <w:sz w:val="24"/>
          <w:szCs w:val="24"/>
        </w:rPr>
      </w:pPr>
      <w:r>
        <w:rPr>
          <w:rFonts w:hint="eastAsia" w:ascii="宋体" w:hAnsi="宋体" w:eastAsia="宋体"/>
          <w:b/>
          <w:sz w:val="24"/>
          <w:szCs w:val="24"/>
        </w:rPr>
        <w:t xml:space="preserve">关于资格文件的声明函</w:t>
      </w:r>
      <w:r/>
    </w:p>
    <w:p>
      <w:pPr>
        <w:pStyle w:val="884"/>
        <w:ind w:firstLine="0"/>
        <w:jc w:val="center"/>
        <w:spacing w:line="360" w:lineRule="auto"/>
        <w:rPr>
          <w:rFonts w:hint="eastAsia" w:ascii="宋体" w:hAnsi="宋体" w:eastAsia="宋体"/>
          <w:sz w:val="24"/>
          <w:szCs w:val="24"/>
        </w:rPr>
      </w:pPr>
      <w:r>
        <w:rPr>
          <w:rFonts w:hint="eastAsia" w:ascii="宋体" w:hAnsi="宋体" w:eastAsia="宋体"/>
          <w:sz w:val="24"/>
          <w:szCs w:val="24"/>
        </w:rPr>
      </w:r>
      <w:r/>
    </w:p>
    <w:p>
      <w:pPr>
        <w:pStyle w:val="884"/>
        <w:ind w:firstLine="0"/>
        <w:spacing w:line="360" w:lineRule="auto"/>
        <w:rPr>
          <w:rFonts w:hint="eastAsia" w:ascii="宋体" w:hAnsi="宋体" w:eastAsia="宋体"/>
          <w:sz w:val="24"/>
          <w:szCs w:val="24"/>
        </w:rPr>
      </w:pPr>
      <w:r>
        <w:rPr>
          <w:rFonts w:hint="eastAsia" w:ascii="宋体" w:hAnsi="宋体" w:eastAsia="宋体"/>
          <w:sz w:val="24"/>
          <w:szCs w:val="24"/>
          <w:u w:val="single"/>
        </w:rPr>
        <w:t xml:space="preserve">苏州市永诚建设咨询有限公司</w:t>
      </w:r>
      <w:r>
        <w:rPr>
          <w:rFonts w:hint="eastAsia" w:ascii="宋体" w:hAnsi="宋体" w:eastAsia="宋体"/>
          <w:sz w:val="24"/>
          <w:szCs w:val="24"/>
        </w:rPr>
        <w:t xml:space="preserve">：</w:t>
      </w:r>
      <w:r/>
    </w:p>
    <w:p>
      <w:pPr>
        <w:pStyle w:val="907"/>
        <w:jc w:val="center"/>
        <w:spacing w:line="360" w:lineRule="auto"/>
        <w:rPr>
          <w:rFonts w:hint="eastAsia" w:hAnsi="宋体" w:eastAsia="宋体"/>
          <w:sz w:val="24"/>
          <w:szCs w:val="24"/>
        </w:rPr>
      </w:pPr>
      <w:r>
        <w:rPr>
          <w:rFonts w:hint="eastAsia" w:hAnsi="宋体" w:eastAsia="宋体"/>
          <w:sz w:val="24"/>
          <w:szCs w:val="24"/>
        </w:rPr>
        <w:t xml:space="preserve">本公司拟对由贵公司组织实施的编号为</w:t>
      </w:r>
      <w:r>
        <w:rPr>
          <w:rFonts w:hAnsi="宋体" w:eastAsia="宋体"/>
          <w:sz w:val="24"/>
          <w:szCs w:val="24"/>
          <w:u w:val="single"/>
        </w:rPr>
        <w:t xml:space="preserve"> </w:t>
      </w:r>
      <w:r>
        <w:rPr>
          <w:rFonts w:hint="eastAsia" w:hAnsi="宋体" w:eastAsia="宋体"/>
          <w:sz w:val="24"/>
          <w:szCs w:val="24"/>
          <w:u w:val="single"/>
        </w:rPr>
        <w:t xml:space="preserve">      </w:t>
      </w:r>
      <w:r>
        <w:rPr>
          <w:rFonts w:hAnsi="宋体" w:eastAsia="宋体"/>
          <w:sz w:val="24"/>
          <w:szCs w:val="24"/>
          <w:u w:val="single"/>
        </w:rPr>
        <w:t xml:space="preserve"> </w:t>
      </w:r>
      <w:r>
        <w:rPr>
          <w:rFonts w:hint="eastAsia" w:hAnsi="宋体" w:eastAsia="宋体"/>
          <w:sz w:val="24"/>
          <w:szCs w:val="24"/>
        </w:rPr>
        <w:t xml:space="preserve">的招标活动进行投标。本公司所提交的投标文件中所有关于投标资格的文件、证明和陈述均是真实的、准确的。若与真实情况不符，本公司愿意承担由此而产生的一切后果。</w:t>
      </w:r>
      <w:r/>
    </w:p>
    <w:p>
      <w:pPr>
        <w:pStyle w:val="88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8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84"/>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（投标人）法定代表人（签字或盖章）：</w:t>
      </w:r>
      <w:r/>
    </w:p>
    <w:p>
      <w:pPr>
        <w:pStyle w:val="88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84"/>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投标人：（盖章）：</w:t>
      </w:r>
      <w:r/>
    </w:p>
    <w:p>
      <w:pPr>
        <w:pStyle w:val="88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84"/>
        <w:ind w:firstLine="480"/>
        <w:spacing w:line="360" w:lineRule="auto"/>
        <w:rPr>
          <w:rFonts w:hint="eastAsia" w:ascii="宋体" w:hAnsi="宋体" w:eastAsia="宋体"/>
          <w:sz w:val="24"/>
          <w:szCs w:val="24"/>
        </w:rPr>
      </w:pPr>
      <w:r>
        <w:rPr>
          <w:rFonts w:hint="eastAsia" w:ascii="宋体" w:hAnsi="宋体" w:eastAsia="宋体"/>
          <w:sz w:val="24"/>
          <w:szCs w:val="24"/>
        </w:rPr>
        <w:t xml:space="preserve">日期</w:t>
      </w:r>
      <w:r>
        <w:rPr>
          <w:rFonts w:ascii="宋体" w:hAnsi="宋体" w:eastAsia="宋体"/>
          <w:sz w:val="24"/>
          <w:szCs w:val="24"/>
        </w:rPr>
        <w:t xml:space="preserve">：</w:t>
      </w:r>
      <w:r>
        <w:rPr>
          <w:rFonts w:hint="eastAsia" w:ascii="宋体" w:hAnsi="宋体" w:eastAsia="宋体"/>
          <w:sz w:val="24"/>
          <w:szCs w:val="24"/>
        </w:rPr>
        <w:t xml:space="preserve">      年    月    日</w:t>
      </w:r>
      <w:r/>
    </w:p>
    <w:p>
      <w:pPr>
        <w:rPr>
          <w:rFonts w:hint="eastAsia" w:ascii="宋体" w:hAnsi="宋体" w:eastAsia="宋体"/>
          <w:szCs w:val="21"/>
        </w:rPr>
      </w:pPr>
      <w:r>
        <w:rPr>
          <w:rFonts w:hint="eastAsia" w:ascii="宋体" w:hAnsi="宋体" w:eastAsia="宋体"/>
          <w:szCs w:val="21"/>
        </w:rPr>
      </w:r>
      <w:r/>
    </w:p>
    <w:p>
      <w:pPr>
        <w:pStyle w:val="895"/>
        <w:rPr>
          <w:rFonts w:hint="eastAsia" w:ascii="宋体" w:hAnsi="宋体"/>
          <w:szCs w:val="21"/>
        </w:rPr>
      </w:pPr>
      <w:r>
        <w:rPr>
          <w:rFonts w:hint="eastAsia" w:ascii="宋体" w:hAnsi="宋体"/>
          <w:szCs w:val="21"/>
        </w:rPr>
      </w:r>
      <w:r/>
    </w:p>
    <w:p>
      <w:pPr>
        <w:pStyle w:val="895"/>
        <w:rPr>
          <w:rFonts w:hint="eastAsia" w:ascii="宋体" w:hAnsi="宋体"/>
          <w:szCs w:val="21"/>
        </w:rPr>
      </w:pPr>
      <w:r>
        <w:rPr>
          <w:rFonts w:hint="eastAsia" w:ascii="宋体" w:hAnsi="宋体"/>
          <w:szCs w:val="21"/>
        </w:rPr>
      </w:r>
      <w:r/>
    </w:p>
    <w:p>
      <w:pPr>
        <w:pStyle w:val="895"/>
        <w:rPr>
          <w:rFonts w:hint="eastAsia" w:ascii="宋体" w:hAnsi="宋体"/>
          <w:szCs w:val="21"/>
        </w:rPr>
      </w:pPr>
      <w:r>
        <w:rPr>
          <w:rFonts w:hint="eastAsia" w:ascii="宋体" w:hAnsi="宋体"/>
          <w:szCs w:val="21"/>
        </w:rPr>
      </w:r>
      <w:r/>
    </w:p>
    <w:p>
      <w:pPr>
        <w:pStyle w:val="895"/>
        <w:rPr>
          <w:rFonts w:hint="eastAsia" w:ascii="宋体" w:hAnsi="宋体"/>
          <w:szCs w:val="21"/>
        </w:rPr>
      </w:pPr>
      <w:r>
        <w:rPr>
          <w:rFonts w:hint="eastAsia" w:ascii="宋体" w:hAnsi="宋体"/>
          <w:szCs w:val="21"/>
        </w:rPr>
      </w:r>
      <w:r/>
    </w:p>
    <w:p>
      <w:pPr>
        <w:pStyle w:val="895"/>
        <w:rPr>
          <w:rFonts w:hint="eastAsia" w:ascii="宋体" w:hAnsi="宋体"/>
          <w:szCs w:val="21"/>
        </w:rPr>
      </w:pPr>
      <w:r>
        <w:rPr>
          <w:rFonts w:hint="eastAsia" w:ascii="宋体" w:hAnsi="宋体"/>
          <w:szCs w:val="21"/>
        </w:rPr>
      </w:r>
      <w:r/>
    </w:p>
    <w:p>
      <w:pPr>
        <w:pStyle w:val="895"/>
        <w:rPr>
          <w:rFonts w:hint="eastAsia" w:ascii="宋体" w:hAnsi="宋体"/>
          <w:szCs w:val="21"/>
        </w:rPr>
      </w:pPr>
      <w:r>
        <w:rPr>
          <w:rFonts w:hint="eastAsia" w:ascii="宋体" w:hAnsi="宋体"/>
          <w:szCs w:val="21"/>
        </w:rPr>
      </w:r>
      <w:r/>
    </w:p>
    <w:p>
      <w:pPr>
        <w:pStyle w:val="884"/>
        <w:ind w:firstLine="0"/>
        <w:spacing w:line="360" w:lineRule="auto"/>
        <w:rPr>
          <w:rFonts w:hint="eastAsia" w:ascii="宋体" w:hAnsi="宋体" w:eastAsia="宋体" w:cs="宋体"/>
          <w:b/>
          <w:sz w:val="24"/>
          <w:szCs w:val="24"/>
        </w:rPr>
      </w:pPr>
      <w:r>
        <w:rPr>
          <w:rFonts w:ascii="宋体" w:hAnsi="宋体" w:eastAsia="宋体"/>
          <w:szCs w:val="21"/>
        </w:rPr>
        <w:br w:type="page" w:clear="all"/>
      </w:r>
      <w:r>
        <w:rPr>
          <w:rFonts w:hint="eastAsia" w:ascii="宋体" w:hAnsi="宋体" w:eastAsia="宋体" w:cs="宋体"/>
          <w:b/>
          <w:sz w:val="24"/>
          <w:szCs w:val="24"/>
        </w:rPr>
        <w:t xml:space="preserve">（2）投标人情况表</w:t>
      </w:r>
      <w:r/>
    </w:p>
    <w:p>
      <w:pPr>
        <w:pStyle w:val="884"/>
        <w:ind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4"/>
        <w:ind w:firstLine="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投标人情况表</w:t>
      </w:r>
      <w:r/>
    </w:p>
    <w:p>
      <w:pPr>
        <w:pStyle w:val="884"/>
        <w:ind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4"/>
        <w:ind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单位名称（盖章）</w:t>
      </w:r>
      <w:r/>
    </w:p>
    <w:tbl>
      <w:tblPr>
        <w:tblStyle w:val="8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7"/>
        <w:gridCol w:w="2156"/>
        <w:gridCol w:w="1570"/>
        <w:gridCol w:w="2210"/>
        <w:gridCol w:w="1329"/>
      </w:tblGrid>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1082"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c>
          <w:tcPr>
            <w:tcW w:w="788"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成立日期</w:t>
            </w:r>
            <w:r/>
          </w:p>
        </w:tc>
        <w:tc>
          <w:tcPr>
            <w:gridSpan w:val="2"/>
            <w:tcW w:w="1776"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企业地址</w:t>
            </w:r>
            <w:r/>
          </w:p>
        </w:tc>
        <w:tc>
          <w:tcPr>
            <w:tcW w:w="1082"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c>
          <w:tcPr>
            <w:tcW w:w="788"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注册资本</w:t>
            </w:r>
            <w:r/>
          </w:p>
        </w:tc>
        <w:tc>
          <w:tcPr>
            <w:gridSpan w:val="2"/>
            <w:tcW w:w="1776" w:type="pct"/>
            <w:vAlign w:val="center"/>
            <w:textDirection w:val="lrTb"/>
            <w:noWrap w:val="false"/>
          </w:tcPr>
          <w:p>
            <w:pPr>
              <w:pStyle w:val="884"/>
              <w:ind w:firstLine="2160"/>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4"/>
            <w:tcW w:w="3646"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职工人数</w:t>
            </w:r>
            <w:r/>
          </w:p>
        </w:tc>
        <w:tc>
          <w:tcPr>
            <w:tcW w:w="1082"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c>
          <w:tcPr>
            <w:gridSpan w:val="2"/>
            <w:tcW w:w="1897"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其中：有中高级以上职称的人数</w:t>
            </w:r>
            <w:r/>
          </w:p>
        </w:tc>
        <w:tc>
          <w:tcPr>
            <w:tcW w:w="667"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资产总计</w:t>
            </w:r>
            <w:r/>
          </w:p>
        </w:tc>
        <w:tc>
          <w:tcPr>
            <w:tcW w:w="1082" w:type="pct"/>
            <w:vAlign w:val="center"/>
            <w:textDirection w:val="lrTb"/>
            <w:noWrap w:val="false"/>
          </w:tcPr>
          <w:p>
            <w:pPr>
              <w:pStyle w:val="884"/>
              <w:ind w:firstLine="0"/>
              <w:jc w:val="center"/>
              <w:rPr>
                <w:rFonts w:hint="eastAsia" w:ascii="宋体" w:hAnsi="宋体" w:eastAsia="宋体" w:cs="宋体"/>
                <w:sz w:val="24"/>
                <w:szCs w:val="24"/>
              </w:rPr>
            </w:pPr>
            <w:r>
              <w:rPr>
                <w:rFonts w:hint="eastAsia" w:ascii="宋体" w:hAnsi="宋体" w:eastAsia="宋体" w:cs="宋体"/>
                <w:sz w:val="24"/>
                <w:szCs w:val="24"/>
              </w:rPr>
              <w:t xml:space="preserve">          万元</w:t>
            </w:r>
            <w:r/>
          </w:p>
        </w:tc>
        <w:tc>
          <w:tcPr>
            <w:tcW w:w="788"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净资产</w:t>
            </w:r>
            <w:r/>
          </w:p>
        </w:tc>
        <w:tc>
          <w:tcPr>
            <w:gridSpan w:val="2"/>
            <w:tcW w:w="1776" w:type="pct"/>
            <w:vAlign w:val="center"/>
            <w:textDirection w:val="lrTb"/>
            <w:noWrap w:val="false"/>
          </w:tcPr>
          <w:p>
            <w:pPr>
              <w:pStyle w:val="884"/>
              <w:ind w:firstLine="0"/>
              <w:jc w:val="center"/>
              <w:rPr>
                <w:rFonts w:hint="eastAsia" w:ascii="宋体" w:hAnsi="宋体" w:eastAsia="宋体" w:cs="宋体"/>
                <w:sz w:val="24"/>
                <w:szCs w:val="24"/>
              </w:rPr>
            </w:pPr>
            <w:r>
              <w:rPr>
                <w:rFonts w:hint="eastAsia" w:ascii="宋体" w:hAnsi="宋体" w:eastAsia="宋体" w:cs="宋体"/>
                <w:sz w:val="24"/>
                <w:szCs w:val="24"/>
              </w:rPr>
              <w:t xml:space="preserve">                万元</w:t>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股东权益</w:t>
            </w:r>
            <w:r/>
          </w:p>
        </w:tc>
        <w:tc>
          <w:tcPr>
            <w:tcW w:w="1082" w:type="pct"/>
            <w:vAlign w:val="center"/>
            <w:textDirection w:val="lrTb"/>
            <w:noWrap w:val="false"/>
          </w:tcPr>
          <w:p>
            <w:pPr>
              <w:pStyle w:val="884"/>
              <w:ind w:firstLine="0"/>
              <w:jc w:val="center"/>
              <w:rPr>
                <w:rFonts w:hint="eastAsia" w:ascii="宋体" w:hAnsi="宋体" w:eastAsia="宋体" w:cs="宋体"/>
                <w:sz w:val="24"/>
                <w:szCs w:val="24"/>
              </w:rPr>
            </w:pPr>
            <w:r>
              <w:rPr>
                <w:rFonts w:hint="eastAsia" w:ascii="宋体" w:hAnsi="宋体" w:eastAsia="宋体" w:cs="宋体"/>
                <w:sz w:val="24"/>
                <w:szCs w:val="24"/>
              </w:rPr>
              <w:t xml:space="preserve">          万元</w:t>
            </w:r>
            <w:r/>
          </w:p>
        </w:tc>
        <w:tc>
          <w:tcPr>
            <w:tcW w:w="788"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销售收入</w:t>
            </w:r>
            <w:r/>
          </w:p>
        </w:tc>
        <w:tc>
          <w:tcPr>
            <w:gridSpan w:val="2"/>
            <w:tcW w:w="1776" w:type="pct"/>
            <w:vAlign w:val="center"/>
            <w:textDirection w:val="lrTb"/>
            <w:noWrap w:val="false"/>
          </w:tcPr>
          <w:p>
            <w:pPr>
              <w:pStyle w:val="884"/>
              <w:ind w:firstLine="0"/>
              <w:jc w:val="center"/>
              <w:rPr>
                <w:rFonts w:hint="eastAsia" w:ascii="宋体" w:hAnsi="宋体" w:eastAsia="宋体" w:cs="宋体"/>
                <w:sz w:val="24"/>
                <w:szCs w:val="24"/>
              </w:rPr>
            </w:pPr>
            <w:r>
              <w:rPr>
                <w:rFonts w:hint="eastAsia" w:ascii="宋体" w:hAnsi="宋体" w:eastAsia="宋体" w:cs="宋体"/>
                <w:sz w:val="24"/>
                <w:szCs w:val="24"/>
              </w:rPr>
              <w:t xml:space="preserve">2025年           万元</w:t>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实现利润</w:t>
            </w:r>
            <w:r/>
          </w:p>
        </w:tc>
        <w:tc>
          <w:tcPr>
            <w:tcW w:w="1082"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2025年     万元</w:t>
            </w:r>
            <w:r/>
          </w:p>
        </w:tc>
        <w:tc>
          <w:tcPr>
            <w:tcW w:w="788"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c>
          <w:tcPr>
            <w:gridSpan w:val="2"/>
            <w:tcW w:w="1776"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营业面积（含厂房面积）</w:t>
            </w:r>
            <w:r/>
          </w:p>
        </w:tc>
        <w:tc>
          <w:tcPr>
            <w:tcW w:w="1082"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     平方米</w:t>
            </w:r>
            <w:r/>
          </w:p>
        </w:tc>
        <w:tc>
          <w:tcPr>
            <w:tcW w:w="788"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其中：</w:t>
            </w:r>
            <w:r/>
          </w:p>
        </w:tc>
        <w:tc>
          <w:tcPr>
            <w:gridSpan w:val="2"/>
            <w:tcW w:w="1776"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自有面积        平方米</w:t>
            </w:r>
            <w:r/>
          </w:p>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承租面积        平方米</w:t>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单位简历及内设机构情况</w:t>
            </w:r>
            <w:r/>
          </w:p>
        </w:tc>
        <w:tc>
          <w:tcPr>
            <w:gridSpan w:val="4"/>
            <w:tcW w:w="3646"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单位优势及特长</w:t>
            </w:r>
            <w:r/>
          </w:p>
        </w:tc>
        <w:tc>
          <w:tcPr>
            <w:gridSpan w:val="4"/>
            <w:tcW w:w="3646"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近三年来完成或正在履行的重大合同情况</w:t>
            </w:r>
            <w:r/>
          </w:p>
        </w:tc>
        <w:tc>
          <w:tcPr>
            <w:gridSpan w:val="4"/>
            <w:tcW w:w="3646"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最近3年内在经营过程中受到何种奖励或处分（包括情况和结果）</w:t>
            </w:r>
            <w:r/>
          </w:p>
        </w:tc>
        <w:tc>
          <w:tcPr>
            <w:gridSpan w:val="4"/>
            <w:tcW w:w="3646"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最近3年内有无因售假、售劣或是其他原因被消费者投诉或起诉的情况及说明（包括解决方式和结果）</w:t>
            </w:r>
            <w:r/>
          </w:p>
        </w:tc>
        <w:tc>
          <w:tcPr>
            <w:gridSpan w:val="4"/>
            <w:tcW w:w="3646"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最近3年内主要负责人有无因经济犯罪被司法机关追究的情况及说明</w:t>
            </w:r>
            <w:r/>
          </w:p>
        </w:tc>
        <w:tc>
          <w:tcPr>
            <w:gridSpan w:val="4"/>
            <w:tcW w:w="3646"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获得技术认证的工程师及简介</w:t>
            </w:r>
            <w:r/>
          </w:p>
        </w:tc>
        <w:tc>
          <w:tcPr>
            <w:gridSpan w:val="4"/>
            <w:tcW w:w="3646"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t xml:space="preserve">其他需要说明的情况</w:t>
            </w:r>
            <w:r/>
          </w:p>
        </w:tc>
        <w:tc>
          <w:tcPr>
            <w:gridSpan w:val="4"/>
            <w:tcW w:w="3646" w:type="pct"/>
            <w:vAlign w:val="center"/>
            <w:textDirection w:val="lrTb"/>
            <w:noWrap w:val="false"/>
          </w:tcPr>
          <w:p>
            <w:pPr>
              <w:pStyle w:val="884"/>
              <w:ind w:firstLine="0"/>
              <w:rPr>
                <w:rFonts w:hint="eastAsia" w:ascii="宋体" w:hAnsi="宋体" w:eastAsia="宋体" w:cs="宋体"/>
                <w:sz w:val="24"/>
                <w:szCs w:val="24"/>
              </w:rPr>
            </w:pPr>
            <w:r>
              <w:rPr>
                <w:rFonts w:hint="eastAsia" w:ascii="宋体" w:hAnsi="宋体" w:eastAsia="宋体" w:cs="宋体"/>
                <w:sz w:val="24"/>
                <w:szCs w:val="24"/>
              </w:rPr>
            </w:r>
            <w:r/>
          </w:p>
        </w:tc>
      </w:tr>
    </w:tbl>
    <w:p>
      <w:pPr>
        <w:pStyle w:val="884"/>
        <w:ind w:firstLine="0"/>
        <w:rPr>
          <w:rFonts w:hint="eastAsia" w:ascii="宋体" w:hAnsi="宋体" w:eastAsia="宋体" w:cs="宋体"/>
          <w:sz w:val="24"/>
          <w:szCs w:val="24"/>
        </w:rPr>
      </w:pPr>
      <w:r>
        <w:rPr>
          <w:rFonts w:hint="eastAsia" w:ascii="宋体" w:hAnsi="宋体" w:eastAsia="宋体" w:cs="宋体"/>
          <w:sz w:val="24"/>
          <w:szCs w:val="24"/>
        </w:rPr>
      </w:r>
      <w:r/>
    </w:p>
    <w:p>
      <w:pPr>
        <w:pStyle w:val="884"/>
        <w:ind w:firstLine="0"/>
        <w:rPr>
          <w:rFonts w:hint="eastAsia" w:ascii="宋体" w:hAnsi="宋体" w:eastAsia="宋体"/>
          <w:szCs w:val="21"/>
        </w:rPr>
      </w:pPr>
      <w:r>
        <w:rPr>
          <w:rFonts w:hint="eastAsia" w:ascii="宋体" w:hAnsi="宋体" w:eastAsia="宋体"/>
          <w:szCs w:val="21"/>
        </w:rPr>
      </w:r>
      <w:r/>
    </w:p>
    <w:p>
      <w:pPr>
        <w:rPr>
          <w:rFonts w:hint="eastAsia" w:ascii="宋体" w:hAnsi="宋体" w:eastAsia="宋体"/>
          <w:szCs w:val="21"/>
        </w:rPr>
      </w:pPr>
      <w:r>
        <w:rPr>
          <w:rFonts w:hint="eastAsia" w:ascii="宋体" w:hAnsi="宋体" w:eastAsia="宋体"/>
          <w:szCs w:val="21"/>
        </w:rPr>
      </w:r>
      <w:r/>
    </w:p>
    <w:p>
      <w:pPr>
        <w:pStyle w:val="895"/>
        <w:rPr>
          <w:rFonts w:hint="eastAsia" w:ascii="宋体" w:hAnsi="宋体"/>
          <w:szCs w:val="21"/>
        </w:rPr>
      </w:pPr>
      <w:r>
        <w:rPr>
          <w:rFonts w:hint="eastAsia" w:ascii="宋体" w:hAnsi="宋体"/>
          <w:szCs w:val="21"/>
        </w:rPr>
      </w:r>
      <w:r/>
    </w:p>
    <w:p>
      <w:pPr>
        <w:pStyle w:val="895"/>
        <w:rPr>
          <w:rFonts w:hint="eastAsia" w:ascii="宋体" w:hAnsi="宋体"/>
          <w:szCs w:val="21"/>
        </w:rPr>
      </w:pPr>
      <w:r>
        <w:rPr>
          <w:rFonts w:hint="eastAsia" w:ascii="宋体" w:hAnsi="宋体"/>
          <w:szCs w:val="21"/>
        </w:rPr>
      </w:r>
      <w:r/>
    </w:p>
    <w:p>
      <w:pPr>
        <w:pStyle w:val="884"/>
        <w:ind w:firstLine="0"/>
        <w:spacing w:line="360" w:lineRule="auto"/>
        <w:rPr>
          <w:rFonts w:hint="eastAsia" w:ascii="宋体" w:hAnsi="宋体" w:eastAsia="宋体"/>
          <w:b/>
          <w:sz w:val="24"/>
          <w:szCs w:val="24"/>
        </w:rPr>
      </w:pPr>
      <w:r>
        <w:rPr>
          <w:rFonts w:ascii="宋体" w:hAnsi="宋体" w:eastAsia="宋体"/>
          <w:b/>
          <w:szCs w:val="21"/>
        </w:rPr>
        <w:br w:type="page" w:clear="all"/>
      </w:r>
      <w:r>
        <w:rPr>
          <w:rFonts w:hint="eastAsia" w:ascii="宋体" w:hAnsi="宋体" w:eastAsia="宋体"/>
          <w:b/>
          <w:sz w:val="24"/>
          <w:szCs w:val="24"/>
        </w:rPr>
        <w:t xml:space="preserve">（3）中小企业声明函</w:t>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中小企业声明函</w:t>
      </w:r>
      <w:r/>
    </w:p>
    <w:p>
      <w:pPr>
        <w:pStyle w:val="913"/>
        <w:spacing w:line="360" w:lineRule="auto"/>
        <w:rPr>
          <w:rFonts w:hint="eastAsia" w:hAnsi="宋体" w:eastAsia="宋体" w:cs="宋体"/>
          <w:sz w:val="24"/>
          <w:szCs w:val="24"/>
          <w:lang w:val="zh-CN"/>
        </w:rPr>
      </w:pPr>
      <w:r>
        <w:rPr>
          <w:rFonts w:hint="eastAsia"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4"/>
          <w:u w:val="single"/>
          <w:lang w:val="zh-CN"/>
        </w:rPr>
        <w:t xml:space="preserve">苏州市园林综合服务中心</w:t>
      </w:r>
      <w:r>
        <w:rPr>
          <w:rFonts w:hint="eastAsia" w:ascii="宋体" w:hAnsi="宋体" w:eastAsia="宋体" w:cs="宋体"/>
          <w:sz w:val="24"/>
          <w:szCs w:val="24"/>
          <w:lang w:val="zh-CN"/>
        </w:rPr>
        <w:t xml:space="preserve">的</w:t>
      </w:r>
      <w:r>
        <w:rPr>
          <w:rFonts w:hint="eastAsia" w:ascii="宋体" w:hAnsi="宋体" w:eastAsia="宋体" w:cs="宋体"/>
          <w:sz w:val="24"/>
          <w:szCs w:val="24"/>
          <w:u w:val="single"/>
          <w:lang w:val="zh-CN"/>
        </w:rPr>
        <w:t xml:space="preserve">2026年度苏州园林票务管理系统一体化运营管理服务</w:t>
      </w:r>
      <w:r>
        <w:rPr>
          <w:rFonts w:hint="eastAsia" w:ascii="宋体" w:hAnsi="宋体" w:eastAsia="宋体" w:cs="宋体"/>
          <w:sz w:val="24"/>
          <w:szCs w:val="24"/>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
        </w:numPr>
        <w:ind w:firstLine="480"/>
        <w:spacing w:line="360" w:lineRule="auto"/>
        <w:rPr>
          <w:rFonts w:hint="eastAsia" w:ascii="宋体" w:hAnsi="宋体" w:eastAsia="宋体" w:cs="宋体"/>
          <w:b/>
          <w:sz w:val="24"/>
          <w:szCs w:val="24"/>
          <w:lang w:val="zh-CN"/>
        </w:rPr>
      </w:pPr>
      <w:r>
        <w:rPr>
          <w:rFonts w:hint="eastAsia" w:ascii="宋体" w:hAnsi="宋体" w:eastAsia="宋体" w:cs="宋体"/>
          <w:b/>
          <w:bCs/>
          <w:sz w:val="24"/>
          <w:szCs w:val="24"/>
          <w:u w:val="single"/>
          <w:lang w:val="zh-CN"/>
        </w:rPr>
        <w:t xml:space="preserve">2026年度苏州园林票务管理系统一体化运营管理服务，</w:t>
      </w:r>
      <w:r>
        <w:rPr>
          <w:rFonts w:hint="eastAsia" w:ascii="宋体" w:hAnsi="宋体" w:eastAsia="宋体" w:cs="宋体"/>
          <w:sz w:val="24"/>
          <w:szCs w:val="24"/>
          <w:lang w:val="zh-CN"/>
        </w:rPr>
        <w:t xml:space="preserve">属于</w:t>
      </w:r>
      <w:r>
        <w:rPr>
          <w:rFonts w:hint="eastAsia" w:ascii="宋体" w:hAnsi="宋体" w:eastAsia="宋体" w:cs="宋体"/>
          <w:b/>
          <w:bCs/>
          <w:sz w:val="24"/>
          <w:szCs w:val="24"/>
          <w:u w:val="single"/>
          <w:lang w:val="zh-CN"/>
        </w:rPr>
        <w:t xml:space="preserve">软件和信息技术服务业</w:t>
      </w:r>
      <w:r>
        <w:rPr>
          <w:rFonts w:hint="eastAsia" w:ascii="宋体" w:hAnsi="宋体" w:eastAsia="宋体" w:cs="宋体"/>
          <w:sz w:val="24"/>
          <w:szCs w:val="24"/>
          <w:lang w:val="zh-CN"/>
        </w:rPr>
        <w:t xml:space="preserve">；承建（承接）企业为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lang w:val="zh-CN"/>
        </w:rPr>
        <w:t xml:space="preserve"> </w:t>
      </w:r>
      <w:r>
        <w:rPr>
          <w:rFonts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lang w:val="zh-CN"/>
        </w:rPr>
        <w:t xml:space="preserve"> </w:t>
      </w:r>
      <w:r>
        <w:rPr>
          <w:rFonts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lang w:val="zh-CN"/>
        </w:rPr>
        <w:t xml:space="preserve"> </w:t>
      </w:r>
      <w:r>
        <w:rPr>
          <w:rFonts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万元，属于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rPr>
          <w:rFonts w:hint="eastAsia" w:ascii="宋体" w:hAnsi="宋体" w:eastAsia="宋体" w:cs="宋体"/>
          <w:b/>
          <w:sz w:val="24"/>
          <w:szCs w:val="24"/>
          <w:lang w:val="zh-CN"/>
        </w:rPr>
        <w:t xml:space="preserve">注：（企业类型选填一项）</w:t>
      </w:r>
      <w:r/>
    </w:p>
    <w:p>
      <w:pPr>
        <w:numPr>
          <w:ilvl w:val="0"/>
          <w:numId w:val="1"/>
        </w:num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u w:val="single"/>
          <w:lang w:val="zh-CN"/>
        </w:rPr>
        <w:t xml:space="preserve">（标的名称） </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（采购文件中明确的所属行业）</w:t>
      </w:r>
      <w:r>
        <w:rPr>
          <w:rFonts w:hint="eastAsia" w:ascii="宋体" w:hAnsi="宋体" w:eastAsia="宋体" w:cs="宋体"/>
          <w:sz w:val="24"/>
          <w:szCs w:val="24"/>
          <w:lang w:val="zh-CN"/>
        </w:rPr>
        <w:t xml:space="preserve">；承建（承接）企业为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lang w:val="zh-CN"/>
        </w:rPr>
        <w:t xml:space="preserve"> </w:t>
      </w:r>
      <w:r>
        <w:rPr>
          <w:rFonts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lang w:val="zh-CN"/>
        </w:rPr>
        <w:t xml:space="preserve"> </w:t>
      </w:r>
      <w:r>
        <w:rPr>
          <w:rFonts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lang w:val="zh-CN"/>
        </w:rPr>
        <w:t xml:space="preserve"> </w:t>
      </w:r>
      <w:r>
        <w:rPr>
          <w:rFonts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万元，属于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p>
    <w:p>
      <w:pPr>
        <w:ind w:left="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95"/>
        <w:ind w:firstLine="480"/>
        <w:rPr>
          <w:rFonts w:hint="eastAsia" w:ascii="宋体" w:hAnsi="宋体"/>
          <w:sz w:val="24"/>
        </w:rPr>
      </w:pPr>
      <w:r>
        <w:rPr>
          <w:rFonts w:hint="eastAsia" w:ascii="宋体" w:hAnsi="宋体"/>
          <w:sz w:val="24"/>
        </w:rPr>
      </w:r>
      <w:r/>
    </w:p>
    <w:p>
      <w:pPr>
        <w:pStyle w:val="895"/>
        <w:ind w:firstLine="480"/>
        <w:rPr>
          <w:rFonts w:hint="eastAsia" w:ascii="宋体" w:hAnsi="宋体"/>
          <w:sz w:val="24"/>
        </w:rPr>
      </w:pPr>
      <w:r>
        <w:rPr>
          <w:rFonts w:hint="eastAsia" w:ascii="宋体" w:hAnsi="宋体"/>
          <w:sz w:val="24"/>
        </w:rPr>
      </w:r>
      <w:r/>
    </w:p>
    <w:p>
      <w:pPr>
        <w:pStyle w:val="895"/>
        <w:ind w:firstLine="480"/>
        <w:rPr>
          <w:rFonts w:hint="eastAsia" w:ascii="宋体" w:hAnsi="宋体"/>
          <w:sz w:val="24"/>
        </w:rPr>
      </w:pPr>
      <w:r>
        <w:rPr>
          <w:rFonts w:hint="eastAsia" w:ascii="宋体" w:hAnsi="宋体"/>
          <w:sz w:val="24"/>
        </w:rPr>
        <w:t xml:space="preserve">注：从业人员、营业收入、资产总额填报上一年度数据，无上一年度数据的新成立企业可不填报。</w:t>
      </w:r>
      <w:r/>
    </w:p>
    <w:p>
      <w:pPr>
        <w:pStyle w:val="895"/>
        <w:ind w:firstLine="480"/>
        <w:rPr>
          <w:rFonts w:hint="eastAsia" w:ascii="宋体" w:hAnsi="宋体"/>
          <w:sz w:val="24"/>
        </w:rPr>
      </w:pPr>
      <w:r>
        <w:rPr>
          <w:rFonts w:hint="eastAsia" w:ascii="宋体" w:hAnsi="宋体"/>
          <w:sz w:val="24"/>
        </w:rPr>
      </w:r>
      <w:r/>
    </w:p>
    <w:p>
      <w:pPr>
        <w:spacing w:before="156" w:line="480" w:lineRule="exact"/>
        <w:rPr>
          <w:rFonts w:hint="eastAsia" w:ascii="宋体" w:hAnsi="宋体" w:eastAsia="宋体" w:cs="宋体"/>
          <w:b/>
          <w:sz w:val="24"/>
          <w:szCs w:val="24"/>
        </w:rPr>
      </w:pPr>
      <w:r>
        <w:rPr>
          <w:rFonts w:hint="eastAsia" w:ascii="宋体" w:hAnsi="宋体" w:eastAsia="宋体" w:cs="宋体"/>
          <w:b/>
          <w:sz w:val="24"/>
          <w:szCs w:val="24"/>
        </w:rPr>
        <w:t xml:space="preserve">附：中小企业划型标准规定（工信部联企业〔2011〕300号）</w:t>
      </w:r>
      <w:r/>
    </w:p>
    <w:p>
      <w:pPr>
        <w:ind w:firstLine="420"/>
        <w:spacing w:line="48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w:t>
      </w:r>
      <w:r/>
    </w:p>
    <w:p>
      <w:pPr>
        <w:spacing w:before="156" w:line="480" w:lineRule="exact"/>
        <w:rPr>
          <w:rFonts w:hint="eastAsia" w:ascii="宋体" w:hAnsi="宋体" w:eastAsia="宋体" w:cs="宋体"/>
          <w:sz w:val="24"/>
          <w:szCs w:val="24"/>
        </w:rPr>
      </w:pPr>
      <w:r>
        <w:rPr>
          <w:rFonts w:hint="eastAsia" w:ascii="宋体" w:hAnsi="宋体" w:eastAsia="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p>
    <w:p>
      <w:pPr>
        <w:pStyle w:val="895"/>
        <w:rPr>
          <w:rFonts w:hint="eastAsia" w:ascii="宋体" w:hAnsi="宋体"/>
          <w:szCs w:val="21"/>
        </w:rPr>
      </w:pPr>
      <w:r>
        <w:rPr>
          <w:rFonts w:hint="eastAsia" w:ascii="宋体" w:hAnsi="宋体"/>
          <w:szCs w:val="21"/>
        </w:rPr>
      </w:r>
      <w:r/>
    </w:p>
    <w:p>
      <w:pPr>
        <w:spacing w:line="360" w:lineRule="auto"/>
        <w:rPr>
          <w:rFonts w:hint="eastAsia" w:ascii="宋体" w:hAnsi="宋体" w:eastAsia="宋体" w:cs="宋体"/>
          <w:b/>
          <w:bCs/>
          <w:sz w:val="24"/>
          <w:szCs w:val="24"/>
        </w:rPr>
      </w:pPr>
      <w:r>
        <w:rPr>
          <w:rFonts w:ascii="宋体" w:hAnsi="宋体" w:eastAsia="宋体"/>
          <w:szCs w:val="21"/>
        </w:rPr>
        <w:br w:type="page" w:clear="all"/>
      </w:r>
      <w:r>
        <w:rPr>
          <w:rFonts w:hint="eastAsia" w:ascii="宋体" w:hAnsi="宋体" w:eastAsia="宋体"/>
          <w:b/>
          <w:sz w:val="24"/>
          <w:szCs w:val="24"/>
        </w:rPr>
        <w:t xml:space="preserve">（4）</w:t>
      </w:r>
      <w:r>
        <w:rPr>
          <w:rFonts w:hint="eastAsia" w:ascii="宋体" w:hAnsi="宋体" w:eastAsia="宋体" w:cs="宋体"/>
          <w:b/>
          <w:bCs/>
          <w:sz w:val="24"/>
          <w:szCs w:val="24"/>
        </w:rPr>
        <w:t xml:space="preserve">残疾人福利性单位声明函</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893"/>
        <w:jc w:val="center"/>
        <w:spacing w:beforeAutospacing="0" w:afterAutospacing="0" w:line="360" w:lineRule="auto"/>
        <w:widowControl/>
        <w:rPr>
          <w:rFonts w:hint="eastAsia" w:ascii="宋体" w:hAnsi="宋体" w:eastAsia="宋体" w:cs="宋体"/>
          <w:b/>
          <w:bCs/>
          <w:szCs w:val="24"/>
        </w:rPr>
      </w:pPr>
      <w:r>
        <w:rPr>
          <w:rFonts w:hint="eastAsia" w:ascii="宋体" w:hAnsi="宋体" w:eastAsia="宋体" w:cs="宋体"/>
          <w:b/>
          <w:bCs/>
          <w:szCs w:val="24"/>
        </w:rPr>
        <w:t xml:space="preserve">残疾人福利性单位声明函</w:t>
      </w:r>
      <w:r/>
    </w:p>
    <w:p>
      <w:pPr>
        <w:pStyle w:val="893"/>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r>
      <w:r/>
    </w:p>
    <w:p>
      <w:pPr>
        <w:pStyle w:val="893"/>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93"/>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本单位对上述声明的真实性负责。如有虚假，将依法承担相应责任。</w:t>
      </w:r>
      <w:r/>
    </w:p>
    <w:p>
      <w:pPr>
        <w:pStyle w:val="893"/>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r>
      <w:r/>
    </w:p>
    <w:p>
      <w:pPr>
        <w:pStyle w:val="893"/>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单位名称（盖章）：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spacing w:line="360" w:lineRule="auto"/>
        <w:rPr>
          <w:rFonts w:hint="eastAsia" w:ascii="宋体" w:hAnsi="宋体" w:eastAsia="宋体" w:cs="宋体"/>
          <w:b/>
          <w:sz w:val="24"/>
          <w:szCs w:val="24"/>
        </w:rPr>
      </w:pPr>
      <w:r>
        <w:rPr>
          <w:rFonts w:ascii="宋体" w:hAnsi="宋体" w:eastAsia="宋体" w:cs="宋体"/>
          <w:szCs w:val="21"/>
        </w:rPr>
        <w:br w:type="page" w:clear="all"/>
      </w:r>
      <w:r>
        <w:rPr>
          <w:rFonts w:hint="eastAsia" w:ascii="宋体" w:hAnsi="宋体" w:eastAsia="宋体" w:cs="宋体"/>
          <w:b/>
          <w:sz w:val="24"/>
          <w:szCs w:val="24"/>
        </w:rPr>
        <w:t xml:space="preserve">（5）《投标（响应）保证承诺书》</w:t>
      </w:r>
      <w:r/>
    </w:p>
    <w:p>
      <w:pPr>
        <w:pStyle w:val="884"/>
        <w:ind w:firstLine="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93"/>
        <w:jc w:val="center"/>
        <w:spacing w:before="0" w:beforeAutospacing="0" w:after="0" w:afterAutospacing="0" w:line="360" w:lineRule="auto"/>
        <w:rPr>
          <w:rFonts w:hint="eastAsia" w:ascii="宋体" w:hAnsi="宋体" w:eastAsia="宋体" w:cs="宋体"/>
          <w:b/>
          <w:bCs/>
          <w:szCs w:val="24"/>
        </w:rPr>
      </w:pPr>
      <w:r>
        <w:rPr>
          <w:rFonts w:hint="eastAsia" w:ascii="宋体" w:hAnsi="宋体" w:eastAsia="宋体" w:cs="宋体"/>
          <w:b/>
          <w:bCs/>
          <w:szCs w:val="24"/>
        </w:rPr>
        <w:t xml:space="preserve">投标（响应）保证承诺书</w:t>
      </w:r>
      <w:r/>
    </w:p>
    <w:p>
      <w:pPr>
        <w:pStyle w:val="893"/>
        <w:jc w:val="center"/>
        <w:spacing w:before="0" w:beforeAutospacing="0" w:after="0" w:afterAutospacing="0" w:line="360" w:lineRule="auto"/>
        <w:rPr>
          <w:rFonts w:hint="eastAsia" w:ascii="宋体" w:hAnsi="宋体" w:eastAsia="宋体" w:cs="宋体"/>
          <w:b/>
          <w:bCs/>
          <w:szCs w:val="24"/>
        </w:rPr>
      </w:pPr>
      <w:r>
        <w:rPr>
          <w:rFonts w:hint="eastAsia" w:ascii="宋体" w:hAnsi="宋体" w:eastAsia="宋体" w:cs="宋体"/>
          <w:b/>
          <w:bCs/>
          <w:szCs w:val="24"/>
        </w:rPr>
      </w:r>
      <w:r/>
    </w:p>
    <w:p>
      <w:pPr>
        <w:pStyle w:val="893"/>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致：</w:t>
      </w:r>
      <w:r>
        <w:rPr>
          <w:rFonts w:hint="eastAsia" w:ascii="宋体" w:hAnsi="宋体" w:eastAsia="宋体" w:cs="宋体"/>
          <w:szCs w:val="24"/>
          <w:u w:val="single"/>
        </w:rPr>
        <w:t xml:space="preserve">（采购代理机构名称）</w:t>
      </w:r>
      <w:r/>
    </w:p>
    <w:p>
      <w:pPr>
        <w:pStyle w:val="893"/>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我（单位/本人，以下统称我单位）自愿参加</w:t>
      </w:r>
      <w:r>
        <w:rPr>
          <w:rFonts w:hint="eastAsia" w:ascii="宋体" w:hAnsi="宋体" w:eastAsia="宋体" w:cs="宋体"/>
          <w:szCs w:val="24"/>
          <w:u w:val="single"/>
        </w:rPr>
        <w:t xml:space="preserve"> （项目名称和采购编号） </w:t>
      </w:r>
      <w:r>
        <w:rPr>
          <w:rFonts w:hint="eastAsia" w:ascii="宋体" w:hAnsi="宋体" w:eastAsia="宋体" w:cs="宋体"/>
          <w:szCs w:val="24"/>
        </w:rPr>
        <w:t xml:space="preserve">的投标（响应）,并做出如下承诺：</w:t>
      </w:r>
      <w:r/>
    </w:p>
    <w:p>
      <w:pPr>
        <w:pStyle w:val="893"/>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一、除不可抗力外，我单位如果发生以下行为，将在行为发生的10个工作日内，向贵方</w:t>
      </w:r>
      <w:r>
        <w:rPr>
          <w:rFonts w:hint="eastAsia" w:ascii="宋体" w:hAnsi="宋体" w:eastAsia="宋体" w:cs="宋体"/>
          <w:szCs w:val="24"/>
          <w:u w:val="single"/>
        </w:rPr>
        <w:t xml:space="preserve">（或采购人）</w:t>
      </w:r>
      <w:r>
        <w:rPr>
          <w:rFonts w:hint="eastAsia" w:ascii="宋体" w:hAnsi="宋体" w:eastAsia="宋体" w:cs="宋体"/>
          <w:szCs w:val="24"/>
        </w:rPr>
        <w:t xml:space="preserve">支付本采购文件公布的预算金额（或最高限价）的2%作为违约赔偿金（数量不确定的单价采购须约定具体金额）。</w:t>
      </w:r>
      <w:r/>
    </w:p>
    <w:p>
      <w:pPr>
        <w:pStyle w:val="893"/>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1.自投标（响应）截止时间至本项目发布成交（成交）公告为止，撤销投标（响应）；</w:t>
      </w:r>
      <w:r/>
    </w:p>
    <w:p>
      <w:pPr>
        <w:pStyle w:val="893"/>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2.成交（成交）后不依法与采购人签订合同；</w:t>
      </w:r>
      <w:r/>
    </w:p>
    <w:p>
      <w:pPr>
        <w:pStyle w:val="893"/>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3.成交（成交）后不按本采购文件规定向采购人提交履约保证金；</w:t>
      </w:r>
      <w:r/>
    </w:p>
    <w:p>
      <w:pPr>
        <w:pStyle w:val="893"/>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4.成交（成交）后不按本采购文件规定向贵方缴纳采购代理费。</w:t>
      </w:r>
      <w:r/>
    </w:p>
    <w:p>
      <w:pPr>
        <w:pStyle w:val="893"/>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二、我单位知晓上述行为的法律后果，承认本承诺书作为贵方</w:t>
      </w:r>
      <w:r>
        <w:rPr>
          <w:rFonts w:hint="eastAsia" w:ascii="宋体" w:hAnsi="宋体" w:eastAsia="宋体" w:cs="宋体"/>
          <w:szCs w:val="24"/>
          <w:u w:val="single"/>
        </w:rPr>
        <w:t xml:space="preserve">（或采购人）</w:t>
      </w:r>
      <w:r>
        <w:rPr>
          <w:rFonts w:hint="eastAsia" w:ascii="宋体" w:hAnsi="宋体" w:eastAsia="宋体" w:cs="宋体"/>
          <w:szCs w:val="24"/>
        </w:rPr>
        <w:t xml:space="preserve">要求我单位履行违约赔偿义务的依据作用。</w:t>
      </w:r>
      <w:r/>
    </w:p>
    <w:p>
      <w:pPr>
        <w:pStyle w:val="893"/>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r>
      <w:r/>
    </w:p>
    <w:p>
      <w:pPr>
        <w:pStyle w:val="893"/>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投标（响应）人：（盖公章）</w:t>
      </w:r>
      <w:r/>
    </w:p>
    <w:p>
      <w:pPr>
        <w:pStyle w:val="893"/>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地址：  </w:t>
      </w:r>
      <w:r/>
    </w:p>
    <w:p>
      <w:pPr>
        <w:pStyle w:val="893"/>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电话：             传真：  </w:t>
      </w:r>
      <w:r/>
    </w:p>
    <w:p>
      <w:pPr>
        <w:pStyle w:val="893"/>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电子邮件：         邮编：  </w:t>
      </w:r>
      <w:r/>
    </w:p>
    <w:p>
      <w:pPr>
        <w:pStyle w:val="893"/>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法定代表人或委托代理人(签字或签章)：          </w:t>
      </w:r>
      <w:r/>
    </w:p>
    <w:p>
      <w:pPr>
        <w:pStyle w:val="893"/>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日期：</w:t>
      </w:r>
      <w:r/>
    </w:p>
    <w:p>
      <w:pPr>
        <w:pStyle w:val="906"/>
        <w:ind w:firstLine="0"/>
        <w:spacing w:line="360" w:lineRule="auto"/>
        <w:rPr>
          <w:rFonts w:hint="eastAsia" w:hAnsi="宋体" w:eastAsia="宋体" w:cs="宋体"/>
          <w:b/>
          <w:sz w:val="24"/>
          <w:szCs w:val="24"/>
        </w:rPr>
      </w:pPr>
      <w:r>
        <w:rPr>
          <w:rFonts w:eastAsia="宋体"/>
          <w:szCs w:val="21"/>
        </w:rPr>
        <w:br w:type="page" w:clear="all"/>
      </w:r>
      <w:r>
        <w:rPr>
          <w:rFonts w:hint="eastAsia" w:hAnsi="宋体" w:eastAsia="宋体" w:cs="宋体"/>
          <w:b/>
          <w:sz w:val="24"/>
          <w:szCs w:val="24"/>
        </w:rPr>
        <w:t xml:space="preserve">（6）投标人与其他单位存在直接控股、管理关系情况表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widowControl/>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投标人与其他单位存在直接控股、管理关系情况表</w:t>
      </w:r>
      <w:r/>
    </w:p>
    <w:p>
      <w:pPr>
        <w:pStyle w:val="906"/>
        <w:ind w:firstLine="480"/>
        <w:rPr>
          <w:rFonts w:hint="eastAsia" w:hAnsi="宋体" w:eastAsia="宋体" w:cs="宋体"/>
          <w:bCs/>
          <w:sz w:val="24"/>
          <w:szCs w:val="24"/>
        </w:rPr>
      </w:pPr>
      <w:r>
        <w:rPr>
          <w:rFonts w:hint="eastAsia" w:hAnsi="宋体" w:eastAsia="宋体" w:cs="宋体"/>
          <w:bCs/>
          <w:sz w:val="24"/>
          <w:szCs w:val="24"/>
        </w:rPr>
      </w:r>
      <w:r/>
    </w:p>
    <w:p>
      <w:pPr>
        <w:ind w:firstLine="480"/>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单位名称：</w:t>
      </w:r>
      <w:r/>
    </w:p>
    <w:tbl>
      <w:tblPr>
        <w:tblStyle w:val="883"/>
        <w:tblW w:w="10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704"/>
        <w:gridCol w:w="1506"/>
        <w:gridCol w:w="1580"/>
        <w:gridCol w:w="1440"/>
        <w:gridCol w:w="1711"/>
        <w:gridCol w:w="1268"/>
      </w:tblGrid>
      <w:tr>
        <w:trPr>
          <w:jc w:val="center"/>
          <w:trHeight w:val="766"/>
        </w:trPr>
        <w:tc>
          <w:tcPr>
            <w:gridSpan w:val="4"/>
            <w:tcW w:w="587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与投标人存在直接股权关系</w:t>
            </w:r>
            <w:r/>
          </w:p>
        </w:tc>
        <w:tc>
          <w:tcPr>
            <w:gridSpan w:val="3"/>
            <w:tcW w:w="441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与投标人存在直接管理关系</w:t>
            </w:r>
            <w:r/>
          </w:p>
        </w:tc>
      </w:tr>
      <w:tr>
        <w:trPr>
          <w:jc w:val="center"/>
          <w:trHeight w:val="768"/>
        </w:trPr>
        <w:tc>
          <w:tcPr>
            <w:tcW w:w="108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单位名称</w:t>
            </w:r>
            <w:r/>
          </w:p>
        </w:tc>
        <w:tc>
          <w:tcPr>
            <w:tcW w:w="1704"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是否为大型企业</w:t>
            </w:r>
            <w:r/>
          </w:p>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（填写“是”或 “否”）</w:t>
            </w:r>
            <w:r/>
          </w:p>
        </w:tc>
        <w:tc>
          <w:tcPr>
            <w:tcW w:w="1506" w:type="dxa"/>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是否直接控股</w:t>
            </w:r>
            <w:r/>
          </w:p>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（填写“是”或 “否”）</w:t>
            </w:r>
            <w:r/>
          </w:p>
        </w:tc>
        <w:tc>
          <w:tcPr>
            <w:tcW w:w="158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直接控股关系情况说明（持股比例等）</w:t>
            </w:r>
            <w:r/>
          </w:p>
        </w:tc>
        <w:tc>
          <w:tcPr>
            <w:tcW w:w="144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单位名称</w:t>
            </w:r>
            <w:r/>
          </w:p>
        </w:tc>
        <w:tc>
          <w:tcPr>
            <w:tcW w:w="1711"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是否为大型企业</w:t>
            </w:r>
            <w:r/>
          </w:p>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（填写“是”或 “否”）</w:t>
            </w:r>
            <w:r/>
          </w:p>
        </w:tc>
        <w:tc>
          <w:tcPr>
            <w:tcW w:w="1268"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直接管理关系情况说明</w:t>
            </w:r>
            <w:r/>
          </w:p>
        </w:tc>
      </w:tr>
      <w:tr>
        <w:trPr>
          <w:jc w:val="center"/>
          <w:trHeight w:val="850"/>
        </w:trPr>
        <w:tc>
          <w:tcPr>
            <w:tcW w:w="108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04"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06"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8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44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11"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268"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r>
      <w:tr>
        <w:trPr>
          <w:jc w:val="center"/>
          <w:trHeight w:val="850"/>
        </w:trPr>
        <w:tc>
          <w:tcPr>
            <w:tcW w:w="108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04"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06"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8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44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11"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268"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r>
      <w:tr>
        <w:trPr>
          <w:jc w:val="center"/>
          <w:trHeight w:val="850"/>
        </w:trPr>
        <w:tc>
          <w:tcPr>
            <w:tcW w:w="108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04"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06"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8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44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11"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268"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r>
      <w:tr>
        <w:trPr>
          <w:jc w:val="center"/>
          <w:trHeight w:val="850"/>
        </w:trPr>
        <w:tc>
          <w:tcPr>
            <w:tcW w:w="108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04"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06"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8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44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11"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268"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r>
    </w:tbl>
    <w:p>
      <w:pPr>
        <w:ind w:firstLine="564"/>
        <w:spacing w:line="360" w:lineRule="auto"/>
        <w:rPr>
          <w:rFonts w:hint="eastAsia" w:ascii="宋体" w:hAnsi="宋体" w:eastAsia="宋体" w:cs="宋体"/>
          <w:bCs/>
          <w:sz w:val="24"/>
          <w:szCs w:val="24"/>
          <w:shd w:val="clear" w:color="auto" w:fill="ffffff"/>
        </w:rPr>
        <w:outlineLvl w:val="1"/>
      </w:pPr>
      <w:r>
        <w:rPr>
          <w:rFonts w:hint="eastAsia" w:ascii="宋体" w:hAnsi="宋体" w:eastAsia="宋体" w:cs="宋体"/>
          <w:bCs/>
          <w:sz w:val="24"/>
          <w:szCs w:val="24"/>
          <w:shd w:val="clear" w:color="auto" w:fill="ffffff"/>
        </w:rPr>
        <w:t xml:space="preserve">注：1、本表仅须填写与投标人存在直接股权、管理关系的企业情况。投标人应按上表要求据实填写</w:t>
      </w:r>
      <w:r>
        <w:rPr>
          <w:rFonts w:hint="eastAsia" w:ascii="宋体" w:hAnsi="宋体" w:eastAsia="宋体" w:cs="宋体"/>
          <w:bCs/>
          <w:sz w:val="24"/>
          <w:szCs w:val="24"/>
          <w:shd w:val="clear" w:color="auto" w:fill="ffffff"/>
        </w:rPr>
        <w:t xml:space="preserve">，</w:t>
      </w:r>
      <w:r>
        <w:rPr>
          <w:rFonts w:hint="eastAsia" w:ascii="宋体" w:hAnsi="宋体" w:eastAsia="宋体" w:cs="宋体"/>
          <w:bCs/>
          <w:sz w:val="24"/>
          <w:szCs w:val="24"/>
          <w:shd w:val="clear" w:color="auto" w:fill="ffffff"/>
        </w:rPr>
        <w:t xml:space="preserve">如填写“无”或不填写，均视为投标人声明不存在有关情形。</w:t>
      </w:r>
      <w:r/>
    </w:p>
    <w:p>
      <w:pPr>
        <w:pStyle w:val="887"/>
        <w:ind w:firstLine="564"/>
        <w:spacing w:line="360" w:lineRule="auto"/>
        <w:rPr>
          <w:rFonts w:hint="eastAsia" w:ascii="宋体" w:hAnsi="宋体" w:cs="宋体"/>
          <w:bCs/>
          <w:sz w:val="24"/>
        </w:rPr>
      </w:pPr>
      <w:r>
        <w:rPr>
          <w:rFonts w:hint="eastAsia" w:ascii="宋体" w:hAnsi="宋体" w:cs="宋体"/>
          <w:bCs/>
          <w:sz w:val="24"/>
          <w:shd w:val="clear" w:color="auto" w:fill="ffffff"/>
        </w:rPr>
        <w:t xml:space="preserve">2、其中“直接控股”是指投标人与大型企业之间存在直接投资并控股（非普通持股）的关系。</w:t>
      </w:r>
      <w:r/>
    </w:p>
    <w:p>
      <w:pPr>
        <w:rPr>
          <w:rFonts w:hint="eastAsia" w:ascii="宋体" w:hAnsi="宋体" w:eastAsia="宋体" w:cs="宋体"/>
          <w:sz w:val="24"/>
          <w:szCs w:val="24"/>
        </w:rPr>
      </w:pPr>
      <w:r>
        <w:rPr>
          <w:rFonts w:hint="eastAsia" w:ascii="宋体" w:hAnsi="宋体" w:eastAsia="宋体" w:cs="宋体"/>
          <w:sz w:val="24"/>
          <w:szCs w:val="24"/>
        </w:rPr>
      </w:r>
      <w:r/>
    </w:p>
    <w:p>
      <w:pPr>
        <w:pStyle w:val="906"/>
        <w:ind w:firstLine="480"/>
        <w:rPr>
          <w:rFonts w:hint="eastAsia" w:hAnsi="宋体" w:eastAsia="宋体" w:cs="宋体"/>
          <w:sz w:val="24"/>
          <w:szCs w:val="24"/>
        </w:rPr>
      </w:pPr>
      <w:r>
        <w:rPr>
          <w:rFonts w:hint="eastAsia" w:hAnsi="宋体" w:eastAsia="宋体" w:cs="宋体"/>
          <w:sz w:val="24"/>
          <w:szCs w:val="24"/>
        </w:rPr>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投标人：（盖章）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pStyle w:val="906"/>
        <w:ind w:firstLine="420"/>
        <w:rPr>
          <w:rFonts w:eastAsia="宋体"/>
          <w:szCs w:val="21"/>
        </w:rPr>
      </w:pPr>
      <w:r>
        <w:rPr>
          <w:rFonts w:eastAsia="宋体"/>
          <w:szCs w:val="21"/>
        </w:rPr>
      </w:r>
      <w:r/>
    </w:p>
    <w:p>
      <w:pPr>
        <w:ind w:firstLine="422"/>
        <w:jc w:val="center"/>
        <w:spacing w:line="360" w:lineRule="auto"/>
        <w:rPr>
          <w:rFonts w:hint="eastAsia" w:ascii="宋体" w:hAnsi="宋体" w:eastAsia="宋体"/>
          <w:b/>
          <w:bCs/>
          <w:color w:val="000000"/>
          <w:sz w:val="32"/>
          <w:szCs w:val="32"/>
        </w:rPr>
      </w:pPr>
      <w:r>
        <w:rPr>
          <w:rFonts w:ascii="宋体" w:hAnsi="宋体" w:eastAsia="宋体"/>
          <w:b/>
          <w:bCs/>
          <w:szCs w:val="21"/>
        </w:rPr>
        <w:br w:type="page" w:clear="all"/>
      </w:r>
      <w:bookmarkEnd w:id="9"/>
      <w:r>
        <w:rPr>
          <w:rFonts w:hint="eastAsia" w:ascii="宋体" w:hAnsi="宋体" w:eastAsia="宋体"/>
          <w:b/>
          <w:bCs/>
          <w:color w:val="000000"/>
          <w:sz w:val="32"/>
          <w:szCs w:val="32"/>
        </w:rPr>
        <w:t xml:space="preserve">第四章招标书</w:t>
      </w:r>
      <w:bookmarkEnd w:id="10"/>
      <w:r/>
      <w:bookmarkEnd w:id="11"/>
      <w:r/>
      <w:r/>
    </w:p>
    <w:p>
      <w:pPr>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苏州市永诚建设咨询有限公司受</w:t>
      </w:r>
      <w:r>
        <w:rPr>
          <w:rFonts w:hint="eastAsia" w:ascii="宋体" w:hAnsi="宋体" w:eastAsia="宋体"/>
          <w:color w:val="000000"/>
          <w:sz w:val="24"/>
          <w:szCs w:val="24"/>
        </w:rPr>
        <w:t xml:space="preserve">苏州市园林综合服务中心</w:t>
      </w:r>
      <w:r>
        <w:rPr>
          <w:rFonts w:ascii="宋体" w:hAnsi="宋体" w:eastAsia="宋体"/>
          <w:color w:val="000000"/>
          <w:sz w:val="24"/>
          <w:szCs w:val="24"/>
        </w:rPr>
        <w:t xml:space="preserve">的委托，就其所需要招标的</w:t>
      </w:r>
      <w:r>
        <w:rPr>
          <w:rFonts w:hint="eastAsia" w:ascii="宋体" w:hAnsi="宋体" w:eastAsia="宋体"/>
          <w:color w:val="000000"/>
          <w:sz w:val="24"/>
          <w:szCs w:val="24"/>
        </w:rPr>
        <w:t xml:space="preserve">2026年度苏州园林票务管理系统一体化运营管理服务</w:t>
      </w:r>
      <w:r>
        <w:rPr>
          <w:rFonts w:ascii="宋体" w:hAnsi="宋体" w:eastAsia="宋体"/>
          <w:color w:val="000000"/>
          <w:sz w:val="24"/>
          <w:szCs w:val="24"/>
        </w:rPr>
        <w:t xml:space="preserve">在国内组织</w:t>
      </w:r>
      <w:r>
        <w:rPr>
          <w:rFonts w:hint="eastAsia" w:ascii="宋体" w:hAnsi="宋体" w:eastAsia="宋体"/>
          <w:color w:val="000000"/>
          <w:sz w:val="24"/>
          <w:szCs w:val="24"/>
        </w:rPr>
        <w:t xml:space="preserve">公开</w:t>
      </w:r>
      <w:r>
        <w:rPr>
          <w:rFonts w:ascii="宋体" w:hAnsi="宋体" w:eastAsia="宋体"/>
          <w:color w:val="000000"/>
          <w:sz w:val="24"/>
          <w:szCs w:val="24"/>
        </w:rPr>
        <w:t xml:space="preserve">招标。欢迎符合招标文件资格条件的供应商前来</w:t>
      </w:r>
      <w:r>
        <w:rPr>
          <w:rFonts w:hint="eastAsia" w:ascii="宋体" w:hAnsi="宋体" w:eastAsia="宋体"/>
          <w:color w:val="000000"/>
          <w:sz w:val="24"/>
          <w:szCs w:val="24"/>
        </w:rPr>
        <w:t xml:space="preserve">投标</w:t>
      </w:r>
      <w:r>
        <w:rPr>
          <w:rFonts w:ascii="宋体" w:hAnsi="宋体" w:eastAsia="宋体"/>
          <w:color w:val="000000"/>
          <w:sz w:val="24"/>
          <w:szCs w:val="24"/>
        </w:rPr>
        <w:t xml:space="preserve">。</w:t>
      </w:r>
      <w:r/>
    </w:p>
    <w:p>
      <w:pPr>
        <w:ind w:firstLine="482"/>
        <w:spacing w:line="360" w:lineRule="auto"/>
        <w:tabs>
          <w:tab w:val="left" w:pos="420" w:leader="none"/>
        </w:tabs>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一、项目基本情况 </w:t>
      </w:r>
      <w:r/>
    </w:p>
    <w:p>
      <w:pPr>
        <w:ind w:firstLine="480"/>
        <w:spacing w:line="360" w:lineRule="auto"/>
        <w:tabs>
          <w:tab w:val="left" w:pos="420" w:leader="none"/>
        </w:tabs>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JSZC-320500-CCCC-G2026-0016</w:t>
      </w:r>
      <w:r>
        <w:rPr>
          <w:rFonts w:hint="eastAsia" w:ascii="宋体" w:hAnsi="宋体" w:eastAsia="宋体" w:cs="宋体"/>
          <w:color w:val="000000"/>
          <w:sz w:val="24"/>
          <w:szCs w:val="24"/>
        </w:rPr>
        <w:t xml:space="preserve"> </w:t>
      </w:r>
      <w:r/>
    </w:p>
    <w:p>
      <w:pPr>
        <w:ind w:firstLine="480"/>
        <w:spacing w:line="360" w:lineRule="auto"/>
        <w:tabs>
          <w:tab w:val="left" w:pos="420" w:leader="none"/>
        </w:tabs>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项目名称：2026年度苏州园林票务管理系统一体化运营管理服务</w:t>
      </w:r>
      <w:r/>
    </w:p>
    <w:p>
      <w:pPr>
        <w:ind w:firstLine="480"/>
        <w:spacing w:line="360" w:lineRule="auto"/>
        <w:tabs>
          <w:tab w:val="left" w:pos="420" w:leader="none"/>
        </w:tabs>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预算金额：人民币叁佰玖拾万元整（3900000.00元）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服务期限：苏州园林线上票务系统运营管理服务自2026年10月10日-2027年6月30日；售检票及客流量系统硬件运营服务自2026年7月1日-2027年6月30日</w:t>
      </w:r>
      <w:r/>
    </w:p>
    <w:p>
      <w:pPr>
        <w:numPr>
          <w:ilvl w:val="0"/>
          <w:numId w:val="2"/>
        </w:numPr>
        <w:ind w:left="479"/>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服务内容及要求：</w:t>
      </w:r>
      <w:r>
        <w:rPr>
          <w:rFonts w:hint="eastAsia" w:ascii="宋体" w:hAnsi="宋体" w:eastAsia="宋体" w:cs="宋体"/>
          <w:b/>
          <w:bCs/>
          <w:color w:val="000000"/>
          <w:sz w:val="24"/>
          <w:szCs w:val="24"/>
        </w:rPr>
        <w:br/>
      </w:r>
      <w:r>
        <w:rPr>
          <w:rFonts w:hint="eastAsia" w:ascii="宋体" w:hAnsi="宋体" w:eastAsia="宋体" w:cs="宋体"/>
          <w:color w:val="000000"/>
          <w:sz w:val="24"/>
          <w:szCs w:val="24"/>
        </w:rPr>
        <w:t xml:space="preserve">（一）苏州园林线上票务系统运营管理</w:t>
      </w:r>
      <w:r/>
    </w:p>
    <w:p>
      <w:pPr>
        <w:numPr>
          <w:ilvl w:val="255"/>
          <w:numId w:val="0"/>
        </w:numPr>
        <w:ind w:left="47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1、服务明细表</w:t>
      </w:r>
      <w:r/>
    </w:p>
    <w:tbl>
      <w:tblPr>
        <w:tblStyle w:val="88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457"/>
        <w:gridCol w:w="1656"/>
        <w:gridCol w:w="6238"/>
        <w:gridCol w:w="457"/>
        <w:gridCol w:w="458"/>
      </w:tblGrid>
      <w:tr>
        <w:trPr>
          <w:trHeight w:val="560"/>
        </w:trPr>
        <w:tc>
          <w:tcPr>
            <w:tcBorders>
              <w:top w:val="single" w:color="auto"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352"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类型</w:t>
            </w:r>
            <w:r/>
          </w:p>
        </w:tc>
        <w:tc>
          <w:tcPr>
            <w:tcBorders>
              <w:top w:val="single" w:color="auto" w:sz="4" w:space="0"/>
              <w:left w:val="none" w:color="000000" w:sz="4" w:space="0"/>
              <w:bottom w:val="single" w:color="auto" w:sz="4" w:space="0"/>
              <w:right w:val="single" w:color="auto" w:sz="4" w:space="0"/>
            </w:tcBorders>
            <w:tcW w:w="566"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运营范围</w:t>
            </w:r>
            <w:r/>
          </w:p>
        </w:tc>
        <w:tc>
          <w:tcPr>
            <w:tcBorders>
              <w:top w:val="single" w:color="auto" w:sz="4" w:space="0"/>
              <w:left w:val="none" w:color="000000" w:sz="4" w:space="0"/>
              <w:bottom w:val="single" w:color="auto" w:sz="4" w:space="0"/>
              <w:right w:val="single" w:color="auto" w:sz="4" w:space="0"/>
            </w:tcBorders>
            <w:tcW w:w="3390"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运营内容</w:t>
            </w:r>
            <w:r/>
          </w:p>
        </w:tc>
        <w:tc>
          <w:tcPr>
            <w:tcBorders>
              <w:top w:val="single" w:color="auto" w:sz="4" w:space="0"/>
              <w:left w:val="none" w:color="000000" w:sz="4" w:space="0"/>
              <w:bottom w:val="single" w:color="auto" w:sz="4" w:space="0"/>
              <w:right w:val="single" w:color="auto" w:sz="4" w:space="0"/>
            </w:tcBorders>
            <w:tcW w:w="208"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c>
          <w:tcPr>
            <w:tcBorders>
              <w:top w:val="single" w:color="auto"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r>
      <w:tr>
        <w:trPr>
          <w:trHeight w:val="252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352"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苏州园林旅游网及票务管控平台运营相关</w:t>
            </w:r>
            <w:r/>
          </w:p>
        </w:tc>
        <w:tc>
          <w:tcPr>
            <w:tcBorders>
              <w:top w:val="none" w:color="000000" w:sz="4" w:space="0"/>
              <w:left w:val="single" w:color="auto" w:sz="4" w:space="0"/>
              <w:bottom w:val="single" w:color="auto" w:sz="4" w:space="0"/>
              <w:right w:val="single" w:color="auto" w:sz="4" w:space="0"/>
            </w:tcBorders>
            <w:tcW w:w="566"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苏州园林旅游网（PC端、WAP端H5页面）及票务管控平台的日常运营</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苏州园林旅游网及票务管控平台日常运维保障:建立常态化运营值守机制，由专业运维团队执行每日平台健康巡检，重点核查：异常订单、违规产品、系统运行日志、接口调用状态、前端页面展示及业务流程完整性，日均巡检时长约 1 小时。</w:t>
            </w:r>
            <w:r>
              <w:rPr>
                <w:rFonts w:hint="eastAsia" w:ascii="宋体" w:hAnsi="宋体" w:eastAsia="宋体" w:cs="宋体"/>
                <w:sz w:val="24"/>
                <w:szCs w:val="24"/>
              </w:rPr>
              <w:br/>
            </w:r>
            <w:r>
              <w:rPr>
                <w:rFonts w:hint="eastAsia" w:ascii="宋体" w:hAnsi="宋体" w:eastAsia="宋体" w:cs="宋体"/>
                <w:sz w:val="24"/>
                <w:szCs w:val="24"/>
              </w:rPr>
              <w:t xml:space="preserve">对巡检中发现的系统异常、数据异常、业务异常等问题，执行分级响应与闭环处置，根据问题影响范围、技术复杂度及紧急程度调度运维及技术支撑力量，常规问题处置时效控制在 3～5 小时内，确保平台业务连续性与运行稳定性。</w:t>
            </w:r>
            <w:r>
              <w:rPr>
                <w:rFonts w:hint="eastAsia" w:ascii="宋体" w:hAnsi="宋体" w:eastAsia="宋体" w:cs="宋体"/>
                <w:sz w:val="24"/>
                <w:szCs w:val="24"/>
              </w:rPr>
              <w:br/>
            </w:r>
            <w:r>
              <w:rPr>
                <w:rFonts w:hint="eastAsia" w:ascii="宋体" w:hAnsi="宋体" w:eastAsia="宋体" w:cs="宋体"/>
                <w:sz w:val="24"/>
                <w:szCs w:val="24"/>
              </w:rPr>
              <w:t xml:space="preserve">2）全周期数据统计与运营决策支撑:基于平台交易数据、用户行为数据、渠道数据等，构建日/周/月/季/年多维度数据统计与分析体系，通过数据建模与指标分析，精准刻画用户画像、评估用户粘性、监控功能使用率、追踪推广渠道转化效果。</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52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1）苏州园林旅游网前端界面与平台架构优化运营:负责旅游官网页面视觉优化、素材替换与内容迭代更新，按业务需求开展板块及模块化功能调整与升级，同步完成对应页面的视觉设计、开发适配与上线部署。</w:t>
            </w:r>
            <w:r>
              <w:rPr>
                <w:rFonts w:hint="eastAsia" w:ascii="宋体" w:hAnsi="宋体" w:eastAsia="宋体" w:cs="宋体"/>
                <w:sz w:val="24"/>
                <w:szCs w:val="24"/>
              </w:rPr>
              <w:br/>
            </w:r>
            <w:r>
              <w:rPr>
                <w:rFonts w:hint="eastAsia" w:ascii="宋体" w:hAnsi="宋体" w:eastAsia="宋体" w:cs="宋体"/>
                <w:sz w:val="24"/>
                <w:szCs w:val="24"/>
              </w:rPr>
              <w:t xml:space="preserve">对平台整体结构进行持续优化，覆盖首页、列表页、详情页、功能交互页、专题活动页等全类型页面，保障用户体验与展示效果。开展平台内容常态化运营维护，包含图文、视频等多媒体形式的资讯发布与产品上架管理。依据月度更新规律及节假日专题调整需求，年度整体优化调整频次不低于 20 次，确保平台内容新鲜度与功能完整性。</w:t>
            </w:r>
            <w:r>
              <w:rPr>
                <w:rFonts w:hint="eastAsia" w:ascii="宋体" w:hAnsi="宋体" w:eastAsia="宋体" w:cs="宋体"/>
                <w:sz w:val="24"/>
                <w:szCs w:val="24"/>
              </w:rPr>
              <w:br/>
            </w:r>
            <w:r>
              <w:rPr>
                <w:rFonts w:hint="eastAsia" w:ascii="宋体" w:hAnsi="宋体" w:eastAsia="宋体" w:cs="宋体"/>
                <w:sz w:val="24"/>
                <w:szCs w:val="24"/>
              </w:rPr>
              <w:t xml:space="preserve">2）节假日及重大园事活动产品全流程运营支撑:针对节假日、重大园林主题活动，开展旅游产品策划、需求分析、方案设计与内容制作，完成产品模块拆解、功能配置与部署上线，实现活动产品从需求到落地的一体化实施。</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112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1）负责苏州园林旅游网日常资讯运营维护，完成游客咨询、新闻动态、公告通知等官方信息的规范化排版、内容审核与上线发布，确保信息发布及时、准确、格式统一。</w:t>
            </w:r>
            <w:r>
              <w:rPr>
                <w:rFonts w:hint="eastAsia" w:ascii="宋体" w:hAnsi="宋体" w:eastAsia="宋体" w:cs="宋体"/>
                <w:sz w:val="24"/>
                <w:szCs w:val="24"/>
              </w:rPr>
              <w:br/>
            </w:r>
            <w:r>
              <w:rPr>
                <w:rFonts w:hint="eastAsia" w:ascii="宋体" w:hAnsi="宋体" w:eastAsia="宋体" w:cs="宋体"/>
                <w:sz w:val="24"/>
                <w:szCs w:val="24"/>
              </w:rPr>
              <w:t xml:space="preserve">2）针对苏州园林旅游网新增项目、产品及功能模块，提供业务逻辑梳理、逻辑架构图绘制、用户操作流程设计等技术支撑工作，并按要求形成标准化图文说明文档，完成对外发布与用户指引。</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1187"/>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1）负责苏州园林旅游网产品全周期运营管理，依据旅游淡旺季周期执行产品上架、下架及状态更新，配置产品价格策略与价格有效期，年度常态化运营调整不少于 4 次；如遇官方指导价或市场价格调整，同步完成产品定价的实时更新与生效。</w:t>
            </w:r>
            <w:r>
              <w:rPr>
                <w:rFonts w:hint="eastAsia" w:ascii="宋体" w:hAnsi="宋体" w:eastAsia="宋体" w:cs="宋体"/>
                <w:sz w:val="24"/>
                <w:szCs w:val="24"/>
              </w:rPr>
              <w:br/>
            </w:r>
            <w:r>
              <w:rPr>
                <w:rFonts w:hint="eastAsia" w:ascii="宋体" w:hAnsi="宋体" w:eastAsia="宋体" w:cs="宋体"/>
                <w:sz w:val="24"/>
                <w:szCs w:val="24"/>
              </w:rPr>
              <w:t xml:space="preserve">2）在票务管控平台中，针对各分销商及 OTA 渠道，完成淡旺季价格体系、价格周期的配置与运营维护，年度常态化渠道价格调整不少于 4 次，保障渠道价格统一、准确、合规。共涉及5大OTA平台共计180余种票型维护，其中常规票型160余种，阶段性活动票型20余种。</w:t>
            </w:r>
            <w:r>
              <w:rPr>
                <w:rFonts w:hint="eastAsia" w:ascii="宋体" w:hAnsi="宋体" w:eastAsia="宋体" w:cs="宋体"/>
                <w:sz w:val="24"/>
                <w:szCs w:val="24"/>
              </w:rPr>
              <w:br/>
            </w:r>
            <w:r>
              <w:rPr>
                <w:rFonts w:hint="eastAsia" w:ascii="宋体" w:hAnsi="宋体" w:eastAsia="宋体" w:cs="宋体"/>
                <w:sz w:val="24"/>
                <w:szCs w:val="24"/>
              </w:rPr>
              <w:t xml:space="preserve">3）开展平台产品日常运营工作，包括产品信息梳理、资料完善、上下架管控及状态维护；基于用户行为数据开展数据挖掘、多维度分析与业务流程优化，对用户量、访问量、交易量、交易额等核心指标进行整合统计与趋势研判，为运营策略优化提供支撑。</w:t>
            </w:r>
            <w:r>
              <w:rPr>
                <w:rFonts w:hint="eastAsia" w:ascii="宋体" w:hAnsi="宋体" w:eastAsia="宋体" w:cs="宋体"/>
                <w:sz w:val="24"/>
                <w:szCs w:val="24"/>
              </w:rPr>
              <w:br/>
            </w:r>
            <w:r>
              <w:rPr>
                <w:rFonts w:hint="eastAsia" w:ascii="宋体" w:hAnsi="宋体" w:eastAsia="宋体" w:cs="宋体"/>
                <w:sz w:val="24"/>
                <w:szCs w:val="24"/>
              </w:rPr>
              <w:t xml:space="preserve">4）在票务管控平台中完成各景区分时预约时段配置与运营维护，根据客流预警、活动安排及特殊场景需求，对不同景区、不同时段进行实时库存动态调整，保障票务资源合理分配。</w:t>
            </w:r>
            <w:r>
              <w:rPr>
                <w:rFonts w:hint="eastAsia" w:ascii="宋体" w:hAnsi="宋体" w:eastAsia="宋体" w:cs="宋体"/>
                <w:sz w:val="24"/>
                <w:szCs w:val="24"/>
              </w:rPr>
              <w:br/>
            </w:r>
            <w:r>
              <w:rPr>
                <w:rFonts w:hint="eastAsia" w:ascii="宋体" w:hAnsi="宋体" w:eastAsia="宋体" w:cs="宋体"/>
                <w:sz w:val="24"/>
                <w:szCs w:val="24"/>
              </w:rPr>
              <w:t xml:space="preserve">5）依据各类票种业务规则，完成限购策略配置，包括购票有效时间、适用人群范围、证件限购次数、手机号限购频次等参数设置，实现票种销售的精细化管控。</w:t>
            </w:r>
            <w:r>
              <w:rPr>
                <w:rFonts w:hint="eastAsia" w:ascii="宋体" w:hAnsi="宋体" w:eastAsia="宋体" w:cs="宋体"/>
                <w:sz w:val="24"/>
                <w:szCs w:val="24"/>
              </w:rPr>
              <w:br/>
            </w:r>
            <w:r>
              <w:rPr>
                <w:rFonts w:hint="eastAsia" w:ascii="宋体" w:hAnsi="宋体" w:eastAsia="宋体" w:cs="宋体"/>
                <w:sz w:val="24"/>
                <w:szCs w:val="24"/>
              </w:rPr>
              <w:t xml:space="preserve">6）对同一景区内不同票种进行关联销售规则配置，建立票种互斥、叠加限制与购买总量控制机制，规范游客购票行为，维护票务销售秩序。</w:t>
            </w:r>
            <w:r>
              <w:rPr>
                <w:rFonts w:hint="eastAsia" w:ascii="宋体" w:hAnsi="宋体" w:eastAsia="宋体" w:cs="宋体"/>
                <w:sz w:val="24"/>
                <w:szCs w:val="24"/>
              </w:rPr>
              <w:br/>
            </w:r>
            <w:r>
              <w:rPr>
                <w:rFonts w:hint="eastAsia" w:ascii="宋体" w:hAnsi="宋体" w:eastAsia="宋体" w:cs="宋体"/>
                <w:sz w:val="24"/>
                <w:szCs w:val="24"/>
              </w:rPr>
              <w:t xml:space="preserve">7）负责景区自助终端设备的运营管理：根据淡旺季执行票种上下架、新增、编辑、删除等配置；处理未检票订单、异常订单；远程发布设备显示信息；根据甲方需求拓展跨景点购票、跨点统一结算等功能并完成联调落地。</w:t>
            </w:r>
            <w:r>
              <w:rPr>
                <w:rFonts w:hint="eastAsia" w:ascii="宋体" w:hAnsi="宋体" w:eastAsia="宋体" w:cs="宋体"/>
                <w:sz w:val="24"/>
                <w:szCs w:val="24"/>
              </w:rPr>
              <w:br/>
            </w:r>
            <w:r>
              <w:rPr>
                <w:rFonts w:hint="eastAsia" w:ascii="宋体" w:hAnsi="宋体" w:eastAsia="宋体" w:cs="宋体"/>
                <w:sz w:val="24"/>
                <w:szCs w:val="24"/>
              </w:rPr>
              <w:t xml:space="preserve">8）保障景区游客满意度调查数据实时采集、可靠上传与智能去重，过滤重复提交、无效提交及异常数据，确保调查结果真实、有效、可用。</w:t>
            </w:r>
            <w:r>
              <w:rPr>
                <w:rFonts w:hint="eastAsia" w:ascii="宋体" w:hAnsi="宋体" w:eastAsia="宋体" w:cs="宋体"/>
                <w:sz w:val="24"/>
                <w:szCs w:val="24"/>
              </w:rPr>
              <w:br/>
            </w:r>
            <w:r>
              <w:rPr>
                <w:rFonts w:hint="eastAsia" w:ascii="宋体" w:hAnsi="宋体" w:eastAsia="宋体" w:cs="宋体"/>
                <w:sz w:val="24"/>
                <w:szCs w:val="24"/>
              </w:rPr>
              <w:t xml:space="preserve">9）协助景区运营管理人员对满意度调查问卷进行优化，包括题目内容、选项格式、评分维度、计分机制的调整与迭代，按需完善问卷结构与交互体验。</w:t>
            </w:r>
            <w:r>
              <w:rPr>
                <w:rFonts w:hint="eastAsia" w:ascii="宋体" w:hAnsi="宋体" w:eastAsia="宋体" w:cs="宋体"/>
                <w:sz w:val="24"/>
                <w:szCs w:val="24"/>
              </w:rPr>
              <w:br/>
            </w:r>
            <w:r>
              <w:rPr>
                <w:rFonts w:hint="eastAsia" w:ascii="宋体" w:hAnsi="宋体" w:eastAsia="宋体" w:cs="宋体"/>
                <w:sz w:val="24"/>
                <w:szCs w:val="24"/>
              </w:rPr>
              <w:t xml:space="preserve">10）提供平台后台管理运维支撑，保障数据存储安全、访问权限管控与接口安全，建立防刷、防恶意提交、防批量请求机制，严格保护用户隐私信息，确保系统合规稳定运行。</w:t>
            </w:r>
            <w:r>
              <w:rPr>
                <w:rFonts w:hint="eastAsia" w:ascii="宋体" w:hAnsi="宋体" w:eastAsia="宋体" w:cs="宋体"/>
                <w:sz w:val="24"/>
                <w:szCs w:val="24"/>
              </w:rPr>
              <w:br/>
            </w:r>
            <w:r>
              <w:rPr>
                <w:rFonts w:hint="eastAsia" w:ascii="宋体" w:hAnsi="宋体" w:eastAsia="宋体" w:cs="宋体"/>
                <w:sz w:val="24"/>
                <w:szCs w:val="24"/>
              </w:rPr>
              <w:t xml:space="preserve">11）负责票种类型与发票配置逻辑的维护，支持各景区根据管理需求进行发票规则、开票类型、票面信息的自定义配置与动态调整。</w:t>
            </w:r>
            <w:r>
              <w:rPr>
                <w:rFonts w:hint="eastAsia" w:ascii="宋体" w:hAnsi="宋体" w:eastAsia="宋体" w:cs="宋体"/>
                <w:sz w:val="24"/>
                <w:szCs w:val="24"/>
              </w:rPr>
              <w:br/>
            </w:r>
            <w:r>
              <w:rPr>
                <w:rFonts w:hint="eastAsia" w:ascii="宋体" w:hAnsi="宋体" w:eastAsia="宋体" w:cs="宋体"/>
                <w:sz w:val="24"/>
                <w:szCs w:val="24"/>
              </w:rPr>
              <w:t xml:space="preserve">12）保障平台与各景区票务系统、管理处财务系统接口稳定对接与数据实时同步，确保发票信息、交易数据、结算数据准确无误传输。</w:t>
            </w:r>
            <w:r>
              <w:rPr>
                <w:rFonts w:hint="eastAsia" w:ascii="宋体" w:hAnsi="宋体" w:eastAsia="宋体" w:cs="宋体"/>
                <w:sz w:val="24"/>
                <w:szCs w:val="24"/>
              </w:rPr>
              <w:br/>
            </w:r>
            <w:r>
              <w:rPr>
                <w:rFonts w:hint="eastAsia" w:ascii="宋体" w:hAnsi="宋体" w:eastAsia="宋体" w:cs="宋体"/>
                <w:sz w:val="24"/>
                <w:szCs w:val="24"/>
              </w:rPr>
              <w:t xml:space="preserve">13）定期开展开票数据汇总、核对与归档，及时处理重复开票、开票失败、信息不一致、状态异常等问题，确保全流程开票合规、合法、可追溯。</w:t>
            </w:r>
            <w:r>
              <w:rPr>
                <w:rFonts w:hint="eastAsia" w:ascii="宋体" w:hAnsi="宋体" w:eastAsia="宋体" w:cs="宋体"/>
                <w:sz w:val="24"/>
                <w:szCs w:val="24"/>
              </w:rPr>
              <w:br/>
            </w:r>
            <w:r>
              <w:rPr>
                <w:rFonts w:hint="eastAsia" w:ascii="宋体" w:hAnsi="宋体" w:eastAsia="宋体" w:cs="宋体"/>
                <w:sz w:val="24"/>
                <w:szCs w:val="24"/>
              </w:rPr>
              <w:t xml:space="preserve">14）保障线上线下多场景开票功能正常运行，覆盖旅行社、自助终端、人工窗口、官方商城等渠道，支持扫码开票、批量开票、组合票开票等多种模式，满足不同业务场景需求。</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196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负责苏州园林旅游网运营数据与财务报表日常核对管理，建立每日常态化数据核对机制，对平台交易订单、票务核销、营收汇总、渠道结算等各类报表进行全量校验与交叉比对，确保前端展示数据、后台业务数据及财务统计数据一致、准确、完整。</w:t>
            </w:r>
            <w:r>
              <w:rPr>
                <w:rFonts w:hint="eastAsia" w:ascii="宋体" w:hAnsi="宋体" w:eastAsia="宋体" w:cs="宋体"/>
                <w:sz w:val="24"/>
                <w:szCs w:val="24"/>
              </w:rPr>
              <w:br/>
            </w:r>
            <w:r>
              <w:rPr>
                <w:rFonts w:hint="eastAsia" w:ascii="宋体" w:hAnsi="宋体" w:eastAsia="宋体" w:cs="宋体"/>
                <w:sz w:val="24"/>
                <w:szCs w:val="24"/>
              </w:rPr>
              <w:t xml:space="preserve">积极配合财务部门开展对账工作，对每日营收、订单状态、票款结算、渠道分成等关键数据进行逐项核对。在核对过程中若发现数据异常、金额偏差、统计误差等情况，及时溯源排查，通过日志核查、流程追溯、接口校验、订单复盘等方式定位问题根源，并快速完成修正、调整与确认，确保账实相符、账账相符，保障平台财务结算与运营管理工作规范、高效、有序开展。</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24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1）苏州园林旅游网安全性运营，涉及</w:t>
            </w:r>
            <w:r>
              <w:rPr>
                <w:rFonts w:hint="eastAsia" w:ascii="宋体" w:hAnsi="宋体" w:eastAsia="宋体" w:cs="宋体"/>
                <w:sz w:val="24"/>
                <w:szCs w:val="24"/>
              </w:rPr>
              <w:br/>
            </w:r>
            <w:r>
              <w:rPr>
                <w:rFonts w:hint="eastAsia" w:ascii="宋体" w:hAnsi="宋体" w:eastAsia="宋体" w:cs="宋体"/>
                <w:sz w:val="24"/>
                <w:szCs w:val="24"/>
              </w:rPr>
              <w:t xml:space="preserve">a.每月更改一次管理员账号密码。</w:t>
            </w:r>
            <w:r>
              <w:rPr>
                <w:rFonts w:hint="eastAsia" w:ascii="宋体" w:hAnsi="宋体" w:eastAsia="宋体" w:cs="宋体"/>
                <w:sz w:val="24"/>
                <w:szCs w:val="24"/>
              </w:rPr>
              <w:br/>
            </w:r>
            <w:r>
              <w:rPr>
                <w:rFonts w:hint="eastAsia" w:ascii="宋体" w:hAnsi="宋体" w:eastAsia="宋体" w:cs="宋体"/>
                <w:sz w:val="24"/>
                <w:szCs w:val="24"/>
              </w:rPr>
              <w:t xml:space="preserve">b.核查各业务平台第三方接口是否正常，是否存在漏洞、安全隐患。</w:t>
            </w:r>
            <w:r>
              <w:rPr>
                <w:rFonts w:hint="eastAsia" w:ascii="宋体" w:hAnsi="宋体" w:eastAsia="宋体" w:cs="宋体"/>
                <w:sz w:val="24"/>
                <w:szCs w:val="24"/>
              </w:rPr>
              <w:br/>
            </w:r>
            <w:r>
              <w:rPr>
                <w:rFonts w:hint="eastAsia" w:ascii="宋体" w:hAnsi="宋体" w:eastAsia="宋体" w:cs="宋体"/>
                <w:sz w:val="24"/>
                <w:szCs w:val="24"/>
              </w:rPr>
              <w:t xml:space="preserve">c.系统安全漏洞、安全隐患。</w:t>
            </w:r>
            <w:r>
              <w:rPr>
                <w:rFonts w:hint="eastAsia" w:ascii="宋体" w:hAnsi="宋体" w:eastAsia="宋体" w:cs="宋体"/>
                <w:sz w:val="24"/>
                <w:szCs w:val="24"/>
              </w:rPr>
              <w:br/>
            </w:r>
            <w:r>
              <w:rPr>
                <w:rFonts w:hint="eastAsia" w:ascii="宋体" w:hAnsi="宋体" w:eastAsia="宋体" w:cs="宋体"/>
                <w:sz w:val="24"/>
                <w:szCs w:val="24"/>
              </w:rPr>
              <w:t xml:space="preserve">d.数据是否存在泄露风险等。</w:t>
            </w:r>
            <w:r>
              <w:rPr>
                <w:rFonts w:hint="eastAsia" w:ascii="宋体" w:hAnsi="宋体" w:eastAsia="宋体" w:cs="宋体"/>
                <w:sz w:val="24"/>
                <w:szCs w:val="24"/>
              </w:rPr>
              <w:br/>
            </w:r>
            <w:r>
              <w:rPr>
                <w:rFonts w:hint="eastAsia" w:ascii="宋体" w:hAnsi="宋体" w:eastAsia="宋体" w:cs="宋体"/>
                <w:sz w:val="24"/>
                <w:szCs w:val="24"/>
              </w:rPr>
              <w:t xml:space="preserve">2）配合调整苏州园林旅游网的漏洞扫描报告整改，风险评估结果调整，及时响应并做出相应应对处理措施，并选择恰当时间进行调整或修复。</w:t>
            </w:r>
            <w:r>
              <w:rPr>
                <w:rFonts w:hint="eastAsia" w:ascii="宋体" w:hAnsi="宋体" w:eastAsia="宋体" w:cs="宋体"/>
                <w:sz w:val="24"/>
                <w:szCs w:val="24"/>
              </w:rPr>
              <w:br/>
            </w:r>
            <w:r>
              <w:rPr>
                <w:rFonts w:hint="eastAsia" w:ascii="宋体" w:hAnsi="宋体" w:eastAsia="宋体" w:cs="宋体"/>
                <w:sz w:val="24"/>
                <w:szCs w:val="24"/>
              </w:rPr>
              <w:t xml:space="preserve">3）组织对各景区系统使用人员培训、组织配合专业机构对系统攻防演练、讲座等。</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84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none" w:color="000000" w:sz="4" w:space="0"/>
              <w:left w:val="single" w:color="auto" w:sz="4" w:space="0"/>
              <w:bottom w:val="single" w:color="auto" w:sz="4" w:space="0"/>
              <w:right w:val="single" w:color="auto" w:sz="4" w:space="0"/>
            </w:tcBorders>
            <w:tcW w:w="352"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苏州园林旅游网及票务管控平台运营相关</w:t>
            </w:r>
            <w:r/>
          </w:p>
        </w:tc>
        <w:tc>
          <w:tcPr>
            <w:tcBorders>
              <w:top w:val="none" w:color="000000" w:sz="4" w:space="0"/>
              <w:left w:val="single" w:color="auto" w:sz="4" w:space="0"/>
              <w:bottom w:val="single" w:color="auto" w:sz="4" w:space="0"/>
              <w:right w:val="single" w:color="auto" w:sz="4" w:space="0"/>
            </w:tcBorders>
            <w:tcW w:w="566"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苏州园林旅游网及票务管控平台服务器日常运营</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服务器日常运营，加大网络安全监控力度，增加网络安全团队管理人员，更加重视网站安全性，按月定期进行安全检查，发现系统漏洞须及时修补。同时，根据新型安全漏洞不定期进行系统排查。如遇被攻击等问题，立即采取必要措施，确保服务器稳定安全。节假日前期系统压力测试、节假日值守。</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56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服务器数据库定期自动备份，按季度进行人工异地备份，设置监控管理，实时监控数据库的运行情况，发生异常提示，及时处理，并定期检查，排查安全隐患。</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56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制定操作系统、防火墙、网络安全设备、日志审计等设备安全管理制度及操作手册，规范操作人员运营工作的开展。</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56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建立健全网站信息安全管理体系及台账，按照信息等保三级要求，确保网站、数据库、系统平台安全；安全评测中心按月进行一次安全检测，出具安全评测报告，如出现问题，根据报告内容及时进行安全整改。</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84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苏州园林旅游网支付宝小程序日常运营</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保障支付宝小程序运行（含多国版本），作为苏州园林旅游网双向平台和外籍游客购票通道。其中包含的内容与苏州园林旅游网平台运营内容一致，包含产品上下架维护、页面设计优化维护、数据维护、安全保障以及异常处理等内容。</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84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苏州园林旅游网抖音日历票日常运营</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抖音日历票运营，作为苏州园林旅游网平台异常或故障时的临时购票通道。其中包含的日常运营内容与苏州园林旅游网平台运营内容一致，包含产品上下架维护、页面设计优化维护、数据维护、安全保障以及异常处理等内容。</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84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苏州园林旅游网大数据平台相关运营</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1）根据景区实际运营需求，定期优化展示界面、交互逻辑、数据可视化图表样式；</w:t>
            </w:r>
            <w:r>
              <w:rPr>
                <w:rFonts w:hint="eastAsia" w:ascii="宋体" w:hAnsi="宋体" w:eastAsia="宋体" w:cs="宋体"/>
                <w:sz w:val="24"/>
                <w:szCs w:val="24"/>
              </w:rPr>
              <w:br/>
            </w:r>
            <w:r>
              <w:rPr>
                <w:rFonts w:hint="eastAsia" w:ascii="宋体" w:hAnsi="宋体" w:eastAsia="宋体" w:cs="宋体"/>
                <w:sz w:val="24"/>
                <w:szCs w:val="24"/>
              </w:rPr>
              <w:t xml:space="preserve">2）支持多终端兼容性调整，如对PC端、LED大屏展示效果进行适配优化。</w:t>
            </w:r>
            <w:r>
              <w:rPr>
                <w:rFonts w:hint="eastAsia" w:ascii="宋体" w:hAnsi="宋体" w:eastAsia="宋体" w:cs="宋体"/>
                <w:sz w:val="24"/>
                <w:szCs w:val="24"/>
              </w:rPr>
              <w:br/>
            </w:r>
            <w:r>
              <w:rPr>
                <w:rFonts w:hint="eastAsia" w:ascii="宋体" w:hAnsi="宋体" w:eastAsia="宋体" w:cs="宋体"/>
                <w:sz w:val="24"/>
                <w:szCs w:val="24"/>
              </w:rPr>
              <w:t xml:space="preserve">3）针对大数据报表渲染进行缓存策略和前端性能优化。</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84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none" w:color="000000" w:sz="4" w:space="0"/>
              <w:left w:val="single" w:color="auto" w:sz="4" w:space="0"/>
              <w:bottom w:val="single" w:color="auto" w:sz="4" w:space="0"/>
              <w:right w:val="single" w:color="auto" w:sz="4" w:space="0"/>
            </w:tcBorders>
            <w:tcW w:w="352"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苏州园林旅游网及票务管控平台功能提升</w:t>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苏州园林旅游网PC页面运营设计改版</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对苏园旅游网版面整体进行改造提升，提升视觉效果和突出功能展示。新增智慧导览功能，列表展示各园林景区相关资讯，同时根据游客需求制定个性化行程规划等功能。结合园事花事等活动，制作专题展示页面，起到宣传效果。整合带动园林周边旅游资源，设立线上一站式旅游服务中心。</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52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分时预约系统提升优化</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color w:val="ff0000"/>
                <w:sz w:val="24"/>
                <w:szCs w:val="24"/>
              </w:rPr>
            </w:pPr>
            <w:r>
              <w:rPr>
                <w:rFonts w:hint="eastAsia" w:ascii="宋体" w:hAnsi="宋体" w:eastAsia="宋体" w:cs="宋体"/>
                <w:color w:val="auto"/>
                <w:sz w:val="24"/>
                <w:szCs w:val="24"/>
              </w:rPr>
              <w:t xml:space="preserve">1.强化安全与库存管控：完成分时预约系统迭代升级，新增退库、返库功能，实现库存数量智能化调控，从机制上遏制恶意占用库存的违规行为，全面提升系统安全防护能力。</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2.新增子库存分流模式：系统增设子库存管理模块，可按比例对总库存进行合理拆分分流，杜绝多渠道、多业务场景购票流量集中冲击单一库存，保障系统持续稳定、高效运转。</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3.上线智能防护机制：引入智能风控体系，对网站访问请求进行智能甄别与精准筛选，有效拦截黄牛恶意流量攻击，防范脚本批量抢票行为，净化预约购票环境。</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完善散客与团队分级管控：建立散客、团队差异化管控策略，依托云端算力及流量清洗技术，对超大访问流量实施分批次甄别、分流与净化，规避高并发流量影响网站稳定性；同时扩容产品渠道配置，针对团队恶意抢票行为设置专项限购管控，精准规制违规购票行为。</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5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none" w:color="000000" w:sz="4" w:space="0"/>
              <w:left w:val="none" w:color="000000" w:sz="4" w:space="0"/>
              <w:bottom w:val="single" w:color="auto" w:sz="4" w:space="0"/>
              <w:right w:val="single" w:color="auto" w:sz="4" w:space="0"/>
            </w:tcBorders>
            <w:tcW w:w="352"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苏州园林旅游网及票务管控平台短信费用</w:t>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苏州园林旅游网及票务管控平台短信发送费用预估</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以苏州园林旅游网实际订单量为依据，用户购票或预约景区后所产生的订单信息会以短信形式发送给用户，短信内容包括免登录访问验证码短信、散客及团队订购成功短信、团队预约成功短信、团队申请旅行社资质审核短信及审核通过短信、修改基础信息验证码短信等；当订单状态发生变更时也会发送短信给用户；当订单产生后会给使用本平台配套景区后台的商户发送短信通知，以提醒景区有订单需要进行处理。</w:t>
            </w:r>
            <w:r>
              <w:rPr>
                <w:rFonts w:hint="eastAsia" w:ascii="宋体" w:hAnsi="宋体" w:eastAsia="宋体" w:cs="宋体"/>
                <w:sz w:val="24"/>
                <w:szCs w:val="24"/>
              </w:rPr>
              <w:br/>
            </w:r>
            <w:r>
              <w:rPr>
                <w:rFonts w:hint="eastAsia" w:ascii="宋体" w:hAnsi="宋体" w:eastAsia="宋体" w:cs="宋体"/>
                <w:sz w:val="24"/>
                <w:szCs w:val="24"/>
              </w:rPr>
              <w:t xml:space="preserve">2）根据近三年订单总量预计，年短信约1000万条，按0.05元/条计算，费用预估，按照实际短信发送量进行结算。</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none" w:color="000000" w:sz="4" w:space="0"/>
              <w:left w:val="single" w:color="auto" w:sz="4" w:space="0"/>
              <w:bottom w:val="single" w:color="auto" w:sz="4" w:space="0"/>
              <w:right w:val="single" w:color="auto" w:sz="4" w:space="0"/>
            </w:tcBorders>
            <w:tcW w:w="352"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苏州园林旅游网及票务管控平台阿里云服务器资源保障</w:t>
            </w:r>
            <w:r/>
          </w:p>
        </w:tc>
        <w:tc>
          <w:tcPr>
            <w:tcBorders>
              <w:top w:val="none" w:color="000000" w:sz="4" w:space="0"/>
              <w:left w:val="single" w:color="auto" w:sz="4" w:space="0"/>
              <w:bottom w:val="single" w:color="auto" w:sz="4" w:space="0"/>
              <w:right w:val="single" w:color="auto" w:sz="4" w:space="0"/>
            </w:tcBorders>
            <w:tcW w:w="566"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服务器</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苏园大数据应用服务器</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苏园全域年卡app1</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苏园全域年卡app2</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苏州园林电商-分时应用服务器</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苏州园林电商-分时备用应用服务器</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苏园园林线下票务中间层应用主服</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数据库</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苏州园林大数据RDS库</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苏园全域年卡RDS</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苏州园林分时预约数据库</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苏州园林年卡sqlsever数据库</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Redis 开源版 - 预付费（经典），分时预约系统</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566"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云数据库KvStore，苏园全域年卡云数据库</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tcBorders>
              <w:top w:val="none" w:color="000000" w:sz="4" w:space="0"/>
              <w:left w:val="single" w:color="auto" w:sz="4" w:space="0"/>
              <w:bottom w:val="single" w:color="auto"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Web防火墙</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Web应用防火墙（用于等保三级）</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16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Borders>
              <w:top w:val="none" w:color="000000" w:sz="4" w:space="0"/>
              <w:left w:val="single" w:color="auto" w:sz="4" w:space="0"/>
              <w:bottom w:val="single" w:color="000000" w:sz="4" w:space="0"/>
              <w:right w:val="single" w:color="auto" w:sz="4" w:space="0"/>
            </w:tcBorders>
            <w:tcW w:w="352"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苏州园林旅游网及票务管控平台阿里云服务器配套服务</w:t>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域名管理运营</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1）SSL证书绑定域名：*.szylly.com、szylly.com</w:t>
            </w:r>
            <w:r>
              <w:rPr>
                <w:rFonts w:hint="eastAsia" w:ascii="宋体" w:hAnsi="宋体" w:eastAsia="宋体" w:cs="宋体"/>
                <w:sz w:val="24"/>
                <w:szCs w:val="24"/>
              </w:rPr>
              <w:br/>
            </w:r>
            <w:r>
              <w:rPr>
                <w:rFonts w:hint="eastAsia" w:ascii="宋体" w:hAnsi="宋体" w:eastAsia="宋体" w:cs="宋体"/>
                <w:sz w:val="24"/>
                <w:szCs w:val="24"/>
              </w:rPr>
              <w:t xml:space="preserve">2）域名管理，涉及</w:t>
            </w:r>
            <w:r>
              <w:rPr>
                <w:rFonts w:hint="eastAsia" w:ascii="宋体" w:hAnsi="宋体" w:eastAsia="宋体" w:cs="宋体"/>
                <w:sz w:val="24"/>
                <w:szCs w:val="24"/>
              </w:rPr>
              <w:br/>
            </w:r>
            <w:r>
              <w:rPr>
                <w:rFonts w:hint="eastAsia" w:ascii="宋体" w:hAnsi="宋体" w:eastAsia="宋体" w:cs="宋体"/>
                <w:sz w:val="24"/>
                <w:szCs w:val="24"/>
              </w:rPr>
              <w:t xml:space="preserve">a.持续管理苏州园林旅游网相关主域名与子域名；</w:t>
            </w:r>
            <w:r>
              <w:rPr>
                <w:rFonts w:hint="eastAsia" w:ascii="宋体" w:hAnsi="宋体" w:eastAsia="宋体" w:cs="宋体"/>
                <w:sz w:val="24"/>
                <w:szCs w:val="24"/>
              </w:rPr>
              <w:br/>
            </w:r>
            <w:r>
              <w:rPr>
                <w:rFonts w:hint="eastAsia" w:ascii="宋体" w:hAnsi="宋体" w:eastAsia="宋体" w:cs="宋体"/>
                <w:sz w:val="24"/>
                <w:szCs w:val="24"/>
              </w:rPr>
              <w:t xml:space="preserve">b.定期核验备案信息的有效性；</w:t>
            </w:r>
            <w:r>
              <w:rPr>
                <w:rFonts w:hint="eastAsia" w:ascii="宋体" w:hAnsi="宋体" w:eastAsia="宋体" w:cs="宋体"/>
                <w:sz w:val="24"/>
                <w:szCs w:val="24"/>
              </w:rPr>
              <w:br/>
            </w:r>
            <w:r>
              <w:rPr>
                <w:rFonts w:hint="eastAsia" w:ascii="宋体" w:hAnsi="宋体" w:eastAsia="宋体" w:cs="宋体"/>
                <w:sz w:val="24"/>
                <w:szCs w:val="24"/>
              </w:rPr>
              <w:t xml:space="preserve">c.定期检查证书有效期，设置自动更新机制；</w:t>
            </w:r>
            <w:r>
              <w:rPr>
                <w:rFonts w:hint="eastAsia" w:ascii="宋体" w:hAnsi="宋体" w:eastAsia="宋体" w:cs="宋体"/>
                <w:sz w:val="24"/>
                <w:szCs w:val="24"/>
              </w:rPr>
              <w:br/>
            </w:r>
            <w:r>
              <w:rPr>
                <w:rFonts w:hint="eastAsia" w:ascii="宋体" w:hAnsi="宋体" w:eastAsia="宋体" w:cs="宋体"/>
                <w:sz w:val="24"/>
                <w:szCs w:val="24"/>
              </w:rPr>
              <w:t xml:space="preserve">d.防止中间人攻击，保障用户访问数据安全。</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56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tcBorders>
              <w:top w:val="none" w:color="000000" w:sz="4" w:space="0"/>
              <w:left w:val="single" w:color="auto" w:sz="4" w:space="0"/>
              <w:bottom w:val="single" w:color="000000"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负载均衡SLB(包年包月)简约型I </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负载均衡SLB(包年包月)简约型I </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56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tcBorders>
              <w:top w:val="none" w:color="000000" w:sz="4" w:space="0"/>
              <w:left w:val="single" w:color="auto" w:sz="4" w:space="0"/>
              <w:bottom w:val="single" w:color="000000"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负载均衡SLB(包年包月)标准型I </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负载均衡SLB(包年包月)标准型I </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56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tcBorders>
              <w:top w:val="none" w:color="000000" w:sz="4" w:space="0"/>
              <w:left w:val="single" w:color="auto" w:sz="4" w:space="0"/>
              <w:bottom w:val="single" w:color="000000"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云安全中心态势感知</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云安全中心态势感知</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tcBorders>
              <w:top w:val="none" w:color="000000" w:sz="4" w:space="0"/>
              <w:left w:val="single" w:color="auto" w:sz="4" w:space="0"/>
              <w:bottom w:val="single" w:color="000000"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VPN网关</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市民卡年卡接口通道</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84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tcBorders>
              <w:top w:val="none" w:color="000000" w:sz="4" w:space="0"/>
              <w:left w:val="single" w:color="auto" w:sz="4" w:space="0"/>
              <w:bottom w:val="single" w:color="000000"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云盘、云服务器ECS-快照、对象存储OSS</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按天收费，实时扣除，费用不定。</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560"/>
        </w:trPr>
        <w:tc>
          <w:tcPr>
            <w:tcBorders>
              <w:top w:val="none" w:color="000000" w:sz="4" w:space="0"/>
              <w:left w:val="single" w:color="auto" w:sz="4" w:space="0"/>
              <w:bottom w:val="single" w:color="auto" w:sz="4" w:space="0"/>
              <w:right w:val="single" w:color="auto" w:sz="4" w:space="0"/>
            </w:tcBorders>
            <w:tcW w:w="18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tcBorders>
              <w:top w:val="none" w:color="000000" w:sz="4" w:space="0"/>
              <w:left w:val="single" w:color="auto" w:sz="4" w:space="0"/>
              <w:bottom w:val="single" w:color="000000" w:sz="4" w:space="0"/>
              <w:right w:val="single" w:color="auto" w:sz="4" w:space="0"/>
            </w:tcBorders>
            <w:tcW w:w="352"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节假日带宽升级预估</w:t>
            </w:r>
            <w:r/>
          </w:p>
        </w:tc>
        <w:tc>
          <w:tcPr>
            <w:tcBorders>
              <w:top w:val="none" w:color="000000" w:sz="4" w:space="0"/>
              <w:left w:val="none" w:color="000000" w:sz="4" w:space="0"/>
              <w:bottom w:val="single" w:color="auto" w:sz="4" w:space="0"/>
              <w:right w:val="single" w:color="auto" w:sz="4" w:space="0"/>
            </w:tcBorders>
            <w:tcW w:w="339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根据节假日需求升级。</w:t>
            </w:r>
            <w:r/>
          </w:p>
        </w:tc>
        <w:tc>
          <w:tcPr>
            <w:tcBorders>
              <w:top w:val="none" w:color="000000" w:sz="4" w:space="0"/>
              <w:left w:val="none" w:color="000000" w:sz="4" w:space="0"/>
              <w:bottom w:val="single" w:color="auto" w:sz="4" w:space="0"/>
              <w:right w:val="single" w:color="auto" w:sz="4" w:space="0"/>
            </w:tcBorders>
            <w:tcW w:w="208"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bl>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2、服务内容及要求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运营管理。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建立常态化值守机制，每日巡检平台健康，分级响应并闭环处置问题，保障业务连续性</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构建日/周/月/季/年多维度数据分析体系，进行用户画像、粘性评估、渠道转化追踪，为运营决策提供支撑</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负责官网及小程序的视觉优化、素材更新、模块化功能调整，年度优化不少于20次</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针对节假日和重大园事活动，策划旅游产品、设计方案、完成部署上线</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按淡旺季执行产品上下架与价格配置（年度不少于4次）；管理OTA平台180余种票型；配置分时预约库存、限购策略、票种关联销售规则</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管理景区自助终端设备（票种配置、异常订单处理、远程发布等）；保障满意度调查数据采集、去重、上传</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保障数据存储安全、防刷机制、隐私保护；维护发票自定义配置；确保与票务系统、财务系统接口稳定，数据实时同步；处理开票异常和多场景开票</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每日全量校验交易订单、核销、营收、渠道结算等数据，配合财务对账，异常溯源修正，确保账实相符。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定期修改密码、核查接口漏洞与系统漏洞、防范数据泄露；配合漏洞扫描整改；组织人员培训与攻防演练；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监控服务器安全，节假日压力测试与值守；数据库自动备份，实时监控异常处理；制定安全设备管理制度及操作手册</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保障支付宝小程序（含多国版本）和抖音日历票作为临时购票通道的正常运行，运营内容与主平台一致</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定期优化界面、交互及可视化图表样式；支持多终端适配（PC、LED大屏）；进行前端性能与缓存策略优化。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现场支持。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针对重大活动及节假日，部署现场保障人员，保障平台特殊时期稳定运行，不出现服务中断。发生突发问题时，迅速对接技术人员现场响应，确保用户问题得到最快速度的解决。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sz w:val="24"/>
          <w:szCs w:val="24"/>
        </w:rPr>
        <w:t xml:space="preserve">苏州园林旅游网PC页面运营设计改版</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对苏园旅游网版面整体进行改造提升，提升视觉效果和突出功能展示。新增智慧导览功能，列表展示各园林景区相关资讯，同时根据游客需求制定个性化行程规划等功能。结合园事花事等活动，制作专题展示页面，起到宣传效果。整合带动园林周边旅游资源，设立线上一站式旅游服务中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sz w:val="24"/>
          <w:szCs w:val="24"/>
        </w:rPr>
        <w:t xml:space="preserve">分时预约系统提升优化</w:t>
      </w:r>
      <w:r/>
    </w:p>
    <w:p>
      <w:pPr>
        <w:ind w:firstLine="480"/>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1.强化安全与库存管控：完成分时预约系统迭代升级，新增退库、返库功能，实现库存数量智能化调控，从机制上遏制恶意占用库存的违规行为，全面提升系统安全防护能力。</w:t>
      </w:r>
      <w:r/>
    </w:p>
    <w:p>
      <w:pPr>
        <w:ind w:firstLine="480"/>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2.新增子库存分流模式：系统增设子库存管理模块，可按比例对总库存进行合理拆分分流，杜绝多渠道、多业务场景购票流量集中冲击单一库存，保障系统持续稳定、高效运转。</w:t>
      </w:r>
      <w:r/>
    </w:p>
    <w:p>
      <w:pPr>
        <w:ind w:firstLine="480"/>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3.上线票盾智能防护机制：引入「票盾」智能风控体系，对网站访问请求进行智能甄别与精准筛选，有效拦截黄牛恶意流量攻击，防范脚本批量抢票行为，净化预约购票环境。</w:t>
      </w:r>
      <w:r/>
    </w:p>
    <w:p>
      <w:pPr>
        <w:ind w:firstLine="480"/>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4.完善散客与团队分级管控：建立散客、团队差异化管控策略，依托云端算力及流量清洗技术，对超大访问流量实施分批次甄别、分流与净化，规避高并发流量影响网站稳定性；同时扩容产品渠道配置，针对团队恶意抢票行为设置专项限购管控，精准规制违规购票行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服务器资源租赁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台租赁阿里云服务器，使用独立部署架构，保障系统整体性好、拓展性强、安全性高。按三级等保要求和平台部署需要租赁相应的阿里云服务器,预算外增加服务器需甲方同意,并根据实际发生费用结算。涉及服务器、数据库、SSL证书、Web应用防火墙、杀毒软件、备服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运营短信发送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优化各项业务运营短信的设置及短信内容，目前主要为以免登录访问验证码短信、散客及团队订购成功短信、团队预约成功短信、团队申请旅行社资质审核短信及审核通过短信、修改基础信息验证码短信等。按0.05元/条计算，前期预估费用，后期按照实际短信发送量进行结算；</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网络安全管理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健全网站信息安全管理制度，明确网络安全管理的流程和方法。根据甲方要求，委托专业公司对整个平台进行三级等保评定，并积极落实平台运营各项安全措施，确保达到三级等保合格标准。运营单位需负责维护平台的安全稳定和数据安全。</w:t>
      </w:r>
      <w:r/>
    </w:p>
    <w:p>
      <w:pPr>
        <w:ind w:firstLine="2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（二）售检票及客流量系统硬件运营服务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1、服务明细表</w:t>
      </w:r>
      <w:r/>
    </w:p>
    <w:tbl>
      <w:tblPr>
        <w:tblStyle w:val="88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36"/>
        <w:gridCol w:w="652"/>
        <w:gridCol w:w="1078"/>
        <w:gridCol w:w="6704"/>
        <w:gridCol w:w="436"/>
        <w:gridCol w:w="656"/>
      </w:tblGrid>
      <w:tr>
        <w:trPr>
          <w:trHeight w:val="280"/>
        </w:trPr>
        <w:tc>
          <w:tcPr>
            <w:tcBorders>
              <w:top w:val="single" w:color="auto"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序号</w:t>
            </w:r>
            <w:r/>
          </w:p>
        </w:tc>
        <w:tc>
          <w:tcPr>
            <w:tcBorders>
              <w:top w:val="single" w:color="auto" w:sz="4" w:space="0"/>
              <w:left w:val="single" w:color="auto" w:sz="4" w:space="0"/>
              <w:bottom w:val="single" w:color="000000" w:sz="4" w:space="0"/>
              <w:right w:val="single" w:color="auto" w:sz="4" w:space="0"/>
            </w:tcBorders>
            <w:tcW w:w="327" w:type="pct"/>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类型</w:t>
            </w:r>
            <w:r/>
          </w:p>
        </w:tc>
        <w:tc>
          <w:tcPr>
            <w:tcBorders>
              <w:top w:val="single" w:color="auto" w:sz="4" w:space="0"/>
              <w:left w:val="single" w:color="auto" w:sz="4" w:space="0"/>
              <w:bottom w:val="single" w:color="000000" w:sz="4" w:space="0"/>
              <w:right w:val="single" w:color="auto" w:sz="4" w:space="0"/>
            </w:tcBorders>
            <w:tcW w:w="541" w:type="pct"/>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服务范围</w:t>
            </w:r>
            <w:r/>
          </w:p>
        </w:tc>
        <w:tc>
          <w:tcPr>
            <w:tcBorders>
              <w:top w:val="single" w:color="auto"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服务内容</w:t>
            </w:r>
            <w:r/>
          </w:p>
        </w:tc>
        <w:tc>
          <w:tcPr>
            <w:tcBorders>
              <w:top w:val="single" w:color="auto"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单位</w:t>
            </w:r>
            <w:r/>
          </w:p>
        </w:tc>
        <w:tc>
          <w:tcPr>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数量</w:t>
            </w:r>
            <w:r/>
          </w:p>
        </w:tc>
      </w:tr>
      <w:tr>
        <w:trPr>
          <w:trHeight w:val="280"/>
        </w:trPr>
        <w:tc>
          <w:tcPr>
            <w:tcBorders>
              <w:top w:val="single" w:color="auto"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w:t>
            </w:r>
            <w:r/>
          </w:p>
        </w:tc>
        <w:tc>
          <w:tcPr>
            <w:tcBorders>
              <w:top w:val="single" w:color="auto" w:sz="4" w:space="0"/>
              <w:left w:val="single" w:color="auto" w:sz="4" w:space="0"/>
              <w:bottom w:val="single" w:color="000000" w:sz="4" w:space="0"/>
              <w:right w:val="single" w:color="auto" w:sz="4" w:space="0"/>
            </w:tcBorders>
            <w:tcW w:w="327" w:type="pct"/>
            <w:vAlign w:val="center"/>
            <w:vMerge w:val="restart"/>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售检票及客流量系统硬件维护</w:t>
            </w:r>
            <w:r/>
          </w:p>
        </w:tc>
        <w:tc>
          <w:tcPr>
            <w:tcBorders>
              <w:top w:val="single" w:color="auto" w:sz="4" w:space="0"/>
              <w:left w:val="single" w:color="auto" w:sz="4" w:space="0"/>
              <w:bottom w:val="single" w:color="000000" w:sz="4" w:space="0"/>
              <w:right w:val="single" w:color="auto" w:sz="4" w:space="0"/>
            </w:tcBorders>
            <w:tcW w:w="541" w:type="pct"/>
            <w:vAlign w:val="center"/>
            <w:vMerge w:val="restart"/>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售检票硬件设备维护服务</w:t>
            </w:r>
            <w:r/>
          </w:p>
        </w:tc>
        <w:tc>
          <w:tcPr>
            <w:tcBorders>
              <w:top w:val="single" w:color="auto"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翼闸检票机</w:t>
            </w:r>
            <w:r/>
          </w:p>
        </w:tc>
        <w:tc>
          <w:tcPr>
            <w:tcBorders>
              <w:top w:val="single" w:color="auto"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台</w:t>
            </w:r>
            <w:r/>
          </w:p>
        </w:tc>
        <w:tc>
          <w:tcPr>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7</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2</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无闸检票机</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台</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15</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3</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入口</w:t>
            </w:r>
            <w:r>
              <w:rPr>
                <w:rFonts w:hint="eastAsia" w:ascii="宋体" w:hAnsi="宋体" w:eastAsia="宋体" w:cs="宋体"/>
                <w:sz w:val="22"/>
              </w:rPr>
              <w:t xml:space="preserve">三</w:t>
            </w:r>
            <w:r>
              <w:rPr>
                <w:rFonts w:ascii="宋体" w:hAnsi="宋体" w:eastAsia="宋体" w:cs="宋体"/>
                <w:sz w:val="22"/>
              </w:rPr>
              <w:t xml:space="preserve">辊闸</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台</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34</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4</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出口三辊闸</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台</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15</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5</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手持检票机</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台</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63</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6</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电脑、打印机、身份证阅读器、二维码阅读器（售票配套设备）</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套</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30</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7</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UPS不间断电池套组</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套</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19</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8</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配套线路及设备（含交换机、光纤收发器等）</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套</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32</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9</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客流采集器</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套</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93</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10</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显示屏</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块</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16</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11</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自助售票机</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台</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35</w:t>
            </w:r>
            <w:r/>
          </w:p>
        </w:tc>
      </w:tr>
      <w:tr>
        <w:trPr>
          <w:trHeight w:val="56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12</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none" w:color="000000" w:sz="4" w:space="0"/>
              <w:right w:val="single" w:color="auto" w:sz="4" w:space="0"/>
            </w:tcBorders>
            <w:tcW w:w="541"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售检票设备加强服务</w:t>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人脸识别检票服务</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套</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80</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13</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541" w:type="pct"/>
            <w:vAlign w:val="center"/>
            <w:vMerge w:val="restart"/>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客流量统计服务提升</w:t>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双目客流</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个</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9</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14</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客流配套设备(施工、安装、调试)</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套</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15</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000000" w:sz="4" w:space="0"/>
              <w:right w:val="single" w:color="auto" w:sz="4" w:space="0"/>
            </w:tcBorders>
            <w:tcW w:w="541" w:type="pct"/>
            <w:vAlign w:val="center"/>
            <w:vMerge w:val="restart"/>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备件应急保障服务</w:t>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服务器主板</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块</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5</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16</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德卡阅读器</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块</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5</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17</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闸机A55主板（含深大嵌入式系统软件V6.0）</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块</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6</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18</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LED屏幕备板</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块</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10</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19</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闸机屏幕(10寸)</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块</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5</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20</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服务器硬盘</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块</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10</w:t>
            </w:r>
            <w:r/>
          </w:p>
        </w:tc>
      </w:tr>
      <w:tr>
        <w:trPr>
          <w:trHeight w:val="280"/>
        </w:trPr>
        <w:tc>
          <w:tcPr>
            <w:tcBorders>
              <w:top w:val="none" w:color="000000" w:sz="4" w:space="0"/>
              <w:left w:val="single" w:color="auto"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21</w:t>
            </w:r>
            <w:r/>
          </w:p>
        </w:tc>
        <w:tc>
          <w:tcPr>
            <w:tcBorders>
              <w:top w:val="single" w:color="auto" w:sz="4" w:space="0"/>
              <w:left w:val="single" w:color="auto" w:sz="4" w:space="0"/>
              <w:bottom w:val="single" w:color="000000" w:sz="4" w:space="0"/>
              <w:right w:val="single" w:color="auto" w:sz="4" w:space="0"/>
            </w:tcBorders>
            <w:tcW w:w="327"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000000" w:sz="4" w:space="0"/>
              <w:right w:val="single" w:color="auto" w:sz="4" w:space="0"/>
            </w:tcBorders>
            <w:tcW w:w="541" w:type="pct"/>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3365"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自助机打印耗材</w:t>
            </w:r>
            <w:r/>
          </w:p>
        </w:tc>
        <w:tc>
          <w:tcPr>
            <w:tcBorders>
              <w:top w:val="none" w:color="000000" w:sz="4" w:space="0"/>
              <w:left w:val="none" w:color="000000" w:sz="4" w:space="0"/>
              <w:bottom w:val="single" w:color="auto" w:sz="4" w:space="0"/>
              <w:right w:val="single" w:color="auto" w:sz="4" w:space="0"/>
            </w:tcBorders>
            <w:tcW w:w="21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卷</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hint="eastAsia" w:ascii="宋体" w:hAnsi="宋体" w:eastAsia="宋体" w:cs="宋体"/>
                <w:sz w:val="22"/>
              </w:rPr>
            </w:pPr>
            <w:r>
              <w:rPr>
                <w:rFonts w:ascii="宋体" w:hAnsi="宋体" w:eastAsia="宋体" w:cs="宋体"/>
                <w:sz w:val="22"/>
              </w:rPr>
              <w:t xml:space="preserve">1090</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2.1设备维护服务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负责对苏州各园林景区售检票系统硬件设备（含闸机、手持检票机、售票电脑、售票打印机、UPS电源、人脸识别终端、护照设备等）及客流量监测系统硬件设备与配套附件，提供全面维修维护服务，并配置相应的备品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2)实现与各景区门票管理系统软件的高效对接，确保硬件设备与软件系统之间的无缝集成及稳定运行。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3)完成与景区现有客流信息发布系统的技术对接，实现景区实时客流数据在指定屏幕不同区域的精准展示与动态更新。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4)安排专业技术人员提供驻场技术支持服务，保障售检票设备及客流量监测设备实现全天候稳定、可靠运行。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rPr>
        <w:t xml:space="preserve"> </w:t>
      </w:r>
      <w:r>
        <w:rPr>
          <w:rFonts w:ascii="宋体" w:hAnsi="宋体" w:eastAsia="宋体" w:cs="宋体"/>
          <w:sz w:val="24"/>
          <w:szCs w:val="24"/>
        </w:rPr>
        <w:t xml:space="preserve">针对不同国家护照格式差异所引发的问题对软件进行更新修复，例如解决护照格式识别错误、名字过长等问题。</w:t>
      </w:r>
      <w:r/>
    </w:p>
    <w:p>
      <w:pPr>
        <w:ind w:firstLine="480"/>
        <w:spacing w:line="360" w:lineRule="auto"/>
        <w:rPr>
          <w:rFonts w:hint="eastAsia" w:ascii="宋体" w:hAnsi="宋体" w:eastAsia="宋体" w:cs="宋体"/>
          <w:sz w:val="22"/>
        </w:rPr>
      </w:pPr>
      <w:r>
        <w:rPr>
          <w:rFonts w:hint="eastAsia" w:ascii="宋体" w:hAnsi="宋体" w:eastAsia="宋体" w:cs="宋体"/>
          <w:sz w:val="24"/>
          <w:szCs w:val="24"/>
        </w:rPr>
        <w:t xml:space="preserve">2.2</w:t>
      </w:r>
      <w:r>
        <w:rPr>
          <w:rFonts w:ascii="宋体" w:hAnsi="宋体" w:eastAsia="宋体" w:cs="宋体"/>
          <w:sz w:val="22"/>
        </w:rPr>
        <w:t xml:space="preserve">人脸识别检票服务</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在各景区入口检票通道</w:t>
      </w:r>
      <w:r>
        <w:rPr>
          <w:rFonts w:hint="eastAsia" w:ascii="宋体" w:hAnsi="宋体" w:eastAsia="宋体" w:cs="宋体"/>
          <w:sz w:val="24"/>
          <w:szCs w:val="24"/>
        </w:rPr>
        <w:t xml:space="preserve">的</w:t>
      </w:r>
      <w:r>
        <w:rPr>
          <w:rFonts w:ascii="宋体" w:hAnsi="宋体" w:eastAsia="宋体" w:cs="宋体"/>
          <w:sz w:val="24"/>
          <w:szCs w:val="24"/>
        </w:rPr>
        <w:t xml:space="preserve">80套人脸识别终端，</w:t>
      </w:r>
      <w:r>
        <w:rPr>
          <w:rFonts w:hint="eastAsia" w:ascii="宋体" w:hAnsi="宋体" w:eastAsia="宋体" w:cs="宋体"/>
          <w:sz w:val="24"/>
          <w:szCs w:val="24"/>
        </w:rPr>
        <w:t xml:space="preserve">保证</w:t>
      </w:r>
      <w:r>
        <w:rPr>
          <w:rFonts w:ascii="宋体" w:hAnsi="宋体" w:eastAsia="宋体" w:cs="宋体"/>
          <w:sz w:val="24"/>
          <w:szCs w:val="24"/>
        </w:rPr>
        <w:t xml:space="preserve">支持与翼闸、</w:t>
      </w:r>
      <w:r>
        <w:rPr>
          <w:rFonts w:hint="eastAsia" w:ascii="宋体" w:hAnsi="宋体" w:eastAsia="宋体" w:cs="宋体"/>
          <w:sz w:val="24"/>
          <w:szCs w:val="24"/>
        </w:rPr>
        <w:t xml:space="preserve">无闸</w:t>
      </w:r>
      <w:r>
        <w:rPr>
          <w:rFonts w:ascii="宋体" w:hAnsi="宋体" w:eastAsia="宋体" w:cs="宋体"/>
          <w:sz w:val="24"/>
          <w:szCs w:val="24"/>
        </w:rPr>
        <w:t xml:space="preserve">、三辊闸等闸机设备联动控制。建立终端设备巡检机制，对识别模块、摄像头、补光灯、网络连接等关键部件进行定期检测与维护，保障设备持续稳定运行。实现人脸识别系统与苏州园林现有年卡管理系统的无缝对接，通过身份证号作为数据关联主键，实时调取年卡状态、有效期、剩余次数等关键信息</w:t>
      </w:r>
      <w:r>
        <w:rPr>
          <w:rFonts w:hint="eastAsia" w:ascii="宋体" w:hAnsi="宋体" w:eastAsia="宋体" w:cs="宋体"/>
          <w:sz w:val="24"/>
          <w:szCs w:val="24"/>
        </w:rPr>
        <w:t xml:space="preserve">。</w:t>
      </w:r>
      <w:r>
        <w:rPr>
          <w:rFonts w:ascii="宋体" w:hAnsi="宋体" w:eastAsia="宋体" w:cs="宋体"/>
          <w:sz w:val="24"/>
          <w:szCs w:val="24"/>
        </w:rPr>
        <w:t xml:space="preserve">年卡用户刷脸通行时，系统实时完成年卡有效性校验（有效期、可用次数等），校验通过后向年卡系统发送扣减入园次数指令并同步开闸放行。核销记录（身份证信息、入园时间、通道号等）实时回传至年卡管理后台</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w:t>
      </w:r>
      <w:r>
        <w:rPr>
          <w:rFonts w:ascii="宋体" w:hAnsi="宋体" w:eastAsia="宋体" w:cs="宋体"/>
          <w:sz w:val="24"/>
          <w:szCs w:val="24"/>
        </w:rPr>
        <w:t xml:space="preserve">客流监测升级服务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构建基于双目视觉技术的智能客流统计系统，实现对景区各主要出入口、重点区域的人流动态精准感知；通过数据平台汇聚、分析售检票数据与客流数据，形成完整、可视化的游客运营分析支撑体系。包括：</w:t>
      </w:r>
      <w:r/>
    </w:p>
    <w:p>
      <w:pPr>
        <w:pStyle w:val="904"/>
        <w:numPr>
          <w:ilvl w:val="0"/>
          <w:numId w:val="3"/>
        </w:numPr>
        <w:spacing w:line="360" w:lineRule="auto"/>
        <w:rPr>
          <w:rFonts w:ascii="宋体" w:hAnsi="宋体" w:cs="宋体"/>
          <w:sz w:val="24"/>
        </w:rPr>
      </w:pPr>
      <w:r>
        <w:rPr>
          <w:rFonts w:hint="eastAsia" w:ascii="宋体" w:hAnsi="宋体" w:cs="宋体"/>
          <w:sz w:val="24"/>
        </w:rPr>
        <w:t xml:space="preserve">双目客流识别设备</w:t>
      </w:r>
      <w:r/>
    </w:p>
    <w:p>
      <w:pPr>
        <w:ind w:left="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①</w:t>
      </w:r>
      <w:r>
        <w:rPr>
          <w:rFonts w:hint="eastAsia" w:ascii="宋体" w:hAnsi="宋体" w:eastAsia="宋体" w:cs="宋体"/>
          <w:sz w:val="24"/>
          <w:szCs w:val="24"/>
        </w:rPr>
        <w:t xml:space="preserve">安装部署于景区各重点客流区域，包括主要出入口等；</w:t>
      </w:r>
      <w:r/>
    </w:p>
    <w:p>
      <w:pPr>
        <w:ind w:left="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设备需采用双目摄像技术，支持高精度双向计数；</w:t>
      </w:r>
      <w:r/>
    </w:p>
    <w:p>
      <w:pPr>
        <w:ind w:left="480" w:firstLine="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支持全天候运行，户外需具备防水能力，以适应户外安装环境；</w:t>
      </w:r>
      <w:r/>
    </w:p>
    <w:p>
      <w:pPr>
        <w:pStyle w:val="904"/>
        <w:numPr>
          <w:ilvl w:val="0"/>
          <w:numId w:val="3"/>
        </w:numPr>
        <w:spacing w:line="360" w:lineRule="auto"/>
        <w:rPr>
          <w:rFonts w:hint="eastAsia" w:ascii="宋体" w:hAnsi="宋体" w:cs="宋体"/>
          <w:sz w:val="24"/>
        </w:rPr>
      </w:pPr>
      <w:r>
        <w:rPr>
          <w:rFonts w:hint="eastAsia" w:ascii="宋体" w:hAnsi="宋体" w:cs="宋体"/>
          <w:sz w:val="24"/>
        </w:rPr>
        <w:t xml:space="preserve">客流配套设备（施工、安装、调试）</w:t>
      </w:r>
      <w:r/>
    </w:p>
    <w:p>
      <w:pPr>
        <w:ind w:left="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①</w:t>
      </w:r>
      <w:r>
        <w:rPr>
          <w:rFonts w:hint="eastAsia" w:ascii="宋体" w:hAnsi="宋体" w:eastAsia="宋体" w:cs="宋体"/>
          <w:sz w:val="24"/>
          <w:szCs w:val="24"/>
        </w:rPr>
        <w:t xml:space="preserve">包括摄像头安装支架、弱电布线、网络交换设备等；</w:t>
      </w:r>
      <w:r/>
    </w:p>
    <w:p>
      <w:pPr>
        <w:ind w:left="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网络接入方式支持POE供电或独立电源方式；</w:t>
      </w:r>
      <w:r/>
    </w:p>
    <w:p>
      <w:pPr>
        <w:ind w:left="480" w:firstLine="0"/>
        <w:spacing w:line="360" w:lineRule="auto"/>
        <w:rPr>
          <w:rFonts w:hint="eastAsia" w:ascii="宋体" w:hAnsi="宋体" w:cs="宋体"/>
          <w:sz w:val="24"/>
        </w:rPr>
      </w:pP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可与现有景区票务系统兼容接入。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2.4备件采购应急服务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对主要设备配件采购备用，服务器主板、德卡阅读器、闸机A55主板（含深大嵌入式系统软件V6.0）、LED屏幕备板、闸机屏幕（10寸）、服务器硬盘、</w:t>
      </w:r>
      <w:r>
        <w:rPr>
          <w:rFonts w:ascii="宋体" w:hAnsi="宋体" w:eastAsia="宋体" w:cs="宋体"/>
          <w:sz w:val="22"/>
        </w:rPr>
        <w:t xml:space="preserve">自助机打印耗材</w:t>
      </w:r>
      <w:r>
        <w:rPr>
          <w:rFonts w:hint="eastAsia" w:ascii="宋体" w:hAnsi="宋体" w:eastAsia="宋体" w:cs="宋体"/>
          <w:sz w:val="24"/>
          <w:szCs w:val="24"/>
        </w:rPr>
        <w:t xml:space="preserve">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2.5定期巡查服务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日常巡检：对园林景区相关系统设备进行每日巡检，发现故障及时排除或修复，并要制作每日书面巡检表，每月末向招标单位提交当月每日巡检表。每次维护保养任务后，应对维修和养护工作进行总结检查，并在《日常维修保养服务记录表》及《设备故障处理记录表》上签字确认并提出服务改进意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月度检测：按月到景区现场进行全面检查包括对设备进行清理、调整、检测和测试等，以确保设备运行在稳定状态。除对设备硬件本身进行检测外，还将对硬件自带系统的性能进行调优，确保系统正常稳定运行,并对可能出现的故障提出解决预案及系统功能改进等方面的技术咨询工作，并提出必要的现场指导。每月向甲方出具书面月度巡检报告，报告维保设备的运行情况，以及当月在维护保养中已更换的设备、零部件的数量及费用清单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2.5.3季度报告：每季度末出具书面季度报告说明整个智能化系统设施设备运行情况及改进措施。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2.5.4年度报告：每年度末出具书面年度报告，总结维保项目工作内容，对相关隐患设备提出处理建议，并对整个项目涉及的所有设备提供科学保养意见。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2.5.5建立维护档案：详细记录设备型号、出厂编号、版本号、工作状态；提供现场工作报告、巡检报告、年度维护报告。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单位须制定详细的维护服务方案、投标单位须24小时*365天随时接受招标人的服务请求，法定节假日（包括周末）人员进行驻场技术服务，开展保障工作。并对景区售检票管理系统硬件、客流信息发布系统硬件能熟练操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故障排除：半小时响应，2小时解决，提供7*24小时在线及电话支持,在24小时内排除故障恢复系统运行，包括故障定位、部件更换、闸机主控板嵌入程序的全部工作，保证系统不间断运行，不再另外收取任何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（3）技术服务支持</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①具有相关维保经验；接到招标单位报修电话原则上半小时内到达现场。</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②电话和在线技术支持。提供7×24小时在线和电话支持，为设备的所有硬件和软件故障提供7x24小时不限次的在线和电话支持服务。</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③现场支持服务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提供24小时×365天现场技术支持服务。针对在设备运行中出现的故障，通过电话仍无法解决问题，提供现场技术支持服务。现场技术支持包括故障诊断、提交解决方案、系统数据（参数）恢复等服务。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除现场技术支持服务外，针对设备的实际运行情况，在保障设备的高效稳定为前提的条件下，提供紧急上门服务。如系统运行出现异常情况时，必须保证在接到用户报修电话后，根据系统故障的紧急程度，将在2小时内指派合格的工程师到达故障现场，通过现场排除缺陷或替换出现故障“产品”等方式，在规定时间内完成维修任务，使设备运行无忧。若成交单位不能按时恢复系统正常运转的，用户可自行采取必要的措施，由此产生风险和费用应由成交单位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（5）制定项目管理制度：设立专业维护团队，制定适合招标人工作要求的详细工作服务流程与工作制度，制定对项目实施服务人员的考核办法。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更换零部件后，成交单位须作好记录，注明更换位置、配件品牌型号数量等具体数据，并制作单据由业主单位验收存档。每次维护保养及故障修复后均须出具详细书面维保报告，及时提供用户方有关系统运行的状态报告和运行建议；并立即更换有隐患的设备。</w:t>
      </w:r>
      <w:r/>
    </w:p>
    <w:p>
      <w:pPr>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（三）服务人员要求</w:t>
      </w:r>
      <w:r/>
    </w:p>
    <w:p>
      <w:pPr>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auto"/>
          <w:sz w:val="24"/>
          <w:szCs w:val="24"/>
        </w:rPr>
        <w:t xml:space="preserve">1、项目总负责人（1人）： </w:t>
      </w:r>
      <w:r/>
    </w:p>
    <w:p>
      <w:pPr>
        <w:ind w:firstLine="480"/>
        <w:spacing w:line="360" w:lineRule="auto"/>
        <w:rPr>
          <w:rFonts w:hint="eastAsia" w:ascii="宋体" w:hAnsi="宋体" w:eastAsia="宋体" w:cs="宋体"/>
          <w:color w:val="000000"/>
          <w:sz w:val="24"/>
          <w:szCs w:val="24"/>
        </w:rPr>
        <w:outlineLvl w:val="0"/>
      </w:pPr>
      <w:r>
        <w:rPr>
          <w:rFonts w:ascii="宋体" w:hAnsi="宋体" w:eastAsia="宋体" w:cs="宋体"/>
          <w:color w:val="000000"/>
          <w:sz w:val="24"/>
          <w:szCs w:val="24"/>
        </w:rPr>
        <w:t xml:space="preserve">全面负责本项目的统筹管理与质量把控，具体职责包括：整体规划与进度把控</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团队建设与人员管理</w:t>
      </w:r>
      <w:r>
        <w:rPr>
          <w:rFonts w:hint="eastAsia" w:ascii="宋体" w:hAnsi="宋体" w:eastAsia="宋体" w:cs="宋体"/>
          <w:color w:val="000000"/>
          <w:sz w:val="24"/>
          <w:szCs w:val="24"/>
        </w:rPr>
        <w:t xml:space="preserve">、</w:t>
      </w:r>
      <w:r>
        <w:rPr>
          <w:rFonts w:hint="eastAsia" w:ascii="宋体" w:hAnsi="宋体" w:eastAsia="宋体" w:cs="宋体"/>
          <w:b w:val="0"/>
          <w:bCs w:val="0"/>
          <w:color w:val="000000"/>
          <w:sz w:val="24"/>
          <w:szCs w:val="24"/>
        </w:rPr>
        <w:t xml:space="preserve">甲方对接与需求管理、应急指挥与重大故障处置、关键文档审核、培训与演练组织、持续改进与创新等</w:t>
      </w:r>
      <w:r/>
    </w:p>
    <w:p>
      <w:pPr>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2、本项目拟配置其他人员（不含项目总负责人）不低于14人，具体分配如下：</w:t>
      </w:r>
      <w:r/>
    </w:p>
    <w:p>
      <w:pPr>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highlight w:val="none"/>
        </w:rPr>
        <w:t xml:space="preserve">2.1</w:t>
      </w:r>
      <w:r>
        <w:rPr>
          <w:rFonts w:ascii="宋体" w:hAnsi="宋体" w:eastAsia="宋体" w:cs="宋体"/>
          <w:color w:val="000000"/>
          <w:sz w:val="24"/>
          <w:szCs w:val="24"/>
          <w:highlight w:val="none"/>
        </w:rPr>
        <w:t xml:space="preserve">苏州园林线上票务系统运营管理项目运营团队配置</w:t>
      </w:r>
      <w:r>
        <w:rPr>
          <w:rFonts w:ascii="宋体" w:hAnsi="宋体" w:eastAsia="宋体" w:cs="宋体"/>
          <w:color w:val="auto"/>
          <w:sz w:val="24"/>
          <w:szCs w:val="24"/>
          <w:highlight w:val="none"/>
        </w:rPr>
        <w:t xml:space="preserve">不低</w:t>
      </w:r>
      <w:r>
        <w:rPr>
          <w:rFonts w:hint="eastAsia" w:ascii="宋体" w:hAnsi="宋体" w:eastAsia="宋体" w:cs="宋体"/>
          <w:color w:val="auto"/>
          <w:sz w:val="24"/>
          <w:szCs w:val="24"/>
          <w:highlight w:val="none"/>
        </w:rPr>
        <w:t xml:space="preserve">于8</w:t>
      </w:r>
      <w:r>
        <w:rPr>
          <w:rFonts w:ascii="宋体" w:hAnsi="宋体" w:eastAsia="宋体" w:cs="宋体"/>
          <w:color w:val="auto"/>
          <w:sz w:val="24"/>
          <w:szCs w:val="24"/>
          <w:highlight w:val="none"/>
        </w:rPr>
        <w:t xml:space="preserve">人，</w:t>
      </w:r>
      <w:r>
        <w:rPr>
          <w:rFonts w:ascii="宋体" w:hAnsi="宋体" w:eastAsia="宋体" w:cs="宋体"/>
          <w:color w:val="000000"/>
          <w:sz w:val="24"/>
          <w:szCs w:val="24"/>
        </w:rPr>
        <w:t xml:space="preserve">各岗位重点工作内容如下：</w:t>
      </w:r>
      <w:r/>
    </w:p>
    <w:p>
      <w:pPr>
        <w:numPr>
          <w:ilvl w:val="0"/>
          <w:numId w:val="0"/>
        </w:numPr>
        <w:ind w:firstLine="480"/>
        <w:spacing w:line="360" w:lineRule="auto"/>
        <w:rPr>
          <w:rFonts w:ascii="宋体" w:hAnsi="宋体" w:eastAsia="宋体" w:cs="宋体"/>
          <w:color w:val="000000"/>
          <w:sz w:val="24"/>
          <w:szCs w:val="24"/>
        </w:rPr>
        <w:outlineLvl w:val="0"/>
      </w:pPr>
      <w:r>
        <w:rPr>
          <w:rFonts w:ascii="宋体" w:hAnsi="宋体" w:eastAsia="宋体" w:cs="宋体"/>
          <w:color w:val="000000"/>
          <w:sz w:val="24"/>
          <w:szCs w:val="24"/>
          <w:lang w:val="en-US" w:eastAsia="zh-CN" w:bidi="ar-SA"/>
        </w:rPr>
        <w:t xml:space="preserve">1）</w:t>
      </w:r>
      <w:r>
        <w:rPr>
          <w:rFonts w:ascii="宋体" w:hAnsi="宋体" w:eastAsia="宋体" w:cs="宋体"/>
          <w:color w:val="000000"/>
          <w:sz w:val="24"/>
          <w:szCs w:val="24"/>
        </w:rPr>
        <w:t xml:space="preserve">运营人员（</w:t>
      </w:r>
      <w:r>
        <w:rPr>
          <w:rFonts w:hint="eastAsia" w:ascii="宋体" w:hAnsi="宋体" w:eastAsia="宋体" w:cs="宋体"/>
          <w:color w:val="000000"/>
          <w:sz w:val="24"/>
          <w:szCs w:val="24"/>
        </w:rPr>
        <w:t xml:space="preserve">7</w:t>
      </w:r>
      <w:r>
        <w:rPr>
          <w:rFonts w:ascii="宋体" w:hAnsi="宋体" w:eastAsia="宋体" w:cs="宋体"/>
          <w:color w:val="000000"/>
          <w:sz w:val="24"/>
          <w:szCs w:val="24"/>
        </w:rPr>
        <w:t xml:space="preserve">人）：平台结构优化调整，包括：首页、列表页、详情页、功能页、专题页等各类页面。平台内容日常维护，包括文章和产品，形式不限，有图文、视频等各种形式。平台产品日常运营，包括产品介绍整理，产品上下架管理等。按需进行平台用户行为分析，包括数据筛选，流程优化，对用户量、交易量、交易额等数据进行整合。并同时协助财务部门对平台与各景区门票款进行帐务核对，运营人员对异常订单进行授权处理。</w:t>
      </w:r>
      <w:r/>
    </w:p>
    <w:p>
      <w:pPr>
        <w:numPr>
          <w:ilvl w:val="0"/>
          <w:numId w:val="0"/>
        </w:numPr>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rPr>
        <w:t xml:space="preserve">ui/美工设计（</w:t>
      </w: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人）：负责前端设计、商城平台的ui页面设计、活动相关设计、宣传推广过程中所需的素材及广告设计等工作。</w:t>
      </w:r>
      <w:r/>
    </w:p>
    <w:p>
      <w:pPr>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2.2售检票及客流量系统硬件运营服务团队配置</w:t>
      </w:r>
      <w:r>
        <w:rPr>
          <w:rFonts w:hint="eastAsia" w:ascii="宋体" w:hAnsi="宋体" w:eastAsia="宋体" w:cs="宋体"/>
          <w:color w:val="auto"/>
          <w:sz w:val="24"/>
          <w:szCs w:val="24"/>
          <w:highlight w:val="none"/>
        </w:rPr>
        <w:t xml:space="preserve">不低于6人维保工程师。</w:t>
      </w:r>
      <w:r>
        <w:rPr>
          <w:rFonts w:hint="eastAsia" w:ascii="宋体" w:hAnsi="宋体" w:eastAsia="宋体" w:cs="宋体"/>
          <w:color w:val="000000"/>
          <w:sz w:val="24"/>
          <w:szCs w:val="24"/>
        </w:rPr>
        <w:t xml:space="preserve">维保工程师需具有两年及以上弱电及智能化设备维护工作经验，熟悉相关设备并具备实际维护运维经验，能独立解决常见系统及设备故障。由于园林14个景区节假日需要驻点维护保障，相邻景区可安排1人兼顾两个景区。硬件运营岗位职责如下：</w:t>
      </w:r>
      <w:r/>
    </w:p>
    <w:p>
      <w:pPr>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硬件运营（6人）：</w:t>
      </w:r>
      <w:r>
        <w:rPr>
          <w:rFonts w:ascii="宋体" w:hAnsi="宋体" w:eastAsia="宋体" w:cs="宋体"/>
          <w:color w:val="000000"/>
          <w:sz w:val="24"/>
          <w:szCs w:val="24"/>
        </w:rPr>
        <w:t xml:space="preserve">日常巡检与预防性维护</w:t>
      </w:r>
      <w:r>
        <w:rPr>
          <w:rFonts w:hint="eastAsia" w:ascii="宋体" w:hAnsi="宋体" w:eastAsia="宋体" w:cs="宋体"/>
          <w:color w:val="000000"/>
          <w:sz w:val="24"/>
          <w:szCs w:val="24"/>
        </w:rPr>
        <w:t xml:space="preserve">，包括</w:t>
      </w:r>
      <w:r>
        <w:rPr>
          <w:rFonts w:ascii="宋体" w:hAnsi="宋体" w:eastAsia="宋体" w:cs="宋体"/>
          <w:color w:val="000000"/>
          <w:sz w:val="24"/>
          <w:szCs w:val="24"/>
        </w:rPr>
        <w:t xml:space="preserve">每日巡检</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设备清洁与保养</w:t>
      </w:r>
      <w:r>
        <w:rPr>
          <w:rFonts w:hint="eastAsia" w:ascii="宋体" w:hAnsi="宋体" w:eastAsia="宋体" w:cs="宋体"/>
          <w:color w:val="000000"/>
          <w:sz w:val="24"/>
          <w:szCs w:val="24"/>
        </w:rPr>
        <w:t xml:space="preserve">、设备</w:t>
      </w:r>
      <w:r>
        <w:rPr>
          <w:rFonts w:ascii="宋体" w:hAnsi="宋体" w:eastAsia="宋体" w:cs="宋体"/>
          <w:color w:val="000000"/>
          <w:sz w:val="24"/>
          <w:szCs w:val="24"/>
        </w:rPr>
        <w:t xml:space="preserve">性能调优</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故障响应与现场修复</w:t>
      </w:r>
      <w:r>
        <w:rPr>
          <w:rFonts w:hint="eastAsia" w:ascii="宋体" w:hAnsi="宋体" w:eastAsia="宋体" w:cs="宋体"/>
          <w:color w:val="000000"/>
          <w:sz w:val="24"/>
          <w:szCs w:val="24"/>
        </w:rPr>
        <w:t xml:space="preserve">，包括</w:t>
      </w:r>
      <w:r>
        <w:rPr>
          <w:rFonts w:ascii="宋体" w:hAnsi="宋体" w:eastAsia="宋体" w:cs="宋体"/>
          <w:color w:val="000000"/>
          <w:sz w:val="24"/>
          <w:szCs w:val="24"/>
        </w:rPr>
        <w:t xml:space="preserve">快速响应</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故障诊断与排除</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驻场保障与节假日值守</w:t>
      </w:r>
      <w:r>
        <w:rPr>
          <w:rFonts w:hint="eastAsia" w:ascii="宋体" w:hAnsi="宋体" w:eastAsia="宋体" w:cs="宋体"/>
          <w:color w:val="000000"/>
          <w:sz w:val="24"/>
          <w:szCs w:val="24"/>
        </w:rPr>
        <w:t xml:space="preserve">，包括</w:t>
      </w:r>
      <w:r>
        <w:rPr>
          <w:rFonts w:ascii="宋体" w:hAnsi="宋体" w:eastAsia="宋体" w:cs="宋体"/>
          <w:color w:val="000000"/>
          <w:sz w:val="24"/>
          <w:szCs w:val="24"/>
        </w:rPr>
        <w:t xml:space="preserve">节假日及重大活动保障</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应急备勤</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备件管理与更换记录</w:t>
      </w:r>
      <w:r>
        <w:rPr>
          <w:rFonts w:hint="eastAsia" w:ascii="宋体" w:hAnsi="宋体" w:eastAsia="宋体" w:cs="宋体"/>
          <w:color w:val="000000"/>
          <w:sz w:val="24"/>
          <w:szCs w:val="24"/>
        </w:rPr>
        <w:t xml:space="preserve">，包括</w:t>
      </w:r>
      <w:r>
        <w:rPr>
          <w:rFonts w:ascii="宋体" w:hAnsi="宋体" w:eastAsia="宋体" w:cs="宋体"/>
          <w:color w:val="000000"/>
          <w:sz w:val="24"/>
          <w:szCs w:val="24"/>
        </w:rPr>
        <w:t xml:space="preserve">本地备件库管理</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更换记录归档</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软件与系统对接支持</w:t>
      </w:r>
      <w:r>
        <w:rPr>
          <w:rFonts w:hint="eastAsia" w:ascii="宋体" w:hAnsi="宋体" w:eastAsia="宋体" w:cs="宋体"/>
          <w:color w:val="000000"/>
          <w:sz w:val="24"/>
          <w:szCs w:val="24"/>
        </w:rPr>
        <w:t xml:space="preserve">，包括</w:t>
      </w:r>
      <w:r>
        <w:rPr>
          <w:rFonts w:ascii="宋体" w:hAnsi="宋体" w:eastAsia="宋体" w:cs="宋体"/>
          <w:color w:val="000000"/>
          <w:sz w:val="24"/>
          <w:szCs w:val="24"/>
        </w:rPr>
        <w:t xml:space="preserve">配合票务系统对接</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人脸识别终端维护</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报告与文档输出</w:t>
      </w:r>
      <w:r>
        <w:rPr>
          <w:rFonts w:hint="eastAsia" w:ascii="宋体" w:hAnsi="宋体" w:eastAsia="宋体" w:cs="宋体"/>
          <w:color w:val="000000"/>
          <w:sz w:val="24"/>
          <w:szCs w:val="24"/>
        </w:rPr>
        <w:t xml:space="preserve">，包括</w:t>
      </w:r>
      <w:r>
        <w:rPr>
          <w:rFonts w:ascii="宋体" w:hAnsi="宋体" w:eastAsia="宋体" w:cs="宋体"/>
          <w:color w:val="000000"/>
          <w:sz w:val="24"/>
          <w:szCs w:val="24"/>
        </w:rPr>
        <w:t xml:space="preserve">月度巡检报告</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季度/年度总结</w:t>
      </w:r>
      <w:r>
        <w:rPr>
          <w:rFonts w:hint="eastAsia" w:ascii="宋体" w:hAnsi="宋体" w:eastAsia="宋体" w:cs="宋体"/>
          <w:color w:val="000000"/>
          <w:sz w:val="24"/>
          <w:szCs w:val="24"/>
        </w:rPr>
        <w:t xml:space="preserve">。</w:t>
      </w:r>
      <w:r/>
    </w:p>
    <w:p>
      <w:pPr>
        <w:ind w:firstLine="482"/>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3、响应单位需满足人员最低配置要求，并列明拟派人员清单，注明相应信息，不满足以上要求的视为非实质性响应。</w:t>
      </w:r>
      <w:r/>
    </w:p>
    <w:p>
      <w:pPr>
        <w:ind w:firstLine="480"/>
        <w:spacing w:line="360" w:lineRule="auto"/>
        <w:rPr>
          <w:rFonts w:hint="eastAsia" w:ascii="宋体" w:hAnsi="宋体" w:eastAsia="宋体" w:cs="宋体"/>
          <w:b/>
          <w:bCs/>
          <w:color w:val="000000"/>
          <w:sz w:val="24"/>
          <w:szCs w:val="24"/>
          <w:highlight w:val="yellow"/>
        </w:rPr>
        <w:outlineLvl w:val="0"/>
      </w:pPr>
      <w:r>
        <w:rPr>
          <w:rFonts w:hint="eastAsia" w:ascii="宋体" w:hAnsi="宋体" w:eastAsia="宋体" w:cs="宋体"/>
          <w:color w:val="000000"/>
          <w:sz w:val="24"/>
          <w:szCs w:val="24"/>
        </w:rPr>
        <w:t xml:space="preserve">4、本项目的服务人员必须是投标单位在职员工（投标单位中标后须提供社保证明），须在签订合同后5天内到岗，本项目服务期内所有服务人员原则上不能调岗。</w:t>
      </w:r>
      <w:r/>
    </w:p>
    <w:p>
      <w:pPr>
        <w:ind w:firstLine="482"/>
        <w:spacing w:line="360" w:lineRule="auto"/>
        <w:rPr>
          <w:rFonts w:hint="eastAsia" w:ascii="宋体" w:hAnsi="宋体" w:eastAsia="宋体" w:cs="宋体"/>
          <w:color w:val="000000"/>
          <w:sz w:val="24"/>
          <w:szCs w:val="24"/>
        </w:rPr>
        <w:outlineLvl w:val="0"/>
      </w:pPr>
      <w:r>
        <w:rPr>
          <w:rFonts w:hint="eastAsia" w:ascii="宋体" w:hAnsi="宋体" w:eastAsia="宋体" w:cs="宋体"/>
          <w:b/>
          <w:bCs/>
          <w:color w:val="000000"/>
          <w:sz w:val="24"/>
          <w:szCs w:val="24"/>
        </w:rPr>
        <w:t xml:space="preserve">三、其他要求：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1、中标单位中标后必须加强对维护人员的培训和教育，提高维护人员的个人素质，严格遵守岗位职责和保密协议。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2、中标单位应在合同签订后2日内将拟安排本项目的工作人员的档案信息、社保证明及身份证复印件交至甲方存档，甲方有义务保证上述人员的个人信息不被泄露。</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3、中标单位必须依据其行为设备维护人员应该具备的常识和专业知识，采取必要防护措施，保证文明和安全施工、检修。在维保合同期内发生安全事故，由成交方负全责，与采购方无涉。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踏勘现场：投标单位代理人可自行进行现场勘察，勘察现场所发生的费用由投标单位自己承担，投标单位中标后，不得以不完全了解现场情况或其它任何理由向招标单位提出任何追加费用的要求，对此招标单位不承担任何责任并将不作任何答复与考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5、投标单位必须承诺响应文件中提出的全部要求，如果其中某些条款不响应时，应在文件中逐条列出，未列出的视同响应。</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6、投标单位应对所投项目的全部内容进行报价，只投其中部分内容者，其响应文件将被拒绝。</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7、中标后签订合同时需提供在苏州市范围内设立固定办事处（确保任何地点需要维护时均能在1小时内到达现场）。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投标单位应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及经济赔偿。（包括律师费）</w:t>
      </w:r>
      <w:r/>
    </w:p>
    <w:p>
      <w:pPr>
        <w:ind w:right="10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9、投标人最终服务内容须达到采购文件要求，若不能达到要求，则采购单位有权在剩余未付合同金额中扣除相关损失费用（不足部分采购单位有权追偿）。</w:t>
      </w:r>
      <w:r/>
    </w:p>
    <w:p>
      <w:pPr>
        <w:pStyle w:val="894"/>
        <w:ind w:firstLine="480"/>
        <w:spacing w:line="360" w:lineRule="auto"/>
        <w:rPr>
          <w:rFonts w:ascii="宋体" w:hAnsi="宋体" w:cs="宋体"/>
          <w:color w:val="000000"/>
          <w:sz w:val="24"/>
          <w:szCs w:val="24"/>
        </w:rPr>
      </w:pPr>
      <w:r>
        <w:rPr>
          <w:rFonts w:ascii="宋体" w:hAnsi="宋体" w:cs="宋体"/>
          <w:color w:val="000000"/>
          <w:sz w:val="24"/>
          <w:szCs w:val="24"/>
        </w:rPr>
        <w:t xml:space="preserve">10、保密要求：对苏州园林景区内维保服务设施设备的网络、主机、系统软件、应用软件等的密码、核心参数、业务数据等负有保密责任，不得随意复制和传播，并签订保密协议，如违反保密义务，乙方需承担合同总额10%的违约金并赔偿损失。</w:t>
      </w:r>
      <w:r/>
    </w:p>
    <w:p>
      <w:pPr>
        <w:pStyle w:val="894"/>
        <w:ind w:firstLine="480"/>
        <w:spacing w:line="360" w:lineRule="auto"/>
        <w:rPr>
          <w:rFonts w:ascii="宋体" w:hAnsi="宋体" w:cs="宋体"/>
          <w:color w:val="000000"/>
          <w:sz w:val="24"/>
          <w:szCs w:val="24"/>
        </w:rPr>
      </w:pPr>
      <w:r>
        <w:rPr>
          <w:rFonts w:ascii="宋体" w:hAnsi="宋体" w:cs="宋体"/>
          <w:color w:val="000000"/>
          <w:sz w:val="24"/>
          <w:szCs w:val="24"/>
        </w:rPr>
        <w:t xml:space="preserve">11、投标人工作人员在活动过程中涉及的所有费用均包含在项目费用之内，采购方不再另行支付。投标人在项目进行过程中产生的任何安全、损坏等责任事故一律由投标人自行承担。如遇突发情况，投标人需协助采购单位完成需要投标人配合的服务。</w:t>
      </w:r>
      <w:r/>
    </w:p>
    <w:p>
      <w:pPr>
        <w:pStyle w:val="894"/>
        <w:ind w:firstLine="480"/>
        <w:spacing w:line="360" w:lineRule="auto"/>
        <w:rPr>
          <w:rFonts w:ascii="宋体" w:hAnsi="宋体" w:cs="宋体"/>
          <w:color w:val="000000"/>
          <w:sz w:val="24"/>
          <w:szCs w:val="24"/>
        </w:rPr>
      </w:pPr>
      <w:r>
        <w:rPr>
          <w:rFonts w:ascii="宋体" w:hAnsi="宋体" w:cs="宋体"/>
          <w:color w:val="000000"/>
          <w:sz w:val="24"/>
          <w:szCs w:val="24"/>
        </w:rPr>
        <w:t xml:space="preserve">12、投标人提供的响应文件必须如实对本项目的采购文件进行实质性响应，如有量化指标必须列明具体数值，同时投标人必须根据提供的服务，明确其必须说明的相关情况。投标人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22"/>
        <w:jc w:val="center"/>
        <w:spacing w:line="360" w:lineRule="auto"/>
        <w:rPr>
          <w:rFonts w:ascii="Calibri" w:hAnsi="Calibri" w:eastAsia="宋体"/>
          <w:sz w:val="32"/>
          <w:szCs w:val="32"/>
        </w:rPr>
      </w:pPr>
      <w:r>
        <w:rPr>
          <w:rFonts w:ascii="宋体" w:hAnsi="宋体" w:eastAsia="宋体" w:cs="宋体"/>
          <w:b/>
          <w:bCs/>
          <w:szCs w:val="21"/>
        </w:rPr>
        <w:br w:type="page" w:clear="all"/>
      </w:r>
      <w:r>
        <w:rPr>
          <w:rFonts w:ascii="宋体" w:hAnsi="宋体" w:eastAsia="宋体"/>
          <w:b/>
          <w:bCs/>
          <w:color w:val="000000"/>
          <w:sz w:val="32"/>
          <w:szCs w:val="32"/>
        </w:rPr>
        <w:t xml:space="preserve">第</w:t>
      </w:r>
      <w:r>
        <w:rPr>
          <w:rFonts w:hint="eastAsia" w:ascii="宋体" w:hAnsi="宋体" w:eastAsia="宋体"/>
          <w:b/>
          <w:bCs/>
          <w:color w:val="000000"/>
          <w:sz w:val="32"/>
          <w:szCs w:val="32"/>
        </w:rPr>
        <w:t xml:space="preserve">五</w:t>
      </w:r>
      <w:r>
        <w:rPr>
          <w:rFonts w:ascii="宋体" w:hAnsi="宋体" w:eastAsia="宋体"/>
          <w:b/>
          <w:bCs/>
          <w:color w:val="000000"/>
          <w:sz w:val="32"/>
          <w:szCs w:val="32"/>
        </w:rPr>
        <w:t xml:space="preserve">章</w:t>
      </w:r>
      <w:r>
        <w:rPr>
          <w:rFonts w:hint="eastAsia" w:ascii="宋体" w:hAnsi="宋体" w:eastAsia="宋体"/>
          <w:b/>
          <w:bCs/>
          <w:color w:val="000000"/>
          <w:sz w:val="32"/>
          <w:szCs w:val="32"/>
        </w:rPr>
        <w:t xml:space="preserve">合同主要文本</w:t>
      </w:r>
      <w:bookmarkEnd w:id="12"/>
      <w:r/>
      <w:bookmarkEnd w:id="1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依据甲方委托</w:t>
      </w:r>
      <w:r>
        <w:rPr>
          <w:rFonts w:hint="eastAsia" w:ascii="宋体" w:hAnsi="宋体" w:eastAsia="宋体" w:cs="宋体"/>
          <w:sz w:val="24"/>
          <w:szCs w:val="24"/>
          <w:u w:val="single"/>
        </w:rPr>
        <w:t xml:space="preserve">苏州市永诚建设咨询有限公司</w:t>
      </w:r>
      <w:r>
        <w:rPr>
          <w:rFonts w:hint="eastAsia" w:ascii="宋体" w:hAnsi="宋体" w:eastAsia="宋体" w:cs="宋体"/>
          <w:sz w:val="24"/>
          <w:szCs w:val="24"/>
        </w:rPr>
        <w:t xml:space="preserve">进行本项目政府采购</w:t>
      </w:r>
      <w:r>
        <w:rPr>
          <w:rFonts w:hint="eastAsia" w:ascii="宋体" w:hAnsi="宋体" w:eastAsia="宋体" w:cs="宋体"/>
          <w:sz w:val="24"/>
          <w:szCs w:val="24"/>
          <w:u w:val="single"/>
        </w:rPr>
        <w:t xml:space="preserve">（项目名称、项目编号、标段号）</w:t>
      </w:r>
      <w:r>
        <w:rPr>
          <w:rFonts w:hint="eastAsia" w:ascii="宋体" w:hAnsi="宋体" w:eastAsia="宋体" w:cs="宋体"/>
          <w:sz w:val="24"/>
          <w:szCs w:val="24"/>
        </w:rPr>
        <w:t xml:space="preserve">的采购结果，确定乙方为本次中标供应商，现依照招标文件、乙方的投标文件及相关文件的内容，签订本合同书。</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一、合同标的物和合同价格组成：</w:t>
      </w:r>
      <w:r/>
    </w:p>
    <w:p>
      <w:pPr>
        <w:pStyle w:val="884"/>
        <w:ind w:left="0" w:firstLine="480"/>
        <w:spacing w:line="360" w:lineRule="auto"/>
        <w:tabs>
          <w:tab w:val="left" w:pos="7560" w:leader="none"/>
        </w:tabs>
        <w:rPr>
          <w:rFonts w:hint="eastAsia" w:ascii="宋体" w:hAnsi="宋体" w:eastAsia="宋体" w:cs="宋体"/>
          <w:sz w:val="24"/>
          <w:szCs w:val="24"/>
        </w:rPr>
      </w:pPr>
      <w:r>
        <w:rPr>
          <w:rFonts w:hint="eastAsia" w:ascii="宋体" w:hAnsi="宋体" w:eastAsia="宋体" w:cs="宋体"/>
          <w:sz w:val="24"/>
          <w:szCs w:val="24"/>
        </w:rPr>
        <w:t xml:space="preserve">1、采购的服务内容概述：</w:t>
      </w:r>
      <w:r>
        <w:rPr>
          <w:rFonts w:hint="eastAsia" w:ascii="宋体" w:hAnsi="宋体" w:eastAsia="宋体" w:cs="宋体"/>
          <w:bCs/>
          <w:sz w:val="24"/>
          <w:szCs w:val="24"/>
        </w:rPr>
        <w:t xml:space="preserve">详见招标文件要求。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2、服务期限：</w:t>
      </w:r>
      <w:r>
        <w:rPr>
          <w:rFonts w:hint="eastAsia" w:ascii="宋体" w:hAnsi="宋体" w:eastAsia="宋体" w:cs="宋体"/>
          <w:bCs/>
          <w:sz w:val="24"/>
          <w:szCs w:val="24"/>
        </w:rPr>
        <w:t xml:space="preserve">详见招标文件要求。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3、合同价款的组成：合同价款包含甲方应付乙方的全部款项。</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二、下列文件为本合同不可分割部分，</w:t>
      </w:r>
      <w:r>
        <w:rPr>
          <w:rFonts w:hint="eastAsia" w:ascii="宋体" w:hAnsi="宋体" w:eastAsia="宋体" w:cs="宋体"/>
          <w:sz w:val="24"/>
          <w:szCs w:val="24"/>
        </w:rPr>
        <w:t xml:space="preserve">如果合同文件存在歧义或不一致，则根据如下优先次序判断：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1、中标通知书。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2、乙方中标的投标（响应）文件。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4、乙方在招投标过程中所作的其它承诺、声明、书面澄清等。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以上与本合同具有同等法律效力，如上述文件与本合同内容存在冲突的，双方认可按照本合同约定内容执行。</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三、合同价格支付：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1、合同价格：大写人民币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合同总价款包括在服务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2、付款步骤：</w:t>
      </w:r>
      <w:r/>
    </w:p>
    <w:p>
      <w:pPr>
        <w:ind w:firstLine="420"/>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rPr>
        <w:t xml:space="preserve">自签订合同后，由乙方开具正规发票，甲方支付成交金额的30%作为预付款；至</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月底</w:t>
      </w:r>
      <w:r>
        <w:rPr>
          <w:rFonts w:hint="eastAsia" w:ascii="宋体" w:hAnsi="宋体" w:eastAsia="宋体" w:cs="宋体"/>
          <w:sz w:val="24"/>
          <w:szCs w:val="24"/>
          <w:highlight w:val="none"/>
        </w:rPr>
        <w:t xml:space="preserve">前，由乙方出具正规发票，甲方自收到发票十五日内，向乙方最高支付至合同金额的</w:t>
      </w:r>
      <w:r>
        <w:rPr>
          <w:rFonts w:hint="eastAsia" w:ascii="宋体" w:hAnsi="宋体" w:eastAsia="宋体" w:cs="宋体"/>
          <w:sz w:val="24"/>
          <w:szCs w:val="24"/>
          <w:highlight w:val="none"/>
          <w:lang w:val="en-US" w:eastAsia="zh-CN"/>
        </w:rPr>
        <w:t xml:space="preserve">75</w:t>
      </w:r>
      <w:r>
        <w:rPr>
          <w:rFonts w:hint="eastAsia" w:ascii="宋体" w:hAnsi="宋体" w:eastAsia="宋体" w:cs="宋体"/>
          <w:sz w:val="24"/>
          <w:szCs w:val="24"/>
          <w:highlight w:val="none"/>
        </w:rPr>
        <w:t xml:space="preserve">%（具体金额根据当年度财政下达预算）；</w:t>
      </w:r>
      <w:r>
        <w:rPr>
          <w:rFonts w:hint="eastAsia" w:ascii="宋体" w:hAnsi="宋体" w:eastAsia="宋体" w:cs="宋体"/>
          <w:sz w:val="24"/>
          <w:szCs w:val="24"/>
        </w:rPr>
        <w:t xml:space="preserve">合同期满后，甲方验收合格后，由第三方审计机构出具审计报告及审计金额，由乙方出具正规发票，甲方自收到发票十五日内，向乙方支付合同剩余款项。</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（2）在签订合同时，乙方明确表示无需预付款或者主动要求降低预付款比例的，甲方可不适用上述关于预付款的规定。</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（3）根据国家现行税法对甲方征收的与本合同有关的税费均由甲方承担；根据国家现行税法对乙方征收的与本合同有关的一切税费均由乙方承担。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（4）账户信息</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乙方开户名称：</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银行账号：</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四、履约保证金：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本项目无履约保证金。</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五、甲、乙双方的责任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1.甲方责任：</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1.1依本合同约定按期支付合同款项；</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1.2依本合同约定及时组织验收；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1.3协助乙方进行项目的相关协调工作及约定期限内提供相关资料以利于开展项目。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乙方负责完成本次采购要求的全部服务工作，乙方应按采购文件以及合同约定的技术规范、标准进行实施，并保证按期、保质保量完成项目的实施工作，对提交的项目质量负责。</w:t>
      </w:r>
      <w:r/>
    </w:p>
    <w:p>
      <w:pPr>
        <w:ind w:firstLine="422"/>
        <w:spacing w:line="360" w:lineRule="auto"/>
        <w:rPr>
          <w:rFonts w:hint="eastAsia" w:ascii="宋体" w:hAnsi="宋体" w:eastAsia="宋体" w:cs="宋体"/>
          <w:b/>
          <w:sz w:val="24"/>
          <w:szCs w:val="24"/>
        </w:rPr>
      </w:pPr>
      <w:r>
        <w:rPr>
          <w:rFonts w:hint="eastAsia" w:ascii="宋体" w:hAnsi="宋体" w:eastAsia="宋体" w:cs="宋体"/>
          <w:b/>
          <w:color w:val="000000"/>
          <w:sz w:val="24"/>
          <w:szCs w:val="24"/>
        </w:rPr>
        <w:t xml:space="preserve">六、违约责任</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1.甲方违约责任：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1.1在合同生效后，甲方无故要求解除合同的，应向乙方偿付合同总价款5%的违约金，违约金不足以补偿损失的，乙方有权要求甲方补足。</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1.2甲方逾期付款的应按照逾期付款金额的每天万分之四支付逾期付款违约金，总额不超总价款的5%。</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2.乙方的违约责任：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2.2乙方未按合同规定的质量要求提供服务，不能完成合同时，</w:t>
      </w:r>
      <w:r>
        <w:rPr>
          <w:rFonts w:hint="eastAsia" w:ascii="宋体" w:hAnsi="宋体" w:eastAsia="宋体" w:cs="宋体"/>
          <w:sz w:val="24"/>
          <w:szCs w:val="24"/>
        </w:rPr>
        <w:t xml:space="preserve">甲方有权解除合同，乙方向甲方偿付合同总价款5%的违约金，违约金不足以补偿损失的甲方有权要求乙方补足。</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2.4乙方负有对自己员工的安全责任，甲方不承担任何相关责任。</w:t>
      </w:r>
      <w:r/>
    </w:p>
    <w:p>
      <w:pPr>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七、不可抗力</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八、争端的解决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2.如果调解不成，双方中的任何一方可向甲方所在地人民法院提起诉讼。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3.诉讼费由败诉方负担。</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4.因合同部分履行引发诉讼的，在诉讼期间，除正在进行诉讼的部分外，本合同的其它部分应继续执行。</w:t>
      </w:r>
      <w:r/>
    </w:p>
    <w:p>
      <w:pPr>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九、违约终止合同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如果乙方未能在合同规定的限期或甲方同意延长的限期内提供部分或全部服务。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如果乙方未能履行合同规定的其它任何义务。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3.如果甲方违约，应承担相应的违约责任。 </w:t>
      </w:r>
      <w:r/>
    </w:p>
    <w:p>
      <w:pPr>
        <w:ind w:firstLine="42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十、破产终止合同：</w:t>
      </w:r>
      <w:r>
        <w:rPr>
          <w:rFonts w:hint="eastAsia" w:ascii="宋体" w:hAnsi="宋体" w:eastAsia="宋体" w:cs="宋体"/>
          <w:color w:val="000000"/>
          <w:sz w:val="24"/>
          <w:szCs w:val="24"/>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十一、政府采购法对政府采购合同变更终止的规定：</w:t>
      </w:r>
      <w:r>
        <w:rPr>
          <w:rFonts w:hint="eastAsia" w:ascii="宋体" w:hAnsi="宋体" w:eastAsia="宋体" w:cs="宋体"/>
          <w:color w:val="000000"/>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十二、需要补充的合同条款：</w:t>
      </w:r>
      <w:r>
        <w:rPr>
          <w:rFonts w:hint="eastAsia" w:ascii="宋体" w:hAnsi="宋体" w:eastAsia="宋体" w:cs="宋体"/>
          <w:color w:val="000000"/>
          <w:sz w:val="24"/>
          <w:szCs w:val="24"/>
        </w:rPr>
        <w:t xml:space="preserve">（根据评审过程中或者商务谈判时商定的条款和条件在订立合同时标明）。</w:t>
      </w:r>
      <w:r/>
    </w:p>
    <w:p>
      <w:pPr>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十三、合同生效</w:t>
      </w:r>
      <w:r/>
    </w:p>
    <w:p>
      <w:pPr>
        <w:ind w:firstLine="4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1.双方签约人为各自法定代表人或被授权代表。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2.本合同系指本文件及其附件中的所有部分，招标文件、成交单位的响应文件、成交通知书、成交单位在采购过程中的澄清和承诺等为本合同不可缺少的组成部分。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3.本合同自甲乙双方签字盖章之日起生效。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4.本合同壹式</w:t>
      </w:r>
      <w:r>
        <w:rPr>
          <w:rFonts w:hint="eastAsia" w:ascii="宋体" w:hAnsi="宋体" w:eastAsia="宋体" w:cs="宋体"/>
          <w:b/>
          <w:sz w:val="24"/>
          <w:szCs w:val="24"/>
        </w:rPr>
        <w:t xml:space="preserve">伍</w:t>
      </w:r>
      <w:r>
        <w:rPr>
          <w:rFonts w:hint="eastAsia" w:ascii="宋体" w:hAnsi="宋体" w:eastAsia="宋体" w:cs="宋体"/>
          <w:sz w:val="24"/>
          <w:szCs w:val="24"/>
        </w:rPr>
        <w:t xml:space="preserve">份，甲乙双方各执</w:t>
      </w:r>
      <w:r>
        <w:rPr>
          <w:rFonts w:hint="eastAsia" w:ascii="宋体" w:hAnsi="宋体" w:eastAsia="宋体" w:cs="宋体"/>
          <w:b/>
          <w:sz w:val="24"/>
          <w:szCs w:val="24"/>
        </w:rPr>
        <w:t xml:space="preserve">贰</w:t>
      </w:r>
      <w:r>
        <w:rPr>
          <w:rFonts w:hint="eastAsia" w:ascii="宋体" w:hAnsi="宋体" w:eastAsia="宋体" w:cs="宋体"/>
          <w:sz w:val="24"/>
          <w:szCs w:val="24"/>
        </w:rPr>
        <w:t xml:space="preserve">份，代理机构</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份。各份具有同等法律效力。</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5.本合同应按照中华人民共和国的现行法律进行解释。</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6.合同修改：除甲乙双方签署书面修改、补充协议，并成为本合同不可分割的一部分之外，本合同条件不得有任何变化或修改。 </w:t>
      </w:r>
      <w:r/>
    </w:p>
    <w:p>
      <w:pPr>
        <w:pStyle w:val="895"/>
        <w:ind w:firstLine="480"/>
        <w:rPr>
          <w:rFonts w:hint="eastAsia" w:ascii="宋体" w:hAnsi="宋体" w:cs="宋体"/>
          <w:sz w:val="24"/>
        </w:rPr>
      </w:pPr>
      <w:r>
        <w:rPr>
          <w:rFonts w:hint="eastAsia" w:ascii="宋体" w:hAnsi="宋体" w:cs="宋体"/>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甲方（公章）：                                 乙方（公章）：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             法定代表人或授权代表（签字或盖章）：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签约日期：                                     签约日期：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合同签定地：</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b/>
          <w:bCs/>
          <w:color w:val="000000"/>
          <w:spacing w:val="20"/>
          <w:sz w:val="28"/>
          <w:szCs w:val="28"/>
        </w:rPr>
      </w:pPr>
      <w:r>
        <w:rPr>
          <w:rFonts w:hint="eastAsia" w:ascii="宋体" w:hAnsi="宋体" w:eastAsia="宋体"/>
          <w:b/>
          <w:bCs/>
          <w:color w:val="000000"/>
          <w:spacing w:val="20"/>
          <w:sz w:val="28"/>
          <w:szCs w:val="28"/>
        </w:rPr>
        <w:br w:type="page" w:clear="all"/>
      </w:r>
      <w:r/>
    </w:p>
    <w:p>
      <w:pPr>
        <w:jc w:val="center"/>
        <w:spacing w:line="360" w:lineRule="auto"/>
        <w:rPr>
          <w:rFonts w:hint="eastAsia" w:ascii="宋体" w:hAnsi="宋体" w:eastAsia="宋体" w:cs="宋体"/>
          <w:color w:val="000000"/>
          <w:szCs w:val="21"/>
        </w:rPr>
      </w:pPr>
      <w:r>
        <w:rPr>
          <w:rFonts w:hint="eastAsia" w:ascii="宋体" w:hAnsi="宋体" w:eastAsia="宋体"/>
          <w:b/>
          <w:bCs/>
          <w:color w:val="000000"/>
          <w:spacing w:val="20"/>
          <w:sz w:val="28"/>
          <w:szCs w:val="28"/>
        </w:rPr>
        <w:t xml:space="preserve">第六章评标办法及评分标准</w:t>
      </w:r>
      <w:bookmarkEnd w:id="14"/>
      <w:r/>
      <w:bookmarkEnd w:id="15"/>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一、评标办法</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3、对评委的评分（除价格分外）进行统计汇总，计算出每个投标人的得分，加上价格得分即为每个投标人的综合得分。</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4、如出现评标总得分最高的投标人有两个或两个以上的，以投标报价较低者优先作为该标段中标候选人，如果投标报价也相同的，则由采购方组织以抽签方式确定中标候选人。</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5、针对小微型企业的评审：</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5.1、根据财政部、工业和信息化部关于印发《政府采购促进中小企业发展管理办法》的通知规定：</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（1）</w:t>
      </w:r>
      <w:r>
        <w:rPr>
          <w:rFonts w:hint="eastAsia" w:ascii="宋体" w:hAnsi="宋体" w:eastAsia="宋体"/>
          <w:b/>
          <w:color w:val="000000"/>
          <w:sz w:val="24"/>
          <w:szCs w:val="24"/>
        </w:rPr>
        <w:t xml:space="preserve">本项目属于专门面向中小企业采购。</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（3）本项目采购标的对应的中小企业划分标准所属行业为：</w:t>
      </w:r>
      <w:r>
        <w:rPr>
          <w:rFonts w:hint="eastAsia" w:ascii="宋体" w:hAnsi="宋体" w:eastAsia="宋体" w:cs="宋体"/>
          <w:b/>
          <w:color w:val="000000"/>
          <w:sz w:val="24"/>
          <w:szCs w:val="24"/>
        </w:rPr>
        <w:t xml:space="preserve">软件和信息技术服务业</w:t>
      </w:r>
      <w:r>
        <w:rPr>
          <w:rFonts w:hint="eastAsia" w:ascii="宋体" w:hAnsi="宋体" w:eastAsia="宋体"/>
          <w:b/>
          <w:bCs/>
          <w:color w:val="000000"/>
          <w:sz w:val="24"/>
          <w:szCs w:val="24"/>
        </w:rPr>
        <w:t xml:space="preserve">。</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（4）中小企业参加政府采购活动，应当出具《政府采购促进中小企业发展管理办法》附件规定《中小企业声明函》，否则不得享受相关中小企业扶持政策。</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（6）若供应商提供的《中小企业声明函》为虚假声明则视同提供虚假材料，按政府采购相关规定处理并报请政府监管部门给予行政处罚。</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5.2、残疾人福利性单位</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5.3、监狱企业</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6、信用查询：凡经评审小组确认不符合政府采购相关法律法规规定的，将拒绝其参与政府采购活动。</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 6.1、查询时间：投标文件递交截止时间。 </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6.2、查询渠道：采购代理机构会在接收投标文件截止时间后，登录信用中国网站（www.creditchina.gov.cn）和中国政府采购网（www.ccgp.gov.cn/）查询供应商的信用记录，并将查询结果递交评标委员会。</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6.3、查询证据留存方式：</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6.4、信用记录使用规则：</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评审小组在对供应商进行资格性审查时，根据查询结果对供应商的不良信用记录逐项甄别确认。凡经评审小组确认不符合政府采购相关法律法规规定的，将拒绝其参与政府采购活动。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二、评分标准：</w:t>
      </w:r>
      <w:r/>
    </w:p>
    <w:p>
      <w:pPr>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（一）价格：（25分）</w:t>
      </w:r>
      <w:r>
        <w:rPr>
          <w:rFonts w:hint="eastAsia" w:ascii="宋体" w:hAnsi="宋体" w:eastAsia="宋体" w:cs="宋体"/>
          <w:b/>
          <w:bCs/>
          <w:color w:val="000000"/>
          <w:sz w:val="24"/>
          <w:szCs w:val="24"/>
        </w:rPr>
        <w:tab/>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1.价格分采用低价优先法计算，即满足招标文件要求且投标价格最低的投标报价为评标基准价，其价格分为满分。其他投标人的价格分统一按照下列公式计算：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投标报价得分=（评标基准价/投标报价）*价格权值*100（本次招标价格权值为25%），小数点后四舍五入保留两位小数。</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（二）服务方案比较：（60分）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1.针对本项目理解程度比较：包括但不限于对苏园旅游网站、票务管控平台、</w:t>
      </w:r>
      <w:r>
        <w:rPr>
          <w:rFonts w:ascii="宋体" w:hAnsi="宋体" w:eastAsia="宋体" w:cs="宋体"/>
          <w:sz w:val="24"/>
          <w:szCs w:val="24"/>
        </w:rPr>
        <w:t xml:space="preserve">客流量监测系统</w:t>
      </w:r>
      <w:r>
        <w:rPr>
          <w:rFonts w:hint="eastAsia" w:ascii="宋体" w:hAnsi="宋体" w:eastAsia="宋体" w:cs="宋体"/>
          <w:sz w:val="24"/>
          <w:szCs w:val="24"/>
        </w:rPr>
        <w:t xml:space="preserve">等项目涉及的软硬件环境的整体理解及运维服务范围的理解、用户现状及平台使用需求的理解、对项目保障需求分析的透彻程度等。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上述每项应逐条叙述，内容完整，条理清晰的得10分；内容较为完整，条理较为清晰的得6分；内容基本完整，条理不太清晰的得2分；未提供的不得分。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日常维护保障方案比较：包括但不限于维护团队组建、问题管理、定期维护计划、安全性管理、定期备份和恢复、变更管理、用户支持和培训、检测和性能优化、服务级别协议、持续改进、文档和知识管理、沟通和协调的全面性、完善性、针对性及可行性进行综合评价打分，上述每项应逐条叙述，功能完善，针对性强，成熟可行性高得10分；综合评定功能较完善，针对性较强，基本可行得6分；综合评定功能不完善，针对性弱，可行性较差得2分；未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故障应急解决方案比较：包括事前准备、紧急响应、故障诊断和排除、临时解决方案、沟通和协调、故障修复和恢复、事后总结和改进等的全面性、完善性、针对性及可行性进行综合评价打分，上述每项应逐条叙述，内容完善，针对性强，成熟可行性高得10分；综合评定功能较完善，针对性较强，基本可行得6分；综合评定功能不完善，针对性弱，可行性较差得2分；未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4.服务团队配备比较：投标单位针对本项目服务团队配备要求响应情况，结合本项目类型和特征说明维护人员的(1)工作内容、(2)职责、(3)分工、(4)投入计划、(5)团队培训等介绍方案。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上述每项应逐条叙述，内容完整，条理清晰的得10分；内容基本完整，条理较为清晰的得6分；内容基本完整，条理不太清晰的得2分；未提供的不得分。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5.对采购文件提出的系统安全与网络安全管理方案方案比较：包括但不限于日常巡检、漏洞管理、数据统计、分析及安全、终端安全等。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上述每项应逐条叙述，内容完整，条理清晰的得10分；内容较为完整，条理较为清晰的得6分；内容基本完整，条理不太清晰的得2分；未提供的不得分。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6.项目管理制度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投标单位具体的内部管理制度、服务响应措施（含远程与现场支持、节假日及重大活动保障等）、安全和文明服务措施方案，综合评定。描述详细、完善可行、科学合理、流程规范的得10分；描述比较详细、可行性较好、合理性较好、流程规范性较好的得6分；描述笼统、可行性一般、合理性一般、流程规范程度一般的得2分；未提供不得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（三）投标单位综合实力（5分）</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1.响应单位具有客流系统平台相关的软件著作证书的，每提供一份证书得3分，最高为3分；</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（注：响应文件中提供上述证书的复印件或网上发文完整截图并加盖单位公章，未提供相关证明材料不得分。）</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2.响应单位承诺中标后有具备人脸识别系统对接能力的得2分；</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（注：响应文件中需提供相关协议或承诺书并加盖单位公章，不提供相关证明不得分。）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）团队能力比较（5分）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1.项目总负责人（3分）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具有计算机相关专业本科及以上学历且从事相关维护类工作不少于5年的得3分，最高得3分。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（注：响应文件中需提供人员毕业证书复印件及投标单位为该员工缴纳至少最近</w:t>
      </w:r>
      <w:r>
        <w:rPr>
          <w:rFonts w:hint="eastAsia" w:ascii="宋体" w:hAnsi="宋体" w:eastAsia="宋体" w:cs="宋体"/>
          <w:sz w:val="24"/>
          <w:szCs w:val="24"/>
          <w:highlight w:val="none"/>
        </w:rPr>
        <w:t xml:space="preserve">一期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截止开标日期当月或者上个月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的社保证明复印件并加盖单位公章，未提供或提供不全相关证明不得分）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2.其他项目人员（不含项目总负责人）（2分）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投标单位每提供1名计算机相关专业大专及以上学历的且从事相关维护类工作不少于3年的得1分，最高2分。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（注：响应文件中需提供人员毕业证书复印件及投标单位为该员工缴纳至少最近一期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截止开标日期当月或者上个月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的社保证明复印件并加盖单位公章，未提供或提供不全相关证明不得分）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（四）履约能力比较（5分）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2023年1月1日起至今（以合同签订之日起为准）投标单位具有类似维护服务项目业绩，每提供一个得1分，最高得5分。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（注：响应文件中需提供合同复印件及服务期内任意一期的销售发票复印件，不提供或提供不全不得分。）</w:t>
      </w:r>
      <w:r/>
    </w:p>
    <w:p>
      <w:pPr>
        <w:ind w:firstLine="482"/>
        <w:jc w:val="left"/>
        <w:spacing w:line="360" w:lineRule="auto"/>
        <w:rPr>
          <w:rFonts w:hint="eastAsia" w:ascii="宋体" w:hAnsi="宋体" w:eastAsia="宋体" w:cs="宋体"/>
          <w:b/>
          <w:bCs/>
          <w:sz w:val="24"/>
          <w:szCs w:val="24"/>
          <w:lang w:val="zh-CN" w:bidi="zh-CN"/>
        </w:rPr>
      </w:pPr>
      <w:r>
        <w:rPr>
          <w:rFonts w:hint="eastAsia" w:ascii="宋体" w:hAnsi="宋体" w:eastAsia="宋体" w:cs="宋体"/>
          <w:b/>
          <w:bCs/>
          <w:sz w:val="24"/>
          <w:szCs w:val="24"/>
          <w:lang w:val="zh-CN" w:bidi="zh-CN"/>
        </w:rPr>
        <w:t xml:space="preserve">注：针对评分标准中评分的每一条，投标人在投标文件中均应提供相关资料并作出相应说明供评委评判，不提供相关资料的视为不具备该项得分的条件。</w:t>
      </w:r>
      <w:r/>
    </w:p>
    <w:p>
      <w:pPr>
        <w:ind w:right="105"/>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（全文完）</w:t>
      </w:r>
      <w:r/>
    </w:p>
    <w:sectPr>
      <w:headerReference w:type="defaul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5400"/>
      <w:rPr>
        <w:b/>
        <w:bCs/>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rPr>
                              <w:rStyle w:val="897"/>
                            </w:rPr>
                          </w:pPr>
                          <w:r>
                            <w:rPr>
                              <w:rStyle w:val="897"/>
                            </w:rPr>
                            <w:fldChar w:fldCharType="begin"/>
                          </w:r>
                          <w:r>
                            <w:rPr>
                              <w:rStyle w:val="897"/>
                            </w:rPr>
                            <w:instrText xml:space="preserve"> PAGE </w:instrText>
                          </w:r>
                          <w:r>
                            <w:rPr>
                              <w:rStyle w:val="897"/>
                            </w:rPr>
                            <w:fldChar w:fldCharType="separate"/>
                          </w:r>
                          <w:r>
                            <w:rPr>
                              <w:rStyle w:val="897"/>
                            </w:rPr>
                            <w:t xml:space="preserve">- 66 -</w:t>
                          </w:r>
                          <w:r>
                            <w:rPr>
                              <w:rStyle w:val="897"/>
                            </w:rP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0"/>
                      <w:rPr>
                        <w:rStyle w:val="897"/>
                      </w:rPr>
                    </w:pPr>
                    <w:r>
                      <w:rPr>
                        <w:rStyle w:val="897"/>
                      </w:rPr>
                      <w:fldChar w:fldCharType="begin"/>
                    </w:r>
                    <w:r>
                      <w:rPr>
                        <w:rStyle w:val="897"/>
                      </w:rPr>
                      <w:instrText xml:space="preserve"> PAGE </w:instrText>
                    </w:r>
                    <w:r>
                      <w:rPr>
                        <w:rStyle w:val="897"/>
                      </w:rPr>
                      <w:fldChar w:fldCharType="separate"/>
                    </w:r>
                    <w:r>
                      <w:rPr>
                        <w:rStyle w:val="897"/>
                      </w:rPr>
                      <w:t xml:space="preserve">- 66 -</w:t>
                    </w:r>
                    <w:r>
                      <w:rPr>
                        <w:rStyle w:val="897"/>
                      </w:rPr>
                      <w:fldChar w:fldCharType="end"/>
                    </w:r>
                    <w:r/>
                  </w:p>
                </w:txbxContent>
              </v:textbox>
            </v:shape>
          </w:pict>
        </mc:Fallback>
      </mc:AlternateContent>
    </w:r>
    <w:r/>
  </w:p>
  <w:p>
    <w:pPr>
      <w:pStyle w:val="890"/>
      <w:ind w:firstLine="3870"/>
    </w:p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120"/>
      <w:jc w:val="left"/>
    </w:pPr>
    <w:r>
      <w:rPr>
        <w:rFonts w:ascii="宋体" w:hAnsi="宋体" w:cs="宋体"/>
        <w:sz w:val="24"/>
      </w:rPr>
      <mc:AlternateContent>
        <mc:Choice Requires="wpg">
          <w:drawing>
            <wp:inline xmlns:wp="http://schemas.openxmlformats.org/drawingml/2006/wordprocessingDrawing" distT="0" distB="0" distL="0" distR="0">
              <wp:extent cx="388620" cy="408940"/>
              <wp:effectExtent l="0" t="0" r="11430" b="10160"/>
              <wp:docPr id="1" name="图片 1814939430" descr="QQ图片2015042111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814939430" descr="QQ图片20150421115336"/>
                      <pic:cNvPicPr>
                        <a:picLocks noChangeAspect="1"/>
                      </pic:cNvPicPr>
                      <pic:nvPr/>
                    </pic:nvPicPr>
                    <pic:blipFill>
                      <a:blip r:embed="rId1"/>
                      <a:stretch/>
                    </pic:blipFill>
                    <pic:spPr bwMode="auto">
                      <a:xfrm>
                        <a:off x="0" y="0"/>
                        <a:ext cx="388620" cy="408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pt;height:32.2pt;mso-wrap-distance-left:0.0pt;mso-wrap-distance-top:0.0pt;mso-wrap-distance-right:0.0pt;mso-wrap-distance-bottom:0.0pt;" stroked="f">
              <v:path textboxrect="0,0,0,0"/>
              <v:imagedata r:id="rId1" o:title=""/>
            </v:shape>
          </w:pict>
        </mc:Fallback>
      </mc:AlternateContent>
    </w:r>
    <w:r>
      <w:rPr>
        <w:rFonts w:hint="eastAsia" w:ascii="宋体" w:hAnsi="宋体" w:cs="宋体"/>
        <w:sz w:val="24"/>
      </w:rPr>
      <w:t xml:space="preserve">                                      </w:t>
    </w:r>
    <w:r/>
  </w:p>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82"/>
    <w:link w:val="880"/>
    <w:uiPriority w:val="9"/>
    <w:rPr>
      <w:rFonts w:ascii="Arial" w:hAnsi="Arial" w:eastAsia="Arial" w:cs="Arial"/>
      <w:sz w:val="40"/>
      <w:szCs w:val="40"/>
    </w:rPr>
  </w:style>
  <w:style w:type="paragraph" w:styleId="709">
    <w:name w:val="Heading 2"/>
    <w:basedOn w:val="879"/>
    <w:next w:val="879"/>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basedOn w:val="882"/>
    <w:link w:val="709"/>
    <w:uiPriority w:val="9"/>
    <w:rPr>
      <w:rFonts w:ascii="Arial" w:hAnsi="Arial" w:eastAsia="Arial" w:cs="Arial"/>
      <w:sz w:val="34"/>
    </w:rPr>
  </w:style>
  <w:style w:type="paragraph" w:styleId="711">
    <w:name w:val="Heading 3"/>
    <w:basedOn w:val="879"/>
    <w:next w:val="879"/>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basedOn w:val="882"/>
    <w:link w:val="711"/>
    <w:uiPriority w:val="9"/>
    <w:rPr>
      <w:rFonts w:ascii="Arial" w:hAnsi="Arial" w:eastAsia="Arial" w:cs="Arial"/>
      <w:sz w:val="30"/>
      <w:szCs w:val="30"/>
    </w:rPr>
  </w:style>
  <w:style w:type="character" w:styleId="713">
    <w:name w:val="Heading 4 Char"/>
    <w:basedOn w:val="882"/>
    <w:link w:val="881"/>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2"/>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2"/>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2"/>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2"/>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2"/>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2"/>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2"/>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2"/>
    <w:link w:val="891"/>
    <w:uiPriority w:val="99"/>
  </w:style>
  <w:style w:type="character" w:styleId="734">
    <w:name w:val="Footer Char"/>
    <w:basedOn w:val="882"/>
    <w:link w:val="890"/>
    <w:uiPriority w:val="99"/>
  </w:style>
  <w:style w:type="paragraph" w:styleId="735">
    <w:name w:val="Caption"/>
    <w:basedOn w:val="879"/>
    <w:next w:val="879"/>
    <w:uiPriority w:val="35"/>
    <w:semiHidden/>
    <w:unhideWhenUsed/>
    <w:qFormat/>
    <w:pPr>
      <w:spacing w:line="276" w:lineRule="auto"/>
    </w:pPr>
    <w:rPr>
      <w:b/>
      <w:bCs/>
      <w:color w:val="4f81bd" w:themeColor="accent1"/>
      <w:sz w:val="18"/>
      <w:szCs w:val="18"/>
    </w:rPr>
  </w:style>
  <w:style w:type="character" w:styleId="736">
    <w:name w:val="Caption Char"/>
    <w:basedOn w:val="735"/>
    <w:link w:val="890"/>
    <w:uiPriority w:val="99"/>
  </w:style>
  <w:style w:type="table" w:styleId="737">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79"/>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2"/>
    <w:uiPriority w:val="99"/>
    <w:unhideWhenUsed/>
    <w:rPr>
      <w:vertAlign w:val="superscript"/>
    </w:rPr>
  </w:style>
  <w:style w:type="paragraph" w:styleId="866">
    <w:name w:val="endnote text"/>
    <w:basedOn w:val="879"/>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2"/>
    <w:uiPriority w:val="99"/>
    <w:semiHidden/>
    <w:unhideWhenUsed/>
    <w:rPr>
      <w:vertAlign w:val="superscript"/>
    </w:r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uiPriority w:val="0"/>
    <w:qFormat/>
    <w:pPr>
      <w:jc w:val="both"/>
      <w:widowControl w:val="off"/>
    </w:pPr>
    <w:rPr>
      <w:rFonts w:ascii="等线" w:hAnsi="等线" w:eastAsia="等线" w:cs="Times New Roman"/>
      <w:sz w:val="21"/>
      <w:szCs w:val="22"/>
      <w:lang w:val="en-US" w:eastAsia="zh-CN" w:bidi="ar-SA"/>
    </w:rPr>
  </w:style>
  <w:style w:type="paragraph" w:styleId="880">
    <w:name w:val="Heading 1"/>
    <w:basedOn w:val="879"/>
    <w:next w:val="879"/>
    <w:uiPriority w:val="9"/>
    <w:qFormat/>
    <w:pPr>
      <w:keepLines/>
      <w:keepNext/>
      <w:spacing w:before="340" w:after="330" w:line="576" w:lineRule="auto"/>
      <w:outlineLvl w:val="0"/>
    </w:pPr>
    <w:rPr>
      <w:b/>
      <w:sz w:val="44"/>
    </w:rPr>
  </w:style>
  <w:style w:type="paragraph" w:styleId="881">
    <w:name w:val="Heading 4"/>
    <w:basedOn w:val="879"/>
    <w:next w:val="879"/>
    <w:link w:val="91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name w:val="Normal Indent"/>
    <w:basedOn w:val="879"/>
    <w:next w:val="879"/>
    <w:uiPriority w:val="0"/>
    <w:qFormat/>
    <w:pPr>
      <w:ind w:left="420" w:firstLine="4772"/>
    </w:pPr>
  </w:style>
  <w:style w:type="paragraph" w:styleId="885">
    <w:name w:val="annotation text"/>
    <w:basedOn w:val="879"/>
    <w:link w:val="898"/>
    <w:uiPriority w:val="99"/>
    <w:unhideWhenUsed/>
    <w:qFormat/>
    <w:pPr>
      <w:jc w:val="left"/>
    </w:pPr>
  </w:style>
  <w:style w:type="paragraph" w:styleId="886">
    <w:name w:val="Body Text"/>
    <w:basedOn w:val="879"/>
    <w:next w:val="884"/>
    <w:uiPriority w:val="0"/>
    <w:qFormat/>
    <w:pPr>
      <w:jc w:val="left"/>
      <w:spacing w:after="120"/>
    </w:pPr>
    <w:rPr>
      <w:rFonts w:hint="eastAsia" w:ascii="宋体" w:hAnsi="宋体" w:eastAsia="宋体"/>
      <w:sz w:val="22"/>
    </w:rPr>
  </w:style>
  <w:style w:type="paragraph" w:styleId="887">
    <w:name w:val="Body Text Indent"/>
    <w:basedOn w:val="879"/>
    <w:next w:val="879"/>
    <w:link w:val="899"/>
    <w:uiPriority w:val="0"/>
    <w:qFormat/>
    <w:pPr>
      <w:ind w:left="420"/>
      <w:spacing w:after="120"/>
    </w:pPr>
    <w:rPr>
      <w:rFonts w:ascii="Calibri" w:hAnsi="Calibri" w:eastAsia="宋体"/>
      <w:szCs w:val="24"/>
    </w:rPr>
  </w:style>
  <w:style w:type="paragraph" w:styleId="888">
    <w:name w:val="Plain Text"/>
    <w:basedOn w:val="879"/>
    <w:uiPriority w:val="0"/>
    <w:qFormat/>
    <w:rPr>
      <w:rFonts w:ascii="宋体" w:hAnsi="Courier New"/>
    </w:rPr>
  </w:style>
  <w:style w:type="paragraph" w:styleId="889">
    <w:name w:val="Balloon Text"/>
    <w:basedOn w:val="879"/>
    <w:link w:val="900"/>
    <w:uiPriority w:val="99"/>
    <w:unhideWhenUsed/>
    <w:qFormat/>
    <w:rPr>
      <w:sz w:val="18"/>
      <w:szCs w:val="18"/>
    </w:rPr>
  </w:style>
  <w:style w:type="paragraph" w:styleId="890">
    <w:name w:val="Footer"/>
    <w:basedOn w:val="879"/>
    <w:link w:val="901"/>
    <w:uiPriority w:val="99"/>
    <w:qFormat/>
    <w:pPr>
      <w:jc w:val="left"/>
      <w:tabs>
        <w:tab w:val="center" w:pos="4153" w:leader="none"/>
        <w:tab w:val="right" w:pos="8306" w:leader="none"/>
      </w:tabs>
    </w:pPr>
    <w:rPr>
      <w:rFonts w:ascii="Calibri" w:hAnsi="Calibri" w:eastAsia="宋体"/>
      <w:sz w:val="18"/>
      <w:szCs w:val="18"/>
    </w:rPr>
  </w:style>
  <w:style w:type="paragraph" w:styleId="891">
    <w:name w:val="Header"/>
    <w:basedOn w:val="879"/>
    <w:link w:val="902"/>
    <w:uiPriority w:val="99"/>
    <w:unhideWhenUsed/>
    <w:qFormat/>
    <w:pPr>
      <w:jc w:val="center"/>
      <w:tabs>
        <w:tab w:val="center" w:pos="4153" w:leader="none"/>
        <w:tab w:val="right" w:pos="8306" w:leader="none"/>
      </w:tabs>
    </w:pPr>
    <w:rPr>
      <w:rFonts w:ascii="Calibri" w:hAnsi="Calibri" w:eastAsia="宋体"/>
      <w:sz w:val="18"/>
      <w:szCs w:val="18"/>
    </w:rPr>
  </w:style>
  <w:style w:type="paragraph" w:styleId="892">
    <w:name w:val="toc 1"/>
    <w:basedOn w:val="879"/>
    <w:next w:val="879"/>
    <w:uiPriority w:val="0"/>
    <w:unhideWhenUsed/>
    <w:qFormat/>
    <w:pPr>
      <w:jc w:val="left"/>
    </w:pPr>
    <w:rPr>
      <w:rFonts w:ascii="Calibri" w:hAnsi="Calibri" w:eastAsia="楷体_GB2312"/>
      <w:sz w:val="24"/>
      <w:szCs w:val="20"/>
    </w:rPr>
  </w:style>
  <w:style w:type="paragraph" w:styleId="893">
    <w:name w:val="Normal (Web)"/>
    <w:basedOn w:val="879"/>
    <w:uiPriority w:val="99"/>
    <w:qFormat/>
    <w:pPr>
      <w:jc w:val="left"/>
      <w:spacing w:before="100" w:beforeAutospacing="1" w:after="100" w:afterAutospacing="1"/>
    </w:pPr>
    <w:rPr>
      <w:rFonts w:ascii="Calibri" w:hAnsi="Calibri"/>
      <w:sz w:val="24"/>
    </w:rPr>
  </w:style>
  <w:style w:type="paragraph" w:styleId="894">
    <w:name w:val="Body Text First Indent"/>
    <w:basedOn w:val="886"/>
    <w:uiPriority w:val="0"/>
    <w:qFormat/>
    <w:pPr>
      <w:ind w:firstLine="420"/>
    </w:pPr>
    <w:rPr>
      <w:rFonts w:ascii="Times New Roman" w:hAnsi="Times New Roman"/>
    </w:rPr>
  </w:style>
  <w:style w:type="paragraph" w:styleId="895">
    <w:name w:val="Body Text First Indent 2"/>
    <w:basedOn w:val="887"/>
    <w:uiPriority w:val="99"/>
    <w:unhideWhenUsed/>
    <w:qFormat/>
    <w:pPr>
      <w:ind w:firstLine="420"/>
    </w:pPr>
  </w:style>
  <w:style w:type="table" w:styleId="896">
    <w:name w:val="Table Grid"/>
    <w:basedOn w:val="88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page number"/>
    <w:basedOn w:val="882"/>
    <w:uiPriority w:val="0"/>
    <w:qFormat/>
  </w:style>
  <w:style w:type="character" w:styleId="898" w:customStyle="1">
    <w:name w:val="批注文字 字符"/>
    <w:link w:val="885"/>
    <w:uiPriority w:val="99"/>
    <w:semiHidden/>
    <w:qFormat/>
    <w:rPr>
      <w:sz w:val="21"/>
      <w:szCs w:val="22"/>
    </w:rPr>
  </w:style>
  <w:style w:type="character" w:styleId="899" w:customStyle="1">
    <w:name w:val="正文文本缩进 字符"/>
    <w:link w:val="887"/>
    <w:uiPriority w:val="0"/>
    <w:qFormat/>
    <w:rPr>
      <w:rFonts w:ascii="Calibri" w:hAnsi="Calibri" w:eastAsia="宋体"/>
      <w:sz w:val="21"/>
      <w:szCs w:val="24"/>
    </w:rPr>
  </w:style>
  <w:style w:type="character" w:styleId="900" w:customStyle="1">
    <w:name w:val="批注框文本 字符"/>
    <w:link w:val="889"/>
    <w:uiPriority w:val="99"/>
    <w:semiHidden/>
    <w:qFormat/>
    <w:rPr>
      <w:sz w:val="18"/>
      <w:szCs w:val="18"/>
    </w:rPr>
  </w:style>
  <w:style w:type="character" w:styleId="901" w:customStyle="1">
    <w:name w:val="页脚 字符"/>
    <w:link w:val="890"/>
    <w:uiPriority w:val="99"/>
    <w:qFormat/>
    <w:rPr>
      <w:rFonts w:ascii="Calibri" w:hAnsi="Calibri" w:eastAsia="宋体"/>
      <w:sz w:val="18"/>
      <w:szCs w:val="18"/>
    </w:rPr>
  </w:style>
  <w:style w:type="character" w:styleId="902" w:customStyle="1">
    <w:name w:val="页眉 字符"/>
    <w:link w:val="891"/>
    <w:uiPriority w:val="99"/>
    <w:qFormat/>
    <w:rPr>
      <w:rFonts w:ascii="Calibri" w:hAnsi="Calibri" w:eastAsia="宋体"/>
      <w:sz w:val="18"/>
      <w:szCs w:val="18"/>
    </w:rPr>
  </w:style>
  <w:style w:type="paragraph" w:styleId="903" w:customStyle="1">
    <w:name w:val="_Style 22"/>
    <w:uiPriority w:val="99"/>
    <w:semiHidden/>
    <w:qFormat/>
    <w:rPr>
      <w:rFonts w:ascii="等线" w:hAnsi="等线" w:eastAsia="等线" w:cs="Times New Roman"/>
      <w:sz w:val="21"/>
      <w:szCs w:val="22"/>
      <w:lang w:val="en-US" w:eastAsia="zh-CN" w:bidi="ar-SA"/>
    </w:rPr>
  </w:style>
  <w:style w:type="paragraph" w:styleId="904">
    <w:name w:val="List Paragraph"/>
    <w:basedOn w:val="879"/>
    <w:uiPriority w:val="99"/>
    <w:qFormat/>
    <w:pPr>
      <w:ind w:firstLine="420"/>
    </w:pPr>
    <w:rPr>
      <w:rFonts w:ascii="Calibri" w:hAnsi="Calibri" w:eastAsia="宋体"/>
      <w:szCs w:val="24"/>
    </w:rPr>
  </w:style>
  <w:style w:type="paragraph" w:styleId="905" w:customStyle="1">
    <w:name w:val="首行缩进"/>
    <w:basedOn w:val="879"/>
    <w:uiPriority w:val="0"/>
    <w:qFormat/>
    <w:pPr>
      <w:ind w:firstLine="480"/>
    </w:pPr>
    <w:rPr>
      <w:rFonts w:ascii="Times New Roman" w:hAnsi="Times New Roman"/>
      <w:lang w:val="zh-CN"/>
    </w:rPr>
  </w:style>
  <w:style w:type="paragraph" w:styleId="906" w:customStyle="1">
    <w:name w:val="段"/>
    <w:next w:val="879"/>
    <w:uiPriority w:val="0"/>
    <w:qFormat/>
    <w:pPr>
      <w:ind w:firstLine="200"/>
      <w:jc w:val="both"/>
    </w:pPr>
    <w:rPr>
      <w:rFonts w:ascii="宋体" w:hAnsi="Times New Roman" w:eastAsia="Times New Roman" w:cs="Times New Roman"/>
      <w:sz w:val="21"/>
      <w:lang w:val="en-US" w:eastAsia="zh-CN" w:bidi="ar-SA"/>
    </w:rPr>
  </w:style>
  <w:style w:type="paragraph" w:styleId="907" w:customStyle="1">
    <w:name w:val="纯文本1"/>
    <w:basedOn w:val="879"/>
    <w:uiPriority w:val="0"/>
    <w:qFormat/>
    <w:rPr>
      <w:rFonts w:ascii="宋体" w:hAnsi="Courier New"/>
    </w:rPr>
  </w:style>
  <w:style w:type="paragraph" w:styleId="908" w:customStyle="1">
    <w:name w:val="纯文本4"/>
    <w:basedOn w:val="879"/>
    <w:uiPriority w:val="0"/>
    <w:qFormat/>
    <w:rPr>
      <w:rFonts w:ascii="宋体" w:hAnsi="Courier New"/>
    </w:rPr>
  </w:style>
  <w:style w:type="paragraph" w:styleId="909" w:customStyle="1">
    <w:name w:val="UserStyle_62"/>
    <w:basedOn w:val="879"/>
    <w:uiPriority w:val="0"/>
    <w:qFormat/>
    <w:pPr>
      <w:widowControl/>
    </w:pPr>
    <w:rPr>
      <w:rFonts w:ascii="宋体" w:hAnsi="Courier New"/>
    </w:rPr>
  </w:style>
  <w:style w:type="character" w:styleId="910" w:customStyle="1">
    <w:name w:val="NormalCharacter"/>
    <w:uiPriority w:val="0"/>
    <w:semiHidden/>
    <w:qFormat/>
  </w:style>
  <w:style w:type="paragraph" w:styleId="911" w:customStyle="1">
    <w:name w:val="纯文本5"/>
    <w:basedOn w:val="879"/>
    <w:uiPriority w:val="0"/>
    <w:qFormat/>
    <w:rPr>
      <w:rFonts w:ascii="宋体" w:hAnsi="Courier New"/>
    </w:rPr>
  </w:style>
  <w:style w:type="paragraph" w:styleId="912" w:customStyle="1">
    <w:name w:val="纯文本6"/>
    <w:basedOn w:val="879"/>
    <w:uiPriority w:val="0"/>
    <w:qFormat/>
    <w:rPr>
      <w:rFonts w:ascii="宋体" w:hAnsi="Courier New"/>
    </w:rPr>
  </w:style>
  <w:style w:type="paragraph" w:styleId="913" w:customStyle="1">
    <w:name w:val="纯文本2"/>
    <w:basedOn w:val="879"/>
    <w:uiPriority w:val="0"/>
    <w:qFormat/>
    <w:rPr>
      <w:rFonts w:ascii="宋体" w:hAnsi="Courier New"/>
    </w:rPr>
  </w:style>
  <w:style w:type="paragraph" w:styleId="914" w:customStyle="1">
    <w:name w:val="Plain Text1"/>
    <w:basedOn w:val="879"/>
    <w:uiPriority w:val="0"/>
    <w:qFormat/>
    <w:rPr>
      <w:rFonts w:hint="eastAsia" w:ascii="宋体" w:hAnsi="Courier New" w:eastAsia="楷体_GB2312"/>
      <w:sz w:val="28"/>
      <w:szCs w:val="20"/>
    </w:rPr>
  </w:style>
  <w:style w:type="paragraph" w:styleId="915" w:customStyle="1">
    <w:name w:val="BodyText1I2"/>
    <w:next w:val="879"/>
    <w:uiPriority w:val="0"/>
    <w:qFormat/>
    <w:pPr>
      <w:ind w:left="420" w:firstLine="420"/>
      <w:jc w:val="both"/>
      <w:spacing w:after="120"/>
    </w:pPr>
    <w:rPr>
      <w:rFonts w:ascii="Calibri" w:hAnsi="Calibri" w:eastAsia="宋体" w:cs="Times New Roman"/>
      <w:sz w:val="21"/>
      <w:szCs w:val="22"/>
      <w:lang w:val="en-US" w:eastAsia="zh-CN" w:bidi="ar-SA"/>
    </w:rPr>
  </w:style>
  <w:style w:type="paragraph" w:styleId="916" w:customStyle="1">
    <w:name w:val="Revision"/>
    <w:hidden/>
    <w:uiPriority w:val="99"/>
    <w:unhideWhenUsed/>
    <w:qFormat/>
    <w:rPr>
      <w:rFonts w:ascii="等线" w:hAnsi="等线" w:eastAsia="等线" w:cs="Times New Roman"/>
      <w:sz w:val="21"/>
      <w:szCs w:val="22"/>
      <w:lang w:val="en-US" w:eastAsia="zh-CN" w:bidi="ar-SA"/>
    </w:rPr>
  </w:style>
  <w:style w:type="character" w:styleId="917" w:customStyle="1">
    <w:name w:val="标题 4 字符"/>
    <w:basedOn w:val="882"/>
    <w:link w:val="881"/>
    <w:uiPriority w:val="9"/>
    <w:semiHidden/>
    <w:qFormat/>
    <w:rPr>
      <w:rFonts w:asciiTheme="majorHAnsi" w:hAnsiTheme="majorHAnsi" w:eastAsiaTheme="majorEastAsia" w:cstheme="majorBidi"/>
      <w:b/>
      <w:bCs/>
      <w:sz w:val="28"/>
      <w:szCs w:val="28"/>
    </w:rPr>
  </w:style>
  <w:style w:type="numbering" w:styleId="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能之 程</dc:creator>
  <cp:lastModifiedBy>朱琳</cp:lastModifiedBy>
  <cp:revision>123</cp:revision>
  <dcterms:created xsi:type="dcterms:W3CDTF">2023-11-22T02:02:00Z</dcterms:created>
  <dcterms:modified xsi:type="dcterms:W3CDTF">2026-05-26T07:42:15Z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45A32467F5E64C3C89A3A2E98A1AB31D_13</vt:lpwstr>
  </property>
  <property fmtid="{D5CDD505-2E9C-101B-9397-08002B2CF9AE}" pid="4" name="KSOTemplateDocerSaveRecord">
    <vt:lpwstr>eyJoZGlkIjoiMmNkMTI2NWI2MzEwZTg4OGRkMTEyODljNWFjN2MyYTYiLCJ1c2VySWQiOiI2NTkzODcwMTgifQ==</vt:lpwstr>
  </property>
</Properties>
</file>