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南京鼓楼医院2026信息硬件维护驻场服务项目</w:t>
      </w:r>
      <w:r/>
    </w:p>
    <w:p>
      <w:pPr>
        <w:pStyle w:val="848"/>
        <w:rPr>
          <w:color w:val="auto"/>
          <w:highlight w:val="none"/>
        </w:rPr>
      </w:pPr>
      <w:r>
        <w:rPr>
          <w:color w:val="auto"/>
          <w:highlight w:val="none"/>
        </w:rPr>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JSZC-320100-JSHY-G2026-0097</w:t>
      </w:r>
      <w:r>
        <w:rPr>
          <w:rFonts w:hint="eastAsia" w:ascii="宋体" w:hAnsi="宋体" w:cs="宋体"/>
          <w:b/>
          <w:bCs/>
          <w:color w:val="auto"/>
          <w:sz w:val="32"/>
          <w:szCs w:val="32"/>
          <w:highlight w:val="none"/>
        </w:rPr>
        <w:t xml:space="preserve"> </w:t>
      </w:r>
      <w:r/>
    </w:p>
    <w:p>
      <w:pPr>
        <w:ind w:firstLine="2168"/>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代理机构识别号：1009-2641HOLLY39F</w:t>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848"/>
        <w:rPr>
          <w:rFonts w:ascii="宋体" w:hAnsi="宋体" w:eastAsia="宋体" w:cs="宋体"/>
          <w:color w:val="auto"/>
          <w:highlight w:val="none"/>
        </w:rPr>
      </w:pPr>
      <w:r>
        <w:rPr>
          <w:rFonts w:ascii="宋体" w:hAnsi="宋体" w:eastAsia="宋体" w:cs="宋体"/>
          <w:color w:val="auto"/>
          <w:highlight w:val="none"/>
        </w:rPr>
      </w:r>
      <w:r/>
    </w:p>
    <w:p>
      <w:pPr>
        <w:pStyle w:val="848"/>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ind w:firstLine="1980"/>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tbl>
      <w:tblPr>
        <w:tblStyle w:val="77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南京鼓楼医院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848"/>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48"/>
        <w:tabs>
          <w:tab w:val="left" w:pos="6527" w:leader="none"/>
        </w:tabs>
        <w:rPr>
          <w:rFonts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90"/>
            <w:spacing w:line="400" w:lineRule="exact"/>
            <w:tabs>
              <w:tab w:val="right" w:pos="9740" w:leader="dot"/>
            </w:tabs>
            <w:rPr>
              <w:rFonts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  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39</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  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jc w:val="center"/>
            <w:spacing w:line="400" w:lineRule="exact"/>
            <w:tabs>
              <w:tab w:val="right" w:pos="9740" w:leader="dot"/>
            </w:tabs>
            <w:rPr>
              <w:rFonts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ascii="宋体" w:hAnsi="宋体" w:cs="宋体"/>
          <w:bCs/>
          <w:color w:val="auto"/>
          <w:szCs w:val="28"/>
          <w:highlight w:val="none"/>
        </w:rPr>
      </w:pPr>
      <w:r>
        <w:rPr>
          <w:rFonts w:ascii="宋体" w:hAnsi="宋体" w:cs="宋体"/>
          <w:bCs/>
          <w:color w:val="auto"/>
          <w:szCs w:val="28"/>
          <w:highlight w:val="none"/>
        </w:rPr>
      </w:r>
      <w:r/>
    </w:p>
    <w:p>
      <w:pPr>
        <w:jc w:val="left"/>
        <w:tabs>
          <w:tab w:val="left" w:pos="1445" w:leader="none"/>
        </w:tabs>
        <w:rPr>
          <w:rFonts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keepLines/>
        <w:keepNext/>
        <w:pageBreakBefore/>
        <w:rPr>
          <w:rStyle w:val="849"/>
          <w:color w:val="auto"/>
          <w:sz w:val="32"/>
          <w:highlight w:val="none"/>
        </w:rPr>
        <w:outlineLvl w:val="0"/>
      </w:pPr>
      <w:r/>
      <w:bookmarkStart w:id="2" w:name="_Toc514054470"/>
      <w:r/>
      <w:bookmarkStart w:id="3" w:name="_Toc32256"/>
      <w:r/>
      <w:bookmarkStart w:id="4" w:name="_Toc27317"/>
      <w:r>
        <w:rPr>
          <w:rStyle w:val="849"/>
          <w:rFonts w:hint="eastAsia"/>
          <w:color w:val="auto"/>
          <w:highlight w:val="none"/>
        </w:rPr>
        <w:t xml:space="preserve">第一部分  招标公告</w:t>
      </w:r>
      <w:bookmarkEnd w:id="2"/>
      <w:r/>
      <w:bookmarkEnd w:id="3"/>
      <w:r/>
      <w:bookmarkEnd w:id="4"/>
      <w:r/>
      <w:r/>
    </w:p>
    <w:tbl>
      <w:tblPr>
        <w:tblStyle w:val="77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南京鼓楼医院2026信息硬件维护驻场服务项目的潜在投标人应在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获取招标文件，并于2026年</w:t>
            </w:r>
            <w:r>
              <w:rPr>
                <w:rFonts w:hint="eastAsia" w:ascii="宋体" w:hAnsi="宋体" w:cs="宋体"/>
                <w:color w:val="auto"/>
                <w:sz w:val="24"/>
                <w:szCs w:val="24"/>
                <w:highlight w:val="none"/>
                <w:lang w:eastAsia="zh-CN"/>
              </w:rPr>
              <w:t xml:space="preserve">6月17日</w:t>
            </w:r>
            <w:r>
              <w:rPr>
                <w:rFonts w:hint="eastAsia" w:ascii="宋体" w:hAnsi="宋体" w:cs="宋体"/>
                <w:color w:val="auto"/>
                <w:sz w:val="24"/>
                <w:szCs w:val="24"/>
                <w:highlight w:val="none"/>
              </w:rPr>
              <w:t xml:space="preserve">14点30分（北京时间）前递交投标文件。</w:t>
            </w:r>
            <w:r/>
          </w:p>
        </w:tc>
      </w:tr>
    </w:tbl>
    <w:p>
      <w:pPr>
        <w:pStyle w:val="1219"/>
        <w:ind w:firstLine="480"/>
        <w:spacing w:line="312" w:lineRule="auto"/>
        <w:tabs>
          <w:tab w:val="left" w:pos="1134" w:leader="none"/>
          <w:tab w:val="left" w:pos="5612" w:leader="none"/>
        </w:tabs>
        <w:rPr>
          <w:rFonts w:ascii="宋体" w:hAnsi="宋体" w:cs="宋体"/>
          <w:color w:val="auto"/>
          <w:sz w:val="24"/>
          <w:szCs w:val="24"/>
          <w:highlight w:val="none"/>
        </w:rPr>
        <w:outlineLvl w:val="1"/>
      </w:pPr>
      <w:r/>
      <w:bookmarkStart w:id="5" w:name="_Toc7588"/>
      <w:r/>
      <w:bookmarkStart w:id="6" w:name="_Toc229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9"/>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JSZC-320100-JSHY-G2026-0097</w:t>
      </w:r>
      <w:r>
        <w:rPr>
          <w:rFonts w:hint="eastAsia" w:ascii="宋体" w:hAnsi="宋体" w:cs="宋体"/>
          <w:color w:val="auto"/>
          <w:sz w:val="24"/>
          <w:szCs w:val="24"/>
          <w:highlight w:val="none"/>
        </w:rPr>
        <w:t xml:space="preserve"> </w:t>
      </w:r>
      <w:r/>
    </w:p>
    <w:p>
      <w:pPr>
        <w:pStyle w:val="1219"/>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项目名称：南京鼓楼医院2026信息硬件维护驻场服务项目</w:t>
      </w:r>
      <w:r/>
    </w:p>
    <w:p>
      <w:pPr>
        <w:pStyle w:val="1219"/>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预算金额：330万元/三年（110万元/年）</w:t>
      </w:r>
      <w:bookmarkStart w:id="274" w:name="_GoBack"/>
      <w:r/>
      <w:bookmarkEnd w:id="274"/>
      <w:r/>
      <w:r/>
    </w:p>
    <w:p>
      <w:pPr>
        <w:pStyle w:val="1219"/>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w:t>
      </w:r>
      <w:bookmarkStart w:id="8" w:name="OLE_LINK30"/>
      <w:r>
        <w:rPr>
          <w:rFonts w:hint="eastAsia" w:ascii="宋体" w:hAnsi="宋体" w:cs="宋体"/>
          <w:color w:val="auto"/>
          <w:sz w:val="24"/>
          <w:szCs w:val="24"/>
          <w:highlight w:val="none"/>
        </w:rPr>
        <w:t xml:space="preserve">300万元/三年（100万元/年）</w:t>
      </w:r>
      <w:bookmarkEnd w:id="8"/>
      <w:r/>
      <w:r/>
    </w:p>
    <w:p>
      <w:pPr>
        <w:pStyle w:val="1219"/>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9"/>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合同履行期限：详见招标文件</w:t>
      </w:r>
      <w:r/>
    </w:p>
    <w:p>
      <w:pPr>
        <w:pStyle w:val="1219"/>
        <w:ind w:firstLine="960"/>
        <w:spacing w:line="312" w:lineRule="auto"/>
        <w:tabs>
          <w:tab w:val="left" w:pos="1134" w:leader="none"/>
        </w:tabs>
        <w:rPr>
          <w:rFonts w:ascii="宋体" w:hAnsi="宋体" w:cs="宋体"/>
          <w:color w:val="auto"/>
          <w:sz w:val="24"/>
          <w:szCs w:val="24"/>
          <w:highlight w:val="none"/>
        </w:rPr>
      </w:pPr>
      <w:r/>
      <w:bookmarkStart w:id="9" w:name="_Toc3038"/>
      <w:r>
        <w:rPr>
          <w:rFonts w:hint="eastAsia" w:ascii="宋体" w:hAnsi="宋体" w:cs="宋体"/>
          <w:color w:val="auto"/>
          <w:sz w:val="24"/>
          <w:szCs w:val="24"/>
          <w:highlight w:val="none"/>
        </w:rPr>
        <w:t xml:space="preserve">本项目（是/否）接受联合体投标：否</w:t>
      </w:r>
      <w:r/>
    </w:p>
    <w:p>
      <w:pPr>
        <w:pStyle w:val="1219"/>
        <w:ind w:left="567" w:firstLine="0"/>
        <w:spacing w:line="312" w:lineRule="auto"/>
        <w:tabs>
          <w:tab w:val="left" w:pos="1134" w:leader="none"/>
        </w:tabs>
        <w:rPr>
          <w:rFonts w:ascii="宋体" w:hAnsi="宋体" w:cs="宋体"/>
          <w:b/>
          <w:bCs/>
          <w:color w:val="auto"/>
          <w:sz w:val="24"/>
          <w:szCs w:val="24"/>
          <w:highlight w:val="none"/>
        </w:rPr>
        <w:outlineLvl w:val="1"/>
      </w:pPr>
      <w:r/>
      <w:bookmarkStart w:id="10" w:name="_Toc8033"/>
      <w:r/>
      <w:bookmarkStart w:id="11" w:name="_Toc16192"/>
      <w:r>
        <w:rPr>
          <w:rFonts w:hint="eastAsia" w:ascii="宋体" w:hAnsi="宋体" w:cs="宋体"/>
          <w:b/>
          <w:bCs/>
          <w:color w:val="auto"/>
          <w:sz w:val="24"/>
          <w:szCs w:val="24"/>
          <w:highlight w:val="none"/>
        </w:rPr>
        <w:t xml:space="preserve">二、申请人的资格要求：</w:t>
      </w:r>
      <w:bookmarkEnd w:id="9"/>
      <w:r/>
      <w:bookmarkEnd w:id="10"/>
      <w:r/>
      <w:bookmarkEnd w:id="11"/>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2"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3" w:name="OLE_LINK6"/>
      <w:r/>
      <w:bookmarkStart w:id="14"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5" w:name="OLE_LINK7"/>
      <w:r/>
      <w:bookmarkStart w:id="16" w:name="OLE_LINK19"/>
      <w:r>
        <w:rPr>
          <w:rFonts w:hint="eastAsia" w:ascii="宋体" w:hAnsi="宋体"/>
          <w:color w:val="auto"/>
          <w:sz w:val="24"/>
          <w:szCs w:val="24"/>
          <w:highlight w:val="none"/>
        </w:rPr>
        <w:t xml:space="preserve">具有履行合同所必需的设备和专业技术能力（提供书面声明）</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7" w:name="OLE_LINK8"/>
      <w:r/>
      <w:bookmarkStart w:id="18"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9" w:name="OLE_LINK11"/>
      <w:r/>
      <w:bookmarkStart w:id="20"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6.</w:t>
      </w:r>
      <w:bookmarkStart w:id="21" w:name="OLE_LINK22"/>
      <w:r>
        <w:rPr>
          <w:rFonts w:hint="eastAsia" w:ascii="宋体" w:hAnsi="宋体"/>
          <w:color w:val="auto"/>
          <w:sz w:val="24"/>
          <w:szCs w:val="24"/>
          <w:highlight w:val="none"/>
        </w:rPr>
        <w:t xml:space="preserve">法律、行政法规规定的其他条件。</w:t>
      </w:r>
      <w:bookmarkEnd w:id="2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7.南京市政府采购供应商信用记录表暨信用承诺书。</w:t>
      </w:r>
      <w:r/>
    </w:p>
    <w:p>
      <w:pPr>
        <w:pStyle w:val="848"/>
        <w:ind w:right="476" w:firstLine="720"/>
        <w:spacing w:before="1" w:line="406"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55"/>
        <w:ind w:left="709" w:firstLine="480"/>
        <w:spacing w:line="329"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5"/>
        <w:ind w:left="709" w:firstLine="0"/>
        <w:spacing w:line="329"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ind w:left="1134"/>
        <w:spacing w:line="329" w:lineRule="auto"/>
        <w:rPr>
          <w:rFonts w:ascii="宋体" w:hAnsi="宋体"/>
          <w:color w:val="auto"/>
          <w:sz w:val="24"/>
          <w:szCs w:val="24"/>
          <w:highlight w:val="none"/>
        </w:rPr>
      </w:pPr>
      <w:r/>
      <w:bookmarkStart w:id="22" w:name="OLE_LINK28"/>
      <w:r>
        <w:rPr>
          <w:rFonts w:hint="eastAsia" w:ascii="宋体" w:hAnsi="宋体"/>
          <w:color w:val="auto"/>
          <w:sz w:val="24"/>
          <w:szCs w:val="24"/>
          <w:highlight w:val="none"/>
        </w:rPr>
        <w:t xml:space="preserve">1.拒绝下述供应商参加本次采购活动的情形：</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1.1.供应商单位负责人为同一人或者存在直接控股、管理关系的不同供应商，不得参加同一合同项下的政府采购活动。</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1.2.凡为采购项目提供整体设计、规范编制或者项目管理、监理、检测等服务的供应商，不得再参加本项目的采购活动。</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1.3.拒绝列入失信被执行人、重大税收违法案件当事人名单、政府采购严重违法失信行为记录名单的供应商参与政府采购活动。</w:t>
      </w:r>
      <w:bookmarkEnd w:id="22"/>
      <w:r/>
      <w:r/>
    </w:p>
    <w:p>
      <w:pPr>
        <w:pStyle w:val="1255"/>
        <w:spacing w:line="360" w:lineRule="auto"/>
        <w:rPr>
          <w:rFonts w:ascii="宋体" w:hAnsi="宋体" w:cs="宋体"/>
          <w:b/>
          <w:bCs/>
          <w:color w:val="auto"/>
          <w:sz w:val="24"/>
          <w:szCs w:val="24"/>
          <w:highlight w:val="none"/>
        </w:rPr>
        <w:outlineLvl w:val="1"/>
      </w:pPr>
      <w:r/>
      <w:bookmarkStart w:id="23" w:name="_Toc26697"/>
      <w:r/>
      <w:bookmarkStart w:id="24" w:name="_Toc1979"/>
      <w:r/>
      <w:bookmarkStart w:id="25" w:name="_Toc13339"/>
      <w:r>
        <w:rPr>
          <w:rFonts w:hint="eastAsia" w:ascii="宋体" w:hAnsi="宋体" w:cs="宋体"/>
          <w:b/>
          <w:bCs/>
          <w:color w:val="auto"/>
          <w:sz w:val="24"/>
          <w:szCs w:val="24"/>
          <w:highlight w:val="none"/>
        </w:rPr>
        <w:t xml:space="preserve">三、获取招标文件</w:t>
      </w:r>
      <w:bookmarkEnd w:id="23"/>
      <w:r/>
      <w:bookmarkEnd w:id="24"/>
      <w:r/>
      <w:bookmarkEnd w:id="25"/>
      <w:r/>
      <w:r/>
    </w:p>
    <w:p>
      <w:pPr>
        <w:pStyle w:val="1255"/>
        <w:ind w:left="8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9"/>
        <w:ind w:left="709" w:firstLine="0"/>
        <w:spacing w:line="360" w:lineRule="auto"/>
        <w:tabs>
          <w:tab w:val="left" w:pos="1134" w:leader="none"/>
        </w:tabs>
        <w:rPr>
          <w:rFonts w:ascii="宋体" w:hAnsi="宋体" w:cs="宋体"/>
          <w:b/>
          <w:bCs/>
          <w:color w:val="auto"/>
          <w:sz w:val="24"/>
          <w:szCs w:val="24"/>
          <w:highlight w:val="none"/>
        </w:rPr>
        <w:outlineLvl w:val="1"/>
      </w:pPr>
      <w:r/>
      <w:bookmarkStart w:id="26" w:name="_Toc2291"/>
      <w:r/>
      <w:bookmarkStart w:id="27" w:name="_Toc12587"/>
      <w:r/>
      <w:bookmarkStart w:id="28" w:name="_Toc28083"/>
      <w:r>
        <w:rPr>
          <w:rFonts w:hint="eastAsia" w:ascii="宋体" w:hAnsi="宋体" w:cs="宋体"/>
          <w:b/>
          <w:bCs/>
          <w:color w:val="auto"/>
          <w:sz w:val="24"/>
          <w:szCs w:val="24"/>
          <w:highlight w:val="none"/>
        </w:rPr>
        <w:t xml:space="preserve">四、提交投标文件截止时间、开标时间和地点</w:t>
      </w:r>
      <w:bookmarkEnd w:id="26"/>
      <w:r/>
      <w:bookmarkEnd w:id="27"/>
      <w:r/>
      <w:bookmarkEnd w:id="28"/>
      <w:r/>
      <w:r/>
    </w:p>
    <w:p>
      <w:pPr>
        <w:pStyle w:val="1219"/>
        <w:ind w:left="1134" w:firstLine="0"/>
        <w:spacing w:line="360" w:lineRule="auto"/>
        <w:tabs>
          <w:tab w:val="left" w:pos="1134" w:leader="none"/>
        </w:tabs>
        <w:rPr>
          <w:rFonts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eastAsia="zh-CN"/>
        </w:rPr>
        <w:t xml:space="preserve">6月17日</w:t>
      </w:r>
      <w:r>
        <w:rPr>
          <w:rFonts w:hint="eastAsia" w:ascii="宋体" w:hAnsi="宋体" w:cs="宋体"/>
          <w:color w:val="auto"/>
          <w:sz w:val="24"/>
          <w:szCs w:val="24"/>
          <w:highlight w:val="none"/>
        </w:rPr>
        <w:t xml:space="preserve">14点30分（北京时间）</w:t>
      </w:r>
      <w:r/>
    </w:p>
    <w:p>
      <w:pPr>
        <w:pStyle w:val="1219"/>
        <w:ind w:left="1134" w:firstLine="0"/>
        <w:spacing w:line="360"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9"/>
        <w:ind w:left="708" w:firstLine="0"/>
        <w:spacing w:line="312" w:lineRule="auto"/>
        <w:tabs>
          <w:tab w:val="left" w:pos="1134" w:leader="none"/>
        </w:tabs>
        <w:rPr>
          <w:rFonts w:ascii="宋体" w:hAnsi="宋体" w:cs="宋体"/>
          <w:b/>
          <w:bCs/>
          <w:color w:val="auto"/>
          <w:sz w:val="24"/>
          <w:szCs w:val="24"/>
          <w:highlight w:val="none"/>
        </w:rPr>
        <w:outlineLvl w:val="1"/>
      </w:pPr>
      <w:r/>
      <w:bookmarkStart w:id="29" w:name="_Toc5544"/>
      <w:r/>
      <w:bookmarkStart w:id="30" w:name="_Toc8288"/>
      <w:r/>
      <w:bookmarkStart w:id="31" w:name="_Toc19411"/>
      <w:r>
        <w:rPr>
          <w:rFonts w:hint="eastAsia" w:ascii="宋体" w:hAnsi="宋体" w:cs="宋体"/>
          <w:b/>
          <w:bCs/>
          <w:color w:val="auto"/>
          <w:sz w:val="24"/>
          <w:szCs w:val="24"/>
          <w:highlight w:val="none"/>
        </w:rPr>
        <w:t xml:space="preserve">五、公告期限</w:t>
      </w:r>
      <w:bookmarkEnd w:id="29"/>
      <w:r/>
      <w:bookmarkEnd w:id="30"/>
      <w:r/>
      <w:bookmarkEnd w:id="31"/>
      <w:r/>
      <w:r/>
    </w:p>
    <w:p>
      <w:pPr>
        <w:pStyle w:val="1219"/>
        <w:ind w:firstLine="1200"/>
        <w:spacing w:line="312" w:lineRule="auto"/>
        <w:tabs>
          <w:tab w:val="left" w:pos="127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9"/>
        <w:numPr>
          <w:ilvl w:val="0"/>
          <w:numId w:val="5"/>
        </w:numPr>
        <w:ind w:left="709" w:firstLine="0"/>
        <w:spacing w:line="360" w:lineRule="exact"/>
        <w:tabs>
          <w:tab w:val="left" w:pos="1134" w:leader="none"/>
        </w:tabs>
        <w:rPr>
          <w:rFonts w:ascii="宋体" w:hAnsi="宋体" w:cs="宋体"/>
          <w:b/>
          <w:bCs/>
          <w:color w:val="auto"/>
          <w:sz w:val="24"/>
          <w:szCs w:val="24"/>
          <w:highlight w:val="none"/>
        </w:rPr>
        <w:outlineLvl w:val="1"/>
      </w:pPr>
      <w:r/>
      <w:bookmarkStart w:id="32" w:name="_Toc15265"/>
      <w:r/>
      <w:bookmarkStart w:id="33" w:name="_Toc12830"/>
      <w:r/>
      <w:bookmarkStart w:id="34" w:name="_Toc12845"/>
      <w:r>
        <w:rPr>
          <w:rFonts w:hint="eastAsia" w:ascii="宋体" w:hAnsi="宋体" w:cs="宋体"/>
          <w:b/>
          <w:bCs/>
          <w:color w:val="auto"/>
          <w:sz w:val="24"/>
          <w:szCs w:val="24"/>
          <w:highlight w:val="none"/>
        </w:rPr>
        <w:t xml:space="preserve">其他补充事宜</w:t>
      </w:r>
      <w:bookmarkEnd w:id="32"/>
      <w:r/>
      <w:bookmarkEnd w:id="33"/>
      <w:r/>
      <w:bookmarkEnd w:id="34"/>
      <w:r/>
      <w:r/>
    </w:p>
    <w:p>
      <w:pPr>
        <w:ind w:firstLine="964"/>
        <w:spacing w:line="360" w:lineRule="auto"/>
        <w:rPr>
          <w:rFonts w:ascii="宋体" w:hAnsi="宋体" w:cs="宋体"/>
          <w:b/>
          <w:color w:val="auto"/>
          <w:sz w:val="24"/>
          <w:szCs w:val="24"/>
          <w:highlight w:val="none"/>
        </w:rPr>
      </w:pPr>
      <w:r/>
      <w:bookmarkStart w:id="35"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2、信用承诺：</w:t>
      </w:r>
      <w:r>
        <w:rPr>
          <w:rFonts w:hint="eastAsia" w:ascii="宋体" w:hAnsi="宋体" w:cs="宋体"/>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"https://njgc.jfh.com/）‘南京市政府采购供应商诚信档案’系统链接打开系统页面（http://180.101.238.212:8280/hodeframe2018_cxda/index.action;j</w:instrText>
      </w:r>
      <w:r>
        <w:rPr>
          <w:color w:val="auto"/>
          <w:highlight w:val="none"/>
        </w:rPr>
        <w:instrText xml:space="preserve">sessionid=769BA9C8E1729422E7173B991C8EC1E5）登录（未注册的供应商应先点击‘供应商注册点这里’并按" \o "https://njgc.jfh.com/）‘南京市政府采购供应商诚信档案’系统链接打开系统页面（http://180.101.238.212:8280/hodeframe2018_cxda/index.action;jsessionid=769BA9C8E1729422E7173B991C8EC1E5）登录（未注册的供应商应先点击‘供应商注册点这里’并按" </w:instrText>
      </w:r>
      <w:r>
        <w:rPr>
          <w:color w:val="auto"/>
          <w:highlight w:val="none"/>
        </w:rPr>
        <w:fldChar w:fldCharType="separate"/>
      </w:r>
      <w:r>
        <w:rPr>
          <w:rFonts w:hint="eastAsia" w:ascii="宋体" w:hAnsi="宋体" w:cs="宋体"/>
          <w:bCs/>
          <w:color w:val="auto"/>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要求完成注册），然后在“信用记录”模块页面点击“信用记录打印”下载本单位《南京市政府采购供应商信用记录表暨信用承诺书》，由法人签字并盖单位公章，装订在投标中。</w:t>
      </w:r>
      <w:r/>
    </w:p>
    <w:p>
      <w:pPr>
        <w:ind w:firstLine="964"/>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b/>
          <w:color w:val="auto"/>
          <w:sz w:val="24"/>
          <w:szCs w:val="24"/>
          <w:highlight w:val="none"/>
        </w:rPr>
        <w:t xml:space="preserve">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（1）符合国家相关规定的财务状况报告；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（2）依法缴纳税收的证明材料；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（3）依法缴纳社会保障资金的证明材料；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（4）具备履行政府采购合同所必需的设备和专业技术能力的证明材料；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（6）未被列入失信被执行人、重大税收违法失信主体、政府采购严重违法失信行为记录名单的证明材料。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firstLine="723"/>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3.有关本次采购的事项若存在变动或修改，敬请及时关注“江苏政府采购网”发布的信息。</w:t>
      </w:r>
      <w:r/>
    </w:p>
    <w:p>
      <w:pPr>
        <w:pStyle w:val="1219"/>
        <w:ind w:left="709" w:firstLine="0"/>
        <w:spacing w:line="360" w:lineRule="auto"/>
        <w:tabs>
          <w:tab w:val="left" w:pos="1134" w:leader="none"/>
        </w:tabs>
        <w:rPr>
          <w:rFonts w:ascii="宋体" w:hAnsi="宋体" w:cs="宋体"/>
          <w:b/>
          <w:bCs/>
          <w:color w:val="auto"/>
          <w:sz w:val="24"/>
          <w:szCs w:val="24"/>
          <w:highlight w:val="none"/>
        </w:rPr>
        <w:outlineLvl w:val="1"/>
      </w:pPr>
      <w:r/>
      <w:bookmarkStart w:id="36" w:name="_Toc26301"/>
      <w:r/>
      <w:bookmarkStart w:id="37" w:name="_Toc24284"/>
      <w:r>
        <w:rPr>
          <w:rFonts w:hint="eastAsia" w:ascii="宋体" w:hAnsi="宋体" w:cs="宋体"/>
          <w:b/>
          <w:bCs/>
          <w:color w:val="auto"/>
          <w:sz w:val="24"/>
          <w:szCs w:val="24"/>
          <w:highlight w:val="none"/>
        </w:rPr>
        <w:t xml:space="preserve">七、对本次招标提出询问，请按以下方式联系。</w:t>
      </w:r>
      <w:bookmarkEnd w:id="35"/>
      <w:r/>
      <w:bookmarkEnd w:id="36"/>
      <w:r/>
      <w:bookmarkEnd w:id="37"/>
      <w:r/>
      <w:r/>
    </w:p>
    <w:p>
      <w:pPr>
        <w:pStyle w:val="1037"/>
        <w:ind w:firstLine="720"/>
        <w:spacing w:before="0" w:beforeAutospacing="0" w:after="0" w:afterAutospacing="0" w:line="360" w:lineRule="auto"/>
        <w:rPr>
          <w:rFonts w:hAnsi="宋体" w:cs="宋体"/>
          <w:color w:val="auto"/>
          <w:szCs w:val="24"/>
          <w:highlight w:val="none"/>
        </w:rPr>
        <w:outlineLvl w:val="1"/>
      </w:pPr>
      <w:r/>
      <w:bookmarkStart w:id="38" w:name="_Toc5336"/>
      <w:r/>
      <w:bookmarkStart w:id="39" w:name="_Toc11624"/>
      <w:r/>
      <w:bookmarkStart w:id="40" w:name="_Toc25617"/>
      <w:r>
        <w:rPr>
          <w:rFonts w:hint="eastAsia" w:hAnsi="宋体" w:cs="宋体"/>
          <w:color w:val="auto"/>
          <w:szCs w:val="24"/>
          <w:highlight w:val="none"/>
        </w:rPr>
        <w:t xml:space="preserve">1.采购人信息</w:t>
      </w:r>
      <w:bookmarkEnd w:id="38"/>
      <w:r/>
      <w:r/>
    </w:p>
    <w:p>
      <w:pPr>
        <w:pStyle w:val="1037"/>
        <w:ind w:firstLine="720"/>
        <w:spacing w:before="0" w:beforeAutospacing="0" w:after="0" w:afterAutospacing="0" w:line="360" w:lineRule="auto"/>
        <w:rPr>
          <w:rFonts w:hAnsi="宋体" w:cs="宋体"/>
          <w:color w:val="auto"/>
          <w:szCs w:val="24"/>
          <w:highlight w:val="none"/>
        </w:rPr>
        <w:outlineLvl w:val="1"/>
      </w:pPr>
      <w:r/>
      <w:bookmarkStart w:id="41" w:name="_Toc18962"/>
      <w:r>
        <w:rPr>
          <w:rFonts w:hint="eastAsia" w:hAnsi="宋体" w:cs="宋体"/>
          <w:color w:val="auto"/>
          <w:szCs w:val="24"/>
          <w:highlight w:val="none"/>
        </w:rPr>
        <w:t xml:space="preserve">名称：</w:t>
      </w:r>
      <w:bookmarkEnd w:id="41"/>
      <w:r>
        <w:rPr>
          <w:rFonts w:hint="eastAsia" w:hAnsi="宋体" w:cs="宋体"/>
          <w:color w:val="auto"/>
          <w:szCs w:val="24"/>
          <w:highlight w:val="none"/>
        </w:rPr>
        <w:t xml:space="preserve">南京鼓楼医院</w:t>
      </w:r>
      <w:r/>
    </w:p>
    <w:p>
      <w:pPr>
        <w:pStyle w:val="1037"/>
        <w:ind w:firstLine="720"/>
        <w:spacing w:before="0" w:beforeAutospacing="0" w:after="0" w:afterAutospacing="0" w:line="360" w:lineRule="auto"/>
        <w:rPr>
          <w:rFonts w:hAnsi="宋体" w:cs="宋体"/>
          <w:color w:val="auto"/>
          <w:szCs w:val="24"/>
          <w:highlight w:val="none"/>
        </w:rPr>
        <w:outlineLvl w:val="1"/>
      </w:pPr>
      <w:r/>
      <w:bookmarkStart w:id="42" w:name="_Toc17137"/>
      <w:r>
        <w:rPr>
          <w:rFonts w:hint="eastAsia" w:hAnsi="宋体" w:cs="宋体"/>
          <w:color w:val="auto"/>
          <w:szCs w:val="24"/>
          <w:highlight w:val="none"/>
        </w:rPr>
        <w:t xml:space="preserve">地址：</w:t>
      </w:r>
      <w:bookmarkEnd w:id="42"/>
      <w:r>
        <w:rPr>
          <w:rFonts w:hint="eastAsia" w:hAnsi="宋体" w:cs="宋体"/>
          <w:color w:val="auto"/>
          <w:szCs w:val="24"/>
          <w:highlight w:val="none"/>
        </w:rPr>
        <w:t xml:space="preserve">江苏省南京市鼓楼区中山路321号</w:t>
      </w:r>
      <w:r/>
    </w:p>
    <w:p>
      <w:pPr>
        <w:pStyle w:val="1037"/>
        <w:ind w:firstLine="720"/>
        <w:spacing w:before="0" w:beforeAutospacing="0" w:after="0" w:afterAutospacing="0" w:line="360" w:lineRule="auto"/>
        <w:rPr>
          <w:rFonts w:hAnsi="宋体" w:cs="宋体"/>
          <w:color w:val="auto"/>
          <w:szCs w:val="24"/>
          <w:highlight w:val="none"/>
        </w:rPr>
        <w:outlineLvl w:val="1"/>
      </w:pPr>
      <w:r/>
      <w:bookmarkStart w:id="43" w:name="_Toc18720"/>
      <w:r>
        <w:rPr>
          <w:rFonts w:hint="eastAsia" w:hAnsi="宋体" w:cs="宋体"/>
          <w:color w:val="auto"/>
          <w:szCs w:val="24"/>
          <w:highlight w:val="none"/>
        </w:rPr>
        <w:t xml:space="preserve">联系方式：</w:t>
      </w:r>
      <w:bookmarkEnd w:id="43"/>
      <w:r>
        <w:rPr>
          <w:rFonts w:hint="eastAsia" w:hAnsi="宋体" w:cs="宋体"/>
          <w:color w:val="auto"/>
          <w:szCs w:val="24"/>
          <w:highlight w:val="none"/>
        </w:rPr>
        <w:t xml:space="preserve">025-83105006</w:t>
      </w:r>
      <w:r/>
    </w:p>
    <w:p>
      <w:pPr>
        <w:pStyle w:val="1037"/>
        <w:ind w:firstLine="720"/>
        <w:spacing w:before="0" w:beforeAutospacing="0" w:after="0" w:afterAutospacing="0" w:line="360" w:lineRule="auto"/>
        <w:rPr>
          <w:rFonts w:hAnsi="宋体" w:cs="宋体"/>
          <w:color w:val="auto"/>
          <w:szCs w:val="24"/>
          <w:highlight w:val="none"/>
        </w:rPr>
        <w:outlineLvl w:val="1"/>
      </w:pPr>
      <w:r/>
      <w:bookmarkStart w:id="44" w:name="_Toc29917"/>
      <w:r>
        <w:rPr>
          <w:rFonts w:hint="eastAsia" w:hAnsi="宋体" w:cs="宋体"/>
          <w:color w:val="auto"/>
          <w:szCs w:val="24"/>
          <w:highlight w:val="none"/>
        </w:rPr>
        <w:t xml:space="preserve">2.采购代理机构信息</w:t>
      </w:r>
      <w:bookmarkEnd w:id="39"/>
      <w:r/>
      <w:bookmarkEnd w:id="44"/>
      <w:r/>
      <w:r/>
    </w:p>
    <w:p>
      <w:pPr>
        <w:pStyle w:val="1037"/>
        <w:ind w:firstLine="720"/>
        <w:spacing w:before="0" w:beforeAutospacing="0" w:after="0" w:afterAutospacing="0" w:line="312" w:lineRule="auto"/>
        <w:rPr>
          <w:rFonts w:hAnsi="宋体" w:cs="宋体"/>
          <w:color w:val="auto"/>
          <w:szCs w:val="24"/>
          <w:highlight w:val="none"/>
        </w:rPr>
        <w:outlineLvl w:val="1"/>
      </w:pPr>
      <w:r/>
      <w:bookmarkStart w:id="45" w:name="_Toc17590"/>
      <w:r/>
      <w:bookmarkStart w:id="46" w:name="_Toc6514"/>
      <w:r>
        <w:rPr>
          <w:rFonts w:hint="eastAsia" w:hAnsi="宋体" w:cs="宋体"/>
          <w:color w:val="auto"/>
          <w:szCs w:val="24"/>
          <w:highlight w:val="none"/>
        </w:rPr>
        <w:t xml:space="preserve">名称：江苏弘业国际技术工程有限公司</w:t>
      </w:r>
      <w:bookmarkEnd w:id="45"/>
      <w:r/>
      <w:bookmarkEnd w:id="46"/>
      <w:r/>
      <w:r/>
    </w:p>
    <w:p>
      <w:pPr>
        <w:pStyle w:val="1037"/>
        <w:ind w:firstLine="720"/>
        <w:spacing w:before="0" w:beforeAutospacing="0" w:after="0" w:afterAutospacing="0" w:line="312" w:lineRule="auto"/>
        <w:rPr>
          <w:rFonts w:hAnsi="宋体" w:cs="宋体"/>
          <w:color w:val="auto"/>
          <w:szCs w:val="24"/>
          <w:highlight w:val="none"/>
        </w:rPr>
        <w:outlineLvl w:val="1"/>
      </w:pPr>
      <w:r/>
      <w:bookmarkStart w:id="47" w:name="_Toc29228"/>
      <w:r/>
      <w:bookmarkStart w:id="48" w:name="_Toc8777"/>
      <w:r>
        <w:rPr>
          <w:rFonts w:hint="eastAsia" w:hAnsi="宋体" w:cs="宋体"/>
          <w:color w:val="auto"/>
          <w:szCs w:val="24"/>
          <w:highlight w:val="none"/>
        </w:rPr>
        <w:t xml:space="preserve">地址：南京市中华路50号弘业大厦10楼</w:t>
      </w:r>
      <w:bookmarkEnd w:id="47"/>
      <w:r/>
      <w:bookmarkEnd w:id="48"/>
      <w:r/>
      <w:r/>
    </w:p>
    <w:p>
      <w:pPr>
        <w:pStyle w:val="1037"/>
        <w:ind w:firstLine="720"/>
        <w:spacing w:before="0" w:beforeAutospacing="0" w:after="0" w:afterAutospacing="0" w:line="312" w:lineRule="auto"/>
        <w:rPr>
          <w:rFonts w:hAnsi="宋体" w:cs="宋体"/>
          <w:color w:val="auto"/>
          <w:szCs w:val="24"/>
          <w:highlight w:val="none"/>
        </w:rPr>
        <w:outlineLvl w:val="1"/>
      </w:pPr>
      <w:r/>
      <w:bookmarkStart w:id="49" w:name="_Toc30931"/>
      <w:r/>
      <w:bookmarkStart w:id="50" w:name="_Toc4151"/>
      <w:r>
        <w:rPr>
          <w:rFonts w:hint="eastAsia" w:hAnsi="宋体" w:cs="宋体"/>
          <w:color w:val="auto"/>
          <w:szCs w:val="24"/>
          <w:highlight w:val="none"/>
        </w:rPr>
        <w:t xml:space="preserve">联系方式：</w:t>
      </w:r>
      <w:bookmarkEnd w:id="49"/>
      <w:r/>
      <w:bookmarkEnd w:id="50"/>
      <w:r>
        <w:rPr>
          <w:rFonts w:hint="eastAsia" w:hAnsi="宋体" w:cs="宋体"/>
          <w:bCs/>
          <w:color w:val="auto"/>
          <w:szCs w:val="21"/>
          <w:highlight w:val="none"/>
          <w:lang w:val="zh-CN"/>
        </w:rPr>
        <w:t xml:space="preserve">025-52278371</w:t>
      </w:r>
      <w:r>
        <w:rPr>
          <w:rFonts w:hint="eastAsia" w:hAnsi="宋体" w:cs="宋体"/>
          <w:color w:val="auto"/>
          <w:szCs w:val="24"/>
          <w:highlight w:val="none"/>
        </w:rPr>
        <w:t xml:space="preserve"> </w:t>
      </w:r>
      <w:r/>
    </w:p>
    <w:p>
      <w:pPr>
        <w:pStyle w:val="1037"/>
        <w:ind w:firstLine="720"/>
        <w:spacing w:before="0" w:beforeAutospacing="0" w:after="0" w:afterAutospacing="0" w:line="312" w:lineRule="auto"/>
        <w:rPr>
          <w:rFonts w:hAnsi="宋体" w:cs="宋体"/>
          <w:color w:val="auto"/>
          <w:szCs w:val="24"/>
          <w:highlight w:val="none"/>
        </w:rPr>
        <w:outlineLvl w:val="1"/>
      </w:pPr>
      <w:r/>
      <w:bookmarkStart w:id="51" w:name="_Toc23093"/>
      <w:r/>
      <w:bookmarkStart w:id="52" w:name="_Toc2685"/>
      <w:r>
        <w:rPr>
          <w:rFonts w:hint="eastAsia" w:hAnsi="宋体" w:cs="宋体"/>
          <w:color w:val="auto"/>
          <w:szCs w:val="24"/>
          <w:highlight w:val="none"/>
        </w:rPr>
        <w:t xml:space="preserve">传  真：025-5227876</w:t>
      </w:r>
      <w:bookmarkEnd w:id="51"/>
      <w:r/>
      <w:bookmarkEnd w:id="52"/>
      <w:r>
        <w:rPr>
          <w:rFonts w:hint="eastAsia" w:hAnsi="宋体" w:cs="宋体"/>
          <w:color w:val="auto"/>
          <w:szCs w:val="24"/>
          <w:highlight w:val="none"/>
        </w:rPr>
        <w:t xml:space="preserve">1</w:t>
      </w:r>
      <w:r/>
    </w:p>
    <w:p>
      <w:pPr>
        <w:pStyle w:val="1037"/>
        <w:ind w:firstLine="720"/>
        <w:spacing w:before="0" w:beforeAutospacing="0" w:after="0" w:afterAutospacing="0" w:line="312" w:lineRule="auto"/>
        <w:rPr>
          <w:rFonts w:hAnsi="宋体" w:cs="宋体"/>
          <w:color w:val="auto"/>
          <w:szCs w:val="24"/>
          <w:highlight w:val="none"/>
        </w:rPr>
        <w:outlineLvl w:val="1"/>
      </w:pPr>
      <w:r/>
      <w:bookmarkStart w:id="53" w:name="_Toc21139"/>
      <w:r/>
      <w:bookmarkStart w:id="54" w:name="_Toc4597"/>
      <w:r>
        <w:rPr>
          <w:rFonts w:hint="eastAsia" w:hAnsi="宋体" w:cs="宋体"/>
          <w:color w:val="auto"/>
          <w:szCs w:val="24"/>
          <w:highlight w:val="none"/>
        </w:rPr>
        <w:t xml:space="preserve">3.项目联系方式</w:t>
      </w:r>
      <w:bookmarkEnd w:id="53"/>
      <w:r/>
      <w:bookmarkEnd w:id="54"/>
      <w:r/>
      <w:r/>
    </w:p>
    <w:p>
      <w:pPr>
        <w:pStyle w:val="1037"/>
        <w:ind w:firstLine="720"/>
        <w:spacing w:before="0" w:beforeAutospacing="0" w:after="0" w:afterAutospacing="0" w:line="312" w:lineRule="auto"/>
        <w:rPr>
          <w:rFonts w:hAnsi="宋体" w:cs="宋体"/>
          <w:color w:val="auto"/>
          <w:szCs w:val="24"/>
          <w:highlight w:val="none"/>
        </w:rPr>
        <w:outlineLvl w:val="1"/>
      </w:pPr>
      <w:r/>
      <w:bookmarkStart w:id="55" w:name="_Toc18816"/>
      <w:r/>
      <w:bookmarkStart w:id="56" w:name="_Toc23478"/>
      <w:r>
        <w:rPr>
          <w:rFonts w:hint="eastAsia" w:hAnsi="宋体" w:cs="宋体"/>
          <w:color w:val="auto"/>
          <w:szCs w:val="24"/>
          <w:highlight w:val="none"/>
        </w:rPr>
        <w:t xml:space="preserve">项目联系人：</w:t>
      </w:r>
      <w:bookmarkEnd w:id="55"/>
      <w:r/>
      <w:bookmarkEnd w:id="56"/>
      <w:r>
        <w:rPr>
          <w:rFonts w:hint="eastAsia" w:hAnsi="宋体" w:cs="宋体"/>
          <w:color w:val="auto"/>
          <w:szCs w:val="24"/>
          <w:highlight w:val="none"/>
          <w:lang w:val="zh-CN"/>
        </w:rPr>
        <w:t xml:space="preserve">宋瞰尘、戴婷</w:t>
      </w:r>
      <w:r/>
    </w:p>
    <w:p>
      <w:pPr>
        <w:pStyle w:val="1037"/>
        <w:ind w:firstLine="720"/>
        <w:spacing w:before="0" w:beforeAutospacing="0" w:after="0" w:afterAutospacing="0" w:line="312" w:lineRule="auto"/>
        <w:rPr>
          <w:rFonts w:hAnsi="宋体" w:cs="宋体"/>
          <w:color w:val="auto"/>
          <w:szCs w:val="24"/>
          <w:highlight w:val="none"/>
        </w:rPr>
        <w:outlineLvl w:val="1"/>
      </w:pPr>
      <w:r/>
      <w:bookmarkStart w:id="57" w:name="_Toc12073"/>
      <w:r/>
      <w:bookmarkStart w:id="58" w:name="_Toc13399"/>
      <w:r>
        <w:rPr>
          <w:rFonts w:hint="eastAsia" w:hAnsi="宋体" w:cs="宋体"/>
          <w:color w:val="auto"/>
          <w:szCs w:val="24"/>
          <w:highlight w:val="none"/>
        </w:rPr>
        <w:t xml:space="preserve">电话：</w:t>
      </w:r>
      <w:bookmarkEnd w:id="40"/>
      <w:r/>
      <w:bookmarkEnd w:id="57"/>
      <w:r/>
      <w:bookmarkEnd w:id="58"/>
      <w:r>
        <w:rPr>
          <w:rFonts w:hint="eastAsia" w:hAnsi="宋体" w:cs="宋体"/>
          <w:bCs/>
          <w:color w:val="auto"/>
          <w:szCs w:val="21"/>
          <w:highlight w:val="none"/>
          <w:lang w:val="zh-CN"/>
        </w:rPr>
        <w:t xml:space="preserve">025-52278371</w:t>
      </w:r>
      <w:r/>
    </w:p>
    <w:p>
      <w:pPr>
        <w:pStyle w:val="848"/>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42"/>
        <w:ind w:left="420" w:firstLine="480"/>
        <w:rPr>
          <w:rFonts w:ascii="宋体" w:hAnsi="宋体" w:eastAsia="宋体" w:cs="宋体"/>
          <w:color w:val="auto"/>
          <w:highlight w:val="none"/>
        </w:rPr>
      </w:pPr>
      <w:r>
        <w:rPr>
          <w:rFonts w:ascii="宋体" w:hAnsi="宋体" w:eastAsia="宋体" w:cs="宋体"/>
          <w:color w:val="auto"/>
          <w:highlight w:val="none"/>
        </w:rPr>
      </w:r>
      <w:r/>
    </w:p>
    <w:p>
      <w:pPr>
        <w:pStyle w:val="764"/>
        <w:jc w:val="both"/>
        <w:rPr>
          <w:color w:val="auto"/>
          <w:highlight w:val="none"/>
        </w:rPr>
      </w:pPr>
      <w:r>
        <w:rPr>
          <w:rFonts w:hint="eastAsia"/>
          <w:color w:val="auto"/>
          <w:highlight w:val="none"/>
        </w:rPr>
        <w:br w:type="page" w:clear="all"/>
      </w:r>
      <w:bookmarkStart w:id="59" w:name="_Toc7212"/>
      <w:r>
        <w:rPr>
          <w:rFonts w:hint="eastAsia" w:eastAsia="宋体"/>
          <w:color w:val="auto"/>
          <w:highlight w:val="none"/>
        </w:rPr>
        <w:t xml:space="preserve">            </w:t>
      </w:r>
      <w:bookmarkStart w:id="60" w:name="_Toc10498"/>
      <w:r>
        <w:rPr>
          <w:rFonts w:hint="eastAsia"/>
          <w:color w:val="auto"/>
          <w:highlight w:val="none"/>
        </w:rPr>
        <w:t xml:space="preserve">第二部分  投标人须知</w:t>
      </w:r>
      <w:bookmarkEnd w:id="59"/>
      <w:r/>
      <w:bookmarkEnd w:id="60"/>
      <w:r/>
      <w:r/>
    </w:p>
    <w:p>
      <w:pPr>
        <w:pStyle w:val="973"/>
        <w:jc w:val="center"/>
        <w:keepLines w:val="0"/>
        <w:keepNext w:val="0"/>
        <w:spacing w:before="0" w:after="0" w:line="240" w:lineRule="auto"/>
        <w:rPr>
          <w:rFonts w:ascii="宋体" w:hAnsi="宋体" w:eastAsia="宋体" w:cs="宋体"/>
          <w:color w:val="auto"/>
          <w:highlight w:val="none"/>
        </w:rPr>
      </w:pPr>
      <w:r/>
      <w:bookmarkStart w:id="61" w:name="_Toc17216"/>
      <w:r/>
      <w:bookmarkStart w:id="62" w:name="_Toc10216"/>
      <w:r/>
      <w:bookmarkStart w:id="63" w:name="_Toc17705"/>
      <w:r/>
      <w:bookmarkStart w:id="64" w:name="_Toc514054471"/>
      <w:r>
        <w:rPr>
          <w:rFonts w:hint="eastAsia" w:ascii="宋体" w:hAnsi="宋体" w:eastAsia="宋体" w:cs="宋体"/>
          <w:color w:val="auto"/>
          <w:highlight w:val="none"/>
        </w:rPr>
        <w:t xml:space="preserve">投标人须知前附表</w:t>
      </w:r>
      <w:bookmarkEnd w:id="61"/>
      <w:r/>
      <w:bookmarkEnd w:id="62"/>
      <w:r/>
      <w:bookmarkEnd w:id="63"/>
      <w:r/>
      <w:bookmarkEnd w:id="64"/>
      <w:r/>
      <w:r/>
    </w:p>
    <w:tbl>
      <w:tblPr>
        <w:tblStyle w:val="77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ascii="宋体" w:hAnsi="宋体" w:cs="宋体"/>
                <w:color w:val="auto"/>
                <w:sz w:val="24"/>
                <w:szCs w:val="24"/>
                <w:highlight w:val="none"/>
              </w:rPr>
            </w:pPr>
            <w:r/>
            <w:bookmarkStart w:id="65" w:name="EBd40b5fb42f2944a3b45e579ce3941f02"/>
            <w:r>
              <w:rPr>
                <w:rFonts w:hint="eastAsia" w:ascii="宋体" w:hAnsi="宋体" w:cs="宋体"/>
                <w:color w:val="auto"/>
                <w:sz w:val="24"/>
                <w:szCs w:val="24"/>
                <w:highlight w:val="none"/>
              </w:rPr>
              <w:t xml:space="preserve">90</w:t>
            </w:r>
            <w:bookmarkEnd w:id="65"/>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w:t>
            </w:r>
            <w:r>
              <w:rPr>
                <w:rFonts w:hint="eastAsia" w:ascii="宋体" w:hAnsi="宋体" w:cs="宋体"/>
                <w:color w:val="auto"/>
                <w:sz w:val="24"/>
                <w:highlight w:val="none"/>
              </w:rPr>
              <w:t xml:space="preserve">文的35%收取</w:t>
            </w:r>
            <w:r>
              <w:rPr>
                <w:rFonts w:hint="eastAsia" w:ascii="宋体" w:hAnsi="宋体" w:cs="宋体"/>
                <w:color w:val="auto"/>
                <w:sz w:val="24"/>
                <w:szCs w:val="24"/>
                <w:highlight w:val="none"/>
              </w:rPr>
              <w:t xml:space="preserve">，中标人应在领取中标通知书前缴纳。</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ascii="宋体" w:hAnsi="宋体" w:cs="宋体"/>
                <w:color w:val="auto"/>
                <w:sz w:val="24"/>
                <w:szCs w:val="24"/>
                <w:highlight w:val="none"/>
              </w:rPr>
            </w:pPr>
            <w:r/>
            <w:bookmarkStart w:id="66" w:name="_Toc514054472"/>
            <w:r/>
            <w:bookmarkStart w:id="67"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软件和信息技术服务业</w:t>
            </w:r>
            <w:r>
              <w:rPr>
                <w:rFonts w:hint="eastAsia" w:ascii="宋体" w:hAnsi="宋体" w:cs="宋体"/>
                <w:color w:val="auto"/>
                <w:sz w:val="24"/>
                <w:szCs w:val="24"/>
                <w:highlight w:val="none"/>
              </w:rPr>
              <w:t xml:space="preserve">。</w:t>
            </w:r>
            <w:r/>
          </w:p>
        </w:tc>
      </w:tr>
    </w:tbl>
    <w:p>
      <w:pPr>
        <w:pStyle w:val="1375"/>
        <w:rPr>
          <w:rFonts w:ascii="宋体" w:hAnsi="宋体" w:eastAsia="宋体" w:cs="宋体"/>
          <w:color w:val="auto"/>
          <w:highlight w:val="none"/>
        </w:rPr>
        <w:outlineLvl w:val="1"/>
      </w:pPr>
      <w:r/>
      <w:bookmarkStart w:id="68" w:name="_Toc22298"/>
      <w:r/>
      <w:bookmarkStart w:id="69" w:name="_Toc20458"/>
      <w:r>
        <w:rPr>
          <w:rFonts w:hint="eastAsia" w:ascii="宋体" w:hAnsi="宋体" w:eastAsia="宋体" w:cs="宋体"/>
          <w:color w:val="auto"/>
          <w:highlight w:val="none"/>
        </w:rPr>
        <w:t xml:space="preserve">一、总 则</w:t>
      </w:r>
      <w:bookmarkEnd w:id="66"/>
      <w:r/>
      <w:bookmarkEnd w:id="67"/>
      <w:r/>
      <w:bookmarkEnd w:id="68"/>
      <w:r/>
      <w:bookmarkEnd w:id="69"/>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2"/>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5"/>
        <w:rPr>
          <w:rFonts w:ascii="宋体" w:hAnsi="宋体" w:eastAsia="宋体" w:cs="宋体"/>
          <w:color w:val="auto"/>
          <w:highlight w:val="none"/>
        </w:rPr>
        <w:outlineLvl w:val="1"/>
      </w:pPr>
      <w:r/>
      <w:bookmarkStart w:id="70" w:name="_Toc21335"/>
      <w:r/>
      <w:bookmarkStart w:id="71" w:name="_Toc17916"/>
      <w:r/>
      <w:bookmarkStart w:id="72" w:name="_Toc514054473"/>
      <w:r/>
      <w:bookmarkStart w:id="73" w:name="_Toc30610"/>
      <w:r>
        <w:rPr>
          <w:rFonts w:hint="eastAsia" w:ascii="宋体" w:hAnsi="宋体" w:eastAsia="宋体" w:cs="宋体"/>
          <w:color w:val="auto"/>
          <w:highlight w:val="none"/>
        </w:rPr>
        <w:t xml:space="preserve">二、招标文件</w:t>
      </w:r>
      <w:bookmarkEnd w:id="70"/>
      <w:r/>
      <w:bookmarkEnd w:id="71"/>
      <w:r/>
      <w:bookmarkEnd w:id="72"/>
      <w:r/>
      <w:bookmarkEnd w:id="73"/>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4" w:name="EB453bde7f4ddc418fae2aad9fbcd82554"/>
      <w:r>
        <w:rPr>
          <w:rFonts w:hint="eastAsia" w:ascii="宋体" w:hAnsi="宋体" w:cs="宋体"/>
          <w:color w:val="auto"/>
          <w:sz w:val="20"/>
          <w:highlight w:val="none"/>
        </w:rPr>
        <w:t xml:space="preserve"> </w:t>
      </w:r>
      <w:bookmarkEnd w:id="74"/>
      <w:r/>
      <w:bookmarkStart w:id="75" w:name="EBec71fc1696a240c4b620fe1e00b2ce58"/>
      <w:r>
        <w:rPr>
          <w:rFonts w:hint="eastAsia" w:ascii="宋体" w:hAnsi="宋体" w:cs="宋体"/>
          <w:color w:val="auto"/>
          <w:sz w:val="20"/>
          <w:highlight w:val="none"/>
        </w:rPr>
        <w:t xml:space="preserve"> </w:t>
      </w:r>
      <w:bookmarkEnd w:id="75"/>
      <w:r/>
      <w:r/>
    </w:p>
    <w:p>
      <w:pPr>
        <w:pStyle w:val="1375"/>
        <w:rPr>
          <w:rFonts w:ascii="宋体" w:hAnsi="宋体" w:eastAsia="宋体" w:cs="宋体"/>
          <w:color w:val="auto"/>
          <w:highlight w:val="none"/>
        </w:rPr>
        <w:outlineLvl w:val="1"/>
      </w:pPr>
      <w:r/>
      <w:bookmarkStart w:id="76" w:name="_Toc20227"/>
      <w:r/>
      <w:bookmarkStart w:id="77" w:name="_Toc514054474"/>
      <w:r/>
      <w:bookmarkStart w:id="78" w:name="_Toc26871"/>
      <w:r/>
      <w:bookmarkStart w:id="79" w:name="_Toc26908"/>
      <w:r>
        <w:rPr>
          <w:rFonts w:hint="eastAsia" w:ascii="宋体" w:hAnsi="宋体" w:eastAsia="宋体" w:cs="宋体"/>
          <w:color w:val="auto"/>
          <w:highlight w:val="none"/>
        </w:rPr>
        <w:t xml:space="preserve">三、投标文件的编制</w:t>
      </w:r>
      <w:bookmarkEnd w:id="76"/>
      <w:r/>
      <w:bookmarkEnd w:id="77"/>
      <w:r/>
      <w:bookmarkEnd w:id="78"/>
      <w:r/>
      <w:bookmarkEnd w:id="79"/>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11.1.7拒绝下述供应商参加本次采购活动的情形：</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11.1.7.1 供应商单位负责人为同一人或者存在直接控股、管理关系的不同供应商，不得参加同一合同项下的政府采购活动。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11.1.7.2 凡为采购项目提供整体设计、规范编制或者项目管理、监理、检测等服务的供应商，不得再参加本项目的采购活动。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11.1.7.3 拒绝列入失信被执行人、重大税收违法案件当事人名单、政府采购严重违法失信行为记录名单的供应商参与政府采购活动。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ascii="宋体" w:hAnsi="宋体" w:cs="宋体"/>
          <w:color w:val="auto"/>
          <w:sz w:val="24"/>
          <w:highlight w:val="none"/>
        </w:rPr>
      </w:pPr>
      <w:r/>
      <w:bookmarkStart w:id="80" w:name="EB7f6b24a996964930b08d6b290b36e3fd"/>
      <w:r>
        <w:rPr>
          <w:rFonts w:hint="eastAsia" w:ascii="宋体" w:hAnsi="宋体" w:cs="宋体"/>
          <w:color w:val="auto"/>
          <w:sz w:val="24"/>
          <w:highlight w:val="none"/>
        </w:rPr>
        <w:t xml:space="preserve">11.4.1技术响应偏差表</w:t>
      </w:r>
      <w:bookmarkEnd w:id="80"/>
      <w:r>
        <w:rPr>
          <w:rFonts w:hint="eastAsia" w:ascii="宋体" w:hAnsi="宋体" w:cs="宋体"/>
          <w:color w:val="auto"/>
          <w:sz w:val="24"/>
          <w:highlight w:val="none"/>
        </w:rPr>
        <w:t xml:space="preserve">。</w:t>
      </w:r>
      <w:r/>
    </w:p>
    <w:p>
      <w:pPr>
        <w:ind w:firstLine="480"/>
        <w:spacing w:line="500" w:lineRule="exact"/>
        <w:rPr>
          <w:rFonts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ascii="宋体" w:hAnsi="宋体" w:cs="宋体"/>
          <w:color w:val="auto"/>
          <w:sz w:val="24"/>
          <w:highlight w:val="none"/>
        </w:rPr>
      </w:pPr>
      <w:r/>
      <w:bookmarkStart w:id="81"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1"/>
      <w:r/>
      <w:r/>
    </w:p>
    <w:p>
      <w:pPr>
        <w:numPr>
          <w:ilvl w:val="0"/>
          <w:numId w:val="6"/>
        </w:num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2"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2"/>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15.1招标代理服务费按发改价格【2011】534号文的35%收取，由中标供应商支付给采购代理机构，应在领取成交通知书前缴纳。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账户信息：</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户名：江苏弘业国际技术工程有限公司</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开户银行：中国银行南京市中华路支行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账号：527460884999</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3" w:name="EB12ed6b870f334fa092f7ed1f9a9dbab8"/>
      <w:r>
        <w:rPr>
          <w:rFonts w:hint="eastAsia" w:ascii="宋体" w:hAnsi="宋体" w:cs="宋体"/>
          <w:color w:val="auto"/>
          <w:sz w:val="20"/>
          <w:highlight w:val="none"/>
        </w:rPr>
        <w:t xml:space="preserve"> </w:t>
      </w:r>
      <w:bookmarkEnd w:id="83"/>
      <w:r/>
      <w:bookmarkStart w:id="84" w:name="EB5d36e8077cc64e309c0c0f0cd8a6f496"/>
      <w:r>
        <w:rPr>
          <w:rFonts w:hint="eastAsia" w:ascii="宋体" w:hAnsi="宋体" w:cs="宋体"/>
          <w:color w:val="auto"/>
          <w:sz w:val="20"/>
          <w:highlight w:val="none"/>
        </w:rPr>
        <w:t xml:space="preserve"> </w:t>
      </w:r>
      <w:bookmarkEnd w:id="84"/>
      <w:r/>
      <w:r/>
    </w:p>
    <w:p>
      <w:pPr>
        <w:pStyle w:val="1375"/>
        <w:rPr>
          <w:rFonts w:ascii="宋体" w:hAnsi="宋体" w:eastAsia="宋体" w:cs="宋体"/>
          <w:color w:val="auto"/>
          <w:highlight w:val="none"/>
        </w:rPr>
        <w:outlineLvl w:val="1"/>
      </w:pPr>
      <w:r/>
      <w:bookmarkStart w:id="85" w:name="_Toc5409"/>
      <w:r/>
      <w:bookmarkStart w:id="86" w:name="_Toc514054475"/>
      <w:r/>
      <w:bookmarkStart w:id="87" w:name="_Toc9292"/>
      <w:r/>
      <w:bookmarkStart w:id="88" w:name="_Toc26211"/>
      <w:r>
        <w:rPr>
          <w:rFonts w:hint="eastAsia" w:ascii="宋体" w:hAnsi="宋体" w:eastAsia="宋体" w:cs="宋体"/>
          <w:color w:val="auto"/>
          <w:highlight w:val="none"/>
        </w:rPr>
        <w:t xml:space="preserve">四、投标文件的提交</w:t>
      </w:r>
      <w:bookmarkEnd w:id="85"/>
      <w:r/>
      <w:bookmarkEnd w:id="86"/>
      <w:r/>
      <w:bookmarkEnd w:id="87"/>
      <w:r/>
      <w:bookmarkEnd w:id="88"/>
      <w:r/>
      <w:r/>
    </w:p>
    <w:p>
      <w:pPr>
        <w:ind w:firstLine="482"/>
        <w:spacing w:line="500" w:lineRule="exact"/>
        <w:rPr>
          <w:rFonts w:ascii="宋体" w:hAnsi="宋体" w:cs="宋体"/>
          <w:b/>
          <w:color w:val="auto"/>
          <w:sz w:val="24"/>
          <w:highlight w:val="none"/>
        </w:rPr>
        <w:outlineLvl w:val="2"/>
      </w:pPr>
      <w:r/>
      <w:bookmarkStart w:id="89" w:name="_Toc11452"/>
      <w:r/>
      <w:bookmarkStart w:id="90" w:name="_Toc514054476"/>
      <w:r>
        <w:rPr>
          <w:rFonts w:hint="eastAsia" w:ascii="宋体" w:hAnsi="宋体" w:cs="宋体"/>
          <w:b/>
          <w:color w:val="auto"/>
          <w:sz w:val="24"/>
          <w:highlight w:val="none"/>
        </w:rPr>
        <w:t xml:space="preserve">17.1、投标文件的提交</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1" w:name="_Toc16938542"/>
      <w:r/>
      <w:bookmarkEnd w:id="91"/>
      <w:r/>
      <w:bookmarkStart w:id="92" w:name="_Toc20823298"/>
      <w:r/>
      <w:bookmarkEnd w:id="92"/>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ascii="宋体" w:hAnsi="宋体" w:cs="宋体"/>
          <w:color w:val="auto"/>
          <w:sz w:val="20"/>
          <w:highlight w:val="none"/>
        </w:rPr>
      </w:pPr>
      <w:r>
        <w:rPr>
          <w:rFonts w:hint="eastAsia" w:ascii="宋体" w:hAnsi="宋体" w:cs="宋体"/>
          <w:color w:val="auto"/>
          <w:sz w:val="24"/>
          <w:highlight w:val="none"/>
        </w:rPr>
        <w:t xml:space="preserve">17.3.1</w:t>
      </w:r>
      <w:bookmarkStart w:id="93"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3"/>
      <w:r/>
      <w:r/>
    </w:p>
    <w:p>
      <w:pPr>
        <w:ind w:firstLine="480"/>
        <w:spacing w:line="520" w:lineRule="exact"/>
        <w:rPr>
          <w:rFonts w:ascii="宋体" w:hAnsi="宋体" w:cs="宋体"/>
          <w:b/>
          <w:bCs/>
          <w:color w:val="auto"/>
          <w:sz w:val="24"/>
          <w:highlight w:val="none"/>
        </w:rPr>
        <w:outlineLvl w:val="2"/>
      </w:pPr>
      <w:r/>
      <w:bookmarkStart w:id="94" w:name="_Toc20823300"/>
      <w:r/>
      <w:bookmarkStart w:id="95" w:name="_Toc16938544"/>
      <w:r/>
      <w:bookmarkStart w:id="96" w:name="_Toc513029228"/>
      <w:r>
        <w:rPr>
          <w:rFonts w:hint="eastAsia" w:ascii="宋体" w:hAnsi="宋体" w:cs="宋体"/>
          <w:b/>
          <w:bCs/>
          <w:color w:val="auto"/>
          <w:sz w:val="24"/>
          <w:highlight w:val="none"/>
        </w:rPr>
        <w:t xml:space="preserve">17.4、投标文件的撤回和修改</w:t>
      </w:r>
      <w:bookmarkEnd w:id="94"/>
      <w:r/>
      <w:bookmarkEnd w:id="95"/>
      <w:r/>
      <w:bookmarkEnd w:id="96"/>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5"/>
        <w:rPr>
          <w:rFonts w:ascii="宋体" w:hAnsi="宋体" w:eastAsia="宋体" w:cs="宋体"/>
          <w:color w:val="auto"/>
          <w:highlight w:val="none"/>
        </w:rPr>
        <w:outlineLvl w:val="1"/>
      </w:pPr>
      <w:r/>
      <w:bookmarkStart w:id="97" w:name="_Toc27625"/>
      <w:r/>
      <w:bookmarkStart w:id="98" w:name="_Toc30306"/>
      <w:r>
        <w:rPr>
          <w:rFonts w:hint="eastAsia" w:ascii="宋体" w:hAnsi="宋体" w:eastAsia="宋体" w:cs="宋体"/>
          <w:color w:val="auto"/>
          <w:highlight w:val="none"/>
        </w:rPr>
        <w:t xml:space="preserve">五、无效标、投标被拒绝、串通投标认定条款</w:t>
      </w:r>
      <w:bookmarkEnd w:id="89"/>
      <w:r/>
      <w:bookmarkEnd w:id="90"/>
      <w:r/>
      <w:bookmarkEnd w:id="97"/>
      <w:r/>
      <w:bookmarkEnd w:id="98"/>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9" w:name="EB94942e5430df4fb8a077f3cf7667f212"/>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99"/>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5"/>
        <w:rPr>
          <w:rFonts w:ascii="宋体" w:hAnsi="宋体" w:eastAsia="宋体" w:cs="宋体"/>
          <w:color w:val="auto"/>
          <w:highlight w:val="none"/>
        </w:rPr>
        <w:outlineLvl w:val="1"/>
      </w:pPr>
      <w:r/>
      <w:bookmarkStart w:id="100" w:name="_Toc29013"/>
      <w:r/>
      <w:bookmarkStart w:id="101" w:name="_Toc514054477"/>
      <w:r/>
      <w:bookmarkStart w:id="102" w:name="_Toc13553"/>
      <w:r/>
      <w:bookmarkStart w:id="103" w:name="_Toc11517"/>
      <w:r>
        <w:rPr>
          <w:rFonts w:hint="eastAsia" w:ascii="宋体" w:hAnsi="宋体" w:eastAsia="宋体" w:cs="宋体"/>
          <w:color w:val="auto"/>
          <w:highlight w:val="none"/>
        </w:rPr>
        <w:t xml:space="preserve">六、开标、资格审查、评标程序</w:t>
      </w:r>
      <w:bookmarkEnd w:id="100"/>
      <w:r/>
      <w:bookmarkEnd w:id="101"/>
      <w:r/>
      <w:bookmarkEnd w:id="102"/>
      <w:r/>
      <w:bookmarkEnd w:id="103"/>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ascii="宋体" w:hAnsi="宋体" w:cs="宋体"/>
          <w:color w:val="auto"/>
          <w:sz w:val="24"/>
          <w:highlight w:val="none"/>
        </w:rPr>
      </w:pPr>
      <w:r/>
      <w:bookmarkStart w:id="104"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4"/>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5"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5"/>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6" w:name="EB66024636071342209da8bda483232040"/>
      <w:r>
        <w:rPr>
          <w:rFonts w:hint="eastAsia" w:ascii="宋体" w:hAnsi="宋体" w:cs="宋体"/>
          <w:color w:val="auto"/>
          <w:sz w:val="24"/>
          <w:highlight w:val="none"/>
        </w:rPr>
        <w:t xml:space="preserve"> </w:t>
      </w:r>
      <w:bookmarkEnd w:id="106"/>
      <w:r/>
      <w:r/>
    </w:p>
    <w:p>
      <w:pPr>
        <w:numPr>
          <w:ilvl w:val="0"/>
          <w:numId w:val="7"/>
        </w:numPr>
        <w:ind w:firstLine="482"/>
        <w:spacing w:line="500" w:lineRule="exact"/>
        <w:rPr>
          <w:rFonts w:ascii="宋体" w:hAnsi="宋体" w:cs="宋体"/>
          <w:b/>
          <w:bCs/>
          <w:color w:val="auto"/>
          <w:sz w:val="24"/>
          <w:highlight w:val="none"/>
        </w:rPr>
      </w:pPr>
      <w:r/>
      <w:bookmarkStart w:id="10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ascii="宋体" w:hAnsi="宋体" w:cs="宋体"/>
          <w:color w:val="auto"/>
          <w:sz w:val="24"/>
          <w:szCs w:val="24"/>
          <w:highlight w:val="none"/>
        </w:rPr>
      </w:pPr>
      <w:r/>
      <w:bookmarkStart w:id="108" w:name="EBd9bc59d5f2ed4fb8a64ee2e373d8cc72"/>
      <w:r/>
      <w:bookmarkStart w:id="109" w:name="_Toc81493168"/>
      <w:r/>
      <w:bookmarkStart w:id="110" w:name="_Toc5167"/>
      <w:r/>
      <w:bookmarkStart w:id="111" w:name="_Toc23173"/>
      <w:r/>
      <w:bookmarkStart w:id="112" w:name="_Toc9744"/>
      <w:r/>
      <w:bookmarkStart w:id="113" w:name="_Toc514054478"/>
      <w:r>
        <w:rPr>
          <w:rFonts w:hint="eastAsia" w:ascii="宋体" w:hAnsi="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8"/>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29.11 支持乡村产业振兴管理：落实《关于运用政府采购政策支持乡村产业振兴的通知》（财库〔2021〕19号）有关要求。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 网络产品、市场准入类产品采购</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1375"/>
        <w:rPr>
          <w:rFonts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9"/>
      <w:r/>
      <w:bookmarkEnd w:id="110"/>
      <w:r/>
      <w:bookmarkEnd w:id="111"/>
      <w:r/>
      <w:bookmarkEnd w:id="112"/>
      <w:r/>
      <w:bookmarkEnd w:id="113"/>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ascii="宋体" w:hAnsi="宋体" w:cs="宋体"/>
          <w:color w:val="auto"/>
          <w:sz w:val="24"/>
          <w:highlight w:val="none"/>
        </w:rPr>
      </w:pPr>
      <w:r/>
      <w:bookmarkStart w:id="11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4"/>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ascii="宋体" w:hAnsi="宋体" w:cs="宋体"/>
          <w:color w:val="auto"/>
          <w:sz w:val="24"/>
          <w:szCs w:val="24"/>
          <w:highlight w:val="none"/>
        </w:rPr>
      </w:pPr>
      <w:r/>
      <w:bookmarkStart w:id="115" w:name="EB3094b551b51c42ca93e0255d679fb06f"/>
      <w:r>
        <w:rPr>
          <w:rFonts w:hint="eastAsia" w:ascii="宋体" w:hAnsi="宋体" w:cs="宋体"/>
          <w:color w:val="auto"/>
          <w:sz w:val="24"/>
          <w:szCs w:val="24"/>
          <w:highlight w:val="none"/>
        </w:rPr>
        <w:t xml:space="preserve">见前附表。 </w:t>
      </w:r>
      <w:bookmarkEnd w:id="115"/>
      <w:r/>
      <w:bookmarkStart w:id="116" w:name="EB0d6067c6e00d44b1ad5603550c455e87"/>
      <w:r>
        <w:rPr>
          <w:rFonts w:hint="eastAsia" w:ascii="宋体" w:hAnsi="宋体" w:cs="宋体"/>
          <w:color w:val="auto"/>
          <w:sz w:val="24"/>
          <w:szCs w:val="24"/>
          <w:highlight w:val="none"/>
        </w:rPr>
        <w:t xml:space="preserve"> </w:t>
      </w:r>
      <w:bookmarkEnd w:id="116"/>
      <w:r/>
      <w:r/>
    </w:p>
    <w:p>
      <w:pPr>
        <w:pStyle w:val="1375"/>
        <w:rPr>
          <w:rFonts w:ascii="宋体" w:hAnsi="宋体" w:eastAsia="宋体" w:cs="宋体"/>
          <w:color w:val="auto"/>
          <w:highlight w:val="none"/>
        </w:rPr>
        <w:outlineLvl w:val="1"/>
      </w:pPr>
      <w:r/>
      <w:bookmarkStart w:id="117" w:name="_Toc514054479"/>
      <w:r/>
      <w:bookmarkStart w:id="118" w:name="_Toc25599"/>
      <w:r/>
      <w:bookmarkStart w:id="119" w:name="_Toc31894"/>
      <w:r/>
      <w:bookmarkStart w:id="120" w:name="_Toc81493169"/>
      <w:r/>
      <w:bookmarkStart w:id="121" w:name="_Toc14752"/>
      <w:r>
        <w:rPr>
          <w:rFonts w:hint="eastAsia" w:ascii="宋体" w:hAnsi="宋体" w:eastAsia="宋体" w:cs="宋体"/>
          <w:color w:val="auto"/>
          <w:highlight w:val="none"/>
        </w:rPr>
        <w:t xml:space="preserve">八、验收及付款</w:t>
      </w:r>
      <w:bookmarkEnd w:id="117"/>
      <w:r/>
      <w:bookmarkEnd w:id="118"/>
      <w:r/>
      <w:bookmarkEnd w:id="119"/>
      <w:r/>
      <w:bookmarkEnd w:id="120"/>
      <w:r/>
      <w:bookmarkEnd w:id="121"/>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ascii="宋体" w:hAnsi="宋体" w:cs="宋体"/>
          <w:color w:val="auto"/>
          <w:sz w:val="24"/>
          <w:highlight w:val="none"/>
        </w:rPr>
      </w:pPr>
      <w:r/>
      <w:bookmarkStart w:id="122" w:name="EBbbb2492ed6b84c9193a6bb6f72a512f3"/>
      <w:r>
        <w:rPr>
          <w:rFonts w:hint="eastAsia" w:ascii="宋体" w:hAnsi="宋体" w:cs="宋体"/>
          <w:color w:val="auto"/>
          <w:sz w:val="24"/>
          <w:highlight w:val="none"/>
        </w:rPr>
        <w:t xml:space="preserve">35.1由采购人组织验收，中标人配合。</w:t>
      </w:r>
      <w:bookmarkEnd w:id="122"/>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ascii="宋体" w:hAnsi="宋体" w:cs="宋体"/>
          <w:color w:val="auto"/>
          <w:sz w:val="24"/>
          <w:highlight w:val="none"/>
        </w:rPr>
      </w:pPr>
      <w:r/>
      <w:bookmarkStart w:id="123" w:name="EBf0da31fab3a04ad0893de83144a87b34"/>
      <w:r>
        <w:rPr>
          <w:rFonts w:hint="eastAsia" w:ascii="宋体" w:hAnsi="宋体" w:cs="宋体"/>
          <w:color w:val="auto"/>
          <w:sz w:val="24"/>
          <w:highlight w:val="none"/>
        </w:rPr>
        <w:t xml:space="preserve">36.1</w:t>
      </w:r>
      <w:bookmarkEnd w:id="123"/>
      <w:r>
        <w:rPr>
          <w:rFonts w:hint="eastAsia" w:ascii="宋体" w:hAnsi="宋体" w:cs="宋体"/>
          <w:color w:val="auto"/>
          <w:sz w:val="24"/>
          <w:highlight w:val="none"/>
        </w:rPr>
        <w:t xml:space="preserve"> 采购人按招标文件要求办理采购款支付手续。</w:t>
      </w:r>
      <w:r/>
    </w:p>
    <w:p>
      <w:pPr>
        <w:pStyle w:val="1375"/>
        <w:rPr>
          <w:rFonts w:ascii="宋体" w:hAnsi="宋体" w:eastAsia="宋体" w:cs="宋体"/>
          <w:color w:val="auto"/>
          <w:highlight w:val="none"/>
        </w:rPr>
        <w:outlineLvl w:val="1"/>
      </w:pPr>
      <w:r/>
      <w:bookmarkStart w:id="124" w:name="_Toc514054480"/>
      <w:r/>
      <w:bookmarkStart w:id="125" w:name="_Toc26939"/>
      <w:r/>
      <w:bookmarkStart w:id="126" w:name="_Toc81493170"/>
      <w:r/>
      <w:bookmarkStart w:id="127" w:name="_Toc31322"/>
      <w:r/>
      <w:bookmarkStart w:id="128" w:name="_Toc10945"/>
      <w:r>
        <w:rPr>
          <w:rFonts w:hint="eastAsia" w:ascii="宋体" w:hAnsi="宋体" w:eastAsia="宋体" w:cs="宋体"/>
          <w:color w:val="auto"/>
          <w:highlight w:val="none"/>
        </w:rPr>
        <w:t xml:space="preserve">九、质疑与投诉</w:t>
      </w:r>
      <w:bookmarkEnd w:id="124"/>
      <w:r/>
      <w:bookmarkEnd w:id="125"/>
      <w:r/>
      <w:bookmarkEnd w:id="126"/>
      <w:r/>
      <w:bookmarkEnd w:id="127"/>
      <w:r/>
      <w:bookmarkEnd w:id="128"/>
      <w:r/>
      <w:r/>
    </w:p>
    <w:p>
      <w:pPr>
        <w:ind w:firstLine="422"/>
        <w:spacing w:line="500" w:lineRule="exact"/>
        <w:rPr>
          <w:rFonts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7.6 </w:t>
      </w: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采购人、采购代理机构在收到质疑函后7个工作日内作出答复，并以书面形式通知质疑供应商和其他有关供应商，但质疑答复的内容不涉及商业秘密。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bookmarkEnd w:id="107"/>
      <w:r/>
      <w:r/>
    </w:p>
    <w:p>
      <w:pPr>
        <w:pStyle w:val="1375"/>
        <w:rPr>
          <w:rFonts w:ascii="宋体" w:hAnsi="宋体" w:eastAsia="宋体" w:cs="宋体"/>
          <w:color w:val="auto"/>
          <w:highlight w:val="none"/>
        </w:rPr>
        <w:outlineLvl w:val="1"/>
      </w:pPr>
      <w:r/>
      <w:bookmarkStart w:id="129" w:name="_Toc20823314"/>
      <w:r/>
      <w:bookmarkStart w:id="130" w:name="_Toc16938558"/>
      <w:r/>
      <w:bookmarkStart w:id="131" w:name="_Toc32340"/>
      <w:r/>
      <w:bookmarkStart w:id="132" w:name="_Toc513029242"/>
      <w:r/>
      <w:bookmarkStart w:id="133" w:name="_Toc479757207"/>
      <w:r/>
      <w:bookmarkStart w:id="134" w:name="_Toc26968"/>
      <w:r/>
      <w:bookmarkStart w:id="135" w:name="_Toc120614221"/>
      <w:r>
        <w:rPr>
          <w:rFonts w:hint="eastAsia" w:ascii="宋体" w:hAnsi="宋体" w:eastAsia="宋体" w:cs="宋体"/>
          <w:color w:val="auto"/>
          <w:highlight w:val="none"/>
        </w:rPr>
        <w:t xml:space="preserve">十、政府采购履约资金扶持政策</w:t>
      </w:r>
      <w:bookmarkEnd w:id="129"/>
      <w:r/>
      <w:bookmarkEnd w:id="130"/>
      <w:r/>
      <w:bookmarkEnd w:id="131"/>
      <w:r/>
      <w:bookmarkEnd w:id="132"/>
      <w:r/>
      <w:bookmarkEnd w:id="133"/>
      <w:r/>
      <w:bookmarkEnd w:id="134"/>
      <w:r/>
      <w:bookmarkEnd w:id="135"/>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pStyle w:val="764"/>
        <w:rPr>
          <w:color w:val="auto"/>
          <w:highlight w:val="none"/>
        </w:rPr>
      </w:pPr>
      <w:r>
        <w:rPr>
          <w:rFonts w:hint="eastAsia"/>
          <w:color w:val="auto"/>
          <w:highlight w:val="none"/>
        </w:rPr>
        <w:br w:type="page" w:clear="all"/>
      </w:r>
      <w:bookmarkStart w:id="136" w:name="_Toc2112"/>
      <w:r/>
      <w:bookmarkStart w:id="137" w:name="_Toc28399"/>
      <w:r>
        <w:rPr>
          <w:rFonts w:hint="eastAsia"/>
          <w:color w:val="auto"/>
          <w:highlight w:val="none"/>
        </w:rPr>
        <w:t xml:space="preserve">第三部分  评标方法和标准</w:t>
      </w:r>
      <w:bookmarkEnd w:id="136"/>
      <w:r/>
      <w:bookmarkEnd w:id="137"/>
      <w:r/>
      <w:r/>
    </w:p>
    <w:p>
      <w:pPr>
        <w:ind w:firstLine="643"/>
        <w:spacing w:before="156" w:after="156"/>
        <w:rPr>
          <w:rFonts w:ascii="宋体" w:hAnsi="宋体" w:cs="宋体"/>
          <w:b/>
          <w:color w:val="auto"/>
          <w:sz w:val="32"/>
          <w:szCs w:val="32"/>
          <w:highlight w:val="none"/>
        </w:rPr>
        <w:outlineLvl w:val="1"/>
      </w:pPr>
      <w:r/>
      <w:bookmarkStart w:id="138" w:name="_Toc17445"/>
      <w:r/>
      <w:bookmarkStart w:id="139" w:name="_Toc24217_WPSOffice_Level2"/>
      <w:r/>
      <w:bookmarkStart w:id="140" w:name="_Toc4647"/>
      <w:r/>
      <w:bookmarkStart w:id="141" w:name="_Toc12296"/>
      <w:r>
        <w:rPr>
          <w:rFonts w:hint="eastAsia" w:ascii="宋体" w:hAnsi="宋体" w:cs="宋体"/>
          <w:b/>
          <w:color w:val="auto"/>
          <w:sz w:val="32"/>
          <w:szCs w:val="32"/>
          <w:highlight w:val="none"/>
        </w:rPr>
        <w:t xml:space="preserve">一、资格审查</w:t>
      </w:r>
      <w:bookmarkEnd w:id="138"/>
      <w:r/>
      <w:bookmarkEnd w:id="139"/>
      <w:r/>
      <w:bookmarkEnd w:id="140"/>
      <w:r/>
      <w:bookmarkEnd w:id="141"/>
      <w:r/>
      <w:r/>
    </w:p>
    <w:p>
      <w:pPr>
        <w:ind w:firstLine="420"/>
        <w:rPr>
          <w:rFonts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90"/>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287"/>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287"/>
        </w:trPr>
        <w:tc>
          <w:tcPr>
            <w:tcW w:w="4828" w:type="dxa"/>
            <w:vAlign w:val="center"/>
            <w:textDirection w:val="lrTb"/>
            <w:noWrap w:val="false"/>
          </w:tcPr>
          <w:p>
            <w:pPr>
              <w:jc w:val="left"/>
              <w:rPr>
                <w:rFonts w:ascii="宋体" w:hAnsi="宋体" w:cs="宋体"/>
                <w:color w:val="auto"/>
                <w:highlight w:val="none"/>
              </w:rPr>
            </w:pPr>
            <w:r>
              <w:rPr>
                <w:rFonts w:hint="eastAsia"/>
                <w:color w:val="auto"/>
                <w:highlight w:val="none"/>
              </w:rPr>
              <w:t xml:space="preserve">南京市政府采购供应商信用记录表暨信用承诺书</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ascii="宋体" w:hAnsi="宋体" w:cs="宋体"/>
          <w:b/>
          <w:color w:val="auto"/>
          <w:sz w:val="32"/>
          <w:szCs w:val="32"/>
          <w:highlight w:val="none"/>
        </w:rPr>
        <w:outlineLvl w:val="1"/>
      </w:pPr>
      <w:r/>
      <w:bookmarkStart w:id="142" w:name="_Toc18818"/>
      <w:r/>
      <w:bookmarkStart w:id="143" w:name="_Toc17529"/>
      <w:r>
        <w:rPr>
          <w:rFonts w:hint="eastAsia" w:ascii="宋体" w:hAnsi="宋体" w:cs="宋体"/>
          <w:b/>
          <w:color w:val="auto"/>
          <w:sz w:val="32"/>
          <w:szCs w:val="32"/>
          <w:highlight w:val="none"/>
        </w:rPr>
        <w:t xml:space="preserve">二、符合性审查</w:t>
      </w:r>
      <w:bookmarkEnd w:id="142"/>
      <w:r/>
      <w:bookmarkEnd w:id="143"/>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9"/>
        <w:gridCol w:w="4323"/>
      </w:tblGrid>
      <w:tr>
        <w:trPr/>
        <w:tc>
          <w:tcPr>
            <w:tcW w:w="484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符合性审查因素</w:t>
            </w:r>
            <w:r/>
          </w:p>
        </w:tc>
        <w:tc>
          <w:tcPr>
            <w:tcW w:w="432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49"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投标函</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49"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法定代表人身份证明或授权委托书</w:t>
            </w:r>
            <w:r/>
          </w:p>
          <w:p>
            <w:pPr>
              <w:rPr>
                <w:rFonts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49"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签署和盖章符合要求</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49"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开标一览表及投标报价 </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49"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4" w:name="_Toc11959"/>
      <w:r>
        <w:rPr>
          <w:rFonts w:hint="eastAsia" w:ascii="宋体" w:hAnsi="宋体" w:cs="宋体"/>
          <w:color w:val="auto"/>
          <w:sz w:val="20"/>
          <w:highlight w:val="none"/>
        </w:rPr>
        <w:t xml:space="preserve">   </w:t>
      </w:r>
      <w:bookmarkStart w:id="145" w:name="_Toc3702"/>
      <w:r/>
      <w:bookmarkStart w:id="146" w:name="_Toc17823"/>
      <w:r>
        <w:rPr>
          <w:rFonts w:hint="eastAsia" w:ascii="宋体" w:hAnsi="宋体" w:cs="宋体"/>
          <w:b/>
          <w:color w:val="auto"/>
          <w:sz w:val="32"/>
          <w:szCs w:val="32"/>
          <w:highlight w:val="none"/>
        </w:rPr>
        <w:t xml:space="preserve">三、评分办法—综合评分法</w:t>
      </w:r>
      <w:bookmarkEnd w:id="144"/>
      <w:r/>
      <w:bookmarkEnd w:id="145"/>
      <w:r/>
      <w:bookmarkEnd w:id="146"/>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774"/>
        <w:tblW w:w="48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096"/>
        <w:gridCol w:w="6798"/>
        <w:gridCol w:w="698"/>
      </w:tblGrid>
      <w:tr>
        <w:trPr>
          <w:cantSplit/>
          <w:jc w:val="center"/>
        </w:trPr>
        <w:tc>
          <w:tcPr>
            <w:tcW w:w="436" w:type="pct"/>
            <w:vAlign w:val="center"/>
            <w:textDirection w:val="lrTb"/>
            <w:noWrap w:val="false"/>
          </w:tcPr>
          <w:p>
            <w:pPr>
              <w:spacing w:line="320" w:lineRule="exact"/>
              <w:widowControl/>
              <w:rPr>
                <w:rFonts w:cs="宋体"/>
                <w:b/>
                <w:bCs/>
                <w:color w:val="auto"/>
                <w:sz w:val="24"/>
                <w:szCs w:val="24"/>
                <w:highlight w:val="none"/>
              </w:rPr>
            </w:pPr>
            <w:r/>
            <w:bookmarkStart w:id="147" w:name="_Toc514054481"/>
            <w:r>
              <w:rPr>
                <w:rFonts w:hint="eastAsia" w:cs="宋体"/>
                <w:b/>
                <w:bCs/>
                <w:color w:val="auto"/>
                <w:sz w:val="24"/>
                <w:szCs w:val="24"/>
                <w:highlight w:val="none"/>
              </w:rPr>
              <w:t xml:space="preserve">序号</w:t>
            </w:r>
            <w:r/>
          </w:p>
        </w:tc>
        <w:tc>
          <w:tcPr>
            <w:tcW w:w="582" w:type="pct"/>
            <w:vAlign w:val="center"/>
            <w:textDirection w:val="lrTb"/>
            <w:noWrap w:val="false"/>
          </w:tcPr>
          <w:p>
            <w:pPr>
              <w:spacing w:line="320" w:lineRule="exact"/>
              <w:widowControl/>
              <w:rPr>
                <w:rFonts w:cs="宋体"/>
                <w:b/>
                <w:bCs/>
                <w:color w:val="auto"/>
                <w:sz w:val="24"/>
                <w:szCs w:val="24"/>
                <w:highlight w:val="none"/>
              </w:rPr>
            </w:pPr>
            <w:r>
              <w:rPr>
                <w:rFonts w:hint="eastAsia" w:cs="宋体"/>
                <w:b/>
                <w:bCs/>
                <w:color w:val="auto"/>
                <w:sz w:val="24"/>
                <w:szCs w:val="24"/>
                <w:highlight w:val="none"/>
              </w:rPr>
              <w:t xml:space="preserve">评审因素</w:t>
            </w:r>
            <w:r/>
          </w:p>
        </w:tc>
        <w:tc>
          <w:tcPr>
            <w:tcW w:w="3611" w:type="pct"/>
            <w:vAlign w:val="center"/>
            <w:textDirection w:val="lrTb"/>
            <w:noWrap w:val="false"/>
          </w:tcPr>
          <w:p>
            <w:pPr>
              <w:jc w:val="center"/>
              <w:spacing w:line="320" w:lineRule="exact"/>
              <w:widowControl/>
              <w:rPr>
                <w:rFonts w:cs="宋体"/>
                <w:b/>
                <w:bCs/>
                <w:color w:val="auto"/>
                <w:sz w:val="24"/>
                <w:szCs w:val="24"/>
                <w:highlight w:val="none"/>
              </w:rPr>
            </w:pPr>
            <w:r>
              <w:rPr>
                <w:rFonts w:hint="eastAsia" w:cs="宋体"/>
                <w:b/>
                <w:bCs/>
                <w:color w:val="auto"/>
                <w:sz w:val="24"/>
                <w:szCs w:val="24"/>
                <w:highlight w:val="none"/>
              </w:rPr>
              <w:t xml:space="preserve">评审细则</w:t>
            </w:r>
            <w:r/>
          </w:p>
        </w:tc>
        <w:tc>
          <w:tcPr>
            <w:tcW w:w="370" w:type="pct"/>
            <w:vAlign w:val="center"/>
            <w:textDirection w:val="lrTb"/>
            <w:noWrap w:val="false"/>
          </w:tcPr>
          <w:p>
            <w:pPr>
              <w:jc w:val="left"/>
              <w:spacing w:line="320" w:lineRule="exact"/>
              <w:widowControl/>
              <w:rPr>
                <w:rFonts w:cs="宋体"/>
                <w:b/>
                <w:bCs/>
                <w:color w:val="auto"/>
                <w:sz w:val="24"/>
                <w:szCs w:val="24"/>
                <w:highlight w:val="none"/>
              </w:rPr>
            </w:pPr>
            <w:r>
              <w:rPr>
                <w:rFonts w:hint="eastAsia" w:cs="宋体"/>
                <w:b/>
                <w:bCs/>
                <w:color w:val="auto"/>
                <w:sz w:val="24"/>
                <w:szCs w:val="24"/>
                <w:highlight w:val="none"/>
              </w:rPr>
              <w:t xml:space="preserve">分值</w:t>
            </w:r>
            <w:r/>
          </w:p>
        </w:tc>
      </w:tr>
      <w:tr>
        <w:trPr>
          <w:cantSplit/>
          <w:jc w:val="center"/>
        </w:trPr>
        <w:tc>
          <w:tcPr>
            <w:gridSpan w:val="4"/>
            <w:tcW w:w="5000" w:type="pct"/>
            <w:vAlign w:val="center"/>
            <w:textDirection w:val="lrTb"/>
            <w:noWrap w:val="false"/>
          </w:tcPr>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1.价格</w:t>
            </w:r>
            <w:r/>
          </w:p>
        </w:tc>
      </w:tr>
      <w:tr>
        <w:trPr>
          <w:cantSplit/>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1.1</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价格</w:t>
            </w:r>
            <w:r/>
          </w:p>
        </w:tc>
        <w:tc>
          <w:tcPr>
            <w:tcW w:w="3611" w:type="pct"/>
            <w:vAlign w:val="center"/>
            <w:textDirection w:val="lrTb"/>
            <w:noWrap w:val="false"/>
          </w:tcPr>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采用低价优先法计算，即满足招标文件要求且投标价格最低的投标报价为评标基准价，其价格分为满分。其他供应商的价格分统一按照下列公式计算：投标报价得分=(评标基准价/投标报价)×20</w:t>
            </w:r>
            <w:r/>
          </w:p>
        </w:tc>
        <w:tc>
          <w:tcPr>
            <w:tcW w:w="37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20</w:t>
            </w:r>
            <w:r/>
          </w:p>
        </w:tc>
      </w:tr>
      <w:tr>
        <w:trPr>
          <w:cantSplit/>
          <w:jc w:val="center"/>
        </w:trPr>
        <w:tc>
          <w:tcPr>
            <w:gridSpan w:val="4"/>
            <w:tcW w:w="500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2.技术</w:t>
            </w:r>
            <w:r/>
          </w:p>
        </w:tc>
      </w:tr>
      <w:tr>
        <w:trPr>
          <w:cantSplit/>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2.1</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产品技术参数</w:t>
            </w:r>
            <w:r/>
          </w:p>
        </w:tc>
        <w:tc>
          <w:tcPr>
            <w:tcW w:w="3611" w:type="pct"/>
            <w:textDirection w:val="lrTb"/>
            <w:noWrap w:val="false"/>
          </w:tcPr>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产品技术参数全部满足招标文件要求的得满分20分，打★指标为必须满足项，如有负偏离将作为无效响应，打▲指标为重要指标，有1项负偏离扣</w:t>
            </w:r>
            <w:r>
              <w:rPr>
                <w:rFonts w:cs="宋体"/>
                <w:color w:val="auto"/>
                <w:sz w:val="24"/>
                <w:szCs w:val="24"/>
                <w:highlight w:val="none"/>
              </w:rPr>
              <w:t xml:space="preserve">1.5</w:t>
            </w:r>
            <w:r>
              <w:rPr>
                <w:rFonts w:hint="eastAsia" w:cs="宋体"/>
                <w:color w:val="auto"/>
                <w:sz w:val="24"/>
                <w:szCs w:val="24"/>
                <w:highlight w:val="none"/>
              </w:rPr>
              <w:t xml:space="preserve">分，其余指标有1项负偏离扣1分，扣完为止。</w:t>
            </w:r>
            <w:r/>
          </w:p>
        </w:tc>
        <w:tc>
          <w:tcPr>
            <w:tcW w:w="370" w:type="pct"/>
            <w:vAlign w:val="center"/>
            <w:textDirection w:val="lrTb"/>
            <w:noWrap w:val="false"/>
          </w:tcPr>
          <w:p>
            <w:pPr>
              <w:jc w:val="center"/>
              <w:spacing w:line="320" w:lineRule="exact"/>
              <w:widowControl/>
              <w:rPr>
                <w:rFonts w:cs="宋体"/>
                <w:color w:val="auto"/>
                <w:sz w:val="24"/>
                <w:szCs w:val="24"/>
                <w:highlight w:val="none"/>
              </w:rPr>
            </w:pPr>
            <w:r>
              <w:rPr>
                <w:rFonts w:cs="宋体"/>
                <w:color w:val="auto"/>
                <w:sz w:val="24"/>
                <w:szCs w:val="24"/>
                <w:highlight w:val="none"/>
              </w:rPr>
              <w:t xml:space="preserve">20</w:t>
            </w:r>
            <w:r/>
          </w:p>
        </w:tc>
      </w:tr>
      <w:tr>
        <w:trPr>
          <w:cantSplit/>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2.2</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服务方案</w:t>
            </w:r>
            <w:r/>
          </w:p>
        </w:tc>
        <w:tc>
          <w:tcPr>
            <w:tcW w:w="3611" w:type="pct"/>
            <w:textDirection w:val="lrTb"/>
            <w:noWrap w:val="false"/>
          </w:tcPr>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投标人根据采购人现有设备现状，维保要求，提供完整、详细的服务方案，方案包括但不限于维保服务内容、应急保障内容等。评委根据服务方案评分：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投标人具备非常完善的服务体系，全面的服务内容、可行的故障解决方案、可靠的服务团队和服务电话的，得</w:t>
            </w:r>
            <w:r>
              <w:rPr>
                <w:rFonts w:hint="eastAsia" w:cs="宋体"/>
                <w:color w:val="auto"/>
                <w:sz w:val="24"/>
                <w:szCs w:val="24"/>
                <w:highlight w:val="none"/>
              </w:rPr>
              <w:t xml:space="preserve">7</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投标人具备较为完善的服务体系，较全面的服务内容、较可行的故障解决方案、较可靠的服务团队保障和服务电话的，得</w:t>
            </w:r>
            <w:r>
              <w:rPr>
                <w:rFonts w:hint="eastAsia" w:cs="宋体"/>
                <w:color w:val="auto"/>
                <w:sz w:val="24"/>
                <w:szCs w:val="24"/>
                <w:highlight w:val="none"/>
              </w:rPr>
              <w:t xml:space="preserve">5</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投标人具备一般性的服务保障体系，服务内容一般，故障解决方案针对性和服务团队业务能力一般的，得3分。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投标人几乎服务保障体系和服务内容不合理，故障解决方案针对性和服务团队业务能力较差的，得1分。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未提供服务方案</w:t>
            </w:r>
            <w:r>
              <w:rPr>
                <w:rFonts w:hint="eastAsia" w:cs="宋体"/>
                <w:color w:val="auto"/>
                <w:sz w:val="24"/>
                <w:szCs w:val="24"/>
                <w:highlight w:val="none"/>
              </w:rPr>
              <w:t xml:space="preserve">的不得分</w:t>
            </w:r>
            <w:r>
              <w:rPr>
                <w:rFonts w:cs="宋体"/>
                <w:color w:val="auto"/>
                <w:sz w:val="24"/>
                <w:szCs w:val="24"/>
                <w:highlight w:val="none"/>
              </w:rPr>
              <w:t xml:space="preserve">。</w:t>
            </w:r>
            <w:r/>
          </w:p>
        </w:tc>
        <w:tc>
          <w:tcPr>
            <w:tcW w:w="37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7</w:t>
            </w:r>
            <w:r/>
          </w:p>
        </w:tc>
      </w:tr>
      <w:tr>
        <w:trPr>
          <w:cantSplit/>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cs="宋体"/>
                <w:color w:val="auto"/>
                <w:sz w:val="24"/>
                <w:szCs w:val="24"/>
                <w:highlight w:val="none"/>
              </w:rPr>
              <w:t xml:space="preserve">2.</w:t>
            </w:r>
            <w:r>
              <w:rPr>
                <w:rFonts w:hint="eastAsia" w:cs="宋体"/>
                <w:color w:val="auto"/>
                <w:sz w:val="24"/>
                <w:szCs w:val="24"/>
                <w:highlight w:val="none"/>
              </w:rPr>
              <w:t xml:space="preserve">3</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信息安全</w:t>
            </w:r>
            <w:r/>
          </w:p>
        </w:tc>
        <w:tc>
          <w:tcPr>
            <w:tcW w:w="3611" w:type="pct"/>
            <w:vAlign w:val="center"/>
            <w:textDirection w:val="lrTb"/>
            <w:noWrap w:val="false"/>
          </w:tcPr>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维修设备中可能存在病患的敏感信息，根据投标人在服务过程中保证医院、病患的信息安全措施的具体方案行综合评分：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方案实施细节、服务内容、服务承诺等方案全面、完善，全面、科学、完整性非常高的得5</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方案实施细节、服务内容、服务承诺等方案较全面、较完善，具有一定的全面、科学、完整性，可行性相对高得3</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方案实施细节、服务内容、服务承诺等方案一般详细，基本具备科学性、完整性，可行性一般的得2</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方案实施细节、服务内容、服务承诺等方案不详细，或不完善，全面、科学、完整性，不具备可行性的得</w:t>
            </w:r>
            <w:r>
              <w:rPr>
                <w:rFonts w:cs="宋体"/>
                <w:color w:val="auto"/>
                <w:sz w:val="24"/>
                <w:szCs w:val="24"/>
                <w:highlight w:val="none"/>
              </w:rPr>
              <w:t xml:space="preserve">1分；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未提供方案的不得分</w:t>
            </w:r>
            <w:r>
              <w:rPr>
                <w:rFonts w:cs="宋体"/>
                <w:color w:val="auto"/>
                <w:sz w:val="24"/>
                <w:szCs w:val="24"/>
                <w:highlight w:val="none"/>
              </w:rPr>
              <w:t xml:space="preserve">。</w:t>
            </w:r>
            <w:r/>
          </w:p>
        </w:tc>
        <w:tc>
          <w:tcPr>
            <w:tcW w:w="37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5</w:t>
            </w:r>
            <w:r/>
          </w:p>
        </w:tc>
      </w:tr>
      <w:tr>
        <w:trPr>
          <w:cantSplit/>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cs="宋体"/>
                <w:color w:val="auto"/>
                <w:sz w:val="24"/>
                <w:szCs w:val="24"/>
                <w:highlight w:val="none"/>
              </w:rPr>
              <w:t xml:space="preserve">2.</w:t>
            </w:r>
            <w:r>
              <w:rPr>
                <w:rFonts w:hint="eastAsia" w:cs="宋体"/>
                <w:color w:val="auto"/>
                <w:sz w:val="24"/>
                <w:szCs w:val="24"/>
                <w:highlight w:val="none"/>
              </w:rPr>
              <w:t xml:space="preserve">4</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突发事件应急处理预案</w:t>
            </w:r>
            <w:r/>
          </w:p>
        </w:tc>
        <w:tc>
          <w:tcPr>
            <w:tcW w:w="3611" w:type="pct"/>
            <w:textDirection w:val="lrTb"/>
            <w:noWrap w:val="false"/>
          </w:tcPr>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评委根据投标商提供预防性及应急方案进行打分：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1、预防性及应急措施细化全面，应急措施科学合理，服务响应及时高效，应急保障人力及物资安排合理，得</w:t>
            </w:r>
            <w:r>
              <w:rPr>
                <w:rFonts w:hint="eastAsia" w:cs="宋体"/>
                <w:color w:val="auto"/>
                <w:sz w:val="24"/>
                <w:szCs w:val="24"/>
                <w:highlight w:val="none"/>
              </w:rPr>
              <w:t xml:space="preserve">6</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2、预防性及应急措施基本全面，应急措施基本恰当，服务响应基本及时，具有基本的应急保障人力及物资安排，得</w:t>
            </w:r>
            <w:r>
              <w:rPr>
                <w:rFonts w:hint="eastAsia" w:cs="宋体"/>
                <w:color w:val="auto"/>
                <w:sz w:val="24"/>
                <w:szCs w:val="24"/>
                <w:highlight w:val="none"/>
              </w:rPr>
              <w:t xml:space="preserve">3</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3、预防性及应急措施不全，应急措施混乱，服务响应时间滞后，未考虑人力及物资安排或安排不合理，得</w:t>
            </w:r>
            <w:r>
              <w:rPr>
                <w:rFonts w:hint="eastAsia" w:cs="宋体"/>
                <w:color w:val="auto"/>
                <w:sz w:val="24"/>
                <w:szCs w:val="24"/>
                <w:highlight w:val="none"/>
              </w:rPr>
              <w:t xml:space="preserve">1</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cs="宋体"/>
                <w:color w:val="auto"/>
                <w:sz w:val="24"/>
                <w:szCs w:val="24"/>
                <w:highlight w:val="none"/>
              </w:rPr>
              <w:t xml:space="preserve">4、未提供预防性及应急措施或措施与项目严重不符，本项得0分。</w:t>
            </w:r>
            <w:r/>
          </w:p>
        </w:tc>
        <w:tc>
          <w:tcPr>
            <w:tcW w:w="37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6</w:t>
            </w:r>
            <w:r/>
          </w:p>
        </w:tc>
      </w:tr>
      <w:tr>
        <w:trPr>
          <w:cantSplit/>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2</w:t>
            </w:r>
            <w:r>
              <w:rPr>
                <w:rFonts w:cs="宋体"/>
                <w:color w:val="auto"/>
                <w:sz w:val="24"/>
                <w:szCs w:val="24"/>
                <w:highlight w:val="none"/>
              </w:rPr>
              <w:t xml:space="preserve">.</w:t>
            </w:r>
            <w:r>
              <w:rPr>
                <w:rFonts w:hint="eastAsia" w:cs="宋体"/>
                <w:color w:val="auto"/>
                <w:sz w:val="24"/>
                <w:szCs w:val="24"/>
                <w:highlight w:val="none"/>
              </w:rPr>
              <w:t xml:space="preserve">5</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重要时期保障方案</w:t>
            </w:r>
            <w:r/>
          </w:p>
        </w:tc>
        <w:tc>
          <w:tcPr>
            <w:tcW w:w="3611" w:type="pct"/>
            <w:textDirection w:val="lrTb"/>
            <w:noWrap w:val="false"/>
          </w:tcPr>
          <w:p>
            <w:pPr>
              <w:jc w:val="left"/>
              <w:spacing w:line="320" w:lineRule="exact"/>
              <w:widowControl/>
              <w:rPr>
                <w:rFonts w:cs="Calibri"/>
                <w:color w:val="auto"/>
                <w:spacing w:val="10"/>
                <w:sz w:val="24"/>
                <w:szCs w:val="24"/>
                <w:highlight w:val="none"/>
              </w:rPr>
            </w:pPr>
            <w:r>
              <w:rPr>
                <w:rFonts w:cs="Calibri"/>
                <w:color w:val="auto"/>
                <w:spacing w:val="10"/>
                <w:sz w:val="24"/>
                <w:szCs w:val="24"/>
                <w:highlight w:val="none"/>
              </w:rPr>
              <w:t xml:space="preserve">供应商提供在重要时期（包括但不限于</w:t>
            </w:r>
            <w:r>
              <w:rPr>
                <w:rFonts w:hint="eastAsia" w:cs="Calibri"/>
                <w:color w:val="auto"/>
                <w:spacing w:val="10"/>
                <w:sz w:val="24"/>
                <w:szCs w:val="24"/>
                <w:highlight w:val="none"/>
              </w:rPr>
              <w:t xml:space="preserve">每年的</w:t>
            </w:r>
            <w:r>
              <w:rPr>
                <w:rFonts w:cs="Calibri"/>
                <w:color w:val="auto"/>
                <w:spacing w:val="10"/>
                <w:sz w:val="24"/>
                <w:szCs w:val="24"/>
                <w:highlight w:val="none"/>
              </w:rPr>
              <w:t xml:space="preserve">两会</w:t>
            </w:r>
            <w:r>
              <w:rPr>
                <w:rFonts w:hint="eastAsia" w:cs="Calibri"/>
                <w:color w:val="auto"/>
                <w:spacing w:val="10"/>
                <w:sz w:val="24"/>
                <w:szCs w:val="24"/>
                <w:highlight w:val="none"/>
              </w:rPr>
              <w:t xml:space="preserve">、护网、南京大屠杀死难者国家公祭日、网络安全专项行动期间</w:t>
            </w:r>
            <w:r>
              <w:rPr>
                <w:rFonts w:cs="Calibri"/>
                <w:color w:val="auto"/>
                <w:spacing w:val="10"/>
                <w:sz w:val="24"/>
                <w:szCs w:val="24"/>
                <w:highlight w:val="none"/>
              </w:rPr>
              <w:t xml:space="preserve">等</w:t>
            </w:r>
            <w:r>
              <w:rPr>
                <w:rFonts w:hint="eastAsia" w:cs="Calibri"/>
                <w:color w:val="auto"/>
                <w:spacing w:val="10"/>
                <w:sz w:val="24"/>
                <w:szCs w:val="24"/>
                <w:highlight w:val="none"/>
              </w:rPr>
              <w:t xml:space="preserve">重要</w:t>
            </w:r>
            <w:r>
              <w:rPr>
                <w:rFonts w:cs="Calibri"/>
                <w:color w:val="auto"/>
                <w:spacing w:val="10"/>
                <w:sz w:val="24"/>
                <w:szCs w:val="24"/>
                <w:highlight w:val="none"/>
              </w:rPr>
              <w:t xml:space="preserve">时期）</w:t>
            </w:r>
            <w:r>
              <w:rPr>
                <w:rFonts w:hint="eastAsia" w:cs="Calibri"/>
                <w:color w:val="auto"/>
                <w:spacing w:val="10"/>
                <w:sz w:val="24"/>
                <w:szCs w:val="24"/>
                <w:highlight w:val="none"/>
              </w:rPr>
              <w:t xml:space="preserve">或医院搬家、新科室开业等突发任务时</w:t>
            </w:r>
            <w:r>
              <w:rPr>
                <w:rFonts w:cs="Calibri"/>
                <w:color w:val="auto"/>
                <w:spacing w:val="10"/>
                <w:sz w:val="24"/>
                <w:szCs w:val="24"/>
                <w:highlight w:val="none"/>
              </w:rPr>
              <w:t xml:space="preserve">为南京鼓楼医院基础设施提供</w:t>
            </w:r>
            <w:r>
              <w:rPr>
                <w:rFonts w:hint="eastAsia" w:cs="Calibri"/>
                <w:color w:val="auto"/>
                <w:spacing w:val="10"/>
                <w:sz w:val="24"/>
                <w:szCs w:val="24"/>
                <w:highlight w:val="none"/>
              </w:rPr>
              <w:t xml:space="preserve">驻场</w:t>
            </w:r>
            <w:r>
              <w:rPr>
                <w:rFonts w:cs="Calibri"/>
                <w:color w:val="auto"/>
                <w:spacing w:val="10"/>
                <w:sz w:val="24"/>
                <w:szCs w:val="24"/>
                <w:highlight w:val="none"/>
              </w:rPr>
              <w:t xml:space="preserve">保障服务</w:t>
            </w:r>
            <w:r>
              <w:rPr>
                <w:rFonts w:hint="eastAsia" w:cs="Calibri"/>
                <w:color w:val="auto"/>
                <w:spacing w:val="10"/>
                <w:sz w:val="24"/>
                <w:szCs w:val="24"/>
                <w:highlight w:val="none"/>
              </w:rPr>
              <w:t xml:space="preserve">，</w:t>
            </w:r>
            <w:r>
              <w:rPr>
                <w:rFonts w:hint="eastAsia" w:cs="宋体"/>
                <w:color w:val="auto"/>
                <w:sz w:val="24"/>
                <w:szCs w:val="24"/>
                <w:highlight w:val="none"/>
              </w:rPr>
              <w:t xml:space="preserve">评委根据投标商提供的保障方案进行打分：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方案实施细节、服务内容、服务承诺等方案较全面、较完善，具有一定的全面、科学、完整性，可行性相对高得6</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方案实施细节、服务内容、服务承诺等方案一般详细，基本具备科学性、完整性，可行性一般的得3</w:t>
            </w:r>
            <w:r>
              <w:rPr>
                <w:rFonts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方案实施细节、服务内容、服务承诺等方案不详细，或不完善，全面、科学、完整性，不具备可行性的得</w:t>
            </w:r>
            <w:r>
              <w:rPr>
                <w:rFonts w:cs="宋体"/>
                <w:color w:val="auto"/>
                <w:sz w:val="24"/>
                <w:szCs w:val="24"/>
                <w:highlight w:val="none"/>
              </w:rPr>
              <w:t xml:space="preserve">1分；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未提供方案的不得分</w:t>
            </w:r>
            <w:r>
              <w:rPr>
                <w:rFonts w:cs="宋体"/>
                <w:color w:val="auto"/>
                <w:sz w:val="24"/>
                <w:szCs w:val="24"/>
                <w:highlight w:val="none"/>
              </w:rPr>
              <w:t xml:space="preserve">。</w:t>
            </w:r>
            <w:r/>
          </w:p>
        </w:tc>
        <w:tc>
          <w:tcPr>
            <w:tcW w:w="37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6</w:t>
            </w:r>
            <w:r/>
          </w:p>
        </w:tc>
      </w:tr>
      <w:tr>
        <w:trPr>
          <w:cantSplit/>
          <w:jc w:val="center"/>
        </w:trPr>
        <w:tc>
          <w:tcPr>
            <w:gridSpan w:val="4"/>
            <w:tcW w:w="500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3.业绩</w:t>
            </w:r>
            <w:r/>
          </w:p>
        </w:tc>
      </w:tr>
      <w:tr>
        <w:trPr>
          <w:cantSplit/>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cs="宋体"/>
                <w:color w:val="auto"/>
                <w:sz w:val="24"/>
                <w:szCs w:val="24"/>
                <w:highlight w:val="none"/>
              </w:rPr>
              <w:t xml:space="preserve">3.1</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业绩</w:t>
            </w:r>
            <w:r/>
          </w:p>
        </w:tc>
        <w:tc>
          <w:tcPr>
            <w:tcW w:w="3611" w:type="pct"/>
            <w:vAlign w:val="center"/>
            <w:textDirection w:val="lrTb"/>
            <w:noWrap w:val="false"/>
          </w:tcPr>
          <w:p>
            <w:pPr>
              <w:jc w:val="left"/>
              <w:spacing w:line="320" w:lineRule="exact"/>
              <w:widowControl/>
              <w:rPr>
                <w:rFonts w:cs="宋体"/>
                <w:color w:val="auto"/>
                <w:sz w:val="24"/>
                <w:szCs w:val="24"/>
                <w:highlight w:val="none"/>
              </w:rPr>
            </w:pPr>
            <w:r>
              <w:rPr>
                <w:rFonts w:cs="宋体"/>
                <w:color w:val="auto"/>
                <w:sz w:val="24"/>
                <w:szCs w:val="24"/>
                <w:highlight w:val="none"/>
              </w:rPr>
              <w:t xml:space="preserve">202</w:t>
            </w:r>
            <w:r>
              <w:rPr>
                <w:rFonts w:hint="eastAsia" w:cs="宋体"/>
                <w:color w:val="auto"/>
                <w:sz w:val="24"/>
                <w:szCs w:val="24"/>
                <w:highlight w:val="none"/>
              </w:rPr>
              <w:t xml:space="preserve">4</w:t>
            </w:r>
            <w:r>
              <w:rPr>
                <w:rFonts w:cs="宋体"/>
                <w:color w:val="auto"/>
                <w:sz w:val="24"/>
                <w:szCs w:val="24"/>
                <w:highlight w:val="none"/>
              </w:rPr>
              <w:t xml:space="preserve">年1月1日（以合同签订日期为准）至今，投标单位承接过的类似本项目情况（至少包含电脑及打印机维修维护和驻场服务），每提供一份合同得3分，最高</w:t>
            </w:r>
            <w:r>
              <w:rPr>
                <w:rFonts w:hint="eastAsia" w:cs="宋体"/>
                <w:color w:val="auto"/>
                <w:sz w:val="24"/>
                <w:szCs w:val="24"/>
                <w:highlight w:val="none"/>
              </w:rPr>
              <w:t xml:space="preserve">9</w:t>
            </w:r>
            <w:r>
              <w:rPr>
                <w:rFonts w:cs="宋体"/>
                <w:color w:val="auto"/>
                <w:sz w:val="24"/>
                <w:szCs w:val="24"/>
                <w:highlight w:val="none"/>
              </w:rPr>
              <w:t xml:space="preserve">分。</w:t>
            </w:r>
            <w:r>
              <w:rPr>
                <w:rFonts w:hint="eastAsia" w:cs="宋体"/>
                <w:b/>
                <w:bCs/>
                <w:color w:val="auto"/>
                <w:sz w:val="24"/>
                <w:szCs w:val="24"/>
                <w:highlight w:val="none"/>
              </w:rPr>
              <w:t xml:space="preserve">（提供合同复印件加盖公章，合同须能反映项目名称、主要标的物，签订时间和签章清晰可见）</w:t>
            </w:r>
            <w:r/>
          </w:p>
        </w:tc>
        <w:tc>
          <w:tcPr>
            <w:tcW w:w="37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9</w:t>
            </w:r>
            <w:r/>
          </w:p>
        </w:tc>
      </w:tr>
      <w:tr>
        <w:trPr>
          <w:jc w:val="center"/>
        </w:trPr>
        <w:tc>
          <w:tcPr>
            <w:gridSpan w:val="4"/>
            <w:tcW w:w="5000" w:type="pct"/>
            <w:vAlign w:val="center"/>
            <w:textDirection w:val="lrTb"/>
            <w:noWrap w:val="false"/>
          </w:tcPr>
          <w:p>
            <w:pPr>
              <w:jc w:val="center"/>
              <w:spacing w:line="320" w:lineRule="exact"/>
              <w:widowControl/>
              <w:rPr>
                <w:rFonts w:cs="宋体"/>
                <w:color w:val="auto"/>
                <w:sz w:val="24"/>
                <w:szCs w:val="24"/>
                <w:highlight w:val="none"/>
              </w:rPr>
            </w:pPr>
            <w:r>
              <w:rPr>
                <w:color w:val="auto"/>
                <w:sz w:val="24"/>
                <w:szCs w:val="24"/>
                <w:highlight w:val="none"/>
              </w:rPr>
              <w:br w:type="page" w:clear="all"/>
            </w:r>
            <w:r>
              <w:rPr>
                <w:rFonts w:hint="eastAsia"/>
                <w:color w:val="auto"/>
                <w:sz w:val="24"/>
                <w:szCs w:val="24"/>
                <w:highlight w:val="none"/>
              </w:rPr>
              <w:t xml:space="preserve">4.</w:t>
            </w:r>
            <w:r>
              <w:rPr>
                <w:rFonts w:hint="eastAsia" w:cs="宋体"/>
                <w:color w:val="auto"/>
                <w:sz w:val="24"/>
                <w:szCs w:val="24"/>
                <w:highlight w:val="none"/>
              </w:rPr>
              <w:t xml:space="preserve">履约能力</w:t>
            </w:r>
            <w:r/>
          </w:p>
        </w:tc>
      </w:tr>
      <w:tr>
        <w:trPr>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cs="宋体"/>
                <w:color w:val="auto"/>
                <w:sz w:val="24"/>
                <w:szCs w:val="24"/>
                <w:highlight w:val="none"/>
              </w:rPr>
              <w:t xml:space="preserve">4</w:t>
            </w:r>
            <w:r>
              <w:rPr>
                <w:rFonts w:hint="eastAsia" w:cs="宋体"/>
                <w:color w:val="auto"/>
                <w:sz w:val="24"/>
                <w:szCs w:val="24"/>
                <w:highlight w:val="none"/>
              </w:rPr>
              <w:t xml:space="preserve">.1</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供应商服务能力</w:t>
            </w:r>
            <w:r/>
          </w:p>
        </w:tc>
        <w:tc>
          <w:tcPr>
            <w:tcW w:w="3611" w:type="pct"/>
            <w:vAlign w:val="center"/>
            <w:textDirection w:val="lrTb"/>
            <w:noWrap w:val="false"/>
          </w:tcPr>
          <w:p>
            <w:pPr>
              <w:pStyle w:val="1206"/>
              <w:ind w:firstLine="0"/>
              <w:jc w:val="left"/>
              <w:spacing w:line="320" w:lineRule="exact"/>
              <w:rPr>
                <w:rFonts w:ascii="宋体" w:hAnsi="宋体" w:cs="宋体"/>
                <w:color w:val="auto"/>
                <w:sz w:val="24"/>
                <w:szCs w:val="24"/>
                <w:highlight w:val="none"/>
              </w:rPr>
            </w:pPr>
            <w:r>
              <w:rPr>
                <w:rFonts w:hint="eastAsia" w:cs="宋体"/>
                <w:color w:val="auto"/>
                <w:sz w:val="24"/>
                <w:szCs w:val="24"/>
                <w:highlight w:val="none"/>
              </w:rPr>
              <w:t xml:space="preserve">①</w:t>
            </w:r>
            <w:r>
              <w:rPr>
                <w:rFonts w:hint="eastAsia" w:ascii="宋体" w:hAnsi="宋体" w:cs="宋体"/>
                <w:color w:val="auto"/>
                <w:sz w:val="24"/>
                <w:szCs w:val="24"/>
                <w:highlight w:val="none"/>
              </w:rPr>
              <w:t xml:space="preserve">供应商具有院方电脑、打印机等设备主要品牌原厂维修站资质的，每个品牌得</w:t>
            </w:r>
            <w:r>
              <w:rPr>
                <w:rFonts w:cs="宋体"/>
                <w:color w:val="auto"/>
                <w:sz w:val="24"/>
                <w:szCs w:val="24"/>
                <w:highlight w:val="none"/>
              </w:rPr>
              <w:t xml:space="preserve">1</w:t>
            </w:r>
            <w:r>
              <w:rPr>
                <w:rFonts w:hint="eastAsia" w:ascii="宋体" w:hAnsi="宋体" w:cs="宋体"/>
                <w:color w:val="auto"/>
                <w:sz w:val="24"/>
                <w:szCs w:val="24"/>
                <w:highlight w:val="none"/>
              </w:rPr>
              <w:t xml:space="preserve">分，最高</w:t>
            </w:r>
            <w:r>
              <w:rPr>
                <w:rFonts w:cs="宋体"/>
                <w:color w:val="auto"/>
                <w:sz w:val="24"/>
                <w:szCs w:val="24"/>
                <w:highlight w:val="none"/>
              </w:rPr>
              <w:t xml:space="preserve">3</w:t>
            </w:r>
            <w:r>
              <w:rPr>
                <w:rFonts w:hint="eastAsia" w:ascii="宋体" w:hAnsi="宋体" w:cs="宋体"/>
                <w:color w:val="auto"/>
                <w:sz w:val="24"/>
                <w:szCs w:val="24"/>
                <w:highlight w:val="none"/>
              </w:rPr>
              <w:t xml:space="preserve">分。</w:t>
            </w:r>
            <w:r/>
          </w:p>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②供应商具有与本项目维护设备相关的信息技术服务管理体系、信息安全管理体系、五星售后服务认证，每提供一项得2分，最高得6分。</w:t>
            </w:r>
            <w:r/>
          </w:p>
          <w:p>
            <w:pPr>
              <w:jc w:val="left"/>
              <w:spacing w:line="320" w:lineRule="exact"/>
              <w:rPr>
                <w:color w:val="auto"/>
                <w:sz w:val="24"/>
                <w:szCs w:val="24"/>
                <w:highlight w:val="none"/>
              </w:rPr>
            </w:pPr>
            <w:r>
              <w:rPr>
                <w:rFonts w:hint="eastAsia" w:cs="宋体"/>
                <w:color w:val="auto"/>
                <w:sz w:val="24"/>
                <w:szCs w:val="24"/>
                <w:highlight w:val="none"/>
              </w:rPr>
              <w:t xml:space="preserve">（提供上述证书复印件加盖公章，否则不得分。）</w:t>
            </w:r>
            <w:r/>
          </w:p>
        </w:tc>
        <w:tc>
          <w:tcPr>
            <w:tcW w:w="370" w:type="pct"/>
            <w:vAlign w:val="center"/>
            <w:textDirection w:val="lrTb"/>
            <w:noWrap w:val="false"/>
          </w:tcPr>
          <w:p>
            <w:pPr>
              <w:jc w:val="center"/>
              <w:spacing w:line="320" w:lineRule="exact"/>
              <w:rPr>
                <w:rFonts w:cs="宋体"/>
                <w:color w:val="auto"/>
                <w:sz w:val="24"/>
                <w:szCs w:val="24"/>
                <w:highlight w:val="none"/>
              </w:rPr>
            </w:pPr>
            <w:r>
              <w:rPr>
                <w:rFonts w:cs="宋体"/>
                <w:color w:val="auto"/>
                <w:sz w:val="24"/>
                <w:szCs w:val="24"/>
                <w:highlight w:val="none"/>
              </w:rPr>
              <w:t xml:space="preserve">9</w:t>
            </w:r>
            <w:r/>
          </w:p>
        </w:tc>
      </w:tr>
      <w:tr>
        <w:trPr>
          <w:jc w:val="center"/>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4.2</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驻场服务能力</w:t>
            </w:r>
            <w:r/>
          </w:p>
        </w:tc>
        <w:tc>
          <w:tcPr>
            <w:tcW w:w="3611" w:type="pct"/>
            <w:vAlign w:val="center"/>
            <w:textDirection w:val="lrTb"/>
            <w:noWrap w:val="false"/>
          </w:tcPr>
          <w:p>
            <w:pPr>
              <w:jc w:val="left"/>
              <w:spacing w:line="320" w:lineRule="exact"/>
              <w:rPr>
                <w:rFonts w:cs="宋体"/>
                <w:color w:val="auto"/>
                <w:sz w:val="24"/>
                <w:szCs w:val="24"/>
                <w:highlight w:val="none"/>
              </w:rPr>
            </w:pPr>
            <w:r>
              <w:rPr>
                <w:rFonts w:hint="eastAsia" w:cs="宋体"/>
                <w:color w:val="auto"/>
                <w:sz w:val="24"/>
                <w:szCs w:val="24"/>
                <w:highlight w:val="none"/>
              </w:rPr>
              <w:t xml:space="preserve">项目团队能力：</w:t>
            </w:r>
            <w:r/>
          </w:p>
          <w:p>
            <w:pPr>
              <w:jc w:val="left"/>
              <w:spacing w:line="320" w:lineRule="exact"/>
              <w:rPr>
                <w:rFonts w:cs="宋体"/>
                <w:color w:val="auto"/>
                <w:sz w:val="24"/>
                <w:szCs w:val="24"/>
                <w:highlight w:val="none"/>
              </w:rPr>
            </w:pPr>
            <w:r>
              <w:rPr>
                <w:rFonts w:hint="eastAsia" w:cs="宋体"/>
                <w:color w:val="auto"/>
                <w:sz w:val="24"/>
                <w:szCs w:val="24"/>
                <w:highlight w:val="none"/>
              </w:rPr>
              <w:t xml:space="preserve">①驻场工程师（包含项目经理）具有工信部认证的硬件技术维护工程师（高级）证书的，每一个得3分，最高6分。</w:t>
            </w:r>
            <w:r/>
          </w:p>
          <w:p>
            <w:pPr>
              <w:pStyle w:val="1206"/>
              <w:ind w:firstLine="0"/>
              <w:jc w:val="left"/>
              <w:spacing w:line="320" w:lineRule="exact"/>
              <w:rPr>
                <w:rFonts w:ascii="宋体" w:hAnsi="宋体" w:cs="宋体"/>
                <w:color w:val="auto"/>
                <w:sz w:val="24"/>
                <w:szCs w:val="24"/>
                <w:highlight w:val="none"/>
              </w:rPr>
            </w:pPr>
            <w:r>
              <w:rPr>
                <w:rFonts w:hint="eastAsia" w:cs="宋体"/>
                <w:color w:val="auto"/>
                <w:sz w:val="24"/>
                <w:szCs w:val="24"/>
                <w:highlight w:val="none"/>
              </w:rPr>
              <w:t xml:space="preserve">②</w:t>
            </w:r>
            <w:r>
              <w:rPr>
                <w:rFonts w:hint="eastAsia" w:ascii="宋体" w:hAnsi="宋体" w:cs="宋体"/>
                <w:color w:val="auto"/>
                <w:sz w:val="24"/>
                <w:szCs w:val="24"/>
                <w:highlight w:val="none"/>
              </w:rPr>
              <w:t xml:space="preserve">驻场工程师具备院方电脑、打印机设备主要品牌原厂工程师维修资质或原厂品牌培训证书的，每一个得1分，最高</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分</w:t>
            </w:r>
            <w:r/>
          </w:p>
          <w:p>
            <w:pPr>
              <w:pStyle w:val="1206"/>
              <w:ind w:firstLine="0"/>
              <w:jc w:val="left"/>
              <w:spacing w:line="3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③驻场工程师参与医院相关软件厂商（HIS、EMR、PACS、LIS等）安装调试及运维培训的，每一个得1分，最高4分。</w:t>
            </w:r>
            <w:r/>
          </w:p>
          <w:p>
            <w:pPr>
              <w:pStyle w:val="1206"/>
              <w:ind w:firstLine="0"/>
              <w:jc w:val="left"/>
              <w:spacing w:line="320" w:lineRule="exact"/>
              <w:rPr>
                <w:rFonts w:cs="宋体"/>
                <w:color w:val="auto"/>
                <w:sz w:val="24"/>
                <w:szCs w:val="24"/>
                <w:highlight w:val="none"/>
              </w:rPr>
            </w:pPr>
            <w:r>
              <w:rPr>
                <w:rFonts w:hint="eastAsia" w:ascii="宋体" w:hAnsi="宋体" w:cs="宋体"/>
                <w:color w:val="auto"/>
                <w:sz w:val="24"/>
                <w:szCs w:val="24"/>
                <w:highlight w:val="none"/>
              </w:rPr>
              <w:t xml:space="preserve">（提供上述证明文件复印件加盖公章，否则不得分。每个人员只记一次得分，不重复得分。）</w:t>
            </w:r>
            <w:r/>
          </w:p>
        </w:tc>
        <w:tc>
          <w:tcPr>
            <w:tcW w:w="370" w:type="pct"/>
            <w:vAlign w:val="center"/>
            <w:textDirection w:val="lrTb"/>
            <w:noWrap w:val="false"/>
          </w:tcPr>
          <w:p>
            <w:pPr>
              <w:jc w:val="center"/>
              <w:spacing w:line="320" w:lineRule="exact"/>
              <w:rPr>
                <w:rFonts w:cs="宋体"/>
                <w:color w:val="auto"/>
                <w:sz w:val="24"/>
                <w:szCs w:val="24"/>
                <w:highlight w:val="none"/>
              </w:rPr>
            </w:pPr>
            <w:r>
              <w:rPr>
                <w:rFonts w:cs="宋体"/>
                <w:color w:val="auto"/>
                <w:sz w:val="24"/>
                <w:szCs w:val="24"/>
                <w:highlight w:val="none"/>
              </w:rPr>
              <w:t xml:space="preserve">14</w:t>
            </w:r>
            <w:r/>
          </w:p>
        </w:tc>
      </w:tr>
      <w:tr>
        <w:trPr>
          <w:cantSplit/>
          <w:jc w:val="center"/>
          <w:trHeight w:val="1167"/>
        </w:trPr>
        <w:tc>
          <w:tcPr>
            <w:tcW w:w="436"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4</w:t>
            </w:r>
            <w:r>
              <w:rPr>
                <w:rFonts w:cs="宋体"/>
                <w:color w:val="auto"/>
                <w:sz w:val="24"/>
                <w:szCs w:val="24"/>
                <w:highlight w:val="none"/>
              </w:rPr>
              <w:t xml:space="preserve">.</w:t>
            </w:r>
            <w:r>
              <w:rPr>
                <w:rFonts w:hint="eastAsia" w:cs="宋体"/>
                <w:color w:val="auto"/>
                <w:sz w:val="24"/>
                <w:szCs w:val="24"/>
                <w:highlight w:val="none"/>
              </w:rPr>
              <w:t xml:space="preserve">3</w:t>
            </w:r>
            <w:r/>
          </w:p>
        </w:tc>
        <w:tc>
          <w:tcPr>
            <w:tcW w:w="582"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人员后备能力</w:t>
            </w:r>
            <w:r/>
          </w:p>
        </w:tc>
        <w:tc>
          <w:tcPr>
            <w:tcW w:w="3611" w:type="pct"/>
            <w:vAlign w:val="center"/>
            <w:textDirection w:val="lrTb"/>
            <w:noWrap w:val="false"/>
          </w:tcPr>
          <w:p>
            <w:pPr>
              <w:jc w:val="left"/>
              <w:spacing w:line="320" w:lineRule="exact"/>
              <w:rPr>
                <w:rFonts w:cs="宋体"/>
                <w:color w:val="auto"/>
                <w:sz w:val="24"/>
                <w:szCs w:val="24"/>
                <w:highlight w:val="none"/>
              </w:rPr>
            </w:pPr>
            <w:r>
              <w:rPr>
                <w:rFonts w:hint="eastAsia" w:cs="宋体"/>
                <w:color w:val="auto"/>
                <w:sz w:val="24"/>
                <w:szCs w:val="24"/>
                <w:highlight w:val="none"/>
              </w:rPr>
              <w:t xml:space="preserve">供应商在满足本项目驻场服务要求的基础上,每多提供一名驻场工程师得2分,本项最多4分。(多提供的驻场工程师需具有院方电脑及打印机设备主要品牌原厂工程师认证证书，提供承诺函及证书复印件，加盖公章，否则不得分。每个人员只记一次得分，不重复得分。)</w:t>
            </w:r>
            <w:r/>
          </w:p>
        </w:tc>
        <w:tc>
          <w:tcPr>
            <w:tcW w:w="370" w:type="pct"/>
            <w:vAlign w:val="center"/>
            <w:textDirection w:val="lrTb"/>
            <w:noWrap w:val="false"/>
          </w:tcPr>
          <w:p>
            <w:pPr>
              <w:jc w:val="center"/>
              <w:spacing w:line="320" w:lineRule="exact"/>
              <w:rPr>
                <w:rFonts w:cs="宋体"/>
                <w:color w:val="auto"/>
                <w:sz w:val="24"/>
                <w:szCs w:val="24"/>
                <w:highlight w:val="none"/>
              </w:rPr>
            </w:pPr>
            <w:r>
              <w:rPr>
                <w:rFonts w:hint="eastAsia" w:cs="宋体"/>
                <w:color w:val="auto"/>
                <w:sz w:val="24"/>
                <w:szCs w:val="24"/>
                <w:highlight w:val="none"/>
              </w:rPr>
              <w:t xml:space="preserve">4</w:t>
            </w:r>
            <w:r/>
          </w:p>
        </w:tc>
      </w:tr>
      <w:tr>
        <w:trPr>
          <w:cantSplit/>
          <w:jc w:val="center"/>
        </w:trPr>
        <w:tc>
          <w:tcPr>
            <w:gridSpan w:val="3"/>
            <w:tcW w:w="4629" w:type="pct"/>
            <w:vAlign w:val="center"/>
            <w:textDirection w:val="lrTb"/>
            <w:noWrap w:val="false"/>
          </w:tcPr>
          <w:p>
            <w:pPr>
              <w:jc w:val="left"/>
              <w:spacing w:line="320" w:lineRule="exact"/>
              <w:widowControl/>
              <w:rPr>
                <w:rFonts w:cs="宋体"/>
                <w:color w:val="auto"/>
                <w:sz w:val="24"/>
                <w:szCs w:val="24"/>
                <w:highlight w:val="none"/>
              </w:rPr>
            </w:pPr>
            <w:r>
              <w:rPr>
                <w:rFonts w:hint="eastAsia" w:cs="宋体"/>
                <w:color w:val="auto"/>
                <w:sz w:val="24"/>
                <w:szCs w:val="24"/>
                <w:highlight w:val="none"/>
              </w:rPr>
              <w:t xml:space="preserve">合计：</w:t>
            </w:r>
            <w:r/>
          </w:p>
        </w:tc>
        <w:tc>
          <w:tcPr>
            <w:tcW w:w="370" w:type="pct"/>
            <w:vAlign w:val="center"/>
            <w:textDirection w:val="lrTb"/>
            <w:noWrap w:val="false"/>
          </w:tcPr>
          <w:p>
            <w:pPr>
              <w:jc w:val="center"/>
              <w:spacing w:line="320" w:lineRule="exact"/>
              <w:widowControl/>
              <w:rPr>
                <w:rFonts w:cs="宋体"/>
                <w:color w:val="auto"/>
                <w:sz w:val="24"/>
                <w:szCs w:val="24"/>
                <w:highlight w:val="none"/>
              </w:rPr>
            </w:pPr>
            <w:r>
              <w:rPr>
                <w:rFonts w:hint="eastAsia" w:cs="宋体"/>
                <w:color w:val="auto"/>
                <w:sz w:val="24"/>
                <w:szCs w:val="24"/>
                <w:highlight w:val="none"/>
              </w:rPr>
              <w:t xml:space="preserve">100</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rPr>
          <w:rStyle w:val="849"/>
          <w:b w:val="0"/>
          <w:color w:val="auto"/>
          <w:highlight w:val="none"/>
        </w:rPr>
        <w:outlineLvl w:val="0"/>
      </w:pPr>
      <w:r>
        <w:rPr>
          <w:b w:val="0"/>
          <w:color w:val="auto"/>
          <w:highlight w:val="none"/>
        </w:rPr>
      </w:r>
      <w:r/>
    </w:p>
    <w:p>
      <w:pPr>
        <w:jc w:val="center"/>
        <w:rPr>
          <w:rStyle w:val="849"/>
          <w:b w:val="0"/>
          <w:color w:val="auto"/>
          <w:highlight w:val="none"/>
        </w:rPr>
        <w:outlineLvl w:val="0"/>
      </w:pPr>
      <w:r>
        <w:rPr>
          <w:b w:val="0"/>
          <w:color w:val="auto"/>
          <w:highlight w:val="none"/>
        </w:rPr>
      </w:r>
      <w:r/>
    </w:p>
    <w:p>
      <w:pPr>
        <w:pStyle w:val="809"/>
        <w:rPr>
          <w:rStyle w:val="849"/>
          <w:b w:val="0"/>
          <w:color w:val="auto"/>
          <w:highlight w:val="none"/>
        </w:rPr>
      </w:pPr>
      <w:r>
        <w:rPr>
          <w:b w:val="0"/>
          <w:color w:val="auto"/>
          <w:highlight w:val="none"/>
        </w:rPr>
      </w:r>
      <w:r/>
    </w:p>
    <w:p>
      <w:pPr>
        <w:pStyle w:val="809"/>
        <w:ind w:firstLine="0"/>
        <w:rPr>
          <w:rStyle w:val="849"/>
          <w:b w:val="0"/>
          <w:color w:val="auto"/>
          <w:highlight w:val="none"/>
        </w:rPr>
      </w:pPr>
      <w:r>
        <w:rPr>
          <w:b w:val="0"/>
          <w:color w:val="auto"/>
          <w:highlight w:val="none"/>
        </w:rPr>
      </w:r>
      <w:r/>
    </w:p>
    <w:p>
      <w:pPr>
        <w:rPr>
          <w:rStyle w:val="849"/>
          <w:b w:val="0"/>
          <w:color w:val="auto"/>
          <w:highlight w:val="none"/>
        </w:rPr>
      </w:pPr>
      <w:r/>
      <w:bookmarkStart w:id="148" w:name="_Toc23169"/>
      <w:r/>
      <w:bookmarkStart w:id="149" w:name="_Toc8891"/>
      <w:r>
        <w:rPr>
          <w:rStyle w:val="849"/>
          <w:rFonts w:hint="eastAsia"/>
          <w:b w:val="0"/>
          <w:color w:val="auto"/>
          <w:highlight w:val="none"/>
        </w:rPr>
        <w:br w:type="page" w:clear="all"/>
      </w:r>
      <w:r/>
    </w:p>
    <w:p>
      <w:pPr>
        <w:numPr>
          <w:ilvl w:val="0"/>
          <w:numId w:val="8"/>
        </w:numPr>
        <w:rPr>
          <w:rStyle w:val="849"/>
          <w:b w:val="0"/>
          <w:color w:val="auto"/>
          <w:highlight w:val="none"/>
        </w:rPr>
        <w:outlineLvl w:val="0"/>
      </w:pPr>
      <w:r>
        <w:rPr>
          <w:rStyle w:val="849"/>
          <w:rFonts w:hint="eastAsia"/>
          <w:b w:val="0"/>
          <w:color w:val="auto"/>
          <w:highlight w:val="none"/>
        </w:rPr>
        <w:t xml:space="preserve">采购需求</w:t>
      </w:r>
      <w:bookmarkEnd w:id="147"/>
      <w:r/>
      <w:bookmarkEnd w:id="148"/>
      <w:r/>
      <w:bookmarkEnd w:id="149"/>
      <w:r/>
      <w:bookmarkStart w:id="150" w:name="_Toc514054482"/>
      <w:r/>
      <w:r/>
    </w:p>
    <w:p>
      <w:pPr>
        <w:jc w:val="left"/>
        <w:spacing w:line="276" w:lineRule="auto"/>
        <w:widowControl/>
        <w:tabs>
          <w:tab w:val="left" w:pos="720" w:leader="none"/>
        </w:tabs>
        <w:rPr>
          <w:rFonts w:ascii="宋体" w:hAnsi="宋体" w:cs="宋体"/>
          <w:b/>
          <w:bCs/>
          <w:color w:val="auto"/>
          <w:sz w:val="24"/>
          <w:szCs w:val="24"/>
          <w:highlight w:val="none"/>
        </w:rPr>
        <w:outlineLvl w:val="1"/>
      </w:pPr>
      <w:r/>
      <w:bookmarkStart w:id="151" w:name="_Toc311"/>
      <w:r/>
      <w:bookmarkStart w:id="152" w:name="_Toc32119"/>
      <w:r/>
      <w:r/>
    </w:p>
    <w:p>
      <w:pPr>
        <w:jc w:val="left"/>
        <w:spacing w:line="360" w:lineRule="auto"/>
        <w:rPr>
          <w:b/>
          <w:bCs/>
          <w:color w:val="auto"/>
          <w:sz w:val="24"/>
          <w:szCs w:val="24"/>
          <w:highlight w:val="none"/>
        </w:rPr>
      </w:pPr>
      <w:r>
        <w:rPr>
          <w:rFonts w:hint="eastAsia"/>
          <w:b/>
          <w:bCs/>
          <w:color w:val="auto"/>
          <w:sz w:val="24"/>
          <w:szCs w:val="24"/>
          <w:highlight w:val="none"/>
        </w:rPr>
        <w:t xml:space="preserve">服务技术要求:</w:t>
      </w:r>
      <w:r/>
    </w:p>
    <w:p>
      <w:pPr>
        <w:ind w:firstLine="482"/>
        <w:spacing w:line="360" w:lineRule="auto"/>
        <w:rPr>
          <w:b/>
          <w:bCs/>
          <w:color w:val="auto"/>
          <w:sz w:val="24"/>
          <w:szCs w:val="24"/>
          <w:highlight w:val="none"/>
        </w:rPr>
      </w:pPr>
      <w:r>
        <w:rPr>
          <w:rFonts w:hint="eastAsia"/>
          <w:b/>
          <w:bCs/>
          <w:color w:val="auto"/>
          <w:sz w:val="24"/>
          <w:szCs w:val="24"/>
          <w:highlight w:val="none"/>
        </w:rPr>
        <w:t xml:space="preserve">1、服务范围：</w:t>
      </w:r>
      <w:r/>
    </w:p>
    <w:p>
      <w:pPr>
        <w:ind w:firstLine="482"/>
        <w:spacing w:line="360" w:lineRule="auto"/>
        <w:rPr>
          <w:color w:val="auto"/>
          <w:sz w:val="24"/>
          <w:szCs w:val="24"/>
          <w:highlight w:val="none"/>
        </w:rPr>
      </w:pPr>
      <w:r>
        <w:rPr>
          <w:rFonts w:hint="eastAsia"/>
          <w:color w:val="auto"/>
          <w:sz w:val="24"/>
          <w:szCs w:val="24"/>
          <w:highlight w:val="none"/>
        </w:rPr>
        <w:t xml:space="preserve">指派驻场工程师在医院现场对</w:t>
      </w:r>
      <w:r>
        <w:rPr>
          <w:color w:val="auto"/>
          <w:sz w:val="24"/>
          <w:szCs w:val="24"/>
          <w:highlight w:val="none"/>
        </w:rPr>
        <w:t xml:space="preserve">相关设备进行</w:t>
      </w:r>
      <w:r>
        <w:rPr>
          <w:rFonts w:hint="eastAsia"/>
          <w:color w:val="auto"/>
          <w:sz w:val="24"/>
          <w:szCs w:val="24"/>
          <w:highlight w:val="none"/>
        </w:rPr>
        <w:t xml:space="preserve">维修</w:t>
      </w:r>
      <w:r>
        <w:rPr>
          <w:color w:val="auto"/>
          <w:sz w:val="24"/>
          <w:szCs w:val="24"/>
          <w:highlight w:val="none"/>
        </w:rPr>
        <w:t xml:space="preserve">维护，包括：电脑</w:t>
      </w:r>
      <w:r>
        <w:rPr>
          <w:rFonts w:hint="eastAsia"/>
          <w:color w:val="auto"/>
          <w:sz w:val="24"/>
          <w:szCs w:val="24"/>
          <w:highlight w:val="none"/>
        </w:rPr>
        <w:t xml:space="preserve">主机</w:t>
      </w:r>
      <w:r>
        <w:rPr>
          <w:color w:val="auto"/>
          <w:sz w:val="24"/>
          <w:szCs w:val="24"/>
          <w:highlight w:val="none"/>
        </w:rPr>
        <w:t xml:space="preserve">、显示器、</w:t>
      </w:r>
      <w:r>
        <w:rPr>
          <w:rFonts w:hint="eastAsia"/>
          <w:color w:val="auto"/>
          <w:sz w:val="24"/>
          <w:szCs w:val="24"/>
          <w:highlight w:val="none"/>
        </w:rPr>
        <w:t xml:space="preserve">打印机</w:t>
      </w:r>
      <w:r>
        <w:rPr>
          <w:color w:val="auto"/>
          <w:sz w:val="24"/>
          <w:szCs w:val="24"/>
          <w:highlight w:val="none"/>
        </w:rPr>
        <w:t xml:space="preserve">、PDA、</w:t>
      </w:r>
      <w:r>
        <w:rPr>
          <w:rFonts w:hint="eastAsia"/>
          <w:color w:val="auto"/>
          <w:sz w:val="24"/>
          <w:szCs w:val="24"/>
          <w:highlight w:val="none"/>
        </w:rPr>
        <w:t xml:space="preserve">扫码枪、扫描仪、移动护理车、投影仪</w:t>
      </w:r>
      <w:r>
        <w:rPr>
          <w:color w:val="auto"/>
          <w:sz w:val="24"/>
          <w:szCs w:val="24"/>
          <w:highlight w:val="none"/>
        </w:rPr>
        <w:t xml:space="preserve">等</w:t>
      </w:r>
      <w:r>
        <w:rPr>
          <w:rFonts w:hint="eastAsia"/>
          <w:color w:val="auto"/>
          <w:sz w:val="24"/>
          <w:szCs w:val="24"/>
          <w:highlight w:val="none"/>
        </w:rPr>
        <w:t xml:space="preserve">信息相关硬件</w:t>
      </w:r>
      <w:r>
        <w:rPr>
          <w:color w:val="auto"/>
          <w:sz w:val="24"/>
          <w:szCs w:val="24"/>
          <w:highlight w:val="none"/>
        </w:rPr>
        <w:t xml:space="preserve">设备</w:t>
      </w:r>
      <w:r>
        <w:rPr>
          <w:rFonts w:hint="eastAsia"/>
          <w:color w:val="auto"/>
          <w:sz w:val="24"/>
          <w:szCs w:val="24"/>
          <w:highlight w:val="none"/>
        </w:rPr>
        <w:t xml:space="preserve">。</w:t>
      </w:r>
      <w:r/>
    </w:p>
    <w:p>
      <w:pPr>
        <w:ind w:firstLine="482"/>
        <w:spacing w:line="360" w:lineRule="auto"/>
        <w:rPr>
          <w:color w:val="auto"/>
          <w:sz w:val="24"/>
          <w:szCs w:val="24"/>
          <w:highlight w:val="none"/>
        </w:rPr>
      </w:pPr>
      <w:r>
        <w:rPr>
          <w:rFonts w:hint="eastAsia"/>
          <w:color w:val="auto"/>
          <w:sz w:val="24"/>
          <w:szCs w:val="24"/>
          <w:highlight w:val="none"/>
        </w:rPr>
        <w:t xml:space="preserve">目前我院四</w:t>
      </w:r>
      <w:r>
        <w:rPr>
          <w:color w:val="auto"/>
          <w:sz w:val="24"/>
          <w:szCs w:val="24"/>
          <w:highlight w:val="none"/>
        </w:rPr>
        <w:t xml:space="preserve">个院区（</w:t>
      </w:r>
      <w:r>
        <w:rPr>
          <w:rFonts w:hint="eastAsia"/>
          <w:color w:val="auto"/>
          <w:sz w:val="24"/>
          <w:szCs w:val="24"/>
          <w:highlight w:val="none"/>
        </w:rPr>
        <w:t xml:space="preserve">鼓楼院区含北院、江北院区、南部院区、徐庄院区</w:t>
      </w:r>
      <w:r>
        <w:rPr>
          <w:color w:val="auto"/>
          <w:sz w:val="24"/>
          <w:szCs w:val="24"/>
          <w:highlight w:val="none"/>
        </w:rPr>
        <w:t xml:space="preserve">）</w:t>
      </w:r>
      <w:r>
        <w:rPr>
          <w:rFonts w:hint="eastAsia"/>
          <w:color w:val="auto"/>
          <w:sz w:val="24"/>
          <w:szCs w:val="24"/>
          <w:highlight w:val="none"/>
        </w:rPr>
        <w:t xml:space="preserve">设备情况如下：</w:t>
      </w:r>
      <w:r/>
    </w:p>
    <w:p>
      <w:pPr>
        <w:ind w:firstLine="482"/>
        <w:spacing w:line="360" w:lineRule="auto"/>
        <w:rPr>
          <w:color w:val="auto"/>
          <w:sz w:val="24"/>
          <w:szCs w:val="24"/>
          <w:highlight w:val="none"/>
        </w:rPr>
      </w:pPr>
      <w:r>
        <w:rPr>
          <w:rFonts w:hint="eastAsia"/>
          <w:color w:val="auto"/>
          <w:sz w:val="24"/>
          <w:szCs w:val="24"/>
          <w:highlight w:val="none"/>
        </w:rPr>
        <w:t xml:space="preserve">电脑约</w:t>
      </w:r>
      <w:r>
        <w:rPr>
          <w:color w:val="auto"/>
          <w:sz w:val="24"/>
          <w:szCs w:val="24"/>
          <w:highlight w:val="none"/>
        </w:rPr>
        <w:t xml:space="preserve">7</w:t>
      </w:r>
      <w:r>
        <w:rPr>
          <w:rFonts w:hint="eastAsia"/>
          <w:color w:val="auto"/>
          <w:sz w:val="24"/>
          <w:szCs w:val="24"/>
          <w:highlight w:val="none"/>
        </w:rPr>
        <w:t xml:space="preserve">7</w:t>
      </w:r>
      <w:r>
        <w:rPr>
          <w:color w:val="auto"/>
          <w:sz w:val="24"/>
          <w:szCs w:val="24"/>
          <w:highlight w:val="none"/>
        </w:rPr>
        <w:t xml:space="preserve">00</w:t>
      </w:r>
      <w:r>
        <w:rPr>
          <w:rFonts w:hint="eastAsia"/>
          <w:color w:val="auto"/>
          <w:sz w:val="24"/>
          <w:szCs w:val="24"/>
          <w:highlight w:val="none"/>
        </w:rPr>
        <w:t xml:space="preserve">台（主要品牌：戴尔、联想）</w:t>
      </w:r>
      <w:r/>
    </w:p>
    <w:p>
      <w:pPr>
        <w:ind w:firstLine="482"/>
        <w:spacing w:line="360" w:lineRule="auto"/>
        <w:rPr>
          <w:color w:val="auto"/>
          <w:sz w:val="24"/>
          <w:szCs w:val="24"/>
          <w:highlight w:val="none"/>
        </w:rPr>
      </w:pPr>
      <w:r>
        <w:rPr>
          <w:rFonts w:hint="eastAsia"/>
          <w:color w:val="auto"/>
          <w:sz w:val="24"/>
          <w:szCs w:val="24"/>
          <w:highlight w:val="none"/>
        </w:rPr>
        <w:t xml:space="preserve">打印机约</w:t>
      </w:r>
      <w:r>
        <w:rPr>
          <w:color w:val="auto"/>
          <w:sz w:val="24"/>
          <w:szCs w:val="24"/>
          <w:highlight w:val="none"/>
        </w:rPr>
        <w:t xml:space="preserve">4</w:t>
      </w:r>
      <w:r>
        <w:rPr>
          <w:rFonts w:hint="eastAsia"/>
          <w:color w:val="auto"/>
          <w:sz w:val="24"/>
          <w:szCs w:val="24"/>
          <w:highlight w:val="none"/>
        </w:rPr>
        <w:t xml:space="preserve">1</w:t>
      </w:r>
      <w:r>
        <w:rPr>
          <w:color w:val="auto"/>
          <w:sz w:val="24"/>
          <w:szCs w:val="24"/>
          <w:highlight w:val="none"/>
        </w:rPr>
        <w:t xml:space="preserve">00</w:t>
      </w:r>
      <w:r>
        <w:rPr>
          <w:rFonts w:hint="eastAsia"/>
          <w:color w:val="auto"/>
          <w:sz w:val="24"/>
          <w:szCs w:val="24"/>
          <w:highlight w:val="none"/>
        </w:rPr>
        <w:t xml:space="preserve">台（主要品牌：兄弟打印机、TSC条码打印机）</w:t>
      </w:r>
      <w:r/>
    </w:p>
    <w:p>
      <w:pPr>
        <w:ind w:firstLine="482"/>
        <w:spacing w:line="360" w:lineRule="auto"/>
        <w:rPr>
          <w:color w:val="auto"/>
          <w:sz w:val="24"/>
          <w:szCs w:val="24"/>
          <w:highlight w:val="none"/>
        </w:rPr>
      </w:pPr>
      <w:r>
        <w:rPr>
          <w:rFonts w:hint="eastAsia"/>
          <w:color w:val="auto"/>
          <w:sz w:val="24"/>
          <w:szCs w:val="24"/>
          <w:highlight w:val="none"/>
        </w:rPr>
        <w:t xml:space="preserve">P</w:t>
      </w:r>
      <w:r>
        <w:rPr>
          <w:color w:val="auto"/>
          <w:sz w:val="24"/>
          <w:szCs w:val="24"/>
          <w:highlight w:val="none"/>
        </w:rPr>
        <w:t xml:space="preserve">DA </w:t>
      </w:r>
      <w:r>
        <w:rPr>
          <w:rFonts w:hint="eastAsia"/>
          <w:color w:val="auto"/>
          <w:sz w:val="24"/>
          <w:szCs w:val="24"/>
          <w:highlight w:val="none"/>
        </w:rPr>
        <w:t xml:space="preserve">约</w:t>
      </w:r>
      <w:r>
        <w:rPr>
          <w:color w:val="auto"/>
          <w:sz w:val="24"/>
          <w:szCs w:val="24"/>
          <w:highlight w:val="none"/>
        </w:rPr>
        <w:t xml:space="preserve">1200</w:t>
      </w:r>
      <w:r>
        <w:rPr>
          <w:rFonts w:hint="eastAsia"/>
          <w:color w:val="auto"/>
          <w:sz w:val="24"/>
          <w:szCs w:val="24"/>
          <w:highlight w:val="none"/>
        </w:rPr>
        <w:t xml:space="preserve">台（主要品牌：小马哥）</w:t>
      </w:r>
      <w:r/>
    </w:p>
    <w:p>
      <w:pPr>
        <w:ind w:firstLine="482"/>
        <w:spacing w:line="360" w:lineRule="auto"/>
        <w:rPr>
          <w:color w:val="auto"/>
          <w:sz w:val="24"/>
          <w:szCs w:val="24"/>
          <w:highlight w:val="none"/>
        </w:rPr>
      </w:pPr>
      <w:r>
        <w:rPr>
          <w:rFonts w:hint="eastAsia"/>
          <w:color w:val="auto"/>
          <w:sz w:val="24"/>
          <w:szCs w:val="24"/>
          <w:highlight w:val="none"/>
        </w:rPr>
        <w:t xml:space="preserve">扫描仪扫码枪约9</w:t>
      </w:r>
      <w:r>
        <w:rPr>
          <w:color w:val="auto"/>
          <w:sz w:val="24"/>
          <w:szCs w:val="24"/>
          <w:highlight w:val="none"/>
        </w:rPr>
        <w:t xml:space="preserve">50</w:t>
      </w:r>
      <w:r>
        <w:rPr>
          <w:rFonts w:hint="eastAsia"/>
          <w:color w:val="auto"/>
          <w:sz w:val="24"/>
          <w:szCs w:val="24"/>
          <w:highlight w:val="none"/>
        </w:rPr>
        <w:t xml:space="preserve">台（主要品牌：德利捷）</w:t>
      </w:r>
      <w:r/>
    </w:p>
    <w:p>
      <w:pPr>
        <w:ind w:firstLine="482"/>
        <w:spacing w:line="360" w:lineRule="auto"/>
        <w:rPr>
          <w:color w:val="auto"/>
          <w:sz w:val="24"/>
          <w:szCs w:val="24"/>
          <w:highlight w:val="none"/>
        </w:rPr>
      </w:pPr>
      <w:r>
        <w:rPr>
          <w:rFonts w:hint="eastAsia"/>
          <w:color w:val="auto"/>
          <w:sz w:val="24"/>
          <w:szCs w:val="24"/>
          <w:highlight w:val="none"/>
        </w:rPr>
        <w:t xml:space="preserve">移动护理车约</w:t>
      </w:r>
      <w:r>
        <w:rPr>
          <w:color w:val="auto"/>
          <w:sz w:val="24"/>
          <w:szCs w:val="24"/>
          <w:highlight w:val="none"/>
        </w:rPr>
        <w:t xml:space="preserve">400</w:t>
      </w:r>
      <w:r>
        <w:rPr>
          <w:rFonts w:hint="eastAsia"/>
          <w:color w:val="auto"/>
          <w:sz w:val="24"/>
          <w:szCs w:val="24"/>
          <w:highlight w:val="none"/>
        </w:rPr>
        <w:t xml:space="preserve">台（主要品牌：联新、诺博）</w:t>
      </w:r>
      <w:r/>
    </w:p>
    <w:p>
      <w:pPr>
        <w:ind w:firstLine="482"/>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、服务要求：</w:t>
      </w:r>
      <w:r/>
    </w:p>
    <w:p>
      <w:pPr>
        <w:ind w:firstLine="424"/>
        <w:spacing w:line="360" w:lineRule="auto"/>
        <w:rPr>
          <w:color w:val="auto"/>
          <w:sz w:val="24"/>
          <w:szCs w:val="24"/>
          <w:highlight w:val="none"/>
        </w:rPr>
      </w:pPr>
      <w:r>
        <w:rPr>
          <w:rFonts w:hint="eastAsia" w:ascii="宋体" w:hAnsi="宋体"/>
          <w:color w:val="auto"/>
          <w:sz w:val="24"/>
          <w:szCs w:val="24"/>
          <w:highlight w:val="none"/>
        </w:rPr>
        <w:t xml:space="preserve">★</w:t>
      </w:r>
      <w:r>
        <w:rPr>
          <w:color w:val="auto"/>
          <w:sz w:val="24"/>
          <w:szCs w:val="24"/>
          <w:highlight w:val="none"/>
        </w:rPr>
        <w:t xml:space="preserve">2.1</w:t>
      </w:r>
      <w:r>
        <w:rPr>
          <w:rFonts w:hint="eastAsia"/>
          <w:color w:val="auto"/>
          <w:sz w:val="24"/>
          <w:szCs w:val="24"/>
          <w:highlight w:val="none"/>
        </w:rPr>
        <w:t xml:space="preserve">投标方应有固定团队专门负责本项目的实施，指派</w:t>
      </w:r>
      <w:r>
        <w:rPr>
          <w:color w:val="auto"/>
          <w:sz w:val="24"/>
          <w:szCs w:val="24"/>
          <w:highlight w:val="none"/>
        </w:rPr>
        <w:t xml:space="preserve">1</w:t>
      </w:r>
      <w:r>
        <w:rPr>
          <w:rFonts w:hint="eastAsia"/>
          <w:color w:val="auto"/>
          <w:sz w:val="24"/>
          <w:szCs w:val="24"/>
          <w:highlight w:val="none"/>
        </w:rPr>
        <w:t xml:space="preserve">2名具有本项目相关维修资质的专业人员（包含项目经理一名）作为驻场工程师在医院进行驻场服务，对于设备运行的过程中出现的所有技术问题提供及时的分析和解决。未经院方同意不能随意变更驻场人员。</w:t>
      </w:r>
      <w:r/>
    </w:p>
    <w:p>
      <w:pPr>
        <w:ind w:firstLine="424"/>
        <w:spacing w:line="360" w:lineRule="auto"/>
        <w:rPr>
          <w:color w:val="auto"/>
          <w:sz w:val="24"/>
          <w:szCs w:val="24"/>
          <w:highlight w:val="none"/>
        </w:rPr>
      </w:pPr>
      <w:r>
        <w:rPr>
          <w:rFonts w:hint="eastAsia" w:ascii="宋体" w:hAnsi="宋体"/>
          <w:color w:val="auto"/>
          <w:sz w:val="24"/>
          <w:szCs w:val="24"/>
          <w:highlight w:val="none"/>
        </w:rPr>
        <w:t xml:space="preserve">★</w:t>
      </w:r>
      <w:r>
        <w:rPr>
          <w:color w:val="auto"/>
          <w:sz w:val="24"/>
          <w:szCs w:val="24"/>
          <w:highlight w:val="none"/>
        </w:rPr>
        <w:t xml:space="preserve">2.2 </w:t>
      </w:r>
      <w:r>
        <w:rPr>
          <w:rFonts w:hint="eastAsia"/>
          <w:color w:val="auto"/>
          <w:sz w:val="24"/>
          <w:szCs w:val="24"/>
          <w:highlight w:val="none"/>
        </w:rPr>
        <w:t xml:space="preserve">驻场工程师需按医院要求在指定地点进行服务，其中鼓楼院区（含北院）9人、江北院区1人、南部院区1人、徐庄院区1人，可根据医院院区建设情况进行人员调整。服务时间以医院门诊时间为主，正常工作时间为周一至周五8:</w:t>
      </w:r>
      <w:r>
        <w:rPr>
          <w:color w:val="auto"/>
          <w:sz w:val="24"/>
          <w:szCs w:val="24"/>
          <w:highlight w:val="none"/>
        </w:rPr>
        <w:t xml:space="preserve">00</w:t>
      </w:r>
      <w:r>
        <w:rPr>
          <w:rFonts w:hint="eastAsia"/>
          <w:color w:val="auto"/>
          <w:sz w:val="24"/>
          <w:szCs w:val="24"/>
          <w:highlight w:val="none"/>
        </w:rPr>
        <w:t xml:space="preserve">至1</w:t>
      </w:r>
      <w:r>
        <w:rPr>
          <w:color w:val="auto"/>
          <w:sz w:val="24"/>
          <w:szCs w:val="24"/>
          <w:highlight w:val="none"/>
        </w:rPr>
        <w:t xml:space="preserve">7</w:t>
      </w:r>
      <w:r>
        <w:rPr>
          <w:rFonts w:hint="eastAsia"/>
          <w:color w:val="auto"/>
          <w:sz w:val="24"/>
          <w:szCs w:val="24"/>
          <w:highlight w:val="none"/>
        </w:rPr>
        <w:t xml:space="preserve">:</w:t>
      </w:r>
      <w:r>
        <w:rPr>
          <w:color w:val="auto"/>
          <w:sz w:val="24"/>
          <w:szCs w:val="24"/>
          <w:highlight w:val="none"/>
        </w:rPr>
        <w:t xml:space="preserve">30</w:t>
      </w:r>
      <w:r>
        <w:rPr>
          <w:rFonts w:hint="eastAsia"/>
          <w:color w:val="auto"/>
          <w:sz w:val="24"/>
          <w:szCs w:val="24"/>
          <w:highlight w:val="none"/>
        </w:rPr>
        <w:t xml:space="preserve">，每周六周日和节假日在门诊开诊时间内至少安排一名工程师进行现场值班（按医院需要调整），其他时间安排工程师备班，以便应急需要。</w:t>
      </w:r>
      <w:r/>
    </w:p>
    <w:p>
      <w:pPr>
        <w:ind w:firstLine="424"/>
        <w:spacing w:line="360" w:lineRule="auto"/>
        <w:rPr>
          <w:color w:val="auto"/>
          <w:sz w:val="24"/>
          <w:szCs w:val="24"/>
          <w:highlight w:val="none"/>
        </w:rPr>
      </w:pPr>
      <w:r>
        <w:rPr>
          <w:color w:val="auto"/>
          <w:sz w:val="24"/>
          <w:szCs w:val="24"/>
          <w:highlight w:val="none"/>
        </w:rPr>
        <w:t xml:space="preserve">2.3</w:t>
      </w:r>
      <w:r>
        <w:rPr>
          <w:rFonts w:hint="eastAsia"/>
          <w:color w:val="auto"/>
          <w:sz w:val="24"/>
          <w:szCs w:val="24"/>
          <w:highlight w:val="none"/>
        </w:rPr>
        <w:t xml:space="preserve">驻场工程师须服从院方相关负责人的合理工作安排，接到报修通知后，应即刻响应，在</w:t>
      </w:r>
      <w:r>
        <w:rPr>
          <w:color w:val="auto"/>
          <w:sz w:val="24"/>
          <w:szCs w:val="24"/>
          <w:highlight w:val="none"/>
        </w:rPr>
        <w:t xml:space="preserve">10</w:t>
      </w:r>
      <w:r>
        <w:rPr>
          <w:rFonts w:hint="eastAsia"/>
          <w:color w:val="auto"/>
          <w:sz w:val="24"/>
          <w:szCs w:val="24"/>
          <w:highlight w:val="none"/>
        </w:rPr>
        <w:t xml:space="preserve">分钟内到现场处理故障。7*24小时提供专业电话技术支持，非合同服务时间应在</w:t>
      </w:r>
      <w:r>
        <w:rPr>
          <w:color w:val="auto"/>
          <w:sz w:val="24"/>
          <w:szCs w:val="24"/>
          <w:highlight w:val="none"/>
        </w:rPr>
        <w:t xml:space="preserve">1</w:t>
      </w:r>
      <w:r>
        <w:rPr>
          <w:rFonts w:hint="eastAsia"/>
          <w:color w:val="auto"/>
          <w:sz w:val="24"/>
          <w:szCs w:val="24"/>
          <w:highlight w:val="none"/>
        </w:rPr>
        <w:t xml:space="preserve">小时内到达现场处理故障。</w:t>
      </w:r>
      <w:r>
        <w:rPr>
          <w:color w:val="auto"/>
          <w:sz w:val="24"/>
          <w:szCs w:val="24"/>
          <w:highlight w:val="none"/>
        </w:rPr>
        <w:t xml:space="preserve">不能在规定时间内排除故障，必须在1小时内提供同等型号或以上的备用机供科室免费使用</w:t>
      </w:r>
      <w:r>
        <w:rPr>
          <w:rFonts w:hint="eastAsia"/>
          <w:color w:val="auto"/>
          <w:sz w:val="24"/>
          <w:szCs w:val="24"/>
          <w:highlight w:val="none"/>
        </w:rPr>
        <w:t xml:space="preserve">。</w:t>
      </w:r>
      <w:r/>
    </w:p>
    <w:p>
      <w:pPr>
        <w:ind w:firstLine="424"/>
        <w:spacing w:line="360" w:lineRule="auto"/>
        <w:rPr>
          <w:color w:val="auto"/>
          <w:sz w:val="24"/>
          <w:szCs w:val="24"/>
          <w:highlight w:val="none"/>
        </w:rPr>
      </w:pPr>
      <w:r>
        <w:rPr>
          <w:color w:val="auto"/>
          <w:sz w:val="24"/>
          <w:szCs w:val="24"/>
          <w:highlight w:val="none"/>
        </w:rPr>
        <w:t xml:space="preserve">2.4</w:t>
      </w:r>
      <w:r>
        <w:rPr>
          <w:rFonts w:hint="eastAsia"/>
          <w:color w:val="auto"/>
          <w:sz w:val="24"/>
          <w:szCs w:val="24"/>
          <w:highlight w:val="none"/>
        </w:rPr>
        <w:t xml:space="preserve">投标人应有我院设备主要品牌的维修资质，有能力按照本项目规定的要求提供产品、相关服务。提供证明文件。</w:t>
      </w:r>
      <w:r/>
    </w:p>
    <w:p>
      <w:pPr>
        <w:ind w:firstLine="480"/>
        <w:spacing w:line="360" w:lineRule="auto"/>
        <w:rPr>
          <w:rFonts w:ascii="宋体" w:hAnsi="宋体" w:cs="宋体"/>
          <w:bCs/>
          <w:color w:val="auto"/>
          <w:sz w:val="24"/>
          <w:szCs w:val="24"/>
          <w:highlight w:val="none"/>
        </w:rPr>
      </w:pPr>
      <w:r>
        <w:rPr>
          <w:color w:val="auto"/>
          <w:sz w:val="24"/>
          <w:szCs w:val="24"/>
          <w:highlight w:val="none"/>
        </w:rPr>
        <w:t xml:space="preserve">2.5</w:t>
      </w:r>
      <w:r>
        <w:rPr>
          <w:rFonts w:hint="eastAsia"/>
          <w:color w:val="auto"/>
          <w:sz w:val="24"/>
          <w:szCs w:val="24"/>
          <w:highlight w:val="none"/>
        </w:rPr>
        <w:t xml:space="preserve">中标服务商</w:t>
      </w:r>
      <w:r>
        <w:rPr>
          <w:rFonts w:hint="eastAsia" w:ascii="宋体" w:hAnsi="宋体" w:cs="宋体"/>
          <w:bCs/>
          <w:color w:val="auto"/>
          <w:sz w:val="24"/>
          <w:szCs w:val="24"/>
          <w:highlight w:val="none"/>
        </w:rPr>
        <w:t xml:space="preserve">在服务过程中获取的院方商务、财务、技术、产品的信息、病患资料或其他标明保密的文件或信息的内容，</w:t>
      </w:r>
      <w:r>
        <w:rPr>
          <w:rFonts w:hint="eastAsia"/>
          <w:color w:val="auto"/>
          <w:sz w:val="24"/>
          <w:szCs w:val="24"/>
          <w:highlight w:val="none"/>
        </w:rPr>
        <w:t xml:space="preserve">应配合院方数据信息安全使用，</w:t>
      </w:r>
      <w:r>
        <w:rPr>
          <w:rFonts w:hint="eastAsia" w:ascii="宋体" w:hAnsi="宋体" w:cs="宋体"/>
          <w:bCs/>
          <w:color w:val="auto"/>
          <w:sz w:val="24"/>
          <w:szCs w:val="24"/>
          <w:highlight w:val="none"/>
        </w:rPr>
        <w:t xml:space="preserve">必须遵守院方保密规定，否则承担相应法律责任。服务商保密义务在合同期满、解除或终止后仍然有效。</w:t>
      </w:r>
      <w:r/>
    </w:p>
    <w:p>
      <w:pPr>
        <w:ind w:firstLine="482"/>
        <w:spacing w:line="360" w:lineRule="auto"/>
        <w:rPr>
          <w:rFonts w:ascii="宋体" w:hAnsi="宋体" w:cs="宋体"/>
          <w:b/>
          <w:bCs/>
          <w:color w:val="auto"/>
          <w:sz w:val="24"/>
          <w:szCs w:val="24"/>
          <w:highlight w:val="none"/>
        </w:rPr>
      </w:pPr>
      <w:r>
        <w:rPr>
          <w:rFonts w:hint="eastAsia" w:ascii="宋体" w:hAnsi="宋体"/>
          <w:b/>
          <w:bCs/>
          <w:color w:val="auto"/>
          <w:sz w:val="24"/>
          <w:szCs w:val="24"/>
          <w:highlight w:val="none"/>
        </w:rPr>
        <w:t xml:space="preserve">（★</w:t>
      </w:r>
      <w:r>
        <w:rPr>
          <w:rFonts w:hint="eastAsia"/>
          <w:b/>
          <w:bCs/>
          <w:color w:val="auto"/>
          <w:sz w:val="24"/>
          <w:szCs w:val="24"/>
          <w:highlight w:val="none"/>
        </w:rPr>
        <w:t xml:space="preserve">以上内容均须提供承诺函及投标人为</w:t>
      </w:r>
      <w:r>
        <w:rPr>
          <w:b/>
          <w:bCs/>
          <w:color w:val="auto"/>
          <w:sz w:val="24"/>
          <w:szCs w:val="24"/>
          <w:highlight w:val="none"/>
        </w:rPr>
        <w:t xml:space="preserve">1</w:t>
      </w:r>
      <w:r>
        <w:rPr>
          <w:rFonts w:hint="eastAsia"/>
          <w:b/>
          <w:bCs/>
          <w:color w:val="auto"/>
          <w:sz w:val="24"/>
          <w:szCs w:val="24"/>
          <w:highlight w:val="none"/>
        </w:rPr>
        <w:t xml:space="preserve">2名驻场工程师在服务所在地缴纳自</w:t>
      </w:r>
      <w:r>
        <w:rPr>
          <w:b/>
          <w:bCs/>
          <w:color w:val="auto"/>
          <w:sz w:val="24"/>
          <w:szCs w:val="24"/>
          <w:highlight w:val="none"/>
        </w:rPr>
        <w:t xml:space="preserve">202</w:t>
      </w:r>
      <w:r>
        <w:rPr>
          <w:rFonts w:hint="eastAsia"/>
          <w:b/>
          <w:bCs/>
          <w:color w:val="auto"/>
          <w:sz w:val="24"/>
          <w:szCs w:val="24"/>
          <w:highlight w:val="none"/>
        </w:rPr>
        <w:t xml:space="preserve">5年</w:t>
      </w:r>
      <w:r>
        <w:rPr>
          <w:b/>
          <w:bCs/>
          <w:color w:val="auto"/>
          <w:sz w:val="24"/>
          <w:szCs w:val="24"/>
          <w:highlight w:val="none"/>
        </w:rPr>
        <w:t xml:space="preserve">12</w:t>
      </w:r>
      <w:r>
        <w:rPr>
          <w:rFonts w:hint="eastAsia"/>
          <w:b/>
          <w:bCs/>
          <w:color w:val="auto"/>
          <w:sz w:val="24"/>
          <w:szCs w:val="24"/>
          <w:highlight w:val="none"/>
        </w:rPr>
        <w:t xml:space="preserve">月以来任意1个月的社保证明文件）</w:t>
      </w:r>
      <w:r/>
    </w:p>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、服务内容：</w:t>
      </w:r>
      <w:r/>
    </w:p>
    <w:p>
      <w:pPr>
        <w:ind w:firstLine="420"/>
        <w:spacing w:line="360" w:lineRule="auto"/>
        <w:rPr>
          <w:color w:val="auto"/>
          <w:sz w:val="24"/>
          <w:szCs w:val="24"/>
          <w:highlight w:val="none"/>
        </w:rPr>
      </w:pPr>
      <w:r>
        <w:rPr>
          <w:color w:val="auto"/>
          <w:sz w:val="24"/>
          <w:szCs w:val="24"/>
          <w:highlight w:val="none"/>
        </w:rPr>
        <w:t xml:space="preserve">3.1指派</w:t>
      </w:r>
      <w:r>
        <w:rPr>
          <w:rFonts w:hint="eastAsia"/>
          <w:color w:val="auto"/>
          <w:sz w:val="24"/>
          <w:szCs w:val="24"/>
          <w:highlight w:val="none"/>
        </w:rPr>
        <w:t xml:space="preserve">12</w:t>
      </w:r>
      <w:r>
        <w:rPr>
          <w:color w:val="auto"/>
          <w:sz w:val="24"/>
          <w:szCs w:val="24"/>
          <w:highlight w:val="none"/>
        </w:rPr>
        <w:t xml:space="preserve">名工程师在院方指定地点进行驻场维修服务</w:t>
      </w:r>
      <w:r>
        <w:rPr>
          <w:rFonts w:hint="eastAsia"/>
          <w:color w:val="auto"/>
          <w:sz w:val="24"/>
          <w:szCs w:val="24"/>
          <w:highlight w:val="none"/>
        </w:rPr>
        <w:t xml:space="preserve">；</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3.2电脑硬件</w:t>
      </w:r>
      <w:r>
        <w:rPr>
          <w:rFonts w:hint="eastAsia"/>
          <w:color w:val="auto"/>
          <w:sz w:val="24"/>
          <w:szCs w:val="24"/>
          <w:highlight w:val="none"/>
        </w:rPr>
        <w:t xml:space="preserve">日常维护及</w:t>
      </w:r>
      <w:r>
        <w:rPr>
          <w:color w:val="auto"/>
          <w:sz w:val="24"/>
          <w:szCs w:val="24"/>
          <w:highlight w:val="none"/>
        </w:rPr>
        <w:t xml:space="preserve">故障</w:t>
      </w:r>
      <w:r>
        <w:rPr>
          <w:rFonts w:hint="eastAsia"/>
          <w:color w:val="auto"/>
          <w:sz w:val="24"/>
          <w:szCs w:val="24"/>
          <w:highlight w:val="none"/>
        </w:rPr>
        <w:t xml:space="preserve">维修；</w:t>
      </w:r>
      <w:r/>
    </w:p>
    <w:p>
      <w:pPr>
        <w:ind w:firstLine="420"/>
        <w:spacing w:line="360" w:lineRule="auto"/>
        <w:rPr>
          <w:color w:val="auto"/>
          <w:sz w:val="24"/>
          <w:szCs w:val="24"/>
          <w:highlight w:val="none"/>
        </w:rPr>
      </w:pPr>
      <w:r>
        <w:rPr>
          <w:color w:val="auto"/>
          <w:sz w:val="24"/>
          <w:szCs w:val="24"/>
          <w:highlight w:val="none"/>
        </w:rPr>
        <w:t xml:space="preserve">3.3</w:t>
      </w:r>
      <w:r>
        <w:rPr>
          <w:rFonts w:hint="eastAsia"/>
          <w:color w:val="auto"/>
          <w:sz w:val="24"/>
          <w:szCs w:val="24"/>
          <w:highlight w:val="none"/>
        </w:rPr>
        <w:t xml:space="preserve">电脑</w:t>
      </w:r>
      <w:r>
        <w:rPr>
          <w:color w:val="auto"/>
          <w:sz w:val="24"/>
          <w:szCs w:val="24"/>
          <w:highlight w:val="none"/>
        </w:rPr>
        <w:t xml:space="preserve">软件</w:t>
      </w:r>
      <w:r>
        <w:rPr>
          <w:rFonts w:hint="eastAsia"/>
          <w:color w:val="auto"/>
          <w:sz w:val="24"/>
          <w:szCs w:val="24"/>
          <w:highlight w:val="none"/>
        </w:rPr>
        <w:t xml:space="preserve">维护及报修</w:t>
      </w:r>
      <w:r>
        <w:rPr>
          <w:color w:val="auto"/>
          <w:sz w:val="24"/>
          <w:szCs w:val="24"/>
          <w:highlight w:val="none"/>
        </w:rPr>
        <w:t xml:space="preserve">(包括</w:t>
      </w:r>
      <w:r>
        <w:rPr>
          <w:rFonts w:hint="eastAsia"/>
          <w:color w:val="auto"/>
          <w:sz w:val="24"/>
          <w:szCs w:val="24"/>
          <w:highlight w:val="none"/>
        </w:rPr>
        <w:t xml:space="preserve">操作</w:t>
      </w:r>
      <w:r>
        <w:rPr>
          <w:color w:val="auto"/>
          <w:sz w:val="24"/>
          <w:szCs w:val="24"/>
          <w:highlight w:val="none"/>
        </w:rPr>
        <w:t xml:space="preserve">系统</w:t>
      </w:r>
      <w:r>
        <w:rPr>
          <w:rFonts w:hint="eastAsia"/>
          <w:color w:val="auto"/>
          <w:sz w:val="24"/>
          <w:szCs w:val="24"/>
          <w:highlight w:val="none"/>
        </w:rPr>
        <w:t xml:space="preserve">的</w:t>
      </w:r>
      <w:r>
        <w:rPr>
          <w:color w:val="auto"/>
          <w:sz w:val="24"/>
          <w:szCs w:val="24"/>
          <w:highlight w:val="none"/>
        </w:rPr>
        <w:t xml:space="preserve">安装、还原、更新</w:t>
      </w:r>
      <w:r>
        <w:rPr>
          <w:rFonts w:hint="eastAsia"/>
          <w:color w:val="auto"/>
          <w:sz w:val="24"/>
          <w:szCs w:val="24"/>
          <w:highlight w:val="none"/>
        </w:rPr>
        <w:t xml:space="preserve">，医院</w:t>
      </w:r>
      <w:r>
        <w:rPr>
          <w:color w:val="auto"/>
          <w:sz w:val="24"/>
          <w:szCs w:val="24"/>
          <w:highlight w:val="none"/>
        </w:rPr>
        <w:t xml:space="preserve">常用</w:t>
      </w:r>
      <w:r>
        <w:rPr>
          <w:rFonts w:hint="eastAsia"/>
          <w:color w:val="auto"/>
          <w:sz w:val="24"/>
          <w:szCs w:val="24"/>
          <w:highlight w:val="none"/>
        </w:rPr>
        <w:t xml:space="preserve">办公</w:t>
      </w:r>
      <w:r>
        <w:rPr>
          <w:color w:val="auto"/>
          <w:sz w:val="24"/>
          <w:szCs w:val="24"/>
          <w:highlight w:val="none"/>
        </w:rPr>
        <w:t xml:space="preserve">软件</w:t>
      </w:r>
      <w:r>
        <w:rPr>
          <w:rFonts w:hint="eastAsia"/>
          <w:color w:val="auto"/>
          <w:sz w:val="24"/>
          <w:szCs w:val="24"/>
          <w:highlight w:val="none"/>
        </w:rPr>
        <w:t xml:space="preserve">的</w:t>
      </w:r>
      <w:r>
        <w:rPr>
          <w:color w:val="auto"/>
          <w:sz w:val="24"/>
          <w:szCs w:val="24"/>
          <w:highlight w:val="none"/>
        </w:rPr>
        <w:t xml:space="preserve">安装调试</w:t>
      </w:r>
      <w:r>
        <w:rPr>
          <w:rFonts w:hint="eastAsia"/>
          <w:color w:val="auto"/>
          <w:sz w:val="24"/>
          <w:szCs w:val="24"/>
          <w:highlight w:val="none"/>
        </w:rPr>
        <w:t xml:space="preserve">升级</w:t>
      </w:r>
      <w:r>
        <w:rPr>
          <w:color w:val="auto"/>
          <w:sz w:val="24"/>
          <w:szCs w:val="24"/>
          <w:highlight w:val="none"/>
        </w:rPr>
        <w:t xml:space="preserve">)</w:t>
      </w:r>
      <w:r>
        <w:rPr>
          <w:rFonts w:hint="eastAsia"/>
          <w:color w:val="auto"/>
          <w:sz w:val="24"/>
          <w:szCs w:val="24"/>
          <w:highlight w:val="none"/>
        </w:rPr>
        <w:t xml:space="preserve">；</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3.4</w:t>
      </w:r>
      <w:r>
        <w:rPr>
          <w:rFonts w:hint="eastAsia"/>
          <w:color w:val="auto"/>
          <w:sz w:val="24"/>
          <w:szCs w:val="24"/>
          <w:highlight w:val="none"/>
        </w:rPr>
        <w:t xml:space="preserve">打印机日常维护、驱动升级及硬件</w:t>
      </w:r>
      <w:r>
        <w:rPr>
          <w:color w:val="auto"/>
          <w:sz w:val="24"/>
          <w:szCs w:val="24"/>
          <w:highlight w:val="none"/>
        </w:rPr>
        <w:t xml:space="preserve">故障</w:t>
      </w:r>
      <w:r>
        <w:rPr>
          <w:rFonts w:hint="eastAsia"/>
          <w:color w:val="auto"/>
          <w:sz w:val="24"/>
          <w:szCs w:val="24"/>
          <w:highlight w:val="none"/>
        </w:rPr>
        <w:t xml:space="preserve">维修</w:t>
      </w:r>
      <w:r>
        <w:rPr>
          <w:color w:val="auto"/>
          <w:sz w:val="24"/>
          <w:szCs w:val="24"/>
          <w:highlight w:val="none"/>
        </w:rPr>
        <w:t xml:space="preserve">(</w:t>
      </w:r>
      <w:r>
        <w:rPr>
          <w:rFonts w:hint="eastAsia"/>
          <w:color w:val="auto"/>
          <w:sz w:val="24"/>
          <w:szCs w:val="24"/>
          <w:highlight w:val="none"/>
        </w:rPr>
        <w:t xml:space="preserve">各类桌面型</w:t>
      </w:r>
      <w:r>
        <w:rPr>
          <w:color w:val="auto"/>
          <w:sz w:val="24"/>
          <w:szCs w:val="24"/>
          <w:highlight w:val="none"/>
        </w:rPr>
        <w:t xml:space="preserve">打印机</w:t>
      </w:r>
      <w:r>
        <w:rPr>
          <w:rFonts w:hint="eastAsia"/>
          <w:color w:val="auto"/>
          <w:sz w:val="24"/>
          <w:szCs w:val="24"/>
          <w:highlight w:val="none"/>
        </w:rPr>
        <w:t xml:space="preserve">、</w:t>
      </w:r>
      <w:r>
        <w:rPr>
          <w:color w:val="auto"/>
          <w:sz w:val="24"/>
          <w:szCs w:val="24"/>
          <w:highlight w:val="none"/>
        </w:rPr>
        <w:t xml:space="preserve">传真机、多功能一体机</w:t>
      </w:r>
      <w:r>
        <w:rPr>
          <w:rFonts w:hint="eastAsia"/>
          <w:color w:val="auto"/>
          <w:sz w:val="24"/>
          <w:szCs w:val="24"/>
          <w:highlight w:val="none"/>
        </w:rPr>
        <w:t xml:space="preserve">、A</w:t>
      </w:r>
      <w:r>
        <w:rPr>
          <w:color w:val="auto"/>
          <w:sz w:val="24"/>
          <w:szCs w:val="24"/>
          <w:highlight w:val="none"/>
        </w:rPr>
        <w:t xml:space="preserve">3</w:t>
      </w:r>
      <w:r>
        <w:rPr>
          <w:rFonts w:hint="eastAsia"/>
          <w:color w:val="auto"/>
          <w:sz w:val="24"/>
          <w:szCs w:val="24"/>
          <w:highlight w:val="none"/>
        </w:rPr>
        <w:t xml:space="preserve">复印机等</w:t>
      </w:r>
      <w:r>
        <w:rPr>
          <w:color w:val="auto"/>
          <w:sz w:val="24"/>
          <w:szCs w:val="24"/>
          <w:highlight w:val="none"/>
        </w:rPr>
        <w:t xml:space="preserve">);</w:t>
      </w:r>
      <w:r/>
    </w:p>
    <w:p>
      <w:pPr>
        <w:ind w:firstLine="420"/>
        <w:spacing w:line="360" w:lineRule="auto"/>
        <w:rPr>
          <w:color w:val="auto"/>
          <w:sz w:val="24"/>
          <w:szCs w:val="24"/>
          <w:highlight w:val="none"/>
        </w:rPr>
      </w:pPr>
      <w:r>
        <w:rPr>
          <w:color w:val="auto"/>
          <w:sz w:val="24"/>
          <w:szCs w:val="24"/>
          <w:highlight w:val="none"/>
        </w:rPr>
        <w:t xml:space="preserve">3.5</w:t>
      </w:r>
      <w:r>
        <w:rPr>
          <w:rFonts w:hint="eastAsia"/>
          <w:color w:val="auto"/>
          <w:sz w:val="24"/>
          <w:szCs w:val="24"/>
          <w:highlight w:val="none"/>
        </w:rPr>
        <w:t xml:space="preserve">扫描仪及扫码枪日常维护、驱动升级及硬件</w:t>
      </w:r>
      <w:r>
        <w:rPr>
          <w:color w:val="auto"/>
          <w:sz w:val="24"/>
          <w:szCs w:val="24"/>
          <w:highlight w:val="none"/>
        </w:rPr>
        <w:t xml:space="preserve">故障</w:t>
      </w:r>
      <w:r>
        <w:rPr>
          <w:rFonts w:hint="eastAsia"/>
          <w:color w:val="auto"/>
          <w:sz w:val="24"/>
          <w:szCs w:val="24"/>
          <w:highlight w:val="none"/>
        </w:rPr>
        <w:t xml:space="preserve">维修；</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3.6</w:t>
      </w:r>
      <w:r>
        <w:rPr>
          <w:rFonts w:hint="eastAsia"/>
          <w:color w:val="auto"/>
          <w:sz w:val="24"/>
          <w:szCs w:val="24"/>
          <w:highlight w:val="none"/>
        </w:rPr>
        <w:t xml:space="preserve"> P</w:t>
      </w:r>
      <w:r>
        <w:rPr>
          <w:color w:val="auto"/>
          <w:sz w:val="24"/>
          <w:szCs w:val="24"/>
          <w:highlight w:val="none"/>
        </w:rPr>
        <w:t xml:space="preserve">DA</w:t>
      </w:r>
      <w:r>
        <w:rPr>
          <w:rFonts w:hint="eastAsia"/>
          <w:color w:val="auto"/>
          <w:sz w:val="24"/>
          <w:szCs w:val="24"/>
          <w:highlight w:val="none"/>
        </w:rPr>
        <w:t xml:space="preserve">硬件日常维护及</w:t>
      </w:r>
      <w:r>
        <w:rPr>
          <w:color w:val="auto"/>
          <w:sz w:val="24"/>
          <w:szCs w:val="24"/>
          <w:highlight w:val="none"/>
        </w:rPr>
        <w:t xml:space="preserve">故障</w:t>
      </w:r>
      <w:r>
        <w:rPr>
          <w:rFonts w:hint="eastAsia"/>
          <w:color w:val="auto"/>
          <w:sz w:val="24"/>
          <w:szCs w:val="24"/>
          <w:highlight w:val="none"/>
        </w:rPr>
        <w:t xml:space="preserve">维修；</w:t>
      </w:r>
      <w:r/>
    </w:p>
    <w:p>
      <w:pPr>
        <w:ind w:firstLine="420"/>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7</w:t>
      </w:r>
      <w:r>
        <w:rPr>
          <w:color w:val="auto"/>
          <w:sz w:val="24"/>
          <w:szCs w:val="24"/>
          <w:highlight w:val="none"/>
        </w:rPr>
        <w:t xml:space="preserve"> PDA</w:t>
      </w:r>
      <w:r>
        <w:rPr>
          <w:rFonts w:hint="eastAsia"/>
          <w:color w:val="auto"/>
          <w:sz w:val="24"/>
          <w:szCs w:val="24"/>
          <w:highlight w:val="none"/>
        </w:rPr>
        <w:t xml:space="preserve">软件故障维护（包括系统安装、还原、更新，移动护理软件安装、调试）；</w:t>
      </w:r>
      <w:r/>
    </w:p>
    <w:p>
      <w:pPr>
        <w:ind w:firstLine="420"/>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8</w:t>
      </w:r>
      <w:r>
        <w:rPr>
          <w:color w:val="auto"/>
          <w:sz w:val="24"/>
          <w:szCs w:val="24"/>
          <w:highlight w:val="none"/>
        </w:rPr>
        <w:t xml:space="preserve">设备</w:t>
      </w:r>
      <w:r>
        <w:rPr>
          <w:rFonts w:hint="eastAsia"/>
          <w:color w:val="auto"/>
          <w:sz w:val="24"/>
          <w:szCs w:val="24"/>
          <w:highlight w:val="none"/>
        </w:rPr>
        <w:t xml:space="preserve">的新装及</w:t>
      </w:r>
      <w:r>
        <w:rPr>
          <w:color w:val="auto"/>
          <w:sz w:val="24"/>
          <w:szCs w:val="24"/>
          <w:highlight w:val="none"/>
        </w:rPr>
        <w:t xml:space="preserve">移机</w:t>
      </w:r>
      <w:r>
        <w:rPr>
          <w:rFonts w:hint="eastAsia"/>
          <w:color w:val="auto"/>
          <w:sz w:val="24"/>
          <w:szCs w:val="24"/>
          <w:highlight w:val="none"/>
        </w:rPr>
        <w:t xml:space="preserve">，需安装调试到可正常使用；</w:t>
      </w:r>
      <w:r/>
    </w:p>
    <w:p>
      <w:pPr>
        <w:ind w:firstLine="420"/>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9移动护理车的日常维护；</w:t>
      </w:r>
      <w:r/>
    </w:p>
    <w:p>
      <w:pPr>
        <w:ind w:firstLine="420"/>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10 协助相关科室安装医院</w:t>
      </w:r>
      <w:r>
        <w:rPr>
          <w:color w:val="auto"/>
          <w:sz w:val="24"/>
          <w:szCs w:val="24"/>
          <w:highlight w:val="none"/>
        </w:rPr>
        <w:t xml:space="preserve">专业软件</w:t>
      </w:r>
      <w:r>
        <w:rPr>
          <w:rFonts w:hint="eastAsia"/>
          <w:color w:val="auto"/>
          <w:sz w:val="24"/>
          <w:szCs w:val="24"/>
          <w:highlight w:val="none"/>
        </w:rPr>
        <w:t xml:space="preserve">，如H</w:t>
      </w:r>
      <w:r>
        <w:rPr>
          <w:color w:val="auto"/>
          <w:sz w:val="24"/>
          <w:szCs w:val="24"/>
          <w:highlight w:val="none"/>
        </w:rPr>
        <w:t xml:space="preserve">IS</w:t>
      </w:r>
      <w:r>
        <w:rPr>
          <w:rFonts w:hint="eastAsia"/>
          <w:color w:val="auto"/>
          <w:sz w:val="24"/>
          <w:szCs w:val="24"/>
          <w:highlight w:val="none"/>
        </w:rPr>
        <w:t xml:space="preserve">、移动护理软件等</w:t>
      </w:r>
      <w:r>
        <w:rPr>
          <w:color w:val="auto"/>
          <w:sz w:val="24"/>
          <w:szCs w:val="24"/>
          <w:highlight w:val="none"/>
        </w:rPr>
        <w:t xml:space="preserve">(备注: 院方可以提供技术咨询服务、数据服务、使用培训服务);</w:t>
      </w:r>
      <w:r/>
    </w:p>
    <w:p>
      <w:pPr>
        <w:ind w:firstLine="42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.1</w:t>
      </w:r>
      <w:r>
        <w:rPr>
          <w:rFonts w:hint="eastAsia"/>
          <w:color w:val="auto"/>
          <w:sz w:val="24"/>
          <w:szCs w:val="24"/>
          <w:highlight w:val="none"/>
        </w:rPr>
        <w:t xml:space="preserve">1免费更换所有桌面型打印设备（打印机、复印机、打印一体机等）的全新原厂维修配件(使用非原装耗材及人为损坏造成的配件更换除外</w:t>
      </w:r>
      <w:r>
        <w:rPr>
          <w:color w:val="auto"/>
          <w:sz w:val="24"/>
          <w:szCs w:val="24"/>
          <w:highlight w:val="none"/>
        </w:rPr>
        <w:t xml:space="preserve">)</w:t>
      </w:r>
      <w:r>
        <w:rPr>
          <w:rFonts w:hint="eastAsia"/>
          <w:color w:val="auto"/>
          <w:sz w:val="24"/>
          <w:szCs w:val="24"/>
          <w:highlight w:val="none"/>
        </w:rPr>
        <w:t xml:space="preserve">；</w:t>
      </w:r>
      <w:r/>
    </w:p>
    <w:p>
      <w:pPr>
        <w:ind w:firstLine="420"/>
        <w:spacing w:line="360" w:lineRule="auto"/>
        <w:rPr>
          <w:color w:val="auto"/>
          <w:sz w:val="24"/>
          <w:szCs w:val="24"/>
          <w:highlight w:val="none"/>
        </w:rPr>
      </w:pPr>
      <w:r>
        <w:rPr>
          <w:color w:val="auto"/>
          <w:sz w:val="24"/>
          <w:szCs w:val="24"/>
          <w:highlight w:val="none"/>
        </w:rPr>
        <w:t xml:space="preserve">3.1</w:t>
      </w:r>
      <w:r>
        <w:rPr>
          <w:rFonts w:hint="eastAsia"/>
          <w:color w:val="auto"/>
          <w:sz w:val="24"/>
          <w:szCs w:val="24"/>
          <w:highlight w:val="none"/>
        </w:rPr>
        <w:t xml:space="preserve">2院方损坏的设备仍在厂家保修期内且符合厂家保修条例的，由中标服务商提供软件及检测服务</w:t>
      </w:r>
      <w:r>
        <w:rPr>
          <w:color w:val="auto"/>
          <w:sz w:val="24"/>
          <w:szCs w:val="24"/>
          <w:highlight w:val="none"/>
        </w:rPr>
        <w:t xml:space="preserve">，若检测结果是硬件损坏，</w:t>
      </w:r>
      <w:r>
        <w:rPr>
          <w:rFonts w:hint="eastAsia"/>
          <w:color w:val="auto"/>
          <w:sz w:val="24"/>
          <w:szCs w:val="24"/>
          <w:highlight w:val="none"/>
        </w:rPr>
        <w:t xml:space="preserve">中标服务商</w:t>
      </w:r>
      <w:r>
        <w:rPr>
          <w:color w:val="auto"/>
          <w:sz w:val="24"/>
          <w:szCs w:val="24"/>
          <w:highlight w:val="none"/>
        </w:rPr>
        <w:t xml:space="preserve">负责</w:t>
      </w:r>
      <w:r>
        <w:rPr>
          <w:rFonts w:hint="eastAsia"/>
          <w:color w:val="auto"/>
          <w:sz w:val="24"/>
          <w:szCs w:val="24"/>
          <w:highlight w:val="none"/>
        </w:rPr>
        <w:t xml:space="preserve">联络相应厂家上门维修或</w:t>
      </w:r>
      <w:r>
        <w:rPr>
          <w:color w:val="auto"/>
          <w:sz w:val="24"/>
          <w:szCs w:val="24"/>
          <w:highlight w:val="none"/>
        </w:rPr>
        <w:t xml:space="preserve">送至厂家维修站保修，由院方提供详细地址、联络方式和保修证明，</w:t>
      </w:r>
      <w:r>
        <w:rPr>
          <w:rFonts w:hint="eastAsia"/>
          <w:color w:val="auto"/>
          <w:sz w:val="24"/>
          <w:szCs w:val="24"/>
          <w:highlight w:val="none"/>
        </w:rPr>
        <w:t xml:space="preserve">中标供应商</w:t>
      </w:r>
      <w:r>
        <w:rPr>
          <w:color w:val="auto"/>
          <w:sz w:val="24"/>
          <w:szCs w:val="24"/>
          <w:highlight w:val="none"/>
        </w:rPr>
        <w:t xml:space="preserve">不再收取任何维修费用</w:t>
      </w:r>
      <w:r>
        <w:rPr>
          <w:rFonts w:hint="eastAsia"/>
          <w:color w:val="auto"/>
          <w:sz w:val="24"/>
          <w:szCs w:val="24"/>
          <w:highlight w:val="none"/>
        </w:rPr>
        <w:t xml:space="preserve">；</w:t>
      </w:r>
      <w:r/>
    </w:p>
    <w:p>
      <w:pPr>
        <w:ind w:firstLine="420"/>
        <w:spacing w:line="360" w:lineRule="auto"/>
        <w:rPr>
          <w:color w:val="auto"/>
          <w:sz w:val="24"/>
          <w:szCs w:val="24"/>
          <w:highlight w:val="none"/>
        </w:rPr>
      </w:pPr>
      <w:r>
        <w:rPr>
          <w:color w:val="auto"/>
          <w:sz w:val="24"/>
          <w:szCs w:val="24"/>
          <w:highlight w:val="none"/>
        </w:rPr>
        <w:t xml:space="preserve">3.13</w:t>
      </w:r>
      <w:r>
        <w:rPr>
          <w:rFonts w:hint="eastAsia"/>
          <w:color w:val="auto"/>
          <w:sz w:val="24"/>
          <w:szCs w:val="24"/>
          <w:highlight w:val="none"/>
        </w:rPr>
        <w:t xml:space="preserve">院方损坏设备不属于厂家保修范围内的，由中标服务商负责维修。如需更换配件，由院方自行采购，所产生的费用由院方承担。</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3.14 </w:t>
      </w:r>
      <w:r>
        <w:rPr>
          <w:rFonts w:hint="eastAsia"/>
          <w:color w:val="auto"/>
          <w:sz w:val="24"/>
          <w:szCs w:val="24"/>
          <w:highlight w:val="none"/>
        </w:rPr>
        <w:t xml:space="preserve">按医院要求提供全新备用机，备品备件放在医院指定地点，备用机品牌型号需与医院现有设备一致。具体数量如下：</w:t>
      </w:r>
      <w:r/>
    </w:p>
    <w:tbl>
      <w:tblPr>
        <w:tblStyle w:val="8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293"/>
        <w:gridCol w:w="2546"/>
        <w:gridCol w:w="1224"/>
      </w:tblGrid>
      <w:tr>
        <w:trPr>
          <w:jc w:val="center"/>
          <w:trHeight w:val="669"/>
        </w:trPr>
        <w:tc>
          <w:tcPr>
            <w:tcW w:w="1020" w:type="dxa"/>
            <w:vAlign w:val="center"/>
            <w:textDirection w:val="lrTb"/>
            <w:noWrap w:val="false"/>
          </w:tcPr>
          <w:p>
            <w:pPr>
              <w:jc w:val="center"/>
              <w:spacing w:line="360" w:lineRule="auto"/>
              <w:rPr>
                <w:b/>
                <w:bCs/>
                <w:color w:val="auto"/>
                <w:sz w:val="24"/>
                <w:szCs w:val="24"/>
                <w:highlight w:val="none"/>
              </w:rPr>
            </w:pPr>
            <w:r>
              <w:rPr>
                <w:rFonts w:hint="eastAsia"/>
                <w:b/>
                <w:bCs/>
                <w:color w:val="auto"/>
                <w:sz w:val="24"/>
                <w:szCs w:val="24"/>
                <w:highlight w:val="none"/>
              </w:rPr>
              <w:t xml:space="preserve">序号</w:t>
            </w:r>
            <w:r/>
          </w:p>
        </w:tc>
        <w:tc>
          <w:tcPr>
            <w:tcW w:w="2293" w:type="dxa"/>
            <w:vAlign w:val="center"/>
            <w:textDirection w:val="lrTb"/>
            <w:noWrap w:val="false"/>
          </w:tcPr>
          <w:p>
            <w:pPr>
              <w:jc w:val="center"/>
              <w:spacing w:line="360" w:lineRule="auto"/>
              <w:rPr>
                <w:b/>
                <w:bCs/>
                <w:color w:val="auto"/>
                <w:sz w:val="24"/>
                <w:szCs w:val="24"/>
                <w:highlight w:val="none"/>
              </w:rPr>
            </w:pPr>
            <w:r>
              <w:rPr>
                <w:rFonts w:hint="eastAsia"/>
                <w:b/>
                <w:bCs/>
                <w:color w:val="auto"/>
                <w:sz w:val="24"/>
                <w:szCs w:val="24"/>
                <w:highlight w:val="none"/>
              </w:rPr>
              <w:t xml:space="preserve">物品</w:t>
            </w:r>
            <w:r/>
          </w:p>
        </w:tc>
        <w:tc>
          <w:tcPr>
            <w:tcW w:w="2546" w:type="dxa"/>
            <w:vAlign w:val="center"/>
            <w:textDirection w:val="lrTb"/>
            <w:noWrap w:val="false"/>
          </w:tcPr>
          <w:p>
            <w:pPr>
              <w:jc w:val="center"/>
              <w:spacing w:line="360" w:lineRule="auto"/>
              <w:rPr>
                <w:b/>
                <w:bCs/>
                <w:color w:val="auto"/>
                <w:sz w:val="24"/>
                <w:szCs w:val="24"/>
                <w:highlight w:val="none"/>
              </w:rPr>
            </w:pPr>
            <w:r>
              <w:rPr>
                <w:rFonts w:hint="eastAsia"/>
                <w:b/>
                <w:bCs/>
                <w:color w:val="auto"/>
                <w:sz w:val="24"/>
                <w:szCs w:val="24"/>
                <w:highlight w:val="none"/>
              </w:rPr>
              <w:t xml:space="preserve">推荐品牌</w:t>
            </w:r>
            <w:r/>
          </w:p>
        </w:tc>
        <w:tc>
          <w:tcPr>
            <w:tcW w:w="1224" w:type="dxa"/>
            <w:vAlign w:val="center"/>
            <w:textDirection w:val="lrTb"/>
            <w:noWrap w:val="false"/>
          </w:tcPr>
          <w:p>
            <w:pPr>
              <w:jc w:val="center"/>
              <w:spacing w:line="360" w:lineRule="auto"/>
              <w:rPr>
                <w:b/>
                <w:bCs/>
                <w:color w:val="auto"/>
                <w:sz w:val="24"/>
                <w:szCs w:val="24"/>
                <w:highlight w:val="none"/>
              </w:rPr>
            </w:pPr>
            <w:r>
              <w:rPr>
                <w:rFonts w:hint="eastAsia"/>
                <w:b/>
                <w:bCs/>
                <w:color w:val="auto"/>
                <w:sz w:val="24"/>
                <w:szCs w:val="24"/>
                <w:highlight w:val="none"/>
              </w:rPr>
              <w:t xml:space="preserve">数量</w:t>
            </w:r>
            <w:r/>
          </w:p>
        </w:tc>
      </w:tr>
      <w:tr>
        <w:trPr>
          <w:jc w:val="center"/>
          <w:trHeight w:val="669"/>
        </w:trPr>
        <w:tc>
          <w:tcPr>
            <w:tcW w:w="1020"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1</w:t>
            </w:r>
            <w:r/>
          </w:p>
        </w:tc>
        <w:tc>
          <w:tcPr>
            <w:tcW w:w="2293"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电脑主机</w:t>
            </w:r>
            <w:r/>
          </w:p>
        </w:tc>
        <w:tc>
          <w:tcPr>
            <w:tcW w:w="2546"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戴尔、联想</w:t>
            </w:r>
            <w:r/>
          </w:p>
        </w:tc>
        <w:tc>
          <w:tcPr>
            <w:tcW w:w="122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5</w:t>
            </w:r>
            <w:r/>
          </w:p>
        </w:tc>
      </w:tr>
      <w:tr>
        <w:trPr>
          <w:jc w:val="center"/>
          <w:trHeight w:val="669"/>
        </w:trPr>
        <w:tc>
          <w:tcPr>
            <w:tcW w:w="1020"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2</w:t>
            </w:r>
            <w:r/>
          </w:p>
        </w:tc>
        <w:tc>
          <w:tcPr>
            <w:tcW w:w="2293"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显示器</w:t>
            </w:r>
            <w:r/>
          </w:p>
        </w:tc>
        <w:tc>
          <w:tcPr>
            <w:tcW w:w="2546"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戴尔、联想</w:t>
            </w:r>
            <w:r/>
          </w:p>
        </w:tc>
        <w:tc>
          <w:tcPr>
            <w:tcW w:w="122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5</w:t>
            </w:r>
            <w:r/>
          </w:p>
        </w:tc>
      </w:tr>
      <w:tr>
        <w:trPr>
          <w:jc w:val="center"/>
          <w:trHeight w:val="669"/>
        </w:trPr>
        <w:tc>
          <w:tcPr>
            <w:tcW w:w="1020"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3</w:t>
            </w:r>
            <w:r/>
          </w:p>
        </w:tc>
        <w:tc>
          <w:tcPr>
            <w:tcW w:w="2293"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激光打印机</w:t>
            </w:r>
            <w:r/>
          </w:p>
        </w:tc>
        <w:tc>
          <w:tcPr>
            <w:tcW w:w="2546"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兄弟</w:t>
            </w:r>
            <w:r/>
          </w:p>
        </w:tc>
        <w:tc>
          <w:tcPr>
            <w:tcW w:w="122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5</w:t>
            </w:r>
            <w:r/>
          </w:p>
        </w:tc>
      </w:tr>
      <w:tr>
        <w:trPr>
          <w:jc w:val="center"/>
          <w:trHeight w:val="669"/>
        </w:trPr>
        <w:tc>
          <w:tcPr>
            <w:tcW w:w="1020"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4</w:t>
            </w:r>
            <w:r/>
          </w:p>
        </w:tc>
        <w:tc>
          <w:tcPr>
            <w:tcW w:w="2293"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条码打印机</w:t>
            </w:r>
            <w:r/>
          </w:p>
        </w:tc>
        <w:tc>
          <w:tcPr>
            <w:tcW w:w="2546"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斑马、TSC</w:t>
            </w:r>
            <w:r/>
          </w:p>
        </w:tc>
        <w:tc>
          <w:tcPr>
            <w:tcW w:w="122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2</w:t>
            </w:r>
            <w:r/>
          </w:p>
        </w:tc>
      </w:tr>
      <w:tr>
        <w:trPr>
          <w:jc w:val="center"/>
          <w:trHeight w:val="669"/>
        </w:trPr>
        <w:tc>
          <w:tcPr>
            <w:tcW w:w="1020"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5</w:t>
            </w:r>
            <w:r/>
          </w:p>
        </w:tc>
        <w:tc>
          <w:tcPr>
            <w:tcW w:w="2293"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针式打印机</w:t>
            </w:r>
            <w:r/>
          </w:p>
        </w:tc>
        <w:tc>
          <w:tcPr>
            <w:tcW w:w="2546"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得实</w:t>
            </w:r>
            <w:r/>
          </w:p>
        </w:tc>
        <w:tc>
          <w:tcPr>
            <w:tcW w:w="122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2</w:t>
            </w:r>
            <w:r/>
          </w:p>
        </w:tc>
      </w:tr>
      <w:tr>
        <w:trPr>
          <w:jc w:val="center"/>
          <w:trHeight w:val="669"/>
        </w:trPr>
        <w:tc>
          <w:tcPr>
            <w:tcW w:w="1020"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6</w:t>
            </w:r>
            <w:r/>
          </w:p>
        </w:tc>
        <w:tc>
          <w:tcPr>
            <w:tcW w:w="2293"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扫描枪</w:t>
            </w:r>
            <w:r/>
          </w:p>
        </w:tc>
        <w:tc>
          <w:tcPr>
            <w:tcW w:w="2546"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DATALOGIC</w:t>
            </w:r>
            <w:r/>
          </w:p>
        </w:tc>
        <w:tc>
          <w:tcPr>
            <w:tcW w:w="122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5</w:t>
            </w:r>
            <w:r/>
          </w:p>
        </w:tc>
      </w:tr>
    </w:tbl>
    <w:p>
      <w:pPr>
        <w:spacing w:line="360" w:lineRule="auto"/>
        <w:rPr>
          <w:color w:val="auto"/>
          <w:sz w:val="24"/>
          <w:szCs w:val="24"/>
          <w:highlight w:val="none"/>
        </w:rPr>
      </w:pPr>
      <w:r>
        <w:rPr>
          <w:color w:val="auto"/>
          <w:sz w:val="24"/>
          <w:szCs w:val="24"/>
          <w:highlight w:val="none"/>
        </w:rPr>
      </w:r>
      <w:r/>
    </w:p>
    <w:p>
      <w:pPr>
        <w:ind w:firstLine="420"/>
        <w:spacing w:line="360" w:lineRule="auto"/>
        <w:rPr>
          <w:color w:val="auto"/>
          <w:sz w:val="24"/>
          <w:szCs w:val="24"/>
          <w:highlight w:val="none"/>
        </w:rPr>
      </w:pPr>
      <w:r>
        <w:rPr>
          <w:color w:val="auto"/>
          <w:sz w:val="24"/>
          <w:szCs w:val="24"/>
          <w:highlight w:val="none"/>
        </w:rPr>
        <w:t xml:space="preserve">3.15</w:t>
      </w:r>
      <w:r>
        <w:rPr>
          <w:rFonts w:hint="eastAsia"/>
          <w:color w:val="auto"/>
          <w:sz w:val="24"/>
          <w:szCs w:val="24"/>
          <w:highlight w:val="none"/>
        </w:rPr>
        <w:t xml:space="preserve">定期提供</w:t>
      </w:r>
      <w:r>
        <w:rPr>
          <w:color w:val="auto"/>
          <w:sz w:val="24"/>
          <w:szCs w:val="24"/>
          <w:highlight w:val="none"/>
        </w:rPr>
        <w:t xml:space="preserve">设备巡检报告、设备维修纪录、</w:t>
      </w:r>
      <w:r>
        <w:rPr>
          <w:rFonts w:hint="eastAsia"/>
          <w:color w:val="auto"/>
          <w:sz w:val="24"/>
          <w:szCs w:val="24"/>
          <w:highlight w:val="none"/>
        </w:rPr>
        <w:t xml:space="preserve">配件更换记录及其他相关资料</w:t>
      </w:r>
      <w:r>
        <w:rPr>
          <w:color w:val="auto"/>
          <w:sz w:val="24"/>
          <w:szCs w:val="24"/>
          <w:highlight w:val="none"/>
        </w:rPr>
        <w:t xml:space="preserve">装订成册提交给</w:t>
      </w:r>
      <w:r>
        <w:rPr>
          <w:rFonts w:hint="eastAsia"/>
          <w:color w:val="auto"/>
          <w:sz w:val="24"/>
          <w:szCs w:val="24"/>
          <w:highlight w:val="none"/>
        </w:rPr>
        <w:t xml:space="preserve">院方；</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3.16对所维护设备</w:t>
      </w:r>
      <w:r>
        <w:rPr>
          <w:rFonts w:hint="eastAsia"/>
          <w:color w:val="auto"/>
          <w:sz w:val="24"/>
          <w:szCs w:val="24"/>
          <w:highlight w:val="none"/>
        </w:rPr>
        <w:t xml:space="preserve">做日常</w:t>
      </w:r>
      <w:r>
        <w:rPr>
          <w:color w:val="auto"/>
          <w:sz w:val="24"/>
          <w:szCs w:val="24"/>
          <w:highlight w:val="none"/>
        </w:rPr>
        <w:t xml:space="preserve">巡检，</w:t>
      </w:r>
      <w:r>
        <w:rPr>
          <w:rFonts w:hint="eastAsia"/>
          <w:color w:val="auto"/>
          <w:sz w:val="24"/>
          <w:szCs w:val="24"/>
          <w:highlight w:val="none"/>
        </w:rPr>
        <w:t xml:space="preserve">电脑巡检包括机箱清洁除尘、线路整理、检查配件是否安插到位、办公软件是否可以正常使用等；</w:t>
      </w:r>
      <w:r>
        <w:rPr>
          <w:color w:val="auto"/>
          <w:sz w:val="24"/>
          <w:szCs w:val="24"/>
          <w:highlight w:val="none"/>
        </w:rPr>
        <w:t xml:space="preserve">打印机巡检包括：</w:t>
      </w:r>
      <w:r>
        <w:rPr>
          <w:rFonts w:hint="eastAsia"/>
          <w:color w:val="auto"/>
          <w:sz w:val="24"/>
          <w:szCs w:val="24"/>
          <w:highlight w:val="none"/>
        </w:rPr>
        <w:t xml:space="preserve">机器内部清洁</w:t>
      </w:r>
      <w:r>
        <w:rPr>
          <w:color w:val="auto"/>
          <w:sz w:val="24"/>
          <w:szCs w:val="24"/>
          <w:highlight w:val="none"/>
        </w:rPr>
        <w:t xml:space="preserve">、</w:t>
      </w:r>
      <w:r>
        <w:rPr>
          <w:rFonts w:hint="eastAsia"/>
          <w:color w:val="auto"/>
          <w:sz w:val="24"/>
          <w:szCs w:val="24"/>
          <w:highlight w:val="none"/>
        </w:rPr>
        <w:t xml:space="preserve">清理</w:t>
      </w:r>
      <w:r>
        <w:rPr>
          <w:color w:val="auto"/>
          <w:sz w:val="24"/>
          <w:szCs w:val="24"/>
          <w:highlight w:val="none"/>
        </w:rPr>
        <w:t xml:space="preserve">走纸通道、</w:t>
      </w:r>
      <w:r>
        <w:rPr>
          <w:rFonts w:hint="eastAsia"/>
          <w:color w:val="auto"/>
          <w:sz w:val="24"/>
          <w:szCs w:val="24"/>
          <w:highlight w:val="none"/>
        </w:rPr>
        <w:t xml:space="preserve">检查主要部件是否老损</w:t>
      </w:r>
      <w:r>
        <w:rPr>
          <w:color w:val="auto"/>
          <w:sz w:val="24"/>
          <w:szCs w:val="24"/>
          <w:highlight w:val="none"/>
        </w:rPr>
        <w:t xml:space="preserve">等；PDA巡检包括：</w:t>
      </w:r>
      <w:r>
        <w:rPr>
          <w:rFonts w:hint="eastAsia"/>
          <w:color w:val="auto"/>
          <w:sz w:val="24"/>
          <w:szCs w:val="24"/>
          <w:highlight w:val="none"/>
        </w:rPr>
        <w:t xml:space="preserve">检查设备触摸屏</w:t>
      </w:r>
      <w:r>
        <w:rPr>
          <w:color w:val="auto"/>
          <w:sz w:val="24"/>
          <w:szCs w:val="24"/>
          <w:highlight w:val="none"/>
        </w:rPr>
        <w:t xml:space="preserve">、扫描头</w:t>
      </w:r>
      <w:r>
        <w:rPr>
          <w:rFonts w:hint="eastAsia"/>
          <w:color w:val="auto"/>
          <w:sz w:val="24"/>
          <w:szCs w:val="24"/>
          <w:highlight w:val="none"/>
        </w:rPr>
        <w:t xml:space="preserve">、按键是否正常</w:t>
      </w:r>
      <w:r>
        <w:rPr>
          <w:color w:val="auto"/>
          <w:sz w:val="24"/>
          <w:szCs w:val="24"/>
          <w:highlight w:val="none"/>
        </w:rPr>
        <w:t xml:space="preserve">等；</w:t>
      </w:r>
      <w:r>
        <w:rPr>
          <w:rFonts w:hint="eastAsia"/>
          <w:color w:val="auto"/>
          <w:sz w:val="24"/>
          <w:szCs w:val="24"/>
          <w:highlight w:val="none"/>
        </w:rPr>
        <w:t xml:space="preserve">扫描仪扫码枪</w:t>
      </w:r>
      <w:r>
        <w:rPr>
          <w:color w:val="auto"/>
          <w:sz w:val="24"/>
          <w:szCs w:val="24"/>
          <w:highlight w:val="none"/>
        </w:rPr>
        <w:t xml:space="preserve">巡检包括</w:t>
      </w:r>
      <w:r>
        <w:rPr>
          <w:rFonts w:hint="eastAsia"/>
          <w:color w:val="auto"/>
          <w:sz w:val="24"/>
          <w:szCs w:val="24"/>
          <w:highlight w:val="none"/>
        </w:rPr>
        <w:t xml:space="preserve">机器清洁，检查扫描头和按键是否正常</w:t>
      </w:r>
      <w:r>
        <w:rPr>
          <w:color w:val="auto"/>
          <w:sz w:val="24"/>
          <w:szCs w:val="24"/>
          <w:highlight w:val="none"/>
        </w:rPr>
        <w:t xml:space="preserve">等。对巡检中发现的潜在隐患提出改正建议，及时通知院方；</w:t>
      </w:r>
      <w:r/>
    </w:p>
    <w:p>
      <w:pPr>
        <w:ind w:firstLine="42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.17 </w:t>
      </w:r>
      <w:r>
        <w:rPr>
          <w:rFonts w:hint="eastAsia"/>
          <w:color w:val="auto"/>
          <w:sz w:val="24"/>
          <w:szCs w:val="24"/>
          <w:highlight w:val="none"/>
        </w:rPr>
        <w:t xml:space="preserve">配合医院信息管理处进行满意度调研和整改。</w:t>
      </w:r>
      <w:r/>
    </w:p>
    <w:p>
      <w:pPr>
        <w:ind w:right="-10" w:firstLine="482"/>
        <w:spacing w:line="360" w:lineRule="auto"/>
        <w:rPr>
          <w:rFonts w:cs="宋体"/>
          <w:b/>
          <w:bCs/>
          <w:color w:val="auto"/>
          <w:sz w:val="24"/>
          <w:szCs w:val="24"/>
          <w:highlight w:val="none"/>
        </w:rPr>
      </w:pPr>
      <w:r>
        <w:rPr>
          <w:rFonts w:cs="宋体"/>
          <w:b/>
          <w:bCs/>
          <w:color w:val="auto"/>
          <w:sz w:val="24"/>
          <w:szCs w:val="24"/>
          <w:highlight w:val="none"/>
        </w:rPr>
      </w:r>
      <w:r/>
    </w:p>
    <w:p>
      <w:pPr>
        <w:ind w:firstLine="420"/>
        <w:spacing w:line="360" w:lineRule="auto"/>
        <w:rPr>
          <w:b/>
          <w:bCs/>
          <w:color w:val="auto"/>
          <w:sz w:val="24"/>
          <w:szCs w:val="24"/>
          <w:highlight w:val="none"/>
        </w:rPr>
      </w:pPr>
      <w:r>
        <w:rPr>
          <w:rFonts w:hint="eastAsia"/>
          <w:b/>
          <w:bCs/>
          <w:color w:val="auto"/>
          <w:sz w:val="24"/>
          <w:szCs w:val="24"/>
          <w:highlight w:val="none"/>
        </w:rPr>
        <w:t xml:space="preserve">★商务部分要求</w:t>
      </w:r>
      <w:r/>
    </w:p>
    <w:p>
      <w:pPr>
        <w:ind w:firstLine="420"/>
        <w:spacing w:line="360" w:lineRule="auto"/>
        <w:rPr>
          <w:color w:val="auto"/>
          <w:sz w:val="24"/>
          <w:szCs w:val="24"/>
          <w:highlight w:val="none"/>
        </w:rPr>
      </w:pPr>
      <w:r>
        <w:rPr>
          <w:rFonts w:hint="eastAsia"/>
          <w:color w:val="auto"/>
          <w:sz w:val="24"/>
          <w:szCs w:val="24"/>
          <w:highlight w:val="none"/>
        </w:rPr>
        <w:t xml:space="preserve">1、服务期限：</w:t>
      </w:r>
      <w:r/>
    </w:p>
    <w:p>
      <w:pPr>
        <w:ind w:firstLine="420"/>
        <w:spacing w:line="360" w:lineRule="auto"/>
        <w:rPr>
          <w:color w:val="auto"/>
          <w:sz w:val="24"/>
          <w:szCs w:val="24"/>
          <w:highlight w:val="none"/>
        </w:rPr>
      </w:pPr>
      <w:r>
        <w:rPr>
          <w:rFonts w:hint="eastAsia"/>
          <w:color w:val="auto"/>
          <w:sz w:val="24"/>
          <w:szCs w:val="24"/>
          <w:highlight w:val="none"/>
        </w:rPr>
        <w:t xml:space="preserve">（1）维护服务期自2026年</w:t>
      </w:r>
      <w:r>
        <w:rPr>
          <w:color w:val="auto"/>
          <w:sz w:val="24"/>
          <w:szCs w:val="24"/>
          <w:highlight w:val="none"/>
        </w:rPr>
        <w:t xml:space="preserve">6</w:t>
      </w:r>
      <w:r>
        <w:rPr>
          <w:rFonts w:hint="eastAsia"/>
          <w:color w:val="auto"/>
          <w:sz w:val="24"/>
          <w:szCs w:val="24"/>
          <w:highlight w:val="none"/>
        </w:rPr>
        <w:t xml:space="preserve">月</w:t>
      </w:r>
      <w:r>
        <w:rPr>
          <w:color w:val="auto"/>
          <w:sz w:val="24"/>
          <w:szCs w:val="24"/>
          <w:highlight w:val="none"/>
        </w:rPr>
        <w:t xml:space="preserve">22</w:t>
      </w:r>
      <w:r>
        <w:rPr>
          <w:rFonts w:hint="eastAsia"/>
          <w:color w:val="auto"/>
          <w:sz w:val="24"/>
          <w:szCs w:val="24"/>
          <w:highlight w:val="none"/>
        </w:rPr>
        <w:t xml:space="preserve">日起至2029年</w:t>
      </w:r>
      <w:r>
        <w:rPr>
          <w:color w:val="auto"/>
          <w:sz w:val="24"/>
          <w:szCs w:val="24"/>
          <w:highlight w:val="none"/>
        </w:rPr>
        <w:t xml:space="preserve">6</w:t>
      </w:r>
      <w:r>
        <w:rPr>
          <w:rFonts w:hint="eastAsia"/>
          <w:color w:val="auto"/>
          <w:sz w:val="24"/>
          <w:szCs w:val="24"/>
          <w:highlight w:val="none"/>
        </w:rPr>
        <w:t xml:space="preserve">月</w:t>
      </w:r>
      <w:r>
        <w:rPr>
          <w:color w:val="auto"/>
          <w:sz w:val="24"/>
          <w:szCs w:val="24"/>
          <w:highlight w:val="none"/>
        </w:rPr>
        <w:t xml:space="preserve">21</w:t>
      </w:r>
      <w:r>
        <w:rPr>
          <w:rFonts w:hint="eastAsia"/>
          <w:color w:val="auto"/>
          <w:sz w:val="24"/>
          <w:szCs w:val="24"/>
          <w:highlight w:val="none"/>
        </w:rPr>
        <w:t xml:space="preserve">日共计三年，每年服务期结束，经采购人考核服务合格，合同方可继续执行，服务期最多三年。</w:t>
      </w:r>
      <w:r/>
    </w:p>
    <w:p>
      <w:pPr>
        <w:ind w:firstLine="420"/>
        <w:spacing w:line="360" w:lineRule="auto"/>
        <w:rPr>
          <w:color w:val="auto"/>
          <w:sz w:val="24"/>
          <w:szCs w:val="24"/>
          <w:highlight w:val="none"/>
        </w:rPr>
      </w:pPr>
      <w:r>
        <w:rPr>
          <w:rFonts w:hint="eastAsia"/>
          <w:color w:val="auto"/>
          <w:sz w:val="24"/>
          <w:szCs w:val="24"/>
          <w:highlight w:val="none"/>
        </w:rPr>
        <w:t xml:space="preserve">2、付款条件：</w:t>
      </w:r>
      <w:r/>
    </w:p>
    <w:p>
      <w:pPr>
        <w:ind w:firstLine="420"/>
        <w:spacing w:line="360" w:lineRule="auto"/>
        <w:rPr>
          <w:color w:val="auto"/>
          <w:sz w:val="24"/>
          <w:szCs w:val="24"/>
          <w:highlight w:val="none"/>
        </w:rPr>
      </w:pPr>
      <w:r>
        <w:rPr>
          <w:rFonts w:hint="eastAsia"/>
          <w:color w:val="auto"/>
          <w:sz w:val="24"/>
          <w:szCs w:val="24"/>
          <w:highlight w:val="none"/>
        </w:rPr>
        <w:t xml:space="preserve">（1）履约保证金：不涉及</w:t>
      </w:r>
      <w:r/>
    </w:p>
    <w:p>
      <w:pPr>
        <w:ind w:firstLine="420"/>
        <w:spacing w:line="360" w:lineRule="auto"/>
        <w:rPr>
          <w:color w:val="auto"/>
          <w:sz w:val="24"/>
          <w:szCs w:val="24"/>
          <w:highlight w:val="none"/>
        </w:rPr>
      </w:pPr>
      <w:r>
        <w:rPr>
          <w:rFonts w:hint="eastAsia"/>
          <w:color w:val="auto"/>
          <w:sz w:val="24"/>
          <w:szCs w:val="24"/>
          <w:highlight w:val="none"/>
        </w:rPr>
        <w:t xml:space="preserve">（2）付款方式：合同签订，每一服务年度，服务履行半年并经院方确认服务合格后支付当年度服务费的50%，该年度服务履行完毕并经院方确认服务合格后支付当年度剩余服务费</w:t>
      </w:r>
      <w:r>
        <w:rPr>
          <w:rFonts w:hint="eastAsia"/>
          <w:color w:val="auto"/>
          <w:sz w:val="24"/>
          <w:szCs w:val="24"/>
          <w:highlight w:val="none"/>
        </w:rPr>
        <w:t xml:space="preserve">。</w:t>
      </w:r>
      <w:r/>
    </w:p>
    <w:p>
      <w:pPr>
        <w:ind w:firstLine="482"/>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rPr>
          <w:rFonts w:ascii="宋体" w:hAnsi="宋体" w:cs="宋体"/>
          <w:b/>
          <w:color w:val="auto"/>
          <w:sz w:val="24"/>
          <w:szCs w:val="24"/>
          <w:highlight w:val="none"/>
        </w:rPr>
      </w:pPr>
      <w:r>
        <w:rPr>
          <w:rFonts w:ascii="宋体" w:hAnsi="宋体" w:cs="宋体"/>
          <w:b/>
          <w:color w:val="auto"/>
          <w:sz w:val="24"/>
          <w:szCs w:val="24"/>
          <w:highlight w:val="none"/>
        </w:rPr>
      </w:r>
      <w:r/>
    </w:p>
    <w:p>
      <w:pPr>
        <w:ind w:firstLine="420"/>
        <w:rPr>
          <w:rFonts w:cs="宋体"/>
          <w:i/>
          <w:iCs/>
          <w:color w:val="auto"/>
          <w:highlight w:val="none"/>
          <w:u w:val="single"/>
        </w:rPr>
      </w:pPr>
      <w:r>
        <w:rPr>
          <w:rFonts w:hint="eastAsia" w:cs="宋体"/>
          <w:i/>
          <w:iCs/>
          <w:color w:val="auto"/>
          <w:highlight w:val="none"/>
          <w:u w:val="single"/>
        </w:rPr>
        <w:t xml:space="preserve">★参数为实质性条款，负偏离作无效投标文件处理。</w:t>
      </w:r>
      <w:r/>
    </w:p>
    <w:p>
      <w:pPr>
        <w:ind w:firstLine="482"/>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bookmarkEnd w:id="151"/>
      <w:r/>
      <w:bookmarkEnd w:id="152"/>
      <w:r/>
      <w:r/>
    </w:p>
    <w:p>
      <w:pPr>
        <w:pStyle w:val="764"/>
        <w:rPr>
          <w:color w:val="auto"/>
          <w:highlight w:val="none"/>
        </w:rPr>
      </w:pPr>
      <w:r>
        <w:rPr>
          <w:rFonts w:hint="eastAsia"/>
          <w:color w:val="auto"/>
          <w:highlight w:val="none"/>
        </w:rPr>
        <w:t xml:space="preserve"> </w:t>
      </w:r>
      <w:bookmarkStart w:id="153" w:name="_Toc10059"/>
      <w:r>
        <w:rPr>
          <w:rFonts w:hint="eastAsia" w:eastAsia="宋体"/>
          <w:color w:val="auto"/>
          <w:highlight w:val="none"/>
        </w:rPr>
        <w:t xml:space="preserve">第五部分 </w:t>
      </w:r>
      <w:r>
        <w:rPr>
          <w:rFonts w:hint="eastAsia"/>
          <w:color w:val="auto"/>
          <w:highlight w:val="none"/>
        </w:rPr>
        <w:t xml:space="preserve">合同格式及条款</w:t>
      </w:r>
      <w:bookmarkEnd w:id="150"/>
      <w:r/>
      <w:bookmarkEnd w:id="153"/>
      <w:r/>
      <w:r/>
    </w:p>
    <w:p>
      <w:pPr>
        <w:spacing w:line="360" w:lineRule="auto"/>
        <w:rPr>
          <w:color w:val="auto"/>
          <w:highlight w:val="none"/>
        </w:rPr>
      </w:pPr>
      <w:r>
        <w:rPr>
          <w:rFonts w:hint="eastAsia"/>
          <w:color w:val="auto"/>
          <w:highlight w:val="none"/>
        </w:rPr>
        <w:t xml:space="preserve">服务合同</w:t>
      </w:r>
      <w:r/>
    </w:p>
    <w:p>
      <w:pPr>
        <w:spacing w:line="360" w:lineRule="auto"/>
        <w:rPr>
          <w:color w:val="auto"/>
          <w:highlight w:val="none"/>
        </w:rPr>
      </w:pPr>
      <w:r>
        <w:rPr>
          <w:rFonts w:hint="eastAsia"/>
          <w:color w:val="auto"/>
          <w:highlight w:val="none"/>
        </w:rPr>
        <w:t xml:space="preserve">甲方：南京鼓楼医院</w:t>
      </w:r>
      <w:r/>
    </w:p>
    <w:p>
      <w:pPr>
        <w:spacing w:line="360" w:lineRule="auto"/>
        <w:rPr>
          <w:color w:val="auto"/>
          <w:highlight w:val="none"/>
        </w:rPr>
      </w:pPr>
      <w:r>
        <w:rPr>
          <w:rFonts w:hint="eastAsia"/>
          <w:color w:val="auto"/>
          <w:highlight w:val="none"/>
        </w:rPr>
        <w:t xml:space="preserve">乙方：</w:t>
      </w:r>
      <w:r/>
    </w:p>
    <w:p>
      <w:pPr>
        <w:spacing w:line="360" w:lineRule="auto"/>
        <w:rPr>
          <w:color w:val="auto"/>
          <w:highlight w:val="none"/>
        </w:rPr>
      </w:pPr>
      <w:r>
        <w:rPr>
          <w:rFonts w:hint="eastAsia"/>
          <w:color w:val="auto"/>
          <w:highlight w:val="none"/>
        </w:rPr>
        <w:t xml:space="preserve">南京鼓楼医院（甲方）和（乙方）根据《中华人民共和国政府采购法》、《中华人民共和国民法典》等法律法规的规定，经年月日公开招标，</w:t>
      </w:r>
      <w:r>
        <w:rPr>
          <w:rFonts w:hint="eastAsia" w:ascii="仿宋_GB2312" w:cs="宋体"/>
          <w:color w:val="auto"/>
          <w:highlight w:val="none"/>
        </w:rPr>
        <w:t xml:space="preserve">为甲方</w:t>
      </w:r>
      <w:r>
        <w:rPr>
          <w:rFonts w:ascii="仿宋_GB2312" w:cs="宋体"/>
          <w:color w:val="auto"/>
          <w:highlight w:val="none"/>
          <w:u w:val="single"/>
        </w:rPr>
        <w:t xml:space="preserve">（科室）</w:t>
      </w:r>
      <w:r>
        <w:rPr>
          <w:rFonts w:ascii="仿宋_GB2312" w:cs="宋体"/>
          <w:color w:val="auto"/>
          <w:highlight w:val="none"/>
        </w:rPr>
        <w:t xml:space="preserve">采购以下服务</w:t>
      </w:r>
      <w:r>
        <w:rPr>
          <w:rFonts w:hint="eastAsia" w:ascii="仿宋_GB2312" w:cs="宋体"/>
          <w:color w:val="auto"/>
          <w:highlight w:val="none"/>
        </w:rPr>
        <w:t xml:space="preserve">，</w:t>
      </w:r>
      <w:r>
        <w:rPr>
          <w:rFonts w:hint="eastAsia"/>
          <w:color w:val="auto"/>
          <w:highlight w:val="none"/>
        </w:rPr>
        <w:t xml:space="preserve">甲乙双方按照友好协商签订本合同。</w:t>
      </w:r>
      <w:r/>
    </w:p>
    <w:p>
      <w:pPr>
        <w:spacing w:line="360" w:lineRule="auto"/>
        <w:rPr>
          <w:color w:val="auto"/>
          <w:highlight w:val="none"/>
        </w:rPr>
      </w:pPr>
      <w:r>
        <w:rPr>
          <w:color w:val="auto"/>
          <w:highlight w:val="none"/>
        </w:rPr>
        <w:t xml:space="preserve">一、</w:t>
      </w:r>
      <w:r>
        <w:rPr>
          <w:rFonts w:hint="eastAsia"/>
          <w:color w:val="auto"/>
          <w:highlight w:val="none"/>
        </w:rPr>
        <w:t xml:space="preserve">采购清单见下表：</w:t>
      </w:r>
      <w:r/>
    </w:p>
    <w:tbl>
      <w:tblPr>
        <w:tblStyle w:val="774"/>
        <w:tblW w:w="91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893"/>
        <w:gridCol w:w="893"/>
        <w:gridCol w:w="1403"/>
        <w:gridCol w:w="1404"/>
        <w:gridCol w:w="3191"/>
      </w:tblGrid>
      <w:tr>
        <w:trPr>
          <w:trHeight w:val="225"/>
        </w:trPr>
        <w:tc>
          <w:tcPr>
            <w:tcW w:w="1399" w:type="dxa"/>
            <w:vAlign w:val="center"/>
            <w:textDirection w:val="lrTb"/>
            <w:noWrap w:val="false"/>
          </w:tcPr>
          <w:p>
            <w:pPr>
              <w:spacing w:line="360" w:lineRule="auto"/>
              <w:rPr>
                <w:color w:val="auto"/>
                <w:highlight w:val="none"/>
              </w:rPr>
            </w:pPr>
            <w:r>
              <w:rPr>
                <w:rFonts w:hint="eastAsia"/>
                <w:color w:val="auto"/>
                <w:highlight w:val="none"/>
              </w:rPr>
              <w:t xml:space="preserve">名称</w:t>
            </w:r>
            <w:r/>
          </w:p>
        </w:tc>
        <w:tc>
          <w:tcPr>
            <w:tcW w:w="893" w:type="dxa"/>
            <w:vAlign w:val="center"/>
            <w:textDirection w:val="lrTb"/>
            <w:noWrap w:val="false"/>
          </w:tcPr>
          <w:p>
            <w:pPr>
              <w:spacing w:line="360" w:lineRule="auto"/>
              <w:rPr>
                <w:color w:val="auto"/>
                <w:highlight w:val="none"/>
              </w:rPr>
            </w:pPr>
            <w:r>
              <w:rPr>
                <w:rFonts w:hint="eastAsia"/>
                <w:color w:val="auto"/>
                <w:highlight w:val="none"/>
              </w:rPr>
              <w:t xml:space="preserve">数量</w:t>
            </w:r>
            <w:r/>
          </w:p>
        </w:tc>
        <w:tc>
          <w:tcPr>
            <w:tcW w:w="893" w:type="dxa"/>
            <w:vAlign w:val="center"/>
            <w:textDirection w:val="lrTb"/>
            <w:noWrap w:val="false"/>
          </w:tcPr>
          <w:p>
            <w:pPr>
              <w:spacing w:line="360" w:lineRule="auto"/>
              <w:rPr>
                <w:color w:val="auto"/>
                <w:highlight w:val="none"/>
              </w:rPr>
            </w:pPr>
            <w:r>
              <w:rPr>
                <w:rFonts w:hint="eastAsia"/>
                <w:color w:val="auto"/>
                <w:highlight w:val="none"/>
              </w:rPr>
              <w:t xml:space="preserve">单位</w:t>
            </w:r>
            <w:r/>
          </w:p>
        </w:tc>
        <w:tc>
          <w:tcPr>
            <w:tcW w:w="1403" w:type="dxa"/>
            <w:vAlign w:val="center"/>
            <w:textDirection w:val="lrTb"/>
            <w:noWrap w:val="false"/>
          </w:tcPr>
          <w:p>
            <w:pPr>
              <w:spacing w:line="360" w:lineRule="auto"/>
              <w:rPr>
                <w:color w:val="auto"/>
                <w:highlight w:val="none"/>
              </w:rPr>
            </w:pPr>
            <w:r>
              <w:rPr>
                <w:rFonts w:hint="eastAsia"/>
                <w:color w:val="auto"/>
                <w:highlight w:val="none"/>
              </w:rPr>
              <w:t xml:space="preserve">单价（元）</w:t>
            </w:r>
            <w:r/>
          </w:p>
        </w:tc>
        <w:tc>
          <w:tcPr>
            <w:tcW w:w="1404" w:type="dxa"/>
            <w:vAlign w:val="center"/>
            <w:textDirection w:val="lrTb"/>
            <w:noWrap w:val="false"/>
          </w:tcPr>
          <w:p>
            <w:pPr>
              <w:spacing w:line="360" w:lineRule="auto"/>
              <w:rPr>
                <w:color w:val="auto"/>
                <w:highlight w:val="none"/>
              </w:rPr>
            </w:pPr>
            <w:r>
              <w:rPr>
                <w:rFonts w:hint="eastAsia"/>
                <w:color w:val="auto"/>
                <w:highlight w:val="none"/>
              </w:rPr>
              <w:t xml:space="preserve">合计（元）</w:t>
            </w:r>
            <w:r/>
          </w:p>
        </w:tc>
        <w:tc>
          <w:tcPr>
            <w:tcW w:w="3189" w:type="dxa"/>
            <w:vAlign w:val="center"/>
            <w:textDirection w:val="lrTb"/>
            <w:noWrap w:val="false"/>
          </w:tcPr>
          <w:p>
            <w:pPr>
              <w:spacing w:line="360" w:lineRule="auto"/>
              <w:rPr>
                <w:color w:val="auto"/>
                <w:highlight w:val="none"/>
              </w:rPr>
            </w:pPr>
            <w:r>
              <w:rPr>
                <w:rFonts w:hint="eastAsia"/>
                <w:color w:val="auto"/>
                <w:highlight w:val="none"/>
              </w:rPr>
              <w:t xml:space="preserve">备注</w:t>
            </w:r>
            <w:r/>
          </w:p>
        </w:tc>
      </w:tr>
      <w:tr>
        <w:trPr>
          <w:trHeight w:val="225"/>
        </w:trPr>
        <w:tc>
          <w:tcPr>
            <w:tcW w:w="1399" w:type="dxa"/>
            <w:vAlign w:val="center"/>
            <w:textDirection w:val="lrTb"/>
            <w:noWrap w:val="false"/>
          </w:tcPr>
          <w:p>
            <w:pPr>
              <w:spacing w:line="360" w:lineRule="auto"/>
              <w:rPr>
                <w:color w:val="auto"/>
                <w:highlight w:val="none"/>
              </w:rPr>
            </w:pPr>
            <w:r>
              <w:rPr>
                <w:color w:val="auto"/>
                <w:highlight w:val="none"/>
              </w:rPr>
            </w:r>
            <w:r/>
          </w:p>
        </w:tc>
        <w:tc>
          <w:tcPr>
            <w:tcW w:w="893" w:type="dxa"/>
            <w:vAlign w:val="center"/>
            <w:textDirection w:val="lrTb"/>
            <w:noWrap w:val="false"/>
          </w:tcPr>
          <w:p>
            <w:pPr>
              <w:spacing w:line="360" w:lineRule="auto"/>
              <w:rPr>
                <w:color w:val="auto"/>
                <w:highlight w:val="none"/>
              </w:rPr>
            </w:pPr>
            <w:r>
              <w:rPr>
                <w:color w:val="auto"/>
                <w:highlight w:val="none"/>
              </w:rPr>
            </w:r>
            <w:r/>
          </w:p>
        </w:tc>
        <w:tc>
          <w:tcPr>
            <w:tcW w:w="893" w:type="dxa"/>
            <w:vAlign w:val="center"/>
            <w:textDirection w:val="lrTb"/>
            <w:noWrap w:val="false"/>
          </w:tcPr>
          <w:p>
            <w:pPr>
              <w:spacing w:line="360" w:lineRule="auto"/>
              <w:rPr>
                <w:color w:val="auto"/>
                <w:highlight w:val="none"/>
              </w:rPr>
            </w:pPr>
            <w:r>
              <w:rPr>
                <w:color w:val="auto"/>
                <w:highlight w:val="none"/>
              </w:rPr>
            </w:r>
            <w:r/>
          </w:p>
        </w:tc>
        <w:tc>
          <w:tcPr>
            <w:tcW w:w="1403" w:type="dxa"/>
            <w:vAlign w:val="center"/>
            <w:textDirection w:val="lrTb"/>
            <w:noWrap w:val="false"/>
          </w:tcPr>
          <w:p>
            <w:pPr>
              <w:spacing w:line="360" w:lineRule="auto"/>
              <w:rPr>
                <w:color w:val="auto"/>
                <w:highlight w:val="none"/>
              </w:rPr>
            </w:pPr>
            <w:r>
              <w:rPr>
                <w:color w:val="auto"/>
                <w:highlight w:val="none"/>
              </w:rPr>
            </w:r>
            <w:r/>
          </w:p>
        </w:tc>
        <w:tc>
          <w:tcPr>
            <w:tcW w:w="1404" w:type="dxa"/>
            <w:vAlign w:val="center"/>
            <w:textDirection w:val="lrTb"/>
            <w:noWrap w:val="false"/>
          </w:tcPr>
          <w:p>
            <w:pPr>
              <w:spacing w:line="360" w:lineRule="auto"/>
              <w:rPr>
                <w:color w:val="auto"/>
                <w:highlight w:val="none"/>
              </w:rPr>
            </w:pPr>
            <w:r>
              <w:rPr>
                <w:color w:val="auto"/>
                <w:highlight w:val="none"/>
              </w:rPr>
            </w:r>
            <w:r/>
          </w:p>
        </w:tc>
        <w:tc>
          <w:tcPr>
            <w:tcW w:w="3189" w:type="dxa"/>
            <w:vAlign w:val="center"/>
            <w:vMerge w:val="restart"/>
            <w:textDirection w:val="lrTb"/>
            <w:noWrap w:val="false"/>
          </w:tcPr>
          <w:p>
            <w:pPr>
              <w:spacing w:line="360" w:lineRule="auto"/>
              <w:rPr>
                <w:color w:val="auto"/>
                <w:highlight w:val="none"/>
              </w:rPr>
            </w:pPr>
            <w:r>
              <w:rPr>
                <w:rFonts w:hint="eastAsia"/>
                <w:color w:val="auto"/>
                <w:highlight w:val="none"/>
              </w:rPr>
              <w:t xml:space="preserve">详细服务要求详见附件</w:t>
            </w:r>
            <w:r>
              <w:rPr>
                <w:color w:val="auto"/>
                <w:highlight w:val="none"/>
              </w:rPr>
              <w:t xml:space="preserve">2</w:t>
            </w:r>
            <w:r>
              <w:rPr>
                <w:rFonts w:hint="eastAsia"/>
                <w:color w:val="auto"/>
                <w:highlight w:val="none"/>
              </w:rPr>
              <w:t xml:space="preserve">《服务要求与服务标准》</w:t>
            </w:r>
            <w:r/>
          </w:p>
        </w:tc>
      </w:tr>
      <w:tr>
        <w:trPr>
          <w:trHeight w:val="225"/>
        </w:trPr>
        <w:tc>
          <w:tcPr>
            <w:tcW w:w="1399" w:type="dxa"/>
            <w:vAlign w:val="center"/>
            <w:textDirection w:val="lrTb"/>
            <w:noWrap w:val="false"/>
          </w:tcPr>
          <w:p>
            <w:pPr>
              <w:spacing w:line="360" w:lineRule="auto"/>
              <w:rPr>
                <w:color w:val="auto"/>
                <w:highlight w:val="none"/>
              </w:rPr>
            </w:pPr>
            <w:r>
              <w:rPr>
                <w:color w:val="auto"/>
                <w:highlight w:val="none"/>
              </w:rPr>
            </w:r>
            <w:r/>
          </w:p>
        </w:tc>
        <w:tc>
          <w:tcPr>
            <w:tcW w:w="893" w:type="dxa"/>
            <w:vAlign w:val="center"/>
            <w:textDirection w:val="lrTb"/>
            <w:noWrap w:val="false"/>
          </w:tcPr>
          <w:p>
            <w:pPr>
              <w:spacing w:line="360" w:lineRule="auto"/>
              <w:rPr>
                <w:color w:val="auto"/>
                <w:highlight w:val="none"/>
              </w:rPr>
            </w:pPr>
            <w:r>
              <w:rPr>
                <w:color w:val="auto"/>
                <w:highlight w:val="none"/>
              </w:rPr>
            </w:r>
            <w:r/>
          </w:p>
        </w:tc>
        <w:tc>
          <w:tcPr>
            <w:tcW w:w="893" w:type="dxa"/>
            <w:vAlign w:val="center"/>
            <w:textDirection w:val="lrTb"/>
            <w:noWrap w:val="false"/>
          </w:tcPr>
          <w:p>
            <w:pPr>
              <w:spacing w:line="360" w:lineRule="auto"/>
              <w:rPr>
                <w:color w:val="auto"/>
                <w:highlight w:val="none"/>
              </w:rPr>
            </w:pPr>
            <w:r>
              <w:rPr>
                <w:color w:val="auto"/>
                <w:highlight w:val="none"/>
              </w:rPr>
            </w:r>
            <w:r/>
          </w:p>
        </w:tc>
        <w:tc>
          <w:tcPr>
            <w:tcW w:w="1403" w:type="dxa"/>
            <w:vAlign w:val="center"/>
            <w:textDirection w:val="lrTb"/>
            <w:noWrap w:val="false"/>
          </w:tcPr>
          <w:p>
            <w:pPr>
              <w:spacing w:line="360" w:lineRule="auto"/>
              <w:rPr>
                <w:color w:val="auto"/>
                <w:highlight w:val="none"/>
              </w:rPr>
            </w:pPr>
            <w:r>
              <w:rPr>
                <w:color w:val="auto"/>
                <w:highlight w:val="none"/>
              </w:rPr>
            </w:r>
            <w:r/>
          </w:p>
        </w:tc>
        <w:tc>
          <w:tcPr>
            <w:tcW w:w="1404" w:type="dxa"/>
            <w:vAlign w:val="center"/>
            <w:textDirection w:val="lrTb"/>
            <w:noWrap w:val="false"/>
          </w:tcPr>
          <w:p>
            <w:pPr>
              <w:spacing w:line="360" w:lineRule="auto"/>
              <w:rPr>
                <w:color w:val="auto"/>
                <w:highlight w:val="none"/>
              </w:rPr>
            </w:pPr>
            <w:r>
              <w:rPr>
                <w:color w:val="auto"/>
                <w:highlight w:val="none"/>
              </w:rPr>
            </w:r>
            <w:r/>
          </w:p>
        </w:tc>
        <w:tc>
          <w:tcPr>
            <w:tcW w:w="3189" w:type="dxa"/>
            <w:vAlign w:val="center"/>
            <w:vMerge w:val="continue"/>
            <w:textDirection w:val="lrTb"/>
            <w:noWrap w:val="false"/>
          </w:tcPr>
          <w:p>
            <w:pPr>
              <w:spacing w:line="360" w:lineRule="auto"/>
              <w:rPr>
                <w:color w:val="auto"/>
                <w:highlight w:val="none"/>
              </w:rPr>
            </w:pPr>
            <w:r>
              <w:rPr>
                <w:color w:val="auto"/>
                <w:highlight w:val="none"/>
              </w:rPr>
            </w:r>
            <w:r/>
          </w:p>
        </w:tc>
      </w:tr>
      <w:tr>
        <w:trPr>
          <w:trHeight w:val="315"/>
        </w:trPr>
        <w:tc>
          <w:tcPr>
            <w:gridSpan w:val="6"/>
            <w:tcW w:w="9183" w:type="dxa"/>
            <w:textDirection w:val="lrTb"/>
            <w:noWrap w:val="false"/>
          </w:tcPr>
          <w:p>
            <w:pPr>
              <w:spacing w:line="360" w:lineRule="auto"/>
              <w:rPr>
                <w:color w:val="auto"/>
                <w:highlight w:val="none"/>
              </w:rPr>
            </w:pPr>
            <w:r>
              <w:rPr>
                <w:rFonts w:hint="eastAsia"/>
                <w:color w:val="auto"/>
                <w:highlight w:val="none"/>
              </w:rPr>
              <w:t xml:space="preserve">总金额：小写：</w:t>
            </w:r>
            <w:r/>
          </w:p>
        </w:tc>
      </w:tr>
    </w:tbl>
    <w:p>
      <w:pPr>
        <w:spacing w:line="360" w:lineRule="auto"/>
        <w:rPr>
          <w:color w:val="auto"/>
          <w:highlight w:val="none"/>
        </w:rPr>
      </w:pPr>
      <w:r>
        <w:rPr>
          <w:rFonts w:hint="eastAsia"/>
          <w:color w:val="auto"/>
          <w:highlight w:val="none"/>
        </w:rPr>
        <w:t xml:space="preserve">备注：以上价格含实施服务、保险、人工、安装、材料、税费等所有费用。本合同履行期间合同总价款不变。</w:t>
      </w:r>
      <w:r/>
    </w:p>
    <w:p>
      <w:pPr>
        <w:spacing w:line="360" w:lineRule="auto"/>
        <w:rPr>
          <w:color w:val="auto"/>
          <w:highlight w:val="none"/>
        </w:rPr>
      </w:pPr>
      <w:r>
        <w:rPr>
          <w:rFonts w:hint="eastAsia"/>
          <w:color w:val="auto"/>
          <w:highlight w:val="none"/>
        </w:rPr>
        <w:t xml:space="preserve">二、付款方式：</w:t>
      </w:r>
      <w:r/>
    </w:p>
    <w:p>
      <w:pPr>
        <w:spacing w:line="360" w:lineRule="auto"/>
        <w:rPr>
          <w:color w:val="auto"/>
          <w:highlight w:val="none"/>
        </w:rPr>
      </w:pPr>
      <w:r>
        <w:rPr>
          <w:rFonts w:hint="eastAsia"/>
          <w:color w:val="auto"/>
          <w:highlight w:val="none"/>
        </w:rPr>
        <w:t xml:space="preserve">1.合同总额：元，大写整。</w:t>
      </w:r>
      <w:r/>
    </w:p>
    <w:p>
      <w:pPr>
        <w:spacing w:line="360" w:lineRule="auto"/>
        <w:rPr>
          <w:color w:val="auto"/>
          <w:highlight w:val="none"/>
        </w:rPr>
      </w:pPr>
      <w:r>
        <w:rPr>
          <w:rFonts w:hint="eastAsia" w:ascii="宋体" w:hAnsi="宋体"/>
          <w:b/>
          <w:color w:val="auto"/>
          <w:highlight w:val="none"/>
        </w:rPr>
        <w:t xml:space="preserve">2.付款方式：</w:t>
      </w:r>
      <w:r>
        <w:rPr>
          <w:rFonts w:hint="eastAsia"/>
          <w:color w:val="auto"/>
          <w:highlight w:val="none"/>
        </w:rPr>
        <w:t xml:space="preserve">合同签订，每一服务年度，服务履行半年并经院方确认服务合格后支付当年度服务费的50%，该年度服务履行完毕并经院方确认服务合格后支付当年度剩余服务费。</w:t>
      </w:r>
      <w:r/>
    </w:p>
    <w:p>
      <w:pPr>
        <w:spacing w:line="360" w:lineRule="auto"/>
        <w:rPr>
          <w:color w:val="auto"/>
          <w:highlight w:val="none"/>
        </w:rPr>
      </w:pPr>
      <w:r>
        <w:rPr>
          <w:color w:val="auto"/>
          <w:highlight w:val="none"/>
        </w:rPr>
        <w:t xml:space="preserve">3.</w:t>
      </w:r>
      <w:r>
        <w:rPr>
          <w:rFonts w:hint="eastAsia"/>
          <w:color w:val="auto"/>
          <w:highlight w:val="none"/>
        </w:rPr>
        <w:t xml:space="preserve">结算时，乙方须开具合法有效票据，以当面或信函方式送达至甲方，发票不得由第三方代开，如乙方未提供合法有效票据的，甲方有权拒绝支付上述款项，由此产生的损失由乙方承担，与甲方无关。</w:t>
      </w:r>
      <w:r/>
    </w:p>
    <w:p>
      <w:pPr>
        <w:spacing w:line="360" w:lineRule="auto"/>
        <w:rPr>
          <w:bCs/>
          <w:color w:val="auto"/>
          <w:highlight w:val="none"/>
        </w:rPr>
      </w:pPr>
      <w:r>
        <w:rPr>
          <w:bCs/>
          <w:color w:val="auto"/>
          <w:highlight w:val="none"/>
        </w:rPr>
        <w:t xml:space="preserve">4.</w:t>
      </w:r>
      <w:r>
        <w:rPr>
          <w:rFonts w:hint="eastAsia"/>
          <w:bCs/>
          <w:color w:val="auto"/>
          <w:highlight w:val="none"/>
        </w:rPr>
        <w:t xml:space="preserve">特别提醒条款：</w:t>
      </w:r>
      <w:r>
        <w:rPr>
          <w:rFonts w:hint="eastAsia"/>
          <w:color w:val="auto"/>
          <w:highlight w:val="none"/>
        </w:rPr>
        <w:t xml:space="preserve">发票上所列品名与型号必须与合同所列品名与型号完全一致，否则由此引起的一切责任由乙方负责。</w:t>
      </w:r>
      <w:r/>
    </w:p>
    <w:p>
      <w:pPr>
        <w:spacing w:line="360" w:lineRule="auto"/>
        <w:rPr>
          <w:color w:val="auto"/>
          <w:highlight w:val="none"/>
        </w:rPr>
      </w:pPr>
      <w:r>
        <w:rPr>
          <w:rFonts w:hint="eastAsia"/>
          <w:color w:val="auto"/>
          <w:highlight w:val="none"/>
        </w:rPr>
        <w:t xml:space="preserve">三、履行方式</w:t>
      </w:r>
      <w:r/>
    </w:p>
    <w:p>
      <w:pPr>
        <w:spacing w:line="360" w:lineRule="auto"/>
        <w:rPr>
          <w:color w:val="auto"/>
          <w:highlight w:val="none"/>
        </w:rPr>
      </w:pPr>
      <w:r>
        <w:rPr>
          <w:b/>
          <w:bCs/>
          <w:color w:val="auto"/>
          <w:highlight w:val="none"/>
        </w:rPr>
        <w:t xml:space="preserve">1.</w:t>
      </w:r>
      <w:r>
        <w:rPr>
          <w:rFonts w:hint="eastAsia"/>
          <w:color w:val="auto"/>
          <w:highlight w:val="none"/>
        </w:rPr>
        <w:t xml:space="preserve">预计合同履行完毕时间：</w:t>
      </w:r>
      <w:r>
        <w:rPr>
          <w:rFonts w:hint="eastAsia"/>
          <w:color w:val="auto"/>
          <w:highlight w:val="none"/>
          <w:u w:val="single"/>
        </w:rPr>
        <w:t xml:space="preserve"> XXXX </w:t>
      </w:r>
      <w:r>
        <w:rPr>
          <w:rFonts w:hint="eastAsia"/>
          <w:color w:val="auto"/>
          <w:highlight w:val="none"/>
        </w:rPr>
        <w:t xml:space="preserve">年</w:t>
      </w:r>
      <w:r>
        <w:rPr>
          <w:rFonts w:hint="eastAsia"/>
          <w:color w:val="auto"/>
          <w:highlight w:val="none"/>
          <w:u w:val="single"/>
        </w:rPr>
        <w:t xml:space="preserve">XX </w:t>
      </w:r>
      <w:r>
        <w:rPr>
          <w:rFonts w:hint="eastAsia"/>
          <w:color w:val="auto"/>
          <w:highlight w:val="none"/>
        </w:rPr>
        <w:t xml:space="preserve">月</w:t>
      </w:r>
      <w:r>
        <w:rPr>
          <w:rFonts w:hint="eastAsia"/>
          <w:color w:val="auto"/>
          <w:highlight w:val="none"/>
          <w:u w:val="single"/>
        </w:rPr>
        <w:t xml:space="preserve"> XX </w:t>
      </w:r>
      <w:r>
        <w:rPr>
          <w:rFonts w:hint="eastAsia"/>
          <w:color w:val="auto"/>
          <w:highlight w:val="none"/>
        </w:rPr>
        <w:t xml:space="preserve">日前。履行地点：甲方指定地点。</w:t>
      </w:r>
      <w:r/>
    </w:p>
    <w:p>
      <w:pPr>
        <w:spacing w:line="360" w:lineRule="auto"/>
        <w:rPr>
          <w:color w:val="auto"/>
          <w:highlight w:val="none"/>
        </w:rPr>
      </w:pPr>
      <w:r>
        <w:rPr>
          <w:rFonts w:hint="eastAsia"/>
          <w:color w:val="auto"/>
          <w:highlight w:val="none"/>
        </w:rPr>
        <w:t xml:space="preserve">四、保证条款</w:t>
      </w:r>
      <w:r/>
    </w:p>
    <w:p>
      <w:pPr>
        <w:spacing w:line="360" w:lineRule="auto"/>
        <w:rPr>
          <w:color w:val="auto"/>
          <w:highlight w:val="none"/>
        </w:rPr>
      </w:pPr>
      <w:r>
        <w:rPr>
          <w:rFonts w:hint="eastAsia"/>
          <w:b/>
          <w:color w:val="auto"/>
          <w:highlight w:val="none"/>
        </w:rPr>
        <w:t xml:space="preserve">1</w:t>
      </w:r>
      <w:r>
        <w:rPr>
          <w:b/>
          <w:color w:val="auto"/>
          <w:highlight w:val="none"/>
        </w:rPr>
        <w:t xml:space="preserve">.</w:t>
      </w:r>
      <w:r>
        <w:rPr>
          <w:rFonts w:hint="eastAsia"/>
          <w:color w:val="auto"/>
          <w:highlight w:val="none"/>
        </w:rPr>
        <w:t xml:space="preserve">乙方保证向甲方提供的产品（服务）满足中国国家标准及相关行业标准。</w:t>
      </w:r>
      <w:r/>
    </w:p>
    <w:p>
      <w:pPr>
        <w:spacing w:line="360" w:lineRule="auto"/>
        <w:rPr>
          <w:color w:val="auto"/>
          <w:highlight w:val="none"/>
        </w:rPr>
      </w:pPr>
      <w:r>
        <w:rPr>
          <w:b/>
          <w:color w:val="auto"/>
          <w:highlight w:val="none"/>
        </w:rPr>
        <w:t xml:space="preserve">2.</w:t>
      </w:r>
      <w:r>
        <w:rPr>
          <w:rFonts w:hint="eastAsia"/>
          <w:color w:val="auto"/>
          <w:highlight w:val="none"/>
        </w:rPr>
        <w:t xml:space="preserve">乙方须保证所供产品（服务）质量合格，不得弄虚作假、不得提供假冒伪劣或任意提供合同外产品。</w:t>
      </w:r>
      <w:r/>
    </w:p>
    <w:p>
      <w:pPr>
        <w:spacing w:line="360" w:lineRule="auto"/>
        <w:rPr>
          <w:color w:val="auto"/>
          <w:highlight w:val="none"/>
        </w:rPr>
      </w:pPr>
      <w:r>
        <w:rPr>
          <w:b/>
          <w:color w:val="auto"/>
          <w:highlight w:val="none"/>
        </w:rPr>
        <w:t xml:space="preserve">3.</w:t>
      </w:r>
      <w:r>
        <w:rPr>
          <w:rFonts w:hint="eastAsia"/>
          <w:color w:val="auto"/>
          <w:highlight w:val="none"/>
        </w:rPr>
        <w:t xml:space="preserve">乙方承诺此次服务所涉工作不影响甲方现有的业务系统，整个项目的部署和实施要求业务不能中断，并保证数据和应用的安全性和及时性，一旦出现任何数据丢失或业务宕机，所有后果由乙方负责。</w:t>
      </w:r>
      <w:r/>
    </w:p>
    <w:p>
      <w:pPr>
        <w:spacing w:line="360" w:lineRule="auto"/>
        <w:rPr>
          <w:color w:val="auto"/>
          <w:highlight w:val="none"/>
        </w:rPr>
      </w:pPr>
      <w:r>
        <w:rPr>
          <w:color w:val="auto"/>
          <w:highlight w:val="none"/>
        </w:rPr>
        <w:t xml:space="preserve">4.</w:t>
      </w:r>
      <w:r>
        <w:rPr>
          <w:rFonts w:hint="eastAsia"/>
          <w:color w:val="auto"/>
          <w:highlight w:val="none"/>
        </w:rPr>
        <w:t xml:space="preserve">乙方保证提供的商品或服务在本合同签订之前不存在任何法律纠纷与权利瑕疵，乙方具有对所提供产品或服务的完整的处分权，且乙方在向甲方提供该商品或服务以及其中的任何一部分时，不侵犯任何的专利权、商标权、工业设计权或其他知识产权，如收到来自第三方的侵权诉讼或索赔，所有责任及由此造成的损失由乙方承担。</w:t>
      </w:r>
      <w:r/>
    </w:p>
    <w:p>
      <w:pPr>
        <w:spacing w:line="360" w:lineRule="auto"/>
        <w:rPr>
          <w:color w:val="auto"/>
          <w:highlight w:val="none"/>
        </w:rPr>
      </w:pPr>
      <w:r/>
      <w:bookmarkStart w:id="154" w:name="_Hlk100931092"/>
      <w:r>
        <w:rPr>
          <w:color w:val="auto"/>
          <w:highlight w:val="none"/>
        </w:rPr>
        <w:t xml:space="preserve">5.</w:t>
      </w:r>
      <w:r>
        <w:rPr>
          <w:rFonts w:hint="eastAsia"/>
          <w:color w:val="auto"/>
          <w:highlight w:val="none"/>
        </w:rPr>
        <w:t xml:space="preserve">乙方保证本协议的签订或履行不违反以乙方为一方或约束乙方自身的任何重大合同或协议，否则由此引起的一切责任由乙方负责。</w:t>
      </w:r>
      <w:bookmarkEnd w:id="154"/>
      <w:r/>
      <w:r/>
    </w:p>
    <w:p>
      <w:pPr>
        <w:spacing w:line="360" w:lineRule="auto"/>
        <w:rPr>
          <w:color w:val="auto"/>
          <w:highlight w:val="none"/>
        </w:rPr>
      </w:pPr>
      <w:r>
        <w:rPr>
          <w:rFonts w:hint="eastAsia"/>
          <w:color w:val="auto"/>
          <w:highlight w:val="none"/>
        </w:rPr>
        <w:t xml:space="preserve">五、验收条款</w:t>
      </w:r>
      <w:r/>
    </w:p>
    <w:p>
      <w:pPr>
        <w:spacing w:line="360" w:lineRule="auto"/>
        <w:rPr>
          <w:color w:val="auto"/>
          <w:highlight w:val="none"/>
        </w:rPr>
      </w:pPr>
      <w:r>
        <w:rPr>
          <w:color w:val="auto"/>
          <w:highlight w:val="none"/>
        </w:rPr>
        <w:t xml:space="preserve">1.</w:t>
      </w:r>
      <w:r>
        <w:rPr>
          <w:rFonts w:hint="eastAsia"/>
          <w:color w:val="auto"/>
          <w:highlight w:val="none"/>
        </w:rPr>
        <w:t xml:space="preserve">（每一期）服务完成时，请乙方至少提前三天通知甲方联系人，以便甲方安排好相关验收工作。在验收时乙方应向甲方提供相应技术资料。验收时，乙方代表必须到达现场，由乙方配合甲方完成验收工作，甲方验收合格后，甲乙双方办理交接手续。如未按上述规定执行，造成的一切后果全部由乙方承担。</w:t>
      </w:r>
      <w:r/>
    </w:p>
    <w:p>
      <w:pPr>
        <w:spacing w:line="360" w:lineRule="auto"/>
        <w:rPr>
          <w:color w:val="auto"/>
          <w:highlight w:val="none"/>
        </w:rPr>
      </w:pPr>
      <w:r>
        <w:rPr>
          <w:b/>
          <w:color w:val="auto"/>
          <w:highlight w:val="none"/>
        </w:rPr>
        <w:t xml:space="preserve">2.</w:t>
      </w:r>
      <w:r>
        <w:rPr>
          <w:rFonts w:hint="eastAsia"/>
          <w:color w:val="auto"/>
          <w:highlight w:val="none"/>
        </w:rPr>
        <w:t xml:space="preserve">乙方所供服务如验收不合格，根据甲方的要求，乙方必须无条件按甲方要求重新提供服务，由此引起的一切损失由乙方承担。</w:t>
      </w:r>
      <w:r/>
    </w:p>
    <w:p>
      <w:pPr>
        <w:spacing w:line="360" w:lineRule="auto"/>
        <w:rPr>
          <w:color w:val="auto"/>
          <w:highlight w:val="none"/>
        </w:rPr>
      </w:pPr>
      <w:r>
        <w:rPr>
          <w:rFonts w:hint="eastAsia"/>
          <w:color w:val="auto"/>
          <w:highlight w:val="none"/>
        </w:rPr>
        <w:t xml:space="preserve">六、风险承担条款</w:t>
      </w:r>
      <w:r/>
    </w:p>
    <w:p>
      <w:pPr>
        <w:spacing w:line="360" w:lineRule="auto"/>
        <w:rPr>
          <w:color w:val="auto"/>
          <w:highlight w:val="none"/>
        </w:rPr>
      </w:pPr>
      <w:r>
        <w:rPr>
          <w:rFonts w:hint="eastAsia"/>
          <w:color w:val="auto"/>
          <w:highlight w:val="none"/>
        </w:rPr>
        <w:t xml:space="preserve">1</w:t>
      </w:r>
      <w:r>
        <w:rPr>
          <w:color w:val="auto"/>
          <w:highlight w:val="none"/>
        </w:rPr>
        <w:t xml:space="preserve">.</w:t>
      </w:r>
      <w:r>
        <w:rPr>
          <w:rFonts w:hint="eastAsia"/>
          <w:color w:val="auto"/>
          <w:highlight w:val="none"/>
        </w:rPr>
        <w:t xml:space="preserve">在本合同履行中，因出现在现有技术水平和条件下难以克服的技术困难，导致服务提供失败或部分失败，并造成一方或双方损失的，双方按如下约定承担风险损失：完全因乙方原因造成损失的，乙方退还甲方已支付的所有款项；双方原因造成损失的，按各自过错共同承担相应责任；其他原因造成损失的，由双方另行协商。</w:t>
      </w:r>
      <w:r/>
    </w:p>
    <w:p>
      <w:pPr>
        <w:spacing w:line="360" w:lineRule="auto"/>
        <w:rPr>
          <w:color w:val="auto"/>
          <w:highlight w:val="none"/>
        </w:rPr>
      </w:pPr>
      <w:r>
        <w:rPr>
          <w:rFonts w:hint="eastAsia"/>
          <w:color w:val="auto"/>
          <w:highlight w:val="none"/>
        </w:rPr>
        <w:t xml:space="preserve">2</w:t>
      </w:r>
      <w:r>
        <w:rPr>
          <w:color w:val="auto"/>
          <w:highlight w:val="none"/>
        </w:rPr>
        <w:t xml:space="preserve">.</w:t>
      </w:r>
      <w:r>
        <w:rPr>
          <w:rFonts w:hint="eastAsia"/>
          <w:color w:val="auto"/>
          <w:highlight w:val="none"/>
        </w:rPr>
        <w:t xml:space="preserve">双方确定，本合同项目的技术风险按以下方式认定。认定技术风险的基本内容应当包括技术风险的存在、范围、程度及损失大小等。认定技术风险的基本条件是：</w:t>
      </w:r>
      <w:r/>
    </w:p>
    <w:p>
      <w:pPr>
        <w:spacing w:line="360" w:lineRule="auto"/>
        <w:rPr>
          <w:color w:val="auto"/>
          <w:highlight w:val="none"/>
        </w:rPr>
      </w:pPr>
      <w:r>
        <w:rPr>
          <w:rFonts w:hint="eastAsia"/>
          <w:color w:val="auto"/>
          <w:highlight w:val="none"/>
        </w:rPr>
        <w:t xml:space="preserve">（1）本合同项目在现有技术水平条件下具有足够的难度；</w:t>
      </w:r>
      <w:r/>
    </w:p>
    <w:p>
      <w:pPr>
        <w:spacing w:line="360" w:lineRule="auto"/>
        <w:rPr>
          <w:color w:val="auto"/>
          <w:highlight w:val="none"/>
        </w:rPr>
      </w:pPr>
      <w:r>
        <w:rPr>
          <w:rFonts w:hint="eastAsia"/>
          <w:color w:val="auto"/>
          <w:highlight w:val="none"/>
        </w:rPr>
        <w:t xml:space="preserve">（2）乙方在主观上无过错且经认定研究开发失败为合理的失败。</w:t>
      </w:r>
      <w:r/>
    </w:p>
    <w:p>
      <w:pPr>
        <w:spacing w:line="360" w:lineRule="auto"/>
        <w:rPr>
          <w:color w:val="auto"/>
          <w:highlight w:val="none"/>
        </w:rPr>
      </w:pPr>
      <w:r>
        <w:rPr>
          <w:rFonts w:hint="eastAsia"/>
          <w:color w:val="auto"/>
          <w:highlight w:val="none"/>
        </w:rPr>
        <w:t xml:space="preserve">一方发现技术风险存在并有可能致使服务提供失败或部分失败的情形时，应当在［</w:t>
      </w:r>
      <w:r>
        <w:rPr>
          <w:color w:val="auto"/>
          <w:highlight w:val="none"/>
        </w:rPr>
        <w:t xml:space="preserve">10</w:t>
      </w:r>
      <w:r>
        <w:rPr>
          <w:rFonts w:hint="eastAsia"/>
          <w:color w:val="auto"/>
          <w:highlight w:val="none"/>
        </w:rPr>
        <w:t xml:space="preserve">］日内通知另一方并采取适当措施减少损失。逾期未通知并未采取适当措施而致使损失扩大的，应当就扩大的损失承担赔偿责任。</w:t>
      </w:r>
      <w:r/>
    </w:p>
    <w:p>
      <w:pPr>
        <w:spacing w:line="360" w:lineRule="auto"/>
        <w:rPr>
          <w:color w:val="auto"/>
          <w:highlight w:val="none"/>
        </w:rPr>
      </w:pPr>
      <w:r>
        <w:rPr>
          <w:rFonts w:hint="eastAsia"/>
          <w:color w:val="auto"/>
          <w:highlight w:val="none"/>
        </w:rPr>
        <w:t xml:space="preserve">七、服务条款</w:t>
      </w:r>
      <w:r/>
    </w:p>
    <w:p>
      <w:pPr>
        <w:spacing w:line="360" w:lineRule="auto"/>
        <w:rPr>
          <w:color w:val="auto"/>
          <w:highlight w:val="none"/>
        </w:rPr>
      </w:pPr>
      <w:r>
        <w:rPr>
          <w:color w:val="auto"/>
          <w:highlight w:val="none"/>
        </w:rPr>
        <w:t xml:space="preserve">1.</w:t>
      </w:r>
      <w:r>
        <w:rPr>
          <w:rFonts w:hint="eastAsia"/>
          <w:color w:val="auto"/>
          <w:highlight w:val="none"/>
        </w:rPr>
        <w:t xml:space="preserve">乙方向甲方提供系统的技术培训和支持。</w:t>
      </w:r>
      <w:r/>
    </w:p>
    <w:p>
      <w:pPr>
        <w:spacing w:line="360" w:lineRule="auto"/>
        <w:rPr>
          <w:color w:val="auto"/>
          <w:highlight w:val="none"/>
        </w:rPr>
      </w:pPr>
      <w:r>
        <w:rPr>
          <w:color w:val="auto"/>
          <w:highlight w:val="none"/>
        </w:rPr>
        <w:t xml:space="preserve">2.</w:t>
      </w:r>
      <w:r>
        <w:rPr>
          <w:rFonts w:hint="eastAsia"/>
          <w:color w:val="auto"/>
          <w:highlight w:val="none"/>
        </w:rPr>
        <w:t xml:space="preserve">乙方所提供服务的产品与甲方的所有系统、集成平台免费无缝集成。该系统能免费与甲方集成平台对接，以及免费与甲方各院区该软件系统间、该系统与其他系统的对接，免费配合甲方以后的所有过级、评级改造需求。</w:t>
      </w:r>
      <w:r/>
    </w:p>
    <w:p>
      <w:pPr>
        <w:spacing w:line="360" w:lineRule="auto"/>
        <w:rPr>
          <w:color w:val="auto"/>
          <w:highlight w:val="none"/>
        </w:rPr>
      </w:pPr>
      <w:r>
        <w:rPr>
          <w:color w:val="auto"/>
          <w:highlight w:val="none"/>
        </w:rPr>
        <w:t xml:space="preserve">3.</w:t>
      </w:r>
      <w:r>
        <w:rPr>
          <w:rFonts w:hint="eastAsia"/>
          <w:color w:val="auto"/>
          <w:highlight w:val="none"/>
        </w:rPr>
        <w:t xml:space="preserve">乙方提供服务的产品免费开放软、硬件接口，无站点限制，即无条件配合甲方增加软件工作站点、无条件配合甲方接入新的硬件设备、无条件配合甲方的其他软件完成与本平台（系统）对接，并保证所涉系统正常运行，上述配合工作均含在本次合同价款中。</w:t>
      </w:r>
      <w:r/>
    </w:p>
    <w:p>
      <w:pPr>
        <w:spacing w:line="360" w:lineRule="auto"/>
        <w:rPr>
          <w:color w:val="auto"/>
          <w:highlight w:val="none"/>
        </w:rPr>
      </w:pPr>
      <w:r>
        <w:rPr>
          <w:rFonts w:hint="eastAsia"/>
          <w:color w:val="auto"/>
          <w:highlight w:val="none"/>
        </w:rPr>
        <w:t xml:space="preserve">八、各方的权利与义务</w:t>
      </w:r>
      <w:r/>
    </w:p>
    <w:p>
      <w:pPr>
        <w:spacing w:line="360" w:lineRule="auto"/>
        <w:rPr>
          <w:color w:val="auto"/>
          <w:highlight w:val="none"/>
        </w:rPr>
      </w:pPr>
      <w:r>
        <w:rPr>
          <w:rFonts w:hint="eastAsia"/>
          <w:color w:val="auto"/>
          <w:highlight w:val="none"/>
        </w:rPr>
        <w:t xml:space="preserve">（一）甲方权利义务</w:t>
      </w:r>
      <w:r/>
    </w:p>
    <w:p>
      <w:pPr>
        <w:spacing w:line="360" w:lineRule="auto"/>
        <w:rPr>
          <w:color w:val="auto"/>
          <w:highlight w:val="none"/>
        </w:rPr>
      </w:pPr>
      <w:r>
        <w:rPr>
          <w:rFonts w:hint="eastAsia"/>
          <w:color w:val="auto"/>
          <w:highlight w:val="none"/>
        </w:rPr>
        <w:t xml:space="preserve">1.负责按本合同约定方式向乙方支付采购费用。</w:t>
      </w:r>
      <w:r/>
    </w:p>
    <w:p>
      <w:pPr>
        <w:spacing w:line="360" w:lineRule="auto"/>
        <w:rPr>
          <w:color w:val="auto"/>
          <w:highlight w:val="none"/>
        </w:rPr>
      </w:pPr>
      <w:r>
        <w:rPr>
          <w:rFonts w:hint="eastAsia"/>
          <w:color w:val="auto"/>
          <w:highlight w:val="none"/>
        </w:rPr>
        <w:t xml:space="preserve">2.享有本合同中采购设备（物资）的所有权和系统的永久使用权。</w:t>
      </w:r>
      <w:r/>
    </w:p>
    <w:p>
      <w:pPr>
        <w:spacing w:line="360" w:lineRule="auto"/>
        <w:rPr>
          <w:color w:val="auto"/>
          <w:highlight w:val="none"/>
        </w:rPr>
      </w:pPr>
      <w:r>
        <w:rPr>
          <w:rFonts w:hint="eastAsia"/>
          <w:color w:val="auto"/>
          <w:highlight w:val="none"/>
        </w:rPr>
        <w:t xml:space="preserve">3.甲方有义务组织相关人员及时收货、验货并与乙方共同签署接收单、验收报告、合格证书等相关单据。</w:t>
      </w:r>
      <w:r/>
    </w:p>
    <w:p>
      <w:pPr>
        <w:spacing w:line="360" w:lineRule="auto"/>
        <w:rPr>
          <w:color w:val="auto"/>
          <w:highlight w:val="none"/>
        </w:rPr>
      </w:pPr>
      <w:r>
        <w:rPr>
          <w:rFonts w:hint="eastAsia"/>
          <w:color w:val="auto"/>
          <w:highlight w:val="none"/>
        </w:rPr>
        <w:t xml:space="preserve">4.甲方提供必要的业务人员和技术人员配合需求分析、软件开发、系统测试、系统上线工作。</w:t>
      </w:r>
      <w:r/>
    </w:p>
    <w:p>
      <w:pPr>
        <w:spacing w:line="360" w:lineRule="auto"/>
        <w:rPr>
          <w:color w:val="auto"/>
          <w:highlight w:val="none"/>
        </w:rPr>
      </w:pPr>
      <w:r>
        <w:rPr>
          <w:rFonts w:hint="eastAsia"/>
          <w:color w:val="auto"/>
          <w:highlight w:val="none"/>
        </w:rPr>
        <w:t xml:space="preserve">（二）乙方权利义务</w:t>
      </w:r>
      <w:r/>
    </w:p>
    <w:p>
      <w:pPr>
        <w:spacing w:line="360" w:lineRule="auto"/>
        <w:rPr>
          <w:color w:val="auto"/>
          <w:highlight w:val="none"/>
        </w:rPr>
      </w:pPr>
      <w:r>
        <w:rPr>
          <w:rFonts w:hint="eastAsia"/>
          <w:color w:val="auto"/>
          <w:highlight w:val="none"/>
        </w:rPr>
        <w:t xml:space="preserve">1.负责并自行承担采购过程中的所有报价风险。本合同一经签订，乙方任何原因导致的报价漏项、缺项等的后果均由乙方自行承担。</w:t>
      </w:r>
      <w:r/>
    </w:p>
    <w:p>
      <w:pPr>
        <w:spacing w:line="360" w:lineRule="auto"/>
        <w:rPr>
          <w:color w:val="auto"/>
          <w:highlight w:val="none"/>
        </w:rPr>
      </w:pPr>
      <w:r>
        <w:rPr>
          <w:rFonts w:hint="eastAsia"/>
          <w:color w:val="auto"/>
          <w:highlight w:val="none"/>
        </w:rPr>
        <w:t xml:space="preserve">2.乙方有责任在项目实施过程中向甲方提供完整的相关实施文档及技术资料，包括但不限于《用户手册》、《项目实施计划》、《培训手册》等。</w:t>
      </w:r>
      <w:r/>
    </w:p>
    <w:p>
      <w:pPr>
        <w:spacing w:line="360" w:lineRule="auto"/>
        <w:rPr>
          <w:color w:val="auto"/>
          <w:highlight w:val="none"/>
        </w:rPr>
      </w:pPr>
      <w:r>
        <w:rPr>
          <w:rFonts w:hint="eastAsia"/>
          <w:color w:val="auto"/>
          <w:highlight w:val="none"/>
        </w:rPr>
        <w:t xml:space="preserve">3</w:t>
      </w:r>
      <w:r>
        <w:rPr>
          <w:color w:val="auto"/>
          <w:highlight w:val="none"/>
        </w:rPr>
        <w:t xml:space="preserve">.</w:t>
      </w:r>
      <w:r>
        <w:rPr>
          <w:rFonts w:hint="eastAsia"/>
          <w:color w:val="auto"/>
          <w:highlight w:val="none"/>
        </w:rPr>
        <w:t xml:space="preserve">服从甲方的规章制度和现场管理，并按照合同要求办理相关产品（服务）验收手续，在验收时提供相应技术资料。本合同采购产品（服务）未办理验收交接手续前，相关资产的风险由乙方承担。</w:t>
      </w:r>
      <w:r/>
    </w:p>
    <w:p>
      <w:pPr>
        <w:spacing w:line="360" w:lineRule="auto"/>
        <w:rPr>
          <w:color w:val="auto"/>
          <w:highlight w:val="none"/>
        </w:rPr>
      </w:pPr>
      <w:r>
        <w:rPr>
          <w:rFonts w:hint="eastAsia"/>
          <w:color w:val="auto"/>
          <w:highlight w:val="none"/>
        </w:rPr>
        <w:t xml:space="preserve">4</w:t>
      </w:r>
      <w:r>
        <w:rPr>
          <w:color w:val="auto"/>
          <w:highlight w:val="none"/>
        </w:rPr>
        <w:t xml:space="preserve">.</w:t>
      </w:r>
      <w:r>
        <w:rPr>
          <w:rFonts w:hint="eastAsia"/>
          <w:color w:val="auto"/>
          <w:highlight w:val="none"/>
        </w:rPr>
        <w:t xml:space="preserve">完善安全质量保证措施，乙方自行承担其履行合同过程产生的所有费用和造成任何财产和人身损失。</w:t>
      </w:r>
      <w:r/>
    </w:p>
    <w:p>
      <w:pPr>
        <w:spacing w:line="360" w:lineRule="auto"/>
        <w:rPr>
          <w:color w:val="auto"/>
          <w:highlight w:val="none"/>
        </w:rPr>
      </w:pPr>
      <w:r>
        <w:rPr>
          <w:rFonts w:hint="eastAsia"/>
          <w:color w:val="auto"/>
          <w:highlight w:val="none"/>
        </w:rPr>
        <w:t xml:space="preserve">5</w:t>
      </w:r>
      <w:r>
        <w:rPr>
          <w:color w:val="auto"/>
          <w:highlight w:val="none"/>
        </w:rPr>
        <w:t xml:space="preserve">.</w:t>
      </w:r>
      <w:r>
        <w:rPr>
          <w:rFonts w:hint="eastAsia"/>
          <w:color w:val="auto"/>
          <w:highlight w:val="none"/>
        </w:rPr>
        <w:t xml:space="preserve">如本合同涉及乙方需对甲方现场进行改造，乙方须做好现场已完工程的保护工作。如乙方保护措施不到位，造成甲方任何财产损失的，乙方负责照价赔偿。</w:t>
      </w:r>
      <w:r/>
    </w:p>
    <w:p>
      <w:pPr>
        <w:spacing w:line="360" w:lineRule="auto"/>
        <w:rPr>
          <w:color w:val="auto"/>
          <w:highlight w:val="none"/>
        </w:rPr>
      </w:pPr>
      <w:r>
        <w:rPr>
          <w:rFonts w:hint="eastAsia"/>
          <w:color w:val="auto"/>
          <w:highlight w:val="none"/>
        </w:rPr>
        <w:t xml:space="preserve">6</w:t>
      </w:r>
      <w:r>
        <w:rPr>
          <w:color w:val="auto"/>
          <w:highlight w:val="none"/>
        </w:rPr>
        <w:t xml:space="preserve">.</w:t>
      </w:r>
      <w:r>
        <w:rPr>
          <w:rFonts w:hint="eastAsia"/>
          <w:color w:val="auto"/>
          <w:highlight w:val="none"/>
        </w:rPr>
        <w:t xml:space="preserve">乙方及乙方所有员工必须履行安全责任义务，按规范流程提供商品或服务。如因乙方及其员工安全责任或义务履行不到位，引起甲方或合同外任何第三方人身伤害、机器损毁以及财产损失等损害，由乙方承担一切后果及责任（包括但不限于赔偿责任及由此对甲方、合同外其他方造成的影响等）。</w:t>
      </w:r>
      <w:r/>
    </w:p>
    <w:p>
      <w:pPr>
        <w:spacing w:line="360" w:lineRule="auto"/>
        <w:rPr>
          <w:color w:val="auto"/>
          <w:highlight w:val="none"/>
        </w:rPr>
      </w:pPr>
      <w:r>
        <w:rPr>
          <w:color w:val="auto"/>
          <w:highlight w:val="none"/>
        </w:rPr>
        <w:t xml:space="preserve">7.</w:t>
      </w:r>
      <w:bookmarkStart w:id="155" w:name="_Hlk100935567"/>
      <w:r>
        <w:rPr>
          <w:rFonts w:hint="eastAsia"/>
          <w:color w:val="auto"/>
          <w:highlight w:val="none"/>
        </w:rPr>
        <w:t xml:space="preserve">乙方向甲方提供系统的技术培训、技术支持与本合同约定下的维保服务。</w:t>
      </w:r>
      <w:bookmarkEnd w:id="155"/>
      <w:r/>
      <w:r/>
    </w:p>
    <w:p>
      <w:pPr>
        <w:spacing w:line="360" w:lineRule="auto"/>
        <w:rPr>
          <w:color w:val="auto"/>
          <w:highlight w:val="none"/>
        </w:rPr>
      </w:pPr>
      <w:r>
        <w:rPr>
          <w:color w:val="auto"/>
          <w:highlight w:val="none"/>
        </w:rPr>
        <w:t xml:space="preserve">8.</w:t>
      </w:r>
      <w:r>
        <w:rPr>
          <w:rFonts w:hint="eastAsia"/>
          <w:color w:val="auto"/>
          <w:highlight w:val="none"/>
        </w:rPr>
        <w:t xml:space="preserve">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w:t>
      </w:r>
      <w:r/>
    </w:p>
    <w:p>
      <w:pPr>
        <w:spacing w:line="360" w:lineRule="auto"/>
        <w:rPr>
          <w:color w:val="auto"/>
          <w:highlight w:val="none"/>
        </w:rPr>
      </w:pPr>
      <w:r>
        <w:rPr>
          <w:color w:val="auto"/>
          <w:highlight w:val="none"/>
        </w:rPr>
        <w:t xml:space="preserve">9.</w:t>
      </w:r>
      <w:r>
        <w:rPr>
          <w:rFonts w:hint="eastAsia"/>
          <w:color w:val="auto"/>
          <w:highlight w:val="none"/>
        </w:rPr>
        <w:t xml:space="preserve">乙方承诺该项目实施阶段现场人数。</w:t>
      </w:r>
      <w:r/>
    </w:p>
    <w:p>
      <w:pPr>
        <w:spacing w:line="360" w:lineRule="auto"/>
        <w:rPr>
          <w:color w:val="auto"/>
          <w:highlight w:val="none"/>
        </w:rPr>
      </w:pPr>
      <w:r>
        <w:rPr>
          <w:rFonts w:hint="eastAsia"/>
          <w:color w:val="auto"/>
          <w:highlight w:val="none"/>
        </w:rPr>
        <w:t xml:space="preserve">九、违约事项</w:t>
      </w:r>
      <w:r/>
    </w:p>
    <w:p>
      <w:pPr>
        <w:ind w:left="480"/>
        <w:spacing w:after="120" w:line="360" w:lineRule="auto"/>
        <w:rPr>
          <w:color w:val="auto"/>
          <w:highlight w:val="none"/>
        </w:rPr>
      </w:pPr>
      <w:r>
        <w:rPr>
          <w:color w:val="auto"/>
          <w:highlight w:val="none"/>
        </w:rPr>
        <w:t xml:space="preserve">1.自本协议（合同）生效之日起，各方应严格依约履行。若任何一方违反本协议（合同）规定的，应赔偿由此给其他方造成的损失。</w:t>
      </w:r>
      <w:r/>
    </w:p>
    <w:p>
      <w:pPr>
        <w:ind w:left="480"/>
        <w:spacing w:after="120" w:line="360" w:lineRule="auto"/>
        <w:rPr>
          <w:color w:val="auto"/>
          <w:highlight w:val="none"/>
        </w:rPr>
      </w:pPr>
      <w:r>
        <w:rPr>
          <w:color w:val="auto"/>
          <w:highlight w:val="none"/>
        </w:rPr>
        <w:t xml:space="preserve">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p>
    <w:p>
      <w:pPr>
        <w:ind w:left="480"/>
        <w:spacing w:after="120" w:line="360" w:lineRule="auto"/>
        <w:rPr>
          <w:color w:val="auto"/>
          <w:highlight w:val="none"/>
        </w:rPr>
      </w:pPr>
      <w:r>
        <w:rPr>
          <w:color w:val="auto"/>
          <w:highlight w:val="none"/>
        </w:rPr>
        <w:t xml:space="preserve">3.乙方提供假冒伪劣产品的，乙方按该批次所购商品或服务金额的10倍向甲方支付违约金。</w:t>
      </w:r>
      <w:r/>
    </w:p>
    <w:p>
      <w:pPr>
        <w:ind w:left="480"/>
        <w:spacing w:after="120" w:line="360" w:lineRule="auto"/>
        <w:rPr>
          <w:color w:val="auto"/>
          <w:highlight w:val="none"/>
        </w:rPr>
      </w:pPr>
      <w:r>
        <w:rPr>
          <w:color w:val="auto"/>
          <w:highlight w:val="none"/>
        </w:rPr>
        <w:t xml:space="preserve">4.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spacing w:line="360" w:lineRule="auto"/>
        <w:rPr>
          <w:color w:val="auto"/>
          <w:highlight w:val="none"/>
        </w:rPr>
      </w:pPr>
      <w:r>
        <w:rPr>
          <w:color w:val="auto"/>
          <w:highlight w:val="none"/>
        </w:rPr>
        <w:t xml:space="preserve">5.</w:t>
      </w:r>
      <w:r>
        <w:rPr>
          <w:rFonts w:hint="eastAsia"/>
          <w:color w:val="auto"/>
          <w:highlight w:val="none"/>
        </w:rPr>
        <w:t xml:space="preserve">如乙方的违约行为致使任何第三方（包括但不限于任何人身财产权利）权利被侵害，第三方向甲方索偿后，甲方有权向乙方追偿，并加收合同总金额的</w:t>
      </w:r>
      <w:r>
        <w:rPr>
          <w:color w:val="auto"/>
          <w:highlight w:val="none"/>
        </w:rPr>
        <w:t xml:space="preserve">30%</w:t>
      </w:r>
      <w:r>
        <w:rPr>
          <w:rFonts w:hint="eastAsia"/>
          <w:color w:val="auto"/>
          <w:highlight w:val="none"/>
        </w:rPr>
        <w:t xml:space="preserve">的违约金。</w:t>
      </w:r>
      <w:r/>
    </w:p>
    <w:p>
      <w:pPr>
        <w:spacing w:line="360" w:lineRule="auto"/>
        <w:rPr>
          <w:color w:val="auto"/>
          <w:highlight w:val="none"/>
        </w:rPr>
      </w:pPr>
      <w:r>
        <w:rPr>
          <w:color w:val="auto"/>
          <w:highlight w:val="none"/>
        </w:rPr>
        <w:t xml:space="preserve">6.</w:t>
      </w:r>
      <w:r>
        <w:rPr>
          <w:rFonts w:hint="eastAsia"/>
          <w:color w:val="auto"/>
          <w:highlight w:val="none"/>
        </w:rPr>
        <w:t xml:space="preserve">如乙方或乙方提供维护的工程技术人员，未经甲方同意或未按甲方要求擅自修改本合同信息系统的数据文件，给甲方造成损失，应按合同总额的30%计算向甲方支付违约金。</w:t>
      </w:r>
      <w:r/>
    </w:p>
    <w:p>
      <w:pPr>
        <w:ind w:left="480"/>
        <w:spacing w:after="120" w:line="360" w:lineRule="auto"/>
        <w:rPr>
          <w:color w:val="auto"/>
          <w:highlight w:val="none"/>
        </w:rPr>
      </w:pPr>
      <w:r>
        <w:rPr>
          <w:color w:val="auto"/>
          <w:highlight w:val="none"/>
        </w:rPr>
        <w:t xml:space="preserve">7.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p>
    <w:p>
      <w:pPr>
        <w:ind w:left="480"/>
        <w:spacing w:after="120" w:line="360" w:lineRule="auto"/>
        <w:rPr>
          <w:color w:val="auto"/>
          <w:highlight w:val="none"/>
        </w:rPr>
      </w:pPr>
      <w:r>
        <w:rPr>
          <w:color w:val="auto"/>
          <w:highlight w:val="none"/>
        </w:rPr>
        <w:t xml:space="preserve">8.乙方出现违约行为并承担违约责任时，甲方有权从应支付给乙方的协议（合同）款项中直接扣除违约金、赔偿金等所有违约责任费用；协议（合同）款项不足以扣除的，乙方应在收到甲方通知后的7日内予以补足。</w:t>
      </w:r>
      <w:r/>
    </w:p>
    <w:p>
      <w:pPr>
        <w:ind w:left="480"/>
        <w:spacing w:after="120" w:line="360" w:lineRule="auto"/>
        <w:rPr>
          <w:color w:val="auto"/>
          <w:highlight w:val="none"/>
        </w:rPr>
      </w:pPr>
      <w:r>
        <w:rPr>
          <w:color w:val="auto"/>
          <w:highlight w:val="none"/>
        </w:rPr>
        <w:t xml:space="preserve">9.以上各项</w:t>
      </w:r>
      <w:bookmarkStart w:id="156" w:name="_Hlk100152518"/>
      <w:r>
        <w:rPr>
          <w:color w:val="auto"/>
          <w:highlight w:val="none"/>
        </w:rPr>
        <w:t xml:space="preserve">违约事项相互独立，各项违约金可叠加给付，支付违约金</w:t>
      </w:r>
      <w:bookmarkEnd w:id="156"/>
      <w:r>
        <w:rPr>
          <w:color w:val="auto"/>
          <w:highlight w:val="none"/>
        </w:rPr>
        <w:t xml:space="preserve">并不影响乙方继续履行本协议的其他各项义务</w:t>
      </w:r>
      <w:bookmarkStart w:id="157" w:name="_Hlk100152532"/>
      <w:r>
        <w:rPr>
          <w:color w:val="auto"/>
          <w:highlight w:val="none"/>
        </w:rPr>
        <w:t xml:space="preserve">（包括但不限于在甲方要求下继续履行本协议、赔偿损失等义务）</w:t>
      </w:r>
      <w:bookmarkEnd w:id="157"/>
      <w:r>
        <w:rPr>
          <w:color w:val="auto"/>
          <w:highlight w:val="none"/>
        </w:rPr>
        <w:t xml:space="preserve">。</w:t>
      </w:r>
      <w:r/>
    </w:p>
    <w:p>
      <w:pPr>
        <w:ind w:left="480"/>
        <w:spacing w:after="120" w:line="360" w:lineRule="auto"/>
        <w:rPr>
          <w:color w:val="auto"/>
          <w:highlight w:val="none"/>
        </w:rPr>
      </w:pPr>
      <w:r>
        <w:rPr>
          <w:color w:val="auto"/>
          <w:highlight w:val="none"/>
        </w:rPr>
        <w:t xml:space="preserve">10.因乙方上述违约行为给甲方造成损失（包括甲方所有直接和间接损失），如果违约金不足以补偿该损失部分的，甲方有权继续要求乙方赔偿甲方所有实际损失。</w:t>
      </w:r>
      <w:r/>
    </w:p>
    <w:p>
      <w:pPr>
        <w:ind w:left="480"/>
        <w:spacing w:after="120" w:line="360" w:lineRule="auto"/>
        <w:rPr>
          <w:color w:val="auto"/>
          <w:highlight w:val="none"/>
        </w:rPr>
      </w:pPr>
      <w:r>
        <w:rPr>
          <w:color w:val="auto"/>
          <w:highlight w:val="none"/>
        </w:rPr>
        <w:t xml:space="preserve">11.乙方若违反本协议第十条均视为对本协议的重大违约，甲方有权随时书面通知乙方立即解除本合同。</w:t>
      </w:r>
      <w:r/>
    </w:p>
    <w:p>
      <w:pPr>
        <w:ind w:left="480"/>
        <w:spacing w:after="120" w:line="360" w:lineRule="auto"/>
        <w:rPr>
          <w:color w:val="auto"/>
          <w:highlight w:val="none"/>
        </w:rPr>
      </w:pPr>
      <w:r>
        <w:rPr>
          <w:color w:val="auto"/>
          <w:highlight w:val="none"/>
        </w:rPr>
        <w:t xml:space="preserve">12.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spacing w:line="360" w:lineRule="auto"/>
        <w:rPr>
          <w:color w:val="auto"/>
          <w:highlight w:val="none"/>
        </w:rPr>
      </w:pPr>
      <w:r>
        <w:rPr>
          <w:rFonts w:hint="eastAsia"/>
          <w:color w:val="auto"/>
          <w:highlight w:val="none"/>
        </w:rPr>
        <w:t xml:space="preserve">十、廉洁条款</w:t>
      </w:r>
      <w:r/>
    </w:p>
    <w:p>
      <w:pPr>
        <w:spacing w:line="360" w:lineRule="auto"/>
        <w:rPr>
          <w:color w:val="auto"/>
          <w:highlight w:val="none"/>
        </w:rPr>
      </w:pPr>
      <w:r>
        <w:rPr>
          <w:rFonts w:hint="eastAsia"/>
          <w:color w:val="auto"/>
          <w:highlight w:val="none"/>
        </w:rPr>
        <w:t xml:space="preserve">甲乙双方须遵守《南京鼓楼医院物资购销廉洁条例》，条例内容如下：为进一步加强医疗卫生行风建设，规范医疗卫生机构医药购销行为，有效防范商业贿赂行为，营造公平交易、诚实守信的购销环境，甲方特制定本条例，以资医疗卫生机构医药购销双方共同遵守：</w:t>
      </w:r>
      <w:r/>
    </w:p>
    <w:p>
      <w:pPr>
        <w:spacing w:line="360" w:lineRule="auto"/>
        <w:rPr>
          <w:color w:val="auto"/>
          <w:highlight w:val="none"/>
        </w:rPr>
      </w:pPr>
      <w:r>
        <w:rPr>
          <w:rFonts w:hint="eastAsia"/>
          <w:color w:val="auto"/>
          <w:highlight w:val="none"/>
        </w:rPr>
        <w:t xml:space="preserve">1.合同双方按照《中华人民共和国民法典》及购销廉洁条例约定购销药品、医用设备、医用耗材及行政办公物资等。</w:t>
      </w:r>
      <w:r/>
    </w:p>
    <w:p>
      <w:pPr>
        <w:spacing w:line="360" w:lineRule="auto"/>
        <w:rPr>
          <w:color w:val="auto"/>
          <w:highlight w:val="none"/>
        </w:rPr>
      </w:pPr>
      <w:r>
        <w:rPr>
          <w:rFonts w:hint="eastAsia"/>
          <w:color w:val="auto"/>
          <w:highlight w:val="none"/>
        </w:rPr>
        <w:t xml:space="preserve">2.甲方应当严格执行产品购销合同验收、入库制度，对采购产品及发票进行查验，不得违反有关规定合同外采购、违价采购或从非规定渠道采购。</w:t>
      </w:r>
      <w:r/>
    </w:p>
    <w:p>
      <w:pPr>
        <w:spacing w:line="360" w:lineRule="auto"/>
        <w:rPr>
          <w:color w:val="auto"/>
          <w:highlight w:val="none"/>
        </w:rPr>
      </w:pPr>
      <w:r>
        <w:rPr>
          <w:rFonts w:hint="eastAsia"/>
          <w:color w:val="auto"/>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院纪检监察部门反映情况。</w:t>
      </w:r>
      <w:r/>
    </w:p>
    <w:p>
      <w:pPr>
        <w:spacing w:line="360" w:lineRule="auto"/>
        <w:rPr>
          <w:color w:val="auto"/>
          <w:highlight w:val="none"/>
        </w:rPr>
      </w:pPr>
      <w:r>
        <w:rPr>
          <w:rFonts w:hint="eastAsia"/>
          <w:color w:val="auto"/>
          <w:highlight w:val="none"/>
        </w:rPr>
        <w:t xml:space="preserve">4.甲方严禁利用任何途径和方式，为乙方统计医师个人及临床科室有关产品用量信息，或为乙方统计提供便利。</w:t>
      </w:r>
      <w:r/>
    </w:p>
    <w:p>
      <w:pPr>
        <w:spacing w:line="360" w:lineRule="auto"/>
        <w:rPr>
          <w:color w:val="auto"/>
          <w:highlight w:val="none"/>
        </w:rPr>
      </w:pPr>
      <w:r>
        <w:rPr>
          <w:rFonts w:hint="eastAsia"/>
          <w:color w:val="auto"/>
          <w:highlight w:val="none"/>
        </w:rPr>
        <w:t xml:space="preserve">5.乙方不得以回扣、宴请等方式影响甲方工作人员采购或使用产品的选择权，不得在学术活动中提供旅游、超标准支付食宿费用。</w:t>
      </w:r>
      <w:r/>
    </w:p>
    <w:p>
      <w:pPr>
        <w:spacing w:line="360" w:lineRule="auto"/>
        <w:rPr>
          <w:color w:val="auto"/>
          <w:highlight w:val="none"/>
        </w:rPr>
      </w:pPr>
      <w:r>
        <w:rPr>
          <w:rFonts w:hint="eastAsia"/>
          <w:color w:val="auto"/>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spacing w:line="360" w:lineRule="auto"/>
        <w:rPr>
          <w:color w:val="auto"/>
          <w:highlight w:val="none"/>
        </w:rPr>
      </w:pPr>
      <w:r>
        <w:rPr>
          <w:rFonts w:hint="eastAsia"/>
          <w:color w:val="auto"/>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spacing w:line="360" w:lineRule="auto"/>
        <w:rPr>
          <w:color w:val="auto"/>
          <w:highlight w:val="none"/>
        </w:rPr>
      </w:pPr>
      <w:r>
        <w:rPr>
          <w:color w:val="auto"/>
          <w:highlight w:val="none"/>
        </w:rPr>
        <w:t xml:space="preserve">8</w:t>
      </w:r>
      <w:r>
        <w:rPr>
          <w:rFonts w:hint="eastAsia"/>
          <w:color w:val="auto"/>
          <w:highlight w:val="none"/>
        </w:rPr>
        <w:t xml:space="preserve">、乙方如违反本廉洁条例，一经发现，甲方有权终止购销合同，并向市卫生计生行政部门报告。如乙方被列入商业贿赂不良记录，则严格按照《国家卫生计生委关于建立医药购销领域商业贿赂不良记录的规定》（国卫法制发〔2013〕50号）相关规定处理。</w:t>
      </w:r>
      <w:r/>
    </w:p>
    <w:p>
      <w:pPr>
        <w:spacing w:line="360" w:lineRule="auto"/>
        <w:rPr>
          <w:color w:val="auto"/>
          <w:highlight w:val="none"/>
        </w:rPr>
      </w:pPr>
      <w:r>
        <w:rPr>
          <w:color w:val="auto"/>
          <w:highlight w:val="none"/>
        </w:rPr>
        <w:t xml:space="preserve">9</w:t>
      </w:r>
      <w:r>
        <w:rPr>
          <w:rFonts w:hint="eastAsia"/>
          <w:color w:val="auto"/>
          <w:highlight w:val="none"/>
        </w:rPr>
        <w:t xml:space="preserve">、本廉洁条例为甲方产品购销行为的廉洁准则，各方均需严格遵守。</w:t>
      </w:r>
      <w:r/>
    </w:p>
    <w:p>
      <w:pPr>
        <w:spacing w:line="360" w:lineRule="auto"/>
        <w:rPr>
          <w:color w:val="auto"/>
          <w:highlight w:val="none"/>
        </w:rPr>
      </w:pPr>
      <w:r>
        <w:rPr>
          <w:color w:val="auto"/>
          <w:highlight w:val="none"/>
        </w:rPr>
        <w:t xml:space="preserve">10</w:t>
      </w:r>
      <w:r>
        <w:rPr>
          <w:rFonts w:hint="eastAsia"/>
          <w:color w:val="auto"/>
          <w:highlight w:val="none"/>
        </w:rPr>
        <w:t xml:space="preserve">、本条例由甲方负责解释。</w:t>
      </w:r>
      <w:r/>
    </w:p>
    <w:p>
      <w:pPr>
        <w:spacing w:line="360" w:lineRule="auto"/>
        <w:rPr>
          <w:color w:val="auto"/>
          <w:highlight w:val="none"/>
        </w:rPr>
      </w:pPr>
      <w:r>
        <w:rPr>
          <w:rFonts w:hint="eastAsia"/>
          <w:color w:val="auto"/>
          <w:highlight w:val="none"/>
        </w:rPr>
        <w:t xml:space="preserve">1</w:t>
      </w:r>
      <w:r>
        <w:rPr>
          <w:color w:val="auto"/>
          <w:highlight w:val="none"/>
        </w:rPr>
        <w:t xml:space="preserve">1</w:t>
      </w:r>
      <w:r>
        <w:rPr>
          <w:rFonts w:hint="eastAsia"/>
          <w:color w:val="auto"/>
          <w:highlight w:val="none"/>
        </w:rPr>
        <w:t xml:space="preserve">、本条例自即日起施行。</w:t>
      </w:r>
      <w:r/>
    </w:p>
    <w:p>
      <w:pPr>
        <w:spacing w:line="360" w:lineRule="auto"/>
        <w:rPr>
          <w:color w:val="auto"/>
          <w:highlight w:val="none"/>
        </w:rPr>
      </w:pPr>
      <w:r>
        <w:rPr>
          <w:rFonts w:hint="eastAsia"/>
          <w:color w:val="auto"/>
          <w:highlight w:val="none"/>
        </w:rPr>
        <w:t xml:space="preserve">十一、合同的变更与解除条款</w:t>
      </w:r>
      <w:r/>
    </w:p>
    <w:p>
      <w:pPr>
        <w:spacing w:line="360" w:lineRule="auto"/>
        <w:rPr>
          <w:color w:val="auto"/>
          <w:highlight w:val="none"/>
          <w:lang w:val="zh-CN"/>
        </w:rPr>
      </w:pPr>
      <w:r/>
      <w:bookmarkStart w:id="158" w:name="_Hlk100930634"/>
      <w:r>
        <w:rPr>
          <w:rFonts w:hint="eastAsia"/>
          <w:color w:val="auto"/>
          <w:highlight w:val="none"/>
        </w:rPr>
        <w:t xml:space="preserve">如有本合同未尽事宜或合同部分条款需要变更，双方协商后签订补充协议，补充协议与合同同等效力</w:t>
      </w:r>
      <w:r>
        <w:rPr>
          <w:rFonts w:hint="eastAsia"/>
          <w:color w:val="auto"/>
          <w:highlight w:val="none"/>
          <w:lang w:val="zh-CN"/>
        </w:rPr>
        <w:t xml:space="preserve">。</w:t>
      </w:r>
      <w:bookmarkEnd w:id="158"/>
      <w:r/>
      <w:r/>
    </w:p>
    <w:p>
      <w:pPr>
        <w:spacing w:line="360" w:lineRule="auto"/>
        <w:rPr>
          <w:color w:val="auto"/>
          <w:highlight w:val="none"/>
        </w:rPr>
      </w:pPr>
      <w:r>
        <w:rPr>
          <w:rFonts w:hint="eastAsia"/>
          <w:color w:val="auto"/>
          <w:highlight w:val="none"/>
        </w:rPr>
        <w:t xml:space="preserve">本合同第九条下解约事由与法定解约事由出现后，解约方有权提前三个工作日书面通知对方解约，自通知送达之日起，本合同解除。</w:t>
      </w:r>
      <w:r/>
    </w:p>
    <w:p>
      <w:pPr>
        <w:spacing w:line="360" w:lineRule="auto"/>
        <w:rPr>
          <w:color w:val="auto"/>
          <w:highlight w:val="none"/>
        </w:rPr>
      </w:pPr>
      <w:r>
        <w:rPr>
          <w:rFonts w:hint="eastAsia"/>
          <w:color w:val="auto"/>
          <w:highlight w:val="none"/>
        </w:rPr>
        <w:t xml:space="preserve">十二、争端解决条款</w:t>
      </w:r>
      <w:r/>
    </w:p>
    <w:p>
      <w:pPr>
        <w:spacing w:line="360" w:lineRule="auto"/>
        <w:rPr>
          <w:color w:val="auto"/>
          <w:highlight w:val="none"/>
        </w:rPr>
      </w:pPr>
      <w:r>
        <w:rPr>
          <w:rFonts w:hint="eastAsia"/>
          <w:color w:val="auto"/>
          <w:highlight w:val="none"/>
        </w:rPr>
        <w:t xml:space="preserve">双方应本着友好协商的原则，解决与本合同有关的一切争议。如一方不愿协商或协商开始后30日内无法解决的，应提交甲方所在地人民法院裁决。</w:t>
      </w:r>
      <w:r/>
    </w:p>
    <w:p>
      <w:pPr>
        <w:spacing w:line="360" w:lineRule="auto"/>
        <w:rPr>
          <w:color w:val="auto"/>
          <w:highlight w:val="none"/>
        </w:rPr>
      </w:pPr>
      <w:r>
        <w:rPr>
          <w:rFonts w:hint="eastAsia"/>
          <w:color w:val="auto"/>
          <w:highlight w:val="none"/>
        </w:rPr>
        <w:t xml:space="preserve">十三、安全责任条款</w:t>
      </w:r>
      <w:r/>
    </w:p>
    <w:p>
      <w:pPr>
        <w:spacing w:line="360" w:lineRule="auto"/>
        <w:rPr>
          <w:color w:val="auto"/>
          <w:highlight w:val="none"/>
        </w:rPr>
      </w:pPr>
      <w:r>
        <w:rPr>
          <w:rFonts w:hint="eastAsia"/>
          <w:color w:val="auto"/>
          <w:highlight w:val="none"/>
        </w:rPr>
        <w:t xml:space="preserve">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spacing w:line="360" w:lineRule="auto"/>
        <w:rPr>
          <w:color w:val="auto"/>
          <w:highlight w:val="none"/>
        </w:rPr>
      </w:pPr>
      <w:r>
        <w:rPr>
          <w:rFonts w:hint="eastAsia"/>
          <w:color w:val="auto"/>
          <w:highlight w:val="none"/>
        </w:rPr>
        <w:t xml:space="preserve">十四、保密条款</w:t>
      </w:r>
      <w:r/>
    </w:p>
    <w:p>
      <w:pPr>
        <w:spacing w:line="360" w:lineRule="auto"/>
        <w:rPr>
          <w:color w:val="auto"/>
          <w:highlight w:val="none"/>
        </w:rPr>
      </w:pPr>
      <w:r>
        <w:rPr>
          <w:rFonts w:hint="eastAsia"/>
          <w:color w:val="auto"/>
          <w:highlight w:val="none"/>
        </w:rPr>
        <w:t xml:space="preserve">1.双方对于本合同的签订、本合同的内容、本合同的履行以及因履行本合同而获知的甲方的技术、商务、管理（及甲方患者的）等相关信息应承担保密义务。未经甲方书面同意，不得向任何第三方泄露。法律、行政法规另有规定者除外。</w:t>
      </w:r>
      <w:r/>
    </w:p>
    <w:p>
      <w:pPr>
        <w:spacing w:line="360" w:lineRule="auto"/>
        <w:rPr>
          <w:color w:val="auto"/>
          <w:highlight w:val="none"/>
        </w:rPr>
      </w:pPr>
      <w:r>
        <w:rPr>
          <w:rFonts w:hint="eastAsia"/>
          <w:color w:val="auto"/>
          <w:highlight w:val="none"/>
        </w:rPr>
        <w:t xml:space="preserve">2.双方应确保已方人员遵守本条约定保密义务，否则由此产生的一切后果由违约方承担责任。</w:t>
      </w:r>
      <w:r/>
    </w:p>
    <w:p>
      <w:pPr>
        <w:spacing w:line="360" w:lineRule="auto"/>
        <w:rPr>
          <w:color w:val="auto"/>
          <w:highlight w:val="none"/>
        </w:rPr>
      </w:pPr>
      <w:r>
        <w:rPr>
          <w:rFonts w:hint="eastAsia"/>
          <w:color w:val="auto"/>
          <w:highlight w:val="none"/>
        </w:rPr>
        <w:t xml:space="preserve">3.本条约定在本合同解除、终止或被认为无效后仍然有效。</w:t>
      </w:r>
      <w:r/>
    </w:p>
    <w:p>
      <w:pPr>
        <w:spacing w:line="360" w:lineRule="auto"/>
        <w:rPr>
          <w:color w:val="auto"/>
          <w:highlight w:val="none"/>
        </w:rPr>
      </w:pPr>
      <w:r>
        <w:rPr>
          <w:rFonts w:hint="eastAsia"/>
          <w:color w:val="auto"/>
          <w:highlight w:val="none"/>
        </w:rPr>
        <w:t xml:space="preserve">十五、其他条款</w:t>
      </w:r>
      <w:r/>
    </w:p>
    <w:p>
      <w:pPr>
        <w:spacing w:line="360" w:lineRule="auto"/>
        <w:rPr>
          <w:b/>
          <w:color w:val="auto"/>
          <w:highlight w:val="none"/>
        </w:rPr>
      </w:pPr>
      <w:r>
        <w:rPr>
          <w:b/>
          <w:color w:val="auto"/>
          <w:highlight w:val="none"/>
        </w:rPr>
        <w:t xml:space="preserve">1.</w:t>
      </w:r>
      <w:r>
        <w:rPr>
          <w:rFonts w:hint="eastAsia"/>
          <w:color w:val="auto"/>
          <w:highlight w:val="none"/>
        </w:rPr>
        <w:t xml:space="preserve">本项目招标文件、协议（合同）及附件、乙方投标文件及其他承诺，均为本项目不可分割的重要组成部分，具有同等法律效力。</w:t>
      </w:r>
      <w:r/>
    </w:p>
    <w:p>
      <w:pPr>
        <w:spacing w:line="360" w:lineRule="auto"/>
        <w:rPr>
          <w:color w:val="auto"/>
          <w:highlight w:val="none"/>
          <w:lang w:val="zh-CN"/>
        </w:rPr>
      </w:pPr>
      <w:r>
        <w:rPr>
          <w:rFonts w:hint="eastAsia"/>
          <w:color w:val="auto"/>
          <w:highlight w:val="none"/>
          <w:lang w:val="zh-CN"/>
        </w:rPr>
        <w:t xml:space="preserve">2</w:t>
      </w:r>
      <w:r>
        <w:rPr>
          <w:color w:val="auto"/>
          <w:highlight w:val="none"/>
          <w:lang w:val="zh-CN"/>
        </w:rPr>
        <w:t xml:space="preserve">.</w:t>
      </w:r>
      <w:r>
        <w:rPr>
          <w:rFonts w:hint="eastAsia"/>
          <w:color w:val="auto"/>
          <w:highlight w:val="none"/>
          <w:lang w:val="zh-CN"/>
        </w:rPr>
        <w:t xml:space="preserve">本合同一式</w:t>
      </w:r>
      <w:r>
        <w:rPr>
          <w:rFonts w:hint="eastAsia"/>
          <w:color w:val="auto"/>
          <w:highlight w:val="none"/>
        </w:rPr>
        <w:t xml:space="preserve">肆</w:t>
      </w:r>
      <w:r>
        <w:rPr>
          <w:rFonts w:hint="eastAsia"/>
          <w:color w:val="auto"/>
          <w:highlight w:val="none"/>
          <w:lang w:val="zh-CN"/>
        </w:rPr>
        <w:t xml:space="preserve">份，</w:t>
      </w:r>
      <w:r>
        <w:rPr>
          <w:rFonts w:hint="eastAsia"/>
          <w:color w:val="auto"/>
          <w:highlight w:val="none"/>
        </w:rPr>
        <w:t xml:space="preserve">甲方执贰份，乙方执贰份，经双方签字盖章并加盖骑缝章后生效，</w:t>
      </w:r>
      <w:r/>
    </w:p>
    <w:p>
      <w:pPr>
        <w:spacing w:line="360" w:lineRule="auto"/>
        <w:rPr>
          <w:color w:val="auto"/>
          <w:highlight w:val="none"/>
        </w:rPr>
      </w:pPr>
      <w:r>
        <w:rPr>
          <w:color w:val="auto"/>
          <w:highlight w:val="none"/>
        </w:rPr>
        <w:t xml:space="preserve">3.</w:t>
      </w:r>
      <w:r>
        <w:rPr>
          <w:rFonts w:hint="eastAsia"/>
          <w:color w:val="auto"/>
          <w:highlight w:val="none"/>
        </w:rPr>
        <w:t xml:space="preserve">本合同适用的语言文字为汉语文字，本合同适用法律法规为中华人民共和国及其区域内相关法律法规，本合同条款解释语言以中文为准。</w:t>
      </w:r>
      <w:r/>
    </w:p>
    <w:p>
      <w:pPr>
        <w:spacing w:line="360" w:lineRule="auto"/>
        <w:rPr>
          <w:color w:val="auto"/>
          <w:highlight w:val="none"/>
        </w:rPr>
      </w:pPr>
      <w:r>
        <w:rPr>
          <w:color w:val="auto"/>
          <w:highlight w:val="none"/>
        </w:rPr>
        <w:t xml:space="preserve">4.</w:t>
      </w:r>
      <w:r>
        <w:rPr>
          <w:rFonts w:hint="eastAsia"/>
          <w:color w:val="auto"/>
          <w:highlight w:val="none"/>
        </w:rPr>
        <w:t xml:space="preserve">合同签署地点:南京。</w:t>
      </w:r>
      <w:r/>
    </w:p>
    <w:p>
      <w:pPr>
        <w:spacing w:line="360" w:lineRule="auto"/>
        <w:rPr>
          <w:color w:val="auto"/>
          <w:highlight w:val="none"/>
        </w:rPr>
      </w:pPr>
      <w:r>
        <w:rPr>
          <w:color w:val="auto"/>
          <w:highlight w:val="none"/>
        </w:rPr>
      </w:r>
      <w:r/>
    </w:p>
    <w:p>
      <w:pPr>
        <w:spacing w:line="360" w:lineRule="auto"/>
        <w:rPr>
          <w:color w:val="auto"/>
          <w:highlight w:val="none"/>
          <w:u w:val="single"/>
        </w:rPr>
      </w:pPr>
      <w:r>
        <w:rPr>
          <w:rFonts w:hint="eastAsia"/>
          <w:color w:val="auto"/>
          <w:highlight w:val="none"/>
        </w:rPr>
        <w:t xml:space="preserve">甲方：</w:t>
      </w:r>
      <w:r>
        <w:rPr>
          <w:rFonts w:hint="eastAsia"/>
          <w:color w:val="auto"/>
          <w:highlight w:val="none"/>
          <w:u w:val="single"/>
        </w:rPr>
        <w:t xml:space="preserve">南京鼓楼医院</w:t>
      </w:r>
      <w:r>
        <w:rPr>
          <w:rFonts w:hint="eastAsia"/>
          <w:color w:val="auto"/>
          <w:highlight w:val="none"/>
        </w:rPr>
        <w:t xml:space="preserve">（盖章）                 乙方：（盖章）</w:t>
      </w:r>
      <w:r/>
    </w:p>
    <w:p>
      <w:pPr>
        <w:spacing w:line="360" w:lineRule="auto"/>
        <w:rPr>
          <w:color w:val="auto"/>
          <w:highlight w:val="none"/>
        </w:rPr>
      </w:pPr>
      <w:r>
        <w:rPr>
          <w:rFonts w:hint="eastAsia"/>
          <w:color w:val="auto"/>
          <w:highlight w:val="none"/>
        </w:rPr>
        <w:t xml:space="preserve">地址：南京市中山路321号                   地址：</w:t>
      </w:r>
      <w:r/>
    </w:p>
    <w:p>
      <w:pPr>
        <w:spacing w:line="360" w:lineRule="auto"/>
        <w:rPr>
          <w:color w:val="auto"/>
          <w:highlight w:val="none"/>
        </w:rPr>
      </w:pPr>
      <w:r>
        <w:rPr>
          <w:rFonts w:hint="eastAsia"/>
          <w:color w:val="auto"/>
          <w:highlight w:val="none"/>
        </w:rPr>
        <w:t xml:space="preserve">邮编：210008 传真：025-</w:t>
      </w:r>
      <w:r>
        <w:rPr>
          <w:color w:val="auto"/>
          <w:highlight w:val="none"/>
        </w:rPr>
        <w:t xml:space="preserve">8</w:t>
      </w:r>
      <w:r>
        <w:rPr>
          <w:rFonts w:hint="eastAsia"/>
          <w:color w:val="auto"/>
          <w:highlight w:val="none"/>
        </w:rPr>
        <w:t xml:space="preserve">3105006            传真：</w:t>
      </w:r>
      <w:r/>
    </w:p>
    <w:p>
      <w:pPr>
        <w:spacing w:line="360" w:lineRule="auto"/>
        <w:rPr>
          <w:color w:val="auto"/>
          <w:highlight w:val="none"/>
        </w:rPr>
      </w:pPr>
      <w:r>
        <w:rPr>
          <w:rFonts w:hint="eastAsia"/>
          <w:color w:val="auto"/>
          <w:highlight w:val="none"/>
        </w:rPr>
        <w:t xml:space="preserve">电话：（手机）025-83106666                 电话：</w:t>
      </w:r>
      <w:r/>
    </w:p>
    <w:p>
      <w:pPr>
        <w:spacing w:line="360" w:lineRule="auto"/>
        <w:rPr>
          <w:color w:val="auto"/>
          <w:highlight w:val="none"/>
          <w:u w:val="single"/>
        </w:rPr>
      </w:pPr>
      <w:r>
        <w:rPr>
          <w:rFonts w:hint="eastAsia"/>
          <w:color w:val="auto"/>
          <w:highlight w:val="none"/>
        </w:rPr>
        <w:t xml:space="preserve">法定代表人或授权代表：                     法定代表人：</w:t>
      </w:r>
      <w:r/>
    </w:p>
    <w:p>
      <w:pPr>
        <w:spacing w:line="360" w:lineRule="auto"/>
        <w:rPr>
          <w:color w:val="auto"/>
          <w:highlight w:val="none"/>
        </w:rPr>
      </w:pPr>
      <w:r>
        <w:rPr>
          <w:rFonts w:hint="eastAsia"/>
          <w:color w:val="auto"/>
          <w:highlight w:val="none"/>
        </w:rPr>
        <w:t xml:space="preserve">分管院领导：                               项目经理：</w:t>
      </w:r>
      <w:r/>
    </w:p>
    <w:p>
      <w:pPr>
        <w:spacing w:line="360" w:lineRule="auto"/>
        <w:rPr>
          <w:color w:val="auto"/>
          <w:highlight w:val="none"/>
        </w:rPr>
      </w:pPr>
      <w:r/>
      <w:bookmarkStart w:id="159" w:name="OLE_LINK4"/>
      <w:r/>
      <w:bookmarkStart w:id="160" w:name="OLE_LINK3"/>
      <w:r>
        <w:rPr>
          <w:rFonts w:hint="eastAsia"/>
          <w:color w:val="auto"/>
          <w:highlight w:val="none"/>
        </w:rPr>
        <w:t xml:space="preserve">医用物资采购中心负责人：                   手机：</w:t>
      </w:r>
      <w:r/>
    </w:p>
    <w:p>
      <w:pPr>
        <w:spacing w:line="360" w:lineRule="auto"/>
        <w:rPr>
          <w:color w:val="auto"/>
          <w:highlight w:val="none"/>
          <w:u w:val="single"/>
        </w:rPr>
      </w:pPr>
      <w:r>
        <w:rPr>
          <w:rFonts w:hint="eastAsia"/>
          <w:color w:val="auto"/>
          <w:highlight w:val="none"/>
        </w:rPr>
        <w:t xml:space="preserve">日期：</w:t>
      </w:r>
      <w:bookmarkEnd w:id="159"/>
      <w:r/>
      <w:bookmarkEnd w:id="160"/>
      <w:r>
        <w:rPr>
          <w:rFonts w:hint="eastAsia"/>
          <w:color w:val="auto"/>
          <w:highlight w:val="none"/>
        </w:rPr>
        <w:t xml:space="preserve">                                     日期：</w:t>
      </w:r>
      <w:r/>
    </w:p>
    <w:p>
      <w:pPr>
        <w:rPr>
          <w:rFonts w:hAnsi="宋体" w:eastAsia="Times New Roman" w:cs="宋体"/>
          <w:color w:val="auto"/>
          <w:sz w:val="24"/>
          <w:szCs w:val="24"/>
          <w:highlight w:val="none"/>
        </w:rPr>
      </w:pPr>
      <w:r>
        <w:rPr>
          <w:rFonts w:hAnsi="宋体" w:eastAsia="Times New Roman" w:cs="宋体"/>
          <w:color w:val="auto"/>
          <w:sz w:val="24"/>
          <w:szCs w:val="24"/>
          <w:highlight w:val="none"/>
        </w:rPr>
      </w:r>
      <w:r/>
    </w:p>
    <w:p>
      <w:pPr>
        <w:pStyle w:val="779"/>
        <w:jc w:val="left"/>
        <w:spacing w:after="0"/>
        <w:widowControl/>
        <w:rPr>
          <w:rFonts w:ascii="楷体_GB2312" w:hAnsi="Arial" w:eastAsia="楷体_GB2312"/>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4"/>
        <w:pageBreakBefore/>
        <w:rPr>
          <w:color w:val="auto"/>
          <w:highlight w:val="none"/>
        </w:rPr>
      </w:pPr>
      <w:r/>
      <w:bookmarkStart w:id="161" w:name="_Toc26546"/>
      <w:r/>
      <w:bookmarkStart w:id="162" w:name="_Toc514054483"/>
      <w:r/>
      <w:bookmarkStart w:id="163" w:name="_Toc29724"/>
      <w:r>
        <w:rPr>
          <w:rFonts w:hint="eastAsia"/>
          <w:color w:val="auto"/>
          <w:highlight w:val="none"/>
        </w:rPr>
        <w:t xml:space="preserve">第六部分  投标文件格式</w:t>
      </w:r>
      <w:bookmarkEnd w:id="161"/>
      <w:r/>
      <w:bookmarkEnd w:id="162"/>
      <w:r/>
      <w:bookmarkEnd w:id="163"/>
      <w:r/>
      <w:r/>
    </w:p>
    <w:p>
      <w:pPr>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仿宋" w:hAnsi="仿宋" w:eastAsia="仿宋" w:cs="宋体"/>
          <w:b/>
          <w:bCs/>
          <w:color w:val="auto"/>
          <w:sz w:val="24"/>
          <w:szCs w:val="28"/>
          <w:highlight w:val="none"/>
        </w:rPr>
      </w:pPr>
      <w:r/>
      <w:bookmarkStart w:id="164" w:name="_Toc514054484"/>
      <w:r/>
      <w:bookmarkStart w:id="165" w:name="_Toc26779"/>
      <w:r/>
      <w:bookmarkStart w:id="166" w:name="_Toc16009"/>
      <w:r/>
      <w:bookmarkStart w:id="167" w:name="_Toc21788"/>
      <w:r>
        <w:rPr>
          <w:rFonts w:hint="eastAsia" w:ascii="仿宋" w:hAnsi="仿宋" w:eastAsia="仿宋" w:cs="宋体"/>
          <w:b/>
          <w:bCs/>
          <w:color w:val="auto"/>
          <w:sz w:val="24"/>
          <w:szCs w:val="28"/>
          <w:highlight w:val="none"/>
        </w:rPr>
        <w:t xml:space="preserve">投标文件格式使用注意事项：</w:t>
      </w:r>
      <w:r/>
    </w:p>
    <w:p>
      <w:pPr>
        <w:numPr>
          <w:ilvl w:val="0"/>
          <w:numId w:val="9"/>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ascii="仿宋" w:hAnsi="仿宋" w:eastAsia="仿宋" w:cs="宋体"/>
          <w:color w:val="auto"/>
          <w:sz w:val="24"/>
          <w:szCs w:val="28"/>
          <w:highlight w:val="none"/>
        </w:rPr>
      </w:pPr>
      <w:r>
        <w:rPr>
          <w:rFonts w:ascii="仿宋" w:hAnsi="仿宋" w:eastAsia="仿宋" w:cs="宋体"/>
          <w:color w:val="auto"/>
          <w:sz w:val="24"/>
          <w:szCs w:val="28"/>
          <w:highlight w:val="none"/>
        </w:rPr>
      </w:r>
      <w:r/>
    </w:p>
    <w:p>
      <w:pPr>
        <w:jc w:val="left"/>
        <w:spacing w:line="360" w:lineRule="auto"/>
        <w:widowControl/>
        <w:rPr>
          <w:rFonts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ascii="宋体" w:hAnsi="宋体" w:cs="宋体"/>
          <w:b/>
          <w:color w:val="auto"/>
          <w:sz w:val="32"/>
          <w:szCs w:val="24"/>
          <w:highlight w:val="none"/>
        </w:rPr>
      </w:pPr>
      <w:r>
        <w:rPr>
          <w:rFonts w:ascii="宋体" w:hAnsi="宋体" w:cs="宋体"/>
          <w:b/>
          <w:color w:val="auto"/>
          <w:sz w:val="32"/>
          <w:szCs w:val="24"/>
          <w:highlight w:val="none"/>
        </w:rPr>
      </w:r>
      <w:r/>
    </w:p>
    <w:p>
      <w:pPr>
        <w:pStyle w:val="1266"/>
        <w:ind w:firstLine="321"/>
        <w:jc w:val="center"/>
        <w:rPr>
          <w:rFonts w:ascii="宋体" w:hAnsi="宋体" w:eastAsia="宋体" w:cs="宋体"/>
          <w:color w:val="auto"/>
          <w:highlight w:val="none"/>
        </w:rPr>
        <w:outlineLvl w:val="1"/>
      </w:pPr>
      <w:r/>
      <w:bookmarkStart w:id="168" w:name="_Toc15407"/>
      <w:r>
        <w:rPr>
          <w:rFonts w:hint="eastAsia" w:ascii="宋体" w:hAnsi="宋体" w:eastAsia="宋体" w:cs="宋体"/>
          <w:color w:val="auto"/>
          <w:highlight w:val="none"/>
        </w:rPr>
        <w:t xml:space="preserve">封面</w:t>
      </w:r>
      <w:bookmarkEnd w:id="164"/>
      <w:r/>
      <w:bookmarkEnd w:id="165"/>
      <w:r/>
      <w:bookmarkEnd w:id="166"/>
      <w:r/>
      <w:bookmarkEnd w:id="167"/>
      <w:r/>
      <w:bookmarkEnd w:id="168"/>
      <w:r/>
      <w:r/>
    </w:p>
    <w:p>
      <w:pPr>
        <w:pStyle w:val="1132"/>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132"/>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132"/>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132"/>
        <w:jc w:val="center"/>
        <w:rPr>
          <w:rFonts w:ascii="宋体" w:hAnsi="宋体" w:cs="宋体"/>
          <w:color w:val="auto"/>
          <w:sz w:val="52"/>
          <w:szCs w:val="52"/>
          <w:highlight w:val="none"/>
        </w:rPr>
      </w:pPr>
      <w:r>
        <w:rPr>
          <w:rFonts w:ascii="宋体" w:hAnsi="宋体" w:cs="宋体"/>
          <w:color w:val="auto"/>
          <w:sz w:val="52"/>
          <w:szCs w:val="52"/>
          <w:highlight w:val="none"/>
        </w:rPr>
      </w:r>
      <w:r/>
    </w:p>
    <w:p>
      <w:pPr>
        <w:pStyle w:val="1132"/>
        <w:jc w:val="center"/>
        <w:rPr>
          <w:rFonts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2"/>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132"/>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132"/>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132"/>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132"/>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037"/>
        <w:ind w:firstLine="723"/>
        <w:jc w:val="both"/>
        <w:rPr>
          <w:rFonts w:hAnsi="宋体" w:cs="宋体"/>
          <w:color w:val="auto"/>
          <w:highlight w:val="none"/>
        </w:rPr>
      </w:pPr>
      <w:r>
        <w:rPr>
          <w:rFonts w:hint="eastAsia" w:hAnsi="宋体" w:cs="宋体"/>
          <w:b/>
          <w:color w:val="auto"/>
          <w:sz w:val="36"/>
          <w:szCs w:val="36"/>
          <w:highlight w:val="none"/>
        </w:rPr>
        <w:t xml:space="preserve">项   目   名   称：</w:t>
      </w:r>
      <w:r>
        <w:rPr>
          <w:rFonts w:hint="eastAsia" w:hAnsi="宋体" w:cs="宋体"/>
          <w:b/>
          <w:color w:val="auto"/>
          <w:sz w:val="36"/>
          <w:szCs w:val="36"/>
          <w:highlight w:val="none"/>
          <w:u w:val="single"/>
        </w:rPr>
        <w:t xml:space="preserve">               </w:t>
      </w:r>
      <w:r/>
    </w:p>
    <w:p>
      <w:pPr>
        <w:pStyle w:val="1037"/>
        <w:ind w:firstLine="723"/>
        <w:jc w:val="both"/>
        <w:rPr>
          <w:rFonts w:hAnsi="宋体" w:cs="宋体"/>
          <w:b/>
          <w:color w:val="auto"/>
          <w:sz w:val="36"/>
          <w:szCs w:val="36"/>
          <w:highlight w:val="none"/>
          <w:u w:val="single"/>
        </w:rPr>
      </w:pPr>
      <w:r>
        <w:rPr>
          <w:rFonts w:hint="eastAsia" w:hAnsi="宋体" w:cs="宋体"/>
          <w:b/>
          <w:color w:val="auto"/>
          <w:sz w:val="36"/>
          <w:szCs w:val="36"/>
          <w:highlight w:val="none"/>
        </w:rPr>
        <w:t xml:space="preserve">项   目   编   号：</w:t>
      </w:r>
      <w:r>
        <w:rPr>
          <w:rFonts w:hint="eastAsia" w:hAnsi="宋体" w:cs="宋体"/>
          <w:b/>
          <w:color w:val="auto"/>
          <w:sz w:val="36"/>
          <w:szCs w:val="36"/>
          <w:highlight w:val="none"/>
          <w:u w:val="single"/>
        </w:rPr>
        <w:t xml:space="preserve">               </w:t>
      </w:r>
      <w:r/>
    </w:p>
    <w:p>
      <w:pPr>
        <w:pStyle w:val="1037"/>
        <w:ind w:firstLine="723"/>
        <w:jc w:val="both"/>
        <w:rPr>
          <w:rFonts w:hAnsi="宋体" w:cs="宋体"/>
          <w:color w:val="auto"/>
          <w:highlight w:val="none"/>
        </w:rPr>
      </w:pPr>
      <w:r>
        <w:rPr>
          <w:rFonts w:hint="eastAsia" w:hAnsi="宋体" w:cs="宋体"/>
          <w:b/>
          <w:color w:val="auto"/>
          <w:sz w:val="36"/>
          <w:szCs w:val="36"/>
          <w:highlight w:val="none"/>
        </w:rPr>
        <w:t xml:space="preserve">投 标 人 名 称 ： </w:t>
      </w:r>
      <w:r>
        <w:rPr>
          <w:rFonts w:hint="eastAsia" w:hAnsi="宋体" w:cs="宋体"/>
          <w:b/>
          <w:color w:val="auto"/>
          <w:sz w:val="36"/>
          <w:szCs w:val="36"/>
          <w:highlight w:val="none"/>
          <w:u w:val="single"/>
        </w:rPr>
        <w:t xml:space="preserve">（加盖CA电子公章）           </w:t>
      </w:r>
      <w:r/>
    </w:p>
    <w:p>
      <w:pPr>
        <w:pStyle w:val="1037"/>
        <w:ind w:firstLine="723"/>
        <w:jc w:val="both"/>
        <w:rPr>
          <w:rFonts w:hAnsi="宋体" w:cs="宋体"/>
          <w:color w:val="auto"/>
          <w:highlight w:val="none"/>
        </w:rPr>
      </w:pPr>
      <w:r>
        <w:rPr>
          <w:rFonts w:hint="eastAsia" w:hAnsi="宋体" w:cs="宋体"/>
          <w:b/>
          <w:color w:val="auto"/>
          <w:sz w:val="36"/>
          <w:szCs w:val="36"/>
          <w:highlight w:val="none"/>
        </w:rPr>
        <w:t xml:space="preserve">日    期 ：    </w:t>
      </w:r>
      <w:r>
        <w:rPr>
          <w:rFonts w:hint="eastAsia" w:hAnsi="宋体" w:cs="宋体"/>
          <w:b/>
          <w:color w:val="auto"/>
          <w:sz w:val="36"/>
          <w:szCs w:val="36"/>
          <w:highlight w:val="none"/>
          <w:u w:val="single"/>
        </w:rPr>
        <w:t xml:space="preserve">                           </w:t>
      </w:r>
      <w:r/>
    </w:p>
    <w:p>
      <w:pPr>
        <w:pStyle w:val="1037"/>
        <w:spacing w:line="0" w:lineRule="atLeast"/>
        <w:rPr>
          <w:rFonts w:hAnsi="宋体" w:cs="宋体"/>
          <w:color w:val="auto"/>
          <w:highlight w:val="none"/>
        </w:rPr>
      </w:pPr>
      <w:r>
        <w:rPr>
          <w:rFonts w:hint="eastAsia" w:hAnsi="宋体" w:cs="宋体"/>
          <w:color w:val="auto"/>
          <w:highlight w:val="none"/>
        </w:rPr>
        <w:t xml:space="preserve"> </w:t>
      </w:r>
      <w:r/>
    </w:p>
    <w:p>
      <w:pPr>
        <w:pStyle w:val="1037"/>
        <w:jc w:val="both"/>
        <w:spacing w:line="0" w:lineRule="atLeast"/>
        <w:rPr>
          <w:rFonts w:hAnsi="宋体" w:cs="宋体"/>
          <w:color w:val="auto"/>
          <w:highlight w:val="none"/>
        </w:rPr>
      </w:pPr>
      <w:r>
        <w:rPr>
          <w:rFonts w:hint="eastAsia" w:hAnsi="宋体" w:cs="宋体"/>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9" w:name="_Toc29318"/>
      <w:r/>
      <w:bookmarkStart w:id="170" w:name="_Toc164203464"/>
      <w:r/>
      <w:bookmarkStart w:id="171" w:name="_Toc21292"/>
      <w:r/>
      <w:bookmarkStart w:id="172" w:name="_Toc11040"/>
      <w:r/>
      <w:bookmarkStart w:id="173" w:name="_Toc28278"/>
      <w:r/>
      <w:r/>
    </w:p>
    <w:p>
      <w:pPr>
        <w:pStyle w:val="1254"/>
        <w:rPr>
          <w:color w:val="auto"/>
          <w:highlight w:val="none"/>
        </w:rPr>
        <w:outlineLvl w:val="1"/>
      </w:pPr>
      <w:r/>
      <w:bookmarkStart w:id="174" w:name="_Toc5742"/>
      <w:r>
        <w:rPr>
          <w:color w:val="auto"/>
          <w:highlight w:val="none"/>
        </w:rPr>
        <w:t xml:space="preserve">一、投标人基本情况</w:t>
      </w:r>
      <w:bookmarkEnd w:id="169"/>
      <w:r/>
      <w:bookmarkEnd w:id="170"/>
      <w:r/>
      <w:bookmarkEnd w:id="171"/>
      <w:r/>
      <w:bookmarkEnd w:id="172"/>
      <w:r/>
      <w:bookmarkEnd w:id="173"/>
      <w:r/>
      <w:bookmarkEnd w:id="174"/>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4"/>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4"/>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4"/>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4"/>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4"/>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2"/>
        <w:rPr>
          <w:color w:val="auto"/>
          <w:highlight w:val="none"/>
        </w:rPr>
        <w:outlineLvl w:val="1"/>
      </w:pPr>
      <w:r>
        <w:rPr>
          <w:color w:val="auto"/>
          <w:highlight w:val="none"/>
        </w:rPr>
        <w:br w:type="page" w:clear="all"/>
      </w:r>
      <w:bookmarkStart w:id="175" w:name="_Toc24265"/>
      <w:r/>
      <w:bookmarkStart w:id="176" w:name="_Toc13486"/>
      <w:r/>
      <w:bookmarkStart w:id="177" w:name="_Toc1147"/>
      <w:r/>
      <w:bookmarkStart w:id="178" w:name="_Toc164203465"/>
      <w:r/>
      <w:bookmarkStart w:id="179" w:name="_Toc30008"/>
      <w:r/>
      <w:bookmarkStart w:id="180" w:name="_Toc15353"/>
      <w:r>
        <w:rPr>
          <w:color w:val="auto"/>
          <w:highlight w:val="none"/>
        </w:rPr>
        <w:t xml:space="preserve">二、投标人资质</w:t>
      </w:r>
      <w:r>
        <w:rPr>
          <w:rFonts w:hint="eastAsia"/>
          <w:color w:val="auto"/>
          <w:highlight w:val="none"/>
        </w:rPr>
        <w:t xml:space="preserve">（按资格要求提供）</w:t>
      </w:r>
      <w:bookmarkEnd w:id="175"/>
      <w:r/>
      <w:bookmarkEnd w:id="176"/>
      <w:r/>
      <w:bookmarkEnd w:id="177"/>
      <w:r/>
      <w:bookmarkEnd w:id="178"/>
      <w:r/>
      <w:bookmarkEnd w:id="179"/>
      <w:r/>
      <w:bookmarkEnd w:id="180"/>
      <w:r/>
      <w:r/>
    </w:p>
    <w:p>
      <w:pPr>
        <w:pStyle w:val="1308"/>
        <w:rPr>
          <w:color w:val="auto"/>
          <w:highlight w:val="none"/>
        </w:rPr>
      </w:pPr>
      <w:r>
        <w:rPr>
          <w:rFonts w:hint="eastAsia"/>
          <w:color w:val="auto"/>
          <w:highlight w:val="none"/>
        </w:rPr>
        <w:t xml:space="preserve">    </w:t>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pStyle w:val="1308"/>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1308"/>
        <w:rPr>
          <w:color w:val="auto"/>
          <w:highlight w:val="none"/>
        </w:rPr>
        <w:outlineLvl w:val="1"/>
      </w:pPr>
      <w:r/>
      <w:bookmarkStart w:id="181" w:name="_Toc18935"/>
      <w:r/>
      <w:bookmarkStart w:id="182" w:name="_Toc4877"/>
      <w:r/>
      <w:bookmarkStart w:id="183" w:name="_Toc164203466"/>
      <w:r/>
      <w:bookmarkStart w:id="184" w:name="_Toc18278"/>
      <w:r/>
      <w:bookmarkStart w:id="185" w:name="_Toc15822"/>
      <w:r>
        <w:rPr>
          <w:color w:val="auto"/>
          <w:highlight w:val="none"/>
        </w:rPr>
        <w:t xml:space="preserve">三、投标人</w:t>
      </w:r>
      <w:bookmarkEnd w:id="181"/>
      <w:r>
        <w:rPr>
          <w:rFonts w:hint="eastAsia" w:ascii="宋体" w:hAnsi="宋体" w:cs="Arial"/>
          <w:bCs/>
          <w:color w:val="auto"/>
          <w:highlight w:val="none"/>
        </w:rPr>
        <w:t xml:space="preserve">具有良好的商业信誉和健全的财务会计制度</w:t>
      </w:r>
      <w:bookmarkEnd w:id="182"/>
      <w:r/>
      <w:bookmarkEnd w:id="183"/>
      <w:r/>
      <w:bookmarkEnd w:id="184"/>
      <w:r/>
      <w:bookmarkEnd w:id="185"/>
      <w:r/>
      <w:r/>
    </w:p>
    <w:p>
      <w:pPr>
        <w:pStyle w:val="1365"/>
        <w:rPr>
          <w:color w:val="auto"/>
          <w:highlight w:val="none"/>
        </w:rPr>
      </w:pPr>
      <w:r>
        <w:rPr>
          <w:rFonts w:hint="eastAsia" w:ascii="宋体"/>
          <w:bCs/>
          <w:color w:val="auto"/>
          <w:szCs w:val="32"/>
          <w:highlight w:val="none"/>
        </w:rPr>
        <w:t xml:space="preserve">提供符合招标文件要求的资料</w:t>
      </w:r>
      <w:r/>
    </w:p>
    <w:p>
      <w:pPr>
        <w:pStyle w:val="1402"/>
        <w:rPr>
          <w:color w:val="auto"/>
          <w:highlight w:val="none"/>
        </w:rPr>
        <w:outlineLvl w:val="1"/>
      </w:pPr>
      <w:r>
        <w:rPr>
          <w:color w:val="auto"/>
          <w:highlight w:val="none"/>
        </w:rPr>
        <w:br w:type="page" w:clear="all"/>
      </w:r>
      <w:bookmarkStart w:id="186" w:name="_Toc29626"/>
      <w:r/>
      <w:bookmarkStart w:id="187" w:name="_Toc514054489"/>
      <w:r/>
      <w:bookmarkStart w:id="188" w:name="_Toc11562_WPSOffice_Level2"/>
      <w:r/>
      <w:bookmarkStart w:id="189" w:name="_Toc26507"/>
      <w:r/>
      <w:bookmarkStart w:id="190" w:name="_Toc3360"/>
      <w:r/>
      <w:bookmarkStart w:id="191" w:name="_Toc164203467"/>
      <w:r/>
      <w:bookmarkStart w:id="192" w:name="_Toc1350"/>
      <w:r>
        <w:rPr>
          <w:color w:val="auto"/>
          <w:highlight w:val="none"/>
        </w:rPr>
        <w:t xml:space="preserve">四、</w:t>
      </w:r>
      <w:bookmarkEnd w:id="186"/>
      <w:r/>
      <w:bookmarkEnd w:id="187"/>
      <w:r/>
      <w:bookmarkEnd w:id="188"/>
      <w:r>
        <w:rPr>
          <w:rFonts w:hint="eastAsia" w:ascii="宋体" w:hAnsi="宋体" w:cs="Arial"/>
          <w:bCs/>
          <w:color w:val="auto"/>
          <w:highlight w:val="none"/>
        </w:rPr>
        <w:t xml:space="preserve">具有履行合同所必需的设备和专业技术能力</w:t>
      </w:r>
      <w:bookmarkEnd w:id="189"/>
      <w:r/>
      <w:bookmarkEnd w:id="190"/>
      <w:r/>
      <w:bookmarkEnd w:id="191"/>
      <w:r/>
      <w:bookmarkEnd w:id="192"/>
      <w:r/>
      <w:r/>
    </w:p>
    <w:p>
      <w:pPr>
        <w:pStyle w:val="1140"/>
        <w:jc w:val="center"/>
        <w:spacing w:line="600" w:lineRule="exact"/>
        <w:rPr>
          <w:rFonts w:ascii="宋体" w:hAnsi="宋体"/>
          <w:b/>
          <w:color w:val="auto"/>
          <w:sz w:val="32"/>
          <w:szCs w:val="24"/>
          <w:highlight w:val="none"/>
        </w:rPr>
      </w:pPr>
      <w:r>
        <w:rPr>
          <w:rFonts w:ascii="宋体" w:hAnsi="宋体"/>
          <w:b/>
          <w:color w:val="auto"/>
          <w:sz w:val="32"/>
          <w:szCs w:val="24"/>
          <w:highlight w:val="none"/>
        </w:rPr>
      </w:r>
      <w:r/>
    </w:p>
    <w:p>
      <w:pPr>
        <w:pStyle w:val="1140"/>
        <w:jc w:val="center"/>
        <w:spacing w:line="600" w:lineRule="exact"/>
        <w:rPr>
          <w:rFonts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0"/>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0"/>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我单位具备履行编号为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0"/>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0"/>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0"/>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3"/>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3"/>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33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8"/>
        <w:spacing w:after="100" w:afterAutospacing="1"/>
        <w:rPr>
          <w:rFonts w:ascii="宋体" w:hAnsi="宋体" w:cs="Arial"/>
          <w:bCs/>
          <w:color w:val="auto"/>
          <w:highlight w:val="none"/>
        </w:rPr>
      </w:pPr>
      <w:r>
        <w:rPr>
          <w:color w:val="auto"/>
          <w:highlight w:val="none"/>
        </w:rPr>
        <w:br w:type="page" w:clear="all"/>
      </w:r>
      <w:bookmarkStart w:id="193" w:name="_Toc13419"/>
      <w:r/>
      <w:bookmarkStart w:id="194" w:name="_Toc514054490"/>
      <w:r/>
      <w:bookmarkStart w:id="195" w:name="_Toc467_WPSOffice_Level2"/>
      <w:r/>
      <w:bookmarkStart w:id="196" w:name="_Toc19673"/>
      <w:r/>
      <w:bookmarkStart w:id="197" w:name="_Toc10808"/>
      <w:r/>
      <w:bookmarkStart w:id="198" w:name="_Toc514054491"/>
      <w:r/>
      <w:bookmarkStart w:id="199" w:name="_Toc5571_WPSOffice_Level2"/>
      <w:r>
        <w:rPr>
          <w:rFonts w:hint="eastAsia" w:ascii="宋体" w:hAnsi="宋体" w:eastAsia="黑体" w:cs="Arial"/>
          <w:b/>
          <w:bCs/>
          <w:color w:val="auto"/>
          <w:sz w:val="32"/>
          <w:highlight w:val="none"/>
        </w:rPr>
        <w:t xml:space="preserve">五、</w:t>
      </w:r>
      <w:bookmarkEnd w:id="193"/>
      <w:r/>
      <w:bookmarkEnd w:id="194"/>
      <w:r/>
      <w:bookmarkEnd w:id="195"/>
      <w:r>
        <w:rPr>
          <w:rFonts w:hint="eastAsia" w:ascii="宋体" w:hAnsi="宋体" w:eastAsia="黑体" w:cs="Arial"/>
          <w:b/>
          <w:bCs/>
          <w:color w:val="auto"/>
          <w:sz w:val="32"/>
          <w:highlight w:val="none"/>
        </w:rPr>
        <w:t xml:space="preserve">有依法缴纳税收和社会保障资金的良好记录</w:t>
      </w:r>
      <w:r/>
    </w:p>
    <w:p>
      <w:pPr>
        <w:pStyle w:val="1365"/>
        <w:rPr>
          <w:color w:val="auto"/>
          <w:highlight w:val="none"/>
        </w:rPr>
      </w:pPr>
      <w:r>
        <w:rPr>
          <w:rFonts w:hint="eastAsia" w:ascii="宋体"/>
          <w:bCs/>
          <w:color w:val="auto"/>
          <w:szCs w:val="32"/>
          <w:highlight w:val="none"/>
        </w:rPr>
        <w:t xml:space="preserve">提供符合招标文件要求的资料</w:t>
      </w:r>
      <w:r/>
    </w:p>
    <w:p>
      <w:pPr>
        <w:rPr>
          <w:rFonts w:ascii="黑体" w:hAnsi="黑体" w:eastAsia="黑体"/>
          <w:color w:val="auto"/>
          <w:sz w:val="32"/>
          <w:highlight w:val="none"/>
        </w:rPr>
      </w:pPr>
      <w:r>
        <w:rPr>
          <w:color w:val="auto"/>
          <w:highlight w:val="none"/>
        </w:rPr>
        <w:br w:type="page" w:clear="all"/>
      </w:r>
      <w:r/>
    </w:p>
    <w:p>
      <w:pPr>
        <w:pStyle w:val="1167"/>
        <w:rPr>
          <w:color w:val="auto"/>
          <w:highlight w:val="none"/>
        </w:rPr>
        <w:outlineLvl w:val="1"/>
      </w:pPr>
      <w:r/>
      <w:bookmarkStart w:id="200" w:name="_Toc12145"/>
      <w:r/>
      <w:bookmarkStart w:id="201" w:name="_Toc25541"/>
      <w:r/>
      <w:bookmarkStart w:id="202" w:name="_Toc164203468"/>
      <w:r/>
      <w:bookmarkStart w:id="203" w:name="_Toc16607"/>
      <w:r>
        <w:rPr>
          <w:color w:val="auto"/>
          <w:highlight w:val="none"/>
        </w:rPr>
        <w:t xml:space="preserve">六、无重大违法行为声明</w:t>
      </w:r>
      <w:bookmarkEnd w:id="196"/>
      <w:r/>
      <w:bookmarkEnd w:id="197"/>
      <w:r/>
      <w:bookmarkEnd w:id="198"/>
      <w:r/>
      <w:bookmarkEnd w:id="199"/>
      <w:r/>
      <w:bookmarkEnd w:id="200"/>
      <w:r/>
      <w:bookmarkEnd w:id="201"/>
      <w:r/>
      <w:bookmarkEnd w:id="202"/>
      <w:r/>
      <w:bookmarkEnd w:id="203"/>
      <w:r/>
      <w:r/>
    </w:p>
    <w:p>
      <w:pPr>
        <w:pStyle w:val="1363"/>
        <w:jc w:val="center"/>
        <w:spacing w:line="580" w:lineRule="exact"/>
        <w:tabs>
          <w:tab w:val="left" w:pos="1498" w:leader="none"/>
        </w:tabs>
        <w:rPr>
          <w:b/>
          <w:color w:val="auto"/>
          <w:sz w:val="32"/>
          <w:szCs w:val="32"/>
          <w:highlight w:val="none"/>
        </w:rPr>
      </w:pPr>
      <w:r/>
      <w:bookmarkStart w:id="204" w:name="_Toc7575_WPSOffice_Level2"/>
      <w:r>
        <w:rPr>
          <w:rFonts w:hint="eastAsia"/>
          <w:b/>
          <w:color w:val="auto"/>
          <w:sz w:val="32"/>
          <w:szCs w:val="32"/>
          <w:highlight w:val="none"/>
        </w:rPr>
        <w:t xml:space="preserve">无重大违法行为声明</w:t>
      </w:r>
      <w:bookmarkEnd w:id="204"/>
      <w:r/>
      <w:r/>
    </w:p>
    <w:p>
      <w:pPr>
        <w:pStyle w:val="1363"/>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3"/>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3"/>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31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3"/>
        <w:rPr>
          <w:rFonts w:cs="黑体"/>
          <w:color w:val="auto"/>
          <w:spacing w:val="-1"/>
          <w:sz w:val="36"/>
          <w:szCs w:val="36"/>
          <w:highlight w:val="none"/>
        </w:rPr>
        <w:outlineLvl w:val="1"/>
      </w:pPr>
      <w:r>
        <w:rPr>
          <w:color w:val="auto"/>
          <w:highlight w:val="none"/>
        </w:rPr>
        <w:br w:type="page" w:clear="all"/>
      </w:r>
      <w:bookmarkStart w:id="205" w:name="_Toc514054487"/>
      <w:r/>
      <w:bookmarkStart w:id="206" w:name="_Toc30260_WPSOffice_Level2"/>
      <w:r/>
      <w:bookmarkStart w:id="207" w:name="_Toc20784"/>
      <w:r/>
      <w:bookmarkStart w:id="208" w:name="_Toc30396"/>
      <w:r>
        <w:rPr>
          <w:rFonts w:hint="eastAsia"/>
          <w:color w:val="auto"/>
          <w:highlight w:val="none"/>
        </w:rPr>
        <w:t xml:space="preserve">七、</w:t>
      </w:r>
      <w:bookmarkEnd w:id="205"/>
      <w:r/>
      <w:bookmarkEnd w:id="206"/>
      <w:r>
        <w:rPr>
          <w:rFonts w:hint="eastAsia"/>
          <w:color w:val="auto"/>
          <w:highlight w:val="none"/>
        </w:rPr>
        <w:t xml:space="preserve">南京市政府采购供应商信用记录表暨信用承诺书</w:t>
      </w:r>
      <w:bookmarkEnd w:id="207"/>
      <w:r/>
      <w:r/>
    </w:p>
    <w:p>
      <w:pPr>
        <w:pStyle w:val="1242"/>
        <w:rPr>
          <w:rFonts w:cs="黑体"/>
          <w:color w:val="auto"/>
          <w:spacing w:val="-1"/>
          <w:sz w:val="36"/>
          <w:szCs w:val="36"/>
          <w:highlight w:val="none"/>
        </w:rPr>
      </w:pPr>
      <w:r>
        <w:rPr>
          <w:rFonts w:cs="黑体"/>
          <w:color w:val="auto"/>
          <w:spacing w:val="-1"/>
          <w:sz w:val="36"/>
          <w:szCs w:val="36"/>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79"/>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7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209" w:name="_Toc26015"/>
      <w:r/>
      <w:r/>
    </w:p>
    <w:p>
      <w:pPr>
        <w:pStyle w:val="1242"/>
        <w:numPr>
          <w:ilvl w:val="0"/>
          <w:numId w:val="10"/>
        </w:num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42"/>
        <w:rPr>
          <w:rFonts w:ascii="仿宋" w:hAnsi="仿宋" w:eastAsia="仿宋" w:cs="仿宋"/>
          <w:bCs/>
          <w:color w:val="auto"/>
          <w:sz w:val="24"/>
          <w:highlight w:val="none"/>
        </w:rPr>
      </w:pPr>
      <w:r>
        <w:rPr>
          <w:rFonts w:ascii="仿宋" w:hAnsi="仿宋" w:eastAsia="仿宋" w:cs="仿宋"/>
          <w:bCs/>
          <w:color w:val="auto"/>
          <w:sz w:val="24"/>
          <w:highlight w:val="none"/>
        </w:rPr>
      </w:r>
      <w:r/>
    </w:p>
    <w:p>
      <w:pPr>
        <w:pStyle w:val="1242"/>
        <w:numPr>
          <w:ilvl w:val="0"/>
          <w:numId w:val="11"/>
        </w:num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209"/>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7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79"/>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242"/>
        <w:numPr>
          <w:ilvl w:val="0"/>
          <w:numId w:val="11"/>
        </w:numPr>
        <w:rPr>
          <w:rFonts w:ascii="仿宋" w:hAnsi="仿宋" w:eastAsia="仿宋" w:cs="仿宋"/>
          <w:bCs/>
          <w:color w:val="auto"/>
          <w:sz w:val="24"/>
          <w:highlight w:val="none"/>
        </w:rPr>
      </w:pPr>
      <w:r/>
      <w:bookmarkStart w:id="210" w:name="_Toc24679"/>
      <w:r>
        <w:rPr>
          <w:rFonts w:hint="eastAsia" w:ascii="仿宋" w:hAnsi="仿宋" w:eastAsia="仿宋" w:cs="仿宋"/>
          <w:bCs/>
          <w:color w:val="auto"/>
          <w:sz w:val="24"/>
          <w:highlight w:val="none"/>
        </w:rPr>
        <w:t xml:space="preserve">违反信用承诺的法律责任</w:t>
      </w:r>
      <w:bookmarkEnd w:id="210"/>
      <w:r>
        <w:rPr>
          <w:rFonts w:hint="eastAsia" w:ascii="仿宋" w:hAnsi="仿宋" w:eastAsia="仿宋" w:cs="仿宋"/>
          <w:bCs/>
          <w:color w:val="auto"/>
          <w:sz w:val="24"/>
          <w:highlight w:val="none"/>
        </w:rPr>
        <w:t xml:space="preserve"> </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79"/>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242"/>
        <w:numPr>
          <w:ilvl w:val="0"/>
          <w:numId w:val="11"/>
        </w:num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308"/>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szCs w:val="24"/>
          <w:highlight w:val="none"/>
        </w:rPr>
      </w:pPr>
      <w:r/>
      <w:bookmarkStart w:id="211" w:name="_Toc19202"/>
      <w:r>
        <w:rPr>
          <w:rFonts w:hint="eastAsia" w:ascii="仿宋" w:hAnsi="仿宋" w:eastAsia="仿宋" w:cs="仿宋"/>
          <w:color w:val="auto"/>
          <w:sz w:val="24"/>
          <w:szCs w:val="24"/>
          <w:highlight w:val="none"/>
        </w:rPr>
        <w:br w:type="page" w:clear="all"/>
      </w:r>
      <w:r/>
    </w:p>
    <w:p>
      <w:pPr>
        <w:pStyle w:val="1123"/>
        <w:rPr>
          <w:color w:val="auto"/>
          <w:highlight w:val="none"/>
        </w:rPr>
        <w:outlineLvl w:val="1"/>
      </w:pPr>
      <w:r>
        <w:rPr>
          <w:rFonts w:hint="eastAsia"/>
          <w:color w:val="auto"/>
          <w:highlight w:val="none"/>
        </w:rPr>
        <w:t xml:space="preserve">八、承诺函</w:t>
      </w:r>
      <w:r/>
    </w:p>
    <w:p>
      <w:pPr>
        <w:rPr>
          <w:color w:val="auto"/>
          <w:highlight w:val="none"/>
        </w:rPr>
      </w:pPr>
      <w:r>
        <w:rPr>
          <w:color w:val="auto"/>
          <w:highlight w:val="none"/>
        </w:rPr>
      </w:r>
      <w:r/>
    </w:p>
    <w:p>
      <w:pPr>
        <w:rPr>
          <w:color w:val="auto"/>
          <w:highlight w:val="none"/>
        </w:rPr>
      </w:pPr>
      <w:r>
        <w:rPr>
          <w:color w:val="auto"/>
          <w:highlight w:val="none"/>
        </w:rPr>
      </w:r>
      <w:r/>
    </w:p>
    <w:p>
      <w:pPr>
        <w:pStyle w:val="1162"/>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62"/>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62"/>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162"/>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62"/>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 </w:t>
      </w:r>
      <w:r/>
    </w:p>
    <w:p>
      <w:pPr>
        <w:pStyle w:val="1162"/>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62"/>
        <w:spacing w:line="360" w:lineRule="auto"/>
        <w:rPr>
          <w:rFonts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7"/>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67"/>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2"/>
        <w:spacing w:line="520" w:lineRule="exact"/>
        <w:rPr>
          <w:rFonts w:hAnsi="宋体" w:cs="宋体"/>
          <w:b/>
          <w:color w:val="auto"/>
          <w:sz w:val="32"/>
          <w:szCs w:val="24"/>
          <w:highlight w:val="none"/>
        </w:rPr>
      </w:pPr>
      <w:r>
        <w:rPr>
          <w:rFonts w:hint="eastAsia" w:hAnsi="宋体" w:cs="宋体"/>
          <w:b/>
          <w:color w:val="auto"/>
          <w:sz w:val="32"/>
          <w:szCs w:val="24"/>
          <w:highlight w:val="none"/>
        </w:rPr>
        <w:t xml:space="preserve">九、投标文件签署、盖章齐全完整</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140"/>
        <w:jc w:val="center"/>
        <w:spacing w:line="600" w:lineRule="exact"/>
        <w:rPr>
          <w:rFonts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40"/>
        <w:spacing w:line="600" w:lineRule="exact"/>
        <w:rPr>
          <w:rFonts w:ascii="宋体" w:hAnsi="宋体" w:cs="宋体"/>
          <w:color w:val="auto"/>
          <w:sz w:val="24"/>
          <w:highlight w:val="none"/>
          <w:u w:val="single"/>
        </w:rPr>
      </w:pPr>
      <w:r>
        <w:rPr>
          <w:rFonts w:ascii="宋体" w:hAnsi="宋体" w:cs="宋体"/>
          <w:color w:val="auto"/>
          <w:sz w:val="24"/>
          <w:highlight w:val="none"/>
          <w:u w:val="single"/>
        </w:rPr>
      </w:r>
      <w:r/>
    </w:p>
    <w:p>
      <w:pPr>
        <w:pStyle w:val="1140"/>
        <w:spacing w:line="600" w:lineRule="exac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40"/>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40"/>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0"/>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40"/>
        <w:ind w:firstLine="480"/>
        <w:spacing w:line="6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67"/>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72"/>
        <w:jc w:val="right"/>
        <w:spacing w:line="52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pStyle w:val="1363"/>
        <w:rPr>
          <w:rFonts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十、对实质性条款的响应性</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140"/>
        <w:jc w:val="center"/>
        <w:spacing w:line="600" w:lineRule="exact"/>
        <w:rPr>
          <w:rFonts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40"/>
        <w:spacing w:line="600" w:lineRule="exact"/>
        <w:rPr>
          <w:rFonts w:ascii="宋体" w:hAnsi="宋体" w:cs="宋体"/>
          <w:color w:val="auto"/>
          <w:sz w:val="24"/>
          <w:highlight w:val="none"/>
          <w:u w:val="single"/>
        </w:rPr>
      </w:pPr>
      <w:r>
        <w:rPr>
          <w:rFonts w:ascii="宋体" w:hAnsi="宋体" w:cs="宋体"/>
          <w:color w:val="auto"/>
          <w:sz w:val="24"/>
          <w:highlight w:val="none"/>
          <w:u w:val="single"/>
        </w:rPr>
      </w:r>
      <w:r/>
    </w:p>
    <w:p>
      <w:pPr>
        <w:pStyle w:val="1140"/>
        <w:spacing w:line="600" w:lineRule="exact"/>
        <w:rPr>
          <w:rFonts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40"/>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40"/>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40"/>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40"/>
        <w:ind w:firstLine="480"/>
        <w:spacing w:line="600" w:lineRule="exact"/>
        <w:rPr>
          <w:rFonts w:ascii="宋体" w:hAnsi="宋体" w:cs="宋体"/>
          <w:bCs/>
          <w:color w:val="auto"/>
          <w:sz w:val="24"/>
          <w:szCs w:val="20"/>
          <w:highlight w:val="none"/>
        </w:rPr>
      </w:pPr>
      <w:r>
        <w:rPr>
          <w:rFonts w:ascii="宋体" w:hAnsi="宋体" w:cs="宋体"/>
          <w:bCs/>
          <w:color w:val="auto"/>
          <w:sz w:val="24"/>
          <w:szCs w:val="20"/>
          <w:highlight w:val="none"/>
        </w:rPr>
      </w:r>
      <w:r/>
    </w:p>
    <w:p>
      <w:pPr>
        <w:pStyle w:val="1167"/>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67"/>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7"/>
        <w:jc w:val="both"/>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23"/>
        <w:rPr>
          <w:color w:val="auto"/>
          <w:highlight w:val="none"/>
        </w:rPr>
        <w:outlineLvl w:val="1"/>
      </w:pPr>
      <w:r/>
      <w:bookmarkStart w:id="212" w:name="_Toc20806"/>
      <w:r/>
      <w:bookmarkStart w:id="213" w:name="_Toc164203469"/>
      <w:r/>
      <w:bookmarkStart w:id="214" w:name="_Toc28775"/>
      <w:r/>
      <w:bookmarkStart w:id="215" w:name="_Toc26700"/>
      <w:r>
        <w:rPr>
          <w:rFonts w:hint="eastAsia"/>
          <w:color w:val="auto"/>
          <w:highlight w:val="none"/>
        </w:rPr>
        <w:t xml:space="preserve">十一</w:t>
      </w:r>
      <w:r>
        <w:rPr>
          <w:color w:val="auto"/>
          <w:highlight w:val="none"/>
        </w:rPr>
        <w:t xml:space="preserve">、投标函</w:t>
      </w:r>
      <w:bookmarkEnd w:id="208"/>
      <w:r/>
      <w:bookmarkEnd w:id="211"/>
      <w:r/>
      <w:bookmarkEnd w:id="212"/>
      <w:r/>
      <w:bookmarkEnd w:id="213"/>
      <w:r/>
      <w:bookmarkEnd w:id="214"/>
      <w:r/>
      <w:bookmarkEnd w:id="215"/>
      <w:r/>
      <w:r/>
    </w:p>
    <w:p>
      <w:pPr>
        <w:pStyle w:val="1202"/>
        <w:spacing w:line="580" w:lineRule="exact"/>
        <w:tabs>
          <w:tab w:val="left" w:pos="1498" w:leader="none"/>
        </w:tabs>
        <w:rPr>
          <w:rFonts w:ascii="仿宋_GB2312" w:eastAsia="仿宋_GB2312"/>
          <w:color w:val="auto"/>
          <w:sz w:val="24"/>
          <w:szCs w:val="22"/>
          <w:highlight w:val="none"/>
        </w:rPr>
      </w:pPr>
      <w:r/>
      <w:bookmarkStart w:id="216" w:name="_Toc19604"/>
      <w:r/>
      <w:bookmarkStart w:id="21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2"/>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3"/>
        <w:rPr>
          <w:color w:val="auto"/>
          <w:highlight w:val="none"/>
        </w:rPr>
        <w:outlineLvl w:val="1"/>
      </w:pPr>
      <w:r>
        <w:rPr>
          <w:rFonts w:hint="eastAsia" w:ascii="仿宋_GB2312" w:hAnsi="Times New Roman" w:eastAsia="仿宋_GB2312"/>
          <w:color w:val="auto"/>
          <w:sz w:val="24"/>
          <w:highlight w:val="none"/>
        </w:rPr>
        <w:br w:type="page" w:clear="all"/>
      </w:r>
      <w:bookmarkStart w:id="218" w:name="_Toc164203470"/>
      <w:r/>
      <w:bookmarkStart w:id="219" w:name="_Toc14010"/>
      <w:r/>
      <w:bookmarkStart w:id="220" w:name="_Toc10914"/>
      <w:r/>
      <w:bookmarkStart w:id="221" w:name="_Toc12153"/>
      <w:r>
        <w:rPr>
          <w:rFonts w:hint="eastAsia"/>
          <w:color w:val="auto"/>
          <w:highlight w:val="none"/>
        </w:rPr>
        <w:t xml:space="preserve">十二、法定代表人身份证明或授权委托书</w:t>
      </w:r>
      <w:bookmarkEnd w:id="216"/>
      <w:r/>
      <w:bookmarkEnd w:id="217"/>
      <w:r/>
      <w:bookmarkEnd w:id="218"/>
      <w:r/>
      <w:bookmarkEnd w:id="219"/>
      <w:r/>
      <w:bookmarkEnd w:id="220"/>
      <w:r/>
      <w:bookmarkEnd w:id="221"/>
      <w:r/>
      <w:r/>
    </w:p>
    <w:p>
      <w:pPr>
        <w:pStyle w:val="136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7"/>
        <w:spacing w:line="480" w:lineRule="exact"/>
        <w:rPr>
          <w:rFonts w:eastAsia="仿宋_GB2312"/>
          <w:color w:val="auto"/>
          <w:sz w:val="24"/>
          <w:highlight w:val="none"/>
        </w:rPr>
      </w:pPr>
      <w:r>
        <w:rPr>
          <w:rFonts w:eastAsia="仿宋_GB2312"/>
          <w:color w:val="auto"/>
          <w:sz w:val="24"/>
          <w:highlight w:val="none"/>
        </w:rPr>
      </w:r>
      <w:r/>
    </w:p>
    <w:p>
      <w:pPr>
        <w:pStyle w:val="126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7"/>
        <w:jc w:val="right"/>
        <w:spacing w:line="480" w:lineRule="exact"/>
        <w:rPr>
          <w:rFonts w:eastAsia="仿宋_GB2312"/>
          <w:color w:val="auto"/>
          <w:sz w:val="24"/>
          <w:highlight w:val="none"/>
        </w:rPr>
      </w:pPr>
      <w:r>
        <w:rPr>
          <w:rFonts w:eastAsia="仿宋_GB2312"/>
          <w:color w:val="auto"/>
          <w:sz w:val="24"/>
          <w:highlight w:val="none"/>
        </w:rPr>
      </w:r>
      <w:r/>
    </w:p>
    <w:p>
      <w:pPr>
        <w:pStyle w:val="1267"/>
        <w:jc w:val="right"/>
        <w:spacing w:line="480" w:lineRule="exact"/>
        <w:rPr>
          <w:rFonts w:eastAsia="仿宋_GB2312"/>
          <w:color w:val="auto"/>
          <w:sz w:val="24"/>
          <w:highlight w:val="none"/>
        </w:rPr>
      </w:pPr>
      <w:r>
        <w:rPr>
          <w:rFonts w:eastAsia="仿宋_GB2312"/>
          <w:color w:val="auto"/>
          <w:sz w:val="24"/>
          <w:highlight w:val="none"/>
        </w:rPr>
      </w:r>
      <w:r/>
    </w:p>
    <w:p>
      <w:pPr>
        <w:pStyle w:val="139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28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ascii="仿宋" w:hAnsi="仿宋" w:eastAsia="仿宋" w:cs="仿宋"/>
          <w:color w:val="auto"/>
          <w:sz w:val="24"/>
          <w:szCs w:val="24"/>
          <w:highlight w:val="none"/>
        </w:rPr>
      </w:pPr>
      <w:r/>
      <w:bookmarkStart w:id="222" w:name="_Toc24999"/>
      <w:r/>
      <w:bookmarkStart w:id="223" w:name="_Toc6146"/>
      <w:r/>
      <w:bookmarkStart w:id="224" w:name="_Toc18616"/>
      <w:r/>
      <w:bookmarkStart w:id="225" w:name="_Toc164203471"/>
      <w:r/>
      <w:bookmarkStart w:id="226" w:name="_Toc5779"/>
      <w:r/>
      <w:bookmarkStart w:id="227"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9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6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      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jc w:val="center"/>
        <w:spacing w:line="500" w:lineRule="exac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color w:val="auto"/>
          <w:sz w:val="24"/>
          <w:szCs w:val="24"/>
          <w:highlight w:val="none"/>
        </w:rPr>
        <w:outlineLvl w:val="0"/>
      </w:pPr>
      <w:r/>
      <w:bookmarkStart w:id="228" w:name="_Toc29285"/>
      <w:r>
        <w:rPr>
          <w:rFonts w:hint="eastAsia" w:ascii="仿宋" w:hAnsi="仿宋" w:eastAsia="仿宋" w:cs="仿宋"/>
          <w:color w:val="auto"/>
          <w:sz w:val="24"/>
          <w:szCs w:val="24"/>
          <w:highlight w:val="none"/>
        </w:rPr>
        <w:t xml:space="preserve">注：</w:t>
      </w:r>
      <w:bookmarkEnd w:id="228"/>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2"/>
        <w:jc w:val="both"/>
        <w:rPr>
          <w:rFonts w:ascii="仿宋" w:hAnsi="仿宋" w:eastAsia="仿宋" w:cs="仿宋"/>
          <w:color w:val="auto"/>
          <w:sz w:val="24"/>
          <w:highlight w:val="none"/>
        </w:rPr>
        <w:outlineLvl w:val="1"/>
      </w:pPr>
      <w:r>
        <w:rPr>
          <w:rFonts w:ascii="仿宋" w:hAnsi="仿宋" w:eastAsia="仿宋" w:cs="仿宋"/>
          <w:color w:val="auto"/>
          <w:sz w:val="24"/>
          <w:highlight w:val="none"/>
        </w:rPr>
      </w:r>
      <w:r/>
    </w:p>
    <w:p>
      <w:pPr>
        <w:pStyle w:val="1272"/>
        <w:jc w:val="both"/>
        <w:rPr>
          <w:color w:val="auto"/>
          <w:highlight w:val="none"/>
        </w:rPr>
        <w:outlineLvl w:val="1"/>
      </w:pPr>
      <w:r>
        <w:rPr>
          <w:color w:val="auto"/>
          <w:highlight w:val="none"/>
        </w:rPr>
      </w:r>
      <w:r/>
    </w:p>
    <w:p>
      <w:pPr>
        <w:pStyle w:val="1272"/>
        <w:jc w:val="both"/>
        <w:rPr>
          <w:color w:val="auto"/>
          <w:highlight w:val="none"/>
        </w:rPr>
        <w:outlineLvl w:val="1"/>
      </w:pPr>
      <w:r>
        <w:rPr>
          <w:color w:val="auto"/>
          <w:highlight w:val="none"/>
        </w:rPr>
      </w:r>
      <w:r/>
    </w:p>
    <w:p>
      <w:pPr>
        <w:pStyle w:val="1272"/>
        <w:jc w:val="both"/>
        <w:rPr>
          <w:color w:val="auto"/>
          <w:highlight w:val="none"/>
        </w:rPr>
        <w:outlineLvl w:val="1"/>
      </w:pPr>
      <w:r>
        <w:rPr>
          <w:rFonts w:hint="eastAsia"/>
          <w:color w:val="auto"/>
          <w:highlight w:val="none"/>
        </w:rPr>
        <w:t xml:space="preserve">十三</w:t>
      </w:r>
      <w:r>
        <w:rPr>
          <w:color w:val="auto"/>
          <w:highlight w:val="none"/>
        </w:rPr>
        <w:t xml:space="preserve">、开标一览表</w:t>
      </w:r>
      <w:bookmarkEnd w:id="222"/>
      <w:r/>
      <w:bookmarkEnd w:id="223"/>
      <w:r/>
      <w:bookmarkEnd w:id="224"/>
      <w:r/>
      <w:bookmarkEnd w:id="225"/>
      <w:r/>
      <w:bookmarkEnd w:id="226"/>
      <w:r/>
      <w:bookmarkEnd w:id="227"/>
      <w:r/>
      <w:r/>
    </w:p>
    <w:p>
      <w:pPr>
        <w:pStyle w:val="1129"/>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9"/>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rPr>
                <w:color w:val="auto"/>
                <w:highlight w:val="none"/>
              </w:rPr>
            </w:pPr>
            <w:r>
              <w:rPr>
                <w:rFonts w:hint="eastAsia"/>
                <w:color w:val="auto"/>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spacing w:line="0" w:lineRule="atLeast"/>
              <w:rPr>
                <w:color w:val="auto"/>
                <w:highlight w:val="none"/>
              </w:rPr>
            </w:pPr>
            <w:r>
              <w:rPr>
                <w:rFonts w:hint="eastAsia"/>
                <w:color w:val="auto"/>
                <w:highlight w:val="none"/>
              </w:rPr>
              <w:t xml:space="preserve">小写：                 （人民币：元）</w:t>
            </w:r>
            <w:r/>
          </w:p>
        </w:tc>
      </w:tr>
    </w:tbl>
    <w:p>
      <w:pPr>
        <w:pStyle w:val="1129"/>
        <w:spacing w:line="360" w:lineRule="auto"/>
        <w:rPr>
          <w:color w:val="auto"/>
          <w:highlight w:val="none"/>
        </w:rPr>
      </w:pPr>
      <w:r>
        <w:rPr>
          <w:color w:val="auto"/>
          <w:highlight w:val="none"/>
        </w:rPr>
      </w:r>
      <w:r/>
    </w:p>
    <w:p>
      <w:pPr>
        <w:pStyle w:val="1129"/>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3"/>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3"/>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jc w:val="left"/>
        <w:widowControl/>
        <w:rPr>
          <w:rFonts w:ascii="黑体" w:hAnsi="黑体" w:eastAsia="黑体"/>
          <w:b/>
          <w:color w:val="auto"/>
          <w:sz w:val="32"/>
          <w:szCs w:val="24"/>
          <w:highlight w:val="none"/>
        </w:rPr>
      </w:pPr>
      <w:r/>
      <w:bookmarkStart w:id="229" w:name="_Toc31564"/>
      <w:r/>
      <w:bookmarkStart w:id="230" w:name="_Toc8851"/>
      <w:r/>
      <w:bookmarkStart w:id="231" w:name="_Toc24436"/>
      <w:r/>
      <w:bookmarkStart w:id="232" w:name="_Toc4471"/>
      <w:r/>
      <w:bookmarkStart w:id="233" w:name="_Toc164203472"/>
      <w:r>
        <w:rPr>
          <w:rFonts w:hint="eastAsia"/>
          <w:color w:val="auto"/>
          <w:highlight w:val="none"/>
        </w:rPr>
        <w:br w:type="page" w:clear="all"/>
      </w:r>
      <w:r/>
    </w:p>
    <w:p>
      <w:pPr>
        <w:pStyle w:val="1293"/>
        <w:rPr>
          <w:color w:val="auto"/>
          <w:highlight w:val="none"/>
        </w:rPr>
        <w:outlineLvl w:val="1"/>
      </w:pPr>
      <w:r/>
      <w:bookmarkStart w:id="234" w:name="_Toc7189"/>
      <w:r>
        <w:rPr>
          <w:color w:val="auto"/>
          <w:highlight w:val="none"/>
        </w:rPr>
        <w:t xml:space="preserve">十</w:t>
      </w:r>
      <w:r>
        <w:rPr>
          <w:rFonts w:hint="eastAsia"/>
          <w:color w:val="auto"/>
          <w:highlight w:val="none"/>
        </w:rPr>
        <w:t xml:space="preserve">四</w:t>
      </w:r>
      <w:r>
        <w:rPr>
          <w:color w:val="auto"/>
          <w:highlight w:val="none"/>
        </w:rPr>
        <w:t xml:space="preserve">、明细报价表</w:t>
      </w:r>
      <w:bookmarkEnd w:id="229"/>
      <w:r/>
      <w:bookmarkEnd w:id="230"/>
      <w:r/>
      <w:bookmarkEnd w:id="231"/>
      <w:r/>
      <w:bookmarkEnd w:id="232"/>
      <w:r/>
      <w:bookmarkEnd w:id="233"/>
      <w:r/>
      <w:bookmarkEnd w:id="234"/>
      <w:r/>
      <w:r/>
    </w:p>
    <w:tbl>
      <w:tblPr>
        <w:tblStyle w:val="774"/>
        <w:tblW w:w="8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980"/>
      </w:tblGrid>
      <w:tr>
        <w:trPr>
          <w:cantSplit/>
          <w:jc w:val="center"/>
          <w:trHeight w:val="632"/>
        </w:trPr>
        <w:tc>
          <w:tcPr>
            <w:tcW w:w="656" w:type="dxa"/>
            <w:vAlign w:val="center"/>
            <w:textDirection w:val="lrTb"/>
            <w:noWrap w:val="false"/>
          </w:tcPr>
          <w:p>
            <w:pPr>
              <w:pStyle w:val="113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名称</w:t>
            </w:r>
            <w:r/>
          </w:p>
        </w:tc>
        <w:tc>
          <w:tcPr>
            <w:tcW w:w="2200" w:type="dxa"/>
            <w:vAlign w:val="center"/>
            <w:textDirection w:val="lrTb"/>
            <w:noWrap w:val="false"/>
          </w:tcPr>
          <w:p>
            <w:pPr>
              <w:pStyle w:val="113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单价（元</w:t>
            </w:r>
            <w:r>
              <w:rPr>
                <w:rFonts w:ascii="仿宋_GB2312" w:eastAsia="仿宋_GB2312"/>
                <w:color w:val="auto"/>
                <w:sz w:val="28"/>
                <w:szCs w:val="28"/>
                <w:highlight w:val="none"/>
              </w:rPr>
              <w:t xml:space="preserve">）</w:t>
            </w:r>
            <w:r/>
          </w:p>
        </w:tc>
        <w:tc>
          <w:tcPr>
            <w:tcW w:w="1103" w:type="dxa"/>
            <w:vAlign w:val="center"/>
            <w:textDirection w:val="lrTb"/>
            <w:noWrap w:val="false"/>
          </w:tcPr>
          <w:p>
            <w:pPr>
              <w:pStyle w:val="113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总价</w:t>
            </w:r>
            <w:r/>
          </w:p>
          <w:p>
            <w:pPr>
              <w:pStyle w:val="113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962" w:type="dxa"/>
            <w:vAlign w:val="center"/>
            <w:textDirection w:val="lrTb"/>
            <w:noWrap w:val="false"/>
          </w:tcPr>
          <w:p>
            <w:pPr>
              <w:pStyle w:val="113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980" w:type="dxa"/>
            <w:vAlign w:val="center"/>
            <w:textDirection w:val="lrTb"/>
            <w:noWrap w:val="false"/>
          </w:tcPr>
          <w:p>
            <w:pPr>
              <w:pStyle w:val="113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482"/>
        </w:trPr>
        <w:tc>
          <w:tcPr>
            <w:tcW w:w="656" w:type="dxa"/>
            <w:textDirection w:val="lrTb"/>
            <w:noWrap w:val="false"/>
          </w:tcPr>
          <w:p>
            <w:pPr>
              <w:pStyle w:val="1139"/>
              <w:jc w:val="center"/>
              <w:spacing w:line="560" w:lineRule="exact"/>
              <w:widowControl/>
              <w:rPr>
                <w:rFonts w:ascii="仿宋_GB2312" w:eastAsia="仿宋_GB2312"/>
                <w:color w:val="auto"/>
                <w:sz w:val="24"/>
                <w:highlight w:val="none"/>
              </w:rPr>
            </w:pPr>
            <w:r>
              <w:rPr>
                <w:rFonts w:hint="eastAsia" w:ascii="仿宋_GB2312" w:eastAsia="仿宋_GB2312"/>
                <w:color w:val="auto"/>
                <w:sz w:val="24"/>
                <w:highlight w:val="none"/>
              </w:rPr>
              <w:t xml:space="preserve">1</w:t>
            </w:r>
            <w:r/>
          </w:p>
        </w:tc>
        <w:tc>
          <w:tcPr>
            <w:tcW w:w="1793"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2"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980"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9"/>
              <w:jc w:val="center"/>
              <w:spacing w:line="560" w:lineRule="exact"/>
              <w:widowControl/>
              <w:rPr>
                <w:rFonts w:ascii="仿宋_GB2312" w:eastAsia="仿宋_GB2312"/>
                <w:color w:val="auto"/>
                <w:sz w:val="24"/>
                <w:highlight w:val="none"/>
              </w:rPr>
            </w:pPr>
            <w:r>
              <w:rPr>
                <w:rFonts w:hint="eastAsia" w:ascii="仿宋_GB2312" w:eastAsia="仿宋_GB2312"/>
                <w:color w:val="auto"/>
                <w:sz w:val="24"/>
                <w:highlight w:val="none"/>
              </w:rPr>
              <w:t xml:space="preserve">2</w:t>
            </w:r>
            <w:r/>
          </w:p>
        </w:tc>
        <w:tc>
          <w:tcPr>
            <w:tcW w:w="1793"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2"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980"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9"/>
              <w:jc w:val="center"/>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2"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980"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9"/>
              <w:jc w:val="center"/>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2" w:type="dxa"/>
            <w:textDirection w:val="lrTb"/>
            <w:noWrap w:val="false"/>
          </w:tcPr>
          <w:p>
            <w:pPr>
              <w:pStyle w:val="113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980"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9"/>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4"/>
            <w:tcW w:w="6058" w:type="dxa"/>
            <w:vAlign w:val="center"/>
            <w:textDirection w:val="lrTb"/>
            <w:noWrap w:val="false"/>
          </w:tcPr>
          <w:p>
            <w:pPr>
              <w:pStyle w:val="1139"/>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980" w:type="dxa"/>
            <w:vAlign w:val="center"/>
            <w:textDirection w:val="lrTb"/>
            <w:noWrap w:val="false"/>
          </w:tcPr>
          <w:p>
            <w:pPr>
              <w:pStyle w:val="113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3"/>
        <w:ind w:firstLine="629"/>
        <w:rPr>
          <w:rFonts w:ascii="仿宋_GB2312" w:eastAsia="仿宋_GB2312"/>
          <w:color w:val="auto"/>
          <w:sz w:val="24"/>
          <w:highlight w:val="none"/>
        </w:rPr>
      </w:pPr>
      <w:r>
        <w:rPr>
          <w:rFonts w:ascii="仿宋_GB2312" w:eastAsia="仿宋_GB2312"/>
          <w:color w:val="auto"/>
          <w:sz w:val="24"/>
          <w:highlight w:val="none"/>
        </w:rPr>
      </w:r>
      <w:r/>
    </w:p>
    <w:p>
      <w:pPr>
        <w:pStyle w:val="1133"/>
        <w:ind w:firstLine="560"/>
        <w:spacing w:line="40" w:lineRule="atLeast"/>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3"/>
        <w:ind w:firstLine="560"/>
        <w:spacing w:line="40" w:lineRule="atLeast"/>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ind w:firstLine="480"/>
        <w:spacing w:after="120" w:line="40" w:lineRule="atLeast"/>
        <w:tabs>
          <w:tab w:val="left" w:pos="840" w:leader="none"/>
        </w:tabs>
        <w:rPr>
          <w:rFonts w:hAnsi="宋体"/>
          <w:bCs/>
          <w:color w:val="auto"/>
          <w:sz w:val="24"/>
          <w:szCs w:val="28"/>
          <w:highlight w:val="none"/>
        </w:rPr>
      </w:pPr>
      <w:r/>
      <w:bookmarkStart w:id="235" w:name="_Toc10632"/>
      <w:r/>
      <w:bookmarkStart w:id="236" w:name="_Toc27976"/>
      <w:r/>
      <w:r/>
    </w:p>
    <w:p>
      <w:pPr>
        <w:ind w:firstLine="480"/>
        <w:spacing w:after="120" w:line="300" w:lineRule="auto"/>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spacing w:after="120" w:line="300" w:lineRule="auto"/>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1、“分项报价表”中“投标报价总计”金额应当与“开标一览表”中“投标报价”金额一致。</w:t>
      </w:r>
      <w:r/>
    </w:p>
    <w:p>
      <w:pPr>
        <w:ind w:firstLine="480"/>
        <w:spacing w:after="120" w:line="300" w:lineRule="auto"/>
        <w:tabs>
          <w:tab w:val="left" w:pos="840" w:leader="none"/>
        </w:tabs>
        <w:rPr>
          <w:rFonts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spacing w:after="120" w:line="300" w:lineRule="auto"/>
        <w:tabs>
          <w:tab w:val="left" w:pos="840" w:leader="none"/>
        </w:tabs>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pStyle w:val="810"/>
        <w:rPr>
          <w:rFonts w:hAnsi="宋体"/>
          <w:bCs/>
          <w:color w:val="auto"/>
          <w:highlight w:val="none"/>
        </w:rPr>
      </w:pPr>
      <w:r>
        <w:rPr>
          <w:rFonts w:hAnsi="宋体"/>
          <w:bCs/>
          <w:color w:val="auto"/>
          <w:highlight w:val="none"/>
        </w:rPr>
      </w:r>
      <w:r/>
    </w:p>
    <w:p>
      <w:pPr>
        <w:rPr>
          <w:color w:val="auto"/>
          <w:highlight w:val="none"/>
        </w:rPr>
      </w:pPr>
      <w:r/>
      <w:bookmarkStart w:id="237" w:name="_Toc22253"/>
      <w:r/>
      <w:bookmarkStart w:id="238" w:name="_Toc26570"/>
      <w:r/>
      <w:bookmarkStart w:id="239" w:name="_Toc18680"/>
      <w:r/>
      <w:bookmarkStart w:id="240" w:name="_Toc164203481"/>
      <w:r>
        <w:rPr>
          <w:color w:val="auto"/>
          <w:highlight w:val="none"/>
        </w:rPr>
        <w:br w:type="page" w:clear="all"/>
      </w:r>
      <w:r/>
    </w:p>
    <w:p>
      <w:pPr>
        <w:pStyle w:val="1293"/>
        <w:rPr>
          <w:color w:val="auto"/>
          <w:highlight w:val="none"/>
        </w:rPr>
        <w:outlineLvl w:val="1"/>
      </w:pPr>
      <w:r>
        <w:rPr>
          <w:color w:val="auto"/>
          <w:highlight w:val="none"/>
        </w:rPr>
        <w:t xml:space="preserve">十</w:t>
      </w:r>
      <w:r>
        <w:rPr>
          <w:rFonts w:hint="eastAsia"/>
          <w:color w:val="auto"/>
          <w:highlight w:val="none"/>
        </w:rPr>
        <w:t xml:space="preserve">五</w:t>
      </w:r>
      <w:r>
        <w:rPr>
          <w:color w:val="auto"/>
          <w:highlight w:val="none"/>
        </w:rPr>
        <w:t xml:space="preserve">、中小企业声明函</w:t>
      </w:r>
      <w:bookmarkEnd w:id="235"/>
      <w:r/>
      <w:bookmarkEnd w:id="236"/>
      <w:r/>
      <w:bookmarkEnd w:id="237"/>
      <w:r/>
      <w:bookmarkEnd w:id="238"/>
      <w:r/>
      <w:bookmarkEnd w:id="239"/>
      <w:r/>
      <w:bookmarkEnd w:id="240"/>
      <w:r/>
      <w:r/>
    </w:p>
    <w:p>
      <w:pPr>
        <w:contextualSpacing/>
        <w:ind w:firstLine="420"/>
        <w:jc w:val="center"/>
        <w:spacing w:line="360" w:lineRule="auto"/>
        <w:rPr>
          <w:rFonts w:hAnsi="宋体" w:cs="宋体"/>
          <w:bCs/>
          <w:color w:val="auto"/>
          <w:highlight w:val="none"/>
        </w:rPr>
      </w:pPr>
      <w:r/>
      <w:bookmarkStart w:id="241" w:name="_Toc12023"/>
      <w:r/>
      <w:bookmarkStart w:id="242"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本公司（联合体）郑重声明，根据《政府采购促进中小企业发展管理办法》（财库﹝2020﹞46 号）的规定，本公司（联合体）参加</w:t>
      </w:r>
      <w:r>
        <w:rPr>
          <w:rFonts w:hint="eastAsia" w:hAnsi="宋体" w:cs="宋体"/>
          <w:color w:val="auto"/>
          <w:highlight w:val="none"/>
          <w:u w:val="single"/>
        </w:rPr>
        <w:t xml:space="preserve">（单位名称）</w:t>
      </w:r>
      <w:r>
        <w:rPr>
          <w:rFonts w:hint="eastAsia" w:hAnsi="宋体" w:cs="宋体"/>
          <w:color w:val="auto"/>
          <w:highlight w:val="none"/>
        </w:rPr>
        <w:t xml:space="preserve">的</w:t>
      </w:r>
      <w:r>
        <w:rPr>
          <w:rFonts w:hint="eastAsia" w:hAnsi="宋体" w:cs="宋体"/>
          <w:color w:val="auto"/>
          <w:highlight w:val="none"/>
          <w:u w:val="single"/>
        </w:rPr>
        <w:t xml:space="preserve">（项目名称）</w:t>
      </w:r>
      <w:r>
        <w:rPr>
          <w:rFonts w:hint="eastAsia"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1. </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w:t>
      </w:r>
      <w:r>
        <w:rPr>
          <w:rFonts w:hint="eastAsia" w:hAnsi="宋体" w:cs="宋体"/>
          <w:color w:val="auto"/>
          <w:highlight w:val="none"/>
          <w:u w:val="single"/>
        </w:rPr>
        <w:t xml:space="preserve">  </w:t>
      </w:r>
      <w:r>
        <w:rPr>
          <w:rFonts w:hint="eastAsia" w:hAnsi="宋体" w:cs="宋体"/>
          <w:color w:val="auto"/>
          <w:highlight w:val="none"/>
        </w:rPr>
        <w:t xml:space="preserve">人，营业收入为</w:t>
      </w:r>
      <w:r>
        <w:rPr>
          <w:rFonts w:hint="eastAsia" w:hAnsi="宋体" w:cs="宋体"/>
          <w:color w:val="auto"/>
          <w:highlight w:val="none"/>
          <w:u w:val="single"/>
        </w:rPr>
        <w:t xml:space="preserve">    </w:t>
      </w:r>
      <w:r>
        <w:rPr>
          <w:rFonts w:hint="eastAsia" w:hAnsi="宋体" w:cs="宋体"/>
          <w:color w:val="auto"/>
          <w:highlight w:val="none"/>
        </w:rPr>
        <w:t xml:space="preserve">万元，资产总额为</w:t>
      </w:r>
      <w:r>
        <w:rPr>
          <w:rFonts w:hint="eastAsia" w:hAnsi="宋体" w:cs="宋体"/>
          <w:color w:val="auto"/>
          <w:highlight w:val="none"/>
          <w:u w:val="single"/>
        </w:rPr>
        <w:t xml:space="preserve">    </w:t>
      </w:r>
      <w:r>
        <w:rPr>
          <w:rFonts w:hint="eastAsia" w:hAnsi="宋体" w:cs="宋体"/>
          <w:color w:val="auto"/>
          <w:highlight w:val="none"/>
        </w:rPr>
        <w:t xml:space="preserve">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2. </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w:t>
      </w:r>
      <w:r>
        <w:rPr>
          <w:rFonts w:hint="eastAsia" w:hAnsi="宋体" w:cs="宋体"/>
          <w:color w:val="auto"/>
          <w:highlight w:val="none"/>
          <w:u w:val="single"/>
        </w:rPr>
        <w:t xml:space="preserve">  </w:t>
      </w:r>
      <w:r>
        <w:rPr>
          <w:rFonts w:hint="eastAsia" w:hAnsi="宋体" w:cs="宋体"/>
          <w:color w:val="auto"/>
          <w:highlight w:val="none"/>
        </w:rPr>
        <w:t xml:space="preserve">人，营业收入为</w:t>
      </w:r>
      <w:r>
        <w:rPr>
          <w:rFonts w:hint="eastAsia" w:hAnsi="宋体" w:cs="宋体"/>
          <w:color w:val="auto"/>
          <w:highlight w:val="none"/>
          <w:u w:val="single"/>
        </w:rPr>
        <w:t xml:space="preserve">     </w:t>
      </w:r>
      <w:r>
        <w:rPr>
          <w:rFonts w:hint="eastAsia" w:hAnsi="宋体" w:cs="宋体"/>
          <w:color w:val="auto"/>
          <w:highlight w:val="none"/>
        </w:rPr>
        <w:t xml:space="preserve">万元，资产总额为</w:t>
      </w:r>
      <w:r>
        <w:rPr>
          <w:rFonts w:hint="eastAsia" w:hAnsi="宋体" w:cs="宋体"/>
          <w:color w:val="auto"/>
          <w:highlight w:val="none"/>
          <w:u w:val="single"/>
        </w:rPr>
        <w:t xml:space="preserve">   </w:t>
      </w:r>
      <w:r>
        <w:rPr>
          <w:rFonts w:hint="eastAsia" w:hAnsi="宋体" w:cs="宋体"/>
          <w:color w:val="auto"/>
          <w:highlight w:val="none"/>
        </w:rPr>
        <w:t xml:space="preserve">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本企业对上述声明内容的真实性负责。如有虚假，将依法承担相应责任。</w:t>
      </w:r>
      <w:r/>
    </w:p>
    <w:p>
      <w:pPr>
        <w:contextualSpacing/>
        <w:ind w:firstLine="420"/>
        <w:jc w:val="left"/>
        <w:spacing w:line="360" w:lineRule="auto"/>
        <w:rPr>
          <w:rFonts w:hAnsi="宋体" w:cs="宋体"/>
          <w:color w:val="auto"/>
          <w:highlight w:val="none"/>
        </w:rPr>
      </w:pPr>
      <w:r>
        <w:rPr>
          <w:rFonts w:hAnsi="宋体" w:cs="宋体"/>
          <w:color w:val="auto"/>
          <w:highlight w:val="none"/>
        </w:rPr>
      </w:r>
      <w:r/>
    </w:p>
    <w:p>
      <w:pPr>
        <w:contextualSpacing/>
        <w:ind w:firstLine="420"/>
        <w:jc w:val="left"/>
        <w:spacing w:line="360" w:lineRule="auto"/>
        <w:rPr>
          <w:rFonts w:hAnsi="宋体" w:cs="宋体"/>
          <w:color w:val="auto"/>
          <w:highlight w:val="none"/>
        </w:rPr>
      </w:pPr>
      <w:r>
        <w:rPr>
          <w:rFonts w:hAnsi="宋体" w:cs="宋体"/>
          <w:color w:val="auto"/>
          <w:highlight w:val="none"/>
        </w:rPr>
      </w:r>
      <w:r/>
    </w:p>
    <w:p>
      <w:pPr>
        <w:pStyle w:val="779"/>
        <w:ind w:firstLine="6000"/>
        <w:spacing w:line="360" w:lineRule="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投标人名称（盖章）：</w:t>
      </w:r>
      <w:r/>
    </w:p>
    <w:p>
      <w:pPr>
        <w:pStyle w:val="779"/>
        <w:ind w:firstLine="6000"/>
        <w:spacing w:line="360" w:lineRule="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contextualSpacing/>
        <w:jc w:val="left"/>
        <w:spacing w:line="360" w:lineRule="auto"/>
        <w:rPr>
          <w:rFonts w:hAnsi="宋体" w:cs="宋体"/>
          <w:color w:val="auto"/>
          <w:highlight w:val="none"/>
        </w:rPr>
      </w:pPr>
      <w:r>
        <w:rPr>
          <w:rFonts w:hAnsi="宋体" w:cs="宋体"/>
          <w:color w:val="auto"/>
          <w:highlight w:val="none"/>
        </w:rPr>
      </w:r>
      <w:r/>
    </w:p>
    <w:p>
      <w:pPr>
        <w:contextualSpacing/>
        <w:ind w:firstLine="420"/>
        <w:jc w:val="left"/>
        <w:spacing w:line="360" w:lineRule="auto"/>
        <w:rPr>
          <w:rFonts w:hAnsi="宋体" w:cs="宋体"/>
          <w:color w:val="auto"/>
          <w:highlight w:val="none"/>
        </w:rPr>
      </w:pPr>
      <w:r>
        <w:rPr>
          <w:rFonts w:hAnsi="宋体" w:cs="宋体"/>
          <w:color w:val="auto"/>
          <w:highlight w:val="none"/>
        </w:rPr>
      </w:r>
      <w:r/>
    </w:p>
    <w:p>
      <w:pPr>
        <w:pStyle w:val="779"/>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73"/>
        <w:jc w:val="center"/>
        <w:spacing w:before="300" w:after="300" w:line="360" w:lineRule="auto"/>
        <w:widowControl/>
        <w:rPr>
          <w:rFonts w:ascii="宋体" w:hAnsi="宋体" w:cs="宋体"/>
          <w:color w:val="auto"/>
          <w:sz w:val="21"/>
          <w:szCs w:val="21"/>
          <w:highlight w:val="none"/>
        </w:rPr>
      </w:pPr>
      <w:r/>
      <w:bookmarkStart w:id="243" w:name="_Toc109304977"/>
      <w:r/>
      <w:bookmarkStart w:id="244" w:name="_Toc32196"/>
      <w:r>
        <w:rPr>
          <w:rFonts w:hint="eastAsia" w:ascii="宋体" w:hAnsi="宋体" w:cs="宋体"/>
          <w:color w:val="auto"/>
          <w:sz w:val="21"/>
          <w:szCs w:val="21"/>
          <w:highlight w:val="none"/>
        </w:rPr>
        <w:t xml:space="preserve">中小微企业划型标准</w:t>
      </w:r>
      <w:bookmarkEnd w:id="243"/>
      <w:r>
        <w:rPr>
          <w:rFonts w:hint="eastAsia" w:ascii="宋体" w:hAnsi="宋体" w:cs="宋体"/>
          <w:color w:val="auto"/>
          <w:sz w:val="21"/>
          <w:szCs w:val="21"/>
          <w:highlight w:val="none"/>
        </w:rPr>
        <w:t xml:space="preserve"> </w:t>
      </w:r>
      <w:bookmarkEnd w:id="244"/>
      <w:r/>
      <w:r/>
    </w:p>
    <w:p>
      <w:pPr>
        <w:pStyle w:val="1037"/>
        <w:ind w:firstLine="420"/>
        <w:spacing w:before="300" w:after="452"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中小微企业划型标准如下：</w:t>
      </w:r>
      <w:r/>
    </w:p>
    <w:tbl>
      <w:tblPr>
        <w:tblStyle w:val="77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Ansi="宋体" w:cs="宋体"/>
                <w:color w:val="auto"/>
                <w:sz w:val="21"/>
                <w:szCs w:val="21"/>
                <w:highlight w:val="none"/>
              </w:rPr>
            </w:pPr>
            <w:r>
              <w:rPr>
                <w:rStyle w:val="1045"/>
                <w:rFonts w:hint="eastAsia" w:hAnsi="宋体" w:cs="宋体"/>
                <w:color w:val="auto"/>
                <w:sz w:val="21"/>
                <w:szCs w:val="21"/>
                <w:highlight w:val="none"/>
              </w:rPr>
              <w:t xml:space="preserve">X＜10</w:t>
            </w:r>
            <w:r/>
          </w:p>
        </w:tc>
      </w:tr>
    </w:tbl>
    <w:p>
      <w:pPr>
        <w:pStyle w:val="1037"/>
        <w:ind w:firstLine="420"/>
        <w:spacing w:before="300" w:after="452" w:line="360" w:lineRule="auto"/>
        <w:rPr>
          <w:rStyle w:val="1045"/>
          <w:rFonts w:hAnsi="宋体" w:cs="宋体"/>
          <w:color w:val="auto"/>
          <w:sz w:val="21"/>
          <w:szCs w:val="21"/>
          <w:highlight w:val="none"/>
        </w:rPr>
      </w:pPr>
      <w:r>
        <w:rPr>
          <w:rStyle w:val="1045"/>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ascii="黑体" w:hAnsi="黑体" w:eastAsia="黑体"/>
          <w:b/>
          <w:color w:val="auto"/>
          <w:sz w:val="32"/>
          <w:szCs w:val="24"/>
          <w:highlight w:val="none"/>
        </w:rPr>
      </w:pPr>
      <w:r/>
      <w:bookmarkStart w:id="245" w:name="_Toc5876"/>
      <w:r/>
      <w:bookmarkEnd w:id="245"/>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ascii="黑体" w:hAnsi="黑体" w:eastAsia="黑体"/>
          <w:b/>
          <w:color w:val="auto"/>
          <w:sz w:val="32"/>
          <w:szCs w:val="24"/>
          <w:highlight w:val="none"/>
        </w:rPr>
      </w:pPr>
      <w:r>
        <w:rPr>
          <w:rFonts w:ascii="黑体" w:hAnsi="黑体" w:eastAsia="黑体"/>
          <w:b/>
          <w:color w:val="auto"/>
          <w:sz w:val="32"/>
          <w:szCs w:val="24"/>
          <w:highlight w:val="none"/>
        </w:rPr>
      </w:r>
      <w:r/>
    </w:p>
    <w:p>
      <w:pPr>
        <w:jc w:val="center"/>
        <w:rPr>
          <w:rFonts w:ascii="黑体" w:hAnsi="黑体" w:eastAsia="黑体"/>
          <w:b/>
          <w:color w:val="auto"/>
          <w:sz w:val="32"/>
          <w:szCs w:val="24"/>
          <w:highlight w:val="none"/>
        </w:rPr>
      </w:pPr>
      <w:r/>
      <w:bookmarkStart w:id="246" w:name="_Toc16386"/>
      <w:r/>
      <w:bookmarkEnd w:id="246"/>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ascii="黑体" w:hAnsi="黑体" w:eastAsia="黑体"/>
          <w:b/>
          <w:color w:val="auto"/>
          <w:sz w:val="32"/>
          <w:szCs w:val="24"/>
          <w:highlight w:val="none"/>
        </w:rPr>
      </w:pPr>
      <w:r/>
      <w:bookmarkStart w:id="247" w:name="_Toc1060"/>
      <w:r/>
      <w:bookmarkEnd w:id="247"/>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ascii="黑体" w:hAnsi="黑体" w:eastAsia="黑体"/>
          <w:color w:val="auto"/>
          <w:sz w:val="32"/>
          <w:highlight w:val="none"/>
        </w:rPr>
      </w:pPr>
      <w:r>
        <w:rPr>
          <w:color w:val="auto"/>
          <w:highlight w:val="none"/>
        </w:rPr>
        <w:br w:type="page" w:clear="all"/>
      </w:r>
      <w:r/>
    </w:p>
    <w:p>
      <w:pPr>
        <w:pStyle w:val="1260"/>
        <w:rPr>
          <w:color w:val="auto"/>
          <w:highlight w:val="none"/>
        </w:rPr>
        <w:outlineLvl w:val="1"/>
      </w:pPr>
      <w:r/>
      <w:bookmarkStart w:id="248" w:name="_Toc164203482"/>
      <w:r/>
      <w:bookmarkStart w:id="249" w:name="_Toc4596"/>
      <w:r/>
      <w:bookmarkStart w:id="250" w:name="_Toc356"/>
      <w:r/>
      <w:bookmarkStart w:id="251" w:name="_Toc15535"/>
      <w:r>
        <w:rPr>
          <w:rFonts w:hint="eastAsia"/>
          <w:color w:val="auto"/>
          <w:highlight w:val="none"/>
        </w:rPr>
        <w:t xml:space="preserve">十六、</w:t>
      </w:r>
      <w:r>
        <w:rPr>
          <w:color w:val="auto"/>
          <w:highlight w:val="none"/>
        </w:rPr>
        <w:t xml:space="preserve">响应偏差表</w:t>
      </w:r>
      <w:bookmarkEnd w:id="241"/>
      <w:r/>
      <w:bookmarkEnd w:id="242"/>
      <w:r/>
      <w:bookmarkEnd w:id="248"/>
      <w:r/>
      <w:bookmarkEnd w:id="249"/>
      <w:r/>
      <w:bookmarkEnd w:id="250"/>
      <w:r/>
      <w:bookmarkEnd w:id="251"/>
      <w:r/>
      <w:r/>
    </w:p>
    <w:p>
      <w:pPr>
        <w:pStyle w:val="1073"/>
        <w:jc w:val="center"/>
        <w:rPr>
          <w:color w:val="auto"/>
          <w:sz w:val="32"/>
          <w:szCs w:val="32"/>
          <w:highlight w:val="none"/>
        </w:rPr>
      </w:pPr>
      <w:r>
        <w:rPr>
          <w:rFonts w:hint="eastAsia"/>
          <w:color w:val="auto"/>
          <w:sz w:val="32"/>
          <w:szCs w:val="32"/>
          <w:highlight w:val="none"/>
        </w:rPr>
        <w:t xml:space="preserve">（一）技术响应偏差表</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3"/>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3"/>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072"/>
        <w:ind w:firstLine="482"/>
        <w:rPr>
          <w:rFonts w:hAnsi="宋体"/>
          <w:b/>
          <w:bCs/>
          <w:color w:val="auto"/>
          <w:sz w:val="24"/>
          <w:szCs w:val="28"/>
          <w:highlight w:val="none"/>
        </w:rPr>
      </w:pPr>
      <w:r>
        <w:rPr>
          <w:rFonts w:hAnsi="宋体"/>
          <w:b/>
          <w:bCs/>
          <w:color w:val="auto"/>
          <w:sz w:val="24"/>
          <w:szCs w:val="28"/>
          <w:highlight w:val="none"/>
        </w:rPr>
      </w:r>
      <w:r/>
    </w:p>
    <w:p>
      <w:pPr>
        <w:pStyle w:val="1398"/>
        <w:jc w:val="center"/>
        <w:rPr>
          <w:color w:val="auto"/>
          <w:highlight w:val="none"/>
        </w:rPr>
      </w:pPr>
      <w:r>
        <w:rPr>
          <w:rFonts w:hint="eastAsia" w:hAnsi="宋体"/>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52" w:name="_Toc8566"/>
      <w:r/>
      <w:bookmarkStart w:id="253" w:name="_Toc9396"/>
      <w:r>
        <w:rPr>
          <w:color w:val="auto"/>
          <w:highlight w:val="none"/>
        </w:rPr>
        <w:br w:type="page" w:clear="all"/>
      </w:r>
      <w:r/>
    </w:p>
    <w:p>
      <w:pPr>
        <w:pStyle w:val="1073"/>
        <w:jc w:val="center"/>
        <w:rPr>
          <w:color w:val="auto"/>
          <w:sz w:val="32"/>
          <w:szCs w:val="32"/>
          <w:highlight w:val="none"/>
        </w:rPr>
      </w:pPr>
      <w:r>
        <w:rPr>
          <w:rFonts w:hint="eastAsia"/>
          <w:color w:val="auto"/>
          <w:sz w:val="32"/>
          <w:szCs w:val="32"/>
          <w:highlight w:val="none"/>
        </w:rPr>
        <w:t xml:space="preserve">（二）投标商务偏离表</w:t>
      </w:r>
      <w:bookmarkEnd w:id="252"/>
      <w:r/>
      <w:bookmarkEnd w:id="253"/>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3"/>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3"/>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072"/>
        <w:ind w:firstLine="482"/>
        <w:rPr>
          <w:rFonts w:hAnsi="宋体"/>
          <w:b/>
          <w:bCs/>
          <w:color w:val="auto"/>
          <w:sz w:val="24"/>
          <w:szCs w:val="28"/>
          <w:highlight w:val="none"/>
        </w:rPr>
      </w:pPr>
      <w:r>
        <w:rPr>
          <w:rFonts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第五部分 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8"/>
        <w:rPr>
          <w:color w:val="auto"/>
          <w:highlight w:val="none"/>
        </w:rPr>
        <w:outlineLvl w:val="1"/>
      </w:pPr>
      <w:r>
        <w:rPr>
          <w:color w:val="auto"/>
          <w:highlight w:val="none"/>
        </w:rPr>
        <w:br w:type="page" w:clear="all"/>
      </w:r>
      <w:bookmarkStart w:id="254" w:name="_Toc26943"/>
      <w:r/>
      <w:bookmarkStart w:id="255" w:name="_Toc15828"/>
      <w:r/>
      <w:bookmarkEnd w:id="254"/>
      <w:r/>
      <w:bookmarkEnd w:id="255"/>
      <w:r/>
      <w:r/>
    </w:p>
    <w:p>
      <w:pPr>
        <w:pStyle w:val="1368"/>
        <w:rPr>
          <w:color w:val="auto"/>
          <w:highlight w:val="none"/>
        </w:rPr>
        <w:outlineLvl w:val="1"/>
      </w:pPr>
      <w:r/>
      <w:bookmarkStart w:id="256" w:name="_Toc25001_WPSOffice_Level2"/>
      <w:r/>
      <w:bookmarkStart w:id="257" w:name="_Toc514054502"/>
      <w:r/>
      <w:bookmarkStart w:id="258" w:name="_Toc20188"/>
      <w:r/>
      <w:bookmarkStart w:id="259" w:name="_Toc21179"/>
      <w:r/>
      <w:bookmarkStart w:id="260" w:name="_Toc164203484"/>
      <w:r/>
      <w:bookmarkStart w:id="261" w:name="_Toc5519"/>
      <w:r/>
      <w:bookmarkStart w:id="262" w:name="_Toc109"/>
      <w:r/>
      <w:bookmarkStart w:id="263" w:name="_Toc7579"/>
      <w:r>
        <w:rPr>
          <w:color w:val="auto"/>
          <w:highlight w:val="none"/>
        </w:rPr>
        <w:t xml:space="preserve">十</w:t>
      </w:r>
      <w:r>
        <w:rPr>
          <w:rFonts w:hint="eastAsia"/>
          <w:color w:val="auto"/>
          <w:highlight w:val="none"/>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6"/>
      <w:r/>
      <w:bookmarkEnd w:id="257"/>
      <w:r/>
      <w:bookmarkEnd w:id="258"/>
      <w:r/>
      <w:r/>
    </w:p>
    <w:p>
      <w:pPr>
        <w:pStyle w:val="1207"/>
        <w:jc w:val="center"/>
        <w:spacing w:line="560" w:lineRule="exact"/>
        <w:rPr>
          <w:rFonts w:ascii="宋体"/>
          <w:b/>
          <w:bCs/>
          <w:color w:val="auto"/>
          <w:sz w:val="32"/>
          <w:szCs w:val="32"/>
          <w:highlight w:val="none"/>
        </w:rPr>
      </w:pPr>
      <w:r/>
      <w:bookmarkStart w:id="264" w:name="_Toc2882_WPSOffice_Level2"/>
      <w:r>
        <w:rPr>
          <w:rFonts w:hint="eastAsia" w:ascii="宋体"/>
          <w:b/>
          <w:bCs/>
          <w:color w:val="auto"/>
          <w:sz w:val="32"/>
          <w:szCs w:val="32"/>
          <w:highlight w:val="none"/>
        </w:rPr>
        <w:t xml:space="preserve">按照招标文件要求，格式自拟</w:t>
      </w:r>
      <w:bookmarkEnd w:id="264"/>
      <w:r/>
      <w:r/>
    </w:p>
    <w:p>
      <w:pPr>
        <w:jc w:val="left"/>
        <w:widowControl/>
        <w:rPr>
          <w:rFonts w:ascii="黑体" w:hAnsi="黑体" w:eastAsia="黑体"/>
          <w:b/>
          <w:color w:val="auto"/>
          <w:sz w:val="32"/>
          <w:szCs w:val="24"/>
          <w:highlight w:val="none"/>
        </w:rPr>
      </w:pPr>
      <w:r>
        <w:rPr>
          <w:rFonts w:hint="eastAsia"/>
          <w:color w:val="auto"/>
          <w:highlight w:val="none"/>
        </w:rPr>
        <w:br w:type="page" w:clear="all"/>
      </w:r>
      <w:r/>
    </w:p>
    <w:p>
      <w:pPr>
        <w:pStyle w:val="1336"/>
        <w:rPr>
          <w:color w:val="auto"/>
          <w:highlight w:val="none"/>
        </w:rPr>
        <w:outlineLvl w:val="1"/>
      </w:pPr>
      <w:r/>
      <w:bookmarkStart w:id="265" w:name="_Toc14378"/>
      <w:r>
        <w:rPr>
          <w:color w:val="auto"/>
          <w:highlight w:val="none"/>
        </w:rPr>
        <w:t xml:space="preserve">十</w:t>
      </w:r>
      <w:r>
        <w:rPr>
          <w:rFonts w:hint="eastAsia"/>
          <w:color w:val="auto"/>
          <w:highlight w:val="none"/>
        </w:rPr>
        <w:t xml:space="preserve">八</w:t>
      </w:r>
      <w:r>
        <w:rPr>
          <w:color w:val="auto"/>
          <w:highlight w:val="none"/>
        </w:rPr>
        <w:t xml:space="preserve">、类似项目业绩一览表</w:t>
      </w:r>
      <w:bookmarkEnd w:id="259"/>
      <w:r/>
      <w:bookmarkEnd w:id="260"/>
      <w:r/>
      <w:bookmarkEnd w:id="261"/>
      <w:r/>
      <w:bookmarkEnd w:id="262"/>
      <w:r/>
      <w:bookmarkEnd w:id="263"/>
      <w:r/>
      <w:bookmarkEnd w:id="265"/>
      <w:r/>
      <w:r/>
    </w:p>
    <w:p>
      <w:pPr>
        <w:pStyle w:val="1249"/>
        <w:jc w:val="center"/>
        <w:rPr>
          <w:b/>
          <w:color w:val="auto"/>
          <w:sz w:val="32"/>
          <w:szCs w:val="32"/>
          <w:highlight w:val="none"/>
        </w:rPr>
      </w:pPr>
      <w:r>
        <w:rPr>
          <w:rFonts w:hint="eastAsia"/>
          <w:b/>
          <w:color w:val="auto"/>
          <w:sz w:val="32"/>
          <w:szCs w:val="32"/>
          <w:highlight w:val="none"/>
        </w:rPr>
        <w:t xml:space="preserve">类似项目业绩一览表</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6"/>
        <w:rPr>
          <w:color w:val="auto"/>
          <w:highlight w:val="none"/>
        </w:rPr>
        <w:outlineLvl w:val="1"/>
      </w:pPr>
      <w:r>
        <w:rPr>
          <w:color w:val="auto"/>
          <w:highlight w:val="none"/>
        </w:rPr>
        <w:br w:type="page" w:clear="all"/>
      </w:r>
      <w:bookmarkStart w:id="266" w:name="_Toc5295"/>
      <w:r/>
      <w:bookmarkStart w:id="267" w:name="_Toc20255"/>
      <w:r/>
      <w:bookmarkStart w:id="268" w:name="_Toc164203485"/>
      <w:r/>
      <w:bookmarkStart w:id="269" w:name="_Toc6607"/>
      <w:r/>
      <w:bookmarkStart w:id="270" w:name="_Toc15753"/>
      <w:r/>
      <w:bookmarkStart w:id="271" w:name="_Toc14046"/>
      <w:r/>
      <w:r/>
    </w:p>
    <w:p>
      <w:pPr>
        <w:pStyle w:val="1236"/>
        <w:rPr>
          <w:color w:val="auto"/>
          <w:highlight w:val="none"/>
        </w:rPr>
        <w:outlineLvl w:val="1"/>
      </w:pPr>
      <w:r>
        <w:rPr>
          <w:rFonts w:hint="eastAsia"/>
          <w:color w:val="auto"/>
          <w:highlight w:val="none"/>
        </w:rPr>
        <w:t xml:space="preserve">十九</w:t>
      </w:r>
      <w:r>
        <w:rPr>
          <w:color w:val="auto"/>
          <w:highlight w:val="none"/>
        </w:rPr>
        <w:t xml:space="preserve">、投标所需其他材料</w:t>
      </w:r>
      <w:bookmarkEnd w:id="266"/>
      <w:r/>
      <w:bookmarkEnd w:id="267"/>
      <w:r/>
      <w:bookmarkEnd w:id="268"/>
      <w:r/>
      <w:bookmarkEnd w:id="269"/>
      <w:r/>
      <w:bookmarkEnd w:id="270"/>
      <w:r/>
      <w:bookmarkEnd w:id="271"/>
      <w:r/>
      <w:r/>
    </w:p>
    <w:p>
      <w:pPr>
        <w:pStyle w:val="137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72" w:name="_Toc3075"/>
      <w:r>
        <w:rPr>
          <w:rFonts w:hint="eastAsia" w:hAnsi="宋体" w:cs="宋体"/>
          <w:bCs/>
          <w:color w:val="auto"/>
          <w:sz w:val="44"/>
          <w:szCs w:val="44"/>
          <w:highlight w:val="none"/>
        </w:rPr>
        <w:t xml:space="preserve">第七部分：特别提醒</w:t>
      </w:r>
      <w:bookmarkEnd w:id="272"/>
      <w:r/>
      <w:r/>
    </w:p>
    <w:p>
      <w:pPr>
        <w:jc w:val="center"/>
        <w:spacing w:line="360" w:lineRule="auto"/>
        <w:rPr>
          <w:rFonts w:hAnsi="宋体" w:cs="宋体"/>
          <w:bCs/>
          <w:color w:val="auto"/>
          <w:sz w:val="44"/>
          <w:szCs w:val="44"/>
          <w:highlight w:val="none"/>
        </w:rPr>
        <w:outlineLvl w:val="0"/>
      </w:pPr>
      <w:r/>
      <w:bookmarkStart w:id="273" w:name="_Toc31159"/>
      <w:r>
        <w:rPr>
          <w:rFonts w:hint="eastAsia" w:hAnsi="宋体" w:cs="宋体"/>
          <w:bCs/>
          <w:color w:val="auto"/>
          <w:sz w:val="44"/>
          <w:szCs w:val="44"/>
          <w:highlight w:val="none"/>
        </w:rPr>
        <w:t xml:space="preserve">（有关围标串标情形的判定）</w:t>
      </w:r>
      <w:bookmarkEnd w:id="273"/>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w:t>
    </w:r>
    <w:r>
      <w:rPr>
        <w:rFonts w:cs="宋体"/>
        <w:b/>
        <w:bCs/>
        <w:color w:val="17375e" w:themeColor="text2" w:themeShade="BF"/>
        <w:sz w:val="28"/>
        <w:szCs w:val="28"/>
        <w:u w:val="single"/>
      </w:rPr>
      <w:t xml:space="preserve"> </w:t>
    </w:r>
    <w:r>
      <w:rPr>
        <w:b/>
        <w:bCs/>
        <w:color w:val="17375e" w:themeColor="text2" w:themeShade="BF"/>
        <w:u w:val="single"/>
      </w:rPr>
      <w:t xml:space="preserve">        </w:t>
    </w:r>
    <w:r>
      <w:rPr>
        <w:rFonts w:hint="default" w:ascii="Consolas" w:hAnsi="Consolas" w:eastAsia="Consolas" w:cs="Consolas"/>
        <w:b/>
        <w:bCs/>
        <w:color w:val="17375e" w:themeColor="text2" w:themeShade="BF"/>
        <w:sz w:val="19"/>
        <w:szCs w:val="19"/>
        <w:u w:val="single"/>
      </w:rPr>
      <w:t xml:space="preserve"> </w:t>
    </w:r>
    <w:r>
      <w:rPr>
        <w:rFonts w:ascii="Consolas" w:hAnsi="Consolas" w:cs="Consolas"/>
        <w:b/>
        <w:bCs/>
        <w:color w:val="17375e" w:themeColor="text2" w:themeShade="BF"/>
        <w:sz w:val="19"/>
        <w:szCs w:val="19"/>
        <w:u w:val="single"/>
      </w:rPr>
      <w:t xml:space="preserve">                </w:t>
    </w:r>
    <w:r>
      <w:rPr>
        <w:rFonts w:cs="宋体"/>
        <w:b/>
        <w:bCs/>
        <w:color w:val="17375e" w:themeColor="text2" w:themeShade="BF"/>
        <w:sz w:val="22"/>
        <w:szCs w:val="28"/>
        <w:u w:val="single"/>
      </w:rPr>
      <w:t xml:space="preserve">公开·公平·公正·诚实信用</w:t>
    </w:r>
    <w:r>
      <w:rPr>
        <w:rFonts w:ascii="Consolas" w:hAnsi="Consolas" w:cs="Consolas"/>
        <w:color w:val="1f497d" w:themeColor="text2"/>
        <w:sz w:val="20"/>
        <w:szCs w:val="20"/>
        <w:u w:val="single"/>
        <w14:textFill>
          <w14:solidFill>
            <w14:schemeClr w14:val="tx2"/>
          </w14:solidFill>
        </w14:textFill>
      </w:rPr>
      <w:t xml:space="preserve"> </w:t>
    </w:r>
    <w:r/>
  </w:p>
  <w:p>
    <w:pPr>
      <w:pStyle w:val="789"/>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3"/>
  </w:num>
  <w:num w:numId="5">
    <w:abstractNumId w:val="1"/>
  </w:num>
  <w:num w:numId="6">
    <w:abstractNumId w:val="2"/>
  </w:num>
  <w:num w:numId="7">
    <w:abstractNumId w:val="7"/>
  </w:num>
  <w:num w:numId="8">
    <w:abstractNumId w:val="0"/>
  </w:num>
  <w:num w:numId="9">
    <w:abstractNumId w:val="9"/>
    <w:lvlOverride w:ilvl="0">
      <w:startOverride w:val="1"/>
    </w:lvlOverride>
  </w:num>
  <w:num w:numId="10">
    <w:abstractNumId w:val="6"/>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773"/>
    <w:link w:val="764"/>
    <w:uiPriority w:val="9"/>
    <w:rPr>
      <w:rFonts w:ascii="Arial" w:hAnsi="Arial" w:eastAsia="Arial" w:cs="Arial"/>
      <w:sz w:val="40"/>
      <w:szCs w:val="40"/>
    </w:rPr>
  </w:style>
  <w:style w:type="character" w:styleId="730">
    <w:name w:val="Heading 2 Char"/>
    <w:basedOn w:val="773"/>
    <w:link w:val="765"/>
    <w:uiPriority w:val="9"/>
    <w:rPr>
      <w:rFonts w:ascii="Arial" w:hAnsi="Arial" w:eastAsia="Arial" w:cs="Arial"/>
      <w:sz w:val="34"/>
    </w:rPr>
  </w:style>
  <w:style w:type="character" w:styleId="731">
    <w:name w:val="Heading 3 Char"/>
    <w:basedOn w:val="773"/>
    <w:link w:val="766"/>
    <w:uiPriority w:val="9"/>
    <w:rPr>
      <w:rFonts w:ascii="Arial" w:hAnsi="Arial" w:eastAsia="Arial" w:cs="Arial"/>
      <w:sz w:val="30"/>
      <w:szCs w:val="30"/>
    </w:rPr>
  </w:style>
  <w:style w:type="character" w:styleId="732">
    <w:name w:val="Heading 4 Char"/>
    <w:basedOn w:val="773"/>
    <w:link w:val="767"/>
    <w:uiPriority w:val="9"/>
    <w:rPr>
      <w:rFonts w:ascii="Arial" w:hAnsi="Arial" w:eastAsia="Arial" w:cs="Arial"/>
      <w:b/>
      <w:bCs/>
      <w:sz w:val="26"/>
      <w:szCs w:val="26"/>
    </w:rPr>
  </w:style>
  <w:style w:type="character" w:styleId="733">
    <w:name w:val="Heading 5 Char"/>
    <w:basedOn w:val="773"/>
    <w:link w:val="768"/>
    <w:uiPriority w:val="9"/>
    <w:rPr>
      <w:rFonts w:ascii="Arial" w:hAnsi="Arial" w:eastAsia="Arial" w:cs="Arial"/>
      <w:b/>
      <w:bCs/>
      <w:sz w:val="24"/>
      <w:szCs w:val="24"/>
    </w:rPr>
  </w:style>
  <w:style w:type="character" w:styleId="734">
    <w:name w:val="Heading 6 Char"/>
    <w:basedOn w:val="773"/>
    <w:link w:val="769"/>
    <w:uiPriority w:val="9"/>
    <w:rPr>
      <w:rFonts w:ascii="Arial" w:hAnsi="Arial" w:eastAsia="Arial" w:cs="Arial"/>
      <w:b/>
      <w:bCs/>
      <w:sz w:val="22"/>
      <w:szCs w:val="22"/>
    </w:rPr>
  </w:style>
  <w:style w:type="character" w:styleId="735">
    <w:name w:val="Heading 7 Char"/>
    <w:basedOn w:val="773"/>
    <w:link w:val="770"/>
    <w:uiPriority w:val="9"/>
    <w:rPr>
      <w:rFonts w:ascii="Arial" w:hAnsi="Arial" w:eastAsia="Arial" w:cs="Arial"/>
      <w:b/>
      <w:bCs/>
      <w:i/>
      <w:iCs/>
      <w:sz w:val="22"/>
      <w:szCs w:val="22"/>
    </w:rPr>
  </w:style>
  <w:style w:type="character" w:styleId="736">
    <w:name w:val="Heading 8 Char"/>
    <w:basedOn w:val="773"/>
    <w:link w:val="771"/>
    <w:uiPriority w:val="9"/>
    <w:rPr>
      <w:rFonts w:ascii="Arial" w:hAnsi="Arial" w:eastAsia="Arial" w:cs="Arial"/>
      <w:i/>
      <w:iCs/>
      <w:sz w:val="22"/>
      <w:szCs w:val="22"/>
    </w:rPr>
  </w:style>
  <w:style w:type="character" w:styleId="737">
    <w:name w:val="Heading 9 Char"/>
    <w:basedOn w:val="773"/>
    <w:link w:val="772"/>
    <w:uiPriority w:val="9"/>
    <w:rPr>
      <w:rFonts w:ascii="Arial" w:hAnsi="Arial" w:eastAsia="Arial" w:cs="Arial"/>
      <w:i/>
      <w:iCs/>
      <w:sz w:val="21"/>
      <w:szCs w:val="21"/>
    </w:rPr>
  </w:style>
  <w:style w:type="character" w:styleId="738">
    <w:name w:val="Title Char"/>
    <w:basedOn w:val="773"/>
    <w:link w:val="800"/>
    <w:uiPriority w:val="10"/>
    <w:rPr>
      <w:sz w:val="48"/>
      <w:szCs w:val="48"/>
    </w:rPr>
  </w:style>
  <w:style w:type="character" w:styleId="739">
    <w:name w:val="Quote Char"/>
    <w:link w:val="858"/>
    <w:uiPriority w:val="29"/>
    <w:rPr>
      <w:i/>
    </w:rPr>
  </w:style>
  <w:style w:type="character" w:styleId="740">
    <w:name w:val="Intense Quote Char"/>
    <w:link w:val="860"/>
    <w:uiPriority w:val="30"/>
    <w:rPr>
      <w:i/>
    </w:rPr>
  </w:style>
  <w:style w:type="character" w:styleId="741">
    <w:name w:val="Header Char"/>
    <w:basedOn w:val="773"/>
    <w:link w:val="789"/>
    <w:uiPriority w:val="99"/>
  </w:style>
  <w:style w:type="character" w:styleId="742">
    <w:name w:val="Footer Char"/>
    <w:basedOn w:val="773"/>
    <w:link w:val="788"/>
    <w:uiPriority w:val="99"/>
  </w:style>
  <w:style w:type="table" w:styleId="743">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2">
    <w:name w:val="TOC Heading"/>
    <w:uiPriority w:val="39"/>
    <w:unhideWhenUsed/>
  </w:style>
  <w:style w:type="paragraph" w:styleId="76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4">
    <w:name w:val="Heading 1"/>
    <w:basedOn w:val="763"/>
    <w:next w:val="763"/>
    <w:link w:val="849"/>
    <w:uiPriority w:val="9"/>
    <w:qFormat/>
    <w:pPr>
      <w:jc w:val="center"/>
      <w:keepLines/>
      <w:keepNext/>
      <w:spacing w:before="480" w:after="200"/>
      <w:outlineLvl w:val="0"/>
    </w:pPr>
    <w:rPr>
      <w:rFonts w:ascii="宋体" w:hAnsi="宋体" w:eastAsia="Arial" w:cs="宋体"/>
      <w:b/>
      <w:color w:val="000000"/>
      <w:sz w:val="44"/>
      <w:szCs w:val="44"/>
    </w:rPr>
  </w:style>
  <w:style w:type="paragraph" w:styleId="765">
    <w:name w:val="Heading 2"/>
    <w:basedOn w:val="763"/>
    <w:next w:val="775"/>
    <w:uiPriority w:val="9"/>
    <w:semiHidden/>
    <w:unhideWhenUsed/>
    <w:qFormat/>
    <w:pPr>
      <w:keepLines/>
      <w:keepNext/>
      <w:spacing w:before="360" w:after="200"/>
      <w:outlineLvl w:val="1"/>
    </w:pPr>
    <w:rPr>
      <w:rFonts w:ascii="Arial" w:hAnsi="Arial" w:eastAsia="Arial" w:cs="Arial"/>
      <w:sz w:val="34"/>
    </w:rPr>
  </w:style>
  <w:style w:type="paragraph" w:styleId="766">
    <w:name w:val="Heading 3"/>
    <w:basedOn w:val="763"/>
    <w:next w:val="763"/>
    <w:uiPriority w:val="9"/>
    <w:semiHidden/>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uiPriority w:val="9"/>
    <w:semiHidden/>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50"/>
    <w:uiPriority w:val="9"/>
    <w:semiHidden/>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51"/>
    <w:uiPriority w:val="9"/>
    <w:semiHidden/>
    <w:unhideWhenUsed/>
    <w:qFormat/>
    <w:pPr>
      <w:keepLines/>
      <w:keepNext/>
      <w:spacing w:before="320" w:after="200"/>
      <w:outlineLvl w:val="5"/>
    </w:pPr>
    <w:rPr>
      <w:rFonts w:ascii="Arial" w:hAnsi="Arial" w:eastAsia="Arial" w:cs="Arial"/>
      <w:b/>
      <w:bCs/>
      <w:sz w:val="22"/>
    </w:rPr>
  </w:style>
  <w:style w:type="paragraph" w:styleId="770">
    <w:name w:val="Heading 7"/>
    <w:basedOn w:val="763"/>
    <w:next w:val="763"/>
    <w:link w:val="852"/>
    <w:uiPriority w:val="9"/>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53"/>
    <w:uiPriority w:val="9"/>
    <w:qFormat/>
    <w:pPr>
      <w:keepLines/>
      <w:keepNext/>
      <w:spacing w:before="320" w:after="200"/>
      <w:outlineLvl w:val="7"/>
    </w:pPr>
    <w:rPr>
      <w:rFonts w:ascii="Arial" w:hAnsi="Arial" w:eastAsia="Arial" w:cs="Arial"/>
      <w:i/>
      <w:iCs/>
      <w:sz w:val="22"/>
    </w:rPr>
  </w:style>
  <w:style w:type="paragraph" w:styleId="772">
    <w:name w:val="Heading 9"/>
    <w:basedOn w:val="763"/>
    <w:next w:val="763"/>
    <w:link w:val="854"/>
    <w:uiPriority w:val="9"/>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Normal Indent"/>
    <w:basedOn w:val="763"/>
    <w:uiPriority w:val="0"/>
    <w:qFormat/>
    <w:pPr>
      <w:ind w:firstLine="420"/>
    </w:pPr>
  </w:style>
  <w:style w:type="paragraph" w:styleId="776">
    <w:name w:val="toc 7"/>
    <w:basedOn w:val="763"/>
    <w:next w:val="763"/>
    <w:uiPriority w:val="39"/>
    <w:qFormat/>
    <w:pPr>
      <w:ind w:left="1701"/>
      <w:spacing w:after="57"/>
    </w:pPr>
  </w:style>
  <w:style w:type="paragraph" w:styleId="777">
    <w:name w:val="Caption"/>
    <w:basedOn w:val="763"/>
    <w:next w:val="763"/>
    <w:uiPriority w:val="35"/>
    <w:qFormat/>
    <w:pPr>
      <w:spacing w:line="276" w:lineRule="auto"/>
    </w:pPr>
    <w:rPr>
      <w:b/>
      <w:bCs/>
      <w:color w:val="4f81bd"/>
      <w:sz w:val="18"/>
      <w:szCs w:val="18"/>
    </w:rPr>
  </w:style>
  <w:style w:type="paragraph" w:styleId="778">
    <w:name w:val="annotation text"/>
    <w:basedOn w:val="763"/>
    <w:link w:val="1425"/>
    <w:uiPriority w:val="99"/>
    <w:qFormat/>
    <w:pPr>
      <w:jc w:val="left"/>
    </w:pPr>
  </w:style>
  <w:style w:type="paragraph" w:styleId="779">
    <w:name w:val="Body Text"/>
    <w:basedOn w:val="763"/>
    <w:next w:val="780"/>
    <w:uiPriority w:val="0"/>
    <w:qFormat/>
    <w:pPr>
      <w:spacing w:after="120"/>
    </w:pPr>
    <w:rPr>
      <w:rFonts w:eastAsia="Times New Roman"/>
    </w:rPr>
  </w:style>
  <w:style w:type="paragraph" w:styleId="78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81">
    <w:name w:val="Body Text Indent"/>
    <w:basedOn w:val="763"/>
    <w:link w:val="1421"/>
    <w:uiPriority w:val="99"/>
    <w:qFormat/>
    <w:pPr>
      <w:ind w:left="420"/>
      <w:spacing w:after="120"/>
    </w:pPr>
  </w:style>
  <w:style w:type="paragraph" w:styleId="782">
    <w:name w:val="toc 5"/>
    <w:basedOn w:val="763"/>
    <w:next w:val="763"/>
    <w:uiPriority w:val="39"/>
    <w:qFormat/>
    <w:pPr>
      <w:ind w:left="1134"/>
      <w:spacing w:after="57"/>
    </w:pPr>
  </w:style>
  <w:style w:type="paragraph" w:styleId="783">
    <w:name w:val="toc 3"/>
    <w:basedOn w:val="763"/>
    <w:next w:val="763"/>
    <w:uiPriority w:val="39"/>
    <w:qFormat/>
    <w:pPr>
      <w:ind w:left="567"/>
      <w:spacing w:after="57"/>
    </w:pPr>
  </w:style>
  <w:style w:type="paragraph" w:styleId="784">
    <w:name w:val="toc 8"/>
    <w:basedOn w:val="763"/>
    <w:next w:val="763"/>
    <w:uiPriority w:val="39"/>
    <w:qFormat/>
    <w:pPr>
      <w:ind w:left="1984"/>
      <w:spacing w:after="57"/>
    </w:pPr>
  </w:style>
  <w:style w:type="paragraph" w:styleId="785">
    <w:name w:val="Date"/>
    <w:basedOn w:val="763"/>
    <w:next w:val="763"/>
    <w:link w:val="1419"/>
    <w:uiPriority w:val="99"/>
    <w:qFormat/>
    <w:pPr>
      <w:ind w:left="100"/>
    </w:pPr>
  </w:style>
  <w:style w:type="paragraph" w:styleId="786">
    <w:name w:val="endnote text"/>
    <w:basedOn w:val="763"/>
    <w:link w:val="970"/>
    <w:uiPriority w:val="99"/>
    <w:qFormat/>
    <w:rPr>
      <w:sz w:val="20"/>
    </w:rPr>
  </w:style>
  <w:style w:type="paragraph" w:styleId="787">
    <w:name w:val="Balloon Text"/>
    <w:basedOn w:val="763"/>
    <w:link w:val="1424"/>
    <w:uiPriority w:val="99"/>
    <w:semiHidden/>
    <w:unhideWhenUsed/>
    <w:qFormat/>
    <w:rPr>
      <w:sz w:val="18"/>
      <w:szCs w:val="18"/>
    </w:rPr>
  </w:style>
  <w:style w:type="paragraph" w:styleId="788">
    <w:name w:val="Footer"/>
    <w:basedOn w:val="763"/>
    <w:link w:val="862"/>
    <w:uiPriority w:val="99"/>
    <w:qFormat/>
    <w:pPr>
      <w:tabs>
        <w:tab w:val="center" w:pos="7143" w:leader="none"/>
        <w:tab w:val="right" w:pos="14287" w:leader="none"/>
      </w:tabs>
    </w:pPr>
  </w:style>
  <w:style w:type="paragraph" w:styleId="789">
    <w:name w:val="Header"/>
    <w:basedOn w:val="763"/>
    <w:uiPriority w:val="99"/>
    <w:qFormat/>
    <w:pPr>
      <w:tabs>
        <w:tab w:val="center" w:pos="7143" w:leader="none"/>
        <w:tab w:val="right" w:pos="14287" w:leader="none"/>
      </w:tabs>
    </w:pPr>
  </w:style>
  <w:style w:type="paragraph" w:styleId="790">
    <w:name w:val="toc 1"/>
    <w:basedOn w:val="763"/>
    <w:next w:val="763"/>
    <w:uiPriority w:val="39"/>
    <w:qFormat/>
    <w:pPr>
      <w:spacing w:after="57"/>
    </w:pPr>
  </w:style>
  <w:style w:type="paragraph" w:styleId="791">
    <w:name w:val="toc 4"/>
    <w:basedOn w:val="763"/>
    <w:next w:val="763"/>
    <w:uiPriority w:val="39"/>
    <w:qFormat/>
    <w:pPr>
      <w:ind w:left="850"/>
      <w:spacing w:after="57"/>
    </w:pPr>
  </w:style>
  <w:style w:type="paragraph" w:styleId="792">
    <w:name w:val="Subtitle"/>
    <w:basedOn w:val="763"/>
    <w:next w:val="763"/>
    <w:link w:val="857"/>
    <w:uiPriority w:val="11"/>
    <w:qFormat/>
    <w:pPr>
      <w:spacing w:before="200" w:after="200"/>
    </w:pPr>
    <w:rPr>
      <w:sz w:val="24"/>
      <w:szCs w:val="24"/>
    </w:rPr>
  </w:style>
  <w:style w:type="paragraph" w:styleId="793">
    <w:name w:val="footnote text"/>
    <w:basedOn w:val="763"/>
    <w:link w:val="969"/>
    <w:uiPriority w:val="0"/>
    <w:qFormat/>
    <w:pPr>
      <w:spacing w:after="40"/>
    </w:pPr>
    <w:rPr>
      <w:sz w:val="18"/>
    </w:rPr>
  </w:style>
  <w:style w:type="paragraph" w:styleId="794">
    <w:name w:val="toc 6"/>
    <w:basedOn w:val="763"/>
    <w:next w:val="763"/>
    <w:uiPriority w:val="39"/>
    <w:qFormat/>
    <w:pPr>
      <w:ind w:left="1417"/>
      <w:spacing w:after="57"/>
    </w:pPr>
  </w:style>
  <w:style w:type="paragraph" w:styleId="795">
    <w:name w:val="table of figures"/>
    <w:basedOn w:val="763"/>
    <w:next w:val="763"/>
    <w:uiPriority w:val="99"/>
    <w:qFormat/>
  </w:style>
  <w:style w:type="paragraph" w:styleId="796">
    <w:name w:val="toc 2"/>
    <w:basedOn w:val="763"/>
    <w:next w:val="763"/>
    <w:uiPriority w:val="39"/>
    <w:qFormat/>
    <w:pPr>
      <w:ind w:left="283"/>
      <w:spacing w:after="57"/>
    </w:pPr>
  </w:style>
  <w:style w:type="paragraph" w:styleId="797">
    <w:name w:val="toc 9"/>
    <w:basedOn w:val="763"/>
    <w:next w:val="763"/>
    <w:uiPriority w:val="39"/>
    <w:qFormat/>
    <w:pPr>
      <w:ind w:left="2268"/>
      <w:spacing w:after="57"/>
    </w:pPr>
  </w:style>
  <w:style w:type="paragraph" w:styleId="798">
    <w:name w:val="HTML Preformatted"/>
    <w:basedOn w:val="76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99">
    <w:name w:val="Normal (Web)"/>
    <w:basedOn w:val="763"/>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3"/>
    <w:next w:val="763"/>
    <w:link w:val="856"/>
    <w:uiPriority w:val="10"/>
    <w:qFormat/>
    <w:pPr>
      <w:contextualSpacing/>
      <w:spacing w:before="300" w:after="200"/>
    </w:pPr>
    <w:rPr>
      <w:sz w:val="48"/>
      <w:szCs w:val="48"/>
    </w:rPr>
  </w:style>
  <w:style w:type="paragraph" w:styleId="801">
    <w:name w:val="annotation subject"/>
    <w:basedOn w:val="778"/>
    <w:next w:val="778"/>
    <w:link w:val="1426"/>
    <w:uiPriority w:val="99"/>
    <w:semiHidden/>
    <w:unhideWhenUsed/>
    <w:qFormat/>
    <w:rPr>
      <w:b/>
      <w:bCs/>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3"/>
    <w:uiPriority w:val="0"/>
    <w:qFormat/>
    <w:rPr>
      <w:b/>
    </w:rPr>
  </w:style>
  <w:style w:type="character" w:styleId="804">
    <w:name w:val="endnote reference"/>
    <w:uiPriority w:val="99"/>
    <w:qFormat/>
    <w:rPr>
      <w:vertAlign w:val="superscript"/>
    </w:rPr>
  </w:style>
  <w:style w:type="character" w:styleId="805">
    <w:name w:val="Emphasis"/>
    <w:uiPriority w:val="0"/>
    <w:qFormat/>
    <w:rPr>
      <w:i/>
    </w:rPr>
  </w:style>
  <w:style w:type="character" w:styleId="806">
    <w:name w:val="Hyperlink"/>
    <w:uiPriority w:val="99"/>
    <w:qFormat/>
    <w:rPr>
      <w:color w:val="0000ff"/>
      <w:u w:val="single"/>
    </w:rPr>
  </w:style>
  <w:style w:type="character" w:styleId="807">
    <w:name w:val="annotation reference"/>
    <w:basedOn w:val="773"/>
    <w:uiPriority w:val="99"/>
    <w:qFormat/>
    <w:rPr>
      <w:sz w:val="21"/>
      <w:szCs w:val="21"/>
    </w:rPr>
  </w:style>
  <w:style w:type="character" w:styleId="808">
    <w:name w:val="footnote reference"/>
    <w:uiPriority w:val="0"/>
    <w:qFormat/>
    <w:rPr>
      <w:vertAlign w:val="superscript"/>
    </w:rPr>
  </w:style>
  <w:style w:type="paragraph" w:styleId="809" w:customStyle="1">
    <w:name w:val="标题二、"/>
    <w:basedOn w:val="763"/>
    <w:uiPriority w:val="99"/>
    <w:qFormat/>
    <w:pPr>
      <w:ind w:firstLine="200"/>
      <w:spacing w:line="360" w:lineRule="auto"/>
      <w:outlineLvl w:val="2"/>
    </w:pPr>
    <w:rPr>
      <w:rFonts w:ascii="宋体" w:hAnsi="宋体"/>
      <w:b/>
      <w:szCs w:val="21"/>
    </w:rPr>
  </w:style>
  <w:style w:type="paragraph" w:styleId="810" w:customStyle="1">
    <w:name w:val="正文首行缩进11"/>
    <w:basedOn w:val="811"/>
    <w:uiPriority w:val="99"/>
    <w:unhideWhenUsed/>
    <w:qFormat/>
    <w:pPr>
      <w:ind w:firstLine="420"/>
    </w:pPr>
  </w:style>
  <w:style w:type="paragraph" w:styleId="811" w:customStyle="1">
    <w:name w:val="正文文本12"/>
    <w:basedOn w:val="763"/>
    <w:uiPriority w:val="0"/>
    <w:qFormat/>
    <w:rPr>
      <w:rFonts w:ascii="楷体_GB2312" w:hAnsi="Arial" w:eastAsia="楷体_GB2312"/>
      <w:sz w:val="28"/>
      <w:szCs w:val="28"/>
    </w:rPr>
  </w:style>
  <w:style w:type="paragraph" w:styleId="812" w:customStyle="1">
    <w:name w:val="样式1"/>
    <w:basedOn w:val="813"/>
    <w:next w:val="763"/>
    <w:uiPriority w:val="0"/>
    <w:qFormat/>
    <w:pPr>
      <w:tabs>
        <w:tab w:val="left" w:pos="0" w:leader="none"/>
        <w:tab w:val="left" w:pos="840" w:leader="none"/>
      </w:tabs>
    </w:pPr>
    <w:rPr>
      <w:rFonts w:ascii="Arial" w:hAnsi="Arial" w:eastAsia="幼圆" w:cs="Arial"/>
      <w:sz w:val="24"/>
      <w:szCs w:val="20"/>
    </w:rPr>
  </w:style>
  <w:style w:type="paragraph" w:styleId="813" w:customStyle="1">
    <w:name w:val="列表编号1"/>
    <w:basedOn w:val="763"/>
    <w:uiPriority w:val="0"/>
    <w:qFormat/>
    <w:pPr>
      <w:spacing w:line="360" w:lineRule="auto"/>
      <w:tabs>
        <w:tab w:val="left" w:pos="0" w:leader="none"/>
        <w:tab w:val="left" w:pos="840" w:leader="none"/>
      </w:tabs>
    </w:pPr>
  </w:style>
  <w:style w:type="table" w:styleId="814" w:customStyle="1">
    <w:name w:val="无格式表格 11"/>
    <w:basedOn w:val="77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7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7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7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7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7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0" w:customStyle="1">
    <w:name w:val="网格表 21"/>
    <w:basedOn w:val="77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1" w:customStyle="1">
    <w:name w:val="网格表 31"/>
    <w:basedOn w:val="77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7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3" w:customStyle="1">
    <w:name w:val="网格表 5 深色1"/>
    <w:basedOn w:val="77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网格表 6 彩色1"/>
    <w:basedOn w:val="77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5" w:customStyle="1">
    <w:name w:val="网格表 7 彩色1"/>
    <w:basedOn w:val="77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6" w:customStyle="1">
    <w:name w:val="清单表 1 浅色1"/>
    <w:basedOn w:val="77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7" w:customStyle="1">
    <w:name w:val="清单表 21"/>
    <w:basedOn w:val="77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8" w:customStyle="1">
    <w:name w:val="清单表 31"/>
    <w:basedOn w:val="77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77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77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1" w:customStyle="1">
    <w:name w:val="清单表 6 彩色1"/>
    <w:basedOn w:val="77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2" w:customStyle="1">
    <w:name w:val="清单表 7 彩色1"/>
    <w:basedOn w:val="77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3" w:customStyle="1">
    <w:name w:val="TOC 标题1"/>
    <w:uiPriority w:val="39"/>
    <w:qFormat/>
    <w:rPr>
      <w:rFonts w:ascii="Times New Roman" w:hAnsi="Times New Roman" w:eastAsia="宋体" w:cs="Times New Roman"/>
      <w:lang w:val="en-US" w:eastAsia="zh-CN" w:bidi="ar-SA"/>
    </w:rPr>
  </w:style>
  <w:style w:type="character" w:styleId="834" w:customStyle="1">
    <w:name w:val="Heading 1 Char_434700aa-fe40-4ee6-9069-0a69300fd62b"/>
    <w:basedOn w:val="773"/>
    <w:uiPriority w:val="9"/>
    <w:qFormat/>
    <w:rPr>
      <w:rFonts w:ascii="Arial" w:hAnsi="Arial" w:eastAsia="Arial" w:cs="Arial"/>
      <w:sz w:val="40"/>
      <w:szCs w:val="40"/>
    </w:rPr>
  </w:style>
  <w:style w:type="character" w:styleId="835" w:customStyle="1">
    <w:name w:val="Heading 5 Char_925b8ece-8082-461d-ae29-1d41b41a7251"/>
    <w:basedOn w:val="773"/>
    <w:uiPriority w:val="9"/>
    <w:qFormat/>
    <w:rPr>
      <w:rFonts w:ascii="Arial" w:hAnsi="Arial" w:eastAsia="Arial" w:cs="Arial"/>
      <w:b/>
      <w:bCs/>
      <w:sz w:val="24"/>
      <w:szCs w:val="24"/>
    </w:rPr>
  </w:style>
  <w:style w:type="character" w:styleId="836" w:customStyle="1">
    <w:name w:val="Heading 6 Char_a35ea97a-1ce8-4d9b-8930-2f6c61bf63ec"/>
    <w:basedOn w:val="773"/>
    <w:uiPriority w:val="9"/>
    <w:qFormat/>
    <w:rPr>
      <w:rFonts w:ascii="Arial" w:hAnsi="Arial" w:eastAsia="Arial" w:cs="Arial"/>
      <w:b/>
      <w:bCs/>
      <w:sz w:val="22"/>
      <w:szCs w:val="22"/>
    </w:rPr>
  </w:style>
  <w:style w:type="character" w:styleId="837" w:customStyle="1">
    <w:name w:val="Heading 7 Char_187ddb87-c7bc-4839-9585-67a43c484026"/>
    <w:basedOn w:val="773"/>
    <w:uiPriority w:val="9"/>
    <w:qFormat/>
    <w:rPr>
      <w:rFonts w:ascii="Arial" w:hAnsi="Arial" w:eastAsia="Arial" w:cs="Arial"/>
      <w:b/>
      <w:bCs/>
      <w:i/>
      <w:iCs/>
      <w:sz w:val="22"/>
      <w:szCs w:val="22"/>
    </w:rPr>
  </w:style>
  <w:style w:type="character" w:styleId="838" w:customStyle="1">
    <w:name w:val="Heading 8 Char_f86cc6f1-e07f-46cd-8999-b4d6f395b7ab"/>
    <w:basedOn w:val="773"/>
    <w:uiPriority w:val="9"/>
    <w:qFormat/>
    <w:rPr>
      <w:rFonts w:ascii="Arial" w:hAnsi="Arial" w:eastAsia="Arial" w:cs="Arial"/>
      <w:i/>
      <w:iCs/>
      <w:sz w:val="22"/>
      <w:szCs w:val="22"/>
    </w:rPr>
  </w:style>
  <w:style w:type="character" w:styleId="839" w:customStyle="1">
    <w:name w:val="Heading 9 Char_78d770f5-7fe8-45f8-a379-5ea7765ab889"/>
    <w:basedOn w:val="773"/>
    <w:uiPriority w:val="9"/>
    <w:qFormat/>
    <w:rPr>
      <w:rFonts w:ascii="Arial" w:hAnsi="Arial" w:eastAsia="Arial" w:cs="Arial"/>
      <w:i/>
      <w:iCs/>
      <w:sz w:val="21"/>
      <w:szCs w:val="21"/>
    </w:rPr>
  </w:style>
  <w:style w:type="character" w:styleId="840" w:customStyle="1">
    <w:name w:val="Title Char_cba70f7b-6b0c-40c3-9c1d-79b000d9620e"/>
    <w:basedOn w:val="773"/>
    <w:uiPriority w:val="10"/>
    <w:qFormat/>
    <w:rPr>
      <w:sz w:val="48"/>
      <w:szCs w:val="48"/>
    </w:rPr>
  </w:style>
  <w:style w:type="character" w:styleId="841" w:customStyle="1">
    <w:name w:val="Subtitle Char"/>
    <w:basedOn w:val="773"/>
    <w:uiPriority w:val="11"/>
    <w:qFormat/>
    <w:rPr>
      <w:sz w:val="24"/>
      <w:szCs w:val="24"/>
    </w:rPr>
  </w:style>
  <w:style w:type="character" w:styleId="842" w:customStyle="1">
    <w:name w:val="Quote Char_7b531250-58de-49b9-9d0c-04cfbc5a8719"/>
    <w:uiPriority w:val="29"/>
    <w:qFormat/>
    <w:rPr>
      <w:i/>
    </w:rPr>
  </w:style>
  <w:style w:type="character" w:styleId="843" w:customStyle="1">
    <w:name w:val="Intense Quote Char_0c2ead29-d2a6-4ac5-8f7c-28c2f003bdba"/>
    <w:uiPriority w:val="30"/>
    <w:qFormat/>
    <w:rPr>
      <w:i/>
    </w:rPr>
  </w:style>
  <w:style w:type="character" w:styleId="844" w:customStyle="1">
    <w:name w:val="Caption Char"/>
    <w:uiPriority w:val="99"/>
    <w:qFormat/>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11"/>
    <w:uiPriority w:val="39"/>
    <w:qFormat/>
    <w:rPr>
      <w:rFonts w:ascii="Times New Roman" w:hAnsi="Times New Roman" w:eastAsia="宋体" w:cs="Times New Roman"/>
      <w:lang w:val="en-US" w:eastAsia="zh-CN" w:bidi="ar-SA"/>
    </w:rPr>
  </w:style>
  <w:style w:type="paragraph" w:styleId="848" w:customStyle="1">
    <w:name w:val="正文文本1"/>
    <w:basedOn w:val="763"/>
    <w:next w:val="763"/>
    <w:link w:val="983"/>
    <w:uiPriority w:val="0"/>
    <w:qFormat/>
    <w:pPr>
      <w:spacing w:line="60" w:lineRule="auto"/>
    </w:pPr>
    <w:rPr>
      <w:rFonts w:ascii="仿宋_GB2312" w:eastAsia="仿宋_GB2312"/>
      <w:sz w:val="32"/>
    </w:rPr>
  </w:style>
  <w:style w:type="character" w:styleId="849" w:customStyle="1">
    <w:name w:val="标题 1 Char"/>
    <w:link w:val="764"/>
    <w:uiPriority w:val="9"/>
    <w:qFormat/>
    <w:rPr>
      <w:rFonts w:ascii="宋体" w:hAnsi="宋体" w:eastAsia="Arial" w:cs="宋体"/>
      <w:b/>
      <w:color w:val="000000"/>
      <w:sz w:val="44"/>
      <w:szCs w:val="44"/>
      <w:highlight w:val="none"/>
      <w:lang w:val="en-US" w:eastAsia="zh-CN" w:bidi="ar-SA"/>
    </w:rPr>
  </w:style>
  <w:style w:type="character" w:styleId="850" w:customStyle="1">
    <w:name w:val="标题 5 Char"/>
    <w:link w:val="768"/>
    <w:uiPriority w:val="9"/>
    <w:qFormat/>
    <w:rPr>
      <w:rFonts w:ascii="Arial" w:hAnsi="Arial" w:eastAsia="Arial" w:cs="Arial"/>
      <w:b/>
      <w:bCs/>
      <w:sz w:val="24"/>
      <w:szCs w:val="24"/>
    </w:rPr>
  </w:style>
  <w:style w:type="character" w:styleId="851" w:customStyle="1">
    <w:name w:val="标题 6 Char"/>
    <w:link w:val="769"/>
    <w:uiPriority w:val="9"/>
    <w:qFormat/>
    <w:rPr>
      <w:rFonts w:ascii="Arial" w:hAnsi="Arial" w:eastAsia="Arial" w:cs="Arial"/>
      <w:b/>
      <w:bCs/>
      <w:sz w:val="22"/>
      <w:szCs w:val="22"/>
    </w:rPr>
  </w:style>
  <w:style w:type="character" w:styleId="852" w:customStyle="1">
    <w:name w:val="标题 7 Char"/>
    <w:link w:val="770"/>
    <w:uiPriority w:val="9"/>
    <w:qFormat/>
    <w:rPr>
      <w:rFonts w:ascii="Arial" w:hAnsi="Arial" w:eastAsia="Arial" w:cs="Arial"/>
      <w:b/>
      <w:bCs/>
      <w:i/>
      <w:iCs/>
      <w:sz w:val="22"/>
      <w:szCs w:val="22"/>
    </w:rPr>
  </w:style>
  <w:style w:type="character" w:styleId="853" w:customStyle="1">
    <w:name w:val="标题 8 Char"/>
    <w:link w:val="771"/>
    <w:uiPriority w:val="9"/>
    <w:qFormat/>
    <w:rPr>
      <w:rFonts w:ascii="Arial" w:hAnsi="Arial" w:eastAsia="Arial" w:cs="Arial"/>
      <w:i/>
      <w:iCs/>
      <w:sz w:val="22"/>
      <w:szCs w:val="22"/>
    </w:rPr>
  </w:style>
  <w:style w:type="character" w:styleId="854" w:customStyle="1">
    <w:name w:val="标题 9 Char"/>
    <w:link w:val="772"/>
    <w:uiPriority w:val="9"/>
    <w:qFormat/>
    <w:rPr>
      <w:rFonts w:ascii="Arial" w:hAnsi="Arial" w:eastAsia="Arial" w:cs="Arial"/>
      <w:i/>
      <w:iCs/>
      <w:sz w:val="21"/>
      <w:szCs w:val="21"/>
    </w:r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Char"/>
    <w:link w:val="800"/>
    <w:uiPriority w:val="10"/>
    <w:qFormat/>
    <w:rPr>
      <w:sz w:val="48"/>
      <w:szCs w:val="48"/>
    </w:rPr>
  </w:style>
  <w:style w:type="character" w:styleId="857" w:customStyle="1">
    <w:name w:val="副标题 Char"/>
    <w:link w:val="792"/>
    <w:uiPriority w:val="11"/>
    <w:qFormat/>
    <w:rPr>
      <w:sz w:val="24"/>
      <w:szCs w:val="24"/>
    </w:rPr>
  </w:style>
  <w:style w:type="paragraph" w:styleId="858">
    <w:name w:val="Quote"/>
    <w:basedOn w:val="763"/>
    <w:next w:val="763"/>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63"/>
    <w:next w:val="763"/>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character" w:styleId="862" w:customStyle="1">
    <w:name w:val="页脚 Char"/>
    <w:link w:val="788"/>
    <w:uiPriority w:val="99"/>
    <w:qFormat/>
  </w:style>
  <w:style w:type="table" w:styleId="8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9" w:customStyle="1">
    <w:name w:val="脚注文本 Char"/>
    <w:link w:val="793"/>
    <w:uiPriority w:val="0"/>
    <w:qFormat/>
    <w:rPr>
      <w:sz w:val="18"/>
    </w:rPr>
  </w:style>
  <w:style w:type="character" w:styleId="970" w:customStyle="1">
    <w:name w:val="尾注文本 Char"/>
    <w:link w:val="786"/>
    <w:uiPriority w:val="99"/>
    <w:qFormat/>
    <w:rPr>
      <w:sz w:val="20"/>
    </w:rPr>
  </w:style>
  <w:style w:type="paragraph" w:styleId="971" w:customStyle="1">
    <w:name w:val="TOC 标题11"/>
    <w:uiPriority w:val="39"/>
    <w:qFormat/>
    <w:rPr>
      <w:rFonts w:ascii="Times New Roman" w:hAnsi="Times New Roman" w:eastAsia="宋体" w:cs="Times New Roman"/>
      <w:lang w:val="en-US" w:eastAsia="zh-CN" w:bidi="ar-SA"/>
    </w:rPr>
  </w:style>
  <w:style w:type="paragraph" w:styleId="972" w:customStyle="1">
    <w:name w:val="标题 11"/>
    <w:basedOn w:val="763"/>
    <w:next w:val="763"/>
    <w:link w:val="984"/>
    <w:uiPriority w:val="0"/>
    <w:qFormat/>
    <w:pPr>
      <w:keepLines/>
      <w:keepNext/>
      <w:spacing w:before="340" w:after="330" w:line="576" w:lineRule="auto"/>
      <w:outlineLvl w:val="0"/>
    </w:pPr>
    <w:rPr>
      <w:b/>
      <w:sz w:val="44"/>
      <w:szCs w:val="20"/>
    </w:rPr>
  </w:style>
  <w:style w:type="paragraph" w:styleId="973" w:customStyle="1">
    <w:name w:val="标题 21"/>
    <w:basedOn w:val="763"/>
    <w:next w:val="763"/>
    <w:link w:val="985"/>
    <w:uiPriority w:val="0"/>
    <w:qFormat/>
    <w:pPr>
      <w:keepLines/>
      <w:keepNext/>
      <w:spacing w:before="260" w:after="260" w:line="413" w:lineRule="auto"/>
      <w:outlineLvl w:val="1"/>
    </w:pPr>
    <w:rPr>
      <w:rFonts w:ascii="Arial" w:hAnsi="Arial" w:eastAsia="黑体"/>
      <w:b/>
      <w:sz w:val="32"/>
      <w:szCs w:val="20"/>
    </w:rPr>
  </w:style>
  <w:style w:type="paragraph" w:styleId="974" w:customStyle="1">
    <w:name w:val="标题 31"/>
    <w:basedOn w:val="763"/>
    <w:next w:val="763"/>
    <w:link w:val="986"/>
    <w:uiPriority w:val="0"/>
    <w:qFormat/>
    <w:pPr>
      <w:keepLines/>
      <w:keepNext/>
      <w:spacing w:before="260" w:after="260" w:line="413" w:lineRule="auto"/>
      <w:outlineLvl w:val="2"/>
    </w:pPr>
    <w:rPr>
      <w:b/>
      <w:sz w:val="32"/>
      <w:szCs w:val="20"/>
    </w:rPr>
  </w:style>
  <w:style w:type="paragraph" w:styleId="975" w:customStyle="1">
    <w:name w:val="标题 41"/>
    <w:basedOn w:val="763"/>
    <w:next w:val="763"/>
    <w:link w:val="98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6" w:customStyle="1">
    <w:name w:val="标题 51"/>
    <w:basedOn w:val="763"/>
    <w:next w:val="76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7" w:customStyle="1">
    <w:name w:val="标题 61"/>
    <w:basedOn w:val="763"/>
    <w:next w:val="76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8" w:customStyle="1">
    <w:name w:val="标题 71"/>
    <w:basedOn w:val="763"/>
    <w:next w:val="76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9" w:customStyle="1">
    <w:name w:val="标题 81"/>
    <w:basedOn w:val="763"/>
    <w:next w:val="76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0" w:customStyle="1">
    <w:name w:val="标题 91"/>
    <w:basedOn w:val="763"/>
    <w:next w:val="763"/>
    <w:uiPriority w:val="0"/>
    <w:qFormat/>
    <w:pPr>
      <w:jc w:val="center"/>
      <w:keepNext/>
      <w:spacing w:line="600" w:lineRule="exact"/>
      <w:outlineLvl w:val="8"/>
    </w:pPr>
    <w:rPr>
      <w:rFonts w:ascii="仿宋_GB2312" w:eastAsia="仿宋_GB2312"/>
      <w:sz w:val="32"/>
    </w:rPr>
  </w:style>
  <w:style w:type="character" w:styleId="981" w:customStyle="1">
    <w:name w:val="默认段落字体1"/>
    <w:uiPriority w:val="1"/>
    <w:qFormat/>
  </w:style>
  <w:style w:type="table" w:styleId="982" w:customStyle="1">
    <w:name w:val="普通表格1"/>
    <w:uiPriority w:val="0"/>
    <w:qFormat/>
    <w:tblPr>
      <w:tblCellMar>
        <w:left w:w="0" w:type="dxa"/>
        <w:top w:w="0" w:type="dxa"/>
        <w:right w:w="0" w:type="dxa"/>
        <w:bottom w:w="0" w:type="dxa"/>
      </w:tblCellMar>
    </w:tblPr>
  </w:style>
  <w:style w:type="character" w:styleId="983" w:customStyle="1">
    <w:name w:val="正文文本 字符"/>
    <w:link w:val="848"/>
    <w:uiPriority w:val="0"/>
    <w:qFormat/>
    <w:rPr>
      <w:rFonts w:ascii="仿宋_GB2312" w:eastAsia="仿宋_GB2312"/>
      <w:sz w:val="32"/>
      <w:szCs w:val="22"/>
    </w:rPr>
  </w:style>
  <w:style w:type="character" w:styleId="984" w:customStyle="1">
    <w:name w:val="标题 1 字符"/>
    <w:link w:val="972"/>
    <w:uiPriority w:val="0"/>
    <w:qFormat/>
    <w:rPr>
      <w:b/>
      <w:sz w:val="44"/>
    </w:rPr>
  </w:style>
  <w:style w:type="character" w:styleId="985" w:customStyle="1">
    <w:name w:val="标题 2 字符"/>
    <w:link w:val="973"/>
    <w:uiPriority w:val="0"/>
    <w:qFormat/>
    <w:rPr>
      <w:rFonts w:ascii="Arial" w:hAnsi="Arial" w:eastAsia="黑体"/>
      <w:b/>
      <w:sz w:val="32"/>
    </w:rPr>
  </w:style>
  <w:style w:type="character" w:styleId="986" w:customStyle="1">
    <w:name w:val="标题 3 字符"/>
    <w:link w:val="974"/>
    <w:uiPriority w:val="0"/>
    <w:qFormat/>
    <w:rPr>
      <w:b/>
      <w:sz w:val="32"/>
    </w:rPr>
  </w:style>
  <w:style w:type="character" w:styleId="987" w:customStyle="1">
    <w:name w:val="标题 4 字符"/>
    <w:link w:val="975"/>
    <w:uiPriority w:val="0"/>
    <w:qFormat/>
    <w:rPr>
      <w:rFonts w:ascii="宋体" w:eastAsia="宋体"/>
      <w:color w:val="800000"/>
      <w:sz w:val="28"/>
      <w:lang w:val="en-US" w:eastAsia="zh-CN" w:bidi="ar-SA"/>
    </w:rPr>
  </w:style>
  <w:style w:type="paragraph" w:styleId="988" w:customStyle="1">
    <w:name w:val="目录 71"/>
    <w:basedOn w:val="763"/>
    <w:next w:val="763"/>
    <w:uiPriority w:val="0"/>
    <w:qFormat/>
    <w:pPr>
      <w:ind w:left="1260"/>
      <w:jc w:val="left"/>
    </w:pPr>
    <w:rPr>
      <w:rFonts w:ascii="Calibri" w:hAnsi="Calibri" w:cs="Calibri"/>
      <w:sz w:val="18"/>
      <w:szCs w:val="18"/>
    </w:rPr>
  </w:style>
  <w:style w:type="paragraph" w:styleId="989" w:customStyle="1">
    <w:name w:val="列表项目符号 41"/>
    <w:basedOn w:val="763"/>
    <w:uiPriority w:val="0"/>
    <w:qFormat/>
    <w:pPr>
      <w:ind w:left="360" w:hanging="360"/>
      <w:spacing w:line="380" w:lineRule="exact"/>
      <w:tabs>
        <w:tab w:val="left" w:pos="360" w:leader="none"/>
      </w:tabs>
    </w:pPr>
    <w:rPr>
      <w:rFonts w:ascii="Calibri" w:hAnsi="Calibri"/>
      <w:sz w:val="28"/>
    </w:rPr>
  </w:style>
  <w:style w:type="paragraph" w:styleId="990" w:customStyle="1">
    <w:name w:val="索引 81"/>
    <w:basedOn w:val="763"/>
    <w:next w:val="763"/>
    <w:uiPriority w:val="0"/>
    <w:qFormat/>
    <w:pPr>
      <w:ind w:left="1400"/>
    </w:pPr>
    <w:rPr>
      <w:rFonts w:ascii="Calibri" w:hAnsi="Calibri"/>
    </w:rPr>
  </w:style>
  <w:style w:type="paragraph" w:styleId="991" w:customStyle="1">
    <w:name w:val="正文缩进11"/>
    <w:basedOn w:val="763"/>
    <w:uiPriority w:val="0"/>
    <w:qFormat/>
    <w:pPr>
      <w:ind w:firstLine="420"/>
    </w:pPr>
    <w:rPr>
      <w:rFonts w:ascii="宋体"/>
      <w:color w:val="000000"/>
      <w:sz w:val="24"/>
      <w:szCs w:val="20"/>
    </w:rPr>
  </w:style>
  <w:style w:type="paragraph" w:styleId="992" w:customStyle="1">
    <w:name w:val="题注1"/>
    <w:basedOn w:val="763"/>
    <w:next w:val="763"/>
    <w:link w:val="993"/>
    <w:uiPriority w:val="0"/>
    <w:qFormat/>
    <w:pPr>
      <w:spacing w:line="360" w:lineRule="auto"/>
      <w:tabs>
        <w:tab w:val="left" w:pos="0" w:leader="none"/>
      </w:tabs>
    </w:pPr>
    <w:rPr>
      <w:rFonts w:ascii="Arial" w:hAnsi="Arial" w:eastAsia="黑体"/>
      <w:sz w:val="20"/>
      <w:szCs w:val="20"/>
    </w:rPr>
  </w:style>
  <w:style w:type="character" w:styleId="993" w:customStyle="1">
    <w:name w:val="题注 字符"/>
    <w:link w:val="992"/>
    <w:uiPriority w:val="0"/>
    <w:qFormat/>
    <w:rPr>
      <w:rFonts w:ascii="Arial" w:hAnsi="Arial" w:eastAsia="黑体" w:cs="Arial"/>
    </w:rPr>
  </w:style>
  <w:style w:type="paragraph" w:styleId="994" w:customStyle="1">
    <w:name w:val="索引 51"/>
    <w:basedOn w:val="763"/>
    <w:next w:val="763"/>
    <w:uiPriority w:val="0"/>
    <w:qFormat/>
    <w:pPr>
      <w:ind w:left="800"/>
    </w:pPr>
    <w:rPr>
      <w:rFonts w:ascii="Calibri" w:hAnsi="Calibri"/>
    </w:rPr>
  </w:style>
  <w:style w:type="paragraph" w:styleId="995" w:customStyle="1">
    <w:name w:val="列表项目符号1"/>
    <w:basedOn w:val="763"/>
    <w:uiPriority w:val="0"/>
    <w:qFormat/>
    <w:pPr>
      <w:ind w:left="962" w:hanging="480"/>
      <w:spacing w:line="360" w:lineRule="auto"/>
      <w:tabs>
        <w:tab w:val="left" w:pos="840" w:leader="none"/>
      </w:tabs>
    </w:pPr>
    <w:rPr>
      <w:sz w:val="24"/>
    </w:rPr>
  </w:style>
  <w:style w:type="paragraph" w:styleId="996" w:customStyle="1">
    <w:name w:val="文档结构图1"/>
    <w:basedOn w:val="763"/>
    <w:uiPriority w:val="0"/>
    <w:qFormat/>
    <w:pPr>
      <w:shd w:val="clear" w:color="auto" w:fill="000080"/>
    </w:pPr>
  </w:style>
  <w:style w:type="paragraph" w:styleId="997" w:customStyle="1">
    <w:name w:val="批注文字1"/>
    <w:basedOn w:val="763"/>
    <w:link w:val="998"/>
    <w:uiPriority w:val="99"/>
    <w:qFormat/>
    <w:pPr>
      <w:jc w:val="left"/>
    </w:pPr>
    <w:rPr>
      <w:rFonts w:ascii="Calibri" w:hAnsi="Calibri"/>
      <w:szCs w:val="20"/>
    </w:rPr>
  </w:style>
  <w:style w:type="character" w:styleId="998" w:customStyle="1">
    <w:name w:val="批注文字 字符"/>
    <w:link w:val="997"/>
    <w:uiPriority w:val="99"/>
    <w:qFormat/>
    <w:rPr>
      <w:rFonts w:ascii="Calibri" w:hAnsi="Calibri" w:eastAsia="宋体" w:cs="Times New Roman"/>
      <w:sz w:val="21"/>
    </w:rPr>
  </w:style>
  <w:style w:type="paragraph" w:styleId="999" w:customStyle="1">
    <w:name w:val="索引 61"/>
    <w:basedOn w:val="763"/>
    <w:next w:val="763"/>
    <w:uiPriority w:val="0"/>
    <w:qFormat/>
    <w:pPr>
      <w:ind w:left="1000"/>
    </w:pPr>
    <w:rPr>
      <w:rFonts w:ascii="Calibri" w:hAnsi="Calibri"/>
    </w:rPr>
  </w:style>
  <w:style w:type="paragraph" w:styleId="1000" w:customStyle="1">
    <w:name w:val="正文文本 31"/>
    <w:basedOn w:val="763"/>
    <w:uiPriority w:val="0"/>
    <w:qFormat/>
    <w:rPr>
      <w:color w:val="000000"/>
    </w:rPr>
  </w:style>
  <w:style w:type="paragraph" w:styleId="1001" w:customStyle="1">
    <w:name w:val="列表项目符号 31"/>
    <w:basedOn w:val="763"/>
    <w:uiPriority w:val="0"/>
    <w:qFormat/>
    <w:pPr>
      <w:ind w:left="1200" w:hanging="360"/>
      <w:spacing w:line="380" w:lineRule="exact"/>
      <w:tabs>
        <w:tab w:val="left" w:pos="1200" w:leader="none"/>
      </w:tabs>
    </w:pPr>
    <w:rPr>
      <w:rFonts w:ascii="Calibri" w:hAnsi="Calibri"/>
      <w:sz w:val="28"/>
    </w:rPr>
  </w:style>
  <w:style w:type="paragraph" w:styleId="1002" w:customStyle="1">
    <w:name w:val="正文文本缩进11"/>
    <w:basedOn w:val="763"/>
    <w:uiPriority w:val="0"/>
    <w:qFormat/>
    <w:pPr>
      <w:ind w:firstLine="225"/>
    </w:pPr>
    <w:rPr>
      <w:rFonts w:ascii="仿宋_GB2312" w:eastAsia="仿宋_GB2312"/>
      <w:sz w:val="32"/>
    </w:rPr>
  </w:style>
  <w:style w:type="paragraph" w:styleId="1003" w:customStyle="1">
    <w:name w:val="文本块1"/>
    <w:basedOn w:val="763"/>
    <w:uiPriority w:val="0"/>
    <w:qFormat/>
    <w:pPr>
      <w:ind w:left="1548" w:right="12" w:hanging="2405"/>
      <w:spacing w:line="360" w:lineRule="exact"/>
    </w:pPr>
    <w:rPr>
      <w:rFonts w:ascii="宋体"/>
      <w:bCs/>
      <w:sz w:val="28"/>
    </w:rPr>
  </w:style>
  <w:style w:type="paragraph" w:styleId="1004" w:customStyle="1">
    <w:name w:val="列表项目符号 21"/>
    <w:basedOn w:val="763"/>
    <w:uiPriority w:val="0"/>
    <w:qFormat/>
    <w:pPr>
      <w:ind w:left="720" w:hanging="360"/>
      <w:spacing w:line="360" w:lineRule="auto"/>
      <w:tabs>
        <w:tab w:val="left" w:pos="720" w:leader="none"/>
      </w:tabs>
    </w:pPr>
    <w:rPr>
      <w:sz w:val="24"/>
    </w:rPr>
  </w:style>
  <w:style w:type="paragraph" w:styleId="1005" w:customStyle="1">
    <w:name w:val="HTML 地址1"/>
    <w:basedOn w:val="763"/>
    <w:uiPriority w:val="0"/>
    <w:qFormat/>
    <w:rPr>
      <w:i/>
      <w:iCs/>
    </w:rPr>
  </w:style>
  <w:style w:type="paragraph" w:styleId="1006" w:customStyle="1">
    <w:name w:val="索引 41"/>
    <w:basedOn w:val="763"/>
    <w:next w:val="763"/>
    <w:uiPriority w:val="0"/>
    <w:qFormat/>
    <w:pPr>
      <w:ind w:left="600"/>
    </w:pPr>
    <w:rPr>
      <w:rFonts w:ascii="Calibri" w:hAnsi="Calibri"/>
    </w:rPr>
  </w:style>
  <w:style w:type="paragraph" w:styleId="1007" w:customStyle="1">
    <w:name w:val="目录 51"/>
    <w:basedOn w:val="763"/>
    <w:next w:val="763"/>
    <w:uiPriority w:val="0"/>
    <w:qFormat/>
    <w:pPr>
      <w:ind w:left="840"/>
      <w:jc w:val="left"/>
    </w:pPr>
    <w:rPr>
      <w:rFonts w:ascii="Calibri" w:hAnsi="Calibri" w:cs="Calibri"/>
      <w:sz w:val="18"/>
      <w:szCs w:val="18"/>
    </w:rPr>
  </w:style>
  <w:style w:type="paragraph" w:styleId="1008" w:customStyle="1">
    <w:name w:val="目录 31"/>
    <w:basedOn w:val="763"/>
    <w:next w:val="763"/>
    <w:uiPriority w:val="39"/>
    <w:qFormat/>
    <w:pPr>
      <w:ind w:left="420"/>
      <w:jc w:val="left"/>
    </w:pPr>
    <w:rPr>
      <w:rFonts w:ascii="Calibri" w:hAnsi="Calibri" w:cs="Calibri"/>
      <w:i/>
      <w:iCs/>
      <w:sz w:val="20"/>
      <w:szCs w:val="20"/>
    </w:rPr>
  </w:style>
  <w:style w:type="paragraph" w:styleId="1009" w:customStyle="1">
    <w:name w:val="纯文本11"/>
    <w:basedOn w:val="763"/>
    <w:uiPriority w:val="0"/>
    <w:qFormat/>
    <w:rPr>
      <w:rFonts w:ascii="宋体"/>
      <w:szCs w:val="21"/>
    </w:rPr>
  </w:style>
  <w:style w:type="paragraph" w:styleId="1010" w:customStyle="1">
    <w:name w:val="列表项目符号 51"/>
    <w:basedOn w:val="763"/>
    <w:uiPriority w:val="0"/>
    <w:qFormat/>
    <w:pPr>
      <w:ind w:left="720" w:hanging="360"/>
      <w:spacing w:line="380" w:lineRule="exact"/>
      <w:tabs>
        <w:tab w:val="left" w:pos="720" w:leader="none"/>
      </w:tabs>
    </w:pPr>
    <w:rPr>
      <w:rFonts w:ascii="Calibri" w:hAnsi="Calibri"/>
      <w:sz w:val="28"/>
    </w:rPr>
  </w:style>
  <w:style w:type="paragraph" w:styleId="1011" w:customStyle="1">
    <w:name w:val="目录 81"/>
    <w:basedOn w:val="763"/>
    <w:next w:val="763"/>
    <w:uiPriority w:val="0"/>
    <w:qFormat/>
    <w:pPr>
      <w:ind w:left="1470"/>
      <w:jc w:val="left"/>
    </w:pPr>
    <w:rPr>
      <w:rFonts w:ascii="Calibri" w:hAnsi="Calibri" w:cs="Calibri"/>
      <w:sz w:val="18"/>
      <w:szCs w:val="18"/>
    </w:rPr>
  </w:style>
  <w:style w:type="paragraph" w:styleId="1012" w:customStyle="1">
    <w:name w:val="索引 31"/>
    <w:basedOn w:val="763"/>
    <w:next w:val="763"/>
    <w:uiPriority w:val="0"/>
    <w:qFormat/>
    <w:pPr>
      <w:ind w:left="400"/>
    </w:pPr>
    <w:rPr>
      <w:rFonts w:ascii="Calibri" w:hAnsi="Calibri"/>
    </w:rPr>
  </w:style>
  <w:style w:type="paragraph" w:styleId="1013" w:customStyle="1">
    <w:name w:val="日期1"/>
    <w:basedOn w:val="763"/>
    <w:next w:val="763"/>
    <w:uiPriority w:val="0"/>
    <w:qFormat/>
    <w:pPr>
      <w:ind w:left="2500"/>
    </w:pPr>
  </w:style>
  <w:style w:type="paragraph" w:styleId="1014" w:customStyle="1">
    <w:name w:val="正文文本缩进 21"/>
    <w:basedOn w:val="763"/>
    <w:uiPriority w:val="0"/>
    <w:qFormat/>
    <w:pPr>
      <w:ind w:firstLine="225"/>
      <w:jc w:val="left"/>
      <w:spacing w:line="540" w:lineRule="exact"/>
    </w:pPr>
    <w:rPr>
      <w:rFonts w:ascii="仿宋_GB2312" w:eastAsia="仿宋_GB2312"/>
      <w:sz w:val="32"/>
    </w:rPr>
  </w:style>
  <w:style w:type="paragraph" w:styleId="1015" w:customStyle="1">
    <w:name w:val="尾注文本1"/>
    <w:basedOn w:val="763"/>
    <w:uiPriority w:val="0"/>
    <w:qFormat/>
    <w:pPr>
      <w:jc w:val="left"/>
      <w:widowControl/>
    </w:pPr>
    <w:rPr>
      <w:rFonts w:ascii="宋体"/>
      <w:bCs/>
      <w:szCs w:val="21"/>
    </w:rPr>
  </w:style>
  <w:style w:type="paragraph" w:styleId="1016" w:customStyle="1">
    <w:name w:val="批注框文本1"/>
    <w:basedOn w:val="763"/>
    <w:uiPriority w:val="0"/>
    <w:qFormat/>
    <w:rPr>
      <w:sz w:val="18"/>
      <w:szCs w:val="20"/>
    </w:rPr>
  </w:style>
  <w:style w:type="paragraph" w:styleId="1017" w:customStyle="1">
    <w:name w:val="页脚1"/>
    <w:basedOn w:val="763"/>
    <w:link w:val="1018"/>
    <w:uiPriority w:val="99"/>
    <w:qFormat/>
    <w:pPr>
      <w:jc w:val="left"/>
      <w:tabs>
        <w:tab w:val="center" w:pos="4153" w:leader="none"/>
        <w:tab w:val="right" w:pos="8306" w:leader="none"/>
      </w:tabs>
    </w:pPr>
    <w:rPr>
      <w:rFonts w:ascii="Calibri" w:hAnsi="Calibri"/>
      <w:sz w:val="18"/>
      <w:szCs w:val="18"/>
    </w:rPr>
  </w:style>
  <w:style w:type="character" w:styleId="1018" w:customStyle="1">
    <w:name w:val="页脚 字符"/>
    <w:link w:val="1017"/>
    <w:uiPriority w:val="99"/>
    <w:qFormat/>
    <w:rPr>
      <w:rFonts w:ascii="Calibri" w:hAnsi="Calibri" w:eastAsia="宋体" w:cs="Times New Roman"/>
      <w:sz w:val="18"/>
      <w:szCs w:val="18"/>
    </w:rPr>
  </w:style>
  <w:style w:type="paragraph" w:styleId="1019" w:customStyle="1">
    <w:name w:val="寄信人地址11"/>
    <w:basedOn w:val="763"/>
    <w:uiPriority w:val="0"/>
    <w:qFormat/>
    <w:rPr>
      <w:rFonts w:ascii="Arial" w:hAnsi="Arial"/>
    </w:rPr>
  </w:style>
  <w:style w:type="paragraph" w:styleId="1020" w:customStyle="1">
    <w:name w:val="页眉1"/>
    <w:basedOn w:val="763"/>
    <w:link w:val="1021"/>
    <w:uiPriority w:val="99"/>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字符"/>
    <w:link w:val="1020"/>
    <w:uiPriority w:val="99"/>
    <w:qFormat/>
    <w:rPr>
      <w:sz w:val="18"/>
      <w:szCs w:val="18"/>
    </w:rPr>
  </w:style>
  <w:style w:type="paragraph" w:styleId="1022" w:customStyle="1">
    <w:name w:val="目录 11"/>
    <w:basedOn w:val="763"/>
    <w:next w:val="763"/>
    <w:uiPriority w:val="39"/>
    <w:qFormat/>
    <w:pPr>
      <w:jc w:val="left"/>
      <w:spacing w:before="120" w:after="120"/>
    </w:pPr>
    <w:rPr>
      <w:rFonts w:ascii="Calibri" w:hAnsi="Calibri" w:cs="Calibri"/>
      <w:b/>
      <w:bCs/>
      <w:caps/>
      <w:sz w:val="20"/>
      <w:szCs w:val="20"/>
    </w:rPr>
  </w:style>
  <w:style w:type="paragraph" w:styleId="1023" w:customStyle="1">
    <w:name w:val="目录 41"/>
    <w:basedOn w:val="763"/>
    <w:next w:val="763"/>
    <w:uiPriority w:val="0"/>
    <w:qFormat/>
    <w:pPr>
      <w:ind w:left="630"/>
      <w:jc w:val="left"/>
    </w:pPr>
    <w:rPr>
      <w:rFonts w:ascii="Calibri" w:hAnsi="Calibri" w:cs="Calibri"/>
      <w:sz w:val="18"/>
      <w:szCs w:val="18"/>
    </w:rPr>
  </w:style>
  <w:style w:type="paragraph" w:styleId="1024" w:customStyle="1">
    <w:name w:val="索引标题1"/>
    <w:basedOn w:val="763"/>
    <w:next w:val="1025"/>
    <w:uiPriority w:val="0"/>
    <w:qFormat/>
    <w:rPr>
      <w:rFonts w:ascii="Calibri" w:hAnsi="Calibri"/>
    </w:rPr>
  </w:style>
  <w:style w:type="paragraph" w:styleId="1025" w:customStyle="1">
    <w:name w:val="索引 11"/>
    <w:basedOn w:val="763"/>
    <w:next w:val="763"/>
    <w:uiPriority w:val="0"/>
    <w:qFormat/>
    <w:rPr>
      <w:rFonts w:ascii="Calibri" w:hAnsi="Calibri"/>
    </w:rPr>
  </w:style>
  <w:style w:type="paragraph" w:styleId="1026" w:customStyle="1">
    <w:name w:val="脚注文本1"/>
    <w:basedOn w:val="763"/>
    <w:uiPriority w:val="0"/>
    <w:qFormat/>
    <w:pPr>
      <w:jc w:val="left"/>
    </w:pPr>
    <w:rPr>
      <w:rFonts w:ascii="宋体"/>
      <w:bCs/>
      <w:sz w:val="18"/>
      <w:szCs w:val="18"/>
    </w:rPr>
  </w:style>
  <w:style w:type="paragraph" w:styleId="1027" w:customStyle="1">
    <w:name w:val="目录 61"/>
    <w:basedOn w:val="763"/>
    <w:next w:val="763"/>
    <w:uiPriority w:val="0"/>
    <w:qFormat/>
    <w:pPr>
      <w:ind w:left="1050"/>
      <w:jc w:val="left"/>
    </w:pPr>
    <w:rPr>
      <w:rFonts w:ascii="Calibri" w:hAnsi="Calibri" w:cs="Calibri"/>
      <w:sz w:val="18"/>
      <w:szCs w:val="18"/>
    </w:rPr>
  </w:style>
  <w:style w:type="paragraph" w:styleId="1028" w:customStyle="1">
    <w:name w:val="正文文本缩进 31"/>
    <w:basedOn w:val="763"/>
    <w:uiPriority w:val="0"/>
    <w:qFormat/>
    <w:pPr>
      <w:ind w:firstLine="213"/>
    </w:pPr>
    <w:rPr>
      <w:rFonts w:ascii="仿宋_GB2312" w:eastAsia="仿宋_GB2312"/>
      <w:sz w:val="30"/>
    </w:rPr>
  </w:style>
  <w:style w:type="paragraph" w:styleId="1029" w:customStyle="1">
    <w:name w:val="索引 71"/>
    <w:basedOn w:val="763"/>
    <w:next w:val="763"/>
    <w:uiPriority w:val="0"/>
    <w:qFormat/>
    <w:pPr>
      <w:ind w:left="1200"/>
    </w:pPr>
    <w:rPr>
      <w:rFonts w:ascii="Calibri" w:hAnsi="Calibri"/>
    </w:rPr>
  </w:style>
  <w:style w:type="paragraph" w:styleId="1030" w:customStyle="1">
    <w:name w:val="索引 91"/>
    <w:basedOn w:val="763"/>
    <w:next w:val="763"/>
    <w:uiPriority w:val="0"/>
    <w:qFormat/>
    <w:pPr>
      <w:ind w:left="1600"/>
    </w:pPr>
    <w:rPr>
      <w:rFonts w:ascii="Calibri" w:hAnsi="Calibri"/>
    </w:rPr>
  </w:style>
  <w:style w:type="paragraph" w:styleId="1031" w:customStyle="1">
    <w:name w:val="图表目录11"/>
    <w:basedOn w:val="763"/>
    <w:next w:val="763"/>
    <w:uiPriority w:val="0"/>
    <w:qFormat/>
    <w:pPr>
      <w:ind w:left="400" w:hanging="200"/>
      <w:jc w:val="left"/>
      <w:widowControl/>
    </w:pPr>
    <w:rPr>
      <w:rFonts w:ascii="宋体"/>
      <w:bCs/>
      <w:szCs w:val="21"/>
    </w:rPr>
  </w:style>
  <w:style w:type="paragraph" w:styleId="1032" w:customStyle="1">
    <w:name w:val="目录 21"/>
    <w:basedOn w:val="763"/>
    <w:next w:val="763"/>
    <w:uiPriority w:val="39"/>
    <w:qFormat/>
    <w:pPr>
      <w:ind w:left="210"/>
      <w:jc w:val="left"/>
    </w:pPr>
    <w:rPr>
      <w:rFonts w:ascii="Calibri" w:hAnsi="Calibri" w:cs="Calibri"/>
      <w:smallCaps/>
      <w:sz w:val="20"/>
      <w:szCs w:val="20"/>
    </w:rPr>
  </w:style>
  <w:style w:type="paragraph" w:styleId="1033" w:customStyle="1">
    <w:name w:val="目录 91"/>
    <w:basedOn w:val="763"/>
    <w:next w:val="763"/>
    <w:uiPriority w:val="0"/>
    <w:qFormat/>
    <w:pPr>
      <w:ind w:left="1680"/>
      <w:jc w:val="left"/>
    </w:pPr>
    <w:rPr>
      <w:rFonts w:ascii="Calibri" w:hAnsi="Calibri" w:cs="Calibri"/>
      <w:sz w:val="18"/>
      <w:szCs w:val="18"/>
    </w:rPr>
  </w:style>
  <w:style w:type="paragraph" w:styleId="1034" w:customStyle="1">
    <w:name w:val="正文文本 21"/>
    <w:basedOn w:val="763"/>
    <w:uiPriority w:val="0"/>
    <w:qFormat/>
    <w:pPr>
      <w:spacing w:line="560" w:lineRule="exact"/>
    </w:pPr>
    <w:rPr>
      <w:rFonts w:ascii="仿宋_GB2312" w:eastAsia="仿宋_GB2312"/>
      <w:sz w:val="28"/>
      <w:szCs w:val="30"/>
    </w:rPr>
  </w:style>
  <w:style w:type="paragraph" w:styleId="1035" w:customStyle="1">
    <w:name w:val="列表接续 21"/>
    <w:basedOn w:val="763"/>
    <w:uiPriority w:val="0"/>
    <w:qFormat/>
    <w:pPr>
      <w:ind w:left="840"/>
      <w:spacing w:after="120"/>
    </w:pPr>
  </w:style>
  <w:style w:type="paragraph" w:styleId="1036" w:customStyle="1">
    <w:name w:val="HTML 预设格式1"/>
    <w:basedOn w:val="7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7" w:customStyle="1">
    <w:name w:val="普通(网站)1"/>
    <w:basedOn w:val="763"/>
    <w:uiPriority w:val="0"/>
    <w:qFormat/>
    <w:pPr>
      <w:jc w:val="left"/>
      <w:spacing w:before="100" w:beforeAutospacing="1" w:after="100" w:afterAutospacing="1"/>
      <w:widowControl/>
    </w:pPr>
    <w:rPr>
      <w:rFonts w:ascii="宋体"/>
      <w:sz w:val="24"/>
      <w:szCs w:val="20"/>
    </w:rPr>
  </w:style>
  <w:style w:type="paragraph" w:styleId="1038" w:customStyle="1">
    <w:name w:val="索引 21"/>
    <w:basedOn w:val="763"/>
    <w:next w:val="763"/>
    <w:uiPriority w:val="0"/>
    <w:qFormat/>
    <w:pPr>
      <w:ind w:left="200"/>
    </w:pPr>
    <w:rPr>
      <w:rFonts w:ascii="Calibri" w:hAnsi="Calibri"/>
    </w:rPr>
  </w:style>
  <w:style w:type="paragraph" w:styleId="1039" w:customStyle="1">
    <w:name w:val="标题1"/>
    <w:basedOn w:val="763"/>
    <w:uiPriority w:val="0"/>
    <w:qFormat/>
    <w:pPr>
      <w:jc w:val="center"/>
      <w:spacing w:before="240" w:after="60"/>
      <w:outlineLvl w:val="0"/>
    </w:pPr>
    <w:rPr>
      <w:rFonts w:ascii="Cambria" w:hAnsi="Cambria"/>
      <w:b/>
      <w:bCs/>
      <w:sz w:val="32"/>
      <w:szCs w:val="32"/>
    </w:rPr>
  </w:style>
  <w:style w:type="paragraph" w:styleId="1040" w:customStyle="1">
    <w:name w:val="批注主题1"/>
    <w:basedOn w:val="997"/>
    <w:next w:val="997"/>
    <w:uiPriority w:val="0"/>
    <w:qFormat/>
    <w:rPr>
      <w:b/>
    </w:rPr>
  </w:style>
  <w:style w:type="paragraph" w:styleId="1041" w:customStyle="1">
    <w:name w:val="正文首行缩进1"/>
    <w:basedOn w:val="763"/>
    <w:next w:val="763"/>
    <w:uiPriority w:val="0"/>
    <w:qFormat/>
    <w:pPr>
      <w:ind w:firstLine="100"/>
      <w:spacing w:after="120"/>
    </w:pPr>
  </w:style>
  <w:style w:type="paragraph" w:styleId="1042" w:customStyle="1">
    <w:name w:val="正文首行缩进 21"/>
    <w:basedOn w:val="1002"/>
    <w:link w:val="1043"/>
    <w:uiPriority w:val="0"/>
    <w:qFormat/>
    <w:pPr>
      <w:ind w:left="200" w:firstLine="200"/>
      <w:spacing w:after="120"/>
    </w:pPr>
    <w:rPr>
      <w:rFonts w:ascii="Times New Roman"/>
      <w:sz w:val="24"/>
      <w:szCs w:val="24"/>
    </w:rPr>
  </w:style>
  <w:style w:type="character" w:styleId="1043" w:customStyle="1">
    <w:name w:val="正文文本首行缩进 2 字符"/>
    <w:link w:val="1042"/>
    <w:uiPriority w:val="0"/>
    <w:qFormat/>
    <w:rPr>
      <w:rFonts w:eastAsia="仿宋_GB2312"/>
      <w:sz w:val="24"/>
      <w:szCs w:val="24"/>
      <w:lang w:bidi="ar-SA"/>
    </w:rPr>
  </w:style>
  <w:style w:type="table" w:styleId="1044" w:customStyle="1">
    <w:name w:val="网格型1"/>
    <w:basedOn w:val="982"/>
    <w:uiPriority w:val="0"/>
    <w:qFormat/>
    <w:tblPr/>
  </w:style>
  <w:style w:type="character" w:styleId="1045" w:customStyle="1">
    <w:name w:val="要点1"/>
    <w:uiPriority w:val="0"/>
    <w:qFormat/>
    <w:rPr>
      <w:b/>
    </w:rPr>
  </w:style>
  <w:style w:type="character" w:styleId="1046" w:customStyle="1">
    <w:name w:val="尾注引用1"/>
    <w:uiPriority w:val="0"/>
    <w:qFormat/>
    <w:rPr>
      <w:vertAlign w:val="superscript"/>
    </w:rPr>
  </w:style>
  <w:style w:type="character" w:styleId="1047" w:customStyle="1">
    <w:name w:val="页码1"/>
    <w:uiPriority w:val="0"/>
    <w:qFormat/>
  </w:style>
  <w:style w:type="character" w:styleId="1048" w:customStyle="1">
    <w:name w:val="已访问的超链接1"/>
    <w:uiPriority w:val="0"/>
    <w:qFormat/>
    <w:rPr>
      <w:color w:val="800080"/>
      <w:u w:val="single"/>
    </w:rPr>
  </w:style>
  <w:style w:type="character" w:styleId="1049" w:customStyle="1">
    <w:name w:val="强调1"/>
    <w:uiPriority w:val="0"/>
    <w:qFormat/>
    <w:rPr>
      <w:color w:val="cc0033"/>
    </w:rPr>
  </w:style>
  <w:style w:type="character" w:styleId="1050" w:customStyle="1">
    <w:name w:val="HTML 打字机1"/>
    <w:uiPriority w:val="0"/>
    <w:qFormat/>
    <w:rPr>
      <w:rFonts w:ascii="宋体" w:eastAsia="宋体" w:cs="宋体"/>
      <w:sz w:val="24"/>
      <w:szCs w:val="24"/>
      <w:lang w:bidi="ar-SA"/>
    </w:rPr>
  </w:style>
  <w:style w:type="character" w:styleId="1051" w:customStyle="1">
    <w:name w:val="超链接1"/>
    <w:uiPriority w:val="99"/>
    <w:qFormat/>
    <w:rPr>
      <w:color w:val="0000ff"/>
      <w:u w:val="single"/>
    </w:rPr>
  </w:style>
  <w:style w:type="character" w:styleId="1052" w:customStyle="1">
    <w:name w:val="批注引用1"/>
    <w:uiPriority w:val="0"/>
    <w:qFormat/>
    <w:rPr>
      <w:sz w:val="21"/>
    </w:rPr>
  </w:style>
  <w:style w:type="character" w:styleId="1053" w:customStyle="1">
    <w:name w:val="脚注引用1"/>
    <w:uiPriority w:val="0"/>
    <w:qFormat/>
    <w:rPr>
      <w:vertAlign w:val="superscript"/>
    </w:rPr>
  </w:style>
  <w:style w:type="paragraph" w:styleId="1054" w:customStyle="1">
    <w:name w:val="样式 正文首行缩进 2 + Arial"/>
    <w:basedOn w:val="763"/>
    <w:next w:val="763"/>
    <w:uiPriority w:val="0"/>
    <w:qFormat/>
    <w:pPr>
      <w:ind w:firstLine="200"/>
      <w:spacing w:after="120" w:line="320" w:lineRule="atLeast"/>
    </w:pPr>
    <w:rPr>
      <w:rFonts w:ascii="Arial" w:hAnsi="Arial"/>
    </w:rPr>
  </w:style>
  <w:style w:type="character" w:styleId="1055" w:customStyle="1">
    <w:name w:val="Comment Text Char"/>
    <w:uiPriority w:val="0"/>
    <w:qFormat/>
    <w:rPr>
      <w:rFonts w:cs="Times New Roman"/>
      <w:sz w:val="21"/>
      <w:szCs w:val="21"/>
      <w:lang w:bidi="ar-SA"/>
    </w:rPr>
  </w:style>
  <w:style w:type="character" w:styleId="1056" w:customStyle="1">
    <w:name w:val="纯文本 Char_0"/>
    <w:link w:val="1057"/>
    <w:uiPriority w:val="0"/>
    <w:qFormat/>
    <w:rPr>
      <w:rFonts w:ascii="宋体" w:hAnsi="Courier New" w:cs="Courier New"/>
      <w:sz w:val="21"/>
      <w:szCs w:val="21"/>
    </w:rPr>
  </w:style>
  <w:style w:type="paragraph" w:styleId="1057" w:customStyle="1">
    <w:name w:val="纯文本_0"/>
    <w:basedOn w:val="1058"/>
    <w:link w:val="1056"/>
    <w:uiPriority w:val="0"/>
    <w:qFormat/>
    <w:rPr>
      <w:rFonts w:ascii="宋体" w:hAnsi="Courier New"/>
      <w:szCs w:val="21"/>
    </w:rPr>
  </w:style>
  <w:style w:type="paragraph" w:styleId="1058"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9" w:customStyle="1">
    <w:name w:val="ca-51"/>
    <w:uiPriority w:val="0"/>
    <w:qFormat/>
    <w:rPr>
      <w:rFonts w:ascii="楷体_GB2312" w:eastAsia="楷体_GB2312"/>
      <w:b/>
      <w:bCs/>
      <w:spacing w:val="-20"/>
      <w:sz w:val="24"/>
      <w:szCs w:val="24"/>
    </w:rPr>
  </w:style>
  <w:style w:type="character" w:styleId="1060" w:customStyle="1">
    <w:name w:val="Heading 4 Char_de27d71f-764f-47bd-84d1-49c3f4abdbf0"/>
    <w:uiPriority w:val="0"/>
    <w:qFormat/>
    <w:rPr>
      <w:rFonts w:ascii="Cambria" w:hAnsi="Cambria" w:eastAsia="宋体" w:cs="Cambria"/>
      <w:b/>
      <w:bCs/>
      <w:sz w:val="28"/>
      <w:szCs w:val="28"/>
      <w:lang w:bidi="ar-SA"/>
    </w:rPr>
  </w:style>
  <w:style w:type="character" w:styleId="1061" w:customStyle="1">
    <w:name w:val="正文缩进 Char1_0"/>
    <w:link w:val="1062"/>
    <w:uiPriority w:val="0"/>
    <w:qFormat/>
    <w:rPr>
      <w:sz w:val="21"/>
      <w:szCs w:val="22"/>
    </w:rPr>
  </w:style>
  <w:style w:type="paragraph" w:styleId="1062" w:customStyle="1">
    <w:name w:val="正文缩进_0"/>
    <w:basedOn w:val="1058"/>
    <w:link w:val="1061"/>
    <w:uiPriority w:val="0"/>
    <w:qFormat/>
    <w:pPr>
      <w:ind w:firstLine="420"/>
    </w:pPr>
    <w:rPr>
      <w:szCs w:val="22"/>
    </w:rPr>
  </w:style>
  <w:style w:type="character" w:styleId="1063" w:customStyle="1">
    <w:name w:val="Header Char1"/>
    <w:uiPriority w:val="0"/>
    <w:qFormat/>
    <w:rPr>
      <w:rFonts w:cs="Times New Roman"/>
      <w:sz w:val="18"/>
      <w:szCs w:val="18"/>
      <w:lang w:bidi="ar-SA"/>
    </w:rPr>
  </w:style>
  <w:style w:type="character" w:styleId="1064" w:customStyle="1">
    <w:name w:val="正文文本缩进 2 Char"/>
    <w:link w:val="1065"/>
    <w:uiPriority w:val="0"/>
    <w:qFormat/>
    <w:rPr>
      <w:rFonts w:hAnsi="Times New Roman"/>
      <w:sz w:val="21"/>
      <w:szCs w:val="20"/>
    </w:rPr>
  </w:style>
  <w:style w:type="paragraph" w:styleId="1065" w:customStyle="1">
    <w:name w:val="正文文本缩进 2_0"/>
    <w:basedOn w:val="1066"/>
    <w:link w:val="1064"/>
    <w:uiPriority w:val="0"/>
    <w:qFormat/>
    <w:pPr>
      <w:ind w:firstLine="525"/>
      <w:spacing w:line="420" w:lineRule="exact"/>
    </w:pPr>
  </w:style>
  <w:style w:type="paragraph" w:styleId="1066"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7" w:customStyle="1">
    <w:name w:val="Heading 3 Char_a5a6c394-65ab-4144-8017-81f81103df3a"/>
    <w:uiPriority w:val="0"/>
    <w:qFormat/>
    <w:rPr>
      <w:rFonts w:cs="Times New Roman"/>
      <w:b/>
      <w:bCs/>
      <w:sz w:val="32"/>
      <w:szCs w:val="32"/>
      <w:lang w:bidi="ar-SA"/>
    </w:rPr>
  </w:style>
  <w:style w:type="character" w:styleId="1068" w:customStyle="1">
    <w:name w:val="ca-21"/>
    <w:uiPriority w:val="0"/>
    <w:qFormat/>
    <w:rPr>
      <w:rFonts w:ascii="宋体" w:eastAsia="宋体"/>
      <w:sz w:val="21"/>
    </w:rPr>
  </w:style>
  <w:style w:type="character" w:styleId="1069" w:customStyle="1">
    <w:name w:val="Plain Text Char"/>
    <w:uiPriority w:val="0"/>
    <w:qFormat/>
    <w:rPr>
      <w:rFonts w:ascii="宋体" w:eastAsia="宋体"/>
      <w:sz w:val="21"/>
      <w:lang w:val="en-US" w:eastAsia="zh-CN"/>
    </w:rPr>
  </w:style>
  <w:style w:type="character" w:styleId="1070" w:customStyle="1">
    <w:name w:val="maywed421"/>
    <w:uiPriority w:val="0"/>
    <w:qFormat/>
    <w:rPr>
      <w:color w:val="366fb6"/>
      <w:u w:val="none"/>
    </w:rPr>
  </w:style>
  <w:style w:type="character" w:styleId="1071" w:customStyle="1">
    <w:name w:val="纯文本 Char_0_0"/>
    <w:link w:val="1072"/>
    <w:uiPriority w:val="0"/>
    <w:qFormat/>
    <w:rPr>
      <w:rFonts w:ascii="宋体" w:hAnsi="Courier New"/>
      <w:sz w:val="21"/>
      <w:szCs w:val="21"/>
    </w:rPr>
  </w:style>
  <w:style w:type="paragraph" w:styleId="1072" w:customStyle="1">
    <w:name w:val="纯文本_0_0"/>
    <w:basedOn w:val="1073"/>
    <w:link w:val="1071"/>
    <w:uiPriority w:val="0"/>
    <w:qFormat/>
    <w:rPr>
      <w:rFonts w:ascii="宋体" w:hAnsi="Courier New"/>
      <w:szCs w:val="21"/>
    </w:rPr>
  </w:style>
  <w:style w:type="paragraph" w:styleId="107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4" w:customStyle="1">
    <w:name w:val="style15"/>
    <w:uiPriority w:val="0"/>
    <w:qFormat/>
  </w:style>
  <w:style w:type="character" w:styleId="1075" w:customStyle="1">
    <w:name w:val="正文（标记） Char2"/>
    <w:link w:val="1076"/>
    <w:uiPriority w:val="0"/>
    <w:qFormat/>
    <w:rPr>
      <w:sz w:val="24"/>
      <w:szCs w:val="24"/>
    </w:rPr>
  </w:style>
  <w:style w:type="paragraph" w:styleId="1076" w:customStyle="1">
    <w:name w:val="正文（标记）"/>
    <w:basedOn w:val="763"/>
    <w:link w:val="1075"/>
    <w:uiPriority w:val="0"/>
    <w:qFormat/>
    <w:pPr>
      <w:spacing w:before="50" w:after="50"/>
      <w:tabs>
        <w:tab w:val="left" w:pos="0" w:leader="none"/>
        <w:tab w:val="left" w:pos="840" w:leader="none"/>
      </w:tabs>
    </w:pPr>
    <w:rPr>
      <w:sz w:val="24"/>
      <w:szCs w:val="24"/>
    </w:rPr>
  </w:style>
  <w:style w:type="character" w:styleId="1077" w:customStyle="1">
    <w:name w:val="段落 Char"/>
    <w:uiPriority w:val="0"/>
    <w:qFormat/>
    <w:rPr>
      <w:rFonts w:ascii="仿宋_GB2312" w:eastAsia="仿宋_GB2312"/>
      <w:sz w:val="24"/>
      <w:szCs w:val="24"/>
      <w:lang w:val="en-US" w:eastAsia="zh-CN" w:bidi="ar-SA"/>
    </w:rPr>
  </w:style>
  <w:style w:type="character" w:styleId="1078" w:customStyle="1">
    <w:name w:val="Char Char2"/>
    <w:uiPriority w:val="0"/>
    <w:qFormat/>
    <w:rPr>
      <w:sz w:val="18"/>
      <w:szCs w:val="18"/>
    </w:rPr>
  </w:style>
  <w:style w:type="character" w:styleId="1079" w:customStyle="1">
    <w:name w:val="style91"/>
    <w:uiPriority w:val="0"/>
    <w:qFormat/>
    <w:rPr>
      <w:color w:val="2060c0"/>
      <w:sz w:val="24"/>
      <w:szCs w:val="24"/>
    </w:rPr>
  </w:style>
  <w:style w:type="character" w:styleId="1080" w:customStyle="1">
    <w:name w:val="普通文字1 Char"/>
    <w:uiPriority w:val="0"/>
    <w:qFormat/>
    <w:rPr>
      <w:rFonts w:ascii="宋体" w:eastAsia="宋体" w:cs="Courier New"/>
      <w:sz w:val="21"/>
      <w:szCs w:val="21"/>
      <w:lang w:val="en-US" w:eastAsia="zh-CN" w:bidi="ar-SA"/>
    </w:rPr>
  </w:style>
  <w:style w:type="character" w:styleId="1081" w:customStyle="1">
    <w:name w:val="正文文本缩进 Char"/>
    <w:link w:val="1082"/>
    <w:uiPriority w:val="0"/>
    <w:qFormat/>
    <w:rPr>
      <w:rFonts w:hAnsi="Times New Roman"/>
      <w:szCs w:val="20"/>
    </w:rPr>
  </w:style>
  <w:style w:type="paragraph" w:styleId="1082" w:customStyle="1">
    <w:name w:val="正文文本缩进_0"/>
    <w:basedOn w:val="1066"/>
    <w:link w:val="1081"/>
    <w:uiPriority w:val="0"/>
    <w:qFormat/>
    <w:pPr>
      <w:ind w:firstLine="420"/>
      <w:spacing w:line="360" w:lineRule="auto"/>
    </w:pPr>
    <w:rPr>
      <w:sz w:val="20"/>
    </w:rPr>
  </w:style>
  <w:style w:type="character" w:styleId="1083" w:customStyle="1">
    <w:name w:val="Char Char21"/>
    <w:uiPriority w:val="0"/>
    <w:qFormat/>
    <w:rPr>
      <w:sz w:val="18"/>
      <w:szCs w:val="18"/>
    </w:rPr>
  </w:style>
  <w:style w:type="character" w:styleId="1084" w:customStyle="1">
    <w:name w:val="ca-41"/>
    <w:uiPriority w:val="0"/>
    <w:qFormat/>
    <w:rPr>
      <w:rFonts w:ascii="宋体" w:eastAsia="宋体"/>
      <w:b/>
      <w:bCs/>
      <w:color w:val="000000"/>
      <w:spacing w:val="-20"/>
      <w:sz w:val="21"/>
      <w:szCs w:val="21"/>
    </w:rPr>
  </w:style>
  <w:style w:type="character" w:styleId="1085" w:customStyle="1">
    <w:name w:val="question-title"/>
    <w:uiPriority w:val="0"/>
    <w:qFormat/>
  </w:style>
  <w:style w:type="character" w:styleId="1086" w:customStyle="1">
    <w:name w:val="A1"/>
    <w:uiPriority w:val="0"/>
    <w:qFormat/>
    <w:rPr>
      <w:rFonts w:ascii="Univers LT Std 45 Light" w:hAnsi="宋体" w:eastAsia="Univers LT Std 45 Light" w:cs="Univers LT Std 45 Light"/>
      <w:color w:val="221e1f"/>
      <w:sz w:val="10"/>
      <w:szCs w:val="10"/>
    </w:rPr>
  </w:style>
  <w:style w:type="character" w:styleId="1087" w:customStyle="1">
    <w:name w:val="style161"/>
    <w:uiPriority w:val="0"/>
    <w:qFormat/>
    <w:rPr>
      <w:rFonts w:ascii="Verdana" w:hAnsi="Verdana" w:eastAsia="宋体"/>
      <w:b/>
      <w:color w:val="0a246a"/>
      <w:sz w:val="24"/>
      <w:szCs w:val="24"/>
      <w:lang w:val="en-US" w:eastAsia="zh-CN" w:bidi="ar-SA"/>
    </w:rPr>
  </w:style>
  <w:style w:type="character" w:styleId="1088" w:customStyle="1">
    <w:name w:val="ca-31"/>
    <w:uiPriority w:val="0"/>
    <w:qFormat/>
    <w:rPr>
      <w:rFonts w:ascii="宋体" w:eastAsia="宋体"/>
      <w:color w:val="000000"/>
      <w:sz w:val="21"/>
      <w:szCs w:val="21"/>
    </w:rPr>
  </w:style>
  <w:style w:type="character" w:styleId="1089" w:customStyle="1">
    <w:name w:val="apple-converted-space"/>
    <w:uiPriority w:val="0"/>
    <w:qFormat/>
  </w:style>
  <w:style w:type="character" w:styleId="1090" w:customStyle="1">
    <w:name w:val="Footer Char1"/>
    <w:uiPriority w:val="0"/>
    <w:qFormat/>
    <w:rPr>
      <w:rFonts w:cs="Times New Roman"/>
      <w:sz w:val="18"/>
      <w:szCs w:val="18"/>
      <w:lang w:bidi="ar-SA"/>
    </w:rPr>
  </w:style>
  <w:style w:type="character" w:styleId="1091" w:customStyle="1">
    <w:name w:val="A0"/>
    <w:uiPriority w:val="0"/>
    <w:qFormat/>
    <w:rPr>
      <w:rFonts w:ascii=".....?." w:hAnsi="宋体" w:eastAsia=".....?."/>
      <w:color w:val="000000"/>
      <w:sz w:val="22"/>
    </w:rPr>
  </w:style>
  <w:style w:type="character" w:styleId="1092" w:customStyle="1">
    <w:name w:val="Char Char23"/>
    <w:uiPriority w:val="0"/>
    <w:qFormat/>
    <w:rPr>
      <w:sz w:val="24"/>
      <w:szCs w:val="21"/>
      <w:lang w:bidi="ar-SA"/>
    </w:rPr>
  </w:style>
  <w:style w:type="character" w:styleId="1093" w:customStyle="1">
    <w:name w:val="Char Char1"/>
    <w:uiPriority w:val="0"/>
    <w:qFormat/>
    <w:rPr>
      <w:rFonts w:ascii="宋体" w:eastAsia="宋体"/>
      <w:sz w:val="21"/>
      <w:lang w:val="en-US" w:eastAsia="zh-CN"/>
    </w:rPr>
  </w:style>
  <w:style w:type="character" w:styleId="1094" w:customStyle="1">
    <w:name w:val="apple-style-span"/>
    <w:uiPriority w:val="0"/>
    <w:qFormat/>
    <w:rPr>
      <w:rFonts w:ascii="宋体" w:hAnsi="宋体" w:cs="Times New Roman"/>
    </w:rPr>
  </w:style>
  <w:style w:type="character" w:styleId="1095" w:customStyle="1">
    <w:name w:val="无间隔 字符"/>
    <w:link w:val="1096"/>
    <w:uiPriority w:val="0"/>
    <w:qFormat/>
    <w:rPr>
      <w:sz w:val="22"/>
      <w:lang w:val="en-US" w:eastAsia="zh-CN" w:bidi="ar-SA"/>
    </w:rPr>
  </w:style>
  <w:style w:type="paragraph" w:styleId="1096" w:customStyle="1">
    <w:name w:val="无间隔1"/>
    <w:link w:val="1095"/>
    <w:uiPriority w:val="0"/>
    <w:qFormat/>
    <w:rPr>
      <w:rFonts w:ascii="Times New Roman" w:hAnsi="Times New Roman" w:eastAsia="宋体" w:cs="Times New Roman"/>
      <w:sz w:val="22"/>
      <w:lang w:val="en-US" w:eastAsia="zh-CN" w:bidi="ar-SA"/>
    </w:rPr>
  </w:style>
  <w:style w:type="character" w:styleId="1097" w:customStyle="1">
    <w:name w:val="Char Char3"/>
    <w:uiPriority w:val="0"/>
    <w:qFormat/>
    <w:rPr>
      <w:rFonts w:ascii="宋体" w:eastAsia="宋体"/>
      <w:sz w:val="18"/>
      <w:szCs w:val="18"/>
      <w:lang w:val="en-US" w:eastAsia="zh-CN" w:bidi="ar-SA"/>
    </w:rPr>
  </w:style>
  <w:style w:type="character" w:styleId="1098" w:customStyle="1">
    <w:name w:val="z12 style23"/>
    <w:uiPriority w:val="0"/>
    <w:qFormat/>
  </w:style>
  <w:style w:type="character" w:styleId="1099" w:customStyle="1">
    <w:name w:val="font41"/>
    <w:uiPriority w:val="0"/>
    <w:qFormat/>
    <w:rPr>
      <w:rFonts w:hint="eastAsia" w:ascii="宋体" w:hAnsi="宋体" w:eastAsia="宋体" w:cs="宋体"/>
      <w:color w:val="000000"/>
      <w:sz w:val="24"/>
      <w:szCs w:val="24"/>
      <w:u w:val="none"/>
    </w:rPr>
  </w:style>
  <w:style w:type="character" w:styleId="1100" w:customStyle="1">
    <w:name w:val="font11"/>
    <w:uiPriority w:val="0"/>
    <w:qFormat/>
    <w:rPr>
      <w:rFonts w:ascii="Times" w:hAnsi="Times" w:eastAsia="Times" w:cs="Times"/>
      <w:color w:val="000000"/>
      <w:sz w:val="24"/>
      <w:szCs w:val="24"/>
      <w:u w:val="none"/>
    </w:rPr>
  </w:style>
  <w:style w:type="character" w:styleId="1101" w:customStyle="1">
    <w:name w:val="Plain Text Char1"/>
    <w:uiPriority w:val="0"/>
    <w:qFormat/>
    <w:rPr>
      <w:rFonts w:ascii="宋体" w:eastAsia="宋体"/>
      <w:sz w:val="21"/>
      <w:szCs w:val="21"/>
      <w:lang w:val="en-US" w:eastAsia="zh-CN" w:bidi="ar-SA"/>
    </w:rPr>
  </w:style>
  <w:style w:type="character" w:styleId="1102" w:customStyle="1">
    <w:name w:val="Char Char"/>
    <w:uiPriority w:val="0"/>
    <w:qFormat/>
    <w:rPr>
      <w:rFonts w:eastAsia="宋体"/>
      <w:sz w:val="18"/>
      <w:lang w:val="en-US" w:eastAsia="zh-CN"/>
    </w:rPr>
  </w:style>
  <w:style w:type="character" w:styleId="1103" w:customStyle="1">
    <w:name w:val="wj1"/>
    <w:uiPriority w:val="0"/>
    <w:qFormat/>
    <w:rPr>
      <w:color w:val="000000"/>
      <w:sz w:val="18"/>
      <w:szCs w:val="18"/>
      <w:u w:val="none"/>
    </w:rPr>
  </w:style>
  <w:style w:type="character" w:styleId="1104" w:customStyle="1">
    <w:name w:val="Heading 2 Char_e7971b2e-95ff-491d-afd8-0e6cfcc6c1b2"/>
    <w:uiPriority w:val="0"/>
    <w:qFormat/>
    <w:rPr>
      <w:rFonts w:ascii="Arial" w:hAnsi="Arial" w:eastAsia="黑体"/>
      <w:b/>
      <w:bCs/>
      <w:sz w:val="32"/>
      <w:szCs w:val="32"/>
      <w:lang w:val="en-US" w:eastAsia="zh-CN" w:bidi="ar-SA"/>
    </w:rPr>
  </w:style>
  <w:style w:type="character" w:styleId="1105" w:customStyle="1">
    <w:name w:val="z1"/>
    <w:uiPriority w:val="0"/>
    <w:qFormat/>
  </w:style>
  <w:style w:type="character" w:styleId="1106" w:customStyle="1">
    <w:name w:val="font01"/>
    <w:uiPriority w:val="0"/>
    <w:qFormat/>
    <w:rPr>
      <w:rFonts w:hint="eastAsia" w:ascii="宋体" w:hAnsi="宋体" w:eastAsia="宋体" w:cs="宋体"/>
      <w:color w:val="000000"/>
      <w:sz w:val="24"/>
      <w:szCs w:val="24"/>
      <w:u w:val="none"/>
    </w:rPr>
  </w:style>
  <w:style w:type="character" w:styleId="1107" w:customStyle="1">
    <w:name w:val="Footer Char_f0e3e3bf-5b2e-454d-aedf-db4c0b3a23ed"/>
    <w:uiPriority w:val="0"/>
    <w:qFormat/>
    <w:rPr>
      <w:rFonts w:eastAsia="宋体"/>
      <w:sz w:val="18"/>
      <w:lang w:val="en-US" w:eastAsia="zh-CN"/>
    </w:rPr>
  </w:style>
  <w:style w:type="character" w:styleId="1108" w:customStyle="1">
    <w:name w:val="Header Char_9800ef60-2583-47c5-8652-b7f35f90c311"/>
    <w:uiPriority w:val="0"/>
    <w:qFormat/>
    <w:rPr>
      <w:rFonts w:eastAsia="宋体"/>
      <w:sz w:val="18"/>
      <w:lang w:val="en-US" w:eastAsia="zh-CN"/>
    </w:rPr>
  </w:style>
  <w:style w:type="character" w:styleId="1109" w:customStyle="1">
    <w:name w:val="ca-01"/>
    <w:uiPriority w:val="0"/>
    <w:qFormat/>
    <w:rPr>
      <w:rFonts w:ascii="宋体" w:eastAsia="宋体"/>
      <w:b/>
      <w:bCs/>
      <w:spacing w:val="-20"/>
      <w:sz w:val="24"/>
      <w:szCs w:val="24"/>
    </w:rPr>
  </w:style>
  <w:style w:type="character" w:styleId="1110" w:customStyle="1">
    <w:name w:val="font51"/>
    <w:uiPriority w:val="99"/>
    <w:qFormat/>
    <w:rPr>
      <w:rFonts w:ascii="宋体" w:hAnsi="宋体" w:eastAsia="宋体" w:cs="宋体"/>
      <w:color w:val="000000"/>
      <w:sz w:val="22"/>
      <w:szCs w:val="22"/>
    </w:rPr>
  </w:style>
  <w:style w:type="character" w:styleId="1111" w:customStyle="1">
    <w:name w:val="font21"/>
    <w:uiPriority w:val="0"/>
    <w:qFormat/>
    <w:rPr>
      <w:rFonts w:ascii="Times New Roman" w:hAnsi="Times New Roman"/>
      <w:color w:val="000000"/>
      <w:sz w:val="20"/>
      <w:u w:val="none"/>
    </w:rPr>
  </w:style>
  <w:style w:type="character" w:styleId="1112" w:customStyle="1">
    <w:name w:val="font31"/>
    <w:uiPriority w:val="0"/>
    <w:qFormat/>
    <w:rPr>
      <w:rFonts w:ascii="Arial" w:hAnsi="Arial" w:cs="Arial"/>
      <w:color w:val="000000"/>
      <w:sz w:val="22"/>
      <w:szCs w:val="22"/>
      <w:u w:val="none"/>
    </w:rPr>
  </w:style>
  <w:style w:type="character" w:styleId="1113" w:customStyle="1">
    <w:name w:val="正文（编号） Char Char"/>
    <w:link w:val="1114"/>
    <w:uiPriority w:val="0"/>
    <w:qFormat/>
    <w:rPr>
      <w:sz w:val="24"/>
      <w:szCs w:val="24"/>
    </w:rPr>
  </w:style>
  <w:style w:type="paragraph" w:styleId="1114" w:customStyle="1">
    <w:name w:val="正文（编号）"/>
    <w:basedOn w:val="1115"/>
    <w:link w:val="1113"/>
    <w:uiPriority w:val="0"/>
    <w:qFormat/>
    <w:pPr>
      <w:ind w:left="720" w:firstLine="0"/>
      <w:tabs>
        <w:tab w:val="left" w:pos="720" w:leader="none"/>
        <w:tab w:val="left" w:pos="780" w:leader="none"/>
      </w:tabs>
    </w:pPr>
    <w:rPr>
      <w:szCs w:val="24"/>
    </w:rPr>
  </w:style>
  <w:style w:type="paragraph" w:styleId="1115" w:customStyle="1">
    <w:name w:val="正文（缩进）"/>
    <w:basedOn w:val="763"/>
    <w:uiPriority w:val="0"/>
    <w:qFormat/>
    <w:pPr>
      <w:ind w:firstLine="200"/>
      <w:spacing w:before="50" w:after="50" w:line="360" w:lineRule="auto"/>
    </w:pPr>
    <w:rPr>
      <w:sz w:val="24"/>
    </w:rPr>
  </w:style>
  <w:style w:type="character" w:styleId="1116" w:customStyle="1">
    <w:name w:val="marklong"/>
    <w:uiPriority w:val="0"/>
    <w:qFormat/>
  </w:style>
  <w:style w:type="character" w:styleId="1117" w:customStyle="1">
    <w:name w:val="标题 2 Char Char Char"/>
    <w:uiPriority w:val="0"/>
    <w:qFormat/>
    <w:rPr>
      <w:rFonts w:ascii="Arial" w:hAnsi="Arial" w:eastAsia="宋体" w:cs="Arial"/>
      <w:b/>
      <w:bCs/>
      <w:i/>
      <w:iCs/>
      <w:sz w:val="28"/>
      <w:szCs w:val="28"/>
      <w:lang w:val="en-US" w:eastAsia="zh-CN" w:bidi="ar-SA"/>
    </w:rPr>
  </w:style>
  <w:style w:type="character" w:styleId="1118" w:customStyle="1">
    <w:name w:val="ca-1"/>
    <w:uiPriority w:val="0"/>
    <w:qFormat/>
  </w:style>
  <w:style w:type="character" w:styleId="1119" w:customStyle="1">
    <w:name w:val="ca-11"/>
    <w:uiPriority w:val="0"/>
    <w:qFormat/>
    <w:rPr>
      <w:rFonts w:ascii="宋体" w:eastAsia="宋体"/>
      <w:b/>
      <w:bCs/>
      <w:color w:val="000000"/>
      <w:spacing w:val="-20"/>
      <w:sz w:val="28"/>
      <w:szCs w:val="28"/>
    </w:rPr>
  </w:style>
  <w:style w:type="character" w:styleId="1120" w:customStyle="1">
    <w:name w:val="正文（缩进） Char Char"/>
    <w:uiPriority w:val="0"/>
    <w:qFormat/>
    <w:rPr>
      <w:rFonts w:eastAsia="宋体"/>
      <w:sz w:val="24"/>
      <w:szCs w:val="24"/>
      <w:lang w:val="en-US" w:eastAsia="zh-CN" w:bidi="ar-SA"/>
    </w:rPr>
  </w:style>
  <w:style w:type="character" w:styleId="1121" w:customStyle="1">
    <w:name w:val="Char Char31"/>
    <w:uiPriority w:val="0"/>
    <w:qFormat/>
    <w:rPr>
      <w:rFonts w:ascii="Arial" w:hAnsi="Arial" w:eastAsia="黑体" w:cs="Times New Roman"/>
      <w:b/>
      <w:bCs/>
      <w:sz w:val="32"/>
      <w:szCs w:val="32"/>
      <w:lang w:val="en-US" w:eastAsia="zh-CN" w:bidi="ar-SA"/>
    </w:rPr>
  </w:style>
  <w:style w:type="paragraph" w:styleId="1122" w:customStyle="1">
    <w:name w:val="表文1"/>
    <w:basedOn w:val="763"/>
    <w:uiPriority w:val="0"/>
    <w:qFormat/>
    <w:pPr>
      <w:ind w:firstLine="196"/>
      <w:spacing w:line="360" w:lineRule="auto"/>
      <w:widowControl/>
    </w:pPr>
    <w:rPr>
      <w:rFonts w:ascii="宋体"/>
      <w:sz w:val="24"/>
    </w:rPr>
  </w:style>
  <w:style w:type="paragraph" w:styleId="1123" w:customStyle="1">
    <w:name w:val="Normal_6_0"/>
    <w:uiPriority w:val="0"/>
    <w:qFormat/>
    <w:rPr>
      <w:rFonts w:ascii="黑体" w:hAnsi="黑体" w:eastAsia="黑体" w:cs="Times New Roman"/>
      <w:b/>
      <w:sz w:val="32"/>
      <w:szCs w:val="24"/>
      <w:lang w:val="en-US" w:eastAsia="zh-CN" w:bidi="ar-SA"/>
    </w:rPr>
  </w:style>
  <w:style w:type="paragraph" w:styleId="1124" w:customStyle="1">
    <w:name w:val="正文文本缩进1"/>
    <w:basedOn w:val="1125"/>
    <w:uiPriority w:val="99"/>
    <w:qFormat/>
    <w:pPr>
      <w:ind w:left="420"/>
      <w:spacing w:after="120"/>
    </w:pPr>
    <w:rPr>
      <w:rFonts w:ascii="Calibri" w:hAnsi="Calibri" w:cs="Calibri"/>
    </w:rPr>
  </w:style>
  <w:style w:type="paragraph" w:styleId="1125"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6" w:customStyle="1">
    <w:name w:val="Char Char Char"/>
    <w:basedOn w:val="763"/>
    <w:uiPriority w:val="0"/>
    <w:qFormat/>
    <w:rPr>
      <w:rFonts w:ascii="Calibri" w:hAnsi="Calibri"/>
      <w:szCs w:val="21"/>
    </w:rPr>
  </w:style>
  <w:style w:type="paragraph" w:styleId="1127" w:customStyle="1">
    <w:name w:val="无标题正文 Char Char Char Char Char Char Char Char Char Char Char Char Char Char Char Char Char Char Char Char Char Char Char Char Char Char Char1 Char"/>
    <w:basedOn w:val="763"/>
    <w:uiPriority w:val="0"/>
    <w:qFormat/>
    <w:pPr>
      <w:jc w:val="center"/>
      <w:spacing w:after="160" w:line="240" w:lineRule="exact"/>
      <w:widowControl/>
    </w:pPr>
    <w:rPr>
      <w:rFonts w:ascii="Arial" w:hAnsi="Arial"/>
      <w:sz w:val="20"/>
      <w:szCs w:val="20"/>
      <w:lang w:eastAsia="en-US"/>
    </w:rPr>
  </w:style>
  <w:style w:type="paragraph" w:styleId="1128" w:customStyle="1">
    <w:name w:val="xl29"/>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9" w:customStyle="1">
    <w:name w:val="Normal_9_0"/>
    <w:uiPriority w:val="0"/>
    <w:qFormat/>
    <w:rPr>
      <w:rFonts w:ascii="Times New Roman" w:hAnsi="Times New Roman" w:eastAsia="Times New Roman" w:cs="Times New Roman"/>
      <w:sz w:val="24"/>
      <w:szCs w:val="24"/>
      <w:lang w:val="en-US" w:eastAsia="zh-CN" w:bidi="ar-SA"/>
    </w:rPr>
  </w:style>
  <w:style w:type="paragraph" w:styleId="1130"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pa-6"/>
    <w:basedOn w:val="763"/>
    <w:uiPriority w:val="0"/>
    <w:qFormat/>
    <w:pPr>
      <w:spacing w:line="360" w:lineRule="atLeast"/>
      <w:widowControl/>
    </w:pPr>
    <w:rPr>
      <w:rFonts w:ascii="宋体"/>
      <w:sz w:val="24"/>
      <w:szCs w:val="20"/>
    </w:rPr>
  </w:style>
  <w:style w:type="paragraph" w:styleId="1132"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4"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前言、引言标题"/>
    <w:next w:val="76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7" w:customStyle="1">
    <w:name w:val="Char Char Char Char Char Char Char Char Char Char"/>
    <w:basedOn w:val="763"/>
    <w:uiPriority w:val="0"/>
    <w:qFormat/>
    <w:rPr>
      <w:rFonts w:ascii="Tahoma" w:hAnsi="Tahoma"/>
      <w:sz w:val="24"/>
      <w:szCs w:val="20"/>
    </w:rPr>
  </w:style>
  <w:style w:type="paragraph" w:styleId="1138" w:customStyle="1">
    <w:name w:val="篇名"/>
    <w:next w:val="97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2" w:customStyle="1">
    <w:name w:val="WPSOffice手动目录 1"/>
    <w:uiPriority w:val="0"/>
    <w:qFormat/>
    <w:rPr>
      <w:rFonts w:ascii="Times New Roman" w:hAnsi="Times New Roman" w:eastAsia="宋体" w:cs="Times New Roman"/>
      <w:lang w:val="en-US" w:eastAsia="zh-CN" w:bidi="ar-SA"/>
    </w:rPr>
  </w:style>
  <w:style w:type="paragraph" w:styleId="114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参考资料清单+倾斜+蓝色"/>
    <w:basedOn w:val="763"/>
    <w:uiPriority w:val="0"/>
    <w:qFormat/>
    <w:pPr>
      <w:spacing w:line="360" w:lineRule="auto"/>
    </w:pPr>
    <w:rPr>
      <w:rFonts w:ascii="Arial" w:hAnsi="Arial"/>
      <w:i/>
      <w:iCs/>
      <w:color w:val="0000ff"/>
      <w:szCs w:val="21"/>
    </w:rPr>
  </w:style>
  <w:style w:type="paragraph" w:styleId="1145" w:customStyle="1">
    <w:name w:val="Normal_8"/>
    <w:uiPriority w:val="0"/>
    <w:qFormat/>
    <w:rPr>
      <w:rFonts w:ascii="Times New Roman" w:hAnsi="Times New Roman" w:eastAsia="Times New Roman" w:cs="Times New Roman"/>
      <w:sz w:val="24"/>
      <w:szCs w:val="24"/>
      <w:lang w:val="en-US" w:eastAsia="zh-CN" w:bidi="ar-SA"/>
    </w:rPr>
  </w:style>
  <w:style w:type="paragraph" w:styleId="1146" w:customStyle="1">
    <w:name w:val="缩进正文"/>
    <w:basedOn w:val="763"/>
    <w:uiPriority w:val="0"/>
    <w:qFormat/>
    <w:pPr>
      <w:ind w:left="1418" w:firstLine="425"/>
      <w:jc w:val="left"/>
      <w:spacing w:after="200" w:line="400" w:lineRule="exact"/>
      <w:widowControl/>
    </w:pPr>
    <w:rPr>
      <w:rFonts w:ascii="宋体"/>
      <w:sz w:val="24"/>
      <w:szCs w:val="20"/>
    </w:rPr>
  </w:style>
  <w:style w:type="paragraph" w:styleId="1147" w:customStyle="1">
    <w:name w:val="Normal_2"/>
    <w:uiPriority w:val="0"/>
    <w:qFormat/>
    <w:rPr>
      <w:rFonts w:ascii="黑体" w:hAnsi="黑体" w:eastAsia="黑体" w:cs="Times New Roman"/>
      <w:b/>
      <w:sz w:val="32"/>
      <w:szCs w:val="24"/>
      <w:lang w:val="en-US" w:eastAsia="zh-CN" w:bidi="ar-SA"/>
    </w:rPr>
  </w:style>
  <w:style w:type="paragraph" w:styleId="1148" w:customStyle="1">
    <w:name w:val="Normal_1_2"/>
    <w:uiPriority w:val="0"/>
    <w:qFormat/>
    <w:rPr>
      <w:rFonts w:ascii="Times New Roman" w:hAnsi="Times New Roman" w:eastAsia="Times New Roman" w:cs="Times New Roman"/>
      <w:sz w:val="24"/>
      <w:szCs w:val="24"/>
      <w:lang w:val="en-US" w:eastAsia="zh-CN" w:bidi="ar-SA"/>
    </w:rPr>
  </w:style>
  <w:style w:type="paragraph" w:styleId="1149" w:customStyle="1">
    <w:name w:val="默认段落字体 Para Char Char Char Char Char Char Char Char Char1"/>
    <w:basedOn w:val="763"/>
    <w:uiPriority w:val="0"/>
    <w:qFormat/>
    <w:rPr>
      <w:rFonts w:ascii="Tahoma" w:hAnsi="Tahoma"/>
      <w:sz w:val="24"/>
      <w:szCs w:val="20"/>
    </w:rPr>
  </w:style>
  <w:style w:type="paragraph" w:styleId="1150" w:customStyle="1">
    <w:name w:val="样式 序号----------- + 仿宋_GB2312"/>
    <w:basedOn w:val="1151"/>
    <w:uiPriority w:val="0"/>
    <w:qFormat/>
    <w:pPr>
      <w:ind w:firstLine="200"/>
      <w:spacing w:line="360" w:lineRule="auto"/>
    </w:pPr>
    <w:rPr>
      <w:rFonts w:ascii="仿宋_GB2312" w:eastAsia="仿宋_GB2312"/>
      <w:bCs w:val="0"/>
    </w:rPr>
  </w:style>
  <w:style w:type="paragraph" w:styleId="1151" w:customStyle="1">
    <w:name w:val="序号-----------"/>
    <w:basedOn w:val="763"/>
    <w:uiPriority w:val="0"/>
    <w:qFormat/>
    <w:pPr>
      <w:jc w:val="left"/>
      <w:widowControl/>
    </w:pPr>
    <w:rPr>
      <w:rFonts w:ascii="宋体"/>
      <w:bCs/>
      <w:szCs w:val="21"/>
    </w:rPr>
  </w:style>
  <w:style w:type="paragraph" w:styleId="1152" w:customStyle="1">
    <w:name w:val="pa-8"/>
    <w:basedOn w:val="763"/>
    <w:uiPriority w:val="0"/>
    <w:qFormat/>
    <w:pPr>
      <w:ind w:firstLine="480"/>
      <w:spacing w:line="280" w:lineRule="atLeast"/>
      <w:widowControl/>
    </w:pPr>
    <w:rPr>
      <w:rFonts w:ascii="宋体" w:cs="宋体"/>
      <w:sz w:val="24"/>
    </w:rPr>
  </w:style>
  <w:style w:type="paragraph" w:styleId="1153" w:customStyle="1">
    <w:name w:val="Indent Normal"/>
    <w:basedOn w:val="763"/>
    <w:uiPriority w:val="0"/>
    <w:qFormat/>
    <w:pPr>
      <w:ind w:firstLine="150"/>
    </w:pPr>
    <w:rPr>
      <w:sz w:val="24"/>
      <w:szCs w:val="20"/>
    </w:rPr>
  </w:style>
  <w:style w:type="paragraph" w:styleId="1154" w:customStyle="1">
    <w:name w:val="Normal_3"/>
    <w:uiPriority w:val="0"/>
    <w:qFormat/>
    <w:rPr>
      <w:rFonts w:ascii="黑体" w:hAnsi="黑体" w:eastAsia="黑体" w:cs="Times New Roman"/>
      <w:b/>
      <w:sz w:val="32"/>
      <w:szCs w:val="24"/>
      <w:lang w:val="en-US" w:eastAsia="zh-CN" w:bidi="ar-SA"/>
    </w:rPr>
  </w:style>
  <w:style w:type="paragraph" w:styleId="1155" w:customStyle="1">
    <w:name w:val="寄信人地址1"/>
    <w:basedOn w:val="1125"/>
    <w:uiPriority w:val="99"/>
    <w:qFormat/>
    <w:rPr>
      <w:rFonts w:ascii="Arial" w:hAnsi="Arial" w:cs="Arial"/>
    </w:rPr>
  </w:style>
  <w:style w:type="paragraph" w:styleId="1156" w:customStyle="1">
    <w:name w:val="标题2"/>
    <w:basedOn w:val="763"/>
    <w:uiPriority w:val="0"/>
    <w:qFormat/>
    <w:pPr>
      <w:tabs>
        <w:tab w:val="left" w:pos="0" w:leader="none"/>
      </w:tabs>
    </w:pPr>
    <w:rPr>
      <w:rFonts w:ascii="黑体" w:eastAsia="黑体"/>
      <w:sz w:val="24"/>
    </w:rPr>
  </w:style>
  <w:style w:type="paragraph" w:styleId="1157" w:customStyle="1">
    <w:name w:val="Normal_10"/>
    <w:uiPriority w:val="0"/>
    <w:qFormat/>
    <w:rPr>
      <w:rFonts w:ascii="黑体" w:hAnsi="黑体" w:eastAsia="黑体" w:cs="Times New Roman"/>
      <w:b/>
      <w:sz w:val="32"/>
      <w:szCs w:val="24"/>
      <w:lang w:val="en-US" w:eastAsia="zh-CN" w:bidi="ar-SA"/>
    </w:rPr>
  </w:style>
  <w:style w:type="paragraph" w:styleId="1158" w:customStyle="1">
    <w:name w:val="样式3"/>
    <w:basedOn w:val="974"/>
    <w:uiPriority w:val="0"/>
    <w:qFormat/>
    <w:pPr>
      <w:spacing w:line="415" w:lineRule="auto"/>
    </w:pPr>
    <w:rPr>
      <w:rFonts w:ascii="Calibri" w:hAnsi="Calibri"/>
      <w:bCs/>
      <w:color w:val="000000"/>
      <w:sz w:val="28"/>
      <w:szCs w:val="28"/>
    </w:rPr>
  </w:style>
  <w:style w:type="paragraph" w:styleId="1159" w:customStyle="1">
    <w:name w:val="样式6"/>
    <w:basedOn w:val="81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0" w:customStyle="1">
    <w:name w:val="Char1 Char Char Char"/>
    <w:basedOn w:val="763"/>
    <w:uiPriority w:val="0"/>
    <w:qFormat/>
    <w:rPr>
      <w:szCs w:val="20"/>
    </w:rPr>
  </w:style>
  <w:style w:type="paragraph" w:styleId="1161" w:customStyle="1">
    <w:name w:val="纯文本2"/>
    <w:basedOn w:val="763"/>
    <w:uiPriority w:val="0"/>
    <w:qFormat/>
    <w:rPr>
      <w:rFonts w:ascii="宋体" w:hAnsi="Courier New" w:eastAsia="楷体_GB2312"/>
      <w:sz w:val="26"/>
      <w:szCs w:val="20"/>
    </w:rPr>
  </w:style>
  <w:style w:type="paragraph" w:styleId="1162" w:customStyle="1">
    <w:name w:val="Normal_4_0"/>
    <w:uiPriority w:val="0"/>
    <w:qFormat/>
    <w:rPr>
      <w:rFonts w:ascii="黑体" w:hAnsi="黑体" w:eastAsia="黑体" w:cs="Times New Roman"/>
      <w:b/>
      <w:sz w:val="32"/>
      <w:szCs w:val="24"/>
      <w:lang w:val="en-US" w:eastAsia="zh-CN" w:bidi="ar-SA"/>
    </w:rPr>
  </w:style>
  <w:style w:type="paragraph" w:styleId="1163" w:customStyle="1">
    <w:name w:val="三级条标题"/>
    <w:basedOn w:val="1164"/>
    <w:next w:val="1166"/>
    <w:uiPriority w:val="0"/>
    <w:qFormat/>
    <w:pPr>
      <w:ind w:left="1050"/>
      <w:outlineLvl w:val="4"/>
    </w:pPr>
  </w:style>
  <w:style w:type="paragraph" w:styleId="1164" w:customStyle="1">
    <w:name w:val="二级条标题"/>
    <w:basedOn w:val="1165"/>
    <w:next w:val="1166"/>
    <w:uiPriority w:val="0"/>
    <w:qFormat/>
    <w:pPr>
      <w:ind w:left="360"/>
      <w:outlineLvl w:val="3"/>
    </w:pPr>
  </w:style>
  <w:style w:type="paragraph" w:styleId="1165" w:customStyle="1">
    <w:name w:val="一级条标题"/>
    <w:next w:val="1166"/>
    <w:uiPriority w:val="0"/>
    <w:qFormat/>
    <w:pPr>
      <w:outlineLvl w:val="2"/>
    </w:pPr>
    <w:rPr>
      <w:rFonts w:ascii="Times New Roman" w:hAnsi="Times New Roman" w:eastAsia="黑体" w:cs="Times New Roman"/>
      <w:sz w:val="21"/>
      <w:lang w:val="en-US" w:eastAsia="zh-CN" w:bidi="ar-SA"/>
    </w:rPr>
  </w:style>
  <w:style w:type="paragraph" w:styleId="1166" w:customStyle="1">
    <w:name w:val="段"/>
    <w:uiPriority w:val="0"/>
    <w:qFormat/>
    <w:pPr>
      <w:ind w:firstLine="200"/>
      <w:jc w:val="both"/>
    </w:pPr>
    <w:rPr>
      <w:rFonts w:ascii="宋体" w:hAnsi="Times New Roman" w:eastAsia="宋体" w:cs="Times New Roman"/>
      <w:sz w:val="21"/>
      <w:lang w:val="en-US" w:eastAsia="zh-CN" w:bidi="ar-SA"/>
    </w:rPr>
  </w:style>
  <w:style w:type="paragraph" w:styleId="1167" w:customStyle="1">
    <w:name w:val="Normal_5_0"/>
    <w:uiPriority w:val="0"/>
    <w:qFormat/>
    <w:rPr>
      <w:rFonts w:ascii="黑体" w:hAnsi="黑体" w:eastAsia="黑体" w:cs="Times New Roman"/>
      <w:b/>
      <w:sz w:val="32"/>
      <w:szCs w:val="24"/>
      <w:lang w:val="en-US" w:eastAsia="zh-CN" w:bidi="ar-SA"/>
    </w:rPr>
  </w:style>
  <w:style w:type="paragraph" w:styleId="1168" w:customStyle="1">
    <w:name w:val="Normal_14_0"/>
    <w:uiPriority w:val="0"/>
    <w:qFormat/>
    <w:rPr>
      <w:rFonts w:ascii="黑体" w:hAnsi="黑体" w:eastAsia="黑体" w:cs="Times New Roman"/>
      <w:b/>
      <w:sz w:val="32"/>
      <w:szCs w:val="24"/>
      <w:lang w:val="en-US" w:eastAsia="zh-CN" w:bidi="ar-SA"/>
    </w:rPr>
  </w:style>
  <w:style w:type="paragraph" w:styleId="1169" w:customStyle="1">
    <w:name w:val="技术方案2"/>
    <w:basedOn w:val="763"/>
    <w:uiPriority w:val="0"/>
    <w:qFormat/>
    <w:pPr>
      <w:spacing w:line="480" w:lineRule="auto"/>
    </w:pPr>
    <w:rPr>
      <w:rFonts w:ascii="宋体"/>
      <w:b/>
      <w:bCs/>
      <w:sz w:val="36"/>
    </w:rPr>
  </w:style>
  <w:style w:type="paragraph" w:styleId="117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1" w:customStyle="1">
    <w:name w:val="Normal_0_0"/>
    <w:uiPriority w:val="0"/>
    <w:qFormat/>
    <w:rPr>
      <w:rFonts w:ascii="黑体" w:hAnsi="黑体" w:eastAsia="黑体" w:cs="Times New Roman"/>
      <w:b/>
      <w:sz w:val="40"/>
      <w:szCs w:val="24"/>
      <w:lang w:val="en-US" w:eastAsia="zh-CN" w:bidi="ar-SA"/>
    </w:rPr>
  </w:style>
  <w:style w:type="paragraph" w:styleId="1172" w:customStyle="1">
    <w:name w:val="表格标题"/>
    <w:basedOn w:val="763"/>
    <w:uiPriority w:val="0"/>
    <w:qFormat/>
    <w:pPr>
      <w:jc w:val="center"/>
    </w:pPr>
    <w:rPr>
      <w:b/>
    </w:rPr>
  </w:style>
  <w:style w:type="paragraph" w:styleId="1173" w:customStyle="1">
    <w:name w:val="表中文字"/>
    <w:basedOn w:val="763"/>
    <w:uiPriority w:val="0"/>
    <w:qFormat/>
    <w:pPr>
      <w:widowControl/>
    </w:pPr>
    <w:rPr>
      <w:rFonts w:ascii="Calibri" w:hAnsi="Calibri"/>
      <w:szCs w:val="20"/>
    </w:rPr>
  </w:style>
  <w:style w:type="paragraph" w:styleId="1174" w:customStyle="1">
    <w:name w:val="Char"/>
    <w:basedOn w:val="763"/>
    <w:uiPriority w:val="0"/>
    <w:qFormat/>
    <w:pPr>
      <w:jc w:val="left"/>
      <w:spacing w:after="160" w:line="240" w:lineRule="exact"/>
      <w:widowControl/>
    </w:pPr>
    <w:rPr>
      <w:rFonts w:ascii="Verdana" w:hAnsi="Verdana"/>
      <w:sz w:val="20"/>
      <w:szCs w:val="20"/>
      <w:lang w:eastAsia="en-US"/>
    </w:rPr>
  </w:style>
  <w:style w:type="paragraph" w:styleId="1175" w:customStyle="1">
    <w:name w:val="pbody"/>
    <w:basedOn w:val="763"/>
    <w:uiPriority w:val="0"/>
    <w:qFormat/>
    <w:pPr>
      <w:jc w:val="left"/>
      <w:spacing w:before="100" w:beforeAutospacing="1" w:after="100" w:afterAutospacing="1" w:line="360" w:lineRule="auto"/>
      <w:widowControl/>
    </w:pPr>
    <w:rPr>
      <w:rFonts w:ascii="宋体" w:cs="宋体"/>
      <w:sz w:val="24"/>
    </w:rPr>
  </w:style>
  <w:style w:type="paragraph" w:styleId="117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7" w:customStyle="1">
    <w:name w:val="Normal_9"/>
    <w:uiPriority w:val="0"/>
    <w:qFormat/>
    <w:rPr>
      <w:rFonts w:ascii="黑体" w:hAnsi="黑体" w:eastAsia="黑体" w:cs="Times New Roman"/>
      <w:b/>
      <w:sz w:val="32"/>
      <w:szCs w:val="24"/>
      <w:lang w:val="en-US" w:eastAsia="zh-CN" w:bidi="ar-SA"/>
    </w:rPr>
  </w:style>
  <w:style w:type="paragraph" w:styleId="1178" w:customStyle="1">
    <w:name w:val="表格正文"/>
    <w:basedOn w:val="763"/>
    <w:uiPriority w:val="0"/>
    <w:qFormat/>
    <w:pPr>
      <w:spacing w:line="300" w:lineRule="auto"/>
      <w:tabs>
        <w:tab w:val="left" w:pos="420" w:leader="none"/>
      </w:tabs>
    </w:pPr>
  </w:style>
  <w:style w:type="paragraph" w:styleId="1179" w:customStyle="1">
    <w:name w:val="目录 1_0"/>
    <w:basedOn w:val="1066"/>
    <w:next w:val="1066"/>
    <w:uiPriority w:val="0"/>
    <w:qFormat/>
    <w:pPr>
      <w:jc w:val="left"/>
    </w:pPr>
    <w:rPr>
      <w:rFonts w:hint="eastAsia" w:ascii="宋体" w:hAnsi="宋体"/>
      <w:b/>
      <w:sz w:val="24"/>
    </w:rPr>
  </w:style>
  <w:style w:type="paragraph" w:styleId="118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18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4" w:customStyle="1">
    <w:name w:val="标书2"/>
    <w:next w:val="1185"/>
    <w:uiPriority w:val="0"/>
    <w:qFormat/>
    <w:rPr>
      <w:rFonts w:ascii="Times New Roman" w:hAnsi="Times New Roman" w:eastAsia="黑体" w:cs="宋体"/>
      <w:b/>
      <w:sz w:val="44"/>
      <w:lang w:val="en-US" w:eastAsia="zh-CN" w:bidi="ar-SA"/>
    </w:rPr>
  </w:style>
  <w:style w:type="paragraph" w:styleId="118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6" w:customStyle="1">
    <w:name w:val="xl38"/>
    <w:basedOn w:val="7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7" w:customStyle="1">
    <w:name w:val="p0"/>
    <w:basedOn w:val="763"/>
    <w:uiPriority w:val="0"/>
    <w:qFormat/>
    <w:pPr>
      <w:widowControl/>
    </w:pPr>
    <w:rPr>
      <w:szCs w:val="21"/>
    </w:rPr>
  </w:style>
  <w:style w:type="paragraph" w:styleId="1188" w:customStyle="1">
    <w:name w:val="ibm-list-next"/>
    <w:basedOn w:val="763"/>
    <w:uiPriority w:val="0"/>
    <w:qFormat/>
    <w:pPr>
      <w:jc w:val="left"/>
      <w:spacing w:before="100" w:beforeAutospacing="1" w:after="100" w:afterAutospacing="1"/>
      <w:widowControl/>
    </w:pPr>
    <w:rPr>
      <w:rFonts w:ascii="宋体" w:cs="宋体"/>
      <w:sz w:val="24"/>
    </w:rPr>
  </w:style>
  <w:style w:type="paragraph" w:styleId="1189" w:customStyle="1">
    <w:name w:val="WPSOffice手动目录 2"/>
    <w:uiPriority w:val="0"/>
    <w:qFormat/>
    <w:rPr>
      <w:rFonts w:ascii="Times New Roman" w:hAnsi="Times New Roman" w:eastAsia="宋体" w:cs="Times New Roman"/>
      <w:lang w:val="en-US" w:eastAsia="zh-CN" w:bidi="ar-SA"/>
    </w:rPr>
  </w:style>
  <w:style w:type="paragraph" w:styleId="1190" w:customStyle="1">
    <w:name w:val="正文文字缩进 3"/>
    <w:basedOn w:val="763"/>
    <w:uiPriority w:val="0"/>
    <w:qFormat/>
    <w:pPr>
      <w:ind w:left="420" w:firstLine="420"/>
      <w:spacing w:line="312" w:lineRule="auto"/>
    </w:pPr>
    <w:rPr>
      <w:rFonts w:ascii="黑体" w:hAnsi="黑体" w:cs="宋体"/>
      <w:bCs/>
      <w:color w:val="000000"/>
      <w:sz w:val="24"/>
    </w:rPr>
  </w:style>
  <w:style w:type="paragraph" w:styleId="1191" w:customStyle="1">
    <w:name w:val="pa-9"/>
    <w:basedOn w:val="763"/>
    <w:uiPriority w:val="0"/>
    <w:qFormat/>
    <w:pPr>
      <w:jc w:val="center"/>
      <w:spacing w:line="360" w:lineRule="atLeast"/>
      <w:widowControl/>
    </w:pPr>
    <w:rPr>
      <w:rFonts w:ascii="宋体" w:cs="宋体"/>
      <w:sz w:val="24"/>
    </w:rPr>
  </w:style>
  <w:style w:type="paragraph" w:styleId="1192" w:customStyle="1">
    <w:name w:val="表格文字"/>
    <w:basedOn w:val="763"/>
    <w:uiPriority w:val="0"/>
    <w:qFormat/>
    <w:pPr>
      <w:jc w:val="left"/>
    </w:pPr>
    <w:rPr>
      <w:sz w:val="18"/>
    </w:rPr>
  </w:style>
  <w:style w:type="paragraph" w:styleId="1193" w:customStyle="1">
    <w:name w:val="Figure and Table Title"/>
    <w:basedOn w:val="763"/>
    <w:uiPriority w:val="0"/>
    <w:qFormat/>
    <w:pPr>
      <w:ind w:left="2160"/>
      <w:jc w:val="left"/>
      <w:widowControl/>
    </w:pPr>
    <w:rPr>
      <w:rFonts w:ascii="Helvetica-Light" w:hAnsi="Helvetica-Light"/>
      <w:b/>
      <w:bCs/>
      <w:sz w:val="20"/>
      <w:lang w:eastAsia="en-US"/>
    </w:rPr>
  </w:style>
  <w:style w:type="paragraph" w:styleId="119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6" w:customStyle="1">
    <w:name w:val="首页小标题"/>
    <w:next w:val="1197"/>
    <w:uiPriority w:val="0"/>
    <w:qFormat/>
    <w:pPr>
      <w:jc w:val="center"/>
    </w:pPr>
    <w:rPr>
      <w:rFonts w:ascii="Times New Roman" w:hAnsi="Times New Roman" w:eastAsia="宋体" w:cs="宋体"/>
      <w:sz w:val="44"/>
      <w:lang w:val="en-US" w:eastAsia="zh-CN" w:bidi="ar-SA"/>
    </w:rPr>
  </w:style>
  <w:style w:type="paragraph" w:styleId="1197" w:customStyle="1">
    <w:name w:val="首页空格"/>
    <w:uiPriority w:val="0"/>
    <w:qFormat/>
    <w:pPr>
      <w:jc w:val="center"/>
    </w:pPr>
    <w:rPr>
      <w:rFonts w:ascii="Times New Roman" w:hAnsi="Times New Roman" w:eastAsia="宋体" w:cs="宋体"/>
      <w:sz w:val="72"/>
      <w:lang w:val="en-US" w:eastAsia="zh-CN" w:bidi="ar-SA"/>
    </w:rPr>
  </w:style>
  <w:style w:type="paragraph" w:styleId="1198" w:customStyle="1">
    <w:name w:val="纯文本1"/>
    <w:basedOn w:val="763"/>
    <w:uiPriority w:val="0"/>
    <w:qFormat/>
    <w:rPr>
      <w:rFonts w:ascii="宋体" w:hAnsi="Courier New" w:eastAsia="楷体_GB2312"/>
      <w:sz w:val="26"/>
      <w:szCs w:val="20"/>
    </w:rPr>
  </w:style>
  <w:style w:type="paragraph" w:styleId="1199" w:customStyle="1">
    <w:name w:val="xl41"/>
    <w:basedOn w:val="76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0" w:customStyle="1">
    <w:name w:val="表头"/>
    <w:basedOn w:val="1201"/>
    <w:uiPriority w:val="0"/>
    <w:qFormat/>
    <w:pPr>
      <w:ind w:left="0" w:firstLine="0"/>
      <w:spacing w:line="240" w:lineRule="auto"/>
    </w:pPr>
    <w:rPr>
      <w:sz w:val="20"/>
    </w:rPr>
  </w:style>
  <w:style w:type="paragraph" w:styleId="1201" w:customStyle="1">
    <w:name w:val="正文1"/>
    <w:basedOn w:val="763"/>
    <w:uiPriority w:val="0"/>
    <w:qFormat/>
    <w:pPr>
      <w:ind w:left="357" w:firstLine="420"/>
      <w:jc w:val="left"/>
      <w:spacing w:line="360" w:lineRule="auto"/>
      <w:widowControl/>
    </w:pPr>
    <w:rPr>
      <w:rFonts w:cs="Arial"/>
      <w:szCs w:val="20"/>
    </w:rPr>
  </w:style>
  <w:style w:type="paragraph" w:styleId="120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表格序号"/>
    <w:uiPriority w:val="0"/>
    <w:qFormat/>
    <w:rPr>
      <w:rFonts w:ascii="Times New Roman" w:hAnsi="Times New Roman" w:eastAsia="仿宋_GB2312" w:cs="宋体"/>
      <w:sz w:val="21"/>
      <w:lang w:val="en-US" w:eastAsia="zh-CN" w:bidi="ar-SA"/>
    </w:rPr>
  </w:style>
  <w:style w:type="paragraph" w:styleId="120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5" w:customStyle="1">
    <w:name w:val="Normal_15"/>
    <w:uiPriority w:val="0"/>
    <w:qFormat/>
    <w:rPr>
      <w:rFonts w:ascii="黑体" w:hAnsi="黑体" w:eastAsia="黑体" w:cs="Times New Roman"/>
      <w:b/>
      <w:sz w:val="32"/>
      <w:szCs w:val="24"/>
      <w:lang w:val="en-US" w:eastAsia="zh-CN" w:bidi="ar-SA"/>
    </w:rPr>
  </w:style>
  <w:style w:type="paragraph" w:styleId="1206">
    <w:name w:val="List Paragraph"/>
    <w:basedOn w:val="763"/>
    <w:link w:val="1420"/>
    <w:uiPriority w:val="34"/>
    <w:qFormat/>
    <w:pPr>
      <w:ind w:firstLine="200"/>
    </w:pPr>
    <w:rPr>
      <w:rFonts w:ascii="Calibri" w:hAnsi="Calibri"/>
    </w:rPr>
  </w:style>
  <w:style w:type="paragraph" w:styleId="120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正文（首行缩进）"/>
    <w:basedOn w:val="763"/>
    <w:uiPriority w:val="0"/>
    <w:qFormat/>
    <w:pPr>
      <w:ind w:firstLine="482"/>
      <w:spacing w:before="120" w:line="360" w:lineRule="auto"/>
      <w:widowControl/>
    </w:pPr>
    <w:rPr>
      <w:rFonts w:ascii="Calibri" w:hAnsi="Calibri"/>
      <w:sz w:val="24"/>
      <w:szCs w:val="20"/>
    </w:rPr>
  </w:style>
  <w:style w:type="paragraph" w:styleId="120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技术方案3"/>
    <w:basedOn w:val="763"/>
    <w:uiPriority w:val="0"/>
    <w:qFormat/>
    <w:pPr>
      <w:spacing w:line="360" w:lineRule="auto"/>
    </w:pPr>
    <w:rPr>
      <w:rFonts w:ascii="宋体"/>
      <w:b/>
      <w:bCs/>
      <w:sz w:val="32"/>
    </w:rPr>
  </w:style>
  <w:style w:type="paragraph" w:styleId="1211" w:customStyle="1">
    <w:name w:val="默认段落字体 Para Char Char Char Char Char"/>
    <w:basedOn w:val="763"/>
    <w:uiPriority w:val="0"/>
    <w:qFormat/>
    <w:pPr>
      <w:ind w:firstLine="200"/>
      <w:jc w:val="left"/>
      <w:spacing w:before="100" w:beforeAutospacing="1" w:after="100" w:afterAutospacing="1" w:line="360" w:lineRule="auto"/>
    </w:pPr>
    <w:rPr>
      <w:rFonts w:ascii="Arial" w:hAnsi="Arial"/>
      <w:sz w:val="24"/>
      <w:lang w:eastAsia="en-US"/>
    </w:rPr>
  </w:style>
  <w:style w:type="paragraph" w:styleId="121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pa-10"/>
    <w:basedOn w:val="763"/>
    <w:uiPriority w:val="0"/>
    <w:qFormat/>
    <w:pPr>
      <w:spacing w:line="240" w:lineRule="atLeast"/>
      <w:widowControl/>
    </w:pPr>
    <w:rPr>
      <w:rFonts w:ascii="宋体" w:cs="宋体"/>
      <w:sz w:val="24"/>
    </w:rPr>
  </w:style>
  <w:style w:type="paragraph" w:styleId="1214" w:customStyle="1">
    <w:name w:val="pa-5"/>
    <w:basedOn w:val="763"/>
    <w:uiPriority w:val="0"/>
    <w:qFormat/>
    <w:pPr>
      <w:spacing w:line="280" w:lineRule="atLeast"/>
      <w:widowControl/>
    </w:pPr>
    <w:rPr>
      <w:rFonts w:ascii="宋体" w:cs="宋体"/>
      <w:sz w:val="24"/>
    </w:rPr>
  </w:style>
  <w:style w:type="paragraph" w:styleId="121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6" w:customStyle="1">
    <w:name w:val="新段落缩进"/>
    <w:basedOn w:val="763"/>
    <w:uiPriority w:val="0"/>
    <w:qFormat/>
    <w:pPr>
      <w:ind w:firstLine="200"/>
      <w:spacing w:line="400" w:lineRule="exact"/>
    </w:pPr>
    <w:rPr>
      <w:rFonts w:ascii="仿宋_GB2312" w:eastAsia="仿宋_GB2312"/>
      <w:sz w:val="24"/>
    </w:rPr>
  </w:style>
  <w:style w:type="paragraph" w:styleId="121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pa-2"/>
    <w:basedOn w:val="763"/>
    <w:uiPriority w:val="0"/>
    <w:qFormat/>
    <w:pPr>
      <w:spacing w:line="360" w:lineRule="atLeast"/>
      <w:widowControl/>
    </w:pPr>
    <w:rPr>
      <w:rFonts w:ascii="宋体" w:cs="宋体"/>
      <w:sz w:val="24"/>
    </w:rPr>
  </w:style>
  <w:style w:type="paragraph" w:styleId="1219" w:customStyle="1">
    <w:name w:val="列出段落1"/>
    <w:basedOn w:val="763"/>
    <w:uiPriority w:val="99"/>
    <w:qFormat/>
    <w:pPr>
      <w:ind w:firstLine="200"/>
    </w:pPr>
    <w:rPr>
      <w:rFonts w:ascii="Calibri" w:hAnsi="Calibri"/>
    </w:rPr>
  </w:style>
  <w:style w:type="paragraph" w:styleId="1220" w:customStyle="1">
    <w:name w:val="说明书2级标题"/>
    <w:basedOn w:val="763"/>
    <w:next w:val="1221"/>
    <w:uiPriority w:val="0"/>
    <w:qFormat/>
    <w:pPr>
      <w:numPr>
        <w:ilvl w:val="2"/>
        <w:numId w:val="1"/>
      </w:numPr>
      <w:spacing w:before="100"/>
    </w:pPr>
    <w:rPr>
      <w:rFonts w:ascii="Calibri" w:hAnsi="Calibri" w:eastAsia="黑体"/>
      <w:sz w:val="28"/>
      <w:szCs w:val="28"/>
    </w:rPr>
  </w:style>
  <w:style w:type="paragraph" w:styleId="1221" w:customStyle="1">
    <w:name w:val="说明书3级标题"/>
    <w:basedOn w:val="763"/>
    <w:next w:val="763"/>
    <w:uiPriority w:val="0"/>
    <w:qFormat/>
    <w:pPr>
      <w:numPr>
        <w:ilvl w:val="2"/>
        <w:numId w:val="2"/>
      </w:numPr>
      <w:spacing w:line="360" w:lineRule="auto"/>
    </w:pPr>
    <w:rPr>
      <w:rFonts w:ascii="Calibri" w:hAnsi="Calibri" w:eastAsia="黑体"/>
      <w:sz w:val="24"/>
    </w:rPr>
  </w:style>
  <w:style w:type="paragraph" w:styleId="1222" w:customStyle="1">
    <w:name w:val="Char Char1 Char Char Char Char Char Char Char Char"/>
    <w:basedOn w:val="763"/>
    <w:uiPriority w:val="0"/>
    <w:qFormat/>
    <w:pPr>
      <w:jc w:val="left"/>
      <w:spacing w:after="160" w:line="240" w:lineRule="exact"/>
      <w:widowControl/>
    </w:pPr>
  </w:style>
  <w:style w:type="paragraph" w:styleId="1223" w:customStyle="1">
    <w:name w:val="Normal_11_0"/>
    <w:uiPriority w:val="0"/>
    <w:qFormat/>
    <w:rPr>
      <w:rFonts w:ascii="黑体" w:hAnsi="黑体" w:eastAsia="黑体" w:cs="Times New Roman"/>
      <w:b/>
      <w:sz w:val="32"/>
      <w:szCs w:val="24"/>
      <w:lang w:val="en-US" w:eastAsia="zh-CN" w:bidi="ar-SA"/>
    </w:rPr>
  </w:style>
  <w:style w:type="paragraph" w:styleId="1224" w:customStyle="1">
    <w:name w:val="首页标题小初"/>
    <w:uiPriority w:val="0"/>
    <w:qFormat/>
    <w:pPr>
      <w:jc w:val="center"/>
    </w:pPr>
    <w:rPr>
      <w:rFonts w:ascii="黑体" w:hAnsi="Times New Roman" w:eastAsia="黑体" w:cs="宋体"/>
      <w:sz w:val="72"/>
      <w:lang w:val="en-US" w:eastAsia="zh-CN" w:bidi="ar-SA"/>
    </w:rPr>
  </w:style>
  <w:style w:type="paragraph" w:styleId="1225" w:customStyle="1">
    <w:name w:val="xl32"/>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7" w:customStyle="1">
    <w:name w:val="附图标题"/>
    <w:basedOn w:val="992"/>
    <w:next w:val="991"/>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五级条标题"/>
    <w:basedOn w:val="1231"/>
    <w:next w:val="1166"/>
    <w:uiPriority w:val="0"/>
    <w:qFormat/>
    <w:pPr>
      <w:outlineLvl w:val="6"/>
    </w:pPr>
  </w:style>
  <w:style w:type="paragraph" w:styleId="1231" w:customStyle="1">
    <w:name w:val="四级条标题"/>
    <w:basedOn w:val="1163"/>
    <w:next w:val="1166"/>
    <w:uiPriority w:val="0"/>
    <w:qFormat/>
    <w:pPr>
      <w:ind w:left="0"/>
      <w:outlineLvl w:val="5"/>
    </w:pPr>
  </w:style>
  <w:style w:type="paragraph" w:styleId="123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标准小四"/>
    <w:basedOn w:val="763"/>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Normal_18_0"/>
    <w:uiPriority w:val="0"/>
    <w:qFormat/>
    <w:rPr>
      <w:rFonts w:ascii="黑体" w:hAnsi="黑体" w:eastAsia="黑体" w:cs="Times New Roman"/>
      <w:b/>
      <w:sz w:val="32"/>
      <w:szCs w:val="24"/>
      <w:lang w:val="en-US" w:eastAsia="zh-CN" w:bidi="ar-SA"/>
    </w:rPr>
  </w:style>
  <w:style w:type="paragraph" w:styleId="1237" w:customStyle="1">
    <w:name w:val="a0"/>
    <w:basedOn w:val="763"/>
    <w:uiPriority w:val="0"/>
    <w:qFormat/>
    <w:pPr>
      <w:jc w:val="left"/>
      <w:spacing w:before="100" w:beforeAutospacing="1" w:after="100" w:afterAutospacing="1"/>
      <w:widowControl/>
    </w:pPr>
    <w:rPr>
      <w:rFonts w:ascii="宋体"/>
      <w:sz w:val="24"/>
    </w:rPr>
  </w:style>
  <w:style w:type="paragraph" w:styleId="1238" w:customStyle="1">
    <w:name w:val="正文（黑体）"/>
    <w:basedOn w:val="763"/>
    <w:next w:val="763"/>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加点正文缩进"/>
    <w:basedOn w:val="763"/>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_1"/>
    <w:uiPriority w:val="0"/>
    <w:qFormat/>
    <w:rPr>
      <w:rFonts w:ascii="黑体" w:hAnsi="黑体" w:eastAsia="黑体" w:cs="Times New Roman"/>
      <w:b/>
      <w:sz w:val="32"/>
      <w:szCs w:val="24"/>
      <w:lang w:val="en-US" w:eastAsia="zh-CN" w:bidi="ar-SA"/>
    </w:rPr>
  </w:style>
  <w:style w:type="paragraph" w:styleId="1243" w:customStyle="1">
    <w:name w:val="技术方案正文样式"/>
    <w:basedOn w:val="763"/>
    <w:uiPriority w:val="0"/>
    <w:qFormat/>
    <w:pPr>
      <w:ind w:firstLine="200"/>
      <w:spacing w:line="400" w:lineRule="exact"/>
    </w:pPr>
    <w:rPr>
      <w:rFonts w:ascii="宋体" w:cs="宋体"/>
      <w:sz w:val="24"/>
      <w:szCs w:val="21"/>
    </w:rPr>
  </w:style>
  <w:style w:type="paragraph" w:styleId="1244" w:customStyle="1">
    <w:name w:val="首页标题 一号"/>
    <w:basedOn w:val="1224"/>
    <w:uiPriority w:val="0"/>
    <w:qFormat/>
    <w:rPr>
      <w:sz w:val="52"/>
    </w:rPr>
  </w:style>
  <w:style w:type="paragraph" w:styleId="1245" w:customStyle="1">
    <w:name w:val="样式 正文2 + 首行缩进:  0 厘米 段后: 1.5 行"/>
    <w:basedOn w:val="76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63"/>
    <w:uiPriority w:val="0"/>
    <w:qFormat/>
    <w:pPr>
      <w:jc w:val="left"/>
      <w:widowControl/>
    </w:pPr>
    <w:rPr>
      <w:rFonts w:ascii="宋体"/>
      <w:b/>
      <w:bCs/>
      <w:sz w:val="20"/>
      <w:szCs w:val="20"/>
      <w:lang w:eastAsia="en-US"/>
    </w:rPr>
  </w:style>
  <w:style w:type="paragraph" w:styleId="1247" w:customStyle="1">
    <w:name w:val="样式 序号----------- + 仿宋_GB23121"/>
    <w:basedOn w:val="1151"/>
    <w:uiPriority w:val="0"/>
    <w:qFormat/>
    <w:pPr>
      <w:spacing w:line="360" w:lineRule="auto"/>
    </w:pPr>
    <w:rPr>
      <w:rFonts w:ascii="仿宋_GB2312" w:eastAsia="仿宋_GB2312"/>
      <w:bCs w:val="0"/>
    </w:rPr>
  </w:style>
  <w:style w:type="paragraph" w:styleId="1248" w:customStyle="1">
    <w:name w:val="Char Char Char Char1"/>
    <w:basedOn w:val="763"/>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Char1"/>
    <w:basedOn w:val="763"/>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章标题"/>
    <w:next w:val="116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0_1"/>
    <w:uiPriority w:val="0"/>
    <w:qFormat/>
    <w:rPr>
      <w:rFonts w:ascii="黑体" w:hAnsi="黑体" w:eastAsia="黑体" w:cs="Times New Roman"/>
      <w:b/>
      <w:sz w:val="32"/>
      <w:szCs w:val="24"/>
      <w:lang w:val="en-US" w:eastAsia="zh-CN" w:bidi="ar-SA"/>
    </w:rPr>
  </w:style>
  <w:style w:type="paragraph" w:styleId="1255" w:customStyle="1">
    <w:name w:val="列表段落1"/>
    <w:basedOn w:val="763"/>
    <w:uiPriority w:val="34"/>
    <w:qFormat/>
    <w:pPr>
      <w:ind w:firstLine="420"/>
    </w:pPr>
  </w:style>
  <w:style w:type="paragraph" w:styleId="1256" w:customStyle="1">
    <w:name w:val="默认段落字体 Para Char Char Char Char Char Char Char Char Char1 Char Char Char Char Char Char Char Char"/>
    <w:basedOn w:val="996"/>
    <w:uiPriority w:val="0"/>
    <w:qFormat/>
    <w:rPr>
      <w:rFonts w:ascii="Calibri" w:hAnsi="Calibri"/>
    </w:rPr>
  </w:style>
  <w:style w:type="paragraph" w:styleId="1257" w:customStyle="1">
    <w:name w:val="Normal_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12_0"/>
    <w:uiPriority w:val="0"/>
    <w:qFormat/>
    <w:rPr>
      <w:rFonts w:ascii="黑体" w:hAnsi="黑体" w:eastAsia="黑体" w:cs="Times New Roman"/>
      <w:b/>
      <w:sz w:val="32"/>
      <w:szCs w:val="24"/>
      <w:lang w:val="en-US" w:eastAsia="zh-CN" w:bidi="ar-SA"/>
    </w:rPr>
  </w:style>
  <w:style w:type="paragraph" w:styleId="1261" w:customStyle="1">
    <w:name w:val="ul"/>
    <w:basedOn w:val="76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4" w:customStyle="1">
    <w:name w:val="Normal_18"/>
    <w:uiPriority w:val="0"/>
    <w:qFormat/>
    <w:rPr>
      <w:rFonts w:ascii="黑体" w:hAnsi="黑体" w:eastAsia="黑体" w:cs="Times New Roman"/>
      <w:b/>
      <w:sz w:val="32"/>
      <w:szCs w:val="24"/>
      <w:lang w:val="en-US" w:eastAsia="zh-CN" w:bidi="ar-SA"/>
    </w:rPr>
  </w:style>
  <w:style w:type="paragraph" w:styleId="1265" w:customStyle="1">
    <w:name w:val="xl34"/>
    <w:basedOn w:val="763"/>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Char11"/>
    <w:basedOn w:val="763"/>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ascii="黑体" w:hAnsi="黑体" w:eastAsia="黑体" w:cs="Times New Roman"/>
      <w:b/>
      <w:sz w:val="32"/>
      <w:szCs w:val="24"/>
      <w:lang w:val="en-US" w:eastAsia="zh-CN" w:bidi="ar-SA"/>
    </w:rPr>
  </w:style>
  <w:style w:type="paragraph" w:styleId="1272" w:customStyle="1">
    <w:name w:val="Normal_8_0"/>
    <w:uiPriority w:val="0"/>
    <w:qFormat/>
    <w:rPr>
      <w:rFonts w:ascii="黑体" w:hAnsi="黑体" w:eastAsia="黑体" w:cs="Times New Roman"/>
      <w:b/>
      <w:sz w:val="32"/>
      <w:szCs w:val="24"/>
      <w:lang w:val="en-US" w:eastAsia="zh-CN" w:bidi="ar-SA"/>
    </w:rPr>
  </w:style>
  <w:style w:type="paragraph" w:styleId="1273" w:customStyle="1">
    <w:name w:val="文档正文"/>
    <w:basedOn w:val="763"/>
    <w:uiPriority w:val="0"/>
    <w:qFormat/>
    <w:rPr>
      <w:rFonts w:ascii="宋体"/>
      <w:szCs w:val="20"/>
    </w:rPr>
  </w:style>
  <w:style w:type="paragraph" w:styleId="1274" w:customStyle="1">
    <w:name w:val="技术方案正文"/>
    <w:basedOn w:val="763"/>
    <w:uiPriority w:val="0"/>
    <w:qFormat/>
    <w:pPr>
      <w:ind w:firstLine="480"/>
      <w:spacing w:line="360" w:lineRule="auto"/>
    </w:pPr>
    <w:rPr>
      <w:rFonts w:ascii="宋体"/>
      <w:sz w:val="24"/>
    </w:rPr>
  </w:style>
  <w:style w:type="paragraph" w:styleId="1275" w:customStyle="1">
    <w:name w:val="xl26"/>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63"/>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0_2"/>
    <w:uiPriority w:val="0"/>
    <w:qFormat/>
    <w:rPr>
      <w:rFonts w:ascii="黑体" w:hAnsi="黑体" w:eastAsia="黑体" w:cs="Times New Roman"/>
      <w:b/>
      <w:sz w:val="32"/>
      <w:szCs w:val="24"/>
      <w:lang w:val="en-US" w:eastAsia="zh-CN" w:bidi="ar-SA"/>
    </w:rPr>
  </w:style>
  <w:style w:type="paragraph" w:styleId="1279" w:customStyle="1">
    <w:name w:val="xl2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样式4"/>
    <w:basedOn w:val="974"/>
    <w:uiPriority w:val="0"/>
    <w:qFormat/>
    <w:pPr>
      <w:spacing w:line="415" w:lineRule="auto"/>
    </w:pPr>
    <w:rPr>
      <w:rFonts w:ascii="Calibri" w:hAnsi="Calibri"/>
      <w:bCs/>
      <w:color w:val="000000"/>
      <w:sz w:val="28"/>
      <w:szCs w:val="28"/>
    </w:rPr>
  </w:style>
  <w:style w:type="paragraph" w:styleId="1282" w:customStyle="1">
    <w:name w:val="pa-4"/>
    <w:basedOn w:val="763"/>
    <w:uiPriority w:val="0"/>
    <w:qFormat/>
    <w:pPr>
      <w:jc w:val="center"/>
      <w:spacing w:line="280" w:lineRule="atLeast"/>
      <w:widowControl/>
    </w:pPr>
    <w:rPr>
      <w:rFonts w:ascii="宋体" w:cs="宋体"/>
      <w:sz w:val="24"/>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标书3"/>
    <w:next w:val="1185"/>
    <w:uiPriority w:val="0"/>
    <w:qFormat/>
    <w:pPr>
      <w:jc w:val="center"/>
      <w:widowControl w:val="off"/>
    </w:pPr>
    <w:rPr>
      <w:rFonts w:ascii="Times New Roman" w:hAnsi="Times New Roman" w:eastAsia="黑体" w:cs="Times New Roman"/>
      <w:b/>
      <w:sz w:val="44"/>
      <w:szCs w:val="24"/>
      <w:lang w:val="en-US" w:eastAsia="zh-CN" w:bidi="ar-SA"/>
    </w:rPr>
  </w:style>
  <w:style w:type="paragraph" w:styleId="1285" w:customStyle="1">
    <w:name w:val="Char2"/>
    <w:basedOn w:val="763"/>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首行缩进两字）"/>
    <w:basedOn w:val="763"/>
    <w:uiPriority w:val="0"/>
    <w:qFormat/>
    <w:pPr>
      <w:spacing w:line="312" w:lineRule="auto"/>
    </w:pPr>
    <w:rPr>
      <w:rFonts w:ascii="宋体" w:cs="宋体"/>
      <w:sz w:val="24"/>
    </w:rPr>
  </w:style>
  <w:style w:type="paragraph" w:styleId="1288" w:customStyle="1">
    <w:name w:val="首页标题"/>
    <w:uiPriority w:val="0"/>
    <w:qFormat/>
    <w:pPr>
      <w:jc w:val="center"/>
    </w:pPr>
    <w:rPr>
      <w:rFonts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pa-3"/>
    <w:basedOn w:val="763"/>
    <w:uiPriority w:val="0"/>
    <w:qFormat/>
    <w:pPr>
      <w:jc w:val="left"/>
      <w:spacing w:before="150" w:after="150"/>
      <w:widowControl/>
    </w:pPr>
    <w:rPr>
      <w:rFonts w:ascii="宋体" w:cs="宋体"/>
      <w:sz w:val="24"/>
    </w:rPr>
  </w:style>
  <w:style w:type="paragraph" w:styleId="1292" w:customStyle="1">
    <w:name w:val="图号"/>
    <w:basedOn w:val="76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ascii="黑体" w:hAnsi="黑体" w:eastAsia="黑体" w:cs="Times New Roman"/>
      <w:b/>
      <w:sz w:val="32"/>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Char Char Char Char"/>
    <w:basedOn w:val="763"/>
    <w:uiPriority w:val="0"/>
    <w:qFormat/>
    <w:pPr>
      <w:ind w:left="560" w:firstLine="200"/>
      <w:jc w:val="left"/>
      <w:spacing w:after="120" w:line="360" w:lineRule="auto"/>
      <w:widowControl/>
    </w:pPr>
    <w:rPr>
      <w:rFonts w:ascii="Verdana" w:hAnsi="Verdana"/>
      <w:sz w:val="24"/>
    </w:rPr>
  </w:style>
  <w:style w:type="paragraph" w:styleId="1296" w:customStyle="1">
    <w:name w:val="font9"/>
    <w:basedOn w:val="763"/>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2"/>
    <w:uiPriority w:val="99"/>
    <w:qFormat/>
    <w:pPr>
      <w:ind w:firstLine="420"/>
    </w:pPr>
  </w:style>
  <w:style w:type="paragraph" w:styleId="1298" w:customStyle="1">
    <w:name w:val="CM17"/>
    <w:basedOn w:val="763"/>
    <w:next w:val="763"/>
    <w:uiPriority w:val="0"/>
    <w:qFormat/>
    <w:pPr>
      <w:jc w:val="left"/>
      <w:spacing w:after="273" w:line="360" w:lineRule="auto"/>
    </w:pPr>
    <w:rPr>
      <w:rFonts w:ascii="宋体"/>
      <w:sz w:val="24"/>
    </w:rPr>
  </w:style>
  <w:style w:type="paragraph" w:styleId="1299" w:customStyle="1">
    <w:name w:val="pa-0"/>
    <w:basedOn w:val="763"/>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amp;L"/>
    <w:basedOn w:val="1020"/>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font5"/>
    <w:basedOn w:val="763"/>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大汉方案正文 Char"/>
    <w:basedOn w:val="763"/>
    <w:uiPriority w:val="0"/>
    <w:qFormat/>
    <w:pPr>
      <w:ind w:firstLine="200"/>
      <w:spacing w:line="360" w:lineRule="auto"/>
    </w:pPr>
    <w:rPr>
      <w:rFonts w:ascii="Arial" w:hAnsi="Arial"/>
      <w:sz w:val="24"/>
    </w:rPr>
  </w:style>
  <w:style w:type="paragraph" w:styleId="1307" w:customStyle="1">
    <w:name w:val="样式2"/>
    <w:basedOn w:val="974"/>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ascii="黑体" w:hAnsi="黑体" w:eastAsia="黑体" w:cs="Times New Roman"/>
      <w:b/>
      <w:sz w:val="32"/>
      <w:szCs w:val="24"/>
      <w:lang w:val="en-US" w:eastAsia="zh-CN" w:bidi="ar-SA"/>
    </w:rPr>
  </w:style>
  <w:style w:type="paragraph" w:styleId="1309" w:customStyle="1">
    <w:name w:val="序号"/>
    <w:next w:val="763"/>
    <w:uiPriority w:val="0"/>
    <w:qFormat/>
    <w:pPr>
      <w:jc w:val="center"/>
    </w:pPr>
    <w:rPr>
      <w:rFonts w:ascii="Times New Roman" w:hAnsi="Times New Roman" w:eastAsia="仿宋_GB2312" w:cs="Times New Roman"/>
      <w:bCs/>
      <w:sz w:val="21"/>
      <w:szCs w:val="44"/>
      <w:lang w:val="en-US" w:eastAsia="zh-CN" w:bidi="ar-SA"/>
    </w:rPr>
  </w:style>
  <w:style w:type="paragraph" w:styleId="1310" w:customStyle="1">
    <w:name w:val="Normal_4"/>
    <w:uiPriority w:val="0"/>
    <w:qFormat/>
    <w:rPr>
      <w:rFonts w:ascii="黑体" w:hAnsi="黑体" w:eastAsia="黑体" w:cs="Times New Roman"/>
      <w:b/>
      <w:sz w:val="32"/>
      <w:szCs w:val="24"/>
      <w:lang w:val="en-US" w:eastAsia="zh-CN" w:bidi="ar-SA"/>
    </w:rPr>
  </w:style>
  <w:style w:type="paragraph" w:styleId="1311" w:customStyle="1">
    <w:name w:val="xl35"/>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63"/>
    <w:uiPriority w:val="0"/>
    <w:qFormat/>
    <w:pPr>
      <w:jc w:val="left"/>
      <w:spacing w:before="100" w:beforeAutospacing="1" w:after="100" w:afterAutospacing="1"/>
      <w:widowControl/>
    </w:pPr>
    <w:rPr>
      <w:rFonts w:ascii="宋体" w:cs="宋体"/>
      <w:sz w:val="24"/>
    </w:rPr>
  </w:style>
  <w:style w:type="paragraph" w:styleId="1313" w:customStyle="1">
    <w:name w:val="样式5"/>
    <w:basedOn w:val="974"/>
    <w:uiPriority w:val="0"/>
    <w:qFormat/>
    <w:pPr>
      <w:spacing w:line="415" w:lineRule="auto"/>
    </w:pPr>
    <w:rPr>
      <w:rFonts w:ascii="Calibri" w:hAnsi="Calibri"/>
      <w:bCs/>
      <w:color w:val="000000"/>
      <w:sz w:val="28"/>
      <w:szCs w:val="28"/>
    </w:rPr>
  </w:style>
  <w:style w:type="paragraph" w:styleId="1314" w:customStyle="1">
    <w:name w:val="font7"/>
    <w:basedOn w:val="763"/>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xl37"/>
    <w:basedOn w:val="7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63"/>
    <w:next w:val="1185"/>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2"/>
    <w:next w:val="763"/>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6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6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63"/>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63"/>
    <w:uiPriority w:val="0"/>
    <w:qFormat/>
    <w:rPr>
      <w:rFonts w:ascii="Tahoma" w:hAnsi="Tahoma" w:cs="Tahoma"/>
      <w:sz w:val="24"/>
    </w:rPr>
  </w:style>
  <w:style w:type="paragraph" w:styleId="1323" w:customStyle="1">
    <w:name w:val="Char Char Char Char Char Char Char1"/>
    <w:basedOn w:val="763"/>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6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Normal_11"/>
    <w:uiPriority w:val="0"/>
    <w:qFormat/>
    <w:rPr>
      <w:rFonts w:ascii="黑体" w:hAnsi="黑体" w:eastAsia="黑体" w:cs="Times New Roman"/>
      <w:b/>
      <w:sz w:val="32"/>
      <w:szCs w:val="24"/>
      <w:lang w:val="en-US" w:eastAsia="zh-CN" w:bidi="ar-SA"/>
    </w:rPr>
  </w:style>
  <w:style w:type="paragraph" w:styleId="1327" w:customStyle="1">
    <w:name w:val="Char12"/>
    <w:basedOn w:val="763"/>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9" w:customStyle="1">
    <w:name w:val="xl30"/>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style42"/>
    <w:basedOn w:val="763"/>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3"/>
    <w:uiPriority w:val="0"/>
    <w:qFormat/>
    <w:pPr>
      <w:spacing w:before="100" w:after="0" w:line="400" w:lineRule="exact"/>
    </w:pPr>
    <w:rPr>
      <w:rFonts w:ascii="Times New Roman" w:hAnsi="Times New Roman" w:cs="宋体"/>
      <w:b w:val="0"/>
      <w:sz w:val="28"/>
    </w:rPr>
  </w:style>
  <w:style w:type="paragraph" w:styleId="1333" w:customStyle="1">
    <w:name w:val="font6"/>
    <w:basedOn w:val="763"/>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41"/>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Normal_17_0"/>
    <w:uiPriority w:val="0"/>
    <w:qFormat/>
    <w:rPr>
      <w:rFonts w:ascii="黑体" w:hAnsi="黑体" w:eastAsia="黑体" w:cs="Times New Roman"/>
      <w:b/>
      <w:sz w:val="32"/>
      <w:szCs w:val="24"/>
      <w:lang w:val="en-US" w:eastAsia="zh-CN" w:bidi="ar-SA"/>
    </w:rPr>
  </w:style>
  <w:style w:type="paragraph" w:styleId="1337" w:customStyle="1">
    <w:name w:val="Char Char Char Char Char Char Char Char Char Char2"/>
    <w:basedOn w:val="763"/>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0" w:customStyle="1">
    <w:name w:val="Char Char Char Char Char Char Char1 Char"/>
    <w:basedOn w:val="763"/>
    <w:uiPriority w:val="0"/>
    <w:qFormat/>
    <w:rPr>
      <w:rFonts w:ascii="Tahoma" w:hAnsi="Tahoma"/>
      <w:sz w:val="24"/>
      <w:szCs w:val="20"/>
    </w:rPr>
  </w:style>
  <w:style w:type="paragraph" w:styleId="1341" w:customStyle="1">
    <w:name w:val="Char Char1 Char Char Char Char Char Char"/>
    <w:basedOn w:val="763"/>
    <w:uiPriority w:val="0"/>
    <w:qFormat/>
    <w:pPr>
      <w:jc w:val="center"/>
      <w:widowControl/>
    </w:pPr>
    <w:rPr>
      <w:szCs w:val="20"/>
    </w:rPr>
  </w:style>
  <w:style w:type="paragraph" w:styleId="1342" w:customStyle="1">
    <w:name w:val="Normal Paragraph Char"/>
    <w:basedOn w:val="763"/>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63"/>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63"/>
    <w:uiPriority w:val="0"/>
    <w:qFormat/>
    <w:rPr>
      <w:rFonts w:ascii="宋体"/>
      <w:b/>
      <w:sz w:val="28"/>
      <w:szCs w:val="28"/>
    </w:rPr>
  </w:style>
  <w:style w:type="paragraph" w:styleId="13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_0"/>
    <w:uiPriority w:val="0"/>
    <w:qFormat/>
    <w:rPr>
      <w:rFonts w:ascii="Times New Roman" w:hAnsi="Times New Roman" w:eastAsia="Times New Roman" w:cs="Times New Roman"/>
      <w:sz w:val="24"/>
      <w:szCs w:val="24"/>
      <w:lang w:val="en-US" w:eastAsia="zh-CN" w:bidi="ar-SA"/>
    </w:rPr>
  </w:style>
  <w:style w:type="paragraph" w:styleId="1347" w:customStyle="1">
    <w:name w:val="Char Char Char1"/>
    <w:basedOn w:val="763"/>
    <w:uiPriority w:val="0"/>
    <w:qFormat/>
    <w:rPr>
      <w:rFonts w:ascii="Tahoma" w:hAnsi="Tahoma"/>
      <w:sz w:val="24"/>
      <w:szCs w:val="20"/>
    </w:rPr>
  </w:style>
  <w:style w:type="paragraph" w:styleId="1348" w:customStyle="1">
    <w:name w:val="Normal1"/>
    <w:uiPriority w:val="0"/>
    <w:qFormat/>
    <w:rPr>
      <w:rFonts w:ascii="Times New Roman" w:hAnsi="Times New Roman" w:eastAsia="Times New Roman" w:cs="Times New Roman"/>
      <w:sz w:val="24"/>
      <w:szCs w:val="24"/>
      <w:lang w:val="en-US" w:eastAsia="zh-CN" w:bidi="ar-SA"/>
    </w:rPr>
  </w:style>
  <w:style w:type="paragraph" w:styleId="1349" w:customStyle="1">
    <w:name w:val="xl33"/>
    <w:basedOn w:val="76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63"/>
    <w:uiPriority w:val="0"/>
    <w:qFormat/>
    <w:pPr>
      <w:ind w:firstLine="21"/>
    </w:pPr>
    <w:rPr>
      <w:rFonts w:ascii="宋体"/>
      <w:szCs w:val="20"/>
    </w:rPr>
  </w:style>
  <w:style w:type="paragraph" w:styleId="13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xl39"/>
    <w:basedOn w:val="76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63"/>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Bullet"/>
    <w:basedOn w:val="76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6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规范正文"/>
    <w:basedOn w:val="763"/>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特点"/>
    <w:basedOn w:val="763"/>
    <w:next w:val="763"/>
    <w:uiPriority w:val="0"/>
    <w:qFormat/>
    <w:pPr>
      <w:jc w:val="center"/>
      <w:spacing w:line="360" w:lineRule="auto"/>
    </w:pPr>
    <w:rPr>
      <w:rFonts w:ascii="Arial" w:hAnsi="Arial"/>
      <w:sz w:val="24"/>
      <w:szCs w:val="20"/>
    </w:rPr>
  </w:style>
  <w:style w:type="paragraph" w:styleId="1367" w:customStyle="1">
    <w:name w:val="正文小四"/>
    <w:basedOn w:val="763"/>
    <w:uiPriority w:val="0"/>
    <w:qFormat/>
    <w:pPr>
      <w:spacing w:line="312" w:lineRule="auto"/>
    </w:pPr>
    <w:rPr>
      <w:rFonts w:ascii="Calibri" w:hAnsi="Calibri"/>
      <w:sz w:val="24"/>
    </w:rPr>
  </w:style>
  <w:style w:type="paragraph" w:styleId="1368" w:customStyle="1">
    <w:name w:val="Normal_15_0"/>
    <w:uiPriority w:val="0"/>
    <w:qFormat/>
    <w:rPr>
      <w:rFonts w:ascii="黑体" w:hAnsi="黑体" w:eastAsia="黑体" w:cs="Times New Roman"/>
      <w:b/>
      <w:sz w:val="32"/>
      <w:szCs w:val="24"/>
      <w:lang w:val="en-US" w:eastAsia="zh-CN" w:bidi="ar-SA"/>
    </w:rPr>
  </w:style>
  <w:style w:type="paragraph" w:styleId="1369" w:customStyle="1">
    <w:name w:val="tabletext"/>
    <w:basedOn w:val="763"/>
    <w:uiPriority w:val="0"/>
    <w:qFormat/>
    <w:pPr>
      <w:jc w:val="left"/>
      <w:spacing w:before="100" w:beforeAutospacing="1" w:after="100" w:afterAutospacing="1"/>
      <w:widowControl/>
    </w:pPr>
    <w:rPr>
      <w:rFonts w:ascii="宋体"/>
      <w:sz w:val="24"/>
    </w:rPr>
  </w:style>
  <w:style w:type="paragraph" w:styleId="1370" w:customStyle="1">
    <w:name w:val="表内容"/>
    <w:basedOn w:val="1201"/>
    <w:uiPriority w:val="0"/>
    <w:qFormat/>
    <w:pPr>
      <w:ind w:left="0" w:firstLine="0"/>
      <w:spacing w:line="320" w:lineRule="exact"/>
    </w:pPr>
    <w:rPr>
      <w:sz w:val="20"/>
    </w:rPr>
  </w:style>
  <w:style w:type="paragraph" w:styleId="1371" w:customStyle="1">
    <w:name w:val="Char13"/>
    <w:basedOn w:val="763"/>
    <w:uiPriority w:val="0"/>
    <w:qFormat/>
  </w:style>
  <w:style w:type="paragraph" w:styleId="1372" w:customStyle="1">
    <w:name w:val="我的样式"/>
    <w:basedOn w:val="763"/>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编号1"/>
    <w:next w:val="118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5" w:customStyle="1">
    <w:name w:val="Normal_0"/>
    <w:uiPriority w:val="0"/>
    <w:qFormat/>
    <w:rPr>
      <w:rFonts w:ascii="黑体" w:hAnsi="黑体" w:eastAsia="黑体" w:cs="Times New Roman"/>
      <w:b/>
      <w:sz w:val="32"/>
      <w:szCs w:val="24"/>
      <w:lang w:val="en-US" w:eastAsia="zh-CN" w:bidi="ar-SA"/>
    </w:rPr>
  </w:style>
  <w:style w:type="paragraph" w:styleId="1376" w:customStyle="1">
    <w:name w:val="首页单位日期"/>
    <w:basedOn w:val="763"/>
    <w:uiPriority w:val="0"/>
    <w:qFormat/>
    <w:pPr>
      <w:jc w:val="center"/>
      <w:widowControl/>
    </w:pPr>
    <w:rPr>
      <w:rFonts w:ascii="宋体" w:cs="宋体"/>
      <w:bCs/>
      <w:sz w:val="28"/>
      <w:szCs w:val="20"/>
    </w:rPr>
  </w:style>
  <w:style w:type="paragraph" w:styleId="1377" w:customStyle="1">
    <w:name w:val="Normal Paragraph"/>
    <w:basedOn w:val="763"/>
    <w:uiPriority w:val="0"/>
    <w:qFormat/>
    <w:pPr>
      <w:ind w:firstLine="425"/>
      <w:spacing w:before="120" w:line="360" w:lineRule="auto"/>
      <w:widowControl/>
    </w:pPr>
    <w:rPr>
      <w:rFonts w:ascii="Calibri" w:hAnsi="Calibri"/>
      <w:sz w:val="24"/>
      <w:szCs w:val="20"/>
    </w:rPr>
  </w:style>
  <w:style w:type="paragraph" w:styleId="1378" w:customStyle="1">
    <w:name w:val="xl36"/>
    <w:basedOn w:val="7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63"/>
    <w:uiPriority w:val="0"/>
    <w:qFormat/>
    <w:pPr>
      <w:jc w:val="left"/>
      <w:spacing w:line="360" w:lineRule="auto"/>
      <w:widowControl/>
    </w:pPr>
    <w:rPr>
      <w:sz w:val="24"/>
      <w:szCs w:val="20"/>
    </w:rPr>
  </w:style>
  <w:style w:type="paragraph" w:styleId="1380" w:customStyle="1">
    <w:name w:val="Char Char Char Char Char Char Char Char Char Char3"/>
    <w:basedOn w:val="763"/>
    <w:uiPriority w:val="0"/>
    <w:qFormat/>
    <w:rPr>
      <w:rFonts w:ascii="Tahoma" w:hAnsi="Tahoma"/>
      <w:sz w:val="24"/>
      <w:szCs w:val="20"/>
    </w:rPr>
  </w:style>
  <w:style w:type="paragraph" w:styleId="1381" w:customStyle="1">
    <w:name w:val="a1"/>
    <w:basedOn w:val="763"/>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xl27"/>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63"/>
    <w:uiPriority w:val="0"/>
    <w:qFormat/>
    <w:pPr>
      <w:ind w:firstLine="425"/>
      <w:spacing w:after="240" w:line="240" w:lineRule="atLeast"/>
      <w:widowControl/>
    </w:pPr>
    <w:rPr>
      <w:sz w:val="24"/>
      <w:szCs w:val="20"/>
    </w:rPr>
  </w:style>
  <w:style w:type="paragraph" w:styleId="1386" w:customStyle="1">
    <w:name w:val="Normal_16_0"/>
    <w:uiPriority w:val="0"/>
    <w:qFormat/>
    <w:rPr>
      <w:rFonts w:ascii="黑体" w:hAnsi="黑体" w:eastAsia="黑体" w:cs="Times New Roman"/>
      <w:b/>
      <w:sz w:val="32"/>
      <w:szCs w:val="24"/>
      <w:lang w:val="en-US" w:eastAsia="zh-CN" w:bidi="ar-SA"/>
    </w:rPr>
  </w:style>
  <w:style w:type="paragraph" w:styleId="1387" w:customStyle="1">
    <w:name w:val="Normal_17"/>
    <w:uiPriority w:val="0"/>
    <w:qFormat/>
    <w:rPr>
      <w:rFonts w:ascii="黑体" w:hAnsi="黑体" w:eastAsia="黑体" w:cs="Times New Roman"/>
      <w:b/>
      <w:sz w:val="32"/>
      <w:szCs w:val="24"/>
      <w:lang w:val="en-US" w:eastAsia="zh-CN" w:bidi="ar-SA"/>
    </w:rPr>
  </w:style>
  <w:style w:type="paragraph" w:styleId="1388" w:customStyle="1">
    <w:name w:val="xl42"/>
    <w:basedOn w:val="76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63"/>
    <w:uiPriority w:val="0"/>
    <w:qFormat/>
    <w:pPr>
      <w:ind w:firstLine="200"/>
    </w:pPr>
    <w:rPr>
      <w:rFonts w:ascii="Calibri" w:hAnsi="Calibri"/>
    </w:rPr>
  </w:style>
  <w:style w:type="paragraph" w:styleId="1390" w:customStyle="1">
    <w:name w:val="缺省文本"/>
    <w:basedOn w:val="763"/>
    <w:uiPriority w:val="0"/>
    <w:qFormat/>
    <w:pPr>
      <w:jc w:val="left"/>
    </w:pPr>
    <w:rPr>
      <w:sz w:val="24"/>
      <w:szCs w:val="20"/>
    </w:rPr>
  </w:style>
  <w:style w:type="paragraph" w:styleId="1391" w:customStyle="1">
    <w:name w:val="Normal_13"/>
    <w:uiPriority w:val="0"/>
    <w:qFormat/>
    <w:rPr>
      <w:rFonts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3" w:customStyle="1">
    <w:name w:val="FA正文+标号"/>
    <w:basedOn w:val="76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63"/>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 + 宋体"/>
    <w:basedOn w:val="763"/>
    <w:uiPriority w:val="0"/>
    <w:qFormat/>
    <w:pPr>
      <w:ind w:firstLine="250"/>
    </w:pPr>
    <w:rPr>
      <w:rFonts w:ascii="宋体"/>
      <w:szCs w:val="21"/>
    </w:rPr>
  </w:style>
  <w:style w:type="paragraph" w:styleId="1397" w:customStyle="1">
    <w:name w:val="Normal_5"/>
    <w:uiPriority w:val="0"/>
    <w:qFormat/>
    <w:rPr>
      <w:rFonts w:ascii="黑体" w:hAnsi="黑体" w:eastAsia="黑体" w:cs="Times New Roman"/>
      <w:b/>
      <w:sz w:val="32"/>
      <w:szCs w:val="24"/>
      <w:lang w:val="en-US" w:eastAsia="zh-CN" w:bidi="ar-SA"/>
    </w:rPr>
  </w:style>
  <w:style w:type="paragraph" w:styleId="1398" w:customStyle="1">
    <w:name w:val="Normal_13_0"/>
    <w:uiPriority w:val="0"/>
    <w:qFormat/>
    <w:rPr>
      <w:rFonts w:ascii="黑体" w:hAnsi="黑体" w:eastAsia="黑体" w:cs="Times New Roman"/>
      <w:b/>
      <w:sz w:val="32"/>
      <w:szCs w:val="24"/>
      <w:lang w:val="en-US" w:eastAsia="zh-CN" w:bidi="ar-SA"/>
    </w:rPr>
  </w:style>
  <w:style w:type="paragraph" w:styleId="1399" w:customStyle="1">
    <w:name w:val="Normal_14"/>
    <w:uiPriority w:val="0"/>
    <w:qFormat/>
    <w:rPr>
      <w:rFonts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2" w:customStyle="1">
    <w:name w:val="Normal_3_0"/>
    <w:uiPriority w:val="0"/>
    <w:qFormat/>
    <w:rPr>
      <w:rFonts w:ascii="黑体" w:hAnsi="黑体" w:eastAsia="黑体" w:cs="Times New Roman"/>
      <w:b/>
      <w:sz w:val="32"/>
      <w:szCs w:val="24"/>
      <w:lang w:val="en-US" w:eastAsia="zh-CN" w:bidi="ar-SA"/>
    </w:rPr>
  </w:style>
  <w:style w:type="paragraph" w:styleId="1403" w:customStyle="1">
    <w:name w:val="保密事宜格式"/>
    <w:basedOn w:val="9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91"/>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6"/>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63"/>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63"/>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6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63"/>
    <w:next w:val="763"/>
    <w:uiPriority w:val="0"/>
    <w:qFormat/>
    <w:rPr>
      <w:rFonts w:ascii="楷体_GB2312" w:hAnsi="Arial" w:eastAsia="楷体_GB2312"/>
      <w:sz w:val="28"/>
      <w:szCs w:val="28"/>
    </w:rPr>
  </w:style>
  <w:style w:type="paragraph" w:styleId="1412" w:customStyle="1">
    <w:name w:val="Table Text"/>
    <w:basedOn w:val="763"/>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63"/>
    <w:next w:val="763"/>
    <w:uiPriority w:val="0"/>
    <w:qFormat/>
    <w:pPr>
      <w:keepLines/>
      <w:keepNext/>
      <w:spacing w:before="260" w:after="260" w:line="416" w:lineRule="auto"/>
      <w:outlineLvl w:val="2"/>
    </w:pPr>
    <w:rPr>
      <w:b/>
      <w:sz w:val="32"/>
      <w:szCs w:val="20"/>
    </w:rPr>
  </w:style>
  <w:style w:type="paragraph" w:styleId="1416" w:customStyle="1">
    <w:name w:val="p16"/>
    <w:basedOn w:val="763"/>
    <w:uiPriority w:val="0"/>
    <w:qFormat/>
    <w:pPr>
      <w:widowControl/>
    </w:pPr>
    <w:rPr>
      <w:rFonts w:ascii="宋体" w:hAnsi="宋体" w:cs="宋体"/>
      <w:b/>
      <w:color w:val="000000"/>
      <w:position w:val="-10"/>
      <w:sz w:val="28"/>
      <w:szCs w:val="28"/>
    </w:rPr>
  </w:style>
  <w:style w:type="paragraph" w:styleId="1417" w:customStyle="1">
    <w:name w:val="p19"/>
    <w:basedOn w:val="763"/>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ascii="Times New Roman" w:hAnsi="Times New Roman" w:eastAsia="宋体" w:cs="Times New Roman"/>
      <w:sz w:val="21"/>
      <w:szCs w:val="22"/>
      <w:lang w:val="en-US" w:eastAsia="zh-CN" w:bidi="ar-SA"/>
    </w:rPr>
  </w:style>
  <w:style w:type="character" w:styleId="1419" w:customStyle="1">
    <w:name w:val="日期 Char"/>
    <w:basedOn w:val="773"/>
    <w:link w:val="785"/>
    <w:uiPriority w:val="99"/>
    <w:qFormat/>
    <w:rPr>
      <w:sz w:val="21"/>
      <w:szCs w:val="22"/>
    </w:rPr>
  </w:style>
  <w:style w:type="character" w:styleId="1420" w:customStyle="1">
    <w:name w:val="列出段落 Char"/>
    <w:link w:val="1206"/>
    <w:uiPriority w:val="34"/>
    <w:qFormat/>
    <w:rPr>
      <w:rFonts w:ascii="Calibri" w:hAnsi="Calibri"/>
      <w:sz w:val="21"/>
      <w:szCs w:val="22"/>
    </w:rPr>
  </w:style>
  <w:style w:type="character" w:styleId="1421" w:customStyle="1">
    <w:name w:val="正文文本缩进 Char1"/>
    <w:basedOn w:val="773"/>
    <w:link w:val="781"/>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63"/>
    <w:uiPriority w:val="34"/>
    <w:qFormat/>
    <w:pPr>
      <w:ind w:firstLine="420"/>
    </w:pPr>
  </w:style>
  <w:style w:type="character" w:styleId="1424" w:customStyle="1">
    <w:name w:val="批注框文本 Char"/>
    <w:basedOn w:val="773"/>
    <w:link w:val="787"/>
    <w:uiPriority w:val="99"/>
    <w:semiHidden/>
    <w:qFormat/>
    <w:rPr>
      <w:sz w:val="18"/>
      <w:szCs w:val="18"/>
    </w:rPr>
  </w:style>
  <w:style w:type="character" w:styleId="1425" w:customStyle="1">
    <w:name w:val="批注文字 Char"/>
    <w:basedOn w:val="773"/>
    <w:link w:val="778"/>
    <w:uiPriority w:val="99"/>
    <w:qFormat/>
    <w:rPr>
      <w:sz w:val="21"/>
      <w:szCs w:val="22"/>
    </w:rPr>
  </w:style>
  <w:style w:type="character" w:styleId="1426" w:customStyle="1">
    <w:name w:val="批注主题 Char"/>
    <w:basedOn w:val="1425"/>
    <w:link w:val="801"/>
    <w:uiPriority w:val="99"/>
    <w:semiHidden/>
    <w:qFormat/>
    <w:rPr>
      <w:b/>
      <w:bCs/>
      <w:sz w:val="21"/>
      <w:szCs w:val="22"/>
    </w:rPr>
  </w:style>
  <w:style w:type="numbering" w:styleId="1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271A347-34AC-4FB2-8D7B-27190CA8C3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6</cp:revision>
  <dcterms:created xsi:type="dcterms:W3CDTF">2026-05-25T01:27:00Z</dcterms:created>
  <dcterms:modified xsi:type="dcterms:W3CDTF">2026-05-25T08:59:00Z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1254F238CC404CD5920BACCC1D321AB1_13</vt:lpwstr>
  </property>
  <property fmtid="{D5CDD505-2E9C-101B-9397-08002B2CF9AE}" pid="4" name="KSOTemplateDocerSaveRecord">
    <vt:lpwstr>eyJoZGlkIjoiZjNiZDY4OTBhODY2ZDhmN2E0MTMwYjBmMGY2NzYzNWEifQ==</vt:lpwstr>
  </property>
</Properties>
</file>