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976"/>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976"/>
        <w:jc w:val="center"/>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976"/>
        <w:jc w:val="both"/>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976"/>
        <w:jc w:val="center"/>
        <w:spacing w:before="120" w:beforeAutospacing="0" w:after="120" w:afterAutospacing="0" w:line="360" w:lineRule="auto"/>
        <w:rPr>
          <w:rFonts w:hint="eastAsia" w:ascii="Arial" w:hAnsi="Arial" w:eastAsia="宋体" w:cs="Arial"/>
          <w:b/>
          <w:color w:val="000000" w:themeColor="text1"/>
          <w:sz w:val="32"/>
          <w:szCs w:val="32"/>
          <w:highlight w:val="none"/>
          <w:lang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lang w:eastAsia="zh-CN"/>
          <w14:textFill>
            <w14:solidFill>
              <w14:schemeClr w14:val="tx1"/>
            </w14:solidFill>
          </w14:textFill>
        </w:rPr>
        <w:t xml:space="preserve">盐城工业职业技术学院3、4#学生宿舍家具</w:t>
      </w:r>
      <w:r/>
    </w:p>
    <w:p>
      <w:pPr>
        <w:pStyle w:val="976"/>
        <w:jc w:val="center"/>
        <w:spacing w:before="120" w:beforeAutospacing="0" w:after="120" w:afterAutospacing="0" w:line="360" w:lineRule="auto"/>
        <w:rPr>
          <w:rFonts w:hint="eastAsia" w:ascii="Arial" w:hAnsi="Arial" w:eastAsia="宋体"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JSZC-320000-JCZJ-G2026-0006</w:t>
      </w:r>
      <w:r/>
    </w:p>
    <w:p>
      <w:pPr>
        <w:pStyle w:val="976"/>
        <w:ind w:firstLine="240"/>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r>
      <w:r/>
    </w:p>
    <w:p>
      <w:pPr>
        <w:pStyle w:val="976"/>
        <w:jc w:val="center"/>
        <w:spacing w:before="120" w:beforeAutospacing="0" w:after="120" w:afterAutospacing="0" w:line="360" w:lineRule="auto"/>
        <w:rPr>
          <w:rFonts w:hint="eastAsia" w:ascii="Arial" w:hAnsi="Arial" w:eastAsia="宋体" w:cs="Arial"/>
          <w:b/>
          <w:color w:val="000000" w:themeColor="text1"/>
          <w:sz w:val="32"/>
          <w:szCs w:val="32"/>
          <w:highlight w:val="none"/>
          <w:lang w:eastAsia="zh-CN"/>
          <w14:textFill>
            <w14:solidFill>
              <w14:schemeClr w14:val="tx1"/>
            </w14:solidFill>
          </w14:textFill>
        </w:rPr>
      </w:pPr>
      <w:r>
        <w:rPr>
          <w:rFonts w:hint="eastAsia" w:ascii="Arial" w:hAnsi="Arial" w:cs="Arial"/>
          <w:b/>
          <w:color w:val="000000" w:themeColor="text1"/>
          <w:sz w:val="32"/>
          <w:szCs w:val="32"/>
          <w:highlight w:val="none"/>
          <w:lang w:eastAsia="zh-CN"/>
          <w14:textFill>
            <w14:solidFill>
              <w14:schemeClr w14:val="tx1"/>
            </w14:solidFill>
          </w14:textFill>
        </w:rPr>
        <w:t xml:space="preserve">盐城工业职业技术学院</w:t>
      </w:r>
      <w:r/>
    </w:p>
    <w:p>
      <w:pPr>
        <w:pStyle w:val="976"/>
        <w:jc w:val="center"/>
        <w:spacing w:before="120" w:beforeAutospacing="0" w:after="120" w:afterAutospacing="0" w:line="360" w:lineRule="auto"/>
        <w:rPr>
          <w:rFonts w:hint="eastAsia" w:ascii="Arial" w:hAnsi="Arial" w:cs="Arial"/>
          <w:b/>
          <w:color w:val="000000" w:themeColor="text1"/>
          <w:sz w:val="32"/>
          <w:szCs w:val="32"/>
          <w:highlight w:val="none"/>
          <w:lang w:eastAsia="zh-CN"/>
          <w14:textFill>
            <w14:solidFill>
              <w14:schemeClr w14:val="tx1"/>
            </w14:solidFill>
          </w14:textFill>
        </w:rPr>
      </w:pPr>
      <w:r>
        <w:rPr>
          <w:rFonts w:hint="eastAsia" w:ascii="Arial" w:hAnsi="Arial" w:cs="Arial"/>
          <w:b/>
          <w:color w:val="000000" w:themeColor="text1"/>
          <w:sz w:val="32"/>
          <w:szCs w:val="32"/>
          <w:highlight w:val="none"/>
          <w:lang w:eastAsia="zh-CN"/>
          <w14:textFill>
            <w14:solidFill>
              <w14:schemeClr w14:val="tx1"/>
            </w14:solidFill>
          </w14:textFill>
        </w:rPr>
        <w:t xml:space="preserve">南京建淳造价师事务所有限公司</w:t>
      </w:r>
      <w:r/>
    </w:p>
    <w:p>
      <w:pPr>
        <w:pStyle w:val="976"/>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202</w:t>
      </w:r>
      <w:r>
        <w:rPr>
          <w:rFonts w:hint="eastAsia" w:ascii="Arial" w:hAnsi="Arial" w:cs="Arial"/>
          <w:b/>
          <w:color w:val="000000" w:themeColor="text1"/>
          <w:sz w:val="32"/>
          <w:szCs w:val="32"/>
          <w:highlight w:val="none"/>
          <w:lang w:val="en-US" w:eastAsia="zh-CN"/>
          <w14:textFill>
            <w14:solidFill>
              <w14:schemeClr w14:val="tx1"/>
            </w14:solidFill>
          </w14:textFill>
        </w:rPr>
        <w:t xml:space="preserve">6</w:t>
      </w:r>
      <w:r>
        <w:rPr>
          <w:rFonts w:hint="eastAsia"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6</w:t>
      </w:r>
      <w:r>
        <w:rPr>
          <w:rFonts w:hint="eastAsia" w:ascii="Arial" w:hAnsi="Arial" w:cs="Arial"/>
          <w:b/>
          <w:color w:val="000000" w:themeColor="text1"/>
          <w:sz w:val="32"/>
          <w:szCs w:val="32"/>
          <w:highlight w:val="none"/>
          <w14:textFill>
            <w14:solidFill>
              <w14:schemeClr w14:val="tx1"/>
            </w14:solidFill>
          </w14:textFill>
        </w:rPr>
        <w:t xml:space="preserve">月</w:t>
      </w:r>
      <w:r/>
    </w:p>
    <w:p>
      <w:pPr>
        <w:pStyle w:val="976"/>
        <w:spacing w:before="120" w:beforeAutospacing="0" w:after="120" w:afterAutospacing="0" w:line="360" w:lineRule="auto"/>
        <w:rPr>
          <w:rFonts w:hint="eastAsia" w:eastAsia="宋体"/>
          <w:color w:val="000000" w:themeColor="text1"/>
          <w:highlight w:val="none"/>
          <w:lang w:val="en-US" w:eastAsia="zh-CN"/>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w:t>
      </w:r>
      <w:r/>
    </w:p>
    <w:p>
      <w:pPr>
        <w:pStyle w:val="976"/>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Times New Roman" w:hAnsi="Times New Roman"/>
          <w:color w:val="000000" w:themeColor="text1"/>
          <w:sz w:val="21"/>
          <w:szCs w:val="21"/>
          <w:highlight w:val="none"/>
          <w14:textFill>
            <w14:solidFill>
              <w14:schemeClr w14:val="tx1"/>
            </w14:solidFill>
          </w14:textFill>
        </w:rPr>
      </w:r>
      <w:r/>
    </w:p>
    <w:p>
      <w:pPr>
        <w:pStyle w:val="976"/>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w:t>
      </w:r>
      <w:bookmarkStart w:id="0" w:name="_Toc20823272"/>
      <w:r/>
      <w:bookmarkStart w:id="1" w:name="_Toc120614210"/>
      <w:r/>
      <w:bookmarkStart w:id="2" w:name="_Toc513029200"/>
      <w:r/>
      <w:bookmarkStart w:id="3" w:name="_Toc523127445"/>
      <w:r/>
      <w:bookmarkStart w:id="4" w:name="_Toc16938516"/>
      <w:r/>
      <w:bookmarkStart w:id="5" w:name="_Toc479757206"/>
      <w:r/>
      <w:r/>
    </w:p>
    <w:p>
      <w:pPr>
        <w:pStyle w:val="976"/>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976"/>
        <w:jc w:val="center"/>
        <w:spacing w:beforeAutospacing="0" w:afterAutospacing="0" w:line="480" w:lineRule="auto"/>
        <w:rPr>
          <w:color w:val="000000" w:themeColor="text1"/>
          <w:highlight w:val="none"/>
          <w14:textFill>
            <w14:solidFill>
              <w14:schemeClr w14:val="tx1"/>
            </w14:solidFill>
          </w14:textFill>
        </w:rPr>
      </w:pPr>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976"/>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招标公告……………………………………………</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1</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976"/>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5</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976"/>
        <w:jc w:val="both"/>
        <w:spacing w:beforeAutospacing="0" w:afterAutospacing="0" w:line="480" w:lineRule="auto"/>
        <w:tabs>
          <w:tab w:val="left" w:pos="1441" w:leader="none"/>
        </w:tabs>
        <w:rPr>
          <w:rFonts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合同条款……………………………………………</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21</w:t>
      </w:r>
      <w:r/>
    </w:p>
    <w:p>
      <w:pPr>
        <w:pStyle w:val="976"/>
        <w:jc w:val="both"/>
        <w:spacing w:beforeAutospacing="0" w:afterAutospacing="0" w:line="480" w:lineRule="auto"/>
        <w:tabs>
          <w:tab w:val="left" w:pos="1441" w:leader="none"/>
        </w:tabs>
        <w:rPr>
          <w:rFonts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37</w:t>
      </w:r>
      <w:r/>
    </w:p>
    <w:p>
      <w:pPr>
        <w:pStyle w:val="976"/>
        <w:jc w:val="both"/>
        <w:spacing w:beforeAutospacing="0" w:afterAutospacing="0" w:line="480" w:lineRule="auto"/>
        <w:tabs>
          <w:tab w:val="left" w:pos="1441" w:leader="none"/>
        </w:tabs>
        <w:rPr>
          <w:rFonts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50</w:t>
      </w:r>
      <w:r/>
    </w:p>
    <w:p>
      <w:pPr>
        <w:pStyle w:val="976"/>
        <w:jc w:val="both"/>
        <w:spacing w:beforeAutospacing="0" w:afterAutospacing="0" w:line="480" w:lineRule="auto"/>
        <w:tabs>
          <w:tab w:val="left" w:pos="1441" w:leader="none"/>
        </w:tabs>
        <w:rPr>
          <w:rFonts w:eastAsia="黑体"/>
          <w:color w:val="000000" w:themeColor="text1"/>
          <w:highlight w:val="none"/>
          <w:lang w:val="en-US" w:eastAsia="zh-CN"/>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57</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color w:val="000000" w:themeColor="text1"/>
          <w:highlight w:val="none"/>
          <w14:textFill>
            <w14:solidFill>
              <w14:schemeClr w14:val="tx1"/>
            </w14:solidFill>
          </w14:textFill>
        </w:rPr>
      </w:r>
      <w:r/>
    </w:p>
    <w:p>
      <w:pPr>
        <w:pStyle w:val="976"/>
        <w:jc w:val="center"/>
        <w:spacing w:beforeAutospacing="0" w:afterAutospacing="0"/>
        <w:rPr>
          <w:rFonts w:eastAsia="黑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招标公告</w:t>
      </w:r>
      <w:r/>
    </w:p>
    <w:p>
      <w:pPr>
        <w:pStyle w:val="976"/>
        <w:ind w:firstLine="482"/>
        <w:jc w:val="both"/>
        <w:keepLines w:val="0"/>
        <w:keepNext w:val="0"/>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szCs w:val="21"/>
          <w:highlight w:val="none"/>
          <w14:textFill>
            <w14:solidFill>
              <w14:schemeClr w14:val="tx1"/>
            </w14:solidFill>
          </w14:textFill>
        </w:rPr>
        <w:t xml:space="preserve">项目概况</w:t>
      </w:r>
      <w:r/>
    </w:p>
    <w:p>
      <w:pPr>
        <w:pStyle w:val="976"/>
        <w:ind w:firstLine="482"/>
        <w:jc w:val="both"/>
        <w:keepLines w:val="0"/>
        <w:keepNext w:val="0"/>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盐城工业职业技术学院3、4#学生宿舍家具</w:t>
      </w:r>
      <w:r>
        <w:rPr>
          <w:rFonts w:hint="eastAsia" w:ascii="宋体" w:hAnsi="宋体" w:cs="宋体"/>
          <w:color w:val="000000" w:themeColor="text1"/>
          <w:sz w:val="21"/>
          <w:szCs w:val="21"/>
          <w:highlight w:val="none"/>
          <w14:textFill>
            <w14:solidFill>
              <w14:schemeClr w14:val="tx1"/>
            </w14:solidFill>
          </w14:textFill>
        </w:rPr>
        <w:t xml:space="preserve">招标项目的潜在投标人应在</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cs="宋体"/>
          <w:color w:val="000000" w:themeColor="text1"/>
          <w:sz w:val="21"/>
          <w:szCs w:val="21"/>
          <w:highlight w:val="none"/>
          <w14:textFill>
            <w14:solidFill>
              <w14:schemeClr w14:val="tx1"/>
            </w14:solidFill>
          </w14:textFill>
        </w:rPr>
        <w:t xml:space="preserve">，并于</w:t>
      </w:r>
      <w:r>
        <w:rPr>
          <w:rFonts w:hint="eastAsia" w:ascii="宋体" w:hAnsi="宋体" w:cs="宋体"/>
          <w:color w:val="000000" w:themeColor="text1"/>
          <w:sz w:val="21"/>
          <w:szCs w:val="21"/>
          <w:highlight w:val="none"/>
          <w:u w:val="single"/>
          <w14:textFill>
            <w14:solidFill>
              <w14:schemeClr w14:val="tx1"/>
            </w14:solidFill>
          </w14:textFill>
        </w:rPr>
        <w:t xml:space="preserve">202</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u w:val="single"/>
          <w14:textFill>
            <w14:solidFill>
              <w14:schemeClr w14:val="tx1"/>
            </w14:solidFill>
          </w14:textFill>
        </w:rPr>
        <w:t xml:space="preserve">年</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u w:val="single"/>
          <w14:textFill>
            <w14:solidFill>
              <w14:schemeClr w14:val="tx1"/>
            </w14:solidFill>
          </w14:textFill>
        </w:rPr>
        <w:t xml:space="preserve">月</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29</w:t>
      </w:r>
      <w:r>
        <w:rPr>
          <w:rFonts w:hint="eastAsia" w:ascii="宋体" w:hAnsi="宋体" w:cs="宋体"/>
          <w:color w:val="000000" w:themeColor="text1"/>
          <w:sz w:val="21"/>
          <w:szCs w:val="21"/>
          <w:highlight w:val="none"/>
          <w:u w:val="single"/>
          <w14:textFill>
            <w14:solidFill>
              <w14:schemeClr w14:val="tx1"/>
            </w14:solidFill>
          </w14:textFill>
        </w:rPr>
        <w:t xml:space="preserve">日</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14</w:t>
      </w:r>
      <w:r>
        <w:rPr>
          <w:rFonts w:hint="eastAsia" w:ascii="宋体" w:hAnsi="宋体" w:cs="宋体"/>
          <w:color w:val="000000" w:themeColor="text1"/>
          <w:sz w:val="21"/>
          <w:szCs w:val="21"/>
          <w:highlight w:val="none"/>
          <w:u w:val="single"/>
          <w14:textFill>
            <w14:solidFill>
              <w14:schemeClr w14:val="tx1"/>
            </w14:solidFill>
          </w14:textFill>
        </w:rPr>
        <w:t xml:space="preserve">点</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 w:val="21"/>
          <w:szCs w:val="21"/>
          <w:highlight w:val="none"/>
          <w:u w:val="single"/>
          <w14:textFill>
            <w14:solidFill>
              <w14:schemeClr w14:val="tx1"/>
            </w14:solidFill>
          </w14:textFill>
        </w:rPr>
        <w:t xml:space="preserve">分（</w:t>
      </w:r>
      <w:r>
        <w:rPr>
          <w:rFonts w:hint="eastAsia" w:ascii="宋体" w:hAnsi="宋体" w:cs="宋体"/>
          <w:color w:val="000000" w:themeColor="text1"/>
          <w:sz w:val="21"/>
          <w:szCs w:val="21"/>
          <w:highlight w:val="none"/>
          <w14:textFill>
            <w14:solidFill>
              <w14:schemeClr w14:val="tx1"/>
            </w14:solidFill>
          </w14:textFill>
        </w:rPr>
        <w:t xml:space="preserve">北京时间）前递交投标文件。</w:t>
      </w:r>
      <w:r/>
    </w:p>
    <w:p>
      <w:pPr>
        <w:pStyle w:val="976"/>
        <w:ind w:firstLine="422"/>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bookmarkStart w:id="7" w:name="_Toc28359079"/>
      <w:r/>
      <w:bookmarkStart w:id="8" w:name="_Toc35393621"/>
      <w:r/>
      <w:bookmarkStart w:id="9" w:name="_Toc35393790"/>
      <w:r/>
      <w:bookmarkStart w:id="10" w:name="_Toc38985263"/>
      <w:r/>
      <w:bookmarkStart w:id="11" w:name="_Hlk24379207"/>
      <w:r/>
      <w:bookmarkStart w:id="12" w:name="_Toc28359002"/>
      <w:r>
        <w:rPr>
          <w:rFonts w:hint="eastAsia" w:ascii="宋体" w:hAnsi="宋体" w:cs="宋体"/>
          <w:b/>
          <w:color w:val="000000" w:themeColor="text1"/>
          <w:sz w:val="21"/>
          <w:szCs w:val="21"/>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1.项目编号：</w:t>
      </w:r>
      <w:r>
        <w:rPr>
          <w:rFonts w:hint="eastAsia" w:ascii="宋体" w:hAnsi="宋体" w:cs="宋体"/>
          <w:color w:val="000000" w:themeColor="text1"/>
          <w:sz w:val="21"/>
          <w:szCs w:val="21"/>
          <w:highlight w:val="none"/>
          <w:lang w:val="en-US" w:eastAsia="zh-CN"/>
          <w14:textFill>
            <w14:solidFill>
              <w14:schemeClr w14:val="tx1"/>
            </w14:solidFill>
          </w14:textFill>
        </w:rPr>
        <w:t xml:space="preserve">JSZC-320000-JCZJ-G2026-0006</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盐城工业职业技术学院3、4#学生宿舍家具</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3.采购方式：公开招标</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4.预算金额：</w:t>
      </w:r>
      <w:r>
        <w:rPr>
          <w:rFonts w:hint="eastAsia" w:ascii="宋体" w:hAnsi="宋体" w:cs="宋体"/>
          <w:color w:val="000000" w:themeColor="text1"/>
          <w:sz w:val="21"/>
          <w:szCs w:val="21"/>
          <w:highlight w:val="none"/>
          <w:lang w:val="en-US" w:eastAsia="zh-CN"/>
          <w14:textFill>
            <w14:solidFill>
              <w14:schemeClr w14:val="tx1"/>
            </w14:solidFill>
          </w14:textFill>
        </w:rPr>
        <w:t xml:space="preserve">360</w:t>
      </w:r>
      <w:r>
        <w:rPr>
          <w:rFonts w:hint="eastAsia" w:ascii="宋体" w:hAnsi="宋体" w:cs="宋体"/>
          <w:color w:val="000000" w:themeColor="text1"/>
          <w:sz w:val="21"/>
          <w:szCs w:val="21"/>
          <w:highlight w:val="none"/>
          <w14:textFill>
            <w14:solidFill>
              <w14:schemeClr w14:val="tx1"/>
            </w14:solidFill>
          </w14:textFill>
        </w:rPr>
        <w:t xml:space="preserve">万元</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ffffff" w:fill="d9d9d9"/>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5.最高限价：</w:t>
      </w:r>
      <w:bookmarkStart w:id="13" w:name="OLE_LINK30"/>
      <w:r>
        <w:rPr>
          <w:rFonts w:hint="eastAsia" w:ascii="宋体" w:hAnsi="宋体" w:cs="宋体"/>
          <w:color w:val="000000" w:themeColor="text1"/>
          <w:sz w:val="21"/>
          <w:szCs w:val="21"/>
          <w:highlight w:val="none"/>
          <w:lang w:val="en-US" w:eastAsia="zh-CN"/>
          <w14:textFill>
            <w14:solidFill>
              <w14:schemeClr w14:val="tx1"/>
            </w14:solidFill>
          </w14:textFill>
        </w:rPr>
        <w:t xml:space="preserve">360</w:t>
      </w:r>
      <w:r>
        <w:rPr>
          <w:rFonts w:hint="eastAsia" w:ascii="宋体" w:hAnsi="宋体" w:cs="宋体"/>
          <w:color w:val="000000" w:themeColor="text1"/>
          <w:sz w:val="21"/>
          <w:szCs w:val="21"/>
          <w:highlight w:val="none"/>
          <w14:textFill>
            <w14:solidFill>
              <w14:schemeClr w14:val="tx1"/>
            </w14:solidFill>
          </w14:textFill>
        </w:rPr>
        <w:t xml:space="preserve">万元</w:t>
      </w:r>
      <w:bookmarkEnd w:id="13"/>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6.采购需求（简介）：</w:t>
      </w:r>
      <w:r>
        <w:rPr>
          <w:rFonts w:hint="eastAsia" w:ascii="宋体" w:hAnsi="宋体" w:cs="宋体"/>
          <w:color w:val="000000" w:themeColor="text1"/>
          <w:sz w:val="21"/>
          <w:szCs w:val="21"/>
          <w:highlight w:val="none"/>
          <w:lang w:eastAsia="zh-CN"/>
          <w14:textFill>
            <w14:solidFill>
              <w14:schemeClr w14:val="tx1"/>
            </w14:solidFill>
          </w14:textFill>
        </w:rPr>
        <w:t xml:space="preserve">盐城工业职业技术学院3、4#学生宿舍家具采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主要内容为采购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两连体三人位公寓组合床、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桌、储物柜、方凳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等家具，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详细内容详见项目需求。</w:t>
      </w:r>
      <w:r/>
    </w:p>
    <w:p>
      <w:pPr>
        <w:pStyle w:val="976"/>
        <w:ind w:firstLine="420"/>
        <w:jc w:val="both"/>
        <w:keepLines w:val="0"/>
        <w:keepNext w:val="0"/>
        <w:pageBreakBefore w:val="0"/>
        <w:spacing w:beforeAutospacing="0" w:afterAutospacing="0" w:line="480" w:lineRule="exact"/>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合同签订之日起25个日历天，且需在2026年8月31日前全部完成安装交付。</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00"/>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8.本项目（</w:t>
      </w:r>
      <w:r>
        <w:rPr>
          <w:rFonts w:hint="eastAsia" w:ascii="宋体" w:hAnsi="宋体" w:cs="宋体"/>
          <w:i/>
          <w:iCs/>
          <w:color w:val="000000" w:themeColor="text1"/>
          <w:sz w:val="21"/>
          <w:szCs w:val="21"/>
          <w:highlight w:val="none"/>
          <w:shd w:val="clear" w:color="auto" w:fill="ffffff"/>
          <w14:textFill>
            <w14:solidFill>
              <w14:schemeClr w14:val="tx1"/>
            </w14:solidFill>
          </w14:textFill>
        </w:rPr>
        <w:t xml:space="preserve">是/否</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）接受联合体</w:t>
      </w:r>
      <w:r>
        <w:rPr>
          <w:rFonts w:hint="eastAsia" w:ascii="宋体" w:hAnsi="宋体" w:cs="宋体"/>
          <w:color w:val="000000" w:themeColor="text1"/>
          <w:sz w:val="21"/>
          <w:szCs w:val="21"/>
          <w:highlight w:val="none"/>
          <w14:textFill>
            <w14:solidFill>
              <w14:schemeClr w14:val="tx1"/>
            </w14:solidFill>
          </w14:textFill>
        </w:rPr>
        <w:t xml:space="preserve">参与招标：否</w:t>
      </w:r>
      <w:r/>
    </w:p>
    <w:p>
      <w:pPr>
        <w:pStyle w:val="976"/>
        <w:ind w:firstLine="422"/>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bookmarkStart w:id="14" w:name="_Toc28359080"/>
      <w:r/>
      <w:bookmarkStart w:id="15" w:name="_Toc28359003"/>
      <w:r/>
      <w:bookmarkStart w:id="16" w:name="_Toc35393791"/>
      <w:r/>
      <w:bookmarkStart w:id="17" w:name="_Toc38985264"/>
      <w:r/>
      <w:bookmarkStart w:id="18" w:name="_Toc35393622"/>
      <w:r>
        <w:rPr>
          <w:rFonts w:hint="eastAsia" w:ascii="宋体" w:hAnsi="宋体" w:cs="宋体"/>
          <w:b/>
          <w:color w:val="000000" w:themeColor="text1"/>
          <w:sz w:val="21"/>
          <w:szCs w:val="21"/>
          <w:highlight w:val="none"/>
          <w14:textFill>
            <w14:solidFill>
              <w14:schemeClr w14:val="tx1"/>
            </w14:solidFill>
          </w14:textFill>
        </w:rPr>
        <w:t xml:space="preserve">二、申请人的资格要求：</w:t>
      </w:r>
      <w:bookmarkEnd w:id="14"/>
      <w:r/>
      <w:bookmarkEnd w:id="15"/>
      <w:r/>
      <w:bookmarkEnd w:id="16"/>
      <w:r/>
      <w:bookmarkEnd w:id="17"/>
      <w:r/>
      <w:bookmarkEnd w:id="18"/>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 法人或者其他组织的营业执照等证明文件，自然人的身份证明；</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上一年度的财务状况报表（财务状况报表至少包含利润表、资产负债表、现金流量表，成立不满一年无需提供）</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bookmarkStart w:id="19" w:name="OLE_LINK16"/>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ascii="宋体" w:hAnsi="宋体" w:cs="宋体"/>
          <w:color w:val="000000" w:themeColor="text1"/>
          <w:sz w:val="21"/>
          <w:szCs w:val="21"/>
          <w:highlight w:val="none"/>
          <w14:textFill>
            <w14:solidFill>
              <w14:schemeClr w14:val="tx1"/>
            </w14:solidFill>
          </w14:textFill>
        </w:rPr>
        <w:t xml:space="preserve">；</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具备履行合同所必需的设备和专业技术能力的书面声明；</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参加政府采购活动前3年内在经营活动中没有重大违法记录的书面声明。</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1.6</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法律、行政法规规定的其他条件。</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1.8</w:t>
      </w:r>
      <w:bookmarkStart w:id="20" w:name="OLE_LINK17"/>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单位负责人为同一人或者存在直接控股、管理关系的不同供应商，不得参加同一合同项下的政府采购活动。</w:t>
      </w:r>
      <w:bookmarkEnd w:id="20"/>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无。</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3.本项目的特定资格要求：</w:t>
      </w:r>
      <w:bookmarkStart w:id="21" w:name="OLE_LINK28"/>
      <w:r>
        <w:rPr>
          <w:rFonts w:hint="eastAsia" w:ascii="宋体" w:hAnsi="宋体" w:cs="宋体"/>
          <w:color w:val="000000" w:themeColor="text1"/>
          <w:sz w:val="21"/>
          <w:szCs w:val="21"/>
          <w:highlight w:val="none"/>
          <w14:textFill>
            <w14:solidFill>
              <w14:schemeClr w14:val="tx1"/>
            </w14:solidFill>
          </w14:textFill>
        </w:rPr>
        <w:t xml:space="preserve">无</w:t>
      </w:r>
      <w:bookmarkEnd w:id="21"/>
      <w:r>
        <w:rPr>
          <w:rFonts w:hint="eastAsia" w:ascii="宋体" w:hAnsi="宋体" w:cs="宋体"/>
          <w:color w:val="000000" w:themeColor="text1"/>
          <w:sz w:val="21"/>
          <w:szCs w:val="21"/>
          <w:highlight w:val="none"/>
          <w14:textFill>
            <w14:solidFill>
              <w14:schemeClr w14:val="tx1"/>
            </w14:solidFill>
          </w14:textFill>
        </w:rPr>
        <w:t xml:space="preserve">。</w:t>
      </w:r>
      <w:r/>
    </w:p>
    <w:p>
      <w:pPr>
        <w:pStyle w:val="976"/>
        <w:ind w:firstLine="422"/>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三、获取招标文件</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bookmarkStart w:id="22" w:name="_Toc38985266"/>
      <w:r/>
      <w:bookmarkStart w:id="23" w:name="_Toc35393793"/>
      <w:r/>
      <w:bookmarkStart w:id="24" w:name="_Toc28359005"/>
      <w:r/>
      <w:bookmarkStart w:id="25" w:name="_Toc28359082"/>
      <w:r/>
      <w:bookmarkStart w:id="26" w:name="_Toc35393624"/>
      <w:r>
        <w:rPr>
          <w:rFonts w:hint="eastAsia" w:ascii="宋体" w:hAnsi="宋体" w:cs="宋体"/>
          <w:color w:val="000000" w:themeColor="text1"/>
          <w:sz w:val="21"/>
          <w:szCs w:val="21"/>
          <w:highlight w:val="none"/>
          <w14:textFill>
            <w14:solidFill>
              <w14:schemeClr w14:val="tx1"/>
            </w14:solidFill>
          </w14:textFill>
        </w:rPr>
        <w:t xml:space="preserve">1.时间：</w:t>
      </w:r>
      <w:bookmarkEnd w:id="22"/>
      <w:r/>
      <w:bookmarkEnd w:id="23"/>
      <w:r/>
      <w:bookmarkEnd w:id="24"/>
      <w:r/>
      <w:bookmarkEnd w:id="25"/>
      <w:r/>
      <w:bookmarkEnd w:id="26"/>
      <w:r>
        <w:rPr>
          <w:rFonts w:hint="eastAsia" w:ascii="宋体" w:hAnsi="宋体" w:cs="宋体"/>
          <w:color w:val="000000" w:themeColor="text1"/>
          <w:sz w:val="21"/>
          <w:szCs w:val="21"/>
          <w:highlight w:val="none"/>
          <w14:textFill>
            <w14:solidFill>
              <w14:schemeClr w14:val="tx1"/>
            </w14:solidFill>
          </w14:textFill>
        </w:rPr>
        <w:t xml:space="preserve">自招标文件公告发布之日起5个工作日。</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2.地点：“苏采云”系统内免费下载（投标人必须在苏采云系统中获取采购文件，方能参与政府采购项目）；</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3.方式：本项目采用网上注册登记方式。 </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4.售价：0元</w:t>
      </w:r>
      <w:r/>
    </w:p>
    <w:p>
      <w:pPr>
        <w:pStyle w:val="976"/>
        <w:ind w:firstLine="422"/>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四、提交投标文件截止时间、开标时间和地点</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1.时间：202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29</w:t>
      </w:r>
      <w:r>
        <w:rPr>
          <w:rFonts w:hint="eastAsia" w:ascii="宋体" w:hAnsi="宋体" w:cs="宋体"/>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cs="宋体"/>
          <w:color w:val="000000" w:themeColor="text1"/>
          <w:sz w:val="21"/>
          <w:szCs w:val="21"/>
          <w:highlight w:val="none"/>
          <w14:textFill>
            <w14:solidFill>
              <w14:schemeClr w14:val="tx1"/>
            </w14:solidFill>
          </w14:textFill>
        </w:rPr>
        <w:t xml:space="preserve">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分（北京时间）</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2.地点：苏采云“不见面”开标大厅。</w:t>
      </w:r>
      <w:r/>
    </w:p>
    <w:p>
      <w:pPr>
        <w:pStyle w:val="976"/>
        <w:ind w:firstLine="422"/>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bookmarkStart w:id="27" w:name="_Toc28359084"/>
      <w:r/>
      <w:bookmarkStart w:id="28" w:name="_Toc28359007"/>
      <w:r/>
      <w:bookmarkStart w:id="29" w:name="_Toc38985267"/>
      <w:r/>
      <w:bookmarkStart w:id="30" w:name="_Toc35393794"/>
      <w:r/>
      <w:bookmarkStart w:id="31" w:name="_Toc35393625"/>
      <w:r>
        <w:rPr>
          <w:rFonts w:hint="eastAsia" w:ascii="宋体" w:hAnsi="宋体" w:cs="宋体"/>
          <w:b/>
          <w:color w:val="000000" w:themeColor="text1"/>
          <w:sz w:val="21"/>
          <w:szCs w:val="21"/>
          <w:highlight w:val="none"/>
          <w14:textFill>
            <w14:solidFill>
              <w14:schemeClr w14:val="tx1"/>
            </w14:solidFill>
          </w14:textFill>
        </w:rPr>
        <w:t xml:space="preserve">五、公告期限</w:t>
      </w:r>
      <w:bookmarkEnd w:id="27"/>
      <w:r/>
      <w:bookmarkEnd w:id="28"/>
      <w:r/>
      <w:bookmarkEnd w:id="29"/>
      <w:r/>
      <w:bookmarkEnd w:id="30"/>
      <w:r/>
      <w:bookmarkEnd w:id="31"/>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自本公告发布之日起5个工作日。</w:t>
      </w:r>
      <w:bookmarkEnd w:id="32"/>
      <w:r/>
      <w:bookmarkEnd w:id="33"/>
      <w:r/>
      <w:bookmarkEnd w:id="34"/>
      <w:r/>
      <w:r/>
    </w:p>
    <w:p>
      <w:pPr>
        <w:pStyle w:val="976"/>
        <w:ind w:firstLine="422"/>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六、其他补充事宜</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bookmarkStart w:id="35" w:name="OLE_LINK29"/>
      <w:r/>
      <w:bookmarkStart w:id="36" w:name="_Toc28359018"/>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themeColor="text1"/>
          <w:sz w:val="21"/>
          <w:szCs w:val="21"/>
          <w:highlight w:val="none"/>
          <w:shd w:val="clear" w:color="auto" w:fill="ffffff"/>
          <w14:textFill>
            <w14:solidFill>
              <w14:schemeClr w14:val="tx1"/>
            </w14:solidFill>
          </w14:textFill>
        </w:rPr>
        <w:fldChar w:fldCharType="begin"/>
      </w:r>
      <w:r>
        <w:rPr>
          <w:rFonts w:hint="eastAsia" w:ascii="宋体" w:hAnsi="宋体" w:cs="宋体"/>
          <w:color w:val="000000" w:themeColor="text1"/>
          <w:sz w:val="21"/>
          <w:szCs w:val="21"/>
          <w:highlight w:val="none"/>
          <w:shd w:val="clear" w:color="auto" w:fill="ffffff"/>
          <w14:textFill>
            <w14:solidFill>
              <w14:schemeClr w14:val="tx1"/>
            </w14:solidFill>
          </w14:textFill>
        </w:rPr>
        <w:instrText xml:space="preserve"> HYPERLINK "http://www.ccgp-jiangsu.gov.cn/jiangsu/zlxz/ee/ee3a4bc5a3454aa2b0d9312230633ce9.html" \o "http://www.ccgp-jiangsu.gov.cn/jiangsu/zlxz/ee/ee3a4bc5a3454aa2b0d9312230633ce9.html" </w:instrText>
      </w:r>
      <w:r>
        <w:rPr>
          <w:rFonts w:hint="eastAsia" w:ascii="宋体" w:hAnsi="宋体" w:cs="宋体"/>
          <w:color w:val="000000" w:themeColor="text1"/>
          <w:sz w:val="21"/>
          <w:szCs w:val="21"/>
          <w:highlight w:val="none"/>
          <w:shd w:val="clear" w:color="auto" w:fill="ffffff"/>
          <w14:textFill>
            <w14:solidFill>
              <w14:schemeClr w14:val="tx1"/>
            </w14:solidFill>
          </w14:textFill>
        </w:rPr>
        <w:fldChar w:fldCharType="separate"/>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http://www.ccgp-jiangsu.gov.cn/jiangsu/zlxz/ee/ee3a4bc5a3454aa2b0d9312230633ce9.html</w:t>
      </w:r>
      <w:r>
        <w:rPr>
          <w:rFonts w:hint="eastAsia" w:ascii="宋体" w:hAnsi="宋体" w:cs="宋体"/>
          <w:color w:val="000000" w:themeColor="text1"/>
          <w:sz w:val="21"/>
          <w:szCs w:val="21"/>
          <w:highlight w:val="none"/>
          <w:shd w:val="clear" w:color="auto" w:fill="ffffff"/>
          <w14:textFill>
            <w14:solidFill>
              <w14:schemeClr w14:val="tx1"/>
            </w14:solidFill>
          </w14:textFill>
        </w:rPr>
        <w:fldChar w:fldCharType="end"/>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2.潜在供应商访问电子招标响应交易平台的网络地址和方法：</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 潜在投标人访问“苏采云”系统方法：江苏省政府采购网首页-“苏采云”链接。 </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2.4 采购代理机构将数据电文形式的采购文件加载至“苏采云”系统，供潜在供应商下载或者查阅。 </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如潜在投标人未按上述要求操作，将自行承担所产生的风险。</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3.有关本次招标的事项若存在变动或修改，敬请及时关注在“</w:t>
      </w:r>
      <w:r>
        <w:rPr>
          <w:rFonts w:hint="eastAsia" w:ascii="宋体" w:hAnsi="宋体" w:cs="宋体"/>
          <w:color w:val="000000" w:themeColor="text1"/>
          <w:sz w:val="21"/>
          <w:szCs w:val="21"/>
          <w:highlight w:val="none"/>
          <w14:textFill>
            <w14:solidFill>
              <w14:schemeClr w14:val="tx1"/>
            </w14:solidFill>
          </w14:textFill>
        </w:rPr>
        <w:t xml:space="preserve">中国政府采购网”“</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江苏政府采购网”发布的更正公告。</w:t>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4.本次招标不收取投标保证金，不收取质量保证金。</w:t>
      </w:r>
      <w:bookmarkEnd w:id="35"/>
      <w:r/>
      <w:r/>
    </w:p>
    <w:p>
      <w:pPr>
        <w:pStyle w:val="976"/>
        <w:ind w:firstLine="422"/>
        <w:jc w:val="both"/>
        <w:keepLines w:val="0"/>
        <w:keepNext w:val="0"/>
        <w:pageBreakBefore w:val="0"/>
        <w:spacing w:beforeAutospacing="0" w:afterAutospacing="0" w:line="48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七、对本次招标提出询问，请按以下方式联系。</w:t>
      </w:r>
      <w:bookmarkEnd w:id="36"/>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盐城工业职业技术学院</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盐城市解放南路285号                  </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王</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老师                  </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0515-88580406   </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2.采购代理机构信息</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南京建淳造价师事务所有限公司</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盐城市金融城四号楼1103</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周先生</w:t>
      </w:r>
      <w:r/>
    </w:p>
    <w:p>
      <w:pPr>
        <w:pStyle w:val="976"/>
        <w:ind w:firstLine="420"/>
        <w:jc w:val="both"/>
        <w:keepLines w:val="0"/>
        <w:keepNext w:val="0"/>
        <w:pageBreakBefore w:val="0"/>
        <w:spacing w:beforeAutospacing="0" w:afterAutospacing="0" w:line="480" w:lineRule="exact"/>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130244494996</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3.项目联系方式</w:t>
      </w:r>
      <w:r/>
    </w:p>
    <w:p>
      <w:pPr>
        <w:pStyle w:val="976"/>
        <w:ind w:firstLine="420"/>
        <w:jc w:val="both"/>
        <w:keepLines w:val="0"/>
        <w:keepNext w:val="0"/>
        <w:pageBreakBefore w:val="0"/>
        <w:spacing w:beforeAutospacing="0" w:afterAutospacing="0"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项目联系人：</w:t>
      </w:r>
      <w:bookmarkStart w:id="37" w:name="OLE_LINK5"/>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周老师</w:t>
      </w:r>
      <w:bookmarkEnd w:id="37"/>
      <w:r/>
      <w:r/>
    </w:p>
    <w:p>
      <w:pPr>
        <w:pStyle w:val="976"/>
        <w:ind w:firstLine="420"/>
        <w:jc w:val="both"/>
        <w:keepLines w:val="0"/>
        <w:keepNext w:val="0"/>
        <w:pageBreakBefore w:val="0"/>
        <w:spacing w:beforeAutospacing="0" w:afterAutospacing="0" w:line="480" w:lineRule="exac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bookmarkStart w:id="38" w:name="OLE_LINK6"/>
      <w:r/>
      <w:bookmarkStart w:id="39" w:name="_Toc120614211"/>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0515-88583917</w:t>
      </w:r>
      <w:bookmarkEnd w:id="38"/>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976"/>
        <w:ind w:firstLine="2429"/>
        <w:jc w:val="both"/>
        <w:keepLines/>
        <w:keepNext/>
        <w:spacing w:before="260" w:beforeAutospacing="0" w:after="260" w:afterAutospacing="0" w:line="415" w:lineRule="auto"/>
        <w:rPr>
          <w:rFonts w:hint="eastAsia" w:ascii="黑体" w:hAnsi="宋体" w:eastAsia="黑体" w:cs="黑体"/>
          <w:b/>
          <w:color w:val="000000" w:themeColor="text1"/>
          <w:sz w:val="44"/>
          <w:szCs w:val="44"/>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9"/>
      <w:r/>
      <w:bookmarkStart w:id="40" w:name="_Toc513029202"/>
      <w:r/>
      <w:bookmarkStart w:id="41" w:name="_Toc16938518"/>
      <w:r/>
      <w:bookmarkStart w:id="42" w:name="_Toc120614213"/>
      <w:r/>
      <w:bookmarkStart w:id="43" w:name="_Toc20823274"/>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40"/>
      <w:r/>
      <w:bookmarkEnd w:id="41"/>
      <w:r/>
      <w:bookmarkEnd w:id="42"/>
      <w:r/>
      <w:bookmarkEnd w:id="43"/>
      <w:r/>
      <w:bookmarkStart w:id="44" w:name="_Toc120614214"/>
      <w:r/>
      <w:bookmarkStart w:id="45" w:name="_Toc513029203"/>
      <w:r/>
      <w:bookmarkStart w:id="46" w:name="_Toc16938519"/>
      <w:r/>
      <w:bookmarkStart w:id="47" w:name="_Toc20823275"/>
      <w:r/>
      <w:r/>
    </w:p>
    <w:p>
      <w:pPr>
        <w:pStyle w:val="976"/>
        <w:numPr>
          <w:ilvl w:val="0"/>
          <w:numId w:val="0"/>
        </w:numPr>
        <w:ind w:left="0" w:firstLine="422"/>
        <w:jc w:val="both"/>
        <w:pageBreakBefore w:val="0"/>
        <w:spacing w:beforeAutospacing="0" w:afterAutospacing="0" w:line="480" w:lineRule="exact"/>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w:t>
      </w:r>
      <w:r>
        <w:rPr>
          <w:rFonts w:hint="eastAsia" w:ascii="宋体" w:hAnsi="宋体" w:cs="宋体"/>
          <w:b/>
          <w:color w:val="000000" w:themeColor="text1"/>
          <w:sz w:val="21"/>
          <w:szCs w:val="21"/>
          <w:highlight w:val="none"/>
          <w14:textFill>
            <w14:solidFill>
              <w14:schemeClr w14:val="tx1"/>
            </w14:solidFill>
          </w14:textFill>
        </w:rPr>
        <w:t xml:space="preserve">总则</w:t>
      </w:r>
      <w:bookmarkEnd w:id="44"/>
      <w:r/>
      <w:bookmarkEnd w:id="45"/>
      <w:r/>
      <w:bookmarkEnd w:id="46"/>
      <w:r/>
      <w:bookmarkEnd w:id="47"/>
      <w:r/>
      <w:bookmarkStart w:id="48" w:name="_Toc20823276"/>
      <w:r/>
      <w:bookmarkStart w:id="49" w:name="_Toc513029204"/>
      <w:r/>
      <w:bookmarkStart w:id="50" w:name="_Toc16938520"/>
      <w:r/>
      <w:bookmarkStart w:id="51" w:name="_Toc458694821"/>
      <w:r/>
      <w:bookmarkStart w:id="52" w:name="_Hlt16619475"/>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bookmarkEnd w:id="48"/>
      <w:r>
        <w:rPr>
          <w:rFonts w:hint="eastAsia" w:ascii="宋体" w:hAnsi="宋体" w:cs="宋体"/>
          <w:color w:val="000000" w:themeColor="text1"/>
          <w:sz w:val="21"/>
          <w:szCs w:val="21"/>
          <w:highlight w:val="none"/>
          <w14:textFill>
            <w14:solidFill>
              <w14:schemeClr w14:val="tx1"/>
            </w14:solidFill>
          </w14:textFill>
        </w:rPr>
        <w:t xml:space="preserve">、招标方式</w:t>
      </w:r>
      <w:bookmarkEnd w:id="49"/>
      <w:r/>
      <w:bookmarkEnd w:id="50"/>
      <w:r/>
      <w:bookmarkEnd w:id="51"/>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 本次招标采取公开招标方式，本招标文件仅适用于招标公告中所述项目。</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53" w:name="_Toc16938521"/>
      <w:r/>
      <w:bookmarkStart w:id="54" w:name="_Toc513029205"/>
      <w:r/>
      <w:bookmarkStart w:id="55" w:name="_Toc20823277"/>
      <w:r>
        <w:rPr>
          <w:rFonts w:hint="eastAsia" w:ascii="宋体" w:hAnsi="宋体" w:cs="宋体"/>
          <w:color w:val="000000" w:themeColor="text1"/>
          <w:sz w:val="21"/>
          <w:szCs w:val="21"/>
          <w:highlight w:val="none"/>
          <w14:textFill>
            <w14:solidFill>
              <w14:schemeClr w14:val="tx1"/>
            </w14:solidFill>
          </w14:textFill>
        </w:rPr>
        <w:t xml:space="preserve">2、合格的投标人</w:t>
      </w:r>
      <w:bookmarkEnd w:id="53"/>
      <w:r/>
      <w:bookmarkEnd w:id="54"/>
      <w:r/>
      <w:bookmarkEnd w:id="55"/>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2.1满足招标公告中供应商的资格要求的规定。</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 满足本文件实质性要求和条件的规定。</w:t>
      </w:r>
      <w:r/>
    </w:p>
    <w:p>
      <w:pPr>
        <w:pStyle w:val="976"/>
        <w:ind w:left="0" w:firstLine="420"/>
        <w:jc w:val="both"/>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56" w:name="_Toc20823278"/>
      <w:r/>
      <w:bookmarkStart w:id="57" w:name="_Toc16938522"/>
      <w:r/>
      <w:bookmarkStart w:id="58" w:name="_Toc513029206"/>
      <w:r>
        <w:rPr>
          <w:rFonts w:hint="eastAsia" w:ascii="宋体" w:hAnsi="宋体" w:eastAsia="宋体" w:cs="宋体"/>
          <w:color w:val="000000" w:themeColor="text1"/>
          <w:sz w:val="21"/>
          <w:szCs w:val="21"/>
          <w:highlight w:val="none"/>
          <w14:textFill>
            <w14:solidFill>
              <w14:schemeClr w14:val="tx1"/>
            </w14:solidFill>
          </w14:textFill>
        </w:rPr>
        <w:t xml:space="preserve">3、</w:t>
      </w:r>
      <w:bookmarkEnd w:id="56"/>
      <w:r/>
      <w:bookmarkEnd w:id="57"/>
      <w:r/>
      <w:bookmarkEnd w:id="58"/>
      <w:r>
        <w:rPr>
          <w:rFonts w:hint="eastAsia" w:ascii="宋体" w:hAnsi="宋体" w:eastAsia="宋体" w:cs="宋体"/>
          <w:color w:val="000000" w:themeColor="text1"/>
          <w:sz w:val="21"/>
          <w:szCs w:val="21"/>
          <w:highlight w:val="none"/>
          <w14:textFill>
            <w14:solidFill>
              <w14:schemeClr w14:val="tx1"/>
            </w14:solidFill>
          </w14:textFill>
        </w:rPr>
        <w:t xml:space="preserve">适用法律和标准</w:t>
      </w:r>
      <w:r/>
    </w:p>
    <w:p>
      <w:pPr>
        <w:pStyle w:val="976"/>
        <w:ind w:left="0" w:firstLine="420"/>
        <w:jc w:val="both"/>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本次招标及由此产生的合同受中华人民共和国有关的法律法规制约和保护。</w:t>
      </w:r>
      <w:r/>
    </w:p>
    <w:p>
      <w:pPr>
        <w:pStyle w:val="976"/>
        <w:ind w:left="0" w:firstLine="420"/>
        <w:jc w:val="both"/>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在本项目政府采购活动过程中，如果所执行的标准有更新的，按照最新标准执行。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59" w:name="_Toc513029207"/>
      <w:r/>
      <w:bookmarkStart w:id="60" w:name="_Toc462564067"/>
      <w:r/>
      <w:bookmarkStart w:id="61" w:name="_Toc20823279"/>
      <w:r/>
      <w:bookmarkStart w:id="62" w:name="_Toc16938523"/>
      <w:r>
        <w:rPr>
          <w:rFonts w:hint="eastAsia" w:ascii="宋体" w:hAnsi="宋体" w:cs="宋体"/>
          <w:color w:val="000000" w:themeColor="text1"/>
          <w:sz w:val="21"/>
          <w:szCs w:val="21"/>
          <w:highlight w:val="none"/>
          <w14:textFill>
            <w14:solidFill>
              <w14:schemeClr w14:val="tx1"/>
            </w14:solidFill>
          </w14:textFill>
        </w:rPr>
        <w:t xml:space="preserve">4、投标费用</w:t>
      </w:r>
      <w:bookmarkEnd w:id="59"/>
      <w:r/>
      <w:bookmarkEnd w:id="60"/>
      <w:r/>
      <w:bookmarkEnd w:id="61"/>
      <w:r/>
      <w:bookmarkEnd w:id="62"/>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4.1投标人应自行承担所有与参加投标有关的费用，无论投标过程中的做法和结果如何，采购人和采购代理机构在任何情况下均无义务和责任承担这些费用。</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4.2本次招标采购人和采购代理机构不收取标书工本费。</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4.3本项目代理服务费由项目中标单位支付，代理服务费收费标准</w:t>
      </w:r>
      <w:r>
        <w:rPr>
          <w:rFonts w:hint="eastAsia" w:ascii="宋体" w:hAnsi="宋体" w:cs="宋体"/>
          <w:color w:val="000000" w:themeColor="text1"/>
          <w:sz w:val="21"/>
          <w:szCs w:val="21"/>
          <w:highlight w:val="none"/>
          <w:lang w:val="en-US" w:eastAsia="zh-CN"/>
          <w14:textFill>
            <w14:solidFill>
              <w14:schemeClr w14:val="tx1"/>
            </w14:solidFill>
          </w14:textFill>
        </w:rPr>
        <w:t xml:space="preserve">按</w:t>
      </w:r>
      <w:r>
        <w:rPr>
          <w:rFonts w:hint="eastAsia" w:ascii="宋体" w:hAnsi="宋体" w:cs="宋体"/>
          <w:color w:val="000000" w:themeColor="text1"/>
          <w:sz w:val="21"/>
          <w:szCs w:val="21"/>
          <w:highlight w:val="none"/>
          <w14:textFill>
            <w14:solidFill>
              <w14:schemeClr w14:val="tx1"/>
            </w14:solidFill>
          </w14:textFill>
        </w:rPr>
        <w:t xml:space="preserve">苏招协〔2022﹞002号规定的收费标准的30%收取，由中标人领取中标通知书前，向代理公司支付，请投标人考虑在投标报价中。</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招标文件的约束力</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5.1 投标人一旦参加本项目采购活动，即被认为接受了本招标文件的规定和约束。</w:t>
      </w:r>
      <w:r/>
    </w:p>
    <w:p>
      <w:pPr>
        <w:pStyle w:val="976"/>
        <w:ind w:left="0" w:firstLine="321"/>
        <w:jc w:val="both"/>
        <w:keepLines/>
        <w:keepNext/>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63" w:name="_Toc513029209"/>
      <w:r/>
      <w:bookmarkStart w:id="64" w:name="_Toc20823281"/>
      <w:r/>
      <w:bookmarkStart w:id="65" w:name="_Toc120614215"/>
      <w:r/>
      <w:bookmarkStart w:id="66" w:name="_Toc16938525"/>
      <w:r>
        <w:rPr>
          <w:rFonts w:hint="eastAsia" w:ascii="宋体" w:hAnsi="宋体" w:cs="宋体"/>
          <w:b/>
          <w:color w:val="000000" w:themeColor="text1"/>
          <w:sz w:val="21"/>
          <w:szCs w:val="21"/>
          <w:highlight w:val="none"/>
          <w14:textFill>
            <w14:solidFill>
              <w14:schemeClr w14:val="tx1"/>
            </w14:solidFill>
          </w14:textFill>
        </w:rPr>
        <w:t xml:space="preserve">二、招标文件</w:t>
      </w:r>
      <w:bookmarkEnd w:id="63"/>
      <w:r/>
      <w:bookmarkEnd w:id="64"/>
      <w:r/>
      <w:bookmarkEnd w:id="65"/>
      <w:r/>
      <w:bookmarkEnd w:id="66"/>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67" w:name="_Toc513029210"/>
      <w:r/>
      <w:bookmarkStart w:id="68" w:name="_Toc16938526"/>
      <w:r/>
      <w:bookmarkStart w:id="69" w:name="_Toc20823282"/>
      <w:r>
        <w:rPr>
          <w:rFonts w:hint="eastAsia" w:ascii="宋体" w:hAnsi="宋体" w:cs="宋体"/>
          <w:color w:val="000000" w:themeColor="text1"/>
          <w:sz w:val="21"/>
          <w:szCs w:val="21"/>
          <w:highlight w:val="none"/>
          <w14:textFill>
            <w14:solidFill>
              <w14:schemeClr w14:val="tx1"/>
            </w14:solidFill>
          </w14:textFill>
        </w:rPr>
        <w:t xml:space="preserve">6、招标文件构成</w:t>
      </w:r>
      <w:bookmarkEnd w:id="67"/>
      <w:r/>
      <w:bookmarkEnd w:id="68"/>
      <w:r/>
      <w:bookmarkEnd w:id="69"/>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6.1 招标文件由以下部分组成：</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（1）招标公告</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（2）投标人须知</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（3）合同文本</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（4）采购需求</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（5）评标方法与评标标准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（6）投标文件格式</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请仔细检查招标文件是否齐全，如有缺漏请立即与采购代理机构联系解决。</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70" w:name="_Toc20823283"/>
      <w:r/>
      <w:bookmarkStart w:id="71" w:name="_Toc462564070"/>
      <w:r/>
      <w:bookmarkStart w:id="72" w:name="_Toc513029211"/>
      <w:r/>
      <w:bookmarkStart w:id="73" w:name="_Toc16938527"/>
      <w:r>
        <w:rPr>
          <w:rFonts w:hint="eastAsia" w:ascii="宋体" w:hAnsi="宋体" w:cs="宋体"/>
          <w:color w:val="000000" w:themeColor="text1"/>
          <w:sz w:val="21"/>
          <w:szCs w:val="21"/>
          <w:highlight w:val="none"/>
          <w14:textFill>
            <w14:solidFill>
              <w14:schemeClr w14:val="tx1"/>
            </w14:solidFill>
          </w14:textFill>
        </w:rPr>
        <w:t xml:space="preserve">7、招标文件的澄清</w:t>
      </w:r>
      <w:bookmarkEnd w:id="70"/>
      <w:r/>
      <w:bookmarkEnd w:id="71"/>
      <w:r/>
      <w:bookmarkEnd w:id="72"/>
      <w:r/>
      <w:bookmarkEnd w:id="73"/>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 任何要求对招标文件进行澄清的投标人，应在投标截止期</w:t>
      </w:r>
      <w:r>
        <w:rPr>
          <w:rFonts w:hint="eastAsia" w:ascii="宋体" w:hAnsi="宋体" w:cs="宋体"/>
          <w:b/>
          <w:color w:val="000000" w:themeColor="text1"/>
          <w:sz w:val="21"/>
          <w:szCs w:val="21"/>
          <w:highlight w:val="none"/>
          <w14:textFill>
            <w14:solidFill>
              <w14:schemeClr w14:val="tx1"/>
            </w14:solidFill>
          </w14:textFill>
        </w:rPr>
        <w:t xml:space="preserve">十日</w:t>
      </w:r>
      <w:r>
        <w:rPr>
          <w:rFonts w:hint="eastAsia" w:ascii="宋体" w:hAnsi="宋体" w:cs="宋体"/>
          <w:color w:val="000000" w:themeColor="text1"/>
          <w:sz w:val="21"/>
          <w:szCs w:val="21"/>
          <w:highlight w:val="none"/>
          <w14:textFill>
            <w14:solidFill>
              <w14:schemeClr w14:val="tx1"/>
            </w14:solidFill>
          </w14:textFill>
        </w:rPr>
        <w:t xml:space="preserve">前按招标公告中的通讯地址，以书面形式通知采购代理机构。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74" w:name="_Toc16938528"/>
      <w:r/>
      <w:bookmarkStart w:id="75" w:name="_Toc462564071"/>
      <w:r/>
      <w:bookmarkStart w:id="76" w:name="_Toc20823284"/>
      <w:r/>
      <w:bookmarkStart w:id="77" w:name="_Toc513029212"/>
      <w:r>
        <w:rPr>
          <w:rFonts w:hint="eastAsia" w:ascii="宋体" w:hAnsi="宋体" w:cs="宋体"/>
          <w:color w:val="000000" w:themeColor="text1"/>
          <w:sz w:val="21"/>
          <w:szCs w:val="21"/>
          <w:highlight w:val="none"/>
          <w14:textFill>
            <w14:solidFill>
              <w14:schemeClr w14:val="tx1"/>
            </w14:solidFill>
          </w14:textFill>
        </w:rPr>
        <w:t xml:space="preserve">8、招标文件的修改</w:t>
      </w:r>
      <w:bookmarkEnd w:id="74"/>
      <w:r/>
      <w:bookmarkEnd w:id="75"/>
      <w:r/>
      <w:bookmarkEnd w:id="76"/>
      <w:r/>
      <w:bookmarkEnd w:id="77"/>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8.1 在投标截止时间前，采购代理机构可以对招标文件进行修改。</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8.2 采购代理机构有权按照法定的要求推迟投标截止日期和开标日期。</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8.3 招标文件的修改将在中国政府采购网</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江苏政府采购网公布，补充文件将作为招标文件的组成部分，并对投标人具有约束力。</w:t>
      </w:r>
      <w:r/>
    </w:p>
    <w:p>
      <w:pPr>
        <w:pStyle w:val="976"/>
        <w:ind w:left="0" w:firstLine="422"/>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78" w:name="_Toc513029213"/>
      <w:r/>
      <w:bookmarkStart w:id="79" w:name="_Toc20823285"/>
      <w:r/>
      <w:bookmarkStart w:id="80" w:name="_Toc462564072"/>
      <w:r/>
      <w:bookmarkStart w:id="81" w:name="_Toc16938529"/>
      <w:r/>
      <w:bookmarkStart w:id="82" w:name="_Toc120614216"/>
      <w:r>
        <w:rPr>
          <w:rFonts w:hint="eastAsia" w:ascii="宋体" w:hAnsi="宋体" w:cs="宋体"/>
          <w:b/>
          <w:color w:val="000000" w:themeColor="text1"/>
          <w:sz w:val="21"/>
          <w:szCs w:val="21"/>
          <w:highlight w:val="none"/>
          <w14:textFill>
            <w14:solidFill>
              <w14:schemeClr w14:val="tx1"/>
            </w14:solidFill>
          </w14:textFill>
        </w:rPr>
        <w:t xml:space="preserve">三、投标文件的编制</w:t>
      </w:r>
      <w:bookmarkEnd w:id="78"/>
      <w:r/>
      <w:bookmarkEnd w:id="79"/>
      <w:r/>
      <w:bookmarkEnd w:id="80"/>
      <w:r/>
      <w:bookmarkEnd w:id="81"/>
      <w:r/>
      <w:bookmarkEnd w:id="82"/>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83" w:name="_Toc20823286"/>
      <w:r/>
      <w:bookmarkStart w:id="84" w:name="_Toc513029214"/>
      <w:r/>
      <w:bookmarkStart w:id="85" w:name="_Toc462564073"/>
      <w:r/>
      <w:bookmarkStart w:id="86" w:name="_Toc16938530"/>
      <w:r>
        <w:rPr>
          <w:rFonts w:hint="eastAsia" w:ascii="宋体" w:hAnsi="宋体" w:cs="宋体"/>
          <w:color w:val="000000" w:themeColor="text1"/>
          <w:sz w:val="21"/>
          <w:szCs w:val="21"/>
          <w:highlight w:val="none"/>
          <w14:textFill>
            <w14:solidFill>
              <w14:schemeClr w14:val="tx1"/>
            </w14:solidFill>
          </w14:textFill>
        </w:rPr>
        <w:t xml:space="preserve">9、投标文件的语言及度量衡单位</w:t>
      </w:r>
      <w:bookmarkEnd w:id="83"/>
      <w:r/>
      <w:bookmarkEnd w:id="84"/>
      <w:r/>
      <w:bookmarkEnd w:id="85"/>
      <w:r/>
      <w:bookmarkEnd w:id="86"/>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9.1 投标人提交的投标文件以及投标人与采购代理机构就有关投标的所有来往通知、函件和文件均应使用</w:t>
      </w:r>
      <w:r>
        <w:rPr>
          <w:rFonts w:hint="eastAsia" w:ascii="宋体" w:hAnsi="宋体" w:cs="宋体"/>
          <w:b/>
          <w:color w:val="000000" w:themeColor="text1"/>
          <w:sz w:val="21"/>
          <w:szCs w:val="21"/>
          <w:highlight w:val="none"/>
          <w14:textFill>
            <w14:solidFill>
              <w14:schemeClr w14:val="tx1"/>
            </w14:solidFill>
          </w14:textFill>
        </w:rPr>
        <w:t xml:space="preserve">简体中文</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9.2 除技术性能另有规定外，投标文件所使用的度量衡单位，均须采用国家法定计量单位。</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87" w:name="_Toc462564074"/>
      <w:r/>
      <w:bookmarkStart w:id="88" w:name="_Toc20823287"/>
      <w:r/>
      <w:bookmarkStart w:id="89" w:name="_Toc513029215"/>
      <w:r/>
      <w:bookmarkStart w:id="90" w:name="_Toc16938531"/>
      <w:r>
        <w:rPr>
          <w:rFonts w:hint="eastAsia" w:ascii="宋体" w:hAnsi="宋体" w:cs="宋体"/>
          <w:color w:val="000000" w:themeColor="text1"/>
          <w:sz w:val="21"/>
          <w:szCs w:val="21"/>
          <w:highlight w:val="none"/>
          <w14:textFill>
            <w14:solidFill>
              <w14:schemeClr w14:val="tx1"/>
            </w14:solidFill>
          </w14:textFill>
        </w:rPr>
        <w:t xml:space="preserve">10、投标文件构成</w:t>
      </w:r>
      <w:bookmarkEnd w:id="87"/>
      <w:r/>
      <w:bookmarkEnd w:id="88"/>
      <w:r/>
      <w:bookmarkEnd w:id="89"/>
      <w:r/>
      <w:bookmarkEnd w:id="90"/>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10.2 如标书制作工具中格式和内容与</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中国政府采购网”“江苏政府采购网”发布的招标文件不一致，请以中国政府采购网”“江苏政府采购网”“发布的招标文件为准。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91" w:name="_Toc14577355"/>
      <w:r/>
      <w:bookmarkStart w:id="92" w:name="_Toc513029216"/>
      <w:r/>
      <w:bookmarkStart w:id="93" w:name="_Toc49090508"/>
      <w:r/>
      <w:bookmarkStart w:id="94" w:name="_Toc49090509"/>
      <w:r/>
      <w:bookmarkStart w:id="95" w:name="_Toc14577354"/>
      <w:r/>
      <w:bookmarkStart w:id="96" w:name="_Toc14577357"/>
      <w:r/>
      <w:bookmarkStart w:id="97" w:name="_Toc49090507"/>
      <w:r/>
      <w:bookmarkStart w:id="98" w:name="_Toc513029219"/>
      <w:r/>
      <w:bookmarkStart w:id="99" w:name="_Hlt26954838"/>
      <w:r/>
      <w:bookmarkStart w:id="100" w:name="_Hlt26668975"/>
      <w:r/>
      <w:bookmarkStart w:id="101" w:name="_Hlt26670360"/>
      <w:r>
        <w:rPr>
          <w:rFonts w:hint="eastAsia" w:ascii="宋体" w:hAnsi="宋体" w:cs="宋体"/>
          <w:color w:val="000000" w:themeColor="text1"/>
          <w:sz w:val="21"/>
          <w:szCs w:val="21"/>
          <w:highlight w:val="none"/>
          <w14:textFill>
            <w14:solidFill>
              <w14:schemeClr w14:val="tx1"/>
            </w14:solidFill>
          </w14:textFill>
        </w:rPr>
        <w:t xml:space="preserve">11、证明投标人及投标标的符合招标文件规定的文件</w:t>
      </w:r>
      <w:bookmarkEnd w:id="91"/>
      <w:r/>
      <w:bookmarkEnd w:id="92"/>
      <w:r/>
      <w:bookmarkEnd w:id="93"/>
      <w:r/>
      <w:bookmarkEnd w:id="94"/>
      <w:r/>
      <w:bookmarkEnd w:id="95"/>
      <w:r/>
      <w:bookmarkEnd w:id="96"/>
      <w:r/>
      <w:bookmarkEnd w:id="97"/>
      <w:r/>
      <w:bookmarkEnd w:id="98"/>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11.1 投标人应按照招标文件要求提交证明文件，证明其及投标标的符合招标文件规定。</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11.2招标文件对证明文件无明确形式要求的，证明文件可以以文字资料、图纸和数据等形式提交。</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12、投标分项报价表</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12.1 投标人应按照招标文件规定格式填报投标分项报价表。</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02" w:name="_Hlt26670486"/>
      <w:r/>
      <w:bookmarkStart w:id="103" w:name="_Hlt26954846"/>
      <w:r/>
      <w:bookmarkStart w:id="104" w:name="_Hlt26954731"/>
      <w:r/>
      <w:bookmarkStart w:id="105" w:name="_Hlt26954848"/>
      <w:r/>
      <w:bookmarkStart w:id="106" w:name="_Hlt26670482"/>
      <w:r>
        <w:rPr>
          <w:rFonts w:hint="eastAsia" w:ascii="宋体" w:hAnsi="宋体" w:cs="宋体"/>
          <w:color w:val="000000" w:themeColor="text1"/>
          <w:sz w:val="21"/>
          <w:szCs w:val="21"/>
          <w:highlight w:val="none"/>
          <w14:textFill>
            <w14:solidFill>
              <w14:schemeClr w14:val="tx1"/>
            </w14:solidFill>
          </w14:textFill>
        </w:rPr>
        <w:t xml:space="preserve">13、技术要求响应及偏离表、商务要求响应及偏离表</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13.1 投标人需对招标文件中的技术要求与商务要求逐项作出响应或偏离，并说明原因。</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13.2 投标人可在投标文件中提供认为需要的其他技术文件或说明。</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14、服务承诺、培训计划、人员安排及其他</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14.2 投标人需根据招标文件要求提供培训计划。</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14.3投标人需根据招标文件要求提供所投标的的主要组成部分、功能设计、实现思路及关键技术等。</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07" w:name="_Toc14577359"/>
      <w:r/>
      <w:bookmarkStart w:id="108" w:name="_Toc49090510"/>
      <w:r>
        <w:rPr>
          <w:rFonts w:hint="eastAsia" w:ascii="宋体" w:hAnsi="宋体" w:cs="宋体"/>
          <w:color w:val="000000" w:themeColor="text1"/>
          <w:sz w:val="21"/>
          <w:szCs w:val="21"/>
          <w:highlight w:val="none"/>
          <w14:textFill>
            <w14:solidFill>
              <w14:schemeClr w14:val="tx1"/>
            </w14:solidFill>
          </w14:textFill>
        </w:rPr>
        <w:t xml:space="preserve">15、投标函和开标一览表</w:t>
      </w:r>
      <w:bookmarkEnd w:id="107"/>
      <w:r/>
      <w:bookmarkEnd w:id="108"/>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15.1 投标人应按照招标文件中提供的格式完整、正确填写投标函、开标一览表。</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09" w:name="_Toc14577360"/>
      <w:r/>
      <w:bookmarkStart w:id="110" w:name="_Toc49090511"/>
      <w:r>
        <w:rPr>
          <w:rFonts w:hint="eastAsia" w:ascii="宋体" w:hAnsi="宋体" w:cs="宋体"/>
          <w:color w:val="000000" w:themeColor="text1"/>
          <w:sz w:val="21"/>
          <w:szCs w:val="21"/>
          <w:highlight w:val="none"/>
          <w14:textFill>
            <w14:solidFill>
              <w14:schemeClr w14:val="tx1"/>
            </w14:solidFill>
          </w14:textFill>
        </w:rPr>
        <w:t xml:space="preserve">16、投标有效期</w:t>
      </w:r>
      <w:bookmarkEnd w:id="109"/>
      <w:r/>
      <w:bookmarkEnd w:id="110"/>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16.1投标有效期为采购代理机构规定的开标之日后</w:t>
      </w:r>
      <w:r>
        <w:rPr>
          <w:rFonts w:hint="eastAsia" w:ascii="宋体" w:hAnsi="宋体" w:cs="宋体"/>
          <w:b/>
          <w:color w:val="000000" w:themeColor="text1"/>
          <w:sz w:val="21"/>
          <w:szCs w:val="21"/>
          <w:highlight w:val="none"/>
          <w:u w:val="single"/>
          <w14:textFill>
            <w14:solidFill>
              <w14:schemeClr w14:val="tx1"/>
            </w14:solidFill>
          </w14:textFill>
        </w:rPr>
        <w:t xml:space="preserve">九十（90）天</w:t>
      </w:r>
      <w:r>
        <w:rPr>
          <w:rFonts w:hint="eastAsia" w:ascii="宋体" w:hAnsi="宋体" w:cs="宋体"/>
          <w:color w:val="000000" w:themeColor="text1"/>
          <w:sz w:val="21"/>
          <w:szCs w:val="21"/>
          <w:highlight w:val="none"/>
          <w14:textFill>
            <w14:solidFill>
              <w14:schemeClr w14:val="tx1"/>
            </w14:solidFill>
          </w14:textFill>
        </w:rPr>
        <w:t xml:space="preserve">。投标有效期比规定短的将被视为未实质性响应招标文件而予以拒绝。</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17、投标有效期的延长</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76"/>
        <w:ind w:left="0" w:firstLine="422"/>
        <w:jc w:val="both"/>
        <w:keepLines/>
        <w:keepNext/>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11" w:name="_Toc513029224"/>
      <w:r/>
      <w:bookmarkStart w:id="112" w:name="_Toc16938540"/>
      <w:r/>
      <w:bookmarkStart w:id="113" w:name="_Toc120614217"/>
      <w:r/>
      <w:bookmarkStart w:id="114" w:name="_Toc20823296"/>
      <w:r/>
      <w:bookmarkStart w:id="115" w:name="_Hlt26954739"/>
      <w:r/>
      <w:bookmarkStart w:id="116" w:name="_Hlt26954852"/>
      <w:r>
        <w:rPr>
          <w:rFonts w:hint="eastAsia" w:ascii="宋体" w:hAnsi="宋体" w:cs="宋体"/>
          <w:b/>
          <w:color w:val="000000" w:themeColor="text1"/>
          <w:sz w:val="21"/>
          <w:szCs w:val="21"/>
          <w:highlight w:val="none"/>
          <w14:textFill>
            <w14:solidFill>
              <w14:schemeClr w14:val="tx1"/>
            </w14:solidFill>
          </w14:textFill>
        </w:rPr>
        <w:t xml:space="preserve">四、投标文件的递交</w:t>
      </w:r>
      <w:bookmarkEnd w:id="111"/>
      <w:r/>
      <w:bookmarkEnd w:id="112"/>
      <w:r/>
      <w:bookmarkEnd w:id="113"/>
      <w:r/>
      <w:bookmarkEnd w:id="114"/>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17" w:name="_Toc462564084"/>
      <w:r/>
      <w:bookmarkStart w:id="118" w:name="_Toc16938541"/>
      <w:r/>
      <w:bookmarkStart w:id="119" w:name="_Toc20823297"/>
      <w:r/>
      <w:bookmarkStart w:id="120" w:name="_Toc513029225"/>
      <w:r>
        <w:rPr>
          <w:rFonts w:hint="eastAsia" w:ascii="宋体" w:hAnsi="宋体" w:cs="宋体"/>
          <w:color w:val="000000" w:themeColor="text1"/>
          <w:sz w:val="21"/>
          <w:szCs w:val="21"/>
          <w:highlight w:val="none"/>
          <w14:textFill>
            <w14:solidFill>
              <w14:schemeClr w14:val="tx1"/>
            </w14:solidFill>
          </w14:textFill>
        </w:rPr>
        <w:t xml:space="preserve">18、电子投标文件</w:t>
      </w:r>
      <w:bookmarkEnd w:id="117"/>
      <w:r/>
      <w:bookmarkEnd w:id="118"/>
      <w:r/>
      <w:bookmarkEnd w:id="119"/>
      <w:r/>
      <w:bookmarkEnd w:id="120"/>
      <w:r>
        <w:rPr>
          <w:rFonts w:hint="eastAsia" w:ascii="宋体" w:hAnsi="宋体" w:cs="宋体"/>
          <w:color w:val="000000" w:themeColor="text1"/>
          <w:sz w:val="21"/>
          <w:szCs w:val="21"/>
          <w:highlight w:val="none"/>
          <w14:textFill>
            <w14:solidFill>
              <w14:schemeClr w14:val="tx1"/>
            </w14:solidFill>
          </w14:textFill>
        </w:rPr>
        <w:t xml:space="preserve">的递交</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18.1投标人应当按照《操作手册》规定，在投标截止时间前制作并上传电子投标</w:t>
      </w:r>
      <w:r/>
    </w:p>
    <w:p>
      <w:pPr>
        <w:pStyle w:val="976"/>
        <w:ind w:left="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文件。</w:t>
      </w:r>
      <w:bookmarkStart w:id="121" w:name="_Toc16938542"/>
      <w:r/>
      <w:bookmarkEnd w:id="121"/>
      <w:r/>
      <w:bookmarkStart w:id="122" w:name="_Toc20823298"/>
      <w:r/>
      <w:bookmarkEnd w:id="122"/>
      <w:r/>
      <w:bookmarkStart w:id="123" w:name="_Toc513029226"/>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19、投标截止日期</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i/>
          <w:color w:val="000000" w:themeColor="text1"/>
          <w:sz w:val="21"/>
          <w:szCs w:val="21"/>
          <w:highlight w:val="none"/>
          <w:u w:val="single"/>
          <w14:textFill>
            <w14:solidFill>
              <w14:schemeClr w14:val="tx1"/>
            </w14:solidFill>
          </w14:textFill>
        </w:rPr>
        <w:t xml:space="preserve">19.1 投标人上传电子投标文件的时间不得迟于招标公告中规定的投标截止时间。</w:t>
      </w:r>
      <w:r/>
    </w:p>
    <w:p>
      <w:pPr>
        <w:pStyle w:val="976"/>
        <w:ind w:left="0" w:firstLine="48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pStyle w:val="976"/>
        <w:ind w:left="0" w:firstLine="420"/>
        <w:jc w:val="both"/>
        <w:keepLines/>
        <w:keepNext/>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24" w:name="_Toc20823299"/>
      <w:r/>
      <w:bookmarkStart w:id="125" w:name="_Toc513029227"/>
      <w:r/>
      <w:bookmarkStart w:id="126" w:name="_Toc16938543"/>
      <w:r>
        <w:rPr>
          <w:rFonts w:hint="eastAsia" w:ascii="宋体" w:hAnsi="宋体" w:cs="宋体"/>
          <w:color w:val="000000" w:themeColor="text1"/>
          <w:sz w:val="21"/>
          <w:szCs w:val="21"/>
          <w:highlight w:val="none"/>
          <w14:textFill>
            <w14:solidFill>
              <w14:schemeClr w14:val="tx1"/>
            </w14:solidFill>
          </w14:textFill>
        </w:rPr>
        <w:t xml:space="preserve">20、投标文件</w:t>
      </w:r>
      <w:bookmarkEnd w:id="124"/>
      <w:r/>
      <w:bookmarkEnd w:id="125"/>
      <w:r/>
      <w:bookmarkEnd w:id="126"/>
      <w:r>
        <w:rPr>
          <w:rFonts w:hint="eastAsia" w:ascii="宋体" w:hAnsi="宋体" w:cs="宋体"/>
          <w:color w:val="000000" w:themeColor="text1"/>
          <w:sz w:val="21"/>
          <w:szCs w:val="21"/>
          <w:highlight w:val="none"/>
          <w14:textFill>
            <w14:solidFill>
              <w14:schemeClr w14:val="tx1"/>
            </w14:solidFill>
          </w14:textFill>
        </w:rPr>
        <w:t xml:space="preserve">的拒收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20.1 采购代理机构拒绝接收在其规定的投标截止时间后上传的任何投标文件。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27" w:name="_Toc16938544"/>
      <w:r/>
      <w:bookmarkStart w:id="128" w:name="_Toc20823300"/>
      <w:r/>
      <w:bookmarkStart w:id="129" w:name="_Toc513029228"/>
      <w:r>
        <w:rPr>
          <w:rFonts w:hint="eastAsia" w:ascii="宋体" w:hAnsi="宋体" w:cs="宋体"/>
          <w:color w:val="000000" w:themeColor="text1"/>
          <w:sz w:val="21"/>
          <w:szCs w:val="21"/>
          <w:highlight w:val="none"/>
          <w14:textFill>
            <w14:solidFill>
              <w14:schemeClr w14:val="tx1"/>
            </w14:solidFill>
          </w14:textFill>
        </w:rPr>
        <w:t xml:space="preserve">21、投标文件的撤回和修改</w:t>
      </w:r>
      <w:bookmarkEnd w:id="127"/>
      <w:r/>
      <w:bookmarkEnd w:id="128"/>
      <w:r/>
      <w:bookmarkEnd w:id="129"/>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21.1 投标文件的撤回</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21.1.1 电子投标文件的撤回</w:t>
      </w:r>
      <w:r/>
    </w:p>
    <w:p>
      <w:pPr>
        <w:pStyle w:val="976"/>
        <w:ind w:left="0" w:firstLine="48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投标人可在投标截止时间前，撤回其电子投标文件，具体操作方法见《操作手册》。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21.1.2 投标人撤回电子投标文件，则认为其不再参与本项目投标活动。</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21.2 投标文件的修改</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21.2.1投标人可在投标截止时间前，对其电子投标文件进行修改，具体操作方法见《操作手册》。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21.2.2 在投标截止时间之后，投标人不得对其电子投标文件作任何修改。</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21.3 在投标截止时间至招标文件中规定的投标有效期满之间的这段时间内，投标人不得撤回其投标。</w:t>
      </w:r>
      <w:r/>
    </w:p>
    <w:p>
      <w:pPr>
        <w:pStyle w:val="976"/>
        <w:ind w:left="0" w:firstLine="422"/>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30" w:name="_Toc16938545"/>
      <w:r/>
      <w:bookmarkStart w:id="131" w:name="_Toc20823301"/>
      <w:r/>
      <w:bookmarkStart w:id="132" w:name="_Toc513029229"/>
      <w:r/>
      <w:bookmarkStart w:id="133" w:name="_Toc120614218"/>
      <w:r>
        <w:rPr>
          <w:rFonts w:hint="eastAsia" w:ascii="宋体" w:hAnsi="宋体" w:cs="宋体"/>
          <w:b/>
          <w:color w:val="000000" w:themeColor="text1"/>
          <w:sz w:val="21"/>
          <w:szCs w:val="21"/>
          <w:highlight w:val="none"/>
          <w14:textFill>
            <w14:solidFill>
              <w14:schemeClr w14:val="tx1"/>
            </w14:solidFill>
          </w14:textFill>
        </w:rPr>
        <w:t xml:space="preserve">五、开标与评标</w:t>
      </w:r>
      <w:bookmarkEnd w:id="130"/>
      <w:r/>
      <w:bookmarkEnd w:id="131"/>
      <w:r/>
      <w:bookmarkEnd w:id="132"/>
      <w:r/>
      <w:bookmarkEnd w:id="133"/>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34" w:name="_Toc513029230"/>
      <w:r/>
      <w:bookmarkStart w:id="135" w:name="_Toc16938546"/>
      <w:r/>
      <w:bookmarkStart w:id="136" w:name="_Toc20823302"/>
      <w:r>
        <w:rPr>
          <w:rFonts w:hint="eastAsia" w:ascii="宋体" w:hAnsi="宋体" w:cs="宋体"/>
          <w:color w:val="000000" w:themeColor="text1"/>
          <w:sz w:val="21"/>
          <w:szCs w:val="21"/>
          <w:highlight w:val="none"/>
          <w14:textFill>
            <w14:solidFill>
              <w14:schemeClr w14:val="tx1"/>
            </w14:solidFill>
          </w14:textFill>
        </w:rPr>
        <w:t xml:space="preserve">22、开标</w:t>
      </w:r>
      <w:bookmarkEnd w:id="134"/>
      <w:r/>
      <w:bookmarkEnd w:id="135"/>
      <w:r/>
      <w:bookmarkEnd w:id="136"/>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22.1采购代理机构将在招标公告中规定的时间和地点组织公开开标。投标人应当按照《操作手册》规定，参加开标活动和在苏采云系统规定的时间内对投标文件进行解密。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22.2开标仪式由采购代理机构组织。苏采云系统将自动对项目进行开标，并宣布各投标人名称和投标价格。</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22.3投标人在开标过程中涉及到的投标文件解密、开标结果确认等工作，应按照《操作手册》规定执行。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37" w:name="_Toc513029231"/>
      <w:r/>
      <w:bookmarkStart w:id="138" w:name="_Toc16938547"/>
      <w:r/>
      <w:bookmarkStart w:id="139" w:name="_Toc20823303"/>
      <w:r>
        <w:rPr>
          <w:rFonts w:hint="eastAsia" w:ascii="宋体" w:hAnsi="宋体" w:cs="宋体"/>
          <w:color w:val="000000" w:themeColor="text1"/>
          <w:sz w:val="21"/>
          <w:szCs w:val="21"/>
          <w:highlight w:val="none"/>
          <w14:textFill>
            <w14:solidFill>
              <w14:schemeClr w14:val="tx1"/>
            </w14:solidFill>
          </w14:textFill>
        </w:rPr>
        <w:t xml:space="preserve">23、评标委员会</w:t>
      </w:r>
      <w:bookmarkEnd w:id="137"/>
      <w:r/>
      <w:bookmarkEnd w:id="138"/>
      <w:r/>
      <w:bookmarkEnd w:id="139"/>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23.1</w:t>
      </w: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开标后，采购代理机构将立即组织评标委员会（以下简称评委会）进行评标。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23.2评委会由采购人代表和有关技术、经济等方面的专家组成，且人员构成符合政府采购有关规定。</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23.3评委会独立工作，负责评审所有投标文件并确定中标候选人。</w:t>
      </w:r>
      <w:r/>
    </w:p>
    <w:p>
      <w:pPr>
        <w:pStyle w:val="976"/>
        <w:ind w:left="0" w:firstLine="420"/>
        <w:jc w:val="both"/>
        <w:keepLines/>
        <w:keepNext/>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24．评标过程的保密与公正</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24.2在评标过程中，投标人不得以任何行为影响评标过程，否则其投标文件将被作为无效投标文件。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24.3 采购代理机构和评标委员会不向未中标的投标人解释未中标原因，也不公布评标过程中的相关细节。</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40" w:name="_Toc20823304"/>
      <w:r/>
      <w:bookmarkStart w:id="141" w:name="_Toc513029232"/>
      <w:r/>
      <w:bookmarkStart w:id="142" w:name="_Toc16938548"/>
      <w:r>
        <w:rPr>
          <w:rFonts w:hint="eastAsia" w:ascii="宋体" w:hAnsi="宋体" w:cs="宋体"/>
          <w:color w:val="000000" w:themeColor="text1"/>
          <w:sz w:val="21"/>
          <w:szCs w:val="21"/>
          <w:highlight w:val="none"/>
          <w14:textFill>
            <w14:solidFill>
              <w14:schemeClr w14:val="tx1"/>
            </w14:solidFill>
          </w14:textFill>
        </w:rPr>
        <w:t xml:space="preserve">25．投标文件的澄清</w:t>
      </w:r>
      <w:bookmarkEnd w:id="140"/>
      <w:r/>
      <w:bookmarkEnd w:id="141"/>
      <w:r/>
      <w:bookmarkEnd w:id="142"/>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43" w:name="_Toc20823305"/>
      <w:r/>
      <w:bookmarkStart w:id="144" w:name="_Toc16938549"/>
      <w:r/>
      <w:bookmarkStart w:id="145" w:name="_Toc513029233"/>
      <w:r>
        <w:rPr>
          <w:rFonts w:hint="eastAsia" w:ascii="宋体" w:hAnsi="宋体" w:cs="宋体"/>
          <w:color w:val="000000" w:themeColor="text1"/>
          <w:sz w:val="21"/>
          <w:szCs w:val="21"/>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bookmarkEnd w:id="143"/>
      <w:r/>
      <w:bookmarkEnd w:id="144"/>
      <w:r/>
      <w:bookmarkEnd w:id="145"/>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投标人的澄清、说明或者补正不得超出投标文件的范围或者改变投标文件的实质性内容。</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评标委员会并非对每个投标人都做澄清要求。</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25.3 接到评委会澄清、说明和补正要求的投标人如未按规定作出澄清、说明和补正，其风险由投标人自行承担。</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26、对投标文件的初审</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26.1投标文件初审分为资格审查和符合性审查。</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pStyle w:val="976"/>
        <w:ind w:left="0" w:firstLine="48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color w:val="000000" w:themeColor="text1"/>
          <w:sz w:val="21"/>
          <w:szCs w:val="21"/>
          <w:highlight w:val="none"/>
          <w:lang w:val="en-US" w:eastAsia="zh-CN"/>
          <w14:textFill>
            <w14:solidFill>
              <w14:schemeClr w14:val="tx1"/>
            </w14:solidFill>
          </w14:textFill>
        </w:rPr>
        <w:t xml:space="preserve">信用</w:t>
      </w:r>
      <w:r>
        <w:rPr>
          <w:rFonts w:hint="eastAsia" w:ascii="宋体" w:hAnsi="宋体" w:cs="宋体"/>
          <w:color w:val="000000" w:themeColor="text1"/>
          <w:sz w:val="21"/>
          <w:szCs w:val="21"/>
          <w:highlight w:val="none"/>
          <w14:textFill>
            <w14:solidFill>
              <w14:schemeClr w14:val="tx1"/>
            </w14:solidFill>
          </w14:textFill>
        </w:rPr>
        <w:t xml:space="preserve">记录。</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976"/>
        <w:ind w:left="0" w:firstLine="48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26.3如果投标文件实质上没有响应招标文件的要求，评委会将予以拒绝，投标人不得通过修改或撤销不符合要求的偏离或保留而使其投标成为实质性响应的投标。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（1）投标文件中开标一览表内容与投标文件中相应内容不一致的，以开标一览表为准。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（2）大写金额和小写金额不一致的，以大写金额为准。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（3）单价金额小数点或者百分比有明显错位的，以开标一览表的总价为准，并修改单价。</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（4）总价金额与按单价汇总金额不一致的，以单价金额计算结果为准。</w:t>
      </w:r>
      <w:r/>
    </w:p>
    <w:p>
      <w:pPr>
        <w:pStyle w:val="976"/>
        <w:ind w:left="0" w:firstLine="48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同时出现两种以上错误的，按照前款规定的顺序修正。</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46" w:name="_Toc20823306"/>
      <w:r/>
      <w:bookmarkStart w:id="147" w:name="_Toc16938550"/>
      <w:r/>
      <w:bookmarkStart w:id="148" w:name="_Toc513029234"/>
      <w:r>
        <w:rPr>
          <w:rFonts w:hint="eastAsia" w:ascii="宋体" w:hAnsi="宋体" w:cs="宋体"/>
          <w:color w:val="000000" w:themeColor="text1"/>
          <w:sz w:val="21"/>
          <w:szCs w:val="21"/>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6"/>
      <w:r/>
      <w:bookmarkEnd w:id="147"/>
      <w:r/>
      <w:bookmarkEnd w:id="148"/>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26.7投标人在开、评标全过程中应保持通信畅通，及时登录苏采云系统查阅、答复相关信息，并安排专人与采购代理机构及评标委员会联系。</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27、无效投标条款和废标条款</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49" w:name="_Toc16938551"/>
      <w:r/>
      <w:bookmarkStart w:id="150" w:name="_Toc20823307"/>
      <w:r/>
      <w:bookmarkStart w:id="151" w:name="_Toc513029235"/>
      <w:r>
        <w:rPr>
          <w:rFonts w:hint="eastAsia" w:ascii="宋体" w:hAnsi="宋体" w:cs="宋体"/>
          <w:color w:val="000000" w:themeColor="text1"/>
          <w:sz w:val="21"/>
          <w:szCs w:val="21"/>
          <w:highlight w:val="none"/>
          <w14:textFill>
            <w14:solidFill>
              <w14:schemeClr w14:val="tx1"/>
            </w14:solidFill>
          </w14:textFill>
        </w:rPr>
        <w:t xml:space="preserve">27.1无效投标条款</w:t>
      </w:r>
      <w:bookmarkEnd w:id="149"/>
      <w:r/>
      <w:bookmarkEnd w:id="150"/>
      <w:r/>
      <w:bookmarkEnd w:id="151"/>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27.1.1 投标人在苏采云系统规定的时间内未成功解密电子投标文件的。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27.1.2 投标人未按照招标文件要求上传电子投标文件的。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27.1.3同一投标人提交两个（含两个）以上不同的投标报价的。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27.1.4投标人不具备招标文件中规定资格要求的。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27.1.5投标人的报价超过了采购预算或最高限价的。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27.1.6未通过符合性审查的。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27.1.7不符合招标文件中规定的实质性要求和条件的（</w:t>
      </w:r>
      <w:r>
        <w:rPr>
          <w:rFonts w:hint="eastAsia" w:ascii="宋体" w:hAnsi="宋体" w:cs="宋体"/>
          <w:i/>
          <w:color w:val="000000" w:themeColor="text1"/>
          <w:sz w:val="21"/>
          <w:szCs w:val="21"/>
          <w:highlight w:val="none"/>
          <w:u w:val="single"/>
          <w14:textFill>
            <w14:solidFill>
              <w14:schemeClr w14:val="tx1"/>
            </w14:solidFill>
          </w14:textFill>
        </w:rPr>
        <w:t xml:space="preserve">本招标文件中斜体且有下划线部分为实质性要求和条件）。</w:t>
      </w:r>
      <w:r/>
    </w:p>
    <w:p>
      <w:pPr>
        <w:pStyle w:val="976"/>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w:t>
      </w:r>
      <w:r>
        <w:rPr>
          <w:rFonts w:hint="eastAsia" w:ascii="宋体" w:hAnsi="宋体" w:eastAsia="宋体" w:cs="宋体"/>
          <w:color w:val="000000" w:themeColor="text1"/>
          <w:sz w:val="21"/>
          <w:szCs w:val="21"/>
          <w:highlight w:val="none"/>
          <w14:textFill>
            <w14:solidFill>
              <w14:schemeClr w14:val="tx1"/>
            </w14:solidFill>
          </w14:textFill>
        </w:rPr>
        <w:t xml:space="preserve">共和国政府采购法》第二十二条规定条件的信用记录。</w:t>
      </w:r>
      <w:r/>
    </w:p>
    <w:p>
      <w:pPr>
        <w:pStyle w:val="976"/>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27.1.9投标文件含有采购人不能接受的附加条件的。</w:t>
      </w:r>
      <w:r/>
    </w:p>
    <w:p>
      <w:pPr>
        <w:pStyle w:val="976"/>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27.1.10投标人不能证明其报价合理性的，评标委员会应当将其作为无效投标处理。</w:t>
      </w:r>
      <w:r/>
    </w:p>
    <w:p>
      <w:pPr>
        <w:pStyle w:val="816"/>
        <w:ind w:firstLine="480"/>
        <w:jc w:val="both"/>
        <w:keepLines w:val="0"/>
        <w:keepNext w:val="0"/>
        <w:pageBreakBefore w:val="0"/>
        <w:spacing w:beforeAutospacing="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t xml:space="preserve">提醒：采购人可以结合具体项目实际情况，提高上述第1项至第3项中启动异常低价投标（响应）审查的数值标准，但是最高不得超过65%。</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相关法律法规对供应商报价有规定的，从其规定。</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6"/>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6"/>
        <w:ind w:left="0" w:firstLine="420"/>
        <w:jc w:val="both"/>
        <w:keepLines w:val="0"/>
        <w:keepNext w:val="0"/>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27.1.11 本项目采购产品被财政部、国家发展改革委、生态环境部等列入“节能产品品目清单”“环境标志产品品目清单”强制采购范围，而投标人所投标产品不在强制采购范</w:t>
      </w:r>
      <w:r>
        <w:rPr>
          <w:rFonts w:hint="eastAsia" w:ascii="宋体" w:hAnsi="宋体" w:cs="宋体"/>
          <w:color w:val="000000" w:themeColor="text1"/>
          <w:sz w:val="21"/>
          <w:szCs w:val="21"/>
          <w:highlight w:val="none"/>
          <w14:textFill>
            <w14:solidFill>
              <w14:schemeClr w14:val="tx1"/>
            </w14:solidFill>
          </w14:textFill>
        </w:rPr>
        <w:t xml:space="preserve">围内的。（投标产品如属于政府强制采购节能产品品目清单范围内，投标文件中必须提供国家确定的认证机构出具的、处于有效期之内的该节能产品认证证书图片）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27.1.12 投标文件未按照招标文件要求加盖CA电子公章的。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27.1.13其他法律、法规及本招标文件规定的属无效投标的情形。</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27.2废标条款</w:t>
      </w:r>
      <w:r/>
    </w:p>
    <w:p>
      <w:pPr>
        <w:pStyle w:val="976"/>
        <w:ind w:left="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27.2.1符合专业条件的供应商或者对招标文件作实质响应的供应商不足三家的。27.2.2出现影响采购公正的违法、违规行为的。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27.2.3因重大变故，采购任务取消的。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27.2.4评标委员会认定招标文件存在歧义、重大缺陷导致评审工作无法进行。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27.2.5 因苏采云系统故障原因造成开标不成功的。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27.3 投标截止时间结束后参加投标的供应商不足三家的处理：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976"/>
        <w:ind w:left="0" w:firstLine="422"/>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52" w:name="_Toc120614219"/>
      <w:r>
        <w:rPr>
          <w:rFonts w:hint="eastAsia" w:ascii="宋体" w:hAnsi="宋体" w:cs="宋体"/>
          <w:b/>
          <w:color w:val="000000" w:themeColor="text1"/>
          <w:sz w:val="21"/>
          <w:szCs w:val="21"/>
          <w:highlight w:val="none"/>
          <w14:textFill>
            <w14:solidFill>
              <w14:schemeClr w14:val="tx1"/>
            </w14:solidFill>
          </w14:textFill>
        </w:rPr>
        <w:t xml:space="preserve">六、定标</w:t>
      </w:r>
      <w:bookmarkEnd w:id="152"/>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53" w:name="_Toc20823310"/>
      <w:r/>
      <w:bookmarkStart w:id="154" w:name="_Toc513029238"/>
      <w:r/>
      <w:bookmarkStart w:id="155" w:name="_Toc16938554"/>
      <w:r>
        <w:rPr>
          <w:rFonts w:hint="eastAsia" w:ascii="宋体" w:hAnsi="宋体" w:cs="宋体"/>
          <w:color w:val="000000" w:themeColor="text1"/>
          <w:sz w:val="21"/>
          <w:szCs w:val="21"/>
          <w:highlight w:val="none"/>
          <w14:textFill>
            <w14:solidFill>
              <w14:schemeClr w14:val="tx1"/>
            </w14:solidFill>
          </w14:textFill>
        </w:rPr>
        <w:t xml:space="preserve">28、</w:t>
      </w:r>
      <w:bookmarkEnd w:id="153"/>
      <w:r>
        <w:rPr>
          <w:rFonts w:hint="eastAsia" w:ascii="宋体" w:hAnsi="宋体" w:cs="宋体"/>
          <w:color w:val="000000" w:themeColor="text1"/>
          <w:sz w:val="21"/>
          <w:szCs w:val="21"/>
          <w:highlight w:val="none"/>
          <w14:textFill>
            <w14:solidFill>
              <w14:schemeClr w14:val="tx1"/>
            </w14:solidFill>
          </w14:textFill>
        </w:rPr>
        <w:t xml:space="preserve">确定</w:t>
      </w:r>
      <w:bookmarkEnd w:id="154"/>
      <w:r/>
      <w:bookmarkEnd w:id="155"/>
      <w:r>
        <w:rPr>
          <w:rFonts w:hint="eastAsia" w:ascii="宋体" w:hAnsi="宋体" w:cs="宋体"/>
          <w:color w:val="000000" w:themeColor="text1"/>
          <w:sz w:val="21"/>
          <w:szCs w:val="21"/>
          <w:highlight w:val="none"/>
          <w14:textFill>
            <w14:solidFill>
              <w14:schemeClr w14:val="tx1"/>
            </w14:solidFill>
          </w14:textFill>
        </w:rPr>
        <w:t xml:space="preserve">中标单位</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28.1中标候选人的选取原则和数量见招标文件第五章规定。 </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28.2 采购人应根据评委会推荐的中标候选人确定中标人。</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28.3 采购代理机构将在中国政府采购网”“江苏政府采购网”发布中标公告，公告期限为1个工作日。</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28.4  若有充分证据证明，中标人出现下列情况之一的，一经查实，将被取消中标资格：</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28.4.1提供虚假材料谋取中标的。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28.4.2向采购人、采购代理机构行贿或者提供其他不正当利益的。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28.4.3属于本文件规定的无效条件，但在评标过程中又未被评委会发现的。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28.4.4与采购人或者其他供应商恶意串通的。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28.4.5采取不正当手段诋毁、排挤其他供应商的。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56" w:name="_Toc200451960"/>
      <w:r>
        <w:rPr>
          <w:rFonts w:hint="eastAsia" w:ascii="宋体" w:hAnsi="宋体" w:cs="宋体"/>
          <w:color w:val="000000" w:themeColor="text1"/>
          <w:sz w:val="21"/>
          <w:szCs w:val="21"/>
          <w:highlight w:val="none"/>
          <w14:textFill>
            <w14:solidFill>
              <w14:schemeClr w14:val="tx1"/>
            </w14:solidFill>
          </w14:textFill>
        </w:rPr>
        <w:t xml:space="preserve">28.5. 有下列情形之一的，视为投标人串通投标，投标无效：</w:t>
      </w:r>
      <w:bookmarkEnd w:id="156"/>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28.5.1不同投标人的投标文件由同一单位或者个人编制；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28.5.2不同投标人委托同一单位或者个人办理投标事宜；</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28.5.3 不同投标人的投标文件载明的项目管理成员或者联系人员为同一人；</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28.5.4不同投标人的投标文件异常一致或者投标报价呈规律性差异；</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29、质疑处理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29.2.1对可以质疑的采购文件提出质疑的，为收到采购文件之日或者采购文件公告期限届满之日；</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29.2.2对采购过程提出质疑的，为各采购程序环节结束之日；  </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29.2.3对中标或者成交结果提出质疑的，为中标或者成交结果公告期限届满之日。</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采购人及代理机构只接收以纸质原件形式送达的质疑,采购人和代理机构不接受未填写快递运单的快件。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29.5 以下情形的质疑不予受理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29.5.1 内容不符合《政府采购质疑和投诉办法》第十二条规定的质疑。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29.5.2 超出政府采购法定期限的质疑。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29.5.3 以传真、电子邮件等方式递交的非原件形式的质疑。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29.5.4 未参加投标活动的供应商或在投标活动中自身权益未受到损害的供应商所提出的质疑。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29.5.5供应商组成联合体参加投标，联合体中任何一方或多方未按要求签字、盖章、加盖公章的质疑。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30、中标通知书</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30.l</w:t>
      </w: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76"/>
        <w:ind w:left="0" w:firstLine="422"/>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57" w:name="_Toc513029236"/>
      <w:r/>
      <w:bookmarkStart w:id="158" w:name="_Toc120614220"/>
      <w:r/>
      <w:bookmarkStart w:id="159" w:name="_Toc20823308"/>
      <w:r/>
      <w:bookmarkStart w:id="160" w:name="_Toc16938552"/>
      <w:r>
        <w:rPr>
          <w:rFonts w:hint="eastAsia" w:ascii="宋体" w:hAnsi="宋体" w:cs="宋体"/>
          <w:b/>
          <w:color w:val="000000" w:themeColor="text1"/>
          <w:sz w:val="21"/>
          <w:szCs w:val="21"/>
          <w:highlight w:val="none"/>
          <w14:textFill>
            <w14:solidFill>
              <w14:schemeClr w14:val="tx1"/>
            </w14:solidFill>
          </w14:textFill>
        </w:rPr>
        <w:t xml:space="preserve">七、授予合同</w:t>
      </w:r>
      <w:bookmarkEnd w:id="157"/>
      <w:r/>
      <w:bookmarkEnd w:id="158"/>
      <w:r/>
      <w:bookmarkEnd w:id="159"/>
      <w:r/>
      <w:bookmarkEnd w:id="160"/>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bookmarkStart w:id="161" w:name="_Toc20823309"/>
      <w:r/>
      <w:bookmarkStart w:id="162" w:name="_Toc16938553"/>
      <w:r/>
      <w:bookmarkStart w:id="163" w:name="_Toc513029237"/>
      <w:r>
        <w:rPr>
          <w:rFonts w:hint="eastAsia" w:ascii="宋体" w:hAnsi="宋体" w:cs="宋体"/>
          <w:color w:val="000000" w:themeColor="text1"/>
          <w:sz w:val="21"/>
          <w:szCs w:val="21"/>
          <w:highlight w:val="none"/>
          <w14:textFill>
            <w14:solidFill>
              <w14:schemeClr w14:val="tx1"/>
            </w14:solidFill>
          </w14:textFill>
        </w:rPr>
        <w:t xml:space="preserve">31. 签订合同</w:t>
      </w:r>
      <w:bookmarkEnd w:id="161"/>
      <w:r/>
      <w:bookmarkEnd w:id="162"/>
      <w:r/>
      <w:bookmarkEnd w:id="163"/>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31.l中标人应当在中标通知书发出之日起三十日内，按照招标文件确定的事项与采购人签订政府采购合同。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31.2招标文件、中标人的投标文件及招标过程中有关澄清、承诺文件均应作为合同附件。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31.3 签订合同后，</w:t>
      </w:r>
      <w:r>
        <w:rPr>
          <w:rFonts w:hint="eastAsia" w:ascii="宋体" w:hAnsi="宋体" w:cs="宋体"/>
          <w:i/>
          <w:color w:val="000000" w:themeColor="text1"/>
          <w:sz w:val="21"/>
          <w:szCs w:val="21"/>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32、货物（包含与货物相关的服务）的追加</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33.政府采购政策功能落实</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33.1政府采购线上合同信用融资政策</w:t>
      </w:r>
      <w:r/>
    </w:p>
    <w:p>
      <w:pPr>
        <w:pStyle w:val="976"/>
        <w:ind w:left="0" w:firstLine="48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33.2进口产品</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33.3中小企业、监狱企业及残疾人福利性单位</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33.3.1中小企业定义：</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中小企业</w:t>
      </w:r>
      <w:r>
        <w:rPr>
          <w:rFonts w:hint="eastAsia" w:ascii="宋体" w:hAnsi="宋体" w:cs="宋体"/>
          <w:color w:val="000000" w:themeColor="text1"/>
          <w:sz w:val="21"/>
          <w:szCs w:val="21"/>
          <w:highlight w:val="none"/>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33.3.2供应商提供的货物、工程或者服务符合下列情形的，享受中小企业扶持政策：</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33.3.2.1在货物采购项目中，货物由中小企业制造，即货物由中小企业生产且使用该中小企业商号或者注册商标；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33.3.2.2在工程采购项目中，工程由中小企业承建，即工程施工单位为中小企业；</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33.3.3在货物采购项目中，供应商提供的货物既有中小企业制造货物，也有大型企业制造货物的，不享受中小企业扶持政策。</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33.3.6残疾人福利单位定义：享受政府采购支持政策的残疾人福利性单位应当同时满足以下条件：</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33.3.6.1安置的残疾人占本单位在职职工人数的比例不低于25%（含25%），并且安置的残疾人人数不少于10 人（含10人）；</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33.3.6.2依法与安置的每位残疾人签订了一年以上（含一年）的劳动合同或服务协议；</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33.3.6.3为安置的每位残疾人按月足额缴纳了基本养老保险、基本医疗保险、失业保险、工伤保险和生育保险等社会保险费；</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33.3.7本项目是否专门面向中小企业预留采购份额见第一章《招标公告》。</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33.3.8采购标的对应的中小企业划分标准所属行业见第四章《采购需求》。</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33.3.9小微企业价格评审优惠的政策：见第五章《评标方法和评标标准》。</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33.4政府采购节能产品、环境标志产品</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1"/>
          <w:szCs w:val="21"/>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其他条件相同情况下，应当优先采购节能产品、环境标志产品。</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33.5绿色包装</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33.6政府采购创新产品</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采购人优先采购各级政府部门公开发布的有效期内的创新产品、创新服务、首台套、首购首用等《目录》的创新产品。</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33.7绿色数据中心政策 </w:t>
      </w:r>
      <w:r/>
    </w:p>
    <w:p>
      <w:pPr>
        <w:pStyle w:val="976"/>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文件中若涉及到数据中心采购，采购人应依据《绿色数据中心政府采购需求标准（试行）》（财办库〔2023〕7号）文件精神，在采购数据中心相关设备、运维服务，应当有利于节约能源、环境保护和资源循环利用，按照</w:t>
      </w:r>
      <w:r>
        <w:rPr>
          <w:rFonts w:hint="eastAsia" w:ascii="宋体" w:hAnsi="宋体" w:eastAsia="宋体" w:cs="宋体"/>
          <w:color w:val="000000" w:themeColor="text1"/>
          <w:sz w:val="21"/>
          <w:szCs w:val="21"/>
          <w:highlight w:val="none"/>
          <w14:textFill>
            <w14:solidFill>
              <w14:schemeClr w14:val="tx1"/>
            </w14:solidFill>
          </w14:textFill>
        </w:rPr>
        <w:t xml:space="preserve">《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33.8实施本国产品标准及相关政策</w:t>
      </w:r>
      <w:r/>
    </w:p>
    <w:p>
      <w:pPr>
        <w:ind w:firstLine="42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2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976"/>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履约保证金政策</w:t>
      </w:r>
      <w:r/>
    </w:p>
    <w:p>
      <w:pPr>
        <w:pStyle w:val="976"/>
        <w:ind w:left="0" w:firstLine="4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确需收取履约保证金的，履约保证金的缴纳形式：</w:t>
      </w:r>
      <w:r/>
    </w:p>
    <w:p>
      <w:pPr>
        <w:pStyle w:val="976"/>
        <w:ind w:left="0" w:firstLine="420"/>
        <w:jc w:val="both"/>
        <w:keepLines w:val="0"/>
        <w:keepNext w:val="0"/>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w:t>
      </w:r>
      <w:r>
        <w:rPr>
          <w:rFonts w:hint="eastAsia" w:ascii="宋体" w:hAnsi="宋体" w:cs="宋体"/>
          <w:color w:val="000000" w:themeColor="text1"/>
          <w:sz w:val="21"/>
          <w:szCs w:val="21"/>
          <w:highlight w:val="none"/>
          <w14:textFill>
            <w14:solidFill>
              <w14:schemeClr w14:val="tx1"/>
            </w14:solidFill>
          </w14:textFill>
        </w:rPr>
        <w:t xml:space="preserve">愿使用电子履约保函（保险）代替缴纳履约保证金。</w:t>
      </w:r>
      <w:r/>
    </w:p>
    <w:p>
      <w:pPr>
        <w:pStyle w:val="976"/>
        <w:ind w:left="0" w:firstLine="420"/>
        <w:jc w:val="both"/>
        <w:pageBreakBefore w:val="0"/>
        <w:spacing w:beforeAutospacing="0" w:afterAutospacing="0" w:line="48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p>
    <w:p>
      <w:pPr>
        <w:pStyle w:val="976"/>
        <w:ind w:left="0" w:firstLine="420"/>
        <w:jc w:val="both"/>
        <w:pageBreakBefore w:val="0"/>
        <w:spacing w:beforeAutospacing="0" w:afterAutospacing="0" w:line="480" w:lineRule="exact"/>
        <w:widowControl w:val="off"/>
        <w:rPr>
          <w:color w:val="000000" w:themeColor="text1"/>
          <w:sz w:val="36"/>
          <w:szCs w:val="44"/>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履约保证金金额不得超过合同金额的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%，采购人对第三方信用服务机构依据标准规范评定为 AA 级及以上的政府采购供应商（需在签订采购合同前提供信用管理部门备案的第三方信用报告），免收履约保证金。</w:t>
      </w:r>
      <w:bookmarkStart w:id="164" w:name="_Toc479757211"/>
      <w:r/>
      <w:bookmarkStart w:id="165" w:name="_Toc120614244"/>
      <w:r/>
      <w:bookmarkStart w:id="166" w:name="_Toc16938590"/>
      <w:r/>
      <w:bookmarkStart w:id="167" w:name="_Toc20823346"/>
      <w:r/>
      <w:bookmarkStart w:id="168" w:name="_Toc462564139"/>
      <w:r/>
      <w:bookmarkStart w:id="169" w:name="_Hlt16619350"/>
      <w:r/>
      <w:bookmarkStart w:id="170" w:name="_Hlt16619369"/>
      <w:r/>
      <w:r/>
    </w:p>
    <w:p>
      <w:pPr>
        <w:jc w:val="center"/>
        <w:spacing w:line="360" w:lineRule="auto"/>
        <w:widowControl/>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jc w:val="center"/>
        <w:spacing w:line="360" w:lineRule="auto"/>
        <w:widowControl/>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rPr>
          <w:rFonts w:hint="eastAsia" w:ascii="宋体" w:hAnsi="宋体" w:cs="宋体"/>
          <w:b/>
          <w:color w:val="000000" w:themeColor="text1"/>
          <w:sz w:val="48"/>
          <w:szCs w:val="44"/>
          <w:highlight w:val="none"/>
          <w14:textFill>
            <w14:solidFill>
              <w14:schemeClr w14:val="tx1"/>
            </w14:solidFill>
          </w14:textFill>
        </w:rPr>
      </w:pPr>
      <w:r>
        <w:rPr>
          <w:rFonts w:hint="eastAsia" w:ascii="宋体" w:hAnsi="宋体" w:cs="宋体"/>
          <w:b/>
          <w:color w:val="000000" w:themeColor="text1"/>
          <w:sz w:val="48"/>
          <w:szCs w:val="44"/>
          <w:highlight w:val="none"/>
          <w14:textFill>
            <w14:solidFill>
              <w14:schemeClr w14:val="tx1"/>
            </w14:solidFill>
          </w14:textFill>
        </w:rPr>
        <w:br w:type="page" w:clear="all"/>
      </w:r>
      <w:r/>
    </w:p>
    <w:p>
      <w:pPr>
        <w:jc w:val="center"/>
        <w:spacing w:line="360" w:lineRule="auto"/>
        <w:widowControl/>
        <w:rPr>
          <w:rFonts w:hint="eastAsia" w:ascii="宋体" w:hAnsi="宋体" w:cs="宋体"/>
          <w:b/>
          <w:color w:val="000000" w:themeColor="text1"/>
          <w:sz w:val="48"/>
          <w:szCs w:val="44"/>
          <w:highlight w:val="none"/>
          <w14:textFill>
            <w14:solidFill>
              <w14:schemeClr w14:val="tx1"/>
            </w14:solidFill>
          </w14:textFill>
        </w:rPr>
      </w:pPr>
      <w:r>
        <w:rPr>
          <w:rFonts w:hint="eastAsia" w:ascii="宋体" w:hAnsi="宋体" w:cs="宋体"/>
          <w:b/>
          <w:color w:val="000000" w:themeColor="text1"/>
          <w:sz w:val="48"/>
          <w:szCs w:val="44"/>
          <w:highlight w:val="none"/>
          <w14:textFill>
            <w14:solidFill>
              <w14:schemeClr w14:val="tx1"/>
            </w14:solidFill>
          </w14:textFill>
        </w:rPr>
        <w:t xml:space="preserve">第三章  合同条款</w:t>
      </w:r>
      <w:r/>
    </w:p>
    <w:p>
      <w:pPr>
        <w:pStyle w:val="732"/>
        <w:jc w:val="center"/>
        <w:rPr>
          <w:rFonts w:ascii="宋体" w:hAnsi="宋体" w:eastAsia="宋体" w:cs="宋体"/>
          <w:b/>
          <w:bCs/>
          <w:color w:val="000000" w:themeColor="text1"/>
          <w:spacing w:val="-20"/>
          <w:sz w:val="32"/>
          <w:szCs w:val="32"/>
          <w14:textFill>
            <w14:solidFill>
              <w14:schemeClr w14:val="tx1"/>
            </w14:solidFill>
          </w14:textFill>
        </w:rPr>
      </w:pPr>
      <w:r/>
      <w:bookmarkStart w:id="171" w:name="EB6d2006462e294de090c16e672cecc3bd"/>
      <w:r/>
      <w:bookmarkEnd w:id="171"/>
      <w:r>
        <w:rPr>
          <w:rFonts w:hint="eastAsia" w:ascii="宋体" w:hAnsi="宋体" w:eastAsia="宋体" w:cs="宋体"/>
          <w:b/>
          <w:bCs/>
          <w:color w:val="000000" w:themeColor="text1"/>
          <w:spacing w:val="-20"/>
          <w:sz w:val="32"/>
          <w:szCs w:val="32"/>
          <w14:textFill>
            <w14:solidFill>
              <w14:schemeClr w14:val="tx1"/>
            </w14:solidFill>
          </w14:textFill>
        </w:rPr>
        <w:t xml:space="preserve">财政部 政府采购货物买卖合同（试行）</w:t>
      </w:r>
      <w:r/>
    </w:p>
    <w:p>
      <w:pPr>
        <w:pStyle w:val="732"/>
        <w:jc w:val="center"/>
        <w:rPr>
          <w:rFonts w:ascii="宋体" w:hAnsi="宋体" w:eastAsia="宋体" w:cs="宋体"/>
          <w:b/>
          <w:bCs/>
          <w:color w:val="000000" w:themeColor="text1"/>
          <w:spacing w:val="-20"/>
          <w:sz w:val="32"/>
          <w:szCs w:val="32"/>
          <w14:textFill>
            <w14:solidFill>
              <w14:schemeClr w14:val="tx1"/>
            </w14:solidFill>
          </w14:textFill>
        </w:rPr>
      </w:pPr>
      <w:r>
        <w:rPr>
          <w:rFonts w:hint="eastAsia" w:ascii="宋体" w:hAnsi="宋体" w:eastAsia="宋体" w:cs="宋体"/>
          <w:b/>
          <w:bCs/>
          <w:color w:val="000000" w:themeColor="text1"/>
          <w:spacing w:val="-20"/>
          <w:sz w:val="32"/>
          <w:szCs w:val="32"/>
          <w14:textFill>
            <w14:solidFill>
              <w14:schemeClr w14:val="tx1"/>
            </w14:solidFill>
          </w14:textFill>
        </w:rPr>
        <w:t xml:space="preserve">范    本</w:t>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ind w:left="420"/>
        <w:spacing w:line="360" w:lineRule="auto"/>
        <w:rPr>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rPr>
          <w:rFonts w:hint="eastAsia"/>
          <w:color w:val="000000" w:themeColor="text1"/>
          <w:sz w:val="28"/>
          <w:szCs w:val="28"/>
          <w:u w:val="single"/>
          <w14:textFill>
            <w14:solidFill>
              <w14:schemeClr w14:val="tx1"/>
            </w14:solidFill>
          </w14:textFill>
        </w:rPr>
        <w:t xml:space="preserve">                             </w:t>
      </w:r>
      <w:r/>
    </w:p>
    <w:p>
      <w:pPr>
        <w:ind w:left="420"/>
        <w:spacing w:line="360" w:lineRule="auto"/>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合同编号：</w:t>
      </w:r>
      <w:r>
        <w:rPr>
          <w:rFonts w:hint="eastAsia"/>
          <w:color w:val="000000" w:themeColor="text1"/>
          <w:sz w:val="28"/>
          <w:szCs w:val="28"/>
          <w:u w:val="single"/>
          <w14:textFill>
            <w14:solidFill>
              <w14:schemeClr w14:val="tx1"/>
            </w14:solidFill>
          </w14:textFill>
        </w:rPr>
        <w:t xml:space="preserve">                             </w:t>
      </w:r>
      <w:r/>
    </w:p>
    <w:p>
      <w:pPr>
        <w:ind w:left="420"/>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甲    方：</w:t>
      </w:r>
      <w:r>
        <w:rPr>
          <w:rFonts w:hint="eastAsia"/>
          <w:color w:val="000000" w:themeColor="text1"/>
          <w:sz w:val="28"/>
          <w:szCs w:val="28"/>
          <w:u w:val="single"/>
          <w14:textFill>
            <w14:solidFill>
              <w14:schemeClr w14:val="tx1"/>
            </w14:solidFill>
          </w14:textFill>
        </w:rPr>
        <w:t xml:space="preserve">                             </w:t>
      </w:r>
      <w:r/>
    </w:p>
    <w:p>
      <w:pPr>
        <w:ind w:left="420"/>
        <w:spacing w:line="360" w:lineRule="auto"/>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乙    方：</w:t>
      </w:r>
      <w:r>
        <w:rPr>
          <w:rFonts w:hint="eastAsia"/>
          <w:color w:val="000000" w:themeColor="text1"/>
          <w:sz w:val="28"/>
          <w:szCs w:val="28"/>
          <w:u w:val="single"/>
          <w14:textFill>
            <w14:solidFill>
              <w14:schemeClr w14:val="tx1"/>
            </w14:solidFill>
          </w14:textFill>
        </w:rPr>
        <w:t xml:space="preserve">                             </w:t>
      </w:r>
      <w:r/>
    </w:p>
    <w:p>
      <w:pPr>
        <w:ind w:left="420"/>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签订时间：</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br w:type="page" w:clear="all"/>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r>
      <w:r/>
    </w:p>
    <w:p>
      <w:pPr>
        <w:jc w:val="center"/>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使 用 说 明</w:t>
      </w:r>
      <w:r/>
    </w:p>
    <w:p>
      <w:pPr>
        <w:ind w:firstLine="640"/>
        <w:rPr>
          <w:rFonts w:ascii="仿宋_GB2312" w:hAnsi="仿宋_GB2312" w:eastAsia="仿宋_GB2312" w:cs="仿宋_GB2312"/>
          <w:color w:val="000000" w:themeColor="text1"/>
          <w:sz w:val="32"/>
          <w:szCs w:val="32"/>
          <w14:textFill>
            <w14:solidFill>
              <w14:schemeClr w14:val="tx1"/>
            </w14:solidFill>
          </w14:textFill>
        </w:rPr>
      </w:pPr>
      <w:r>
        <w:rPr>
          <w:rFonts w:ascii="仿宋_GB2312" w:hAnsi="仿宋_GB2312" w:eastAsia="仿宋_GB2312" w:cs="仿宋_GB2312"/>
          <w:color w:val="000000" w:themeColor="text1"/>
          <w:sz w:val="32"/>
          <w:szCs w:val="32"/>
          <w14:textFill>
            <w14:solidFill>
              <w14:schemeClr w14:val="tx1"/>
            </w14:solidFill>
          </w14:textFill>
        </w:rPr>
      </w:r>
      <w:r/>
    </w:p>
    <w:p>
      <w:pPr>
        <w:ind w:firstLine="560"/>
        <w:rPr>
          <w:rFonts w:ascii="宋体" w:hAnsi="宋体" w:cs="仿宋_GB2312"/>
          <w:color w:val="000000" w:themeColor="text1"/>
          <w:sz w:val="28"/>
          <w:szCs w:val="28"/>
          <w14:textFill>
            <w14:solidFill>
              <w14:schemeClr w14:val="tx1"/>
            </w14:solidFill>
          </w14:textFill>
        </w:rPr>
      </w:pPr>
      <w:r>
        <w:rPr>
          <w:rFonts w:hint="eastAsia" w:ascii="宋体" w:hAnsi="宋体" w:cs="仿宋_GB2312"/>
          <w:color w:val="000000" w:themeColor="text1"/>
          <w:sz w:val="28"/>
          <w:szCs w:val="28"/>
          <w14:textFill>
            <w14:solidFill>
              <w14:schemeClr w14:val="tx1"/>
            </w14:solidFill>
          </w14:textFill>
        </w:rPr>
        <w:t xml:space="preserve">1.本合同标准文本适用于购买现成货物的采购项目，不包括需要供应商定制开发、创新研发的货物采购项目。</w:t>
      </w:r>
      <w:r/>
    </w:p>
    <w:p>
      <w:pP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 xml:space="preserve"> </w:t>
      </w:r>
      <w:r>
        <w:rPr>
          <w:rFonts w:hint="eastAsia" w:ascii="宋体" w:hAnsi="宋体" w:cs="仿宋_GB2312"/>
          <w:color w:val="000000" w:themeColor="text1"/>
          <w:sz w:val="28"/>
          <w:szCs w:val="28"/>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14:textFill>
            <w14:solidFill>
              <w14:schemeClr w14:val="tx1"/>
            </w14:solidFill>
          </w14:textFill>
        </w:rPr>
      </w:pPr>
      <w:r>
        <w:rPr>
          <w:rFonts w:hint="eastAsia" w:ascii="宋体" w:hAnsi="宋体" w:cs="仿宋_GB2312"/>
          <w:color w:val="000000" w:themeColor="text1"/>
          <w:sz w:val="28"/>
          <w:szCs w:val="28"/>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000000" w:themeColor="text1"/>
          <w:sz w:val="44"/>
          <w:szCs w:val="44"/>
          <w14:textFill>
            <w14:solidFill>
              <w14:schemeClr w14:val="tx1"/>
            </w14:solidFill>
          </w14:textFill>
        </w:rPr>
      </w:r>
      <w:r/>
    </w:p>
    <w:p>
      <w:pPr>
        <w:pStyle w:val="718"/>
        <w:jc w:val="center"/>
        <w:keepLines/>
        <w:keepNext/>
        <w:pageBreakBefore w:val="0"/>
        <w:spacing w:before="0" w:after="0" w:line="360" w:lineRule="auto"/>
        <w:widowControl w:val="off"/>
        <w:rPr>
          <w:rFonts w:ascii="黑体" w:hAnsi="华文中宋" w:eastAsia="黑体"/>
          <w:b w:val="0"/>
          <w:bCs w:val="0"/>
          <w:color w:val="000000" w:themeColor="text1"/>
          <w:sz w:val="28"/>
          <w:szCs w:val="28"/>
          <w14:textFill>
            <w14:solidFill>
              <w14:schemeClr w14:val="tx1"/>
            </w14:solidFill>
          </w14:textFill>
        </w:rPr>
      </w:pPr>
      <w:r>
        <w:rPr>
          <w:rFonts w:hint="eastAsia" w:ascii="黑体" w:hAnsi="黑体" w:eastAsia="黑体"/>
          <w:b w:val="0"/>
          <w:bCs w:val="0"/>
          <w:color w:val="000000" w:themeColor="text1"/>
          <w:sz w:val="28"/>
          <w:szCs w:val="28"/>
          <w14:textFill>
            <w14:solidFill>
              <w14:schemeClr w14:val="tx1"/>
            </w14:solidFill>
          </w14:textFill>
        </w:rPr>
        <w:t xml:space="preserve">第一节 </w:t>
      </w:r>
      <w:r>
        <w:rPr>
          <w:rFonts w:hint="eastAsia" w:ascii="黑体" w:hAnsi="华文中宋" w:eastAsia="黑体"/>
          <w:b w:val="0"/>
          <w:bCs w:val="0"/>
          <w:color w:val="000000" w:themeColor="text1"/>
          <w:sz w:val="28"/>
          <w:szCs w:val="28"/>
          <w14:textFill>
            <w14:solidFill>
              <w14:schemeClr w14:val="tx1"/>
            </w14:solidFill>
          </w14:textFill>
        </w:rPr>
        <w:t xml:space="preserve">政府采购合同协议书</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pStyle w:val="733"/>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733"/>
        <w:numPr>
          <w:ilvl w:val="0"/>
          <w:numId w:val="2"/>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ascii="宋体" w:hAnsi="宋体"/>
          <w:color w:val="000000" w:themeColor="text1"/>
          <w:szCs w:val="21"/>
          <w:u w:val="single"/>
          <w14:textFill>
            <w14:solidFill>
              <w14:schemeClr w14:val="tx1"/>
            </w14:solidFill>
          </w14:textFill>
        </w:rPr>
        <w:t xml:space="preserve">                                          </w:t>
      </w:r>
      <w:r/>
    </w:p>
    <w:p>
      <w:pPr>
        <w:pStyle w:val="733"/>
        <w:numPr>
          <w:ilvl w:val="0"/>
          <w:numId w:val="0"/>
        </w:numPr>
        <w:spacing w:after="0" w:line="400" w:lineRule="exact"/>
        <w:tabs>
          <w:tab w:val="left" w:pos="999"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733"/>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lang w:val="en"/>
          <w14:textFill>
            <w14:solidFill>
              <w14:schemeClr w14:val="tx1"/>
            </w14:solidFill>
          </w14:textFill>
        </w:rPr>
        <w:t xml:space="preserve">/</w:t>
      </w:r>
      <w:r>
        <w:rPr>
          <w:rFonts w:hint="eastAsia" w:ascii="宋体" w:hAnsi="宋体"/>
          <w:color w:val="000000" w:themeColor="text1"/>
          <w:szCs w:val="21"/>
          <w:lang w:val="en"/>
          <w14:textFill>
            <w14:solidFill>
              <w14:schemeClr w14:val="tx1"/>
            </w14:solidFill>
          </w14:textFill>
        </w:rPr>
        <w:t xml:space="preserve">个</w:t>
      </w:r>
      <w:r>
        <w:rPr>
          <w:rFonts w:ascii="宋体" w:hAnsi="宋体"/>
          <w:color w:val="000000" w:themeColor="text1"/>
          <w:szCs w:val="21"/>
          <w:lang w:val="en"/>
          <w14:textFill>
            <w14:solidFill>
              <w14:schemeClr w14:val="tx1"/>
            </w14:solidFill>
          </w14:textFill>
        </w:rPr>
        <w:t xml:space="preserve">/</w:t>
      </w:r>
      <w:r>
        <w:rPr>
          <w:rFonts w:hint="eastAsia" w:ascii="宋体" w:hAnsi="宋体"/>
          <w:color w:val="000000" w:themeColor="text1"/>
          <w:szCs w:val="21"/>
          <w:lang w:val="en"/>
          <w14:textFill>
            <w14:solidFill>
              <w14:schemeClr w14:val="tx1"/>
            </w14:solidFill>
          </w14:textFill>
        </w:rPr>
        <w:t xml:space="preserve">架</w:t>
      </w:r>
      <w:r>
        <w:rPr>
          <w:rFonts w:ascii="宋体" w:hAnsi="宋体"/>
          <w:color w:val="000000" w:themeColor="text1"/>
          <w:szCs w:val="21"/>
          <w:lang w:val="en"/>
          <w14:textFill>
            <w14:solidFill>
              <w14:schemeClr w14:val="tx1"/>
            </w14:solidFill>
          </w14:textFill>
        </w:rPr>
        <w:t xml:space="preserve">/</w:t>
      </w:r>
      <w:r>
        <w:rPr>
          <w:rFonts w:hint="eastAsia" w:ascii="宋体" w:hAnsi="宋体"/>
          <w:color w:val="000000" w:themeColor="text1"/>
          <w:szCs w:val="21"/>
          <w:lang w:val="en"/>
          <w14:textFill>
            <w14:solidFill>
              <w14:schemeClr w14:val="tx1"/>
            </w14:solidFill>
          </w14:textFill>
        </w:rPr>
        <w:t xml:space="preserve">组等</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0"/>
          <w:numId w:val="0"/>
        </w:numPr>
        <w:ind w:firstLine="420"/>
        <w:spacing w:line="400" w:lineRule="exact"/>
        <w:rPr>
          <w:rFonts w:ascii="宋体" w:hAnsi="宋体" w:cs="宋体"/>
          <w:color w:val="000000" w:themeColor="text1"/>
          <w:szCs w:val="21"/>
          <w:lang w:val="e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lang w:val="e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lang w:val="e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lang w:val="e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lang w:val="e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lang w:val="en"/>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0"/>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0"/>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lang w:val="e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987"/>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987"/>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987"/>
        <w:numPr>
          <w:ilvl w:val="0"/>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987"/>
        <w:numPr>
          <w:ilvl w:val="0"/>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987"/>
        <w:numPr>
          <w:ilvl w:val="0"/>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数量：</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987"/>
        <w:numPr>
          <w:ilvl w:val="0"/>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否</w:t>
      </w:r>
      <w:r/>
    </w:p>
    <w:p>
      <w:pPr>
        <w:pStyle w:val="987"/>
        <w:numPr>
          <w:ilvl w:val="0"/>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ascii="宋体" w:hAnsi="宋体" w:eastAsia="宋体" w:cs="宋体"/>
          <w:color w:val="000000" w:themeColor="text1"/>
          <w:sz w:val="21"/>
          <w:lang w:val="en"/>
          <w14:textFill>
            <w14:solidFill>
              <w14:schemeClr w14:val="tx1"/>
            </w14:solidFill>
          </w14:textFill>
        </w:rPr>
        <w:t xml:space="preserve">4</w:t>
      </w:r>
      <w:r>
        <w:rPr>
          <w:rFonts w:hint="eastAsia" w:ascii="宋体" w:hAns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分散采购</w:t>
      </w:r>
      <w:r/>
    </w:p>
    <w:p>
      <w:pPr>
        <w:pStyle w:val="987"/>
        <w:numPr>
          <w:ilvl w:val="0"/>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rPr>
          <w:rFonts w:ascii="宋体" w:hAnsi="宋体" w:eastAsia="宋体" w:cs="宋体"/>
          <w:color w:val="000000" w:themeColor="text1"/>
          <w:sz w:val="21"/>
          <w:lang w:val="en"/>
          <w14:textFill>
            <w14:solidFill>
              <w14:schemeClr w14:val="tx1"/>
            </w14:solidFill>
          </w14:textFill>
        </w:rPr>
        <w:t xml:space="preserve">5</w:t>
      </w:r>
      <w:r>
        <w:rPr>
          <w:rFonts w:hint="eastAsia" w:ascii="宋体" w:hAnsi="宋体" w:eastAsia="宋体" w:cs="宋体"/>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竞争性磋商</w:t>
      </w:r>
      <w:r/>
    </w:p>
    <w:p>
      <w:pPr>
        <w:pStyle w:val="987"/>
        <w:numPr>
          <w:ilvl w:val="0"/>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987"/>
        <w:numPr>
          <w:ilvl w:val="0"/>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987"/>
        <w:numPr>
          <w:ilvl w:val="0"/>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lang w:val="en"/>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0"/>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0"/>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0"/>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lang w:val="e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0"/>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lang w:val="en"/>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987"/>
        <w:ind w:firstLine="420"/>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0"/>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lang w:val="en"/>
          <w14:textFill>
            <w14:solidFill>
              <w14:schemeClr w14:val="tx1"/>
            </w14:solidFill>
          </w14:textFill>
        </w:rPr>
        <w:t xml:space="preserve">9</w:t>
      </w:r>
      <w:r>
        <w:rPr>
          <w:rFonts w:hint="eastAsia" w:ascii="宋体" w:hAnsi="宋体" w:cs="宋体"/>
          <w:color w:val="000000" w:themeColor="text1"/>
          <w:szCs w:val="21"/>
          <w14:textFill>
            <w14:solidFill>
              <w14:schemeClr w14:val="tx1"/>
            </w14:solidFill>
          </w14:textFill>
        </w:rPr>
        <w:t xml:space="preserve">）是否涉及进口产品：</w:t>
      </w:r>
      <w:r/>
    </w:p>
    <w:p>
      <w:pPr>
        <w:numPr>
          <w:ilvl w:val="0"/>
          <w:numId w:val="0"/>
        </w:numPr>
        <w:ind w:firstLine="84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是，《政府采购品目分类目录》底级品目名称：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金额：</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0"/>
        </w:num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规格型号：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否</w:t>
      </w:r>
      <w:r/>
    </w:p>
    <w:p>
      <w:pPr>
        <w:numPr>
          <w:ilvl w:val="0"/>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lang w:val="en"/>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）是否涉及节能产品：</w:t>
      </w:r>
      <w:r/>
    </w:p>
    <w:p>
      <w:pPr>
        <w:numPr>
          <w:ilvl w:val="0"/>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是，《节能产品政府采购品目清单》的底级品目名称：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0"/>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宋体" w:hAnsi="宋体"/>
          <w:iCs/>
          <w:color w:val="000000" w:themeColor="text1"/>
          <w:szCs w:val="21"/>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0"/>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否</w:t>
      </w:r>
      <w:r/>
    </w:p>
    <w:p>
      <w:pPr>
        <w:numPr>
          <w:ilvl w:val="0"/>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是否涉及环境标志产品：</w:t>
      </w:r>
      <w:r/>
    </w:p>
    <w:p>
      <w:pPr>
        <w:numPr>
          <w:ilvl w:val="0"/>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是，《环境标志产品政府采购品目清单》的底级品目名称：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0"/>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0"/>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否</w:t>
      </w:r>
      <w:r/>
    </w:p>
    <w:p>
      <w:pPr>
        <w:pStyle w:val="987"/>
        <w:numPr>
          <w:ilvl w:val="0"/>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987"/>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0"/>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987"/>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0"/>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lang w:val="en"/>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不涉及</w:t>
      </w:r>
      <w:r/>
    </w:p>
    <w:p>
      <w:pPr>
        <w:numPr>
          <w:ilvl w:val="0"/>
          <w:numId w:val="1"/>
        </w:numPr>
        <w:ind w:firstLine="422"/>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0"/>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003"/>
        <w:ind w:left="0" w:firstLine="420"/>
        <w:spacing w:line="400" w:lineRule="exact"/>
        <w:rPr>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1"/>
        </w:numPr>
        <w:ind w:firstLine="422"/>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否</w:t>
      </w:r>
      <w:r/>
    </w:p>
    <w:p>
      <w:pPr>
        <w:pStyle w:val="987"/>
        <w:rPr>
          <w:rFonts w:ascii="宋体" w:hAnsi="宋体" w:eastAsia="宋体" w:cs="宋体"/>
          <w:color w:val="000000" w:themeColor="text1"/>
          <w:sz w:val="2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收取履约保证金形式：</w:t>
      </w:r>
      <w:r>
        <w:rPr>
          <w:rFonts w:hint="eastAsia" w:ascii="宋体" w:hAnsi="宋体" w:eastAsia="宋体" w:cs="宋体"/>
          <w:bCs/>
          <w:color w:val="000000" w:themeColor="text1"/>
          <w:sz w:val="21"/>
          <w:u w:val="single"/>
          <w14:textFill>
            <w14:solidFill>
              <w14:schemeClr w14:val="tx1"/>
            </w14:solidFill>
          </w14:textFill>
        </w:rPr>
        <w:t xml:space="preserve">                            </w:t>
      </w:r>
      <w:r/>
    </w:p>
    <w:p>
      <w:pPr>
        <w:pStyle w:val="987"/>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收取履约保证金金额：</w:t>
      </w:r>
      <w:r>
        <w:rPr>
          <w:rFonts w:hint="eastAsia" w:ascii="宋体" w:hAnsi="宋体" w:eastAsia="宋体" w:cs="宋体"/>
          <w:bCs/>
          <w:color w:val="000000" w:themeColor="text1"/>
          <w:sz w:val="21"/>
          <w:u w:val="single"/>
          <w14:textFill>
            <w14:solidFill>
              <w14:schemeClr w14:val="tx1"/>
            </w14:solidFill>
          </w14:textFill>
        </w:rPr>
        <w:t xml:space="preserve">                            </w:t>
      </w:r>
      <w:r/>
    </w:p>
    <w:p>
      <w:pPr>
        <w:ind w:firstLine="420"/>
        <w:spacing w:line="400" w:lineRule="exact"/>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履约担保期限：</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1"/>
        </w:numPr>
        <w:ind w:firstLine="422"/>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3"/>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525"/>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525"/>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525"/>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525"/>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525"/>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w:t>
      </w:r>
      <w:r>
        <w:rPr>
          <w:rFonts w:hint="eastAsia" w:ascii="宋体" w:hAnsi="宋体"/>
          <w:bCs/>
          <w:color w:val="000000" w:themeColor="text1"/>
          <w:szCs w:val="21"/>
          <w:u w:val="single"/>
          <w14:textFill>
            <w14:solidFill>
              <w14:schemeClr w14:val="tx1"/>
            </w14:solidFill>
          </w14:textFill>
        </w:rPr>
        <w:t xml:space="preserve">（应明确对被破坏的检测产品的处理方式）</w:t>
      </w:r>
      <w:r/>
    </w:p>
    <w:p>
      <w:pPr>
        <w:ind w:firstLine="525"/>
        <w:spacing w:line="400" w:lineRule="exact"/>
        <w:rPr>
          <w:rFonts w:ascii="宋体" w:hAnsi="宋体"/>
          <w:bCs/>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525"/>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lang w:val="en"/>
          <w14:textFill>
            <w14:solidFill>
              <w14:schemeClr w14:val="tx1"/>
            </w14:solidFill>
          </w14:textFill>
        </w:rPr>
        <w:t xml:space="preserve">/</w:t>
      </w:r>
      <w:r>
        <w:rPr>
          <w:rFonts w:hint="eastAsia" w:ascii="宋体" w:hAnsi="宋体"/>
          <w:bCs/>
          <w:color w:val="000000" w:themeColor="text1"/>
          <w:szCs w:val="21"/>
          <w:u w:val="single"/>
          <w:lang w:val="en"/>
          <w14:textFill>
            <w14:solidFill>
              <w14:schemeClr w14:val="tx1"/>
            </w14:solidFill>
          </w14:textFill>
        </w:rPr>
        <w:t xml:space="preserve">分项验收的工作安排</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987"/>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1"/>
        </w:numPr>
        <w:ind w:firstLine="422"/>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987"/>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1"/>
        </w:numPr>
        <w:ind w:firstLine="422"/>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1"/>
        </w:numPr>
        <w:ind w:firstLine="422"/>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bl>
      <w:tblPr>
        <w:tblStyle w:val="727"/>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8403" w:type="dxa"/>
            <w:vAlign w:val="center"/>
            <w:textDirection w:val="lrTb"/>
            <w:noWrap w:val="false"/>
          </w:tcPr>
          <w:p>
            <w:pPr>
              <w:pStyle w:val="733"/>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718"/>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 </w:t>
      </w:r>
      <w:r>
        <w:rPr>
          <w:rFonts w:hint="eastAsia" w:ascii="宋体" w:hAnsi="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color w:val="000000" w:themeColor="text1"/>
          <w:szCs w:val="21"/>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乙方有权根据合同约定向甲方收取合同价款。</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约定应由乙方承担的其他义务和责任。</w:t>
      </w:r>
      <w:r/>
    </w:p>
    <w:p>
      <w:pPr>
        <w:numPr>
          <w:ilvl w:val="0"/>
          <w:numId w:val="5"/>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themeColor="text1"/>
          <w:szCs w:val="21"/>
          <w14:textFill>
            <w14:solidFill>
              <w14:schemeClr w14:val="tx1"/>
            </w14:solidFill>
          </w14:textFill>
        </w:rPr>
        <w:t xml:space="preserve">乙方在运输到达之前应提前通知甲方，并提示货物运输装卸的注意事项，甲方配合乙方做好货物的接收工作。</w:t>
      </w:r>
      <w:r/>
    </w:p>
    <w:p>
      <w:pPr>
        <w:pStyle w:val="987"/>
        <w:ind w:firstLine="420"/>
        <w:rPr>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 质量标准和保证</w:t>
      </w:r>
      <w:r/>
    </w:p>
    <w:p>
      <w:pPr>
        <w:pStyle w:val="736"/>
        <w:ind w:firstLine="420"/>
        <w:jc w:val="left"/>
        <w:spacing w:line="400" w:lineRule="exact"/>
        <w:rPr>
          <w:rFonts w:hAnsi="宋体"/>
          <w:b/>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8.1 质量标准</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（1）本合同下提供的货物应符合合同</w:t>
      </w:r>
      <w:r>
        <w:rPr>
          <w:rFonts w:hint="eastAsia" w:ascii="宋体" w:hAnsi="宋体" w:cs="宋体"/>
          <w:color w:val="000000" w:themeColor="text1"/>
          <w:szCs w:val="21"/>
          <w14:textFill>
            <w14:solidFill>
              <w14:schemeClr w14:val="tx1"/>
            </w14:solidFill>
          </w14:textFill>
        </w:rPr>
        <w:t xml:space="preserve">约定的品牌、规格型号、技术性能、配置、质量、数量等要求。</w:t>
      </w:r>
      <w:r>
        <w:rPr>
          <w:rFonts w:hint="eastAsia" w:ascii="宋体" w:hAnsi="宋体"/>
          <w:color w:val="000000" w:themeColor="text1"/>
          <w:szCs w:val="21"/>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6"/>
        <w:ind w:firstLine="420"/>
        <w:jc w:val="left"/>
        <w:spacing w:line="40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14:textFill>
            <w14:solidFill>
              <w14:schemeClr w14:val="tx1"/>
            </w14:solidFill>
          </w14:textFill>
        </w:rPr>
        <w:t xml:space="preserve">在其使用寿命期内具备合同约定的性能</w:t>
      </w:r>
      <w:r>
        <w:rPr>
          <w:rFonts w:hint="eastAsia" w:ascii="宋体" w:hAnsi="宋体"/>
          <w:color w:val="000000" w:themeColor="text1"/>
          <w:szCs w:val="21"/>
          <w14:textFill>
            <w14:solidFill>
              <w14:schemeClr w14:val="tx1"/>
            </w14:solidFill>
          </w14:textFill>
        </w:rPr>
        <w:t xml:space="preserve">。存在质量保证期的，货物最终交付验收合格后在</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（3）乙方收到通知后，应在</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14:textFill>
            <w14:solidFill>
              <w14:schemeClr w14:val="tx1"/>
            </w14:solidFill>
          </w14:textFill>
        </w:rPr>
        <w:t xml:space="preserve">。</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cs="宋体"/>
          <w:color w:val="000000" w:themeColor="text1"/>
          <w:szCs w:val="15"/>
          <w14:textFill>
            <w14:solidFill>
              <w14:schemeClr w14:val="tx1"/>
            </w14:solidFill>
          </w14:textFill>
        </w:rPr>
      </w:pPr>
      <w:r>
        <w:rPr>
          <w:rFonts w:hint="eastAsia" w:ascii="宋体" w:hAnsi="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14:textFill>
            <w14:solidFill>
              <w14:schemeClr w14:val="tx1"/>
            </w14:solidFill>
          </w14:textFill>
        </w:rPr>
        <w:t xml:space="preserve">【政府采购合同专用条款】</w:t>
      </w:r>
      <w:r>
        <w:rPr>
          <w:rFonts w:hint="eastAsia" w:ascii="宋体" w:hAnsi="宋体" w:cs="宋体"/>
          <w:color w:val="000000" w:themeColor="text1"/>
          <w:szCs w:val="15"/>
          <w14:textFill>
            <w14:solidFill>
              <w14:schemeClr w14:val="tx1"/>
            </w14:solidFill>
          </w14:textFill>
        </w:rPr>
        <w:t xml:space="preserve">中约定。</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】中约定。</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13. 履约保证金</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13.1 </w:t>
      </w:r>
      <w:r>
        <w:rPr>
          <w:rFonts w:hint="eastAsia" w:ascii="宋体" w:hAns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13.2 如果乙方出现</w:t>
      </w:r>
      <w:r>
        <w:rPr>
          <w:rFonts w:hint="eastAsia" w:ascii="宋体" w:hAnsi="宋体" w:cs="宋体"/>
          <w:b/>
          <w:bCs/>
          <w:color w:val="000000" w:themeColor="text1"/>
          <w:szCs w:val="15"/>
          <w14:textFill>
            <w14:solidFill>
              <w14:schemeClr w14:val="tx1"/>
            </w14:solidFill>
          </w14:textFill>
        </w:rPr>
        <w:t xml:space="preserve">【政府采购合同专用条款】</w:t>
      </w:r>
      <w:r>
        <w:rPr>
          <w:rFonts w:hint="eastAsia" w:ascii="宋体" w:hAnsi="宋体" w:cs="宋体"/>
          <w:color w:val="000000" w:themeColor="text1"/>
          <w:szCs w:val="15"/>
          <w14:textFill>
            <w14:solidFill>
              <w14:schemeClr w14:val="tx1"/>
            </w14:solidFill>
          </w14:textFill>
        </w:rPr>
        <w:t xml:space="preserve">约定情形的</w:t>
      </w:r>
      <w:r>
        <w:rPr>
          <w:rFonts w:hint="eastAsia" w:ascii="宋体" w:hAnsi="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13.3 甲方在项目通过验收后按照</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规定支付。</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14. </w:t>
      </w:r>
      <w:r>
        <w:rPr>
          <w:rFonts w:hint="eastAsia"/>
          <w:b/>
          <w:color w:val="000000" w:themeColor="text1"/>
          <w:sz w:val="24"/>
          <w14:textFill>
            <w14:solidFill>
              <w14:schemeClr w14:val="tx1"/>
            </w14:solidFill>
          </w14:textFill>
        </w:rPr>
        <w:t xml:space="preserve">售后</w:t>
      </w:r>
      <w:r>
        <w:rPr>
          <w:rFonts w:hint="eastAsia" w:ascii="宋体" w:hAnsi="宋体"/>
          <w:b/>
          <w:color w:val="000000" w:themeColor="text1"/>
          <w:sz w:val="24"/>
          <w14:textFill>
            <w14:solidFill>
              <w14:schemeClr w14:val="tx1"/>
            </w14:solidFill>
          </w14:textFill>
        </w:rPr>
        <w:t xml:space="preserve">服务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（3）在</w:t>
      </w:r>
      <w:r>
        <w:rPr>
          <w:rFonts w:hint="eastAsia" w:ascii="宋体" w:hAnsi="宋体" w:cs="宋体"/>
          <w:b/>
          <w:bCs/>
          <w:color w:val="000000" w:themeColor="text1"/>
          <w:szCs w:val="15"/>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14:textFill>
            <w14:solidFill>
              <w14:schemeClr w14:val="tx1"/>
            </w14:solidFill>
          </w14:textFill>
        </w:rPr>
        <w:t xml:space="preserve">；</w:t>
      </w:r>
      <w:r/>
    </w:p>
    <w:p>
      <w:pPr>
        <w:pStyle w:val="987"/>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15.3 迟延支付的违约责任</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甲方存在迟延支付乙方合同款项的，应当承担</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规定的逾期付款利息。</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15.4其他违约责任根据项目实际需要按</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规定执行。</w:t>
      </w:r>
      <w:r/>
    </w:p>
    <w:p>
      <w:pPr>
        <w:numPr>
          <w:ilvl w:val="0"/>
          <w:numId w:val="6"/>
        </w:num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16.2合同的中止</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7"/>
        <w:ind w:firstLine="420"/>
        <w:jc w:val="both"/>
        <w:rPr>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14:textFill>
            <w14:solidFill>
              <w14:schemeClr w14:val="tx1"/>
            </w14:solidFill>
          </w14:textFill>
        </w:rPr>
        <w:t xml:space="preserve">并追究乙方的违约责任</w:t>
      </w:r>
      <w:r>
        <w:rPr>
          <w:rFonts w:hint="eastAsia" w:ascii="宋体" w:hAnsi="宋体"/>
          <w:color w:val="000000" w:themeColor="text1"/>
          <w:szCs w:val="21"/>
          <w14:textFill>
            <w14:solidFill>
              <w14:schemeClr w14:val="tx1"/>
            </w14:solidFill>
          </w14:textFill>
        </w:rPr>
        <w:t xml:space="preserve">。</w:t>
      </w:r>
      <w:r/>
    </w:p>
    <w:p>
      <w:pPr>
        <w:pStyle w:val="987"/>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16.4 </w:t>
      </w:r>
      <w:r>
        <w:rPr>
          <w:rFonts w:hint="eastAsia" w:ascii="宋体" w:hAnsi="宋体" w:eastAsia="宋体" w:cs="Times New Roman"/>
          <w:color w:val="000000" w:themeColor="text1"/>
          <w:sz w:val="21"/>
          <w14:textFill>
            <w14:solidFill>
              <w14:schemeClr w14:val="tx1"/>
            </w14:solidFill>
          </w14:textFill>
        </w:rPr>
        <w:t xml:space="preserve">涉及国家利益、社会公共利益的情形</w:t>
      </w:r>
      <w:r/>
    </w:p>
    <w:p>
      <w:pPr>
        <w:pStyle w:val="987"/>
        <w:ind w:firstLine="420"/>
        <w:jc w:val="both"/>
        <w:rPr>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19. 解决争议的方法</w:t>
      </w:r>
      <w:r/>
    </w:p>
    <w:p>
      <w:pPr>
        <w:pStyle w:val="987"/>
        <w:ind w:firstLine="42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7"/>
        <w:ind w:firstLine="42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987"/>
        <w:ind w:firstLine="42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20.1 </w:t>
      </w:r>
      <w:r>
        <w:rPr>
          <w:rFonts w:hint="eastAsia" w:ascii="宋体" w:hAnsi="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14:textFill>
            <w14:solidFill>
              <w14:schemeClr w14:val="tx1"/>
            </w14:solidFill>
          </w14:textFill>
        </w:rPr>
        <w:t xml:space="preserve">甲乙双方</w:t>
      </w:r>
      <w:r>
        <w:rPr>
          <w:rFonts w:hint="eastAsia" w:ascii="宋体" w:hAnsi="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14:textFill>
            <w14:solidFill>
              <w14:schemeClr w14:val="tx1"/>
            </w14:solidFill>
          </w14:textFill>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21. 法律适用</w:t>
      </w:r>
      <w:r/>
    </w:p>
    <w:p>
      <w:pPr>
        <w:pStyle w:val="987"/>
        <w:ind w:firstLine="42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987"/>
        <w:ind w:firstLine="42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22. 通知</w:t>
      </w:r>
      <w:r/>
    </w:p>
    <w:p>
      <w:pPr>
        <w:pStyle w:val="987"/>
        <w:ind w:firstLine="42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987"/>
        <w:ind w:firstLine="0"/>
        <w:jc w:val="both"/>
        <w:rPr>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7"/>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23.1合同未尽事项见</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23.2 合同附件与合同正文具有同等的法律效力。</w:t>
      </w:r>
      <w:r/>
    </w:p>
    <w:p>
      <w:pPr>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p>
    <w:p>
      <w:pPr>
        <w:pStyle w:val="718"/>
        <w:jc w:val="center"/>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t xml:space="preserve">第三节 政府采购合同专用条款</w:t>
      </w:r>
      <w:r/>
    </w:p>
    <w:tbl>
      <w:tblPr>
        <w:tblStyle w:val="72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987"/>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（1）向</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仲裁委员会申请仲裁，仲裁地点为</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（2）向</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pStyle w:val="976"/>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cs="黑体"/>
          <w:color w:val="000000" w:themeColor="text1"/>
          <w:sz w:val="44"/>
          <w:szCs w:val="44"/>
          <w:highlight w:val="none"/>
          <w14:textFill>
            <w14:solidFill>
              <w14:schemeClr w14:val="tx1"/>
            </w14:solidFill>
          </w14:textFill>
        </w:rPr>
      </w:r>
      <w:r/>
    </w:p>
    <w:p>
      <w:pPr>
        <w:pStyle w:val="976"/>
        <w:jc w:val="center"/>
        <w:spacing w:before="120" w:beforeAutospacing="0" w:after="120" w:afterAutospacing="0" w:line="0" w:lineRule="atLeast"/>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w:t>
      </w:r>
      <w:bookmarkEnd w:id="164"/>
      <w:r>
        <w:rPr>
          <w:rFonts w:hint="eastAsia" w:ascii="黑体" w:hAnsi="宋体" w:eastAsia="黑体" w:cs="黑体"/>
          <w:color w:val="000000" w:themeColor="text1"/>
          <w:sz w:val="44"/>
          <w:szCs w:val="44"/>
          <w:highlight w:val="none"/>
          <w14:textFill>
            <w14:solidFill>
              <w14:schemeClr w14:val="tx1"/>
            </w14:solidFill>
          </w14:textFill>
        </w:rPr>
        <w:t xml:space="preserve">四章 采购需求</w:t>
      </w:r>
      <w:bookmarkEnd w:id="165"/>
      <w:r/>
      <w:bookmarkEnd w:id="166"/>
      <w:r/>
      <w:bookmarkEnd w:id="167"/>
      <w:r/>
      <w:bookmarkEnd w:id="168"/>
      <w:r/>
      <w:bookmarkEnd w:id="169"/>
      <w:r/>
      <w:r/>
    </w:p>
    <w:p>
      <w:pPr>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一、</w:t>
      </w:r>
      <w:r>
        <w:rPr>
          <w:rFonts w:hint="eastAsia" w:ascii="宋体" w:hAnsi="宋体"/>
          <w:b/>
          <w:color w:val="000000" w:themeColor="text1"/>
          <w:sz w:val="21"/>
          <w:szCs w:val="21"/>
          <w:highlight w:val="none"/>
          <w14:textFill>
            <w14:solidFill>
              <w14:schemeClr w14:val="tx1"/>
            </w14:solidFill>
          </w14:textFill>
        </w:rPr>
        <w:t xml:space="preserve">采购</w:t>
      </w:r>
      <w:r>
        <w:rPr>
          <w:rFonts w:ascii="宋体" w:hAnsi="宋体"/>
          <w:b/>
          <w:color w:val="000000" w:themeColor="text1"/>
          <w:sz w:val="21"/>
          <w:szCs w:val="21"/>
          <w:highlight w:val="none"/>
          <w14:textFill>
            <w14:solidFill>
              <w14:schemeClr w14:val="tx1"/>
            </w14:solidFill>
          </w14:textFill>
        </w:rPr>
        <w:t xml:space="preserve">标的清单</w:t>
      </w:r>
      <w:r/>
    </w:p>
    <w:tbl>
      <w:tblPr>
        <w:tblStyle w:val="727"/>
        <w:tblW w:w="84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934"/>
        <w:gridCol w:w="3730"/>
        <w:gridCol w:w="2815"/>
      </w:tblGrid>
      <w:tr>
        <w:trPr>
          <w:cantSplit/>
          <w:jc w:val="center"/>
        </w:trPr>
        <w:tc>
          <w:tcPr>
            <w:tcW w:w="1012" w:type="dxa"/>
            <w:vAlign w:val="top"/>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采购包</w:t>
            </w:r>
            <w:r/>
          </w:p>
        </w:tc>
        <w:tc>
          <w:tcPr>
            <w:tcW w:w="934"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3730"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采购</w:t>
            </w:r>
            <w:r>
              <w:rPr>
                <w:rFonts w:ascii="宋体" w:hAnsi="宋体"/>
                <w:color w:val="000000" w:themeColor="text1"/>
                <w:sz w:val="21"/>
                <w:szCs w:val="21"/>
                <w:highlight w:val="none"/>
                <w14:textFill>
                  <w14:solidFill>
                    <w14:schemeClr w14:val="tx1"/>
                  </w14:solidFill>
                </w14:textFill>
              </w:rPr>
              <w:t xml:space="preserve">标的</w:t>
            </w:r>
            <w:r/>
          </w:p>
        </w:tc>
        <w:tc>
          <w:tcPr>
            <w:tcW w:w="2815"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对应中</w:t>
            </w:r>
            <w:r>
              <w:rPr>
                <w:rFonts w:ascii="宋体" w:hAnsi="宋体"/>
                <w:color w:val="000000" w:themeColor="text1"/>
                <w:sz w:val="21"/>
                <w:szCs w:val="21"/>
                <w:highlight w:val="none"/>
                <w14:textFill>
                  <w14:solidFill>
                    <w14:schemeClr w14:val="tx1"/>
                  </w14:solidFill>
                </w14:textFill>
              </w:rPr>
              <w:t xml:space="preserve">小企业划分标准所属行业</w:t>
            </w:r>
            <w:r/>
          </w:p>
        </w:tc>
      </w:tr>
      <w:tr>
        <w:trPr>
          <w:cantSplit/>
          <w:jc w:val="center"/>
          <w:trHeight w:val="291"/>
        </w:trPr>
        <w:tc>
          <w:tcPr>
            <w:tcW w:w="1012"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934"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3730" w:type="dxa"/>
            <w:vAlign w:val="top"/>
            <w:textDirection w:val="lrTb"/>
            <w:noWrap w:val="false"/>
          </w:tcPr>
          <w:p>
            <w:pPr>
              <w:jc w:val="center"/>
              <w:spacing w:line="0" w:lineRule="atLeast"/>
              <w:tabs>
                <w:tab w:val="left" w:pos="2020" w:leader="none"/>
              </w:tabs>
              <w:rPr>
                <w:rFonts w:ascii="宋体" w:hAnsi="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盐城工业职业技术学院</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1"/>
                <w:szCs w:val="21"/>
                <w:highlight w:val="none"/>
                <w14:textFill>
                  <w14:solidFill>
                    <w14:schemeClr w14:val="tx1"/>
                  </w14:solidFill>
                </w14:textFill>
              </w:rPr>
              <w:t xml:space="preserve">#学生宿舍家具采</w:t>
            </w:r>
            <w:r>
              <w:rPr>
                <w:rFonts w:hint="eastAsia" w:ascii="宋体" w:hAnsi="宋体"/>
                <w:color w:val="000000" w:themeColor="text1"/>
                <w:sz w:val="21"/>
                <w:szCs w:val="21"/>
                <w:highlight w:val="none"/>
                <w14:textFill>
                  <w14:solidFill>
                    <w14:schemeClr w14:val="tx1"/>
                  </w14:solidFill>
                </w14:textFill>
              </w:rPr>
              <w:t xml:space="preserve">购项目</w:t>
            </w:r>
            <w:r/>
          </w:p>
        </w:tc>
        <w:tc>
          <w:tcPr>
            <w:tcW w:w="2815"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工业</w:t>
            </w:r>
            <w:r/>
          </w:p>
        </w:tc>
      </w:tr>
    </w:tbl>
    <w:p>
      <w:pP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numPr>
          <w:ilvl w:val="0"/>
          <w:numId w:val="8"/>
        </w:numPr>
        <w:spacing w:line="0" w:lineRule="atLeast"/>
        <w:rPr>
          <w:rFonts w:hint="eastAsia"/>
          <w:b/>
          <w:bCs/>
          <w:color w:val="000000" w:themeColor="text1"/>
          <w:spacing w:val="2"/>
          <w:sz w:val="21"/>
          <w:szCs w:val="21"/>
          <w:highlight w:val="none"/>
          <w14:textFill>
            <w14:solidFill>
              <w14:schemeClr w14:val="tx1"/>
            </w14:solidFill>
          </w14:textFill>
        </w:rPr>
      </w:pPr>
      <w:r>
        <w:rPr>
          <w:rFonts w:hint="eastAsia"/>
          <w:b/>
          <w:bCs/>
          <w:color w:val="000000" w:themeColor="text1"/>
          <w:spacing w:val="2"/>
          <w:sz w:val="21"/>
          <w:szCs w:val="21"/>
          <w:highlight w:val="none"/>
          <w14:textFill>
            <w14:solidFill>
              <w14:schemeClr w14:val="tx1"/>
            </w14:solidFill>
          </w14:textFill>
        </w:rPr>
        <w:t xml:space="preserve">采购清单：</w:t>
      </w:r>
      <w:r/>
    </w:p>
    <w:tbl>
      <w:tblPr>
        <w:tblStyle w:val="727"/>
        <w:tblpPr w:horzAnchor="page" w:tblpX="1804" w:vertAnchor="text" w:tblpY="129" w:leftFromText="180" w:topFromText="0" w:rightFromText="180" w:bottomFromText="0"/>
        <w:tblW w:w="874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218"/>
        <w:gridCol w:w="2509"/>
        <w:gridCol w:w="941"/>
        <w:gridCol w:w="1064"/>
        <w:gridCol w:w="1224"/>
      </w:tblGrid>
      <w:tr>
        <w:trPr>
          <w:trHeight w:val="453"/>
        </w:trPr>
        <w:tc>
          <w:tcPr>
            <w:tcW w:w="784"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218"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货物（标的）名称</w:t>
            </w:r>
            <w:r/>
          </w:p>
        </w:tc>
        <w:tc>
          <w:tcPr>
            <w:tcW w:w="2509"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规格（mm）</w:t>
            </w:r>
            <w:r/>
          </w:p>
        </w:tc>
        <w:tc>
          <w:tcPr>
            <w:tcW w:w="941"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数量</w:t>
            </w:r>
            <w:r/>
          </w:p>
        </w:tc>
        <w:tc>
          <w:tcPr>
            <w:tcW w:w="1064"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w:t>
            </w:r>
            <w:r/>
          </w:p>
        </w:tc>
        <w:tc>
          <w:tcPr>
            <w:tcW w:w="1224"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w:t>
            </w:r>
            <w:r/>
          </w:p>
        </w:tc>
      </w:tr>
      <w:tr>
        <w:trPr>
          <w:trHeight w:val="403"/>
        </w:trPr>
        <w:tc>
          <w:tcPr>
            <w:tcW w:w="784"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2218"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两连体三人位公寓组合床</w:t>
            </w:r>
            <w:r/>
          </w:p>
        </w:tc>
        <w:tc>
          <w:tcPr>
            <w:tcW w:w="2509"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4000*900*2950</w:t>
            </w:r>
            <w:r/>
          </w:p>
        </w:tc>
        <w:tc>
          <w:tcPr>
            <w:tcW w:w="941"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454</w:t>
            </w:r>
            <w:r/>
          </w:p>
        </w:tc>
        <w:tc>
          <w:tcPr>
            <w:tcW w:w="1064"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224" w:type="dxa"/>
            <w:vAlign w:val="center"/>
            <w:vMerge w:val="restart"/>
            <w:textDirection w:val="lrTb"/>
            <w:noWrap w:val="false"/>
          </w:tcPr>
          <w:p>
            <w:pPr>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3号楼（107间）</w:t>
            </w:r>
            <w:r/>
          </w:p>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4号楼（120间）</w:t>
            </w:r>
            <w:r/>
          </w:p>
        </w:tc>
      </w:tr>
      <w:tr>
        <w:trPr>
          <w:trHeight w:val="403"/>
        </w:trPr>
        <w:tc>
          <w:tcPr>
            <w:tcW w:w="784"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22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自修</w:t>
            </w:r>
            <w:r>
              <w:rPr>
                <w:rFonts w:hint="eastAsia" w:ascii="宋体" w:hAnsi="宋体" w:cs="宋体"/>
                <w:color w:val="000000" w:themeColor="text1"/>
                <w:sz w:val="21"/>
                <w:szCs w:val="21"/>
                <w:highlight w:val="none"/>
                <w:lang w:eastAsia="zh-CN"/>
                <w14:textFill>
                  <w14:solidFill>
                    <w14:schemeClr w14:val="tx1"/>
                  </w14:solidFill>
                </w14:textFill>
              </w:rPr>
              <w:t xml:space="preserve">桌</w:t>
            </w:r>
            <w:r/>
          </w:p>
        </w:tc>
        <w:tc>
          <w:tcPr>
            <w:tcW w:w="2509"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19</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0*610*1730（±10）</w:t>
            </w:r>
            <w:r/>
          </w:p>
        </w:tc>
        <w:tc>
          <w:tcPr>
            <w:tcW w:w="941"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681</w:t>
            </w:r>
            <w:r/>
          </w:p>
        </w:tc>
        <w:tc>
          <w:tcPr>
            <w:tcW w:w="1064"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张</w:t>
            </w:r>
            <w:r/>
          </w:p>
        </w:tc>
        <w:tc>
          <w:tcPr>
            <w:tcW w:w="1224" w:type="dxa"/>
            <w:vAlign w:val="center"/>
            <w:vMerge w:val="continue"/>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trHeight w:val="403"/>
        </w:trPr>
        <w:tc>
          <w:tcPr>
            <w:tcW w:w="784"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22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储物柜</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2509"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00*</w:t>
            </w:r>
            <w:r>
              <w:rPr>
                <w:rFonts w:hint="eastAsia" w:ascii="宋体" w:hAnsi="宋体" w:cs="宋体"/>
                <w:color w:val="000000" w:themeColor="text1"/>
                <w:sz w:val="21"/>
                <w:szCs w:val="21"/>
                <w:highlight w:val="none"/>
                <w:lang w:val="en-US" w:eastAsia="zh-CN"/>
                <w14:textFill>
                  <w14:solidFill>
                    <w14:schemeClr w14:val="tx1"/>
                  </w14:solidFill>
                </w14:textFill>
              </w:rPr>
              <w:t xml:space="preserve">55</w:t>
            </w:r>
            <w:r>
              <w:rPr>
                <w:rFonts w:hint="eastAsia" w:ascii="宋体" w:hAnsi="宋体" w:cs="宋体"/>
                <w:color w:val="000000" w:themeColor="text1"/>
                <w:sz w:val="21"/>
                <w:szCs w:val="21"/>
                <w:highlight w:val="none"/>
                <w14:textFill>
                  <w14:solidFill>
                    <w14:schemeClr w14:val="tx1"/>
                  </w14:solidFill>
                </w14:textFill>
              </w:rPr>
              <w:t xml:space="preserve">0*2280</w:t>
            </w:r>
            <w:r/>
          </w:p>
        </w:tc>
        <w:tc>
          <w:tcPr>
            <w:tcW w:w="941"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227</w:t>
            </w:r>
            <w:r/>
          </w:p>
        </w:tc>
        <w:tc>
          <w:tcPr>
            <w:tcW w:w="1064"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只</w:t>
            </w:r>
            <w:r/>
          </w:p>
        </w:tc>
        <w:tc>
          <w:tcPr>
            <w:tcW w:w="1224" w:type="dxa"/>
            <w:vAlign w:val="center"/>
            <w:vMerge w:val="continue"/>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trHeight w:val="403"/>
        </w:trPr>
        <w:tc>
          <w:tcPr>
            <w:tcW w:w="784"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c>
          <w:tcPr>
            <w:tcW w:w="22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储物柜</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2509"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1000*</w:t>
            </w:r>
            <w:r>
              <w:rPr>
                <w:rFonts w:hint="eastAsia" w:ascii="宋体" w:hAnsi="宋体" w:cs="宋体"/>
                <w:color w:val="000000" w:themeColor="text1"/>
                <w:sz w:val="21"/>
                <w:szCs w:val="21"/>
                <w:highlight w:val="none"/>
                <w:lang w:val="en-US" w:eastAsia="zh-CN"/>
                <w14:textFill>
                  <w14:solidFill>
                    <w14:schemeClr w14:val="tx1"/>
                  </w14:solidFill>
                </w14:textFill>
              </w:rPr>
              <w:t xml:space="preserve">55</w:t>
            </w:r>
            <w:r>
              <w:rPr>
                <w:rFonts w:hint="eastAsia" w:ascii="宋体" w:hAnsi="宋体" w:cs="宋体"/>
                <w:color w:val="000000" w:themeColor="text1"/>
                <w:sz w:val="21"/>
                <w:szCs w:val="21"/>
                <w:highlight w:val="none"/>
                <w14:textFill>
                  <w14:solidFill>
                    <w14:schemeClr w14:val="tx1"/>
                  </w14:solidFill>
                </w14:textFill>
              </w:rPr>
              <w:t xml:space="preserve">0*2280</w:t>
            </w:r>
            <w:r/>
          </w:p>
        </w:tc>
        <w:tc>
          <w:tcPr>
            <w:tcW w:w="941"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227</w:t>
            </w:r>
            <w:r/>
          </w:p>
        </w:tc>
        <w:tc>
          <w:tcPr>
            <w:tcW w:w="1064"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只</w:t>
            </w:r>
            <w:r/>
          </w:p>
        </w:tc>
        <w:tc>
          <w:tcPr>
            <w:tcW w:w="1224" w:type="dxa"/>
            <w:vAlign w:val="center"/>
            <w:vMerge w:val="continue"/>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trHeight w:val="403"/>
        </w:trPr>
        <w:tc>
          <w:tcPr>
            <w:tcW w:w="784"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22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储物柜</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2509"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1500*550*2180</w:t>
            </w:r>
            <w:r/>
          </w:p>
        </w:tc>
        <w:tc>
          <w:tcPr>
            <w:tcW w:w="941"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227</w:t>
            </w:r>
            <w:r/>
          </w:p>
        </w:tc>
        <w:tc>
          <w:tcPr>
            <w:tcW w:w="1064" w:type="dxa"/>
            <w:vAlign w:val="center"/>
            <w:textDirection w:val="lrTb"/>
            <w:noWrap w:val="false"/>
          </w:tcPr>
          <w:p>
            <w:pPr>
              <w:jc w:val="center"/>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只</w:t>
            </w:r>
            <w:r/>
          </w:p>
        </w:tc>
        <w:tc>
          <w:tcPr>
            <w:tcW w:w="1224" w:type="dxa"/>
            <w:vAlign w:val="center"/>
            <w:vMerge w:val="continue"/>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trHeight w:val="403"/>
        </w:trPr>
        <w:tc>
          <w:tcPr>
            <w:tcW w:w="784" w:type="dxa"/>
            <w:vAlign w:val="center"/>
            <w:textDirection w:val="lrTb"/>
            <w:noWrap w:val="false"/>
          </w:tcPr>
          <w:p>
            <w:pPr>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221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方凳</w:t>
            </w:r>
            <w:r/>
          </w:p>
        </w:tc>
        <w:tc>
          <w:tcPr>
            <w:tcW w:w="2509"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300*400*450</w:t>
            </w:r>
            <w:r/>
          </w:p>
        </w:tc>
        <w:tc>
          <w:tcPr>
            <w:tcW w:w="941"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1362</w:t>
            </w:r>
            <w:r/>
          </w:p>
        </w:tc>
        <w:tc>
          <w:tcPr>
            <w:tcW w:w="1064"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只</w:t>
            </w:r>
            <w:r/>
          </w:p>
        </w:tc>
        <w:tc>
          <w:tcPr>
            <w:tcW w:w="1224" w:type="dxa"/>
            <w:vAlign w:val="center"/>
            <w:vMerge w:val="continue"/>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r>
      <w:r/>
    </w:p>
    <w:p>
      <w:pPr>
        <w:ind w:firstLine="480"/>
        <w:spacing w:line="440" w:lineRule="exact"/>
        <w:rPr>
          <w:rFonts w:hint="eastAsia" w:ascii="宋体" w:hAnsi="宋体" w:eastAsia="宋体" w:cs="Times New Roman"/>
          <w:b/>
          <w:bCs w:val="0"/>
          <w:color w:val="000000" w:themeColor="text1"/>
          <w:sz w:val="21"/>
          <w:szCs w:val="21"/>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核心产品为：两连体三人位公寓组合床</w:t>
      </w:r>
      <w:r/>
    </w:p>
    <w:p>
      <w:pPr>
        <w:spacing w:line="360" w:lineRule="auto"/>
        <w:rPr>
          <w:b/>
          <w:bCs/>
          <w:color w:val="000000" w:themeColor="text1"/>
          <w:spacing w:val="2"/>
          <w:sz w:val="21"/>
          <w:szCs w:val="21"/>
          <w:highlight w:val="none"/>
          <w14:textFill>
            <w14:solidFill>
              <w14:schemeClr w14:val="tx1"/>
            </w14:solidFill>
          </w14:textFill>
        </w:rPr>
      </w:pPr>
      <w:r>
        <w:rPr>
          <w:rFonts w:hint="eastAsia"/>
          <w:b/>
          <w:bCs/>
          <w:color w:val="000000" w:themeColor="text1"/>
          <w:spacing w:val="2"/>
          <w:sz w:val="21"/>
          <w:szCs w:val="21"/>
          <w:highlight w:val="none"/>
          <w14:textFill>
            <w14:solidFill>
              <w14:schemeClr w14:val="tx1"/>
            </w14:solidFill>
          </w14:textFill>
        </w:rPr>
        <w:t xml:space="preserve">三、产品技术要求</w:t>
      </w:r>
      <w:r/>
    </w:p>
    <w:p>
      <w:pPr>
        <w:ind w:firstLine="480"/>
        <w:spacing w:line="360" w:lineRule="auto"/>
        <w:rPr>
          <w:rFonts w:ascii="宋体" w:hAnsi="宋体"/>
          <w:b/>
          <w:bCs w:val="0"/>
          <w:color w:val="000000" w:themeColor="text1"/>
          <w:sz w:val="21"/>
          <w:szCs w:val="21"/>
          <w:highlight w:val="none"/>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 xml:space="preserve">（1）两连体三人位公寓床，规格：4000*900*2950mm。</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lang w:eastAsia="zh-CN"/>
          <w14:textFill>
            <w14:solidFill>
              <w14:schemeClr w14:val="tx1"/>
            </w14:solidFill>
          </w14:textFill>
        </w:rPr>
        <w:t xml:space="preserve">公寓床体</w:t>
      </w:r>
      <w:r>
        <w:rPr>
          <w:rFonts w:hint="eastAsia" w:ascii="宋体" w:hAnsi="宋体"/>
          <w:bCs/>
          <w:color w:val="000000" w:themeColor="text1"/>
          <w:sz w:val="21"/>
          <w:szCs w:val="21"/>
          <w:highlight w:val="none"/>
          <w14:textFill>
            <w14:solidFill>
              <w14:schemeClr w14:val="tx1"/>
            </w14:solidFill>
          </w14:textFill>
        </w:rPr>
        <w:t xml:space="preserve">钢架部分：</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床站片高度2200mm，蚊帐杆顶部距地面高度2950mm。高架床框架采用公寓床隐藏式卡扣件连接，所有钢材均采用国家标准钢，焊接处无夹渣、气孔、焊瘤、焊丝头咬边飞溅，无脱焊、虚焊及焊穿等现象，焊接表面波纹均匀，各钢件经除油、防锈等工序处理,外层采用塑粉静电喷塑处理，橘皮纹，色泽一致，无皱皮、飞漆，无漏喷。</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 </w:t>
      </w:r>
      <w:r>
        <w:rPr>
          <w:rFonts w:hint="eastAsia" w:ascii="宋体" w:hAnsi="宋体"/>
          <w:bCs/>
          <w:color w:val="000000" w:themeColor="text1"/>
          <w:sz w:val="21"/>
          <w:szCs w:val="21"/>
          <w:highlight w:val="none"/>
          <w:lang w:eastAsia="zh-CN"/>
          <w14:textFill>
            <w14:solidFill>
              <w14:schemeClr w14:val="tx1"/>
            </w14:solidFill>
          </w14:textFill>
        </w:rPr>
        <w:t xml:space="preserve">床</w:t>
      </w:r>
      <w:r>
        <w:rPr>
          <w:rFonts w:hint="eastAsia" w:ascii="宋体" w:hAnsi="宋体"/>
          <w:bCs/>
          <w:color w:val="000000" w:themeColor="text1"/>
          <w:sz w:val="21"/>
          <w:szCs w:val="21"/>
          <w:highlight w:val="none"/>
          <w14:textFill>
            <w14:solidFill>
              <w14:schemeClr w14:val="tx1"/>
            </w14:solidFill>
          </w14:textFill>
        </w:rPr>
        <w:t xml:space="preserve">立柱：边立柱</w:t>
      </w:r>
      <w:r>
        <w:rPr>
          <w:rFonts w:hint="eastAsia" w:ascii="宋体" w:hAnsi="宋体"/>
          <w:bCs/>
          <w:color w:val="000000" w:themeColor="text1"/>
          <w:sz w:val="21"/>
          <w:szCs w:val="21"/>
          <w:highlight w:val="none"/>
          <w:lang w:val="en-US" w:eastAsia="zh-CN"/>
          <w14:textFill>
            <w14:solidFill>
              <w14:schemeClr w14:val="tx1"/>
            </w14:solidFill>
          </w14:textFill>
        </w:rPr>
        <w:t xml:space="preserve">尺寸不低于</w:t>
      </w:r>
      <w:r>
        <w:rPr>
          <w:rFonts w:hint="eastAsia" w:ascii="宋体" w:hAnsi="宋体"/>
          <w:bCs/>
          <w:color w:val="000000" w:themeColor="text1"/>
          <w:sz w:val="21"/>
          <w:szCs w:val="21"/>
          <w:highlight w:val="none"/>
          <w14:textFill>
            <w14:solidFill>
              <w14:schemeClr w14:val="tx1"/>
            </w14:solidFill>
          </w14:textFill>
        </w:rPr>
        <w:t xml:space="preserve">40mm*60mm，</w:t>
      </w:r>
      <w:r>
        <w:rPr>
          <w:rFonts w:hint="eastAsia" w:ascii="宋体" w:hAnsi="宋体"/>
          <w:bCs/>
          <w:color w:val="000000" w:themeColor="text1"/>
          <w:sz w:val="21"/>
          <w:szCs w:val="21"/>
          <w:highlight w:val="none"/>
          <w:lang w:val="en-US" w:eastAsia="zh-CN"/>
          <w14:textFill>
            <w14:solidFill>
              <w14:schemeClr w14:val="tx1"/>
            </w14:solidFill>
          </w14:textFill>
        </w:rPr>
        <w:t xml:space="preserve">裸管</w:t>
      </w:r>
      <w:r>
        <w:rPr>
          <w:rFonts w:hint="eastAsia" w:ascii="宋体" w:hAnsi="宋体"/>
          <w:bCs/>
          <w:color w:val="000000" w:themeColor="text1"/>
          <w:sz w:val="21"/>
          <w:szCs w:val="21"/>
          <w:highlight w:val="none"/>
          <w:lang w:eastAsia="zh-CN"/>
          <w14:textFill>
            <w14:solidFill>
              <w14:schemeClr w14:val="tx1"/>
            </w14:solidFill>
          </w14:textFill>
        </w:rPr>
        <w:t xml:space="preserve">壁厚不低于1.3mm</w:t>
      </w:r>
      <w:r>
        <w:rPr>
          <w:rFonts w:hint="eastAsia" w:ascii="宋体" w:hAnsi="宋体"/>
          <w:bCs/>
          <w:color w:val="000000" w:themeColor="text1"/>
          <w:sz w:val="21"/>
          <w:szCs w:val="21"/>
          <w:highlight w:val="none"/>
          <w14:textFill>
            <w14:solidFill>
              <w14:schemeClr w14:val="tx1"/>
            </w14:solidFill>
          </w14:textFill>
        </w:rPr>
        <w:t xml:space="preserve">，高频焊接成闭口矩形管；中立柱</w:t>
      </w:r>
      <w:r>
        <w:rPr>
          <w:rFonts w:hint="eastAsia" w:ascii="宋体" w:hAnsi="宋体"/>
          <w:bCs/>
          <w:color w:val="000000" w:themeColor="text1"/>
          <w:sz w:val="21"/>
          <w:szCs w:val="21"/>
          <w:highlight w:val="none"/>
          <w:lang w:val="en-US" w:eastAsia="zh-CN"/>
          <w14:textFill>
            <w14:solidFill>
              <w14:schemeClr w14:val="tx1"/>
            </w14:solidFill>
          </w14:textFill>
        </w:rPr>
        <w:t xml:space="preserve">尺寸不低于</w:t>
      </w:r>
      <w:r>
        <w:rPr>
          <w:rFonts w:hint="eastAsia" w:ascii="宋体" w:hAnsi="宋体"/>
          <w:bCs/>
          <w:color w:val="000000" w:themeColor="text1"/>
          <w:sz w:val="21"/>
          <w:szCs w:val="21"/>
          <w:highlight w:val="none"/>
          <w14:textFill>
            <w14:solidFill>
              <w14:schemeClr w14:val="tx1"/>
            </w14:solidFill>
          </w14:textFill>
        </w:rPr>
        <w:t xml:space="preserve">40mm*60mmmm，</w:t>
      </w:r>
      <w:r>
        <w:rPr>
          <w:rFonts w:hint="eastAsia" w:ascii="宋体" w:hAnsi="宋体"/>
          <w:bCs/>
          <w:color w:val="000000" w:themeColor="text1"/>
          <w:sz w:val="21"/>
          <w:szCs w:val="21"/>
          <w:highlight w:val="none"/>
          <w:lang w:val="en-US" w:eastAsia="zh-CN"/>
          <w14:textFill>
            <w14:solidFill>
              <w14:schemeClr w14:val="tx1"/>
            </w14:solidFill>
          </w14:textFill>
        </w:rPr>
        <w:t xml:space="preserve">裸管</w:t>
      </w:r>
      <w:r>
        <w:rPr>
          <w:rFonts w:hint="eastAsia" w:ascii="宋体" w:hAnsi="宋体"/>
          <w:bCs/>
          <w:color w:val="000000" w:themeColor="text1"/>
          <w:sz w:val="21"/>
          <w:szCs w:val="21"/>
          <w:highlight w:val="none"/>
          <w:lang w:eastAsia="zh-CN"/>
          <w14:textFill>
            <w14:solidFill>
              <w14:schemeClr w14:val="tx1"/>
            </w14:solidFill>
          </w14:textFill>
        </w:rPr>
        <w:t xml:space="preserve">壁厚不低于1.3mm</w:t>
      </w:r>
      <w:r>
        <w:rPr>
          <w:rFonts w:hint="eastAsia" w:ascii="宋体" w:hAnsi="宋体"/>
          <w:bCs/>
          <w:color w:val="000000" w:themeColor="text1"/>
          <w:sz w:val="21"/>
          <w:szCs w:val="21"/>
          <w:highlight w:val="none"/>
          <w14:textFill>
            <w14:solidFill>
              <w14:schemeClr w14:val="tx1"/>
            </w14:solidFill>
          </w14:textFill>
        </w:rPr>
        <w:t xml:space="preserve">，高频焊接成闭口矩形管，</w:t>
      </w:r>
      <w:r>
        <w:rPr>
          <w:rFonts w:hint="eastAsia" w:ascii="宋体" w:hAnsi="宋体"/>
          <w:bCs/>
          <w:color w:val="000000" w:themeColor="text1"/>
          <w:sz w:val="21"/>
          <w:szCs w:val="21"/>
          <w:highlight w:val="none"/>
          <w:lang w:eastAsia="zh-CN"/>
          <w14:textFill>
            <w14:solidFill>
              <w14:schemeClr w14:val="tx1"/>
            </w14:solidFill>
          </w14:textFill>
        </w:rPr>
        <w:t xml:space="preserve">床梁与床立柱连接件采用</w:t>
      </w:r>
      <w:r>
        <w:rPr>
          <w:rFonts w:hint="eastAsia" w:ascii="宋体" w:hAnsi="宋体"/>
          <w:bCs/>
          <w:color w:val="000000" w:themeColor="text1"/>
          <w:sz w:val="21"/>
          <w:szCs w:val="21"/>
          <w:highlight w:val="none"/>
          <w14:textFill>
            <w14:solidFill>
              <w14:schemeClr w14:val="tx1"/>
            </w14:solidFill>
          </w14:textFill>
        </w:rPr>
        <w:t xml:space="preserve">隐藏式卡扣件连接件</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卡扣件连接件与立柱齐平整体美观。</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1.2 前横梁:尺寸不低于40mm*60mm，</w:t>
      </w:r>
      <w:r>
        <w:rPr>
          <w:rFonts w:hint="eastAsia" w:ascii="宋体" w:hAnsi="宋体"/>
          <w:bCs/>
          <w:color w:val="000000" w:themeColor="text1"/>
          <w:sz w:val="21"/>
          <w:szCs w:val="21"/>
          <w:highlight w:val="none"/>
          <w:lang w:val="en-US" w:eastAsia="zh-CN"/>
          <w14:textFill>
            <w14:solidFill>
              <w14:schemeClr w14:val="tx1"/>
            </w14:solidFill>
          </w14:textFill>
        </w:rPr>
        <w:t xml:space="preserve">裸管</w:t>
      </w:r>
      <w:r>
        <w:rPr>
          <w:rFonts w:hint="eastAsia" w:ascii="宋体" w:hAnsi="宋体"/>
          <w:bCs/>
          <w:color w:val="000000" w:themeColor="text1"/>
          <w:sz w:val="21"/>
          <w:szCs w:val="21"/>
          <w:highlight w:val="none"/>
          <w:lang w:eastAsia="zh-CN"/>
          <w14:textFill>
            <w14:solidFill>
              <w14:schemeClr w14:val="tx1"/>
            </w14:solidFill>
          </w14:textFill>
        </w:rPr>
        <w:t xml:space="preserve">壁厚不低于1.3mm</w:t>
      </w:r>
      <w:r>
        <w:rPr>
          <w:rFonts w:hint="eastAsia" w:ascii="宋体" w:hAnsi="宋体"/>
          <w:bCs/>
          <w:color w:val="000000" w:themeColor="text1"/>
          <w:sz w:val="21"/>
          <w:szCs w:val="21"/>
          <w:highlight w:val="none"/>
          <w14:textFill>
            <w14:solidFill>
              <w14:schemeClr w14:val="tx1"/>
            </w14:solidFill>
          </w14:textFill>
        </w:rPr>
        <w:t xml:space="preserve">，高频焊接成闭口矩形管，</w:t>
      </w:r>
      <w:r>
        <w:rPr>
          <w:rFonts w:hint="eastAsia" w:ascii="宋体" w:hAnsi="宋体"/>
          <w:bCs/>
          <w:color w:val="000000" w:themeColor="text1"/>
          <w:sz w:val="21"/>
          <w:szCs w:val="21"/>
          <w:highlight w:val="none"/>
          <w:lang w:eastAsia="zh-CN"/>
          <w14:textFill>
            <w14:solidFill>
              <w14:schemeClr w14:val="tx1"/>
            </w14:solidFill>
          </w14:textFill>
        </w:rPr>
        <w:t xml:space="preserve">床梁与床立柱连接件采用</w:t>
      </w:r>
      <w:r>
        <w:rPr>
          <w:rFonts w:hint="eastAsia" w:ascii="宋体" w:hAnsi="宋体"/>
          <w:bCs/>
          <w:color w:val="000000" w:themeColor="text1"/>
          <w:sz w:val="21"/>
          <w:szCs w:val="21"/>
          <w:highlight w:val="none"/>
          <w14:textFill>
            <w14:solidFill>
              <w14:schemeClr w14:val="tx1"/>
            </w14:solidFill>
          </w14:textFill>
        </w:rPr>
        <w:t xml:space="preserve">隐藏式卡扣件连接件</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卡扣件连接件挂齿不外露，且牢固稳定。</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1.3 后横梁：尺寸不低于40mm*60mm，</w:t>
      </w:r>
      <w:r>
        <w:rPr>
          <w:rFonts w:hint="eastAsia" w:ascii="宋体" w:hAnsi="宋体"/>
          <w:bCs/>
          <w:color w:val="000000" w:themeColor="text1"/>
          <w:sz w:val="21"/>
          <w:szCs w:val="21"/>
          <w:highlight w:val="none"/>
          <w:lang w:val="en-US" w:eastAsia="zh-CN"/>
          <w14:textFill>
            <w14:solidFill>
              <w14:schemeClr w14:val="tx1"/>
            </w14:solidFill>
          </w14:textFill>
        </w:rPr>
        <w:t xml:space="preserve">裸管</w:t>
      </w:r>
      <w:r>
        <w:rPr>
          <w:rFonts w:hint="eastAsia" w:ascii="宋体" w:hAnsi="宋体"/>
          <w:bCs/>
          <w:color w:val="000000" w:themeColor="text1"/>
          <w:sz w:val="21"/>
          <w:szCs w:val="21"/>
          <w:highlight w:val="none"/>
          <w:lang w:eastAsia="zh-CN"/>
          <w14:textFill>
            <w14:solidFill>
              <w14:schemeClr w14:val="tx1"/>
            </w14:solidFill>
          </w14:textFill>
        </w:rPr>
        <w:t xml:space="preserve">壁厚不低于1.3mm</w:t>
      </w:r>
      <w:r>
        <w:rPr>
          <w:rFonts w:hint="eastAsia" w:ascii="宋体" w:hAnsi="宋体"/>
          <w:bCs/>
          <w:color w:val="000000" w:themeColor="text1"/>
          <w:sz w:val="21"/>
          <w:szCs w:val="21"/>
          <w:highlight w:val="none"/>
          <w14:textFill>
            <w14:solidFill>
              <w14:schemeClr w14:val="tx1"/>
            </w14:solidFill>
          </w14:textFill>
        </w:rPr>
        <w:t xml:space="preserve">矩形高频焊管制作。</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1.4 床站片上、下拉梁：尺寸不低于40mm*40mm，</w:t>
      </w:r>
      <w:r>
        <w:rPr>
          <w:rFonts w:hint="eastAsia" w:ascii="宋体" w:hAnsi="宋体"/>
          <w:bCs/>
          <w:color w:val="000000" w:themeColor="text1"/>
          <w:sz w:val="21"/>
          <w:szCs w:val="21"/>
          <w:highlight w:val="none"/>
          <w:lang w:val="en-US" w:eastAsia="zh-CN"/>
          <w14:textFill>
            <w14:solidFill>
              <w14:schemeClr w14:val="tx1"/>
            </w14:solidFill>
          </w14:textFill>
        </w:rPr>
        <w:t xml:space="preserve">裸管</w:t>
      </w:r>
      <w:r>
        <w:rPr>
          <w:rFonts w:hint="eastAsia" w:ascii="宋体" w:hAnsi="宋体"/>
          <w:bCs/>
          <w:color w:val="000000" w:themeColor="text1"/>
          <w:sz w:val="21"/>
          <w:szCs w:val="21"/>
          <w:highlight w:val="none"/>
          <w:lang w:eastAsia="zh-CN"/>
          <w14:textFill>
            <w14:solidFill>
              <w14:schemeClr w14:val="tx1"/>
            </w14:solidFill>
          </w14:textFill>
        </w:rPr>
        <w:t xml:space="preserve">壁厚</w:t>
      </w:r>
      <w:r>
        <w:rPr>
          <w:rFonts w:hint="eastAsia" w:ascii="宋体" w:hAnsi="宋体"/>
          <w:bCs/>
          <w:color w:val="000000" w:themeColor="text1"/>
          <w:sz w:val="21"/>
          <w:szCs w:val="21"/>
          <w:highlight w:val="none"/>
          <w14:textFill>
            <w14:solidFill>
              <w14:schemeClr w14:val="tx1"/>
            </w14:solidFill>
          </w14:textFill>
        </w:rPr>
        <w:t xml:space="preserve">不低于1.2mm高频焊接封口型矩形管制作。</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▲1.5 前护栏：护栏</w:t>
      </w:r>
      <w:r>
        <w:rPr>
          <w:rFonts w:hint="eastAsia" w:ascii="宋体" w:hAnsi="宋体"/>
          <w:bCs/>
          <w:color w:val="000000" w:themeColor="text1"/>
          <w:sz w:val="21"/>
          <w:szCs w:val="21"/>
          <w:highlight w:val="none"/>
          <w:lang w:val="en-US" w:eastAsia="zh-CN"/>
          <w14:textFill>
            <w14:solidFill>
              <w14:schemeClr w14:val="tx1"/>
            </w14:solidFill>
          </w14:textFill>
        </w:rPr>
        <w:t xml:space="preserve">长度不低于</w:t>
      </w:r>
      <w:r>
        <w:rPr>
          <w:rFonts w:hint="eastAsia" w:ascii="宋体" w:hAnsi="宋体"/>
          <w:bCs/>
          <w:color w:val="000000" w:themeColor="text1"/>
          <w:sz w:val="21"/>
          <w:szCs w:val="21"/>
          <w:highlight w:val="none"/>
          <w14:textFill>
            <w14:solidFill>
              <w14:schemeClr w14:val="tx1"/>
            </w14:solidFill>
          </w14:textFill>
        </w:rPr>
        <w:t xml:space="preserve">1570mm（±10mm），护栏高度不低于350mm。</w:t>
      </w:r>
      <w:r/>
    </w:p>
    <w:p>
      <w:pPr>
        <w:spacing w:line="360" w:lineRule="auto"/>
        <w:rPr>
          <w:rFonts w:hint="default"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金属框架整体焊接护栏采用</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25mm*25mm，</w:t>
      </w:r>
      <w:r>
        <w:rPr>
          <w:rFonts w:hint="eastAsia" w:ascii="宋体" w:hAnsi="宋体"/>
          <w:bCs/>
          <w:color w:val="000000" w:themeColor="text1"/>
          <w:sz w:val="21"/>
          <w:szCs w:val="21"/>
          <w:highlight w:val="none"/>
          <w:lang w:val="en-US" w:eastAsia="zh-CN"/>
          <w14:textFill>
            <w14:solidFill>
              <w14:schemeClr w14:val="tx1"/>
            </w14:solidFill>
          </w14:textFill>
        </w:rPr>
        <w:t xml:space="preserve">裸管</w:t>
      </w:r>
      <w:r>
        <w:rPr>
          <w:rFonts w:hint="eastAsia" w:ascii="宋体" w:hAnsi="宋体"/>
          <w:bCs/>
          <w:color w:val="000000" w:themeColor="text1"/>
          <w:sz w:val="21"/>
          <w:szCs w:val="21"/>
          <w:highlight w:val="none"/>
          <w:lang w:eastAsia="zh-CN"/>
          <w14:textFill>
            <w14:solidFill>
              <w14:schemeClr w14:val="tx1"/>
            </w14:solidFill>
          </w14:textFill>
        </w:rPr>
        <w:t xml:space="preserve">壁厚</w:t>
      </w:r>
      <w:r>
        <w:rPr>
          <w:rFonts w:hint="eastAsia" w:ascii="宋体" w:hAnsi="宋体"/>
          <w:bCs/>
          <w:color w:val="000000" w:themeColor="text1"/>
          <w:sz w:val="21"/>
          <w:szCs w:val="21"/>
          <w:highlight w:val="none"/>
          <w14:textFill>
            <w14:solidFill>
              <w14:schemeClr w14:val="tx1"/>
            </w14:solidFill>
          </w14:textFill>
        </w:rPr>
        <w:t xml:space="preserve">不低于1.2mm矩形高频焊管制作框架，内嵌中空吹塑护栏板，护栏板采用HDPE高密度聚乙烯一次成型，强度高，韧性好，新型，环保</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内侧</w:t>
      </w:r>
      <w:r>
        <w:rPr>
          <w:rFonts w:hint="eastAsia" w:ascii="宋体" w:hAnsi="宋体"/>
          <w:bCs/>
          <w:color w:val="000000" w:themeColor="text1"/>
          <w:sz w:val="21"/>
          <w:szCs w:val="21"/>
          <w:highlight w:val="none"/>
          <w:lang w:val="en-US" w:eastAsia="zh-CN"/>
          <w14:textFill>
            <w14:solidFill>
              <w14:schemeClr w14:val="tx1"/>
            </w14:solidFill>
          </w14:textFill>
        </w:rPr>
        <w:t xml:space="preserve">永久性标注</w:t>
      </w:r>
      <w:r>
        <w:rPr>
          <w:rFonts w:hint="eastAsia" w:ascii="宋体" w:hAnsi="宋体"/>
          <w:bCs/>
          <w:color w:val="000000" w:themeColor="text1"/>
          <w:sz w:val="21"/>
          <w:szCs w:val="21"/>
          <w:highlight w:val="none"/>
          <w14:textFill>
            <w14:solidFill>
              <w14:schemeClr w14:val="tx1"/>
            </w14:solidFill>
          </w14:textFill>
        </w:rPr>
        <w:t xml:space="preserve">“床褥最大厚度安全警示线”</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床褥上表面到顶边距离应大于200mm</w:t>
      </w:r>
      <w:r>
        <w:rPr>
          <w:rFonts w:hint="eastAsia" w:ascii="宋体" w:hAnsi="宋体"/>
          <w:bCs/>
          <w:color w:val="000000" w:themeColor="text1"/>
          <w:sz w:val="21"/>
          <w:szCs w:val="21"/>
          <w:highlight w:val="none"/>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靠近床头处设置可开闭观察口，</w:t>
      </w:r>
      <w:r>
        <w:rPr>
          <w:rFonts w:hint="eastAsia" w:ascii="宋体" w:hAnsi="宋体"/>
          <w:bCs/>
          <w:color w:val="000000" w:themeColor="text1"/>
          <w:sz w:val="21"/>
          <w:szCs w:val="21"/>
          <w:highlight w:val="none"/>
          <w14:textFill>
            <w14:solidFill>
              <w14:schemeClr w14:val="tx1"/>
            </w14:solidFill>
          </w14:textFill>
        </w:rPr>
        <w:t xml:space="preserve">方便老师检查时候观察；</w:t>
      </w:r>
      <w:r>
        <w:rPr>
          <w:rFonts w:hint="eastAsia" w:ascii="宋体" w:hAnsi="宋体"/>
          <w:bCs/>
          <w:color w:val="000000" w:themeColor="text1"/>
          <w:sz w:val="21"/>
          <w:szCs w:val="21"/>
          <w:highlight w:val="none"/>
          <w:lang w:val="en-US" w:eastAsia="zh-CN"/>
          <w14:textFill>
            <w14:solidFill>
              <w14:schemeClr w14:val="tx1"/>
            </w14:solidFill>
          </w14:textFill>
        </w:rPr>
        <w:t xml:space="preserve">内侧</w:t>
      </w:r>
      <w:r>
        <w:rPr>
          <w:rFonts w:hint="eastAsia" w:ascii="宋体" w:hAnsi="宋体"/>
          <w:bCs/>
          <w:color w:val="000000" w:themeColor="text1"/>
          <w:sz w:val="21"/>
          <w:szCs w:val="21"/>
          <w:highlight w:val="none"/>
          <w14:textFill>
            <w14:solidFill>
              <w14:schemeClr w14:val="tx1"/>
            </w14:solidFill>
          </w14:textFill>
        </w:rPr>
        <w:t xml:space="preserve">配置储物盒，可以放置书本，手机、钥匙以及其它小物件；外侧有铭牌盒，可以插有学生信息卡片</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配有可以左右推拉活动观察口，</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1.6 内护栏：金属框架整体焊接护栏采用</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25*25*1.2mm矩形高频焊管制作，内嵌18mm厚E0级</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，内护栏高度</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200mm。</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1.7 床头护栏：金属框架整体焊接床头采用</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25*25*1.2mm矩形高频焊管制作，内嵌18mm厚E0级</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1.8 床尾护栏：金属框架整体焊接床尾采用</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25*25*1.2mm方形高频焊管制作，内嵌18mm厚E0级</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 床支撑：采用不少于7根20*30*1.</w:t>
      </w:r>
      <w:r>
        <w:rPr>
          <w:rFonts w:hint="eastAsia" w:ascii="宋体" w:hAnsi="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bCs/>
          <w:color w:val="000000" w:themeColor="text1"/>
          <w:sz w:val="21"/>
          <w:szCs w:val="21"/>
          <w:highlight w:val="none"/>
          <w14:textFill>
            <w14:solidFill>
              <w14:schemeClr w14:val="tx1"/>
            </w14:solidFill>
          </w14:textFill>
        </w:rPr>
        <w:t xml:space="preserve">mm矩形高频焊管制作。床撑卡槽采用一次冲压成型U型卡槽。</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▲1.10 中空吹塑一次成型床板：</w:t>
      </w:r>
      <w:r>
        <w:rPr>
          <w:rFonts w:hint="eastAsia" w:ascii="宋体" w:hAnsi="宋体"/>
          <w:bCs/>
          <w:color w:val="000000" w:themeColor="text1"/>
          <w:sz w:val="21"/>
          <w:szCs w:val="21"/>
          <w:highlight w:val="none"/>
          <w:lang w:val="en-US" w:eastAsia="zh-CN"/>
          <w14:textFill>
            <w14:solidFill>
              <w14:schemeClr w14:val="tx1"/>
            </w14:solidFill>
          </w14:textFill>
        </w:rPr>
        <w:t xml:space="preserve">尺寸不低于</w:t>
      </w: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0*8</w:t>
      </w:r>
      <w:r>
        <w:rPr>
          <w:rFonts w:hint="eastAsia" w:ascii="宋体" w:hAnsi="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bCs/>
          <w:color w:val="000000" w:themeColor="text1"/>
          <w:sz w:val="21"/>
          <w:szCs w:val="21"/>
          <w:highlight w:val="none"/>
          <w14:textFill>
            <w14:solidFill>
              <w14:schemeClr w14:val="tx1"/>
            </w14:solidFill>
          </w14:textFill>
        </w:rPr>
        <w:t xml:space="preserve">0mm（±10mm）,厚度18mm</w:t>
      </w:r>
      <w:r>
        <w:rPr>
          <w:rFonts w:hint="eastAsia" w:ascii="宋体" w:hAnsi="宋体"/>
          <w:bCs/>
          <w:color w:val="000000" w:themeColor="text1"/>
          <w:sz w:val="21"/>
          <w:szCs w:val="21"/>
          <w:highlight w:val="none"/>
          <w:lang w:val="en-US" w:eastAsia="zh-CN"/>
          <w14:textFill>
            <w14:solidFill>
              <w14:schemeClr w14:val="tx1"/>
            </w14:solidFill>
          </w14:textFill>
        </w:rPr>
        <w:t xml:space="preserve">-20mm</w:t>
      </w:r>
      <w:r>
        <w:rPr>
          <w:rFonts w:hint="eastAsia" w:ascii="宋体" w:hAnsi="宋体"/>
          <w:bCs/>
          <w:color w:val="000000" w:themeColor="text1"/>
          <w:sz w:val="21"/>
          <w:szCs w:val="21"/>
          <w:highlight w:val="none"/>
          <w14:textFill>
            <w14:solidFill>
              <w14:schemeClr w14:val="tx1"/>
            </w14:solidFill>
          </w14:textFill>
        </w:rPr>
        <w:t xml:space="preserve">，经大型设备一次注塑成型，采用HDPE高密度聚乙烯全新料，经大型设备一次中空吹塑成型，环保，可循环利用，颜色可选。床板厚度均匀、表面光滑平整、光洁卫生、耐热性好、防腐蚀、无异味，结实耐用不会变形，且具有优良的化学稳定性和电绝缘性；床板具有防虫、防火、防潮的特点。床板均匀分布</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45个透气孔，整体为一次成型，不能2块或者多块拼接。</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1.11 蚊帐杆：采用≥Φ19mm*厚1.2mm圆管，蚊帐杆连接处采用塑料连接件，支撑稳固，使用便捷。</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1.12 床下后拉杆：采用25*25*1.0mm方形高频焊管制作。</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1.13 公寓床外挂式爬梯：</w:t>
      </w:r>
      <w:r>
        <w:rPr>
          <w:rFonts w:hint="eastAsia" w:ascii="宋体" w:hAnsi="宋体"/>
          <w:bCs/>
          <w:color w:val="000000" w:themeColor="text1"/>
          <w:sz w:val="21"/>
          <w:szCs w:val="21"/>
          <w:highlight w:val="none"/>
          <w:lang w:val="en-US" w:eastAsia="zh-CN"/>
          <w14:textFill>
            <w14:solidFill>
              <w14:schemeClr w14:val="tx1"/>
            </w14:solidFill>
          </w14:textFill>
        </w:rPr>
        <w:t xml:space="preserve">主</w:t>
      </w:r>
      <w:r>
        <w:rPr>
          <w:rFonts w:hint="eastAsia" w:ascii="宋体" w:hAnsi="宋体"/>
          <w:bCs/>
          <w:color w:val="000000" w:themeColor="text1"/>
          <w:sz w:val="21"/>
          <w:szCs w:val="21"/>
          <w:highlight w:val="none"/>
          <w14:textFill>
            <w14:solidFill>
              <w14:schemeClr w14:val="tx1"/>
            </w14:solidFill>
          </w14:textFill>
        </w:rPr>
        <w:t xml:space="preserve">管采用</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30*50*1.2mm平椭圆管，脚踏板</w:t>
      </w:r>
      <w:r>
        <w:rPr>
          <w:rFonts w:hint="eastAsia" w:ascii="宋体" w:hAnsi="宋体"/>
          <w:bCs/>
          <w:color w:val="000000" w:themeColor="text1"/>
          <w:sz w:val="21"/>
          <w:szCs w:val="21"/>
          <w:highlight w:val="none"/>
          <w:lang w:val="en-US" w:eastAsia="zh-CN"/>
          <w14:textFill>
            <w14:solidFill>
              <w14:schemeClr w14:val="tx1"/>
            </w14:solidFill>
          </w14:textFill>
        </w:rPr>
        <w:t xml:space="preserve">尺寸：</w:t>
      </w:r>
      <w:r>
        <w:rPr>
          <w:rFonts w:hint="eastAsia" w:ascii="宋体" w:hAnsi="宋体"/>
          <w:bCs/>
          <w:color w:val="000000" w:themeColor="text1"/>
          <w:sz w:val="21"/>
          <w:szCs w:val="21"/>
          <w:highlight w:val="none"/>
          <w14:textFill>
            <w14:solidFill>
              <w14:schemeClr w14:val="tx1"/>
            </w14:solidFill>
          </w14:textFill>
        </w:rPr>
        <w:t xml:space="preserve">≥长350mm*宽120mm*厚35mm，爬梯脚踏板采用一级HDPE高密度聚乙烯新料制作，每块板面设置防滑条纹及不少于3个发光点，有效提高学生上下床的安全性</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每块脚踏板底部加钢管横支撑，背面预埋至少3颗螺母，方便踏步下方与钢管稳固支撑。</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1.14 顶盖(床立柱上下盖)：PP（聚丙烯）一体注塑成型，与钢管适配，外观无缺陷。</w:t>
      </w:r>
      <w:r/>
    </w:p>
    <w:p>
      <w:pPr>
        <w:ind w:firstLine="480"/>
        <w:spacing w:line="360" w:lineRule="auto"/>
        <w:rPr>
          <w:rFonts w:ascii="宋体" w:hAnsi="宋体"/>
          <w:b/>
          <w:bCs w:val="0"/>
          <w:color w:val="000000" w:themeColor="text1"/>
          <w:sz w:val="21"/>
          <w:szCs w:val="21"/>
          <w:highlight w:val="none"/>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b/>
          <w:bCs w:val="0"/>
          <w:color w:val="000000" w:themeColor="text1"/>
          <w:sz w:val="21"/>
          <w:szCs w:val="21"/>
          <w:highlight w:val="none"/>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自修</w:t>
      </w:r>
      <w:r>
        <w:rPr>
          <w:rFonts w:hint="eastAsia" w:ascii="宋体" w:hAnsi="宋体"/>
          <w:b/>
          <w:bCs w:val="0"/>
          <w:color w:val="000000" w:themeColor="text1"/>
          <w:sz w:val="21"/>
          <w:szCs w:val="21"/>
          <w:highlight w:val="none"/>
          <w:lang w:eastAsia="zh-CN"/>
          <w14:textFill>
            <w14:solidFill>
              <w14:schemeClr w14:val="tx1"/>
            </w14:solidFill>
          </w14:textFill>
        </w:rPr>
        <w:t xml:space="preserve">桌，</w:t>
      </w:r>
      <w:r>
        <w:rPr>
          <w:rFonts w:hint="eastAsia" w:ascii="宋体" w:hAnsi="宋体"/>
          <w:b/>
          <w:bCs w:val="0"/>
          <w:color w:val="000000" w:themeColor="text1"/>
          <w:sz w:val="21"/>
          <w:szCs w:val="21"/>
          <w:highlight w:val="none"/>
          <w14:textFill>
            <w14:solidFill>
              <w14:schemeClr w14:val="tx1"/>
            </w14:solidFill>
          </w14:textFill>
        </w:rPr>
        <w:t xml:space="preserve">规格：19</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b/>
          <w:bCs w:val="0"/>
          <w:color w:val="000000" w:themeColor="text1"/>
          <w:sz w:val="21"/>
          <w:szCs w:val="21"/>
          <w:highlight w:val="none"/>
          <w14:textFill>
            <w14:solidFill>
              <w14:schemeClr w14:val="tx1"/>
            </w14:solidFill>
          </w14:textFill>
        </w:rPr>
        <w:t xml:space="preserve">0*610*1730（±10）mm</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 柜体板、书架侧板、层板及背板：</w:t>
      </w:r>
      <w:r>
        <w:rPr>
          <w:rFonts w:hint="eastAsia" w:ascii="宋体" w:hAnsi="宋体"/>
          <w:bCs/>
          <w:color w:val="000000" w:themeColor="text1"/>
          <w:sz w:val="21"/>
          <w:szCs w:val="21"/>
          <w:highlight w:val="none"/>
          <w:lang w:eastAsia="zh-CN"/>
          <w14:textFill>
            <w14:solidFill>
              <w14:schemeClr w14:val="tx1"/>
            </w14:solidFill>
          </w14:textFill>
        </w:rPr>
        <w:t xml:space="preserve">均</w:t>
      </w:r>
      <w:r>
        <w:rPr>
          <w:rFonts w:hint="eastAsia" w:ascii="宋体" w:hAnsi="宋体"/>
          <w:bCs/>
          <w:color w:val="000000" w:themeColor="text1"/>
          <w:sz w:val="21"/>
          <w:szCs w:val="21"/>
          <w:highlight w:val="none"/>
          <w14:textFill>
            <w14:solidFill>
              <w14:schemeClr w14:val="tx1"/>
            </w14:solidFill>
          </w14:textFill>
        </w:rPr>
        <w:t xml:space="preserve">采用18mm厚E0级</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，板材表面不得有缺角和破损，无明显的干湿花污斑及划痕，可见截面采用同色</w:t>
      </w:r>
      <w:r>
        <w:rPr>
          <w:rFonts w:hint="eastAsia" w:ascii="宋体" w:hAnsi="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bCs/>
          <w:color w:val="000000" w:themeColor="text1"/>
          <w:sz w:val="21"/>
          <w:szCs w:val="21"/>
          <w:highlight w:val="none"/>
          <w14:textFill>
            <w14:solidFill>
              <w14:schemeClr w14:val="tx1"/>
            </w14:solidFill>
          </w14:textFill>
        </w:rPr>
        <w:t xml:space="preserve">mm厚PVC封边条</w:t>
      </w:r>
      <w:r>
        <w:rPr>
          <w:rFonts w:hint="eastAsia" w:ascii="宋体" w:hAnsi="宋体"/>
          <w:bCs/>
          <w:color w:val="000000" w:themeColor="text1"/>
          <w:sz w:val="21"/>
          <w:szCs w:val="21"/>
          <w:highlight w:val="none"/>
          <w:lang w:eastAsia="zh-CN"/>
          <w14:textFill>
            <w14:solidFill>
              <w14:schemeClr w14:val="tx1"/>
            </w14:solidFill>
          </w14:textFill>
        </w:rPr>
        <w:t xml:space="preserve">，采用</w:t>
      </w:r>
      <w:r>
        <w:rPr>
          <w:rFonts w:hint="eastAsia" w:ascii="宋体" w:hAnsi="宋体"/>
          <w:bCs/>
          <w:color w:val="000000" w:themeColor="text1"/>
          <w:sz w:val="21"/>
          <w:szCs w:val="21"/>
          <w:highlight w:val="none"/>
          <w:lang w:val="en-US" w:eastAsia="zh-CN"/>
          <w14:textFill>
            <w14:solidFill>
              <w14:schemeClr w14:val="tx1"/>
            </w14:solidFill>
          </w14:textFill>
        </w:rPr>
        <w:t xml:space="preserve">环保</w:t>
      </w:r>
      <w:r>
        <w:rPr>
          <w:rFonts w:hint="eastAsia" w:ascii="宋体" w:hAnsi="宋体"/>
          <w:bCs/>
          <w:color w:val="000000" w:themeColor="text1"/>
          <w:sz w:val="21"/>
          <w:szCs w:val="21"/>
          <w:highlight w:val="none"/>
          <w:lang w:eastAsia="zh-CN"/>
          <w14:textFill>
            <w14:solidFill>
              <w14:schemeClr w14:val="tx1"/>
            </w14:solidFill>
          </w14:textFill>
        </w:rPr>
        <w:t xml:space="preserve">热熔胶封边工艺，粘贴牢固无脱落；</w:t>
      </w:r>
      <w:r>
        <w:rPr>
          <w:rFonts w:hint="eastAsia" w:ascii="宋体" w:hAnsi="宋体"/>
          <w:bCs/>
          <w:color w:val="000000" w:themeColor="text1"/>
          <w:sz w:val="21"/>
          <w:szCs w:val="21"/>
          <w:highlight w:val="none"/>
          <w14:textFill>
            <w14:solidFill>
              <w14:schemeClr w14:val="tx1"/>
            </w14:solidFill>
          </w14:textFill>
        </w:rPr>
        <w:t xml:space="preserve">柜体采用三合一连接件连接。</w:t>
      </w:r>
      <w:r/>
    </w:p>
    <w:p>
      <w:pPr>
        <w:ind w:firstLine="480"/>
        <w:spacing w:line="360" w:lineRule="auto"/>
        <w:rPr>
          <w:rFonts w:hint="eastAsia" w:ascii="宋体" w:hAnsi="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▲1.2 桌面板：基材采用25mm厚度的E0级</w:t>
      </w:r>
      <w:r>
        <w:rPr>
          <w:rFonts w:hint="eastAsia" w:ascii="宋体" w:hAnsi="宋体"/>
          <w:bCs/>
          <w:color w:val="000000" w:themeColor="text1"/>
          <w:sz w:val="21"/>
          <w:szCs w:val="21"/>
          <w:highlight w:val="none"/>
          <w:lang w:eastAsia="zh-CN"/>
          <w14:textFill>
            <w14:solidFill>
              <w14:schemeClr w14:val="tx1"/>
            </w14:solidFill>
          </w14:textFill>
        </w:rPr>
        <w:t xml:space="preserve">饰面</w:t>
      </w:r>
      <w:r>
        <w:rPr>
          <w:rFonts w:hint="eastAsia" w:ascii="宋体" w:hAnsi="宋体"/>
          <w:bCs/>
          <w:color w:val="000000" w:themeColor="text1"/>
          <w:sz w:val="21"/>
          <w:szCs w:val="21"/>
          <w:highlight w:val="none"/>
          <w14:textFill>
            <w14:solidFill>
              <w14:schemeClr w14:val="tx1"/>
            </w14:solidFill>
          </w14:textFill>
        </w:rPr>
        <w:t xml:space="preserve">刨花板，桌面四周采用PP（聚丙烯）材质注塑封边一次成型工艺制作（不可采用PVC封边），前口人性化圆润造型，使用舒适。桌面底部加装不低于20*40*1.2mm钢管制作成</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日</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字</w:t>
      </w:r>
      <w:r>
        <w:rPr>
          <w:rFonts w:hint="eastAsia" w:ascii="宋体" w:hAnsi="宋体"/>
          <w:bCs/>
          <w:color w:val="000000" w:themeColor="text1"/>
          <w:sz w:val="21"/>
          <w:szCs w:val="21"/>
          <w:highlight w:val="none"/>
          <w14:textFill>
            <w14:solidFill>
              <w14:schemeClr w14:val="tx1"/>
            </w14:solidFill>
          </w14:textFill>
        </w:rPr>
        <w:t xml:space="preserve">型钢架，支撑桌面的承重力。</w:t>
      </w:r>
      <w:r>
        <w:rPr>
          <w:rFonts w:hint="eastAsia" w:ascii="宋体" w:hAnsi="宋体"/>
          <w:bCs/>
          <w:color w:val="000000" w:themeColor="text1"/>
          <w:sz w:val="21"/>
          <w:szCs w:val="21"/>
          <w:highlight w:val="none"/>
          <w:lang w:val="en-US" w:eastAsia="zh-CN"/>
          <w14:textFill>
            <w14:solidFill>
              <w14:schemeClr w14:val="tx1"/>
            </w14:solidFill>
          </w14:textFill>
        </w:rPr>
        <w:t xml:space="preserve">钢管</w:t>
      </w:r>
      <w:r>
        <w:rPr>
          <w:rFonts w:hint="eastAsia" w:ascii="宋体" w:hAnsi="宋体"/>
          <w:bCs/>
          <w:color w:val="000000" w:themeColor="text1"/>
          <w:sz w:val="21"/>
          <w:szCs w:val="21"/>
          <w:highlight w:val="none"/>
          <w14:textFill>
            <w14:solidFill>
              <w14:schemeClr w14:val="tx1"/>
            </w14:solidFill>
          </w14:textFill>
        </w:rPr>
        <w:t xml:space="preserve">经除油、防锈等工序处理,外层采用塑粉静电喷塑处理，橘皮纹，色泽一致，无皱皮、飞漆，无漏喷</w:t>
      </w:r>
      <w:r>
        <w:rPr>
          <w:rFonts w:hint="eastAsia" w:ascii="宋体" w:hAnsi="宋体"/>
          <w:bCs/>
          <w:color w:val="000000" w:themeColor="text1"/>
          <w:sz w:val="21"/>
          <w:szCs w:val="21"/>
          <w:highlight w:val="none"/>
          <w:lang w:eastAsia="zh-CN"/>
          <w14:textFill>
            <w14:solidFill>
              <w14:schemeClr w14:val="tx1"/>
            </w14:solidFill>
          </w14:textFill>
        </w:rPr>
        <w:t xml:space="preserve">，钢</w:t>
      </w:r>
      <w:r>
        <w:rPr>
          <w:rFonts w:hint="eastAsia" w:ascii="宋体" w:hAnsi="宋体"/>
          <w:bCs/>
          <w:color w:val="000000" w:themeColor="text1"/>
          <w:sz w:val="21"/>
          <w:szCs w:val="21"/>
          <w:highlight w:val="none"/>
          <w:lang w:val="en-US" w:eastAsia="zh-CN"/>
          <w14:textFill>
            <w14:solidFill>
              <w14:schemeClr w14:val="tx1"/>
            </w14:solidFill>
          </w14:textFill>
        </w:rPr>
        <w:t xml:space="preserve">架</w:t>
      </w:r>
      <w:r>
        <w:rPr>
          <w:rFonts w:hint="eastAsia" w:ascii="宋体" w:hAnsi="宋体"/>
          <w:bCs/>
          <w:color w:val="000000" w:themeColor="text1"/>
          <w:sz w:val="21"/>
          <w:szCs w:val="21"/>
          <w:highlight w:val="none"/>
          <w:lang w:eastAsia="zh-CN"/>
          <w14:textFill>
            <w14:solidFill>
              <w14:schemeClr w14:val="tx1"/>
            </w14:solidFill>
          </w14:textFill>
        </w:rPr>
        <w:t xml:space="preserve">与桌面及桌下柜侧板</w:t>
      </w:r>
      <w:r>
        <w:rPr>
          <w:rFonts w:hint="eastAsia" w:ascii="宋体" w:hAnsi="宋体"/>
          <w:bCs/>
          <w:color w:val="000000" w:themeColor="text1"/>
          <w:sz w:val="21"/>
          <w:szCs w:val="21"/>
          <w:highlight w:val="none"/>
          <w14:textFill>
            <w14:solidFill>
              <w14:schemeClr w14:val="tx1"/>
            </w14:solidFill>
          </w14:textFill>
        </w:rPr>
        <w:t xml:space="preserve">必须用</w:t>
      </w:r>
      <w:r>
        <w:rPr>
          <w:rFonts w:hint="eastAsia" w:ascii="宋体" w:hAnsi="宋体"/>
          <w:bCs/>
          <w:color w:val="000000" w:themeColor="text1"/>
          <w:sz w:val="21"/>
          <w:szCs w:val="21"/>
          <w:highlight w:val="none"/>
          <w:lang w:eastAsia="zh-CN"/>
          <w14:textFill>
            <w14:solidFill>
              <w14:schemeClr w14:val="tx1"/>
            </w14:solidFill>
          </w14:textFill>
        </w:rPr>
        <w:t xml:space="preserve">螺丝</w:t>
      </w:r>
      <w:r>
        <w:rPr>
          <w:rFonts w:hint="eastAsia" w:ascii="宋体" w:hAnsi="宋体"/>
          <w:bCs/>
          <w:color w:val="000000" w:themeColor="text1"/>
          <w:sz w:val="21"/>
          <w:szCs w:val="21"/>
          <w:highlight w:val="none"/>
          <w14:textFill>
            <w14:solidFill>
              <w14:schemeClr w14:val="tx1"/>
            </w14:solidFill>
          </w14:textFill>
        </w:rPr>
        <w:t xml:space="preserve">紧密连接</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1.3注塑封边一次成型门板：规格：400±10mm*600±10mm，基材采用18mm厚E0级饰面刨花板，四周采用PP（聚丙烯）注塑封边一次成型工艺（不可采用PVC封边），阻尼铰链安装位置一次模压注塑成型杯孔座，配备铝合金暗扣拉手，拉手与柜门表面平齐无凸出。</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1.4 </w:t>
      </w:r>
      <w:r>
        <w:rPr>
          <w:rFonts w:hint="eastAsia" w:ascii="宋体" w:hAnsi="宋体"/>
          <w:bCs/>
          <w:color w:val="000000" w:themeColor="text1"/>
          <w:sz w:val="21"/>
          <w:szCs w:val="21"/>
          <w:highlight w:val="none"/>
          <w:lang w:eastAsia="zh-CN"/>
          <w14:textFill>
            <w14:solidFill>
              <w14:schemeClr w14:val="tx1"/>
            </w14:solidFill>
          </w14:textFill>
        </w:rPr>
        <w:t xml:space="preserve">自修桌</w:t>
      </w:r>
      <w:r>
        <w:rPr>
          <w:rFonts w:hint="eastAsia" w:ascii="宋体" w:hAnsi="宋体"/>
          <w:bCs/>
          <w:color w:val="000000" w:themeColor="text1"/>
          <w:sz w:val="21"/>
          <w:szCs w:val="21"/>
          <w:highlight w:val="none"/>
          <w14:textFill>
            <w14:solidFill>
              <w14:schemeClr w14:val="tx1"/>
            </w14:solidFill>
          </w14:textFill>
        </w:rPr>
        <w:t xml:space="preserve">底座：底部采用25*50*1.0mm高频焊管焊接成框，用</w:t>
      </w:r>
      <w:r>
        <w:rPr>
          <w:rFonts w:hint="eastAsia" w:ascii="宋体" w:hAnsi="宋体"/>
          <w:bCs/>
          <w:color w:val="000000" w:themeColor="text1"/>
          <w:sz w:val="21"/>
          <w:szCs w:val="21"/>
          <w:highlight w:val="none"/>
          <w:lang w:eastAsia="zh-CN"/>
          <w14:textFill>
            <w14:solidFill>
              <w14:schemeClr w14:val="tx1"/>
            </w14:solidFill>
          </w14:textFill>
        </w:rPr>
        <w:t xml:space="preserve">螺丝</w:t>
      </w:r>
      <w:r>
        <w:rPr>
          <w:rFonts w:hint="eastAsia" w:ascii="宋体" w:hAnsi="宋体"/>
          <w:bCs/>
          <w:color w:val="000000" w:themeColor="text1"/>
          <w:sz w:val="21"/>
          <w:szCs w:val="21"/>
          <w:highlight w:val="none"/>
          <w14:textFill>
            <w14:solidFill>
              <w14:schemeClr w14:val="tx1"/>
            </w14:solidFill>
          </w14:textFill>
        </w:rPr>
        <w:t xml:space="preserve">与柜体紧密连接，配有防水、防滑、防噪音的PP软塑胶脚套。</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w:t>
      </w:r>
      <w:r>
        <w:rPr>
          <w:rFonts w:hint="eastAsia" w:ascii="宋体" w:hAnsi="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bCs/>
          <w:color w:val="000000" w:themeColor="text1"/>
          <w:sz w:val="21"/>
          <w:szCs w:val="21"/>
          <w:highlight w:val="none"/>
          <w14:textFill>
            <w14:solidFill>
              <w14:schemeClr w14:val="tx1"/>
            </w14:solidFill>
          </w14:textFill>
        </w:rPr>
        <w:t xml:space="preserve"> 五金配件：优质金属</w:t>
      </w:r>
      <w:r>
        <w:rPr>
          <w:rFonts w:hint="eastAsia" w:ascii="宋体" w:hAnsi="宋体"/>
          <w:bCs/>
          <w:color w:val="000000" w:themeColor="text1"/>
          <w:sz w:val="21"/>
          <w:szCs w:val="21"/>
          <w:highlight w:val="none"/>
          <w:lang w:eastAsia="zh-CN"/>
          <w14:textFill>
            <w14:solidFill>
              <w14:schemeClr w14:val="tx1"/>
            </w14:solidFill>
          </w14:textFill>
        </w:rPr>
        <w:t xml:space="preserve">阻尼铰链</w:t>
      </w:r>
      <w:r>
        <w:rPr>
          <w:rFonts w:hint="eastAsia" w:ascii="宋体" w:hAnsi="宋体"/>
          <w:bCs/>
          <w:color w:val="000000" w:themeColor="text1"/>
          <w:sz w:val="21"/>
          <w:szCs w:val="21"/>
          <w:highlight w:val="none"/>
          <w14:textFill>
            <w14:solidFill>
              <w14:schemeClr w14:val="tx1"/>
            </w14:solidFill>
          </w14:textFill>
        </w:rPr>
        <w:t xml:space="preserve">、三合一连接件(提供具有CMA标识的检测报告）。</w:t>
      </w:r>
      <w:r/>
    </w:p>
    <w:p>
      <w:pPr>
        <w:ind w:firstLine="480"/>
        <w:spacing w:line="360" w:lineRule="auto"/>
        <w:rPr>
          <w:rFonts w:hint="eastAsia" w:ascii="宋体" w:hAnsi="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b/>
          <w:bCs w:val="0"/>
          <w:color w:val="000000" w:themeColor="text1"/>
          <w:sz w:val="21"/>
          <w:szCs w:val="21"/>
          <w:highlight w:val="none"/>
          <w14:textFill>
            <w14:solidFill>
              <w14:schemeClr w14:val="tx1"/>
            </w14:solidFill>
          </w14:textFill>
        </w:rPr>
        <w:t xml:space="preserve">）储物</w:t>
      </w:r>
      <w:r>
        <w:rPr>
          <w:rFonts w:hint="eastAsia" w:ascii="宋体" w:hAnsi="宋体"/>
          <w:b/>
          <w:bCs w:val="0"/>
          <w:color w:val="000000" w:themeColor="text1"/>
          <w:sz w:val="21"/>
          <w:szCs w:val="21"/>
          <w:highlight w:val="none"/>
          <w:lang w:eastAsia="zh-CN"/>
          <w14:textFill>
            <w14:solidFill>
              <w14:schemeClr w14:val="tx1"/>
            </w14:solidFill>
          </w14:textFill>
        </w:rPr>
        <w:t xml:space="preserve">柜</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14:textFill>
            <w14:solidFill>
              <w14:schemeClr w14:val="tx1"/>
            </w14:solidFill>
          </w14:textFill>
        </w:rPr>
        <w:t xml:space="preserve">规格：</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b/>
          <w:bCs w:val="0"/>
          <w:color w:val="000000" w:themeColor="text1"/>
          <w:sz w:val="21"/>
          <w:szCs w:val="21"/>
          <w:highlight w:val="none"/>
          <w14:textFill>
            <w14:solidFill>
              <w14:schemeClr w14:val="tx1"/>
            </w14:solidFill>
          </w14:textFill>
        </w:rPr>
        <w:t xml:space="preserve">00*</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55</w:t>
      </w:r>
      <w:r>
        <w:rPr>
          <w:rFonts w:hint="eastAsia" w:ascii="宋体" w:hAnsi="宋体"/>
          <w:b/>
          <w:bCs w:val="0"/>
          <w:color w:val="000000" w:themeColor="text1"/>
          <w:sz w:val="21"/>
          <w:szCs w:val="21"/>
          <w:highlight w:val="none"/>
          <w14:textFill>
            <w14:solidFill>
              <w14:schemeClr w14:val="tx1"/>
            </w14:solidFill>
          </w14:textFill>
        </w:rPr>
        <w:t xml:space="preserve">0*2280mm</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p>
    <w:p>
      <w:pPr>
        <w:ind w:firstLine="900"/>
        <w:spacing w:line="360" w:lineRule="auto"/>
        <w:rPr>
          <w:rFonts w:hint="eastAsia" w:ascii="宋体" w:hAnsi="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 xml:space="preserve">储物</w:t>
      </w:r>
      <w:r>
        <w:rPr>
          <w:rFonts w:hint="eastAsia" w:ascii="宋体" w:hAnsi="宋体"/>
          <w:b/>
          <w:bCs w:val="0"/>
          <w:color w:val="000000" w:themeColor="text1"/>
          <w:sz w:val="21"/>
          <w:szCs w:val="21"/>
          <w:highlight w:val="none"/>
          <w:lang w:eastAsia="zh-CN"/>
          <w14:textFill>
            <w14:solidFill>
              <w14:schemeClr w14:val="tx1"/>
            </w14:solidFill>
          </w14:textFill>
        </w:rPr>
        <w:t xml:space="preserve">柜</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14:textFill>
            <w14:solidFill>
              <w14:schemeClr w14:val="tx1"/>
            </w14:solidFill>
          </w14:textFill>
        </w:rPr>
        <w:t xml:space="preserve">规格：</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b/>
          <w:bCs w:val="0"/>
          <w:color w:val="000000" w:themeColor="text1"/>
          <w:sz w:val="21"/>
          <w:szCs w:val="21"/>
          <w:highlight w:val="none"/>
          <w14:textFill>
            <w14:solidFill>
              <w14:schemeClr w14:val="tx1"/>
            </w14:solidFill>
          </w14:textFill>
        </w:rPr>
        <w:t xml:space="preserve">00*</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55</w:t>
      </w:r>
      <w:r>
        <w:rPr>
          <w:rFonts w:hint="eastAsia" w:ascii="宋体" w:hAnsi="宋体"/>
          <w:b/>
          <w:bCs w:val="0"/>
          <w:color w:val="000000" w:themeColor="text1"/>
          <w:sz w:val="21"/>
          <w:szCs w:val="21"/>
          <w:highlight w:val="none"/>
          <w14:textFill>
            <w14:solidFill>
              <w14:schemeClr w14:val="tx1"/>
            </w14:solidFill>
          </w14:textFill>
        </w:rPr>
        <w:t xml:space="preserve">0*2280mm</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p>
    <w:p>
      <w:pPr>
        <w:ind w:firstLine="900"/>
        <w:spacing w:line="360" w:lineRule="auto"/>
        <w:rPr>
          <w:rFonts w:hint="eastAsia" w:ascii="宋体" w:hAnsi="宋体" w:eastAsia="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 xml:space="preserve">储物</w:t>
      </w:r>
      <w:r>
        <w:rPr>
          <w:rFonts w:hint="eastAsia" w:ascii="宋体" w:hAnsi="宋体"/>
          <w:b/>
          <w:bCs w:val="0"/>
          <w:color w:val="000000" w:themeColor="text1"/>
          <w:sz w:val="21"/>
          <w:szCs w:val="21"/>
          <w:highlight w:val="none"/>
          <w:lang w:eastAsia="zh-CN"/>
          <w14:textFill>
            <w14:solidFill>
              <w14:schemeClr w14:val="tx1"/>
            </w14:solidFill>
          </w14:textFill>
        </w:rPr>
        <w:t xml:space="preserve">柜</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14:textFill>
            <w14:solidFill>
              <w14:schemeClr w14:val="tx1"/>
            </w14:solidFill>
          </w14:textFill>
        </w:rPr>
        <w:t xml:space="preserve">规格：</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15</w:t>
      </w:r>
      <w:r>
        <w:rPr>
          <w:rFonts w:hint="eastAsia" w:ascii="宋体" w:hAnsi="宋体"/>
          <w:b/>
          <w:bCs w:val="0"/>
          <w:color w:val="000000" w:themeColor="text1"/>
          <w:sz w:val="21"/>
          <w:szCs w:val="21"/>
          <w:highlight w:val="none"/>
          <w14:textFill>
            <w14:solidFill>
              <w14:schemeClr w14:val="tx1"/>
            </w14:solidFill>
          </w14:textFill>
        </w:rPr>
        <w:t xml:space="preserve">00*</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55</w:t>
      </w:r>
      <w:r>
        <w:rPr>
          <w:rFonts w:hint="eastAsia" w:ascii="宋体" w:hAnsi="宋体"/>
          <w:b/>
          <w:bCs w:val="0"/>
          <w:color w:val="000000" w:themeColor="text1"/>
          <w:sz w:val="21"/>
          <w:szCs w:val="21"/>
          <w:highlight w:val="none"/>
          <w14:textFill>
            <w14:solidFill>
              <w14:schemeClr w14:val="tx1"/>
            </w14:solidFill>
          </w14:textFill>
        </w:rPr>
        <w:t xml:space="preserve">0*2</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b/>
          <w:bCs w:val="0"/>
          <w:color w:val="000000" w:themeColor="text1"/>
          <w:sz w:val="21"/>
          <w:szCs w:val="21"/>
          <w:highlight w:val="none"/>
          <w14:textFill>
            <w14:solidFill>
              <w14:schemeClr w14:val="tx1"/>
            </w14:solidFill>
          </w14:textFill>
        </w:rPr>
        <w:t xml:space="preserve">80mm</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  侧板、顶底板、背板均采用E0级18mm厚</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，可见截面采用同色2mm厚PVC封边条，采用环保热熔胶封边工艺，粘贴牢固无脱落。</w:t>
      </w:r>
      <w:r/>
    </w:p>
    <w:p>
      <w:pPr>
        <w:ind w:firstLine="480"/>
        <w:spacing w:line="360" w:lineRule="auto"/>
        <w:rPr>
          <w:rFonts w:hint="eastAsia"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▲1.2  </w:t>
      </w:r>
      <w:r>
        <w:rPr>
          <w:rFonts w:hint="eastAsia" w:ascii="宋体" w:hAnsi="宋体"/>
          <w:bCs/>
          <w:color w:val="000000" w:themeColor="text1"/>
          <w:sz w:val="21"/>
          <w:szCs w:val="21"/>
          <w:highlight w:val="none"/>
          <w:lang w:eastAsia="zh-CN"/>
          <w14:textFill>
            <w14:solidFill>
              <w14:schemeClr w14:val="tx1"/>
            </w14:solidFill>
          </w14:textFill>
        </w:rPr>
        <w:t xml:space="preserve">注塑封边一次成型门板：</w:t>
      </w:r>
      <w:r>
        <w:rPr>
          <w:rFonts w:hint="eastAsia" w:ascii="宋体" w:hAnsi="宋体"/>
          <w:bCs/>
          <w:color w:val="000000" w:themeColor="text1"/>
          <w:sz w:val="21"/>
          <w:szCs w:val="21"/>
          <w:highlight w:val="none"/>
          <w14:textFill>
            <w14:solidFill>
              <w14:schemeClr w14:val="tx1"/>
            </w14:solidFill>
          </w14:textFill>
        </w:rPr>
        <w:t xml:space="preserve">基材采用E0级18mm厚</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，四周及</w:t>
      </w:r>
      <w:r>
        <w:rPr>
          <w:rFonts w:hint="eastAsia" w:ascii="宋体" w:hAnsi="宋体"/>
          <w:bCs/>
          <w:color w:val="000000" w:themeColor="text1"/>
          <w:sz w:val="21"/>
          <w:szCs w:val="21"/>
          <w:highlight w:val="none"/>
          <w:lang w:eastAsia="zh-CN"/>
          <w14:textFill>
            <w14:solidFill>
              <w14:schemeClr w14:val="tx1"/>
            </w14:solidFill>
          </w14:textFill>
        </w:rPr>
        <w:t xml:space="preserve">阻尼铰链</w:t>
      </w:r>
      <w:r>
        <w:rPr>
          <w:rFonts w:hint="eastAsia" w:ascii="宋体" w:hAnsi="宋体"/>
          <w:bCs/>
          <w:color w:val="000000" w:themeColor="text1"/>
          <w:sz w:val="21"/>
          <w:szCs w:val="21"/>
          <w:highlight w:val="none"/>
          <w14:textFill>
            <w14:solidFill>
              <w14:schemeClr w14:val="tx1"/>
            </w14:solidFill>
          </w14:textFill>
        </w:rPr>
        <w:t xml:space="preserve">安装杯孔采用PP材质注塑一次成型（不可采用PVC封边），上门板尺寸：530±10mm*500±10mm，下门板尺寸：1150±10mm*500±10mm，上下门板上配备铝合金暗扣拉手</w:t>
      </w:r>
      <w:r>
        <w:rPr>
          <w:rFonts w:hint="eastAsia" w:ascii="宋体" w:hAnsi="宋体"/>
          <w:bCs/>
          <w:color w:val="000000" w:themeColor="text1"/>
          <w:sz w:val="21"/>
          <w:szCs w:val="21"/>
          <w:highlight w:val="none"/>
          <w:lang w:eastAsia="zh-CN"/>
          <w14:textFill>
            <w14:solidFill>
              <w14:schemeClr w14:val="tx1"/>
            </w14:solidFill>
          </w14:textFill>
        </w:rPr>
        <w:t xml:space="preserve">，拉手与柜门表面平齐无凸出。</w:t>
      </w:r>
      <w:r>
        <w:rPr>
          <w:rFonts w:hint="eastAsia" w:ascii="宋体" w:hAnsi="宋体"/>
          <w:bCs/>
          <w:color w:val="000000" w:themeColor="text1"/>
          <w:sz w:val="21"/>
          <w:szCs w:val="21"/>
          <w:highlight w:val="none"/>
          <w:lang w:val="en-US" w:eastAsia="zh-CN"/>
          <w14:textFill>
            <w14:solidFill>
              <w14:schemeClr w14:val="tx1"/>
            </w14:solidFill>
          </w14:textFill>
        </w:rPr>
        <w:t xml:space="preserve">下</w:t>
      </w:r>
      <w:r>
        <w:rPr>
          <w:rFonts w:hint="eastAsia" w:ascii="宋体" w:hAnsi="宋体"/>
          <w:bCs/>
          <w:color w:val="000000" w:themeColor="text1"/>
          <w:sz w:val="21"/>
          <w:szCs w:val="21"/>
          <w:highlight w:val="none"/>
          <w14:textFill>
            <w14:solidFill>
              <w14:schemeClr w14:val="tx1"/>
            </w14:solidFill>
          </w14:textFill>
        </w:rPr>
        <w:t xml:space="preserve">门板配有内嵌式铝合金锁盒，旋钮式挂锁设计，表面喷涂处理，挂锁不外露，挂锁可单独配置，确保使用时的安全性</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1.3  柜体框架采用优质三合一连接件进行连接</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1.4  </w:t>
      </w:r>
      <w:r>
        <w:rPr>
          <w:rFonts w:hint="eastAsia" w:ascii="宋体" w:hAnsi="宋体"/>
          <w:bCs/>
          <w:color w:val="000000" w:themeColor="text1"/>
          <w:sz w:val="21"/>
          <w:szCs w:val="21"/>
          <w:highlight w:val="none"/>
          <w:lang w:val="en-US" w:eastAsia="zh-CN"/>
          <w14:textFill>
            <w14:solidFill>
              <w14:schemeClr w14:val="tx1"/>
            </w14:solidFill>
          </w14:textFill>
        </w:rPr>
        <w:t xml:space="preserve">下</w:t>
      </w:r>
      <w:r>
        <w:rPr>
          <w:rFonts w:hint="eastAsia" w:ascii="宋体" w:hAnsi="宋体"/>
          <w:bCs/>
          <w:color w:val="000000" w:themeColor="text1"/>
          <w:sz w:val="21"/>
          <w:szCs w:val="21"/>
          <w:highlight w:val="none"/>
          <w14:textFill>
            <w14:solidFill>
              <w14:schemeClr w14:val="tx1"/>
            </w14:solidFill>
          </w14:textFill>
        </w:rPr>
        <w:t xml:space="preserve">柜内配置不锈钢挂衣杆。</w:t>
      </w:r>
      <w:r/>
    </w:p>
    <w:p>
      <w:pPr>
        <w:ind w:firstLine="480"/>
        <w:spacing w:line="360" w:lineRule="auto"/>
        <w:rPr>
          <w:rFonts w:hint="eastAsia" w:ascii="宋体" w:hAnsi="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1.5 木柜下钢架 ：主管采用不低于40*40*1.2mm、副管采用不低于25*25*1.0mm方形钢管，钢管焊接成高度600mm的两层置物架</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1.6  木柜、钢架必须用</w:t>
      </w:r>
      <w:r>
        <w:rPr>
          <w:rFonts w:hint="eastAsia" w:ascii="宋体" w:hAnsi="宋体"/>
          <w:bCs/>
          <w:color w:val="000000" w:themeColor="text1"/>
          <w:sz w:val="21"/>
          <w:szCs w:val="21"/>
          <w:highlight w:val="none"/>
          <w:lang w:eastAsia="zh-CN"/>
          <w14:textFill>
            <w14:solidFill>
              <w14:schemeClr w14:val="tx1"/>
            </w14:solidFill>
          </w14:textFill>
        </w:rPr>
        <w:t xml:space="preserve">螺丝</w:t>
      </w:r>
      <w:r>
        <w:rPr>
          <w:rFonts w:hint="eastAsia" w:ascii="宋体" w:hAnsi="宋体"/>
          <w:bCs/>
          <w:color w:val="000000" w:themeColor="text1"/>
          <w:sz w:val="21"/>
          <w:szCs w:val="21"/>
          <w:highlight w:val="none"/>
          <w14:textFill>
            <w14:solidFill>
              <w14:schemeClr w14:val="tx1"/>
            </w14:solidFill>
          </w14:textFill>
        </w:rPr>
        <w:t xml:space="preserve">紧密连接。</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1.7  五金配件：优质金属</w:t>
      </w:r>
      <w:r>
        <w:rPr>
          <w:rFonts w:hint="eastAsia" w:ascii="宋体" w:hAnsi="宋体"/>
          <w:bCs/>
          <w:color w:val="000000" w:themeColor="text1"/>
          <w:sz w:val="21"/>
          <w:szCs w:val="21"/>
          <w:highlight w:val="none"/>
          <w:lang w:eastAsia="zh-CN"/>
          <w14:textFill>
            <w14:solidFill>
              <w14:schemeClr w14:val="tx1"/>
            </w14:solidFill>
          </w14:textFill>
        </w:rPr>
        <w:t xml:space="preserve">阻尼铰链</w:t>
      </w:r>
      <w:r>
        <w:rPr>
          <w:rFonts w:hint="eastAsia" w:ascii="宋体" w:hAnsi="宋体"/>
          <w:bCs/>
          <w:color w:val="000000" w:themeColor="text1"/>
          <w:sz w:val="21"/>
          <w:szCs w:val="21"/>
          <w:highlight w:val="none"/>
          <w14:textFill>
            <w14:solidFill>
              <w14:schemeClr w14:val="tx1"/>
            </w14:solidFill>
          </w14:textFill>
        </w:rPr>
        <w:t xml:space="preserve">、三合一连接件(提供具有CMA标识的检测报告）。</w:t>
      </w:r>
      <w:r/>
    </w:p>
    <w:p>
      <w:pPr>
        <w:ind w:firstLine="480"/>
        <w:spacing w:line="360" w:lineRule="auto"/>
        <w:rPr>
          <w:rFonts w:hint="eastAsia" w:ascii="宋体" w:hAnsi="宋体" w:eastAsia="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 xml:space="preserve">（4）方凳；规格</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b/>
          <w:bCs w:val="0"/>
          <w:color w:val="000000" w:themeColor="text1"/>
          <w:sz w:val="21"/>
          <w:szCs w:val="21"/>
          <w:highlight w:val="none"/>
          <w14:textFill>
            <w14:solidFill>
              <w14:schemeClr w14:val="tx1"/>
            </w14:solidFill>
          </w14:textFill>
        </w:rPr>
        <w:t xml:space="preserve">00*</w:t>
      </w:r>
      <w:r>
        <w:rPr>
          <w:rFonts w:hint="eastAsia" w:ascii="宋体" w:hAnsi="宋体"/>
          <w:b/>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b/>
          <w:bCs w:val="0"/>
          <w:color w:val="000000" w:themeColor="text1"/>
          <w:sz w:val="21"/>
          <w:szCs w:val="21"/>
          <w:highlight w:val="none"/>
          <w14:textFill>
            <w14:solidFill>
              <w14:schemeClr w14:val="tx1"/>
            </w14:solidFill>
          </w14:textFill>
        </w:rPr>
        <w:t xml:space="preserve">00*450mm</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1.1 </w:t>
      </w:r>
      <w:r>
        <w:rPr>
          <w:rFonts w:hint="eastAsia" w:ascii="宋体" w:hAnsi="宋体"/>
          <w:bCs/>
          <w:color w:val="000000" w:themeColor="text1"/>
          <w:sz w:val="21"/>
          <w:szCs w:val="21"/>
          <w:highlight w:val="none"/>
          <w14:textFill>
            <w14:solidFill>
              <w14:schemeClr w14:val="tx1"/>
            </w14:solidFill>
          </w14:textFill>
        </w:rPr>
        <w:t xml:space="preserve">方凳</w:t>
      </w:r>
      <w:r>
        <w:rPr>
          <w:rFonts w:hint="eastAsia" w:ascii="宋体" w:hAnsi="宋体"/>
          <w:bCs/>
          <w:color w:val="000000" w:themeColor="text1"/>
          <w:sz w:val="21"/>
          <w:szCs w:val="21"/>
          <w:highlight w:val="none"/>
          <w:lang w:val="en-US" w:eastAsia="zh-CN"/>
          <w14:textFill>
            <w14:solidFill>
              <w14:schemeClr w14:val="tx1"/>
            </w14:solidFill>
          </w14:textFill>
        </w:rPr>
        <w:t xml:space="preserve">整体</w:t>
      </w:r>
      <w:r>
        <w:rPr>
          <w:rFonts w:hint="eastAsia" w:ascii="宋体" w:hAnsi="宋体"/>
          <w:bCs/>
          <w:color w:val="000000" w:themeColor="text1"/>
          <w:sz w:val="21"/>
          <w:szCs w:val="21"/>
          <w:highlight w:val="none"/>
          <w14:textFill>
            <w14:solidFill>
              <w14:schemeClr w14:val="tx1"/>
            </w14:solidFill>
          </w14:textFill>
        </w:rPr>
        <w:t xml:space="preserve">框架采用</w:t>
      </w:r>
      <w:r>
        <w:rPr>
          <w:rFonts w:hint="eastAsia" w:ascii="宋体" w:hAnsi="宋体"/>
          <w:bCs/>
          <w:color w:val="000000" w:themeColor="text1"/>
          <w:sz w:val="21"/>
          <w:szCs w:val="21"/>
          <w:highlight w:val="none"/>
          <w:lang w:val="en-US" w:eastAsia="zh-CN"/>
          <w14:textFill>
            <w14:solidFill>
              <w14:schemeClr w14:val="tx1"/>
            </w14:solidFill>
          </w14:textFill>
        </w:rPr>
        <w:t xml:space="preserve">不低于</w:t>
      </w:r>
      <w:r>
        <w:rPr>
          <w:rFonts w:hint="eastAsia" w:ascii="宋体" w:hAnsi="宋体"/>
          <w:bCs/>
          <w:color w:val="000000" w:themeColor="text1"/>
          <w:sz w:val="21"/>
          <w:szCs w:val="21"/>
          <w:highlight w:val="none"/>
          <w14:textFill>
            <w14:solidFill>
              <w14:schemeClr w14:val="tx1"/>
            </w14:solidFill>
          </w14:textFill>
        </w:rPr>
        <w:t xml:space="preserve">25*25*1.2mm方管焊接而成，</w:t>
      </w:r>
      <w:r>
        <w:rPr>
          <w:rFonts w:hint="eastAsia" w:ascii="宋体" w:hAnsi="宋体"/>
          <w:bCs/>
          <w:color w:val="000000" w:themeColor="text1"/>
          <w:sz w:val="21"/>
          <w:szCs w:val="21"/>
          <w:highlight w:val="none"/>
          <w:lang w:val="en-US" w:eastAsia="zh-CN"/>
          <w14:textFill>
            <w14:solidFill>
              <w14:schemeClr w14:val="tx1"/>
            </w14:solidFill>
          </w14:textFill>
        </w:rPr>
        <w:t xml:space="preserve">钢管</w:t>
      </w:r>
      <w:r>
        <w:rPr>
          <w:rFonts w:hint="eastAsia" w:ascii="宋体" w:hAnsi="宋体"/>
          <w:bCs/>
          <w:color w:val="000000" w:themeColor="text1"/>
          <w:sz w:val="21"/>
          <w:szCs w:val="21"/>
          <w:highlight w:val="none"/>
          <w14:textFill>
            <w14:solidFill>
              <w14:schemeClr w14:val="tx1"/>
            </w14:solidFill>
          </w14:textFill>
        </w:rPr>
        <w:t xml:space="preserve">对角处切45°对接。</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1.2 </w:t>
      </w:r>
      <w:r>
        <w:rPr>
          <w:rFonts w:hint="eastAsia" w:ascii="宋体" w:hAnsi="宋体"/>
          <w:bCs/>
          <w:color w:val="000000" w:themeColor="text1"/>
          <w:sz w:val="21"/>
          <w:szCs w:val="21"/>
          <w:highlight w:val="none"/>
          <w14:textFill>
            <w14:solidFill>
              <w14:schemeClr w14:val="tx1"/>
            </w14:solidFill>
          </w14:textFill>
        </w:rPr>
        <w:t xml:space="preserve">经除油、防锈等工序处理,外层采用塑粉静电喷塑处理，橘皮纹，色泽一致，无皱皮、飞漆，无漏喷，所有焊接口打磨光滑。</w:t>
      </w:r>
      <w:r/>
    </w:p>
    <w:p>
      <w:pPr>
        <w:ind w:firstLine="480"/>
        <w:spacing w:line="360" w:lineRule="auto"/>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1.3 </w:t>
      </w:r>
      <w:r>
        <w:rPr>
          <w:rFonts w:hint="eastAsia" w:ascii="宋体" w:hAnsi="宋体"/>
          <w:bCs/>
          <w:color w:val="000000" w:themeColor="text1"/>
          <w:sz w:val="21"/>
          <w:szCs w:val="21"/>
          <w:highlight w:val="none"/>
          <w14:textFill>
            <w14:solidFill>
              <w14:schemeClr w14:val="tx1"/>
            </w14:solidFill>
          </w14:textFill>
        </w:rPr>
        <w:t xml:space="preserve">凳面采用PU材质一体发泡成型，厚度不小于20mm，有预埋螺母与座板衬托框连接。凳面中间设置椭圆形孔（90±</w:t>
      </w:r>
      <w:r>
        <w:rPr>
          <w:rFonts w:hint="eastAsia" w:ascii="宋体" w:hAnsi="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bCs/>
          <w:color w:val="000000" w:themeColor="text1"/>
          <w:sz w:val="21"/>
          <w:szCs w:val="21"/>
          <w:highlight w:val="none"/>
          <w14:textFill>
            <w14:solidFill>
              <w14:schemeClr w14:val="tx1"/>
            </w14:solidFill>
          </w14:textFill>
        </w:rPr>
        <w:t xml:space="preserve">mm*35±</w:t>
      </w:r>
      <w:r>
        <w:rPr>
          <w:rFonts w:hint="eastAsia" w:ascii="宋体" w:hAnsi="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bCs/>
          <w:color w:val="000000" w:themeColor="text1"/>
          <w:sz w:val="21"/>
          <w:szCs w:val="21"/>
          <w:highlight w:val="none"/>
          <w14:textFill>
            <w14:solidFill>
              <w14:schemeClr w14:val="tx1"/>
            </w14:solidFill>
          </w14:textFill>
        </w:rPr>
        <w:t xml:space="preserve">mm），方便随手拿放。凳面板嵌入式安装在坐板衬托框中，结构稳固，软硬度适中</w:t>
      </w:r>
      <w:r>
        <w:rPr>
          <w:rFonts w:hint="eastAsia" w:ascii="宋体" w:hAnsi="宋体"/>
          <w:bCs/>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val="en-US" w:eastAsia="zh-CN"/>
          <w14:textFill>
            <w14:solidFill>
              <w14:schemeClr w14:val="tx1"/>
            </w14:solidFill>
          </w14:textFill>
        </w:rPr>
        <w:t xml:space="preserve">备注：</w:t>
      </w:r>
      <w:r>
        <w:rPr>
          <w:rFonts w:hint="eastAsia" w:ascii="宋体" w:hAnsi="宋体"/>
          <w:bCs/>
          <w:color w:val="000000" w:themeColor="text1"/>
          <w:sz w:val="21"/>
          <w:szCs w:val="21"/>
          <w:highlight w:val="none"/>
          <w14:textFill>
            <w14:solidFill>
              <w14:schemeClr w14:val="tx1"/>
            </w14:solidFill>
          </w14:textFill>
        </w:rPr>
        <w:t xml:space="preserve">上述</w:t>
      </w:r>
      <w:r>
        <w:rPr>
          <w:rFonts w:hint="eastAsia" w:ascii="宋体" w:hAnsi="宋体"/>
          <w:bCs/>
          <w:color w:val="000000" w:themeColor="text1"/>
          <w:sz w:val="21"/>
          <w:szCs w:val="21"/>
          <w:highlight w:val="none"/>
          <w:lang w:val="en-US" w:eastAsia="zh-CN"/>
          <w14:textFill>
            <w14:solidFill>
              <w14:schemeClr w14:val="tx1"/>
            </w14:solidFill>
          </w14:textFill>
        </w:rPr>
        <w:t xml:space="preserve">所有产品</w:t>
      </w:r>
      <w:r>
        <w:rPr>
          <w:rFonts w:hint="eastAsia" w:ascii="宋体" w:hAnsi="宋体"/>
          <w:bCs/>
          <w:color w:val="000000" w:themeColor="text1"/>
          <w:sz w:val="21"/>
          <w:szCs w:val="21"/>
          <w:highlight w:val="none"/>
          <w14:textFill>
            <w14:solidFill>
              <w14:schemeClr w14:val="tx1"/>
            </w14:solidFill>
          </w14:textFill>
        </w:rPr>
        <w:t xml:space="preserve">技术指标中，</w:t>
      </w:r>
      <w:r>
        <w:rPr>
          <w:rFonts w:hint="eastAsia" w:ascii="宋体" w:hAnsi="宋体"/>
          <w:bCs/>
          <w:color w:val="000000" w:themeColor="text1"/>
          <w:sz w:val="21"/>
          <w:szCs w:val="21"/>
          <w:highlight w:val="none"/>
          <w:lang w:val="en-US" w:eastAsia="zh-CN"/>
          <w14:textFill>
            <w14:solidFill>
              <w14:schemeClr w14:val="tx1"/>
            </w14:solidFill>
          </w14:textFill>
        </w:rPr>
        <w:t xml:space="preserve">各类规格尺寸必须考虑现场安装情况、安全要求、美观大方等因素，投标中必须明确产品具体尺寸（不得使用不低于表述）；</w:t>
      </w:r>
      <w:r>
        <w:rPr>
          <w:rFonts w:hint="eastAsia" w:ascii="宋体" w:hAnsi="宋体"/>
          <w:bCs/>
          <w:color w:val="000000" w:themeColor="text1"/>
          <w:sz w:val="21"/>
          <w:szCs w:val="21"/>
          <w:highlight w:val="none"/>
          <w14:textFill>
            <w14:solidFill>
              <w14:schemeClr w14:val="tx1"/>
            </w14:solidFill>
          </w14:textFill>
        </w:rPr>
        <w:t xml:space="preserve">钢管厚度均不含</w:t>
      </w:r>
      <w:r>
        <w:rPr>
          <w:rFonts w:hint="eastAsia" w:ascii="宋体" w:hAnsi="宋体"/>
          <w:bCs/>
          <w:color w:val="000000" w:themeColor="text1"/>
          <w:sz w:val="21"/>
          <w:szCs w:val="21"/>
          <w:highlight w:val="none"/>
          <w:lang w:eastAsia="zh-CN"/>
          <w14:textFill>
            <w14:solidFill>
              <w14:schemeClr w14:val="tx1"/>
            </w14:solidFill>
          </w14:textFill>
        </w:rPr>
        <w:t xml:space="preserve">喷塑</w:t>
      </w:r>
      <w:r>
        <w:rPr>
          <w:rFonts w:hint="eastAsia" w:ascii="宋体" w:hAnsi="宋体"/>
          <w:bCs/>
          <w:color w:val="000000" w:themeColor="text1"/>
          <w:sz w:val="21"/>
          <w:szCs w:val="21"/>
          <w:highlight w:val="none"/>
          <w14:textFill>
            <w14:solidFill>
              <w14:schemeClr w14:val="tx1"/>
            </w14:solidFill>
          </w14:textFill>
        </w:rPr>
        <w:t xml:space="preserve">层厚度，涉及</w:t>
      </w:r>
      <w:r>
        <w:rPr>
          <w:rFonts w:hint="eastAsia" w:ascii="宋体" w:hAnsi="宋体"/>
          <w:bCs/>
          <w:color w:val="000000" w:themeColor="text1"/>
          <w:sz w:val="21"/>
          <w:szCs w:val="21"/>
          <w:highlight w:val="none"/>
          <w:lang w:eastAsia="zh-CN"/>
          <w14:textFill>
            <w14:solidFill>
              <w14:schemeClr w14:val="tx1"/>
            </w14:solidFill>
          </w14:textFill>
        </w:rPr>
        <w:t xml:space="preserve">饰面刨花板</w:t>
      </w:r>
      <w:r>
        <w:rPr>
          <w:rFonts w:hint="eastAsia" w:ascii="宋体" w:hAnsi="宋体"/>
          <w:bCs/>
          <w:color w:val="000000" w:themeColor="text1"/>
          <w:sz w:val="21"/>
          <w:szCs w:val="21"/>
          <w:highlight w:val="none"/>
          <w14:textFill>
            <w14:solidFill>
              <w14:schemeClr w14:val="tx1"/>
            </w14:solidFill>
          </w14:textFill>
        </w:rPr>
        <w:t xml:space="preserve">的，在提交检测报告中应含甲醛释放量EO级、2h吸水厚度膨胀率、表面胶合强度、握螺钉力等内容，所有五金配件需发包方看样认可后方可使用。</w:t>
      </w:r>
      <w:r/>
    </w:p>
    <w:p>
      <w:pP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br w:type="page" w:clear="all"/>
      </w:r>
      <w:r/>
    </w:p>
    <w:p>
      <w:pPr>
        <w:jc w:val="left"/>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val="en-US" w:eastAsia="zh-CN"/>
          <w14:textFill>
            <w14:solidFill>
              <w14:schemeClr w14:val="tx1"/>
            </w14:solidFill>
          </w14:textFill>
        </w:rPr>
        <w:t xml:space="preserve">四、</w:t>
      </w:r>
      <w:r>
        <w:rPr>
          <w:rFonts w:hint="eastAsia" w:ascii="宋体" w:hAnsi="宋体"/>
          <w:b/>
          <w:color w:val="000000" w:themeColor="text1"/>
          <w:sz w:val="21"/>
          <w:szCs w:val="21"/>
          <w:highlight w:val="none"/>
          <w14:textFill>
            <w14:solidFill>
              <w14:schemeClr w14:val="tx1"/>
            </w14:solidFill>
          </w14:textFill>
        </w:rPr>
        <w:t xml:space="preserve">产品规格及图示</w:t>
      </w:r>
      <w:r/>
    </w:p>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两连体三人位公寓组合床</w:t>
      </w:r>
      <w:r>
        <w:rPr>
          <w:rFonts w:hint="eastAsia" w:ascii="宋体" w:hAnsi="宋体"/>
          <w:bCs/>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规格：4000*900*2950mm</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2"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13"/>
                        <a:stretch/>
                      </pic:blipFill>
                      <pic:spPr bwMode="auto">
                        <a:xfrm>
                          <a:off x="0" y="0"/>
                          <a:ext cx="5262245" cy="372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293.0pt;mso-wrap-distance-left:0.0pt;mso-wrap-distance-top:0.0pt;mso-wrap-distance-right:0.0pt;mso-wrap-distance-bottom:0.0pt;" stroked="f">
                <v:path textboxrect="0,0,0,0"/>
                <v:imagedata r:id="rId13" o:title=""/>
              </v:shape>
            </w:pict>
          </mc:Fallback>
        </mc:AlternateConten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自修桌，</w:t>
      </w:r>
      <w:r>
        <w:rPr>
          <w:rFonts w:hint="eastAsia" w:ascii="宋体" w:hAnsi="宋体" w:cs="宋体"/>
          <w:color w:val="000000" w:themeColor="text1"/>
          <w:sz w:val="21"/>
          <w:szCs w:val="21"/>
          <w:highlight w:val="none"/>
          <w14:textFill>
            <w14:solidFill>
              <w14:schemeClr w14:val="tx1"/>
            </w14:solidFill>
          </w14:textFill>
        </w:rPr>
        <w:t xml:space="preserve">规格：19</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0*610*1730（±10）mm</w:t>
      </w:r>
      <w:r/>
    </w:p>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3" name="图片 80" descr="微信图片_2024072109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微信图片_20240721092209"/>
                        <pic:cNvPicPr>
                          <a:picLocks noChangeAspect="1"/>
                        </pic:cNvPicPr>
                        <pic:nvPr/>
                      </pic:nvPicPr>
                      <pic:blipFill>
                        <a:blip r:embed="rId14"/>
                        <a:stretch/>
                      </pic:blipFill>
                      <pic:spPr bwMode="auto">
                        <a:xfrm>
                          <a:off x="0" y="0"/>
                          <a:ext cx="5262245" cy="372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293.0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themeColor="text1"/>
          <w:sz w:val="21"/>
          <w:szCs w:val="21"/>
          <w:highlight w:val="none"/>
          <w14:textFill>
            <w14:solidFill>
              <w14:schemeClr w14:val="tx1"/>
            </w14:solidFill>
          </w14:textFill>
        </w:rPr>
        <w:br w:type="page" w:clear="all"/>
      </w:r>
      <w:r/>
    </w:p>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储物柜</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规格：500*550*2280mm</w:t>
      </w:r>
      <w:r/>
    </w:p>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219700" cy="3691255"/>
                <wp:effectExtent l="0" t="0" r="0" b="4445"/>
                <wp:docPr id="4" name="图片 81" descr="50c2f6b11e66e85e147e75f531a8e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50c2f6b11e66e85e147e75f531a8ee2"/>
                        <pic:cNvPicPr>
                          <a:picLocks noChangeAspect="1"/>
                        </pic:cNvPicPr>
                        <pic:nvPr/>
                      </pic:nvPicPr>
                      <pic:blipFill>
                        <a:blip r:embed="rId15"/>
                        <a:stretch/>
                      </pic:blipFill>
                      <pic:spPr bwMode="auto">
                        <a:xfrm>
                          <a:off x="0" y="0"/>
                          <a:ext cx="5219700" cy="3691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0pt;height:290.6pt;mso-wrap-distance-left:0.0pt;mso-wrap-distance-top:0.0pt;mso-wrap-distance-right:0.0pt;mso-wrap-distance-bottom:0.0pt;" stroked="f">
                <v:path textboxrect="0,0,0,0"/>
                <v:imagedata r:id="rId15" o:title=""/>
              </v:shape>
            </w:pict>
          </mc:Fallback>
        </mc:AlternateContent>
      </w:r>
      <w:r/>
    </w:p>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储物柜2</w:t>
      </w:r>
      <w:r>
        <w:rPr>
          <w:rFonts w:hint="eastAsia" w:ascii="宋体" w:hAnsi="宋体" w:cs="宋体"/>
          <w:color w:val="000000" w:themeColor="text1"/>
          <w:sz w:val="21"/>
          <w:szCs w:val="21"/>
          <w:highlight w:val="none"/>
          <w:lang w:eastAsia="zh-CN"/>
          <w14:textFill>
            <w14:solidFill>
              <w14:schemeClr w14:val="tx1"/>
            </w14:solidFill>
          </w14:textFill>
        </w:rPr>
        <w:t xml:space="preserve">，规格：</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lang w:eastAsia="zh-CN"/>
          <w14:textFill>
            <w14:solidFill>
              <w14:schemeClr w14:val="tx1"/>
            </w14:solidFill>
          </w14:textFill>
        </w:rPr>
        <w:t xml:space="preserve">00*550*2280mm</w:t>
      </w:r>
      <w:r/>
    </w:p>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219700" cy="3583940"/>
                <wp:effectExtent l="0" t="0" r="0" b="16510"/>
                <wp:docPr id="5" name="图片 82" descr="2079c264882a5a1cb9ed08917fe7a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079c264882a5a1cb9ed08917fe7a44"/>
                        <pic:cNvPicPr>
                          <a:picLocks noChangeAspect="1"/>
                        </pic:cNvPicPr>
                        <pic:nvPr/>
                      </pic:nvPicPr>
                      <pic:blipFill>
                        <a:blip r:embed="rId16"/>
                        <a:stretch/>
                      </pic:blipFill>
                      <pic:spPr bwMode="auto">
                        <a:xfrm>
                          <a:off x="0" y="0"/>
                          <a:ext cx="5219700" cy="358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1.0pt;height:282.2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r/>
    </w:p>
    <w:p>
      <w:pPr>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储物柜</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lang w:eastAsia="zh-CN"/>
          <w14:textFill>
            <w14:solidFill>
              <w14:schemeClr w14:val="tx1"/>
            </w14:solidFill>
          </w14:textFill>
        </w:rPr>
        <w:t xml:space="preserve">，规格：</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500*550*2</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80mm</w:t>
      </w:r>
      <w:r/>
    </w:p>
    <w:p>
      <w:pPr>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219700" cy="3691255"/>
                <wp:effectExtent l="0" t="0" r="0" b="4445"/>
                <wp:docPr id="6" name="图片 83" descr="G:/业务区/2026年/陈传银/方案/0507盐城工业职业技术学院/需求/效果图0512/ffa2b40b1f245ed96e1fadba503cf1b9.jpgffa2b40b1f245ed96e1fadba503cf1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G:/业务区/2026年/陈传银/方案/0507盐城工业职业技术学院/需求/效果图0512/ffa2b40b1f245ed96e1fadba503cf1b9.jpgffa2b40b1f245ed96e1fadba503cf1b9"/>
                        <pic:cNvPicPr>
                          <a:picLocks noChangeAspect="1"/>
                        </pic:cNvPicPr>
                        <pic:nvPr/>
                      </pic:nvPicPr>
                      <pic:blipFill>
                        <a:blip r:embed="rId17"/>
                        <a:srcRect l="8" t="0" r="9" b="0"/>
                        <a:stretch/>
                      </pic:blipFill>
                      <pic:spPr bwMode="auto">
                        <a:xfrm>
                          <a:off x="0" y="0"/>
                          <a:ext cx="5219700" cy="3691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1.0pt;height:290.6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方凳，规格：</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00*</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cs="宋体"/>
          <w:color w:val="000000" w:themeColor="text1"/>
          <w:sz w:val="21"/>
          <w:szCs w:val="21"/>
          <w:highlight w:val="none"/>
          <w:lang w:eastAsia="zh-CN"/>
          <w14:textFill>
            <w14:solidFill>
              <w14:schemeClr w14:val="tx1"/>
            </w14:solidFill>
          </w14:textFill>
        </w:rPr>
        <w:t xml:space="preserve">0*</w:t>
      </w:r>
      <w:r>
        <w:rPr>
          <w:rFonts w:hint="eastAsia" w:ascii="宋体" w:hAnsi="宋体" w:cs="宋体"/>
          <w:color w:val="000000" w:themeColor="text1"/>
          <w:sz w:val="21"/>
          <w:szCs w:val="21"/>
          <w:highlight w:val="none"/>
          <w:lang w:val="en-US" w:eastAsia="zh-CN"/>
          <w14:textFill>
            <w14:solidFill>
              <w14:schemeClr w14:val="tx1"/>
            </w14:solidFill>
          </w14:textFill>
        </w:rPr>
        <w:t xml:space="preserve">45</w:t>
      </w:r>
      <w:r>
        <w:rPr>
          <w:rFonts w:hint="eastAsia" w:ascii="宋体" w:hAnsi="宋体" w:cs="宋体"/>
          <w:color w:val="000000" w:themeColor="text1"/>
          <w:sz w:val="21"/>
          <w:szCs w:val="21"/>
          <w:highlight w:val="none"/>
          <w:lang w:eastAsia="zh-CN"/>
          <w14:textFill>
            <w14:solidFill>
              <w14:schemeClr w14:val="tx1"/>
            </w14:solidFill>
          </w14:textFill>
        </w:rPr>
        <w:t xml:space="preserve">0mm</w:t>
      </w:r>
      <w:r/>
    </w:p>
    <w:p>
      <w:pPr>
        <w:spacing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219700" cy="3691255"/>
                <wp:effectExtent l="0" t="0" r="0" b="4445"/>
                <wp:docPr id="7" name="图片 84" descr="d3ddf93f7b9ec704fcf61f3c3cc13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d3ddf93f7b9ec704fcf61f3c3cc13ac"/>
                        <pic:cNvPicPr>
                          <a:picLocks noChangeAspect="1"/>
                        </pic:cNvPicPr>
                        <pic:nvPr/>
                      </pic:nvPicPr>
                      <pic:blipFill>
                        <a:blip r:embed="rId18"/>
                        <a:stretch/>
                      </pic:blipFill>
                      <pic:spPr bwMode="auto">
                        <a:xfrm>
                          <a:off x="0" y="0"/>
                          <a:ext cx="5219700" cy="3691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1.0pt;height:290.6pt;mso-wrap-distance-left:0.0pt;mso-wrap-distance-top:0.0pt;mso-wrap-distance-right:0.0pt;mso-wrap-distance-bottom:0.0pt;" stroked="f">
                <v:path textboxrect="0,0,0,0"/>
                <v:imagedata r:id="rId18" o:title=""/>
              </v:shape>
            </w:pict>
          </mc:Fallback>
        </mc:AlternateContent>
      </w:r>
      <w:r/>
    </w:p>
    <w:p>
      <w:pPr>
        <w:ind w:firstLine="480"/>
        <w:spacing w:line="0" w:lineRule="atLeas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注：家具图片只作为参考，投标人应在投标文件中注明投标家具中使用的主要原材料品牌、家具尺寸。</w:t>
      </w:r>
      <w:r/>
    </w:p>
    <w:p>
      <w:pPr>
        <w:ind w:firstLine="48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组装后应达到的标准：</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（1）各床位保持水平，在一条直线上，且保证稳固；</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（2）柜门启闭灵活、顺畅、不得有磕碰现象；</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（3）各零件、组合件表面应光滑、平整、不得有尖角突起； </w:t>
      </w:r>
      <w:r/>
    </w:p>
    <w:p>
      <w:pPr>
        <w:ind w:firstLine="480"/>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（4）焊接件应牢固，无焊渣、无虚焊、无焊穿、焊痕光滑平整； </w:t>
      </w:r>
      <w:r/>
    </w:p>
    <w:p>
      <w:pPr>
        <w:ind w:firstLine="480"/>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（5）喷塑涂层不脱落，漆膜无皱皮，无流挂，无返锈，色泽均匀，厚薄适中。</w:t>
      </w:r>
      <w:r/>
    </w:p>
    <w:p>
      <w:pPr>
        <w:ind w:firstLine="48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cs="宋体"/>
          <w:b/>
          <w:bCs/>
          <w:color w:val="000000" w:themeColor="text1"/>
          <w:sz w:val="21"/>
          <w:szCs w:val="21"/>
          <w:highlight w:val="none"/>
          <w14:textFill>
            <w14:solidFill>
              <w14:schemeClr w14:val="tx1"/>
            </w14:solidFill>
          </w14:textFill>
        </w:rPr>
        <w:t xml:space="preserve">本项目执行的标准应符合但不限于以下标准，如遇国家更新标准，则按新标准执行：</w:t>
      </w:r>
      <w:r/>
    </w:p>
    <w:p>
      <w:pPr>
        <w:ind w:firstLine="480"/>
        <w:jc w:val="left"/>
        <w:spacing w:line="360" w:lineRule="auto"/>
        <w:rPr>
          <w:rFonts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3325-20</w:t>
      </w:r>
      <w:r>
        <w:rPr>
          <w:rFonts w:ascii="宋体" w:hAnsi="宋体" w:cs="微软雅黑"/>
          <w:color w:val="000000" w:themeColor="text1"/>
          <w:sz w:val="21"/>
          <w:szCs w:val="21"/>
          <w:highlight w:val="none"/>
          <w14:textFill>
            <w14:solidFill>
              <w14:schemeClr w14:val="tx1"/>
            </w14:solidFill>
          </w14:textFill>
        </w:rPr>
        <w:t xml:space="preserve">24</w:t>
      </w:r>
      <w:r>
        <w:rPr>
          <w:rFonts w:hint="eastAsia" w:ascii="宋体" w:hAnsi="宋体" w:cs="微软雅黑"/>
          <w:color w:val="000000" w:themeColor="text1"/>
          <w:sz w:val="21"/>
          <w:szCs w:val="21"/>
          <w:highlight w:val="none"/>
          <w14:textFill>
            <w14:solidFill>
              <w14:schemeClr w14:val="tx1"/>
            </w14:solidFill>
          </w14:textFill>
        </w:rPr>
        <w:t xml:space="preserve">《金属家具通用技术条件》</w:t>
      </w:r>
      <w:r/>
    </w:p>
    <w:p>
      <w:pPr>
        <w:ind w:firstLine="480"/>
        <w:jc w:val="left"/>
        <w:spacing w:line="360" w:lineRule="auto"/>
        <w:rPr>
          <w:rFonts w:hint="eastAsia"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3324-20</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24</w:t>
      </w:r>
      <w:r>
        <w:rPr>
          <w:rFonts w:hint="eastAsia" w:ascii="宋体" w:hAnsi="宋体" w:cs="微软雅黑"/>
          <w:color w:val="000000" w:themeColor="text1"/>
          <w:sz w:val="21"/>
          <w:szCs w:val="21"/>
          <w:highlight w:val="none"/>
          <w14:textFill>
            <w14:solidFill>
              <w14:schemeClr w14:val="tx1"/>
            </w14:solidFill>
          </w14:textFill>
        </w:rPr>
        <w:t xml:space="preserve">《木家具通用技术条件》</w:t>
      </w:r>
      <w:r/>
    </w:p>
    <w:p>
      <w:pPr>
        <w:ind w:firstLine="480"/>
        <w:jc w:val="left"/>
        <w:spacing w:line="360" w:lineRule="auto"/>
        <w:rPr>
          <w:rFonts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35607</w:t>
      </w:r>
      <w:r>
        <w:rPr>
          <w:rFonts w:hint="eastAsia" w:ascii="宋体" w:hAnsi="宋体" w:cs="微软雅黑"/>
          <w:color w:val="000000" w:themeColor="text1"/>
          <w:sz w:val="21"/>
          <w:szCs w:val="21"/>
          <w:highlight w:val="none"/>
          <w14:textFill>
            <w14:solidFill>
              <w14:schemeClr w14:val="tx1"/>
            </w14:solidFill>
          </w14:textFill>
        </w:rPr>
        <w:t xml:space="preserve">-20</w:t>
      </w:r>
      <w:r>
        <w:rPr>
          <w:rFonts w:ascii="宋体" w:hAnsi="宋体" w:cs="微软雅黑"/>
          <w:color w:val="000000" w:themeColor="text1"/>
          <w:sz w:val="21"/>
          <w:szCs w:val="21"/>
          <w:highlight w:val="none"/>
          <w14:textFill>
            <w14:solidFill>
              <w14:schemeClr w14:val="tx1"/>
            </w14:solidFill>
          </w14:textFill>
        </w:rPr>
        <w:t xml:space="preserve">24</w:t>
      </w:r>
      <w:r>
        <w:rPr>
          <w:rFonts w:hint="eastAsia" w:ascii="宋体" w:hAnsi="宋体" w:cs="微软雅黑"/>
          <w:color w:val="000000" w:themeColor="text1"/>
          <w:sz w:val="21"/>
          <w:szCs w:val="21"/>
          <w:highlight w:val="none"/>
          <w14:textFill>
            <w14:solidFill>
              <w14:schemeClr w14:val="tx1"/>
            </w14:solidFill>
          </w14:textFill>
        </w:rPr>
        <w:t xml:space="preserve">《</w:t>
      </w:r>
      <w:r>
        <w:rPr>
          <w:rFonts w:hint="eastAsia" w:ascii="宋体" w:hAnsi="宋体" w:cs="微软雅黑"/>
          <w:color w:val="000000" w:themeColor="text1"/>
          <w:sz w:val="21"/>
          <w:szCs w:val="21"/>
          <w:highlight w:val="none"/>
          <w:lang w:eastAsia="zh-CN"/>
          <w14:textFill>
            <w14:solidFill>
              <w14:schemeClr w14:val="tx1"/>
            </w14:solidFill>
          </w14:textFill>
        </w:rPr>
        <w:t xml:space="preserve">绿色产品评价</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 家具</w:t>
      </w:r>
      <w:r>
        <w:rPr>
          <w:rFonts w:hint="eastAsia" w:ascii="宋体" w:hAnsi="宋体" w:cs="微软雅黑"/>
          <w:color w:val="000000" w:themeColor="text1"/>
          <w:sz w:val="21"/>
          <w:szCs w:val="21"/>
          <w:highlight w:val="none"/>
          <w14:textFill>
            <w14:solidFill>
              <w14:schemeClr w14:val="tx1"/>
            </w14:solidFill>
          </w14:textFill>
        </w:rPr>
        <w:t xml:space="preserve">》</w:t>
      </w:r>
      <w:r/>
    </w:p>
    <w:p>
      <w:pPr>
        <w:ind w:firstLine="480"/>
        <w:jc w:val="left"/>
        <w:spacing w:line="360" w:lineRule="auto"/>
        <w:rPr>
          <w:rFonts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35601</w:t>
      </w:r>
      <w:r>
        <w:rPr>
          <w:rFonts w:hint="eastAsia" w:ascii="宋体" w:hAnsi="宋体" w:cs="微软雅黑"/>
          <w:color w:val="000000" w:themeColor="text1"/>
          <w:sz w:val="21"/>
          <w:szCs w:val="21"/>
          <w:highlight w:val="none"/>
          <w14:textFill>
            <w14:solidFill>
              <w14:schemeClr w14:val="tx1"/>
            </w14:solidFill>
          </w14:textFill>
        </w:rPr>
        <w:t xml:space="preserve">-20</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24</w:t>
      </w:r>
      <w:r>
        <w:rPr>
          <w:rFonts w:hint="eastAsia" w:ascii="宋体" w:hAnsi="宋体" w:cs="微软雅黑"/>
          <w:color w:val="000000" w:themeColor="text1"/>
          <w:sz w:val="21"/>
          <w:szCs w:val="21"/>
          <w:highlight w:val="none"/>
          <w14:textFill>
            <w14:solidFill>
              <w14:schemeClr w14:val="tx1"/>
            </w14:solidFill>
          </w14:textFill>
        </w:rPr>
        <w:t xml:space="preserve">《</w:t>
      </w:r>
      <w:r>
        <w:rPr>
          <w:rFonts w:hint="eastAsia" w:ascii="宋体" w:hAnsi="宋体" w:cs="微软雅黑"/>
          <w:color w:val="000000" w:themeColor="text1"/>
          <w:sz w:val="21"/>
          <w:szCs w:val="21"/>
          <w:highlight w:val="none"/>
          <w:lang w:eastAsia="zh-CN"/>
          <w14:textFill>
            <w14:solidFill>
              <w14:schemeClr w14:val="tx1"/>
            </w14:solidFill>
          </w14:textFill>
        </w:rPr>
        <w:t xml:space="preserve">绿色产品评价</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 人造板和木质地板</w:t>
      </w:r>
      <w:r>
        <w:rPr>
          <w:rFonts w:hint="eastAsia" w:ascii="宋体" w:hAnsi="宋体" w:cs="微软雅黑"/>
          <w:color w:val="000000" w:themeColor="text1"/>
          <w:sz w:val="21"/>
          <w:szCs w:val="21"/>
          <w:highlight w:val="none"/>
          <w14:textFill>
            <w14:solidFill>
              <w14:schemeClr w14:val="tx1"/>
            </w14:solidFill>
          </w14:textFill>
        </w:rPr>
        <w:t xml:space="preserve">》</w:t>
      </w:r>
      <w:r/>
    </w:p>
    <w:p>
      <w:pPr>
        <w:ind w:firstLine="480"/>
        <w:jc w:val="left"/>
        <w:spacing w:line="360" w:lineRule="auto"/>
        <w:rPr>
          <w:rFonts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 33372-2020《胶粘剂挥发性有机化合物限量》</w:t>
      </w:r>
      <w:r/>
    </w:p>
    <w:p>
      <w:pPr>
        <w:ind w:firstLine="480"/>
        <w:jc w:val="left"/>
        <w:spacing w:line="360" w:lineRule="auto"/>
        <w:rPr>
          <w:rFonts w:hint="eastAsia" w:ascii="宋体" w:hAnsi="宋体" w:cs="微软雅黑"/>
          <w:color w:val="000000" w:themeColor="text1"/>
          <w:sz w:val="21"/>
          <w:szCs w:val="21"/>
          <w:highlight w:val="cyan"/>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 18584-2024《家具中有害物质限量》</w:t>
      </w:r>
      <w:r/>
    </w:p>
    <w:p>
      <w:pPr>
        <w:ind w:firstLine="480"/>
        <w:jc w:val="left"/>
        <w:spacing w:line="360" w:lineRule="auto"/>
        <w:rPr>
          <w:rFonts w:hint="eastAsia"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32487-2016《塑料家具通用技术条件》</w:t>
      </w:r>
      <w:r/>
    </w:p>
    <w:p>
      <w:pPr>
        <w:ind w:firstLine="480"/>
        <w:jc w:val="left"/>
        <w:spacing w:line="360" w:lineRule="auto"/>
        <w:rPr>
          <w:rFonts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QB/T 2189-2013《家具五金 杯状暗铰链》</w:t>
      </w:r>
      <w:r/>
    </w:p>
    <w:p>
      <w:pPr>
        <w:ind w:firstLine="480"/>
        <w:jc w:val="left"/>
        <w:spacing w:line="360" w:lineRule="auto"/>
        <w:rPr>
          <w:rFonts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H</w:t>
      </w:r>
      <w:r>
        <w:rPr>
          <w:rFonts w:ascii="宋体" w:hAnsi="宋体" w:cs="微软雅黑"/>
          <w:color w:val="000000" w:themeColor="text1"/>
          <w:sz w:val="21"/>
          <w:szCs w:val="21"/>
          <w:highlight w:val="none"/>
          <w14:textFill>
            <w14:solidFill>
              <w14:schemeClr w14:val="tx1"/>
            </w14:solidFill>
          </w14:textFill>
        </w:rPr>
        <w:t xml:space="preserve">G</w:t>
      </w:r>
      <w:r>
        <w:rPr>
          <w:rFonts w:hint="eastAsia" w:ascii="宋体" w:hAnsi="宋体" w:cs="微软雅黑"/>
          <w:color w:val="000000" w:themeColor="text1"/>
          <w:sz w:val="21"/>
          <w:szCs w:val="21"/>
          <w:highlight w:val="none"/>
          <w14:textFill>
            <w14:solidFill>
              <w14:schemeClr w14:val="tx1"/>
            </w14:solidFill>
          </w14:textFill>
        </w:rPr>
        <w:t xml:space="preserve">/T </w:t>
      </w:r>
      <w:r>
        <w:rPr>
          <w:rFonts w:ascii="宋体" w:hAnsi="宋体" w:cs="微软雅黑"/>
          <w:color w:val="000000" w:themeColor="text1"/>
          <w:sz w:val="21"/>
          <w:szCs w:val="21"/>
          <w:highlight w:val="none"/>
          <w14:textFill>
            <w14:solidFill>
              <w14:schemeClr w14:val="tx1"/>
            </w14:solidFill>
          </w14:textFill>
        </w:rPr>
        <w:t xml:space="preserve">2006</w:t>
      </w:r>
      <w:r>
        <w:rPr>
          <w:rFonts w:hint="eastAsia" w:ascii="宋体" w:hAnsi="宋体" w:cs="微软雅黑"/>
          <w:color w:val="000000" w:themeColor="text1"/>
          <w:sz w:val="21"/>
          <w:szCs w:val="21"/>
          <w:highlight w:val="none"/>
          <w14:textFill>
            <w14:solidFill>
              <w14:schemeClr w14:val="tx1"/>
            </w14:solidFill>
          </w14:textFill>
        </w:rPr>
        <w:t xml:space="preserve">-</w:t>
      </w:r>
      <w:r>
        <w:rPr>
          <w:rFonts w:ascii="宋体" w:hAnsi="宋体" w:cs="微软雅黑"/>
          <w:color w:val="000000" w:themeColor="text1"/>
          <w:sz w:val="21"/>
          <w:szCs w:val="21"/>
          <w:highlight w:val="none"/>
          <w14:textFill>
            <w14:solidFill>
              <w14:schemeClr w14:val="tx1"/>
            </w14:solidFill>
          </w14:textFill>
        </w:rPr>
        <w:t xml:space="preserve">2022</w:t>
      </w:r>
      <w:r>
        <w:rPr>
          <w:rFonts w:hint="eastAsia" w:ascii="宋体" w:hAnsi="宋体" w:cs="微软雅黑"/>
          <w:color w:val="000000" w:themeColor="text1"/>
          <w:sz w:val="21"/>
          <w:szCs w:val="21"/>
          <w:highlight w:val="none"/>
          <w14:textFill>
            <w14:solidFill>
              <w14:schemeClr w14:val="tx1"/>
            </w14:solidFill>
          </w14:textFill>
        </w:rPr>
        <w:t xml:space="preserve">《热固性和热塑性粉末涂料》</w:t>
      </w:r>
      <w:r/>
    </w:p>
    <w:p>
      <w:pPr>
        <w:ind w:firstLine="480"/>
        <w:jc w:val="left"/>
        <w:spacing w:line="360" w:lineRule="auto"/>
        <w:rPr>
          <w:rFonts w:hint="eastAsia"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28203-2011《家具用连接件技术要求及试验方法》</w:t>
      </w:r>
      <w:r/>
    </w:p>
    <w:p>
      <w:pPr>
        <w:ind w:firstLine="480"/>
        <w:jc w:val="left"/>
        <w:spacing w:line="360" w:lineRule="auto"/>
        <w:rPr>
          <w:rFonts w:hint="eastAsia"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15102-2017《浸渍胶膜纸饰面纤维板和刨花板》</w:t>
      </w:r>
      <w:r/>
    </w:p>
    <w:p>
      <w:pPr>
        <w:ind w:firstLine="480"/>
        <w:jc w:val="left"/>
        <w:spacing w:line="360" w:lineRule="auto"/>
        <w:rPr>
          <w:rFonts w:hint="eastAsia" w:ascii="宋体" w:hAnsi="宋体" w:cs="微软雅黑"/>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GB/T 39600-2021《人造板及其制品甲醛释放量分级》</w:t>
      </w:r>
      <w:r/>
    </w:p>
    <w:p>
      <w:pPr>
        <w:ind w:firstLine="480"/>
        <w:jc w:val="left"/>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cs="微软雅黑"/>
          <w:color w:val="000000" w:themeColor="text1"/>
          <w:sz w:val="21"/>
          <w:szCs w:val="21"/>
          <w:highlight w:val="none"/>
          <w14:textFill>
            <w14:solidFill>
              <w14:schemeClr w14:val="tx1"/>
            </w14:solidFill>
          </w14:textFill>
        </w:rPr>
        <w:t xml:space="preserve">QB/T 4463-20</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25</w:t>
      </w:r>
      <w:r>
        <w:rPr>
          <w:rFonts w:hint="eastAsia" w:ascii="宋体" w:hAnsi="宋体" w:cs="微软雅黑"/>
          <w:color w:val="000000" w:themeColor="text1"/>
          <w:sz w:val="21"/>
          <w:szCs w:val="21"/>
          <w:highlight w:val="none"/>
          <w14:textFill>
            <w14:solidFill>
              <w14:schemeClr w14:val="tx1"/>
            </w14:solidFill>
          </w14:textFill>
        </w:rPr>
        <w:t xml:space="preserve">《家具用封边条技术要求》</w:t>
      </w:r>
      <w:r/>
    </w:p>
    <w:p>
      <w:pPr>
        <w:ind w:firstLine="480"/>
        <w:jc w:val="left"/>
        <w:spacing w:line="360" w:lineRule="auto"/>
        <w:rPr>
          <w:rFonts w:ascii="Arial" w:hAnsi="Arial"/>
          <w:b/>
          <w:bCs/>
          <w:color w:val="000000" w:themeColor="text1"/>
          <w:sz w:val="21"/>
          <w:szCs w:val="21"/>
          <w:highlight w:val="none"/>
          <w14:textFill>
            <w14:solidFill>
              <w14:schemeClr w14:val="tx1"/>
            </w14:solidFill>
          </w14:textFill>
        </w:rPr>
      </w:pPr>
      <w:r>
        <w:rPr>
          <w:rFonts w:hint="eastAsia" w:ascii="Arial" w:hAnsi="Arial"/>
          <w:b/>
          <w:bCs/>
          <w:color w:val="000000" w:themeColor="text1"/>
          <w:sz w:val="21"/>
          <w:szCs w:val="21"/>
          <w:highlight w:val="none"/>
          <w:lang w:val="en-US" w:eastAsia="zh-CN"/>
          <w14:textFill>
            <w14:solidFill>
              <w14:schemeClr w14:val="tx1"/>
            </w14:solidFill>
          </w14:textFill>
        </w:rPr>
        <w:t xml:space="preserve">六</w:t>
      </w:r>
      <w:r>
        <w:rPr>
          <w:rFonts w:hint="eastAsia" w:ascii="Arial" w:hAnsi="Arial"/>
          <w:b/>
          <w:bCs/>
          <w:color w:val="000000" w:themeColor="text1"/>
          <w:sz w:val="21"/>
          <w:szCs w:val="21"/>
          <w:highlight w:val="none"/>
          <w14:textFill>
            <w14:solidFill>
              <w14:schemeClr w14:val="tx1"/>
            </w14:solidFill>
          </w14:textFill>
        </w:rPr>
        <w:t xml:space="preserve">、检测要求</w:t>
      </w:r>
      <w:r/>
    </w:p>
    <w:p>
      <w:pPr>
        <w:ind w:firstLine="480"/>
        <w:jc w:val="left"/>
        <w:spacing w:line="360" w:lineRule="auto"/>
        <w:rPr>
          <w:rFonts w:hint="eastAsia" w:ascii="宋体" w:hAnsi="宋体" w:cs="微软雅黑"/>
          <w:b/>
          <w:bCs/>
          <w:color w:val="000000" w:themeColor="text1"/>
          <w:sz w:val="21"/>
          <w:szCs w:val="21"/>
          <w:highlight w:val="none"/>
          <w14:textFill>
            <w14:solidFill>
              <w14:schemeClr w14:val="tx1"/>
            </w14:solidFill>
          </w14:textFill>
        </w:rPr>
      </w:pPr>
      <w:r>
        <w:rPr>
          <w:rFonts w:hint="eastAsia" w:ascii="宋体" w:hAnsi="宋体" w:cs="微软雅黑"/>
          <w:b/>
          <w:bCs/>
          <w:color w:val="000000" w:themeColor="text1"/>
          <w:sz w:val="21"/>
          <w:szCs w:val="21"/>
          <w:highlight w:val="none"/>
          <w:lang w:eastAsia="zh-CN"/>
          <w14:textFill>
            <w14:solidFill>
              <w14:schemeClr w14:val="tx1"/>
            </w14:solidFill>
          </w14:textFill>
        </w:rPr>
        <w:t xml:space="preserve">（</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一</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）所投产品具有202</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3</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年</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1月1日</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以来</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含</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CMA标志的成品检测报告，检测结果应</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为</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符合或合格。（</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中标后核查原件</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w:t>
      </w:r>
      <w:r>
        <w:rPr>
          <w:rFonts w:hint="eastAsia" w:ascii="宋体" w:hAnsi="宋体" w:cs="微软雅黑"/>
          <w:b/>
          <w:bCs/>
          <w:color w:val="000000" w:themeColor="text1"/>
          <w:sz w:val="21"/>
          <w:szCs w:val="21"/>
          <w:highlight w:val="none"/>
          <w14:textFill>
            <w14:solidFill>
              <w14:schemeClr w14:val="tx1"/>
            </w14:solidFill>
          </w14:textFill>
        </w:rPr>
        <w:t xml:space="preserve">，具体要求如下：</w:t>
      </w:r>
      <w:r/>
    </w:p>
    <w:p>
      <w:pPr>
        <w:ind w:firstLine="480"/>
        <w:jc w:val="left"/>
        <w:keepLines w:val="0"/>
        <w:keepNext w:val="0"/>
        <w:pageBreakBefore w:val="0"/>
        <w:spacing w:line="46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lang w:val="zh-CN"/>
          <w14:textFill>
            <w14:solidFill>
              <w14:schemeClr w14:val="tx1"/>
            </w14:solidFill>
          </w14:textFill>
        </w:rPr>
        <w:t xml:space="preserve">公寓组合床，检验检测依据GB/T 3325-2024《金属家具通用技术条件》、QB/T 2741-2013《学生公寓多功能家具》 、GB/T 35607-2024《绿色产品评价 家具》标准，检测内容至少包括：①床铺面垂直耐久性测试；②床框架水平耐久性测试；③总挥发性有机化合物；④苯、甲苯、二甲苯；⑤产品有害物质；⑥力学性能；⑦甲醛释放量。</w:t>
      </w:r>
      <w:r/>
    </w:p>
    <w:p>
      <w:pPr>
        <w:ind w:firstLine="480"/>
        <w:jc w:val="left"/>
        <w:keepLines w:val="0"/>
        <w:keepNext w:val="0"/>
        <w:pageBreakBefore w:val="0"/>
        <w:spacing w:line="46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（2）自修桌，检验检测依据GB/T 3324-2024《木家具通用技术条件》、GB/T 35607-2024《绿色产品评价 家具》，检测内容至少包括：①形状和位置公差；②力学性能（桌类强度和耐久性、桌类稳定性）；③苯、甲苯、二甲苯；④甲醛；⑤总挥发性有机化合物；⑥产品有害物质。</w:t>
      </w:r>
      <w:r/>
    </w:p>
    <w:p>
      <w:pPr>
        <w:ind w:firstLine="480"/>
        <w:jc w:val="left"/>
        <w:keepLines w:val="0"/>
        <w:keepNext w:val="0"/>
        <w:pageBreakBefore w:val="0"/>
        <w:spacing w:line="46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（3）储物柜，检验检测依据GB/T 3324-2024《木家具通用技术条件》、GB/T 35607-2024《绿色产品评价 家具》，检测内容至少包括：①形状和位置公差；②金属拉手耐腐蚀性要求；③结构安全性；④甲醛释放量；⑤拉门耐久性。</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（4）方凳，检验检测依据GB/T 3325-2024《金属家具通用技术条件》、GB/T 32487-2016《塑料家具通用技术条件》，检测内容至少包括：①形状和位置公差；②金属件；③塑料材料理化性能；④邻苯二甲酸酯；⑤重金属；⑥多环芳烃；⑦多溴联苯</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80"/>
        <w:jc w:val="left"/>
        <w:spacing w:line="360" w:lineRule="auto"/>
        <w:rPr>
          <w:rFonts w:hint="eastAsia" w:ascii="宋体" w:hAnsi="宋体" w:cs="微软雅黑"/>
          <w:b/>
          <w:bCs/>
          <w:color w:val="000000" w:themeColor="text1"/>
          <w:sz w:val="21"/>
          <w:szCs w:val="21"/>
          <w:highlight w:val="none"/>
          <w14:textFill>
            <w14:solidFill>
              <w14:schemeClr w14:val="tx1"/>
            </w14:solidFill>
          </w14:textFill>
        </w:rPr>
      </w:pPr>
      <w:r>
        <w:rPr>
          <w:rFonts w:hint="eastAsia" w:ascii="宋体" w:hAnsi="宋体" w:cs="微软雅黑"/>
          <w:b/>
          <w:bCs/>
          <w:color w:val="000000" w:themeColor="text1"/>
          <w:sz w:val="21"/>
          <w:szCs w:val="21"/>
          <w:highlight w:val="none"/>
          <w:lang w:eastAsia="zh-CN"/>
          <w14:textFill>
            <w14:solidFill>
              <w14:schemeClr w14:val="tx1"/>
            </w14:solidFill>
          </w14:textFill>
        </w:rPr>
        <w:t xml:space="preserve">（</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）所投产品具有202</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3</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年</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1月1日</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以来</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含</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CMA标志的</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原材料</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检测报告，检测结果应</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为</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符合或合格。（</w:t>
      </w:r>
      <w:r>
        <w:rPr>
          <w:rFonts w:hint="eastAsia" w:ascii="宋体" w:hAnsi="宋体" w:cs="微软雅黑"/>
          <w:b/>
          <w:bCs/>
          <w:color w:val="000000" w:themeColor="text1"/>
          <w:sz w:val="21"/>
          <w:szCs w:val="21"/>
          <w:highlight w:val="none"/>
          <w:lang w:val="en-US" w:eastAsia="zh-CN"/>
          <w14:textFill>
            <w14:solidFill>
              <w14:schemeClr w14:val="tx1"/>
            </w14:solidFill>
          </w14:textFill>
        </w:rPr>
        <w:t xml:space="preserve">中标后核查原件</w:t>
      </w:r>
      <w:r>
        <w:rPr>
          <w:rFonts w:hint="eastAsia" w:ascii="宋体" w:hAnsi="宋体" w:cs="微软雅黑"/>
          <w:b/>
          <w:bCs/>
          <w:color w:val="000000" w:themeColor="text1"/>
          <w:sz w:val="21"/>
          <w:szCs w:val="21"/>
          <w:highlight w:val="none"/>
          <w:lang w:eastAsia="zh-CN"/>
          <w14:textFill>
            <w14:solidFill>
              <w14:schemeClr w14:val="tx1"/>
            </w14:solidFill>
          </w14:textFill>
        </w:rPr>
        <w:t xml:space="preserve">）</w:t>
      </w:r>
      <w:r>
        <w:rPr>
          <w:rFonts w:hint="eastAsia" w:ascii="宋体" w:hAnsi="宋体" w:cs="微软雅黑"/>
          <w:b/>
          <w:bCs/>
          <w:color w:val="000000" w:themeColor="text1"/>
          <w:sz w:val="21"/>
          <w:szCs w:val="21"/>
          <w:highlight w:val="none"/>
          <w14:textFill>
            <w14:solidFill>
              <w14:schemeClr w14:val="tx1"/>
            </w14:solidFill>
          </w14:textFill>
        </w:rPr>
        <w:t xml:space="preserve">，具体要求如下：</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（1）饰面刨花板,检验检测依据GB/T 15102-2017《浸渍胶膜纸饰面纤维板和刨花板》、GB/T 39600-2021《人造板及其制品甲醛释放量分级》、GB/T 35601-20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《绿色产品评价 人造板和木质地板》，检测内容至少包括：①苯、甲苯、二甲苯；②甲醛释放量；③TVOC。</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（2）钢管,检验检测依据 GB/T 3325-2024《金属家具通用技术条件》，检测内容至少包括：①耐盐浴；②硬度；③附着力；④甲醛；⑤可迁移有害元素。</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（3）PVC封边条，检验检测依据QB/T 4463-20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《家具用封边条技术要求》，检测内容至少包括：①甲醛释放量；②可迁移元素(可溶性重金属)： ③耐磨性；④耐干热性；⑤耐光色牢度(灰色样卡)</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（4）阻尼铰链,检验检测依据GB/T 3325-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2024《金属家具通用技术条件》、QB/T 2189-2013《家具五金 杯状暗铰链》、QB/T 3826-1999《轻工产品金属镀层和化学处理层的耐腐蚀试验方法 中性盐雾试验(NSS)法》、QB/T 3827-1999《轻工产品金属镀层和化学处理层的耐腐蚀试验方法 乙酸盐雾试验、(ASS)法》、QB/T 3832-1999《轻工产品金属镀层腐蚀试验结果的评价》，检测内容至少包括：①过载；②中性盐雾试验(NSS试验):≥100h连续喷雾，≥10级；③乙酸盐雾试验(ASS试验):≥100h连续喷雾，≥10级；</w:t>
      </w:r>
      <w:r>
        <w:rPr>
          <w:rFonts w:hint="eastAsia" w:ascii="宋体" w:hAnsi="宋体" w:eastAsia="宋体" w:cs="宋体"/>
          <w:color w:val="000000" w:themeColor="text1"/>
          <w:sz w:val="21"/>
          <w:szCs w:val="21"/>
          <w:highlight w:val="none"/>
          <w:lang w:val="zh-CN"/>
          <w14:textFill>
            <w14:solidFill>
              <w14:schemeClr w14:val="tx1"/>
            </w14:solidFill>
          </w14:textFill>
        </w:rPr>
        <w:t xml:space="preserve">④耐久性试验150000次，无缺陷。</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）床梁与床立柱连接件,检验检测依据GB/T 3325-2024《金属家具通用技术条件》，检测内容至少包括：①附着力；②硬度；③有害物质限量。</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）塑粉,检验检测依据HG/T 2006-2022《热固性和热塑性粉末涂料》、GB 18581-2020《木器涂料中有害物质限量》，检测内容至少包括：①附着力；②耐盐雾性；③总铅含量；④可溶性重金属含量。</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）螺丝,检验检测依据GB/T 3325-2024《金属家具通用技术条件》、QB/T 3826-1999《轻工产品金属镀层和化学处理层的耐腐性试验方法中性盐雾试验（NSS）法》、QB/T 3827-1999《轻工产品金属镀层和化学处理层的 耐腐蚀试验方法乙酸盐雾试验（ASS）法》、QB/T 3832-1999《轻工产品金属镀层腐蚀试验结果的评价》，检测内容至少包括：①外观性能；②中性盐雾试验(NSS试验):≥100h连续喷雾，≥10级；③乙酸盐雾试验(ASS试验):≥100h连续喷雾，≥10级。</w:t>
      </w:r>
      <w:r/>
    </w:p>
    <w:p>
      <w:pPr>
        <w:ind w:firstLine="480"/>
        <w:jc w:val="left"/>
        <w:keepLines w:val="0"/>
        <w:keepNext w:val="0"/>
        <w:pageBreakBefore w:val="0"/>
        <w:spacing w:line="46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（8）顶盖(床立柱上下盖)，检验检测标准需包含GB 18584-2024《家具中有害物质限量》，检测内容至少包括：①邻苯二甲酸酯；②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可迁移有害元素</w:t>
      </w:r>
      <w:r>
        <w:rPr>
          <w:rFonts w:hint="eastAsia" w:ascii="宋体" w:hAnsi="宋体" w:eastAsia="宋体" w:cs="宋体"/>
          <w:color w:val="000000" w:themeColor="text1"/>
          <w:sz w:val="21"/>
          <w:szCs w:val="21"/>
          <w:highlight w:val="none"/>
          <w:lang w:val="zh-CN"/>
          <w14:textFill>
            <w14:solidFill>
              <w14:schemeClr w14:val="tx1"/>
            </w14:solidFill>
          </w14:textFill>
        </w:rPr>
        <w:t xml:space="preserve">；③多环芳烃；④多溴二苯醚(PBDE)；</w:t>
      </w:r>
      <w:r/>
    </w:p>
    <w:p>
      <w:pPr>
        <w:ind w:firstLine="480"/>
        <w:jc w:val="left"/>
        <w:keepLines w:val="0"/>
        <w:keepNext w:val="0"/>
        <w:pageBreakBefore w:val="0"/>
        <w:spacing w:line="46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（9）前护栏,检验检测依据GB/T 3325-2024《金属家具通用技术条件》，检测内容至少包括：①喷漆</w:t>
      </w:r>
      <w:r>
        <w:rPr>
          <w:rFonts w:hint="eastAsia" w:ascii="宋体" w:hAnsi="宋体" w:cs="宋体"/>
          <w:color w:val="000000" w:themeColor="text1"/>
          <w:sz w:val="21"/>
          <w:szCs w:val="21"/>
          <w:highlight w:val="none"/>
          <w:lang w:val="zh-CN"/>
          <w14:textFill>
            <w14:solidFill>
              <w14:schemeClr w14:val="tx1"/>
            </w14:solidFill>
          </w14:textFill>
        </w:rPr>
        <w:t xml:space="preserve">(塑)涂层；②硬度。</w:t>
      </w:r>
      <w:r/>
    </w:p>
    <w:p>
      <w:pPr>
        <w:pStyle w:val="957"/>
        <w:keepLines w:val="0"/>
        <w:keepNext w:val="0"/>
        <w:pageBreakBefore w:val="0"/>
        <w:spacing w:line="46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lang w:val="zh-CN"/>
          <w14:textFill>
            <w14:solidFill>
              <w14:schemeClr w14:val="tx1"/>
            </w14:solidFill>
          </w14:textFill>
        </w:rPr>
        <w:t xml:space="preserve">）注塑封边一次成型门板，检验检测依据GB/T 3324-2024《木家具通用技术条件》、GB/T 35607-2024《绿色产品评价 家具》，检测内容至少包括：①木制件表面理化性能；②塑料件；③木工要求；④总挥发性有机化合物。</w:t>
      </w:r>
      <w:r/>
    </w:p>
    <w:p>
      <w:pPr>
        <w:pStyle w:val="957"/>
        <w:keepLines w:val="0"/>
        <w:keepNext w:val="0"/>
        <w:pageBreakBefore w:val="0"/>
        <w:spacing w:line="46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zh-CN"/>
          <w14:textFill>
            <w14:solidFill>
              <w14:schemeClr w14:val="tx1"/>
            </w14:solidFill>
          </w14:textFill>
        </w:rPr>
        <w:t xml:space="preserve">）中空吹塑一次成型床板,检验检测依据GB/T 32487-2016《塑料家具通用技术条件》、GB/T 35607-2024《绿色产品评价 家具》，检测内容至少包括：①邻苯二甲酸酯；②多环芳烃；③产品有害物质（铅、铬、镉）。</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）铝合金锁盒,检验检测依据GB/T 3325-2024《金属家具通用技术条件》，检测内容至少包括：①硬度；②喷漆（塑）涂层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80"/>
        <w:jc w:val="left"/>
        <w:spacing w:line="360" w:lineRule="auto"/>
        <w:rPr>
          <w:rFonts w:hint="eastAsia" w:ascii="Arial" w:hAnsi="Arial"/>
          <w:b/>
          <w:bCs/>
          <w:color w:val="000000" w:themeColor="text1"/>
          <w:sz w:val="21"/>
          <w:szCs w:val="21"/>
          <w:highlight w:val="none"/>
          <w:lang w:val="zh-CN"/>
          <w14:textFill>
            <w14:solidFill>
              <w14:schemeClr w14:val="tx1"/>
            </w14:solidFill>
          </w14:textFill>
        </w:rPr>
      </w:pPr>
      <w:r>
        <w:rPr>
          <w:rFonts w:hint="eastAsia" w:ascii="Arial" w:hAnsi="Arial"/>
          <w:b/>
          <w:bCs/>
          <w:color w:val="000000" w:themeColor="text1"/>
          <w:sz w:val="21"/>
          <w:szCs w:val="21"/>
          <w:highlight w:val="none"/>
          <w:lang w:val="en-US" w:eastAsia="zh-CN"/>
          <w14:textFill>
            <w14:solidFill>
              <w14:schemeClr w14:val="tx1"/>
            </w14:solidFill>
          </w14:textFill>
        </w:rPr>
        <w:t xml:space="preserve">七</w:t>
      </w:r>
      <w:r>
        <w:rPr>
          <w:rFonts w:hint="eastAsia" w:ascii="Arial" w:hAnsi="Arial"/>
          <w:b/>
          <w:bCs/>
          <w:color w:val="000000" w:themeColor="text1"/>
          <w:sz w:val="21"/>
          <w:szCs w:val="21"/>
          <w:highlight w:val="none"/>
          <w:lang w:val="zh-CN"/>
          <w14:textFill>
            <w14:solidFill>
              <w14:schemeClr w14:val="tx1"/>
            </w14:solidFill>
          </w14:textFill>
        </w:rPr>
        <w:t xml:space="preserve">、项目实施要求</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1.投标人所投产品制造商需提供产品生产实施方案，方案需包括，生产计划安排，生产工艺流程，拟投入的设备情况；方案需全面详实、安排合理得当、满足本次采购的要求、保证项目的顺利实施。</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根据对招标文件项目需求，提供整体家具设计方案：方案需包括但不限于优化设计家具的彩色效果图、设计图纸等，能够全面展示家具产品的整体布局合理，功能齐全性、结构合理性等。本项目的设计方案应在保证实用性或安全性的前提下，有明显增加使用效益或人性化的设计和创新，需要综合考虑家具的颜色搭配等方面的要求，营造温馨自然的居住环境，有利于学生的心理健康发展。</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投标人所投产品制造商需提供产品质量保证方案：方案需包括原材料采购质量方案，产品质量目标的设定，以及产品质量检测方案；方案需全面详实、安排合理得当、满足本次采购的要求、保证项目的顺利实施。</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4.投标人需提供产品运输、包装方案，方案需包括产品的运输 计划安排方案、包装措施方案、运输安全措施；方案需全面详实、安排合理得当、满足本次采购的要求、保证项目的顺利实施。</w:t>
      </w:r>
      <w:r/>
    </w:p>
    <w:p>
      <w:pPr>
        <w:ind w:firstLine="480"/>
        <w:jc w:val="left"/>
        <w:keepLines w:val="0"/>
        <w:keepNext w:val="0"/>
        <w:pageBreakBefore w:val="0"/>
        <w:spacing w:line="46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.投标人需提供产品安装方案，方案需包括，产品的安装措施、项目工期的安排、拟投入的人员计划；方案需全面详实、安排合理得当、满足本次采购的要求、保证项目的顺利实施。</w:t>
      </w:r>
      <w:r/>
    </w:p>
    <w:p>
      <w:pPr>
        <w:ind w:firstLine="480"/>
        <w:jc w:val="left"/>
        <w:spacing w:line="360" w:lineRule="auto"/>
        <w:rPr>
          <w:rFonts w:hint="eastAsia" w:ascii="Arial" w:hAnsi="Arial"/>
          <w:b/>
          <w:bCs/>
          <w:color w:val="000000" w:themeColor="text1"/>
          <w:sz w:val="21"/>
          <w:szCs w:val="21"/>
          <w:highlight w:val="none"/>
          <w:lang w:val="zh-CN"/>
          <w14:textFill>
            <w14:solidFill>
              <w14:schemeClr w14:val="tx1"/>
            </w14:solidFill>
          </w14:textFill>
        </w:rPr>
      </w:pPr>
      <w:r>
        <w:rPr>
          <w:rFonts w:hint="eastAsia" w:ascii="Arial" w:hAnsi="Arial"/>
          <w:b/>
          <w:bCs/>
          <w:color w:val="000000" w:themeColor="text1"/>
          <w:sz w:val="21"/>
          <w:szCs w:val="21"/>
          <w:highlight w:val="none"/>
          <w:lang w:val="en-US" w:eastAsia="zh-CN"/>
          <w14:textFill>
            <w14:solidFill>
              <w14:schemeClr w14:val="tx1"/>
            </w14:solidFill>
          </w14:textFill>
        </w:rPr>
        <w:t xml:space="preserve">八</w:t>
      </w:r>
      <w:r>
        <w:rPr>
          <w:rFonts w:hint="eastAsia" w:ascii="Arial" w:hAnsi="Arial"/>
          <w:b/>
          <w:bCs/>
          <w:color w:val="000000" w:themeColor="text1"/>
          <w:sz w:val="21"/>
          <w:szCs w:val="21"/>
          <w:highlight w:val="none"/>
          <w:lang w:val="zh-CN"/>
          <w14:textFill>
            <w14:solidFill>
              <w14:schemeClr w14:val="tx1"/>
            </w14:solidFill>
          </w14:textFill>
        </w:rPr>
        <w:t xml:space="preserve">、售后服务要求</w:t>
      </w:r>
      <w:r/>
    </w:p>
    <w:p>
      <w:pPr>
        <w:ind w:firstLine="420"/>
        <w:spacing w:line="360" w:lineRule="auto"/>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1.投标人提交售后服务承诺。投标人须承诺以下内容：</w:t>
      </w:r>
      <w:r>
        <w:rPr>
          <w:rFonts w:hint="eastAsia" w:ascii="宋体" w:hAnsi="宋体" w:cs="宋体"/>
          <w:b/>
          <w:bCs/>
          <w:color w:val="000000" w:themeColor="text1"/>
          <w:sz w:val="21"/>
          <w:szCs w:val="21"/>
          <w:highlight w:val="none"/>
          <w:lang w:val="zh-CN"/>
          <w14:textFill>
            <w14:solidFill>
              <w14:schemeClr w14:val="tx1"/>
            </w14:solidFill>
          </w14:textFill>
        </w:rPr>
        <w:t xml:space="preserve">“为所供产品提供终身维护服务及不低于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年原厂免费质保服务（国家有相关质保规定优于本合同约定质保期的按国家相关规定执行）。</w:t>
      </w:r>
      <w:r>
        <w:rPr>
          <w:rFonts w:hint="eastAsia" w:ascii="宋体" w:hAnsi="宋体" w:cs="宋体"/>
          <w:color w:val="000000" w:themeColor="text1"/>
          <w:sz w:val="21"/>
          <w:szCs w:val="21"/>
          <w:highlight w:val="none"/>
          <w:lang w:val="zh-CN"/>
          <w14:textFill>
            <w14:solidFill>
              <w14:schemeClr w14:val="tx1"/>
            </w14:solidFill>
          </w14:textFill>
        </w:rPr>
        <w:t xml:space="preserve">在质保期内，一旦发生质量问题，中标供应商保证在接到通知后的6小时内进行响应，并在12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保修期外的维修，只收材料成本费。</w:t>
      </w:r>
      <w:r>
        <w:rPr>
          <w:rFonts w:hint="eastAsia" w:ascii="宋体" w:hAnsi="宋体" w:cs="宋体"/>
          <w:b/>
          <w:bCs/>
          <w:color w:val="000000" w:themeColor="text1"/>
          <w:sz w:val="21"/>
          <w:szCs w:val="21"/>
          <w:highlight w:val="none"/>
          <w:lang w:val="zh-CN"/>
          <w14:textFill>
            <w14:solidFill>
              <w14:schemeClr w14:val="tx1"/>
            </w14:solidFill>
          </w14:textFill>
        </w:rPr>
        <w:t xml:space="preserve">上述承诺须提供承诺书，并加盖投标供应商公章。投标供应商能提供其他更优质的服务，可在服务承诺中自行提供。</w:t>
      </w:r>
      <w:r/>
    </w:p>
    <w:p>
      <w:pPr>
        <w:ind w:firstLine="420"/>
        <w:spacing w:line="360" w:lineRule="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2.投标人需提供售后服务方案。需包括售后服务体系，服务内容，响应时间，售后服务人员安排。方案需全面详实、安排合理得当、满足本次采购的要求、保证项目的顺利实施。</w:t>
      </w:r>
      <w:r/>
    </w:p>
    <w:p>
      <w:pPr>
        <w:ind w:firstLine="420"/>
        <w:spacing w:line="360" w:lineRule="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3.投标人提供售后服务类认证证书，保证投标人有完善的售后服务体系。</w:t>
      </w:r>
      <w:r/>
    </w:p>
    <w:p>
      <w:pPr>
        <w:pStyle w:val="957"/>
        <w:ind w:left="0" w:firstLine="420"/>
        <w:spacing w:line="360" w:lineRule="auto"/>
        <w:rPr>
          <w:rFonts w:hint="eastAsia" w:ascii="宋体" w:hAnsi="宋体" w:cs="宋体"/>
          <w:i/>
          <w:iCs/>
          <w:color w:val="000000" w:themeColor="text1"/>
          <w:sz w:val="21"/>
          <w:szCs w:val="21"/>
          <w:highlight w:val="none"/>
          <w:u w:val="single"/>
          <w:lang w:val="en-US" w:eastAsia="zh-CN"/>
          <w14:textFill>
            <w14:solidFill>
              <w14:schemeClr w14:val="tx1"/>
            </w14:solidFill>
          </w14:textFill>
        </w:rPr>
      </w:pP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4.保修期内，投标人每年至少对货物进行巡检维护一次，维护时间为暑假期间（7月20日-8月20日）。投标人须提供书面盖章承诺书，上传至符合性审查节点）。</w:t>
      </w:r>
      <w:r/>
    </w:p>
    <w:p>
      <w:pPr>
        <w:ind w:firstLine="480"/>
        <w:jc w:val="left"/>
        <w:spacing w:line="360" w:lineRule="auto"/>
        <w:rPr>
          <w:rFonts w:hint="eastAsia" w:ascii="Arial" w:hAnsi="Arial"/>
          <w:b/>
          <w:bCs/>
          <w:color w:val="000000" w:themeColor="text1"/>
          <w:sz w:val="21"/>
          <w:szCs w:val="21"/>
          <w:highlight w:val="none"/>
          <w:lang w:val="zh-CN" w:eastAsia="zh-CN"/>
          <w14:textFill>
            <w14:solidFill>
              <w14:schemeClr w14:val="tx1"/>
            </w14:solidFill>
          </w14:textFill>
        </w:rPr>
      </w:pPr>
      <w:r>
        <w:rPr>
          <w:rFonts w:hint="eastAsia" w:ascii="Arial" w:hAnsi="Arial"/>
          <w:b/>
          <w:bCs/>
          <w:color w:val="000000" w:themeColor="text1"/>
          <w:sz w:val="21"/>
          <w:szCs w:val="21"/>
          <w:highlight w:val="none"/>
          <w:lang w:val="en-US" w:eastAsia="zh-CN"/>
          <w14:textFill>
            <w14:solidFill>
              <w14:schemeClr w14:val="tx1"/>
            </w14:solidFill>
          </w14:textFill>
        </w:rPr>
        <w:t xml:space="preserve">九</w:t>
      </w:r>
      <w:r>
        <w:rPr>
          <w:rFonts w:hint="eastAsia" w:ascii="Arial" w:hAnsi="Arial"/>
          <w:b/>
          <w:bCs/>
          <w:color w:val="000000" w:themeColor="text1"/>
          <w:sz w:val="21"/>
          <w:szCs w:val="21"/>
          <w:highlight w:val="none"/>
          <w:lang w:val="zh-CN" w:eastAsia="zh-CN"/>
          <w14:textFill>
            <w14:solidFill>
              <w14:schemeClr w14:val="tx1"/>
            </w14:solidFill>
          </w14:textFill>
        </w:rPr>
        <w:t xml:space="preserve">、交货期要求</w:t>
      </w:r>
      <w:r/>
    </w:p>
    <w:p>
      <w:pPr>
        <w:ind w:firstLine="420"/>
        <w:keepLines w:val="0"/>
        <w:keepNext w:val="0"/>
        <w:pageBreakBefore w:val="0"/>
        <w:spacing w:line="360" w:lineRule="auto"/>
        <w:widowControl w:val="off"/>
        <w:rPr>
          <w:rFonts w:hint="eastAsia" w:ascii="宋体" w:hAnsi="宋体" w:cs="宋体"/>
          <w:i/>
          <w:iCs/>
          <w:color w:val="000000" w:themeColor="text1"/>
          <w:sz w:val="21"/>
          <w:szCs w:val="21"/>
          <w:highlight w:val="none"/>
          <w:u w:val="single"/>
          <w:lang w:val="zh-CN"/>
          <w14:textFill>
            <w14:solidFill>
              <w14:schemeClr w14:val="tx1"/>
            </w14:solidFill>
          </w14:textFill>
        </w:rPr>
      </w:pP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本项目交货的时间总要求：</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合同签订生效后，在接到甲方进场通知后，乙方必须在</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25</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天内将全部货物运抵甲方工地现场并完成安装、加固、调试、检测，符合国家标准、行业规范和合同等相关文件的要求。直至验收合格，且因暑假时间紧，工作量大，需在202</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年</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8月底</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前全部完成安装交付甲方使用，违约者愿以每延迟1日，判罚其合同总额千分之六违约赔偿金给招标人。（投标人须提供书面盖章承诺书，上传至符合性审查节点）。</w:t>
      </w:r>
      <w:r/>
    </w:p>
    <w:p>
      <w:pPr>
        <w:ind w:firstLine="420"/>
        <w:keepLines w:val="0"/>
        <w:keepNext w:val="0"/>
        <w:pageBreakBefore w:val="0"/>
        <w:spacing w:line="360" w:lineRule="auto"/>
        <w:widowControl w:val="off"/>
        <w:rPr>
          <w:rFonts w:hint="default"/>
          <w:color w:val="000000" w:themeColor="text1"/>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投标人提供工期承诺书。投标人承诺，中标后若未通过甲方工期考核，则视为违约，甲方有权终止合同，并承诺无条件服从甲方调配人员突击完成因违约未完成的生产或安装工作，由违约乙方承担项目未完成部分的所有费用，所有责任由违约乙方负责，如结算价格高于违约乙方的投标价格，高出部分由违约乙方承担，甲方有权在违约乙方未付款合同款中予以扣除，不足部分由违约乙方另行承担。供应商应保证在要求时间内完成全部货物的供货、安装、调试和培训工作。</w:t>
      </w:r>
      <w:r/>
    </w:p>
    <w:p>
      <w:pPr>
        <w:ind w:firstLine="480"/>
        <w:jc w:val="left"/>
        <w:spacing w:line="360" w:lineRule="auto"/>
        <w:rPr>
          <w:rFonts w:hint="eastAsia" w:ascii="Arial" w:hAnsi="Arial" w:eastAsia="宋体" w:cs="Times New Roman"/>
          <w:b/>
          <w:bCs/>
          <w:color w:val="000000" w:themeColor="text1"/>
          <w:sz w:val="21"/>
          <w:szCs w:val="21"/>
          <w:highlight w:val="none"/>
          <w:lang w:val="zh-CN" w:eastAsia="zh-CN"/>
          <w14:textFill>
            <w14:solidFill>
              <w14:schemeClr w14:val="tx1"/>
            </w14:solidFill>
          </w14:textFill>
        </w:rPr>
      </w:pPr>
      <w:r>
        <w:rPr>
          <w:rFonts w:hint="eastAsia" w:ascii="Arial" w:hAnsi="Arial" w:cs="Times New Roman"/>
          <w:b/>
          <w:bCs/>
          <w:color w:val="000000" w:themeColor="text1"/>
          <w:sz w:val="21"/>
          <w:szCs w:val="21"/>
          <w:highlight w:val="none"/>
          <w:lang w:val="en-US" w:eastAsia="zh-CN"/>
          <w14:textFill>
            <w14:solidFill>
              <w14:schemeClr w14:val="tx1"/>
            </w14:solidFill>
          </w14:textFill>
        </w:rPr>
        <w:t xml:space="preserve">十</w:t>
      </w:r>
      <w:r>
        <w:rPr>
          <w:rFonts w:hint="eastAsia" w:ascii="Arial" w:hAnsi="Arial" w:eastAsia="宋体" w:cs="Times New Roman"/>
          <w:b/>
          <w:bCs/>
          <w:color w:val="000000" w:themeColor="text1"/>
          <w:sz w:val="21"/>
          <w:szCs w:val="21"/>
          <w:highlight w:val="none"/>
          <w:lang w:val="zh-CN" w:eastAsia="zh-CN"/>
          <w14:textFill>
            <w14:solidFill>
              <w14:schemeClr w14:val="tx1"/>
            </w14:solidFill>
          </w14:textFill>
        </w:rPr>
        <w:t xml:space="preserve">、投标人履约能力</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.投标人自2023年1月1日以来（以合同签订时间为准）具有与本次采购相关（需包括公寓家具类似产品的供应安装）的类似项目供货及安装成功案例，提供相关证明材料。</w:t>
      </w:r>
      <w:r/>
    </w:p>
    <w:p>
      <w:pPr>
        <w:ind w:firstLine="420"/>
        <w:spacing w:line="360" w:lineRule="auto"/>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产品创新性、实用性：投标人具有较强的质量控制或者安全方面的能力，在产品的创造性、新颖性、实用性等方面进行设计研发，具有公寓家具或公寓床相关的专利证明材料。</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投标人提供有效的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中国环境标志产品认证证书（证书包含与本次采购相关的“金属家具”、“人造板类家具”）</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投标人提供有效中国绿色产品认证证书（认证产品包含“金属家具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公寓组合床”、“金属家具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方凳”、“木家具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自修桌</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”、“木家具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储物柜</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投标人提供有效</w:t>
      </w:r>
      <w:r>
        <w:rPr>
          <w:rFonts w:hint="eastAsia" w:ascii="宋体" w:hAnsi="宋体" w:cs="宋体"/>
          <w:color w:val="000000" w:themeColor="text1"/>
          <w:sz w:val="21"/>
          <w:szCs w:val="21"/>
          <w:highlight w:val="none"/>
          <w:lang w:val="zh-CN" w:eastAsia="zh-CN"/>
          <w14:textFill>
            <w14:solidFill>
              <w14:schemeClr w14:val="tx1"/>
            </w14:solidFill>
          </w14:textFill>
        </w:rPr>
        <w:t xml:space="preserve">家具产品有害物质限量认证证书，认证产品包含“金属家具 公寓组合床”、“金属家具 方凳”、“木家具</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zh-CN" w:eastAsia="zh-CN"/>
          <w14:textFill>
            <w14:solidFill>
              <w14:schemeClr w14:val="tx1"/>
            </w14:solidFill>
          </w14:textFill>
        </w:rPr>
        <w:t xml:space="preserve">自修桌”、“木家具 储物柜”</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投标人提供有效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人类工效学</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认证证书（认证产品包含“公寓组合床”、“方凳”、“自修桌”、“储物柜”）。</w:t>
      </w:r>
      <w:r/>
    </w:p>
    <w:p>
      <w:pPr>
        <w:ind w:firstLine="420"/>
        <w:spacing w:line="360" w:lineRule="auto"/>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生产设备：投标人提供满足标的物生产需要的主要机械设备清单（包括全自动数控裁板机、全自动封边机、数控六面钻、全自动弯管机、光纤激光切割机、注塑机、喷涂前处理涂装流水线、双枪双工位多维自动焊机、焊接机器人、自动喷涂流水线）的等具有相同或类似功能的设备）。</w:t>
      </w:r>
      <w:r/>
    </w:p>
    <w:p>
      <w:pPr>
        <w:ind w:firstLine="480"/>
        <w:jc w:val="left"/>
        <w:spacing w:line="360" w:lineRule="auto"/>
        <w:rPr>
          <w:rFonts w:hint="eastAsia" w:ascii="Arial" w:hAnsi="Arial"/>
          <w:b/>
          <w:bCs/>
          <w:color w:val="000000" w:themeColor="text1"/>
          <w:sz w:val="21"/>
          <w:szCs w:val="21"/>
          <w:highlight w:val="none"/>
          <w:lang w:val="en-US" w:eastAsia="zh-CN"/>
          <w14:textFill>
            <w14:solidFill>
              <w14:schemeClr w14:val="tx1"/>
            </w14:solidFill>
          </w14:textFill>
        </w:rPr>
      </w:pPr>
      <w:r>
        <w:rPr>
          <w:rFonts w:hint="eastAsia" w:ascii="Arial" w:hAnsi="Arial"/>
          <w:b/>
          <w:bCs/>
          <w:color w:val="000000" w:themeColor="text1"/>
          <w:sz w:val="21"/>
          <w:szCs w:val="21"/>
          <w:highlight w:val="none"/>
          <w:lang w:val="en-US" w:eastAsia="zh-CN"/>
          <w14:textFill>
            <w14:solidFill>
              <w14:schemeClr w14:val="tx1"/>
            </w14:solidFill>
          </w14:textFill>
        </w:rPr>
        <w:t xml:space="preserve">十一、验收要求</w:t>
      </w:r>
      <w:r/>
    </w:p>
    <w:p>
      <w:pPr>
        <w:ind w:firstLine="420"/>
        <w:keepLines w:val="0"/>
        <w:keepNext w:val="0"/>
        <w:pageBreakBefore w:val="0"/>
        <w:spacing w:line="360"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验收方法：中标供应商交货安装完成后，向采购人提交验收申请和各项验收资料，由采购人在3个工作日内组织验收。采购人有权随机抽取部分产品送第三方检测机构进行破坏性检测，若不合格，中标供应商须接受无条件退货、换货；采购人有权拒付货款并要求中标供应商赔偿采购人不能如期交付的经济损失。</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检测费用由中标供应商承担。</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（投标人须提供书面盖章承诺书，上传至符合性审查节点）</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具体验收内容与标准：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A.投标样品与供货产品质量一致性比较。</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B.供货产品需与项目需求中“技术要求”内容相符；如有不符的，由供货人整改或换货，造成所有的损失（包括：因此给采购人造成的损失），由供货人承担。</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采购人有权请检测机构相关专家和采购人单位代表在生产前随时到生产现场，查看所有制作材料的型号和进货清单等书面材料及原始凭证。</w:t>
      </w:r>
      <w:r/>
    </w:p>
    <w:p>
      <w:pPr>
        <w:ind w:firstLine="480"/>
        <w:jc w:val="left"/>
        <w:spacing w:line="360" w:lineRule="auto"/>
        <w:rPr>
          <w:rFonts w:hint="eastAsia" w:ascii="Arial" w:hAnsi="Arial"/>
          <w:b/>
          <w:bCs/>
          <w:color w:val="000000" w:themeColor="text1"/>
          <w:sz w:val="21"/>
          <w:szCs w:val="21"/>
          <w:highlight w:val="none"/>
          <w:lang w:val="zh-CN" w:eastAsia="zh-CN"/>
          <w14:textFill>
            <w14:solidFill>
              <w14:schemeClr w14:val="tx1"/>
            </w14:solidFill>
          </w14:textFill>
        </w:rPr>
      </w:pPr>
      <w:r>
        <w:rPr>
          <w:rFonts w:hint="eastAsia" w:ascii="Arial" w:hAnsi="Arial"/>
          <w:b/>
          <w:bCs/>
          <w:color w:val="000000" w:themeColor="text1"/>
          <w:sz w:val="21"/>
          <w:szCs w:val="21"/>
          <w:highlight w:val="none"/>
          <w:lang w:val="zh-CN" w:eastAsia="zh-CN"/>
          <w14:textFill>
            <w14:solidFill>
              <w14:schemeClr w14:val="tx1"/>
            </w14:solidFill>
          </w14:textFill>
        </w:rPr>
        <w:t xml:space="preserve">十</w:t>
      </w:r>
      <w:r>
        <w:rPr>
          <w:rFonts w:hint="eastAsia" w:ascii="Arial" w:hAnsi="Arial"/>
          <w:b/>
          <w:bCs/>
          <w:color w:val="000000" w:themeColor="text1"/>
          <w:sz w:val="21"/>
          <w:szCs w:val="21"/>
          <w:highlight w:val="none"/>
          <w:lang w:val="en-US" w:eastAsia="zh-CN"/>
          <w14:textFill>
            <w14:solidFill>
              <w14:schemeClr w14:val="tx1"/>
            </w14:solidFill>
          </w14:textFill>
        </w:rPr>
        <w:t xml:space="preserve">二</w:t>
      </w:r>
      <w:r>
        <w:rPr>
          <w:rFonts w:hint="eastAsia" w:ascii="Arial" w:hAnsi="Arial"/>
          <w:b/>
          <w:bCs/>
          <w:color w:val="000000" w:themeColor="text1"/>
          <w:sz w:val="21"/>
          <w:szCs w:val="21"/>
          <w:highlight w:val="none"/>
          <w:lang w:val="zh-CN" w:eastAsia="zh-CN"/>
          <w14:textFill>
            <w14:solidFill>
              <w14:schemeClr w14:val="tx1"/>
            </w14:solidFill>
          </w14:textFill>
        </w:rPr>
        <w:t xml:space="preserve">、付款方式</w:t>
      </w:r>
      <w:r/>
    </w:p>
    <w:p>
      <w:pPr>
        <w:numPr>
          <w:ilvl w:val="0"/>
          <w:numId w:val="0"/>
        </w:numPr>
        <w:ind w:firstLine="420"/>
        <w:keepLines w:val="0"/>
        <w:keepNext w:val="0"/>
        <w:pageBreakBefore w:val="0"/>
        <w:spacing w:line="360" w:lineRule="auto"/>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中标人中标后需缴纳</w:t>
      </w:r>
      <w:r>
        <w:rPr>
          <w:rFonts w:hint="eastAsia" w:ascii="宋体" w:hAnsi="宋体" w:cs="宋体"/>
          <w:b w:val="0"/>
          <w:bCs w:val="0"/>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cs="宋体"/>
          <w:b w:val="0"/>
          <w:bCs w:val="0"/>
          <w:i/>
          <w:iCs/>
          <w:color w:val="000000" w:themeColor="text1"/>
          <w:sz w:val="21"/>
          <w:szCs w:val="21"/>
          <w:highlight w:val="none"/>
          <w:u w:val="single"/>
          <w:lang w:val="zh-CN"/>
          <w14:textFill>
            <w14:solidFill>
              <w14:schemeClr w14:val="tx1"/>
            </w14:solidFill>
          </w14:textFill>
        </w:rPr>
        <w:t xml:space="preserve">%履约保证金</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。货物送达甲方指定地点并安装完成，甲方验收合格无质量问题，</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无息退还履约保证金。</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乙方开具发票，甲方自收到发票之日起</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0日内支付</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不低于</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合同总价的</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0%。</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余款在</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无任何质量问题后</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两</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年</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内付清</w:t>
      </w:r>
      <w:r>
        <w:rPr>
          <w:rFonts w:hint="eastAsia" w:ascii="宋体" w:hAnsi="宋体" w:cs="宋体"/>
          <w:i/>
          <w:iCs/>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（投标人须提供书面盖章承诺书，上传至符合性审查节点）</w:t>
      </w:r>
      <w:r/>
    </w:p>
    <w:p>
      <w:pPr>
        <w:ind w:firstLine="480"/>
        <w:jc w:val="left"/>
        <w:spacing w:line="360" w:lineRule="auto"/>
        <w:rPr>
          <w:rFonts w:hint="eastAsia" w:ascii="Arial" w:hAnsi="Arial"/>
          <w:b/>
          <w:bCs/>
          <w:color w:val="000000" w:themeColor="text1"/>
          <w:sz w:val="21"/>
          <w:szCs w:val="21"/>
          <w:highlight w:val="none"/>
          <w:lang w:val="zh-CN" w:eastAsia="zh-CN"/>
          <w14:textFill>
            <w14:solidFill>
              <w14:schemeClr w14:val="tx1"/>
            </w14:solidFill>
          </w14:textFill>
        </w:rPr>
      </w:pPr>
      <w:r>
        <w:rPr>
          <w:rFonts w:hint="eastAsia" w:ascii="Arial" w:hAnsi="Arial"/>
          <w:b/>
          <w:bCs/>
          <w:color w:val="000000" w:themeColor="text1"/>
          <w:sz w:val="21"/>
          <w:szCs w:val="21"/>
          <w:highlight w:val="none"/>
          <w:lang w:val="en-US" w:eastAsia="zh-CN"/>
          <w14:textFill>
            <w14:solidFill>
              <w14:schemeClr w14:val="tx1"/>
            </w14:solidFill>
          </w14:textFill>
        </w:rPr>
        <w:t xml:space="preserve">十三</w:t>
      </w:r>
      <w:r>
        <w:rPr>
          <w:rFonts w:hint="eastAsia" w:ascii="Arial" w:hAnsi="Arial"/>
          <w:b/>
          <w:bCs/>
          <w:color w:val="000000" w:themeColor="text1"/>
          <w:sz w:val="21"/>
          <w:szCs w:val="21"/>
          <w:highlight w:val="none"/>
          <w:lang w:val="zh-CN" w:eastAsia="zh-CN"/>
          <w14:textFill>
            <w14:solidFill>
              <w14:schemeClr w14:val="tx1"/>
            </w14:solidFill>
          </w14:textFill>
        </w:rPr>
        <w:t xml:space="preserve">、</w:t>
      </w:r>
      <w:r>
        <w:rPr>
          <w:rFonts w:hint="eastAsia" w:ascii="Arial" w:hAnsi="Arial"/>
          <w:b/>
          <w:bCs/>
          <w:color w:val="000000" w:themeColor="text1"/>
          <w:sz w:val="21"/>
          <w:szCs w:val="21"/>
          <w:highlight w:val="none"/>
          <w:lang w:val="en-US" w:eastAsia="zh-CN"/>
          <w14:textFill>
            <w14:solidFill>
              <w14:schemeClr w14:val="tx1"/>
            </w14:solidFill>
          </w14:textFill>
        </w:rPr>
        <w:t xml:space="preserve">其他</w:t>
      </w:r>
      <w:r>
        <w:rPr>
          <w:rFonts w:hint="eastAsia" w:ascii="Arial" w:hAnsi="Arial"/>
          <w:b/>
          <w:bCs/>
          <w:color w:val="000000" w:themeColor="text1"/>
          <w:sz w:val="21"/>
          <w:szCs w:val="21"/>
          <w:highlight w:val="none"/>
          <w:lang w:val="zh-CN" w:eastAsia="zh-CN"/>
          <w14:textFill>
            <w14:solidFill>
              <w14:schemeClr w14:val="tx1"/>
            </w14:solidFill>
          </w14:textFill>
        </w:rPr>
        <w:t xml:space="preserve">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项目属性:货物类项目。</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本项目不接受进口产品投标。</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样品要求</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样品清单：</w:t>
      </w:r>
      <w:r/>
    </w:p>
    <w:p>
      <w:pPr>
        <w:numPr>
          <w:ilvl w:val="0"/>
          <w:numId w:val="0"/>
        </w:numPr>
        <w:ind w:firstLine="482"/>
        <w:jc w:val="left"/>
        <w:spacing w:line="400" w:lineRule="exact"/>
        <w:widowControl/>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zh-CN"/>
          <w14:textFill>
            <w14:solidFill>
              <w14:schemeClr w14:val="tx1"/>
            </w14:solidFill>
          </w14:textFill>
        </w:rPr>
        <w:t xml:space="preserve">投标人需提供样品，</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包括：前护栏（含前横梁和卡扣件）、桌面板、注塑封边一次成型门板、中空吹塑一次成型床板、方凳。</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727"/>
        <w:tblW w:w="9785" w:type="dxa"/>
        <w:jc w:val="center"/>
        <w:tblLayout w:type="fixed"/>
        <w:tblCellMar>
          <w:left w:w="108" w:type="dxa"/>
          <w:top w:w="0" w:type="dxa"/>
          <w:right w:w="108" w:type="dxa"/>
          <w:bottom w:w="0" w:type="dxa"/>
        </w:tblCellMar>
        <w:tblLook w:val="04A0" w:firstRow="1" w:lastRow="0" w:firstColumn="1" w:lastColumn="0" w:noHBand="0" w:noVBand="1"/>
      </w:tblPr>
      <w:tblGrid>
        <w:gridCol w:w="506"/>
        <w:gridCol w:w="1290"/>
        <w:gridCol w:w="2025"/>
        <w:gridCol w:w="5964"/>
      </w:tblGrid>
      <w:tr>
        <w:trPr>
          <w:jc w:val="center"/>
          <w:trHeight w:val="427"/>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样品要求</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widowControl/>
              <w:rPr>
                <w:rFonts w:ascii="宋体" w:hAnsi="宋体" w:cs="宋体"/>
                <w:color w:val="000000" w:themeColor="text1"/>
                <w:sz w:val="21"/>
                <w:szCs w:val="21"/>
                <w:highlight w:val="none"/>
                <w:lang w:bidi="ar"/>
                <w14:textFill>
                  <w14:solidFill>
                    <w14:schemeClr w14:val="tx1"/>
                  </w14:solidFill>
                </w14:textFill>
              </w:rPr>
            </w:pPr>
            <w:r>
              <w:rPr>
                <w:rFonts w:ascii="宋体" w:hAnsi="宋体" w:cs="宋体"/>
                <w:color w:val="000000" w:themeColor="text1"/>
                <w:sz w:val="21"/>
                <w:szCs w:val="21"/>
                <w:highlight w:val="none"/>
                <w:lang w:bidi="ar"/>
                <w14:textFill>
                  <w14:solidFill>
                    <w14:schemeClr w14:val="tx1"/>
                  </w14:solidFill>
                </w14:textFill>
              </w:rPr>
            </w:r>
            <w:r/>
          </w:p>
          <w:p>
            <w:pPr>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前护栏</w:t>
            </w:r>
            <w:r>
              <w:rPr>
                <w:rFonts w:hint="eastAsia" w:ascii="宋体" w:hAnsi="宋体" w:cs="宋体"/>
                <w:color w:val="000000" w:themeColor="text1"/>
                <w:sz w:val="21"/>
                <w:szCs w:val="21"/>
                <w:highlight w:val="none"/>
                <w:lang w:eastAsia="zh-CN"/>
                <w14:textFill>
                  <w14:solidFill>
                    <w14:schemeClr w14:val="tx1"/>
                  </w14:solidFill>
                </w14:textFill>
              </w:rPr>
              <w:t xml:space="preserve">（含前横梁和卡扣件）</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长度1570mm（±10mm），高度不低于350mm</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1个。</w:t>
            </w:r>
            <w:r/>
          </w:p>
        </w:tc>
        <w:tc>
          <w:tcPr>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957"/>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外观要求：钢管表面无漏喷、疙瘩、漏焊现象，塑料件平整度高，无凹凸、断纹。</w:t>
            </w:r>
            <w:r/>
          </w:p>
          <w:p>
            <w:pPr>
              <w:pStyle w:val="957"/>
              <w:ind w:firstLine="0"/>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工艺要求：</w:t>
            </w:r>
            <w:r>
              <w:rPr>
                <w:rFonts w:hint="eastAsia" w:ascii="宋体" w:hAnsi="宋体" w:cs="宋体"/>
                <w:color w:val="000000" w:themeColor="text1"/>
                <w:sz w:val="21"/>
                <w:szCs w:val="21"/>
                <w:highlight w:val="none"/>
                <w:lang w:bidi="ar"/>
                <w14:textFill>
                  <w14:solidFill>
                    <w14:schemeClr w14:val="tx1"/>
                  </w14:solidFill>
                </w14:textFill>
              </w:rPr>
              <w:t xml:space="preserve">金属框架整体焊接护栏采用≥长25mm*宽25mm*</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裸管</w:t>
            </w:r>
            <w:r>
              <w:rPr>
                <w:rFonts w:hint="eastAsia" w:ascii="宋体" w:hAnsi="宋体" w:cs="宋体"/>
                <w:color w:val="000000" w:themeColor="text1"/>
                <w:sz w:val="21"/>
                <w:szCs w:val="21"/>
                <w:highlight w:val="none"/>
                <w:lang w:bidi="ar"/>
                <w14:textFill>
                  <w14:solidFill>
                    <w14:schemeClr w14:val="tx1"/>
                  </w14:solidFill>
                </w14:textFill>
              </w:rPr>
              <w:t xml:space="preserve">壁厚</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不低于</w:t>
            </w:r>
            <w:r>
              <w:rPr>
                <w:rFonts w:hint="eastAsia" w:ascii="宋体" w:hAnsi="宋体" w:cs="宋体"/>
                <w:color w:val="000000" w:themeColor="text1"/>
                <w:sz w:val="21"/>
                <w:szCs w:val="21"/>
                <w:highlight w:val="none"/>
                <w:lang w:bidi="ar"/>
                <w14:textFill>
                  <w14:solidFill>
                    <w14:schemeClr w14:val="tx1"/>
                  </w14:solidFill>
                </w14:textFill>
              </w:rPr>
              <w:t xml:space="preserve">1.2mm 优质方管，内镶HDPE（高密度聚乙烯）材质护栏板，内侧安装注塑成型储物盒，内部永久性标明</w:t>
            </w:r>
            <w:r>
              <w:rPr>
                <w:rFonts w:hint="eastAsia" w:ascii="宋体" w:hAnsi="宋体" w:cs="宋体"/>
                <w:color w:val="000000" w:themeColor="text1"/>
                <w:sz w:val="21"/>
                <w:szCs w:val="21"/>
                <w:highlight w:val="none"/>
                <w:lang w:eastAsia="zh-CN" w:bidi="ar"/>
                <w14:textFill>
                  <w14:solidFill>
                    <w14:schemeClr w14:val="tx1"/>
                  </w14:solidFill>
                </w14:textFill>
              </w:rPr>
              <w:t xml:space="preserve">“床褥最大厚度安全警示线”。</w:t>
            </w:r>
            <w:r/>
          </w:p>
        </w:tc>
      </w:tr>
      <w:tr>
        <w:trPr>
          <w:jc w:val="center"/>
          <w:trHeight w:val="1114"/>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widowControl/>
              <w:rPr>
                <w:rFonts w:ascii="宋体" w:hAnsi="宋体" w:cs="宋体"/>
                <w:color w:val="000000" w:themeColor="text1"/>
                <w:sz w:val="21"/>
                <w:szCs w:val="21"/>
                <w:highlight w:val="none"/>
                <w:lang w:bidi="ar"/>
                <w14:textFill>
                  <w14:solidFill>
                    <w14:schemeClr w14:val="tx1"/>
                  </w14:solidFill>
                </w14:textFill>
              </w:rPr>
            </w:pPr>
            <w:r>
              <w:rPr>
                <w:rFonts w:ascii="宋体" w:hAnsi="宋体" w:cs="宋体"/>
                <w:color w:val="000000" w:themeColor="text1"/>
                <w:sz w:val="21"/>
                <w:szCs w:val="21"/>
                <w:highlight w:val="none"/>
                <w:lang w:bidi="ar"/>
                <w14:textFill>
                  <w14:solidFill>
                    <w14:schemeClr w14:val="tx1"/>
                  </w14:solidFill>
                </w14:textFill>
              </w:rPr>
            </w:r>
            <w:r/>
          </w:p>
          <w:p>
            <w:pPr>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19</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0*610mm(±10mm)，基材厚度25mm</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1块。</w:t>
            </w:r>
            <w:r/>
          </w:p>
        </w:tc>
        <w:tc>
          <w:tcPr>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957"/>
              <w:ind w:firstLine="0"/>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外观要求：</w:t>
            </w:r>
            <w:r>
              <w:rPr>
                <w:rFonts w:hint="eastAsia" w:ascii="宋体" w:hAnsi="宋体" w:cs="宋体"/>
                <w:color w:val="000000" w:themeColor="text1"/>
                <w:sz w:val="21"/>
                <w:szCs w:val="21"/>
                <w:highlight w:val="none"/>
                <w:lang w:val="zh-CN"/>
                <w14:textFill>
                  <w14:solidFill>
                    <w14:schemeClr w14:val="tx1"/>
                  </w14:solidFill>
                </w14:textFill>
              </w:rPr>
              <w:t xml:space="preserve">桌面板为整块板材，</w:t>
            </w:r>
            <w:r>
              <w:rPr>
                <w:rFonts w:hint="eastAsia"/>
                <w:color w:val="000000" w:themeColor="text1"/>
                <w:sz w:val="21"/>
                <w:szCs w:val="21"/>
                <w:highlight w:val="none"/>
                <w14:textFill>
                  <w14:solidFill>
                    <w14:schemeClr w14:val="tx1"/>
                  </w14:solidFill>
                </w14:textFill>
              </w:rPr>
              <w:t xml:space="preserve">表面平整，封边无脱胶，裂纹</w:t>
            </w:r>
            <w:r>
              <w:rPr>
                <w:rFonts w:hint="eastAsia"/>
                <w:color w:val="000000" w:themeColor="text1"/>
                <w:sz w:val="21"/>
                <w:szCs w:val="21"/>
                <w:highlight w:val="none"/>
                <w:lang w:eastAsia="zh-CN"/>
                <w14:textFill>
                  <w14:solidFill>
                    <w14:schemeClr w14:val="tx1"/>
                  </w14:solidFill>
                </w14:textFill>
              </w:rPr>
              <w:t xml:space="preserve">。</w:t>
            </w:r>
            <w:r/>
          </w:p>
          <w:p>
            <w:pPr>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工艺要求：</w:t>
            </w:r>
            <w:r>
              <w:rPr>
                <w:rFonts w:hint="eastAsia" w:ascii="宋体" w:hAnsi="宋体" w:cs="宋体"/>
                <w:color w:val="000000" w:themeColor="text1"/>
                <w:sz w:val="21"/>
                <w:szCs w:val="21"/>
                <w:highlight w:val="none"/>
                <w:lang w:val="zh-CN"/>
                <w14:textFill>
                  <w14:solidFill>
                    <w14:schemeClr w14:val="tx1"/>
                  </w14:solidFill>
                </w14:textFill>
              </w:rPr>
              <w:t xml:space="preserve">四周边部一次注塑成型且无接缝，</w:t>
            </w:r>
            <w:r>
              <w:rPr>
                <w:rFonts w:hint="eastAsia"/>
                <w:color w:val="000000" w:themeColor="text1"/>
                <w:sz w:val="21"/>
                <w:szCs w:val="21"/>
                <w:highlight w:val="none"/>
                <w14:textFill>
                  <w14:solidFill>
                    <w14:schemeClr w14:val="tx1"/>
                  </w14:solidFill>
                </w14:textFill>
              </w:rPr>
              <w:t xml:space="preserve">结合紧密、手感舒服</w:t>
            </w:r>
            <w:r>
              <w:rPr>
                <w:rFonts w:hint="eastAsia"/>
                <w:color w:val="000000" w:themeColor="text1"/>
                <w:sz w:val="21"/>
                <w:szCs w:val="21"/>
                <w:highlight w:val="none"/>
                <w:lang w:eastAsia="zh-CN"/>
                <w14:textFill>
                  <w14:solidFill>
                    <w14:schemeClr w14:val="tx1"/>
                  </w14:solidFill>
                </w14:textFill>
              </w:rPr>
              <w:t xml:space="preserve">。</w:t>
            </w:r>
            <w:r/>
          </w:p>
        </w:tc>
      </w:tr>
      <w:tr>
        <w:trPr>
          <w:jc w:val="center"/>
          <w:trHeight w:val="1024"/>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widowControl/>
              <w:rPr>
                <w:rFonts w:ascii="宋体" w:hAnsi="宋体" w:cs="宋体"/>
                <w:color w:val="000000" w:themeColor="text1"/>
                <w:sz w:val="21"/>
                <w:szCs w:val="21"/>
                <w:highlight w:val="none"/>
                <w:lang w:bidi="ar"/>
                <w14:textFill>
                  <w14:solidFill>
                    <w14:schemeClr w14:val="tx1"/>
                  </w14:solidFill>
                </w14:textFill>
              </w:rPr>
            </w:pPr>
            <w:r>
              <w:rPr>
                <w:rFonts w:ascii="宋体" w:hAnsi="宋体" w:cs="宋体"/>
                <w:color w:val="000000" w:themeColor="text1"/>
                <w:sz w:val="21"/>
                <w:szCs w:val="21"/>
                <w:highlight w:val="none"/>
                <w:lang w:bidi="ar"/>
                <w14:textFill>
                  <w14:solidFill>
                    <w14:schemeClr w14:val="tx1"/>
                  </w14:solidFill>
                </w14:textFill>
              </w:rPr>
            </w:r>
            <w:r/>
          </w:p>
          <w:p>
            <w:pPr>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注塑封边一次成型门板</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cs="宋体"/>
                <w:color w:val="000000" w:themeColor="text1"/>
                <w:sz w:val="21"/>
                <w:szCs w:val="21"/>
                <w:highlight w:val="none"/>
                <w:lang w:val="zh-CN"/>
                <w14:textFill>
                  <w14:solidFill>
                    <w14:schemeClr w14:val="tx1"/>
                  </w14:solidFill>
                </w14:textFill>
              </w:rPr>
              <w:t xml:space="preserve">0±10mm*500±10mm，</w:t>
            </w:r>
            <w:r>
              <w:rPr>
                <w:rFonts w:hint="eastAsia" w:ascii="宋体" w:hAnsi="宋体" w:cs="宋体"/>
                <w:color w:val="000000" w:themeColor="text1"/>
                <w:sz w:val="21"/>
                <w:szCs w:val="21"/>
                <w:highlight w:val="none"/>
                <w:lang w:val="en-US" w:eastAsia="zh-CN"/>
                <w14:textFill>
                  <w14:solidFill>
                    <w14:schemeClr w14:val="tx1"/>
                  </w14:solidFill>
                </w14:textFill>
              </w:rPr>
              <w:t xml:space="preserve">53</w:t>
            </w:r>
            <w:r>
              <w:rPr>
                <w:rFonts w:hint="eastAsia" w:ascii="宋体" w:hAnsi="宋体" w:cs="宋体"/>
                <w:color w:val="000000" w:themeColor="text1"/>
                <w:sz w:val="21"/>
                <w:szCs w:val="21"/>
                <w:highlight w:val="none"/>
                <w:lang w:val="zh-CN"/>
                <w14:textFill>
                  <w14:solidFill>
                    <w14:schemeClr w14:val="tx1"/>
                  </w14:solidFill>
                </w14:textFill>
              </w:rPr>
              <w:t xml:space="preserve">0±10mm*500±10mm各1块。</w:t>
            </w:r>
            <w:r/>
          </w:p>
        </w:tc>
        <w:tc>
          <w:tcPr>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957"/>
              <w:ind w:firstLine="0"/>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外观要求：</w:t>
            </w:r>
            <w:r>
              <w:rPr>
                <w:rFonts w:hint="eastAsia" w:ascii="宋体" w:hAnsi="宋体" w:cs="宋体"/>
                <w:color w:val="000000" w:themeColor="text1"/>
                <w:sz w:val="21"/>
                <w:szCs w:val="21"/>
                <w:highlight w:val="none"/>
                <w:lang w:val="zh-CN"/>
                <w14:textFill>
                  <w14:solidFill>
                    <w14:schemeClr w14:val="tx1"/>
                  </w14:solidFill>
                </w14:textFill>
              </w:rPr>
              <w:t xml:space="preserve">门板为整块板材，</w:t>
            </w:r>
            <w:r>
              <w:rPr>
                <w:rFonts w:hint="eastAsia"/>
                <w:color w:val="000000" w:themeColor="text1"/>
                <w:sz w:val="21"/>
                <w:szCs w:val="21"/>
                <w:highlight w:val="none"/>
                <w14:textFill>
                  <w14:solidFill>
                    <w14:schemeClr w14:val="tx1"/>
                  </w14:solidFill>
                </w14:textFill>
              </w:rPr>
              <w:t xml:space="preserve">表面平整，封边无脱胶，裂纹</w:t>
            </w:r>
            <w:r>
              <w:rPr>
                <w:rFonts w:hint="eastAsia"/>
                <w:color w:val="000000" w:themeColor="text1"/>
                <w:sz w:val="21"/>
                <w:szCs w:val="21"/>
                <w:highlight w:val="none"/>
                <w:lang w:eastAsia="zh-CN"/>
                <w14:textFill>
                  <w14:solidFill>
                    <w14:schemeClr w14:val="tx1"/>
                  </w14:solidFill>
                </w14:textFill>
              </w:rPr>
              <w:t xml:space="preserve">。</w:t>
            </w:r>
            <w:r/>
          </w:p>
          <w:p>
            <w:pPr>
              <w:jc w:val="left"/>
              <w:widowControl/>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工艺要求：</w:t>
            </w:r>
            <w:r>
              <w:rPr>
                <w:rFonts w:hint="eastAsia" w:ascii="宋体" w:hAnsi="宋体" w:cs="宋体"/>
                <w:color w:val="000000" w:themeColor="text1"/>
                <w:sz w:val="21"/>
                <w:szCs w:val="21"/>
                <w:highlight w:val="none"/>
                <w:lang w:val="zh-CN"/>
                <w14:textFill>
                  <w14:solidFill>
                    <w14:schemeClr w14:val="tx1"/>
                  </w14:solidFill>
                </w14:textFill>
              </w:rPr>
              <w:t xml:space="preserve">四周边部一次注塑成型且无接缝，</w:t>
            </w:r>
            <w:r>
              <w:rPr>
                <w:rFonts w:hint="eastAsia"/>
                <w:color w:val="000000" w:themeColor="text1"/>
                <w:sz w:val="21"/>
                <w:szCs w:val="21"/>
                <w:highlight w:val="none"/>
                <w14:textFill>
                  <w14:solidFill>
                    <w14:schemeClr w14:val="tx1"/>
                  </w14:solidFill>
                </w14:textFill>
              </w:rPr>
              <w:t xml:space="preserve">结合紧密、手感舒服</w:t>
            </w:r>
            <w:r>
              <w:rPr>
                <w:rFonts w:hint="eastAsia"/>
                <w:color w:val="000000" w:themeColor="text1"/>
                <w:sz w:val="21"/>
                <w:szCs w:val="21"/>
                <w:highlight w:val="none"/>
                <w:lang w:eastAsia="zh-CN"/>
                <w14:textFill>
                  <w14:solidFill>
                    <w14:schemeClr w14:val="tx1"/>
                  </w14:solidFill>
                </w14:textFill>
              </w:rPr>
              <w:t xml:space="preserve">；金属件表面</w:t>
            </w:r>
            <w:r>
              <w:rPr>
                <w:rFonts w:hint="eastAsia" w:ascii="宋体" w:hAnsi="宋体" w:cs="宋体"/>
                <w:color w:val="000000" w:themeColor="text1"/>
                <w:sz w:val="21"/>
                <w:szCs w:val="21"/>
                <w:highlight w:val="none"/>
                <w:lang w:bidi="ar"/>
                <w14:textFill>
                  <w14:solidFill>
                    <w14:schemeClr w14:val="tx1"/>
                  </w14:solidFill>
                </w14:textFill>
              </w:rPr>
              <w:t xml:space="preserve">喷塑处理</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p>
        </w:tc>
      </w:tr>
      <w:tr>
        <w:trPr>
          <w:jc w:val="center"/>
          <w:trHeight w:val="1183"/>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widowControl/>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中空吹塑一次成型床板</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尺寸不低于1910*810mm（±10mm）,厚度</w:t>
            </w:r>
            <w:r>
              <w:rPr>
                <w:rFonts w:hint="eastAsia" w:ascii="宋体" w:hAnsi="宋体" w:cs="宋体"/>
                <w:color w:val="000000" w:themeColor="text1"/>
                <w:sz w:val="21"/>
                <w:szCs w:val="21"/>
                <w:highlight w:val="none"/>
                <w:lang w:val="en-US" w:eastAsia="zh-CN"/>
                <w14:textFill>
                  <w14:solidFill>
                    <w14:schemeClr w14:val="tx1"/>
                  </w14:solidFill>
                </w14:textFill>
              </w:rPr>
              <w:t xml:space="preserve">18-20</w:t>
            </w:r>
            <w:r>
              <w:rPr>
                <w:rFonts w:hint="eastAsia" w:ascii="宋体" w:hAnsi="宋体" w:cs="宋体"/>
                <w:color w:val="000000" w:themeColor="text1"/>
                <w:sz w:val="21"/>
                <w:szCs w:val="21"/>
                <w:highlight w:val="none"/>
                <w:lang w:val="zh-CN"/>
                <w14:textFill>
                  <w14:solidFill>
                    <w14:schemeClr w14:val="tx1"/>
                  </w14:solidFill>
                </w14:textFill>
              </w:rPr>
              <w:t xml:space="preserve">mm，1块。</w:t>
            </w:r>
            <w:r/>
          </w:p>
        </w:tc>
        <w:tc>
          <w:tcPr>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957"/>
              <w:ind w:firstLine="0"/>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外观要求：</w:t>
            </w:r>
            <w:r>
              <w:rPr>
                <w:rFonts w:hint="eastAsia" w:ascii="宋体" w:hAnsi="宋体" w:cs="宋体"/>
                <w:color w:val="000000" w:themeColor="text1"/>
                <w:sz w:val="21"/>
                <w:szCs w:val="21"/>
                <w:highlight w:val="none"/>
                <w:lang w:bidi="ar"/>
                <w14:textFill>
                  <w14:solidFill>
                    <w14:schemeClr w14:val="tx1"/>
                  </w14:solidFill>
                </w14:textFill>
              </w:rPr>
              <w:t xml:space="preserve">四个角为圆弧角；床板有不少于45个透气孔</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p>
          <w:p>
            <w:pPr>
              <w:pStyle w:val="957"/>
              <w:ind w:firstLine="0"/>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工艺要求：</w:t>
            </w:r>
            <w:r>
              <w:rPr>
                <w:rFonts w:hint="eastAsia" w:ascii="宋体" w:hAnsi="宋体" w:cs="宋体"/>
                <w:color w:val="000000" w:themeColor="text1"/>
                <w:sz w:val="21"/>
                <w:szCs w:val="21"/>
                <w:highlight w:val="none"/>
                <w:lang w:bidi="ar"/>
                <w14:textFill>
                  <w14:solidFill>
                    <w14:schemeClr w14:val="tx1"/>
                  </w14:solidFill>
                </w14:textFill>
              </w:rPr>
              <w:t xml:space="preserve">采用HDPE（高密度聚乙烯）材质一体中空吹塑成型，</w:t>
            </w:r>
            <w:r>
              <w:rPr>
                <w:rFonts w:hint="eastAsia"/>
                <w:color w:val="000000" w:themeColor="text1"/>
                <w:sz w:val="21"/>
                <w:szCs w:val="21"/>
                <w:highlight w:val="none"/>
                <w14:textFill>
                  <w14:solidFill>
                    <w14:schemeClr w14:val="tx1"/>
                  </w14:solidFill>
                </w14:textFill>
              </w:rPr>
              <w:t xml:space="preserve">结构牢固、表面无弯曲、凹陷，</w:t>
            </w:r>
            <w:r>
              <w:rPr>
                <w:rFonts w:hint="eastAsia" w:ascii="宋体" w:hAnsi="宋体" w:cs="宋体"/>
                <w:color w:val="000000" w:themeColor="text1"/>
                <w:sz w:val="21"/>
                <w:szCs w:val="21"/>
                <w:highlight w:val="none"/>
                <w:lang w:bidi="ar"/>
                <w14:textFill>
                  <w14:solidFill>
                    <w14:schemeClr w14:val="tx1"/>
                  </w14:solidFill>
                </w14:textFill>
              </w:rPr>
              <w:t xml:space="preserve">床板厚薄均匀</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left"/>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cs="宋体"/>
                <w:color w:val="000000" w:themeColor="text1"/>
                <w:sz w:val="21"/>
                <w:szCs w:val="21"/>
                <w:highlight w:val="none"/>
                <w:lang w:eastAsia="zh-CN" w:bidi="ar"/>
                <w14:textFill>
                  <w14:solidFill>
                    <w14:schemeClr w14:val="tx1"/>
                  </w14:solidFill>
                </w14:textFill>
              </w:rPr>
              <w:t xml:space="preserve">方凳</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lef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400*300*450mm，1张。</w:t>
            </w:r>
            <w:r/>
          </w:p>
        </w:tc>
        <w:tc>
          <w:tcPr>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957"/>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外观要求：钢管表面无漏喷、疙瘩、毛刺现象</w:t>
            </w:r>
            <w:r>
              <w:rPr>
                <w:rFonts w:hint="eastAsia"/>
                <w:color w:val="000000" w:themeColor="text1"/>
                <w:highlight w:val="none"/>
                <w:lang w:eastAsia="zh-CN"/>
                <w14:textFill>
                  <w14:solidFill>
                    <w14:schemeClr w14:val="tx1"/>
                  </w14:solidFill>
                </w14:textFill>
              </w:rPr>
              <w:t xml:space="preserve">；凳面</w:t>
            </w:r>
            <w:r>
              <w:rPr>
                <w:rFonts w:hint="eastAsia"/>
                <w:color w:val="000000" w:themeColor="text1"/>
                <w:sz w:val="21"/>
                <w:szCs w:val="21"/>
                <w:highlight w:val="none"/>
                <w14:textFill>
                  <w14:solidFill>
                    <w14:schemeClr w14:val="tx1"/>
                  </w14:solidFill>
                </w14:textFill>
              </w:rPr>
              <w:t xml:space="preserve">表面平整，无脱胶，裂纹</w:t>
            </w:r>
            <w:r>
              <w:rPr>
                <w:rFonts w:hint="eastAsia"/>
                <w:color w:val="000000" w:themeColor="text1"/>
                <w:highlight w:val="none"/>
                <w14:textFill>
                  <w14:solidFill>
                    <w14:schemeClr w14:val="tx1"/>
                  </w14:solidFill>
                </w14:textFill>
              </w:rPr>
              <w:t xml:space="preserve">。</w:t>
            </w:r>
            <w:r/>
          </w:p>
          <w:p>
            <w:pPr>
              <w:pStyle w:val="957"/>
              <w:ind w:firstLine="0"/>
              <w:rPr>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工艺要求：高频焊接封口型材管，喷塑处理</w:t>
            </w:r>
            <w:r>
              <w:rPr>
                <w:rFonts w:hint="eastAsia"/>
                <w:color w:val="000000" w:themeColor="text1"/>
                <w:highlight w:val="none"/>
                <w:lang w:eastAsia="zh-CN"/>
                <w14:textFill>
                  <w14:solidFill>
                    <w14:schemeClr w14:val="tx1"/>
                  </w14:solidFill>
                </w14:textFill>
              </w:rPr>
              <w:t xml:space="preserve">；凳面</w:t>
            </w:r>
            <w:r>
              <w:rPr>
                <w:rFonts w:hint="eastAsia"/>
                <w:color w:val="000000" w:themeColor="text1"/>
                <w:highlight w:val="none"/>
                <w14:textFill>
                  <w14:solidFill>
                    <w14:schemeClr w14:val="tx1"/>
                  </w14:solidFill>
                </w14:textFill>
              </w:rPr>
              <w:t xml:space="preserve">PU材质一体发泡成型。</w:t>
            </w:r>
            <w:r/>
          </w:p>
        </w:tc>
      </w:tr>
    </w:tbl>
    <w:p>
      <w:pPr>
        <w:ind w:firstLine="482"/>
        <w:jc w:val="left"/>
        <w:spacing w:line="400" w:lineRule="exact"/>
        <w:widowControl/>
        <w:rPr>
          <w:rFonts w:ascii="宋体" w:hAnsi="宋体" w:cs="宋体"/>
          <w:b/>
          <w:bCs/>
          <w:color w:val="000000" w:themeColor="text1"/>
          <w:sz w:val="21"/>
          <w:szCs w:val="21"/>
          <w14:textFill>
            <w14:solidFill>
              <w14:schemeClr w14:val="tx1"/>
            </w14:solidFill>
          </w14:textFill>
        </w:rPr>
      </w:pPr>
      <w:r/>
      <w:bookmarkStart w:id="172" w:name="_Toc120614281"/>
      <w:r>
        <w:rPr>
          <w:rFonts w:hint="eastAsia" w:ascii="宋体" w:hAnsi="宋体"/>
          <w:b/>
          <w:bCs/>
          <w:color w:val="000000" w:themeColor="text1"/>
          <w:sz w:val="21"/>
          <w:szCs w:val="21"/>
          <w:lang w:val="en-US" w:eastAsia="zh-CN"/>
          <w14:textFill>
            <w14:solidFill>
              <w14:schemeClr w14:val="tx1"/>
            </w14:solidFill>
          </w14:textFill>
        </w:rPr>
        <w:t xml:space="preserve">2、</w:t>
      </w:r>
      <w:r>
        <w:rPr>
          <w:rFonts w:hint="eastAsia" w:ascii="宋体" w:hAnsi="宋体" w:cs="宋体"/>
          <w:b/>
          <w:bCs/>
          <w:color w:val="000000" w:themeColor="text1"/>
          <w:sz w:val="21"/>
          <w:szCs w:val="21"/>
          <w14:textFill>
            <w14:solidFill>
              <w14:schemeClr w14:val="tx1"/>
            </w14:solidFill>
          </w14:textFill>
        </w:rPr>
        <w:t xml:space="preserve">样品递交时间及相关注意事项</w:t>
      </w:r>
      <w:r/>
    </w:p>
    <w:p>
      <w:pPr>
        <w:ind w:firstLine="482"/>
        <w:spacing w:line="400" w:lineRule="exact"/>
        <w:rPr>
          <w:rFonts w:ascii="宋体" w:hAnsi="宋体"/>
          <w:b/>
          <w:color w:val="ff0000"/>
          <w:sz w:val="21"/>
          <w:szCs w:val="18"/>
        </w:rPr>
      </w:pPr>
      <w:r>
        <w:rPr>
          <w:rFonts w:hint="eastAsia" w:ascii="宋体" w:hAnsi="宋体"/>
          <w:color w:val="ff0000"/>
          <w:sz w:val="21"/>
          <w:szCs w:val="21"/>
        </w:rPr>
        <w:t xml:space="preserve">（1）样品递交时间：</w:t>
      </w:r>
      <w:r>
        <w:rPr>
          <w:rFonts w:hint="eastAsia" w:ascii="宋体" w:hAnsi="宋体" w:eastAsia="宋体" w:cs="宋体"/>
          <w:color w:val="ff0000"/>
          <w:sz w:val="21"/>
          <w:szCs w:val="21"/>
        </w:rPr>
        <w:t xml:space="preserve"> 202</w:t>
      </w:r>
      <w:r>
        <w:rPr>
          <w:rFonts w:hint="eastAsia" w:ascii="宋体" w:hAnsi="宋体" w:eastAsia="宋体" w:cs="宋体"/>
          <w:color w:val="ff0000"/>
          <w:sz w:val="21"/>
          <w:szCs w:val="21"/>
          <w:lang w:val="en-US" w:eastAsia="zh-CN"/>
        </w:rPr>
        <w:t xml:space="preserve">6</w:t>
      </w:r>
      <w:r>
        <w:rPr>
          <w:rFonts w:hint="eastAsia" w:ascii="宋体" w:hAnsi="宋体" w:eastAsia="宋体" w:cs="宋体"/>
          <w:color w:val="ff0000"/>
          <w:sz w:val="21"/>
          <w:szCs w:val="21"/>
        </w:rPr>
        <w:t xml:space="preserve">年</w:t>
      </w:r>
      <w:r>
        <w:rPr>
          <w:rFonts w:hint="eastAsia" w:ascii="宋体" w:hAnsi="宋体" w:cs="宋体"/>
          <w:color w:val="ff0000"/>
          <w:sz w:val="21"/>
          <w:szCs w:val="21"/>
          <w:lang w:val="en-US" w:eastAsia="zh-CN"/>
        </w:rPr>
        <w:t xml:space="preserve">6</w:t>
      </w:r>
      <w:r>
        <w:rPr>
          <w:rFonts w:hint="eastAsia" w:ascii="宋体" w:hAnsi="宋体" w:eastAsia="宋体" w:cs="宋体"/>
          <w:color w:val="ff0000"/>
          <w:sz w:val="21"/>
          <w:szCs w:val="21"/>
        </w:rPr>
        <w:t xml:space="preserve">月</w:t>
      </w:r>
      <w:r>
        <w:rPr>
          <w:rFonts w:hint="eastAsia" w:ascii="宋体" w:hAnsi="宋体" w:cs="宋体"/>
          <w:color w:val="ff0000"/>
          <w:sz w:val="21"/>
          <w:szCs w:val="21"/>
          <w:lang w:val="en-US" w:eastAsia="zh-CN"/>
        </w:rPr>
        <w:t xml:space="preserve">29</w:t>
      </w:r>
      <w:r>
        <w:rPr>
          <w:rFonts w:hint="eastAsia" w:ascii="宋体" w:hAnsi="宋体" w:eastAsia="宋体" w:cs="宋体"/>
          <w:color w:val="ff0000"/>
          <w:sz w:val="21"/>
          <w:szCs w:val="21"/>
        </w:rPr>
        <w:t xml:space="preserve">日</w:t>
      </w:r>
      <w:r>
        <w:rPr>
          <w:rFonts w:hint="eastAsia" w:ascii="宋体" w:hAnsi="宋体" w:cs="宋体"/>
          <w:color w:val="ff0000"/>
          <w:sz w:val="21"/>
          <w:szCs w:val="21"/>
          <w:lang w:val="en-US" w:eastAsia="zh-CN"/>
        </w:rPr>
        <w:t xml:space="preserve">上</w:t>
      </w:r>
      <w:r>
        <w:rPr>
          <w:rFonts w:hint="eastAsia" w:ascii="宋体" w:hAnsi="宋体" w:eastAsia="宋体" w:cs="宋体"/>
          <w:color w:val="ff0000"/>
          <w:sz w:val="21"/>
          <w:szCs w:val="21"/>
        </w:rPr>
        <w:t xml:space="preserve">午</w:t>
      </w:r>
      <w:r>
        <w:rPr>
          <w:rFonts w:hint="eastAsia" w:ascii="宋体" w:hAnsi="宋体" w:cs="宋体"/>
          <w:color w:val="ff0000"/>
          <w:sz w:val="21"/>
          <w:szCs w:val="21"/>
          <w:lang w:val="en-US" w:eastAsia="zh-CN"/>
        </w:rPr>
        <w:t xml:space="preserve">8</w:t>
      </w:r>
      <w:r>
        <w:rPr>
          <w:rFonts w:hint="eastAsia" w:ascii="宋体" w:hAnsi="宋体" w:eastAsia="宋体" w:cs="宋体"/>
          <w:color w:val="ff0000"/>
          <w:sz w:val="21"/>
          <w:szCs w:val="21"/>
        </w:rPr>
        <w:t xml:space="preserve">:30起至</w:t>
      </w:r>
      <w:r>
        <w:rPr>
          <w:rFonts w:hint="eastAsia" w:ascii="宋体" w:hAnsi="宋体" w:cs="宋体"/>
          <w:color w:val="ff0000"/>
          <w:sz w:val="21"/>
          <w:szCs w:val="21"/>
          <w:lang w:val="en-US" w:eastAsia="zh-CN"/>
        </w:rPr>
        <w:t xml:space="preserve">11</w:t>
      </w: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00</w:t>
      </w:r>
      <w:r>
        <w:rPr>
          <w:rFonts w:ascii="宋体" w:hAnsi="宋体" w:eastAsia="宋体" w:cs="宋体"/>
          <w:color w:val="ff0000"/>
          <w:sz w:val="21"/>
          <w:szCs w:val="21"/>
        </w:rPr>
        <w:t xml:space="preserve">止</w:t>
      </w:r>
      <w:r>
        <w:rPr>
          <w:rFonts w:ascii="宋体" w:hAnsi="宋体" w:cs="宋体"/>
          <w:b/>
          <w:color w:val="ff0000"/>
          <w:sz w:val="21"/>
          <w:szCs w:val="21"/>
        </w:rPr>
        <w:t xml:space="preserve">，</w:t>
      </w:r>
      <w:r>
        <w:rPr>
          <w:rFonts w:ascii="宋体" w:hAnsi="宋体" w:cs="宋体"/>
          <w:color w:val="ff0000"/>
          <w:sz w:val="21"/>
          <w:szCs w:val="21"/>
        </w:rPr>
        <w:t xml:space="preserve">在此期间样品由投标人自行保管。</w:t>
      </w:r>
      <w:r>
        <w:rPr>
          <w:rFonts w:hint="eastAsia" w:ascii="宋体" w:hAnsi="宋体" w:cs="宋体"/>
          <w:color w:val="ff0000"/>
          <w:sz w:val="21"/>
          <w:szCs w:val="21"/>
          <w:lang w:val="en-US" w:eastAsia="zh-CN"/>
        </w:rPr>
        <w:t xml:space="preserve">采购人或代理公司</w:t>
      </w:r>
      <w:r>
        <w:rPr>
          <w:rFonts w:ascii="宋体" w:hAnsi="宋体" w:cs="宋体"/>
          <w:color w:val="ff0000"/>
          <w:sz w:val="21"/>
          <w:szCs w:val="21"/>
        </w:rPr>
        <w:t xml:space="preserve">不接收在样品递交截止时间后递交的样品。</w:t>
      </w:r>
      <w:r/>
    </w:p>
    <w:p>
      <w:pPr>
        <w:ind w:firstLine="480"/>
        <w:spacing w:line="400" w:lineRule="exact"/>
        <w:rPr>
          <w:rFonts w:hint="default"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（2）样品递交地点：</w:t>
      </w:r>
      <w:r>
        <w:rPr>
          <w:rFonts w:hint="eastAsia" w:ascii="宋体" w:hAnsi="宋体"/>
          <w:color w:val="000000" w:themeColor="text1"/>
          <w:sz w:val="21"/>
          <w:szCs w:val="21"/>
          <w:lang w:val="en-US" w:eastAsia="zh-CN"/>
          <w14:textFill>
            <w14:solidFill>
              <w14:schemeClr w14:val="tx1"/>
            </w14:solidFill>
          </w14:textFill>
        </w:rPr>
        <w:t xml:space="preserve">盐城工业职业技术学院南食堂407室</w:t>
      </w:r>
      <w:r>
        <w:rPr>
          <w:rFonts w:hint="eastAsia" w:ascii="宋体" w:hAnsi="宋体"/>
          <w:b/>
          <w:bCs/>
          <w:color w:val="000000" w:themeColor="text1"/>
          <w:sz w:val="21"/>
          <w:szCs w:val="18"/>
          <w:lang w:val="en-US" w:eastAsia="zh-CN"/>
          <w14:textFill>
            <w14:solidFill>
              <w14:schemeClr w14:val="tx1"/>
            </w14:solidFill>
          </w14:textFill>
        </w:rPr>
        <w:t xml:space="preserve">     </w:t>
      </w:r>
      <w:r/>
    </w:p>
    <w:p>
      <w:pPr>
        <w:ind w:firstLine="480"/>
        <w:spacing w:line="400" w:lineRule="exact"/>
        <w:rPr>
          <w:rFonts w:ascii="宋体" w:hAnsi="宋体"/>
          <w:b w:val="0"/>
          <w:bCs w:val="0"/>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（3）样品接收人/退还人：</w:t>
      </w:r>
      <w:r>
        <w:rPr>
          <w:rFonts w:hint="eastAsia" w:ascii="宋体" w:hAnsi="宋体"/>
          <w:color w:val="000000" w:themeColor="text1"/>
          <w:sz w:val="21"/>
          <w:szCs w:val="21"/>
          <w:lang w:val="en-US" w:eastAsia="zh-CN"/>
          <w14:textFill>
            <w14:solidFill>
              <w14:schemeClr w14:val="tx1"/>
            </w14:solidFill>
          </w14:textFill>
        </w:rPr>
        <w:t xml:space="preserve">周先生</w:t>
      </w:r>
      <w:r>
        <w:rPr>
          <w:rFonts w:hint="eastAsia" w:ascii="宋体" w:hAnsi="宋体"/>
          <w:color w:val="000000" w:themeColor="text1"/>
          <w:sz w:val="21"/>
          <w:szCs w:val="21"/>
          <w14:textFill>
            <w14:solidFill>
              <w14:schemeClr w14:val="tx1"/>
            </w14:solidFill>
          </w14:textFill>
        </w:rPr>
        <w:t xml:space="preserve">；联系方式：</w:t>
      </w:r>
      <w:r>
        <w:rPr>
          <w:rFonts w:hint="eastAsia" w:ascii="宋体" w:hAnsi="宋体"/>
          <w:b w:val="0"/>
          <w:bCs w:val="0"/>
          <w:color w:val="000000" w:themeColor="text1"/>
          <w:sz w:val="21"/>
          <w:szCs w:val="18"/>
          <w:lang w:val="en-US" w:eastAsia="zh-CN"/>
          <w14:textFill>
            <w14:solidFill>
              <w14:schemeClr w14:val="tx1"/>
            </w14:solidFill>
          </w14:textFill>
        </w:rPr>
        <w:t xml:space="preserve">13024494996</w:t>
      </w:r>
      <w:r>
        <w:rPr>
          <w:rFonts w:hint="eastAsia" w:ascii="宋体" w:hAnsi="宋体"/>
          <w:b w:val="0"/>
          <w:bCs w:val="0"/>
          <w:color w:val="000000" w:themeColor="text1"/>
          <w:sz w:val="21"/>
          <w:szCs w:val="21"/>
          <w14:textFill>
            <w14:solidFill>
              <w14:schemeClr w14:val="tx1"/>
            </w14:solidFill>
          </w14:textFill>
        </w:rPr>
        <w:t xml:space="preserve">。</w:t>
      </w:r>
      <w:r/>
    </w:p>
    <w:p>
      <w:pPr>
        <w:ind w:firstLine="480"/>
        <w:spacing w:line="400" w:lineRule="exact"/>
        <w:rPr>
          <w:rFonts w:ascii="宋体" w:hAnsi="宋体"/>
          <w:b/>
          <w:bCs/>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rPr>
          <w:rFonts w:hint="eastAsia" w:ascii="宋体" w:hAnsi="宋体"/>
          <w:b/>
          <w:bCs/>
          <w:color w:val="000000" w:themeColor="text1"/>
          <w:sz w:val="21"/>
          <w:szCs w:val="21"/>
          <w14:textFill>
            <w14:solidFill>
              <w14:schemeClr w14:val="tx1"/>
            </w14:solidFill>
          </w14:textFill>
        </w:rPr>
        <w:t xml:space="preserve">供应商提交的样品不得含有供应商名称。</w:t>
      </w:r>
      <w:r/>
    </w:p>
    <w:p>
      <w:pPr>
        <w:ind w:firstLine="480"/>
        <w:spacing w:line="44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spacing w:line="44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（5）供应商递交/取回样品时将进行登记，并由样品递交人/取回人签字确认。</w:t>
      </w:r>
      <w:r/>
    </w:p>
    <w:p>
      <w:pPr>
        <w:ind w:firstLine="480"/>
        <w:spacing w:line="44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spacing w:line="440" w:lineRule="exact"/>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（7）中标供应商递交的样品由</w:t>
      </w:r>
      <w:r>
        <w:rPr>
          <w:rFonts w:hint="eastAsia" w:ascii="宋体" w:hAnsi="宋体" w:cs="宋体"/>
          <w:color w:val="000000" w:themeColor="text1"/>
          <w:sz w:val="21"/>
          <w:szCs w:val="21"/>
          <w:lang w:val="en-US" w:eastAsia="zh-CN"/>
          <w14:textFill>
            <w14:solidFill>
              <w14:schemeClr w14:val="tx1"/>
            </w14:solidFill>
          </w14:textFill>
        </w:rPr>
        <w:t xml:space="preserve">采购人</w:t>
      </w:r>
      <w:r>
        <w:rPr>
          <w:rFonts w:hint="eastAsia" w:ascii="宋体" w:hAnsi="宋体"/>
          <w:bCs/>
          <w:color w:val="000000" w:themeColor="text1"/>
          <w:sz w:val="21"/>
          <w:szCs w:val="21"/>
          <w:highlight w:val="none"/>
          <w14:textFill>
            <w14:solidFill>
              <w14:schemeClr w14:val="tx1"/>
            </w14:solidFill>
          </w14:textFill>
        </w:rPr>
        <w:t xml:space="preserve">负责保管、封存并作为履约验收的依据，不再退还中标供应商。未中标供应商递交的样品在采购结果公告期结束后5个工作日内，由</w:t>
      </w:r>
      <w:r>
        <w:rPr>
          <w:rFonts w:hint="eastAsia" w:ascii="宋体" w:hAnsi="宋体" w:cs="宋体"/>
          <w:color w:val="000000" w:themeColor="text1"/>
          <w:sz w:val="21"/>
          <w:szCs w:val="21"/>
          <w:lang w:val="en-US" w:eastAsia="zh-CN"/>
          <w14:textFill>
            <w14:solidFill>
              <w14:schemeClr w14:val="tx1"/>
            </w14:solidFill>
          </w14:textFill>
        </w:rPr>
        <w:t xml:space="preserve">代理公司</w:t>
      </w:r>
      <w:r>
        <w:rPr>
          <w:rFonts w:hint="eastAsia" w:ascii="宋体" w:hAnsi="宋体"/>
          <w:bCs/>
          <w:color w:val="000000" w:themeColor="text1"/>
          <w:sz w:val="21"/>
          <w:szCs w:val="21"/>
          <w:highlight w:val="none"/>
          <w14:textFill>
            <w14:solidFill>
              <w14:schemeClr w14:val="tx1"/>
            </w14:solidFill>
          </w14:textFill>
        </w:rPr>
        <w:t xml:space="preserve">通知未中标供应商自行取回，逾期未取回，视同供应商放弃样品所有权，由</w:t>
      </w:r>
      <w:r>
        <w:rPr>
          <w:rFonts w:hint="eastAsia" w:ascii="宋体" w:hAnsi="宋体" w:cs="宋体"/>
          <w:color w:val="000000" w:themeColor="text1"/>
          <w:sz w:val="21"/>
          <w:szCs w:val="21"/>
          <w:lang w:val="en-US" w:eastAsia="zh-CN"/>
          <w14:textFill>
            <w14:solidFill>
              <w14:schemeClr w14:val="tx1"/>
            </w14:solidFill>
          </w14:textFill>
        </w:rPr>
        <w:t xml:space="preserve">采购人或代理公司</w:t>
      </w:r>
      <w:r>
        <w:rPr>
          <w:rFonts w:hint="eastAsia" w:ascii="宋体" w:hAnsi="宋体"/>
          <w:bCs/>
          <w:color w:val="000000" w:themeColor="text1"/>
          <w:sz w:val="21"/>
          <w:szCs w:val="21"/>
          <w:highlight w:val="none"/>
          <w14:textFill>
            <w14:solidFill>
              <w14:schemeClr w14:val="tx1"/>
            </w14:solidFill>
          </w14:textFill>
        </w:rPr>
        <w:t xml:space="preserve">自行处置。</w:t>
      </w:r>
      <w:r/>
    </w:p>
    <w:p>
      <w:pPr>
        <w:pStyle w:val="986"/>
        <w:ind w:firstLine="422"/>
        <w:spacing w:line="480" w:lineRule="exac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hAnsi="宋体" w:cs="宋体"/>
          <w:b/>
          <w:bCs/>
          <w:color w:val="000000" w:themeColor="text1"/>
          <w:sz w:val="21"/>
          <w:szCs w:val="21"/>
          <w:highlight w:val="none"/>
          <w:lang w:val="en-US" w:eastAsia="zh-CN" w:bidi="ar-SA"/>
          <w14:textFill>
            <w14:solidFill>
              <w14:schemeClr w14:val="tx1"/>
            </w14:solidFill>
          </w14:textFill>
        </w:rPr>
        <w:t xml:space="preserve">十二</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、采购标的对应的中小企业划分标准所属行业一览表</w:t>
      </w:r>
      <w:r/>
    </w:p>
    <w:tbl>
      <w:tblPr>
        <w:tblStyle w:val="727"/>
        <w:tblW w:w="899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2"/>
        <w:gridCol w:w="4667"/>
        <w:gridCol w:w="3179"/>
      </w:tblGrid>
      <w:tr>
        <w:trPr>
          <w:jc w:val="center"/>
          <w:tblCellSpacing w:w="0" w:type="dxa"/>
          <w:trHeight w:val="536"/>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816"/>
              <w:jc w:val="center"/>
              <w:spacing w:beforeAutospacing="0" w:afterAutospacing="0"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val="false"/>
          </w:tcPr>
          <w:p>
            <w:pPr>
              <w:pStyle w:val="816"/>
              <w:jc w:val="center"/>
              <w:spacing w:beforeAutospacing="0" w:afterAutospacing="0"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pStyle w:val="816"/>
              <w:jc w:val="center"/>
              <w:spacing w:beforeAutospacing="0" w:afterAutospacing="0"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jc w:val="center"/>
          <w:tblCellSpacing w:w="0" w:type="dxa"/>
          <w:trHeight w:val="581"/>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816"/>
              <w:jc w:val="center"/>
              <w:spacing w:beforeAutospacing="0" w:afterAutospacing="0"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667" w:type="dxa"/>
            <w:vAlign w:val="center"/>
            <w:textDirection w:val="lrTb"/>
            <w:noWrap w:val="false"/>
          </w:tcPr>
          <w:p>
            <w:pPr>
              <w:pStyle w:val="796"/>
              <w:jc w:val="center"/>
              <w:spacing w:line="3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盐城工业职业技术学院3、4#学生宿舍家具</w:t>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pStyle w:val="816"/>
              <w:jc w:val="center"/>
              <w:spacing w:beforeAutospacing="0" w:afterAutospacing="0" w:line="0" w:lineRule="atLeas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工业</w:t>
            </w:r>
            <w:r/>
          </w:p>
        </w:tc>
      </w:tr>
    </w:tbl>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keepLines w:val="0"/>
        <w:keepNext w:val="0"/>
        <w:pageBreakBefore w:val="0"/>
        <w:spacing w:line="480" w:lineRule="exact"/>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一、定标原则</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本项目采用</w:t>
      </w:r>
      <w:r>
        <w:rPr>
          <w:rFonts w:hint="eastAsia" w:ascii="宋体" w:hAnsi="宋体" w:cs="宋体"/>
          <w:bCs/>
          <w:color w:val="000000" w:themeColor="text1"/>
          <w:szCs w:val="21"/>
          <w:highlight w:val="none"/>
          <w:u w:val="single"/>
          <w14:textFill>
            <w14:solidFill>
              <w14:schemeClr w14:val="tx1"/>
            </w14:solidFill>
          </w14:textFill>
        </w:rPr>
        <w:t xml:space="preserve">综合评分</w:t>
      </w:r>
      <w:r>
        <w:rPr>
          <w:rFonts w:hint="eastAsia" w:ascii="宋体" w:hAnsi="宋体" w:cs="宋体"/>
          <w:bCs/>
          <w:color w:val="000000" w:themeColor="text1"/>
          <w:szCs w:val="21"/>
          <w:highlight w:val="none"/>
          <w14:textFill>
            <w14:solidFill>
              <w14:schemeClr w14:val="tx1"/>
            </w14:solidFill>
          </w14:textFill>
        </w:rPr>
        <w:t xml:space="preserve">法。</w:t>
      </w:r>
      <w:r>
        <w:rPr>
          <w:rFonts w:hint="eastAsia" w:ascii="宋体" w:hAnsi="宋体" w:cs="宋体"/>
          <w:color w:val="000000" w:themeColor="text1"/>
          <w:szCs w:val="21"/>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政府采购政策功能落实</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1、小微型企业价格扣除</w:t>
      </w:r>
      <w:r/>
    </w:p>
    <w:p>
      <w:pPr>
        <w:ind w:firstLine="420"/>
        <w:keepLines w:val="0"/>
        <w:keepNext w:val="0"/>
        <w:pageBreakBefore w:val="0"/>
        <w:spacing w:line="480" w:lineRule="exact"/>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本项目不专门面向中小企业采购，对符合规定的小型和微型企业报价给予</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0%的扣除价格，用扣除后的价格参与评审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（2）供应商需按照采购文件的要求提供相应的《中小企业声明函》。</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2、残疾人福利单位价格扣除</w:t>
      </w:r>
      <w:r>
        <w:rPr>
          <w:rFonts w:hint="eastAsia" w:ascii="宋体" w:hAnsi="宋体" w:eastAsia="宋体" w:cs="宋体"/>
          <w:color w:val="000000" w:themeColor="text1"/>
          <w:sz w:val="21"/>
          <w:szCs w:val="21"/>
          <w:highlight w:val="none"/>
          <w14:textFill>
            <w14:solidFill>
              <w14:schemeClr w14:val="tx1"/>
            </w14:solidFill>
          </w14:textFill>
        </w:rPr>
        <w:t xml:space="preserve">，给予</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0%的价格扣除，用扣除后的价格参与评审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（1）本项目对残疾人福利性单位视同小型、微型企业。</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3、监狱和戒毒企业价格扣除</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（1）本项目对监狱和戒毒企业（简称监狱企业）视同小型、微型企业</w:t>
      </w:r>
      <w:r>
        <w:rPr>
          <w:rFonts w:hint="eastAsia" w:ascii="宋体" w:hAnsi="宋体" w:eastAsia="宋体" w:cs="宋体"/>
          <w:color w:val="000000" w:themeColor="text1"/>
          <w:sz w:val="21"/>
          <w:szCs w:val="21"/>
          <w:highlight w:val="none"/>
          <w14:textFill>
            <w14:solidFill>
              <w14:schemeClr w14:val="tx1"/>
            </w14:solidFill>
          </w14:textFill>
        </w:rPr>
        <w:t xml:space="preserve">，给予</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0%的价格扣除，用扣除后的价格参与评审</w:t>
      </w:r>
      <w:r>
        <w:rPr>
          <w:rFonts w:hint="eastAsia" w:ascii="宋体" w:hAnsi="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（3）监狱企业标准请参照《关于政府采购支持监狱企业发展有关问题的通知》（财库〔2014〕68号）。</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keepLines w:val="0"/>
        <w:keepNext w:val="0"/>
        <w:pageBreakBefore w:val="0"/>
        <w:spacing w:line="48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0"/>
        <w:keepLines w:val="0"/>
        <w:keepNext w:val="0"/>
        <w:pageBreakBefore w:val="0"/>
        <w:spacing w:line="480" w:lineRule="exact"/>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、联合体各方均为小型、微型企业（残疾人福利单位、监狱企业）的，联合体享受</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w:t>
      </w:r>
      <w:r/>
    </w:p>
    <w:p>
      <w:pPr>
        <w:ind w:firstLine="422"/>
        <w:jc w:val="left"/>
        <w:keepLines w:val="0"/>
        <w:keepNext w:val="0"/>
        <w:pageBreakBefore w:val="0"/>
        <w:spacing w:line="48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7、采购本国产品的支持政策</w:t>
      </w:r>
      <w:r/>
    </w:p>
    <w:p>
      <w:pPr>
        <w:ind w:firstLine="422"/>
        <w:jc w:val="left"/>
        <w:keepLines w:val="0"/>
        <w:keepNext w:val="0"/>
        <w:pageBreakBefore w:val="0"/>
        <w:spacing w:line="48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b/>
          <w:bCs/>
          <w:color w:val="000000" w:themeColor="text1"/>
          <w:sz w:val="21"/>
          <w:szCs w:val="21"/>
          <w:highlight w:val="none"/>
          <w14:textFill>
            <w14:solidFill>
              <w14:schemeClr w14:val="tx1"/>
            </w14:solidFill>
          </w14:textFill>
        </w:rPr>
        <w:t xml:space="preserve">的价格扣除，用扣除后的价格参与评审。</w:t>
      </w:r>
      <w:r/>
    </w:p>
    <w:p>
      <w:pPr>
        <w:ind w:firstLine="422"/>
        <w:jc w:val="left"/>
        <w:keepLines w:val="0"/>
        <w:keepNext w:val="0"/>
        <w:pageBreakBefore w:val="0"/>
        <w:spacing w:line="48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80%</w:t>
      </w:r>
      <w:r>
        <w:rPr>
          <w:rFonts w:hint="eastAsia" w:ascii="宋体" w:hAnsi="宋体" w:eastAsia="宋体" w:cs="宋体"/>
          <w:b/>
          <w:bCs/>
          <w:color w:val="000000" w:themeColor="text1"/>
          <w:sz w:val="21"/>
          <w:szCs w:val="21"/>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b/>
          <w:bCs/>
          <w:color w:val="000000" w:themeColor="text1"/>
          <w:sz w:val="21"/>
          <w:szCs w:val="21"/>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横</w:t>
      </w:r>
      <w:r>
        <w:rPr>
          <w:rFonts w:hint="eastAsia" w:ascii="宋体" w:hAnsi="宋体" w:eastAsia="宋体" w:cs="宋体"/>
          <w:b/>
          <w:bCs/>
          <w:color w:val="000000" w:themeColor="text1"/>
          <w:sz w:val="21"/>
          <w:szCs w:val="21"/>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firstLine="422"/>
        <w:jc w:val="left"/>
        <w:keepLines w:val="0"/>
        <w:keepNext w:val="0"/>
        <w:pageBreakBefore w:val="0"/>
        <w:spacing w:line="48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1"/>
          <w:szCs w:val="21"/>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8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w:t>
      </w:r>
      <w:r>
        <w:rPr>
          <w:rFonts w:hint="eastAsia" w:ascii="宋体" w:hAnsi="宋体" w:eastAsia="宋体" w:cs="宋体"/>
          <w:color w:val="000000" w:themeColor="text1"/>
          <w:szCs w:val="21"/>
          <w:highlight w:val="none"/>
          <w14:textFill>
            <w14:solidFill>
              <w14:schemeClr w14:val="tx1"/>
            </w14:solidFill>
          </w14:textFill>
        </w:rPr>
        <w:t xml:space="preserve">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keepLines w:val="0"/>
        <w:keepNext w:val="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评标方法与评标标准</w:t>
      </w:r>
      <w:r/>
    </w:p>
    <w:tbl>
      <w:tblPr>
        <w:tblStyle w:val="727"/>
        <w:tblW w:w="8898"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003"/>
        <w:gridCol w:w="1209"/>
        <w:gridCol w:w="5865"/>
      </w:tblGrid>
      <w:tr>
        <w:trPr>
          <w:trHeight w:val="775"/>
        </w:trPr>
        <w:tc>
          <w:tcPr>
            <w:tcW w:w="821" w:type="dxa"/>
            <w:vAlign w:val="center"/>
            <w:textDirection w:val="lrTb"/>
            <w:noWrap w:val="false"/>
          </w:tcPr>
          <w:p>
            <w:pPr>
              <w:jc w:val="center"/>
              <w:spacing w:before="120" w:after="120" w:line="0" w:lineRule="atLeast"/>
              <w:rPr>
                <w:rFonts w:ascii="宋体" w:hAnsi="宋体" w:cs="宋体"/>
                <w:color w:val="000000" w:themeColor="text1"/>
                <w:szCs w:val="21"/>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1003" w:type="dxa"/>
            <w:vAlign w:val="center"/>
            <w:textDirection w:val="lrTb"/>
            <w:noWrap w:val="false"/>
          </w:tcPr>
          <w:p>
            <w:pPr>
              <w:jc w:val="center"/>
              <w:spacing w:before="120" w:after="120" w:line="0" w:lineRule="atLeas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分值</w:t>
            </w:r>
            <w:r/>
          </w:p>
        </w:tc>
        <w:tc>
          <w:tcPr>
            <w:tcW w:w="1209" w:type="dxa"/>
            <w:vAlign w:val="center"/>
            <w:textDirection w:val="lrTb"/>
            <w:noWrap w:val="false"/>
          </w:tcPr>
          <w:p>
            <w:pPr>
              <w:jc w:val="center"/>
              <w:spacing w:before="120" w:after="120" w:line="0" w:lineRule="atLeast"/>
              <w:rPr>
                <w:rFonts w:ascii="宋体" w:hAnsi="宋体" w:cs="宋体"/>
                <w:color w:val="000000" w:themeColor="text1"/>
                <w:szCs w:val="21"/>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评分内容</w:t>
            </w:r>
            <w:r/>
          </w:p>
        </w:tc>
        <w:tc>
          <w:tcPr>
            <w:tcW w:w="5865" w:type="dxa"/>
            <w:vAlign w:val="center"/>
            <w:textDirection w:val="lrTb"/>
            <w:noWrap w:val="false"/>
          </w:tcPr>
          <w:p>
            <w:pPr>
              <w:jc w:val="center"/>
              <w:spacing w:before="120" w:after="120" w:line="0" w:lineRule="atLeast"/>
              <w:rPr>
                <w:rFonts w:ascii="宋体" w:hAnsi="宋体" w:cs="宋体"/>
                <w:color w:val="000000" w:themeColor="text1"/>
                <w:szCs w:val="21"/>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评分内容</w:t>
            </w:r>
            <w:r/>
          </w:p>
        </w:tc>
      </w:tr>
      <w:tr>
        <w:trPr>
          <w:trHeight w:val="1309"/>
        </w:trPr>
        <w:tc>
          <w:tcPr>
            <w:tcW w:w="821"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p>
        </w:tc>
        <w:tc>
          <w:tcPr>
            <w:tcW w:w="1003"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30分</w:t>
            </w:r>
            <w:r/>
          </w:p>
        </w:tc>
        <w:tc>
          <w:tcPr>
            <w:tcW w:w="1209" w:type="dxa"/>
            <w:vAlign w:val="center"/>
            <w:textDirection w:val="lrTb"/>
            <w:noWrap w:val="false"/>
          </w:tcPr>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价格分</w:t>
            </w:r>
            <w:r/>
          </w:p>
        </w:tc>
        <w:tc>
          <w:tcPr>
            <w:tcW w:w="5865" w:type="dxa"/>
            <w:vAlign w:val="center"/>
            <w:textDirection w:val="lrTb"/>
            <w:noWrap w:val="false"/>
          </w:tcPr>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lang w:val="zh-CN"/>
                <w14:textFill>
                  <w14:solidFill>
                    <w14:schemeClr w14:val="tx1"/>
                  </w14:solidFill>
                </w14:textFill>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分值保留小数点后2位。</w:t>
            </w:r>
            <w:r/>
          </w:p>
        </w:tc>
      </w:tr>
      <w:tr>
        <w:trPr>
          <w:trHeight w:val="874"/>
        </w:trPr>
        <w:tc>
          <w:tcPr>
            <w:tcW w:w="82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003" w:type="dxa"/>
            <w:vAlign w:val="center"/>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8分</w:t>
            </w:r>
            <w:r/>
          </w:p>
        </w:tc>
        <w:tc>
          <w:tcPr>
            <w:tcW w:w="1209" w:type="dxa"/>
            <w:vAlign w:val="center"/>
            <w:textDirection w:val="lrTb"/>
            <w:noWrap w:val="false"/>
          </w:tcPr>
          <w:p>
            <w:pPr>
              <w:rPr>
                <w:rFonts w:cs="微软雅黑"/>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技术指标响应情况</w:t>
            </w:r>
            <w:r/>
          </w:p>
        </w:tc>
        <w:tc>
          <w:tcPr>
            <w:tcW w:w="5865" w:type="dxa"/>
            <w:vAlign w:val="center"/>
            <w:textDirection w:val="lrTb"/>
            <w:noWrap w:val="false"/>
          </w:tcPr>
          <w:p>
            <w:pPr>
              <w:rPr>
                <w:rFonts w:hint="eastAsia" w:ascii="宋体" w:hAnsi="宋体" w:cs="宋体"/>
                <w:b w:val="0"/>
                <w:bCs w:val="0"/>
                <w:color w:val="000000" w:themeColor="text1"/>
                <w:szCs w:val="21"/>
                <w:highlight w:val="none"/>
                <w:lang w:val="zh-CN" w:eastAsia="zh-CN"/>
                <w14:textFill>
                  <w14:solidFill>
                    <w14:schemeClr w14:val="tx1"/>
                  </w14:solidFill>
                </w14:textFill>
              </w:rPr>
            </w:pP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投标产品对投标文件具体需求的响应程度：全部响应即满足招标文件第四章“</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三</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产品技术</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要求”的得</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8</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分。</w:t>
            </w:r>
            <w:r/>
          </w:p>
          <w:p>
            <w:pPr>
              <w:rPr>
                <w:rFonts w:hint="eastAsia" w:ascii="宋体" w:hAnsi="宋体" w:cs="宋体"/>
                <w:b w:val="0"/>
                <w:bCs w:val="0"/>
                <w:color w:val="000000" w:themeColor="text1"/>
                <w:szCs w:val="21"/>
                <w:highlight w:val="none"/>
                <w:lang w:val="zh-CN" w:eastAsia="zh-CN"/>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2.1（3分）</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带“▲”项</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有6项，每项负偏离扣0.5分，共3分，扣完为止</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w:t>
            </w:r>
            <w:r/>
          </w:p>
          <w:p>
            <w:pPr>
              <w:rPr>
                <w:rFonts w:hint="eastAsia" w:ascii="宋体" w:hAnsi="宋体" w:cs="宋体"/>
                <w:b w:val="0"/>
                <w:bCs w:val="0"/>
                <w:color w:val="000000" w:themeColor="text1"/>
                <w:szCs w:val="21"/>
                <w:highlight w:val="none"/>
                <w:lang w:val="zh-CN" w:eastAsia="zh-CN"/>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2.2（5分）</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其他非“▲”项</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有23项，每项负偏离的扣 0.25分，共5分，扣完为止</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w:t>
            </w:r>
            <w:r/>
          </w:p>
          <w:p>
            <w:pP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（投标人需按照本招标文件的项目需求，在“技术参数响应及偏离表”中按照招标要求提供对应的证明材料，并在偏离表中标明所在页码或位置，否则评委会有权作负偏离处理）。</w:t>
            </w:r>
            <w:r/>
          </w:p>
        </w:tc>
      </w:tr>
      <w:tr>
        <w:trPr>
          <w:trHeight w:val="1390"/>
        </w:trPr>
        <w:tc>
          <w:tcPr>
            <w:tcW w:w="821"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W w:w="1003" w:type="dxa"/>
            <w:vAlign w:val="center"/>
            <w:vMerge w:val="restart"/>
            <w:textDirection w:val="lrTb"/>
            <w:noWrap w:val="false"/>
          </w:tcPr>
          <w:p>
            <w:pPr>
              <w:jc w:val="center"/>
              <w:rPr>
                <w:rFonts w:hint="default" w:ascii="宋体" w:hAnsi="宋体" w:cs="宋体"/>
                <w:b/>
                <w:bCs/>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10分</w:t>
            </w:r>
            <w:r/>
          </w:p>
        </w:tc>
        <w:tc>
          <w:tcPr>
            <w:tcW w:w="1209" w:type="dxa"/>
            <w:vAlign w:val="center"/>
            <w:textDirection w:val="lrTb"/>
            <w:noWrap w:val="false"/>
          </w:tcPr>
          <w:p>
            <w:pP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检测报告要求</w:t>
            </w:r>
            <w:r/>
          </w:p>
        </w:tc>
        <w:tc>
          <w:tcPr>
            <w:tcW w:w="5865" w:type="dxa"/>
            <w:vAlign w:val="center"/>
            <w:textDirection w:val="lrTb"/>
            <w:noWrap w:val="false"/>
          </w:tcPr>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3.1（4分）投标人具有2023年1月1日以来法定检测机构（具有CMA认证的检验机构）的</w:t>
            </w:r>
            <w:r>
              <w:rPr>
                <w:rFonts w:hint="eastAsia" w:ascii="宋体" w:hAnsi="宋体" w:cs="宋体"/>
                <w:color w:val="000000" w:themeColor="text1"/>
                <w:szCs w:val="21"/>
                <w:highlight w:val="none"/>
                <w:lang w:val="zh-CN"/>
                <w14:textFill>
                  <w14:solidFill>
                    <w14:schemeClr w14:val="tx1"/>
                  </w14:solidFill>
                </w14:textFill>
              </w:rPr>
              <w:t xml:space="preserve">以下产品抽样检测报告：</w:t>
            </w:r>
            <w:r/>
          </w:p>
          <w:p>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（1）公寓组合床，</w:t>
            </w:r>
            <w:r>
              <w:rPr>
                <w:rFonts w:hint="eastAsia" w:ascii="宋体" w:hAnsi="宋体" w:cs="宋体"/>
                <w:color w:val="000000" w:themeColor="text1"/>
                <w:sz w:val="21"/>
                <w:szCs w:val="21"/>
                <w:highlight w:val="none"/>
                <w:lang w:val="zh-CN"/>
                <w14:textFill>
                  <w14:solidFill>
                    <w14:schemeClr w14:val="tx1"/>
                  </w14:solidFill>
                </w14:textFill>
              </w:rPr>
              <w:t xml:space="preserve">检验检测标准需包含</w:t>
            </w:r>
            <w:r>
              <w:rPr>
                <w:rFonts w:hint="eastAsia" w:ascii="宋体" w:hAnsi="宋体" w:cs="宋体"/>
                <w:color w:val="000000" w:themeColor="text1"/>
                <w:sz w:val="21"/>
                <w:szCs w:val="21"/>
                <w:highlight w:val="none"/>
                <w:lang w:val="en-US" w:eastAsia="zh-CN"/>
                <w14:textFill>
                  <w14:solidFill>
                    <w14:schemeClr w14:val="tx1"/>
                  </w14:solidFill>
                </w14:textFill>
              </w:rPr>
              <w:t xml:space="preserve">GB/T 3325-2024《金属家具通用技术条件》、QB/T 2741-2013《学生公寓多功能家具》 、GB/T 35607-2024《绿色产品评价 家具》</w:t>
            </w: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检验项目</w:t>
            </w:r>
            <w:r>
              <w:rPr>
                <w:rFonts w:hint="eastAsia" w:ascii="宋体" w:hAnsi="宋体" w:cs="宋体"/>
                <w:color w:val="000000" w:themeColor="text1"/>
                <w:szCs w:val="21"/>
                <w:highlight w:val="none"/>
                <w:lang w:val="en-US" w:eastAsia="zh-CN"/>
                <w14:textFill>
                  <w14:solidFill>
                    <w14:schemeClr w14:val="tx1"/>
                  </w14:solidFill>
                </w14:textFill>
              </w:rPr>
              <w:t xml:space="preserve">至少</w:t>
            </w:r>
            <w:r>
              <w:rPr>
                <w:rFonts w:hint="eastAsia" w:ascii="宋体" w:hAnsi="宋体" w:cs="宋体"/>
                <w:color w:val="000000" w:themeColor="text1"/>
                <w:szCs w:val="21"/>
                <w:highlight w:val="none"/>
                <w:lang w:val="zh-CN"/>
                <w14:textFill>
                  <w14:solidFill>
                    <w14:schemeClr w14:val="tx1"/>
                  </w14:solidFill>
                </w14:textFill>
              </w:rPr>
              <w:t xml:space="preserve">包含</w:t>
            </w:r>
            <w:r>
              <w:rPr>
                <w:rFonts w:hint="eastAsia" w:ascii="宋体" w:hAnsi="宋体" w:cs="宋体"/>
                <w:color w:val="000000" w:themeColor="text1"/>
                <w:sz w:val="21"/>
                <w:szCs w:val="21"/>
                <w:highlight w:val="none"/>
                <w:lang w:val="zh-CN"/>
                <w14:textFill>
                  <w14:solidFill>
                    <w14:schemeClr w14:val="tx1"/>
                  </w14:solidFill>
                </w14:textFill>
              </w:rPr>
              <w:t xml:space="preserve">：①床铺面垂直耐久性测试；②床框架水平耐久性测试；③总挥发性有机化合物；④苯、甲苯</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二甲苯；⑤产品有害物质；⑥力学性能；⑦甲醛释放量。</w:t>
            </w:r>
            <w:r/>
          </w:p>
          <w:p>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（2）自修桌，</w:t>
            </w:r>
            <w:r>
              <w:rPr>
                <w:rFonts w:hint="eastAsia" w:ascii="宋体" w:hAnsi="宋体" w:cs="宋体"/>
                <w:color w:val="000000" w:themeColor="text1"/>
                <w:szCs w:val="21"/>
                <w:highlight w:val="none"/>
                <w:lang w:val="zh-CN"/>
                <w14:textFill>
                  <w14:solidFill>
                    <w14:schemeClr w14:val="tx1"/>
                  </w14:solidFill>
                </w14:textFill>
              </w:rPr>
              <w:t xml:space="preserve">检验检测标准需包含GB/T 3324-2024《木家具通用技术条件》、GB/T 35607-2024《绿色产品评价 家具》，检验项目</w:t>
            </w:r>
            <w:r>
              <w:rPr>
                <w:rFonts w:hint="eastAsia" w:ascii="宋体" w:hAnsi="宋体" w:cs="宋体"/>
                <w:color w:val="000000" w:themeColor="text1"/>
                <w:szCs w:val="21"/>
                <w:highlight w:val="none"/>
                <w:lang w:val="en-US" w:eastAsia="zh-CN"/>
                <w14:textFill>
                  <w14:solidFill>
                    <w14:schemeClr w14:val="tx1"/>
                  </w14:solidFill>
                </w14:textFill>
              </w:rPr>
              <w:t xml:space="preserve">至少</w:t>
            </w:r>
            <w:r>
              <w:rPr>
                <w:rFonts w:hint="eastAsia" w:ascii="宋体" w:hAnsi="宋体" w:cs="宋体"/>
                <w:color w:val="000000" w:themeColor="text1"/>
                <w:szCs w:val="21"/>
                <w:highlight w:val="none"/>
                <w:lang w:val="zh-CN"/>
                <w14:textFill>
                  <w14:solidFill>
                    <w14:schemeClr w14:val="tx1"/>
                  </w14:solidFill>
                </w14:textFill>
              </w:rPr>
              <w:t xml:space="preserve">包含</w:t>
            </w:r>
            <w:r>
              <w:rPr>
                <w:rFonts w:hint="eastAsia" w:ascii="宋体" w:hAnsi="宋体" w:cs="宋体"/>
                <w:color w:val="000000" w:themeColor="text1"/>
                <w:sz w:val="21"/>
                <w:szCs w:val="21"/>
                <w:highlight w:val="none"/>
                <w:lang w:val="zh-CN"/>
                <w14:textFill>
                  <w14:solidFill>
                    <w14:schemeClr w14:val="tx1"/>
                  </w14:solidFill>
                </w14:textFill>
              </w:rPr>
              <w:t xml:space="preserve">：①形状和位置公差；②力学性能（桌类强度和耐久性、桌类稳定性）；③苯、甲苯、二甲苯；④甲醛；⑤总挥发性有机化合物；⑥产品有害物质。</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（3）储物柜，</w:t>
            </w:r>
            <w:r>
              <w:rPr>
                <w:rFonts w:hint="eastAsia" w:ascii="宋体" w:hAnsi="宋体" w:cs="宋体"/>
                <w:color w:val="000000" w:themeColor="text1"/>
                <w:szCs w:val="21"/>
                <w:highlight w:val="none"/>
                <w:lang w:val="zh-CN"/>
                <w14:textFill>
                  <w14:solidFill>
                    <w14:schemeClr w14:val="tx1"/>
                  </w14:solidFill>
                </w14:textFill>
              </w:rPr>
              <w:t xml:space="preserve">检验检测标准需包含GB/T 3324-2024《木家具通用技术条件》、GB/T 35607-2024《绿色产品评价 家具》，检验项目</w:t>
            </w:r>
            <w:r>
              <w:rPr>
                <w:rFonts w:hint="eastAsia" w:ascii="宋体" w:hAnsi="宋体" w:cs="宋体"/>
                <w:color w:val="000000" w:themeColor="text1"/>
                <w:szCs w:val="21"/>
                <w:highlight w:val="none"/>
                <w:lang w:val="en-US" w:eastAsia="zh-CN"/>
                <w14:textFill>
                  <w14:solidFill>
                    <w14:schemeClr w14:val="tx1"/>
                  </w14:solidFill>
                </w14:textFill>
              </w:rPr>
              <w:t xml:space="preserve">至少</w:t>
            </w:r>
            <w:r>
              <w:rPr>
                <w:rFonts w:hint="eastAsia" w:ascii="宋体" w:hAnsi="宋体" w:cs="宋体"/>
                <w:color w:val="000000" w:themeColor="text1"/>
                <w:szCs w:val="21"/>
                <w:highlight w:val="none"/>
                <w:lang w:val="zh-CN"/>
                <w14:textFill>
                  <w14:solidFill>
                    <w14:schemeClr w14:val="tx1"/>
                  </w14:solidFill>
                </w14:textFill>
              </w:rPr>
              <w:t xml:space="preserve">包含</w:t>
            </w:r>
            <w:r>
              <w:rPr>
                <w:rFonts w:hint="eastAsia" w:ascii="宋体" w:hAnsi="宋体" w:cs="宋体"/>
                <w:color w:val="000000" w:themeColor="text1"/>
                <w:sz w:val="21"/>
                <w:szCs w:val="21"/>
                <w:highlight w:val="none"/>
                <w:lang w:val="zh-CN"/>
                <w14:textFill>
                  <w14:solidFill>
                    <w14:schemeClr w14:val="tx1"/>
                  </w14:solidFill>
                </w14:textFill>
              </w:rPr>
              <w:t xml:space="preserve">：①形状和位置公差；②金属拉手耐腐蚀性要求；③结构安全性；④甲醛释放量；⑤拉门耐久性。</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lang w:val="zh-CN"/>
                <w14:textFill>
                  <w14:solidFill>
                    <w14:schemeClr w14:val="tx1"/>
                  </w14:solidFill>
                </w14:textFill>
              </w:rPr>
              <w:t xml:space="preserve">）方凳，</w:t>
            </w:r>
            <w:r>
              <w:rPr>
                <w:rFonts w:hint="eastAsia" w:ascii="宋体" w:hAnsi="宋体" w:cs="宋体"/>
                <w:color w:val="000000" w:themeColor="text1"/>
                <w:sz w:val="21"/>
                <w:szCs w:val="21"/>
                <w:highlight w:val="none"/>
                <w:lang w:val="zh-CN"/>
                <w14:textFill>
                  <w14:solidFill>
                    <w14:schemeClr w14:val="tx1"/>
                  </w14:solidFill>
                </w14:textFill>
              </w:rPr>
              <w:t xml:space="preserve">检验检测标准需包含GB/T 3325-2024《金属家具通用技术条件》、GB/T 32487-2016《塑料家具通用技术条件》，</w:t>
            </w:r>
            <w:r>
              <w:rPr>
                <w:rFonts w:hint="eastAsia" w:ascii="宋体" w:hAnsi="宋体" w:cs="宋体"/>
                <w:color w:val="000000" w:themeColor="text1"/>
                <w:szCs w:val="21"/>
                <w:highlight w:val="none"/>
                <w:lang w:val="zh-CN"/>
                <w14:textFill>
                  <w14:solidFill>
                    <w14:schemeClr w14:val="tx1"/>
                  </w14:solidFill>
                </w14:textFill>
              </w:rPr>
              <w:t xml:space="preserve">检验项目</w:t>
            </w:r>
            <w:r>
              <w:rPr>
                <w:rFonts w:hint="eastAsia" w:ascii="宋体" w:hAnsi="宋体" w:cs="宋体"/>
                <w:color w:val="000000" w:themeColor="text1"/>
                <w:szCs w:val="21"/>
                <w:highlight w:val="none"/>
                <w:lang w:val="en-US" w:eastAsia="zh-CN"/>
                <w14:textFill>
                  <w14:solidFill>
                    <w14:schemeClr w14:val="tx1"/>
                  </w14:solidFill>
                </w14:textFill>
              </w:rPr>
              <w:t xml:space="preserve">至少</w:t>
            </w:r>
            <w:r>
              <w:rPr>
                <w:rFonts w:hint="eastAsia" w:ascii="宋体" w:hAnsi="宋体" w:cs="宋体"/>
                <w:color w:val="000000" w:themeColor="text1"/>
                <w:szCs w:val="21"/>
                <w:highlight w:val="none"/>
                <w:lang w:val="zh-CN"/>
                <w14:textFill>
                  <w14:solidFill>
                    <w14:schemeClr w14:val="tx1"/>
                  </w14:solidFill>
                </w14:textFill>
              </w:rPr>
              <w:t xml:space="preserve">包含</w:t>
            </w:r>
            <w:r>
              <w:rPr>
                <w:rFonts w:hint="eastAsia" w:ascii="宋体" w:hAnsi="宋体" w:cs="宋体"/>
                <w:color w:val="000000" w:themeColor="text1"/>
                <w:sz w:val="21"/>
                <w:szCs w:val="21"/>
                <w:highlight w:val="none"/>
                <w:lang w:val="zh-CN"/>
                <w14:textFill>
                  <w14:solidFill>
                    <w14:schemeClr w14:val="tx1"/>
                  </w14:solidFill>
                </w14:textFill>
              </w:rPr>
              <w:t xml:space="preserve">：①形状和位置公差；②金属件；③塑料材料理化性能；④邻苯二甲酸酯；⑤重金属；⑥多环芳烃；⑦多溴联苯。</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每提供一份检测报告得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分，检测内容不符或不全不得分；满分</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val="zh-CN"/>
                <w14:textFill>
                  <w14:solidFill>
                    <w14:schemeClr w14:val="tx1"/>
                  </w14:solidFill>
                </w14:textFill>
              </w:rPr>
              <w:t xml:space="preserve">。</w:t>
            </w:r>
            <w:r/>
          </w:p>
          <w:p>
            <w:pPr>
              <w:keepLines w:val="0"/>
              <w:keepNext w:val="0"/>
              <w:pageBreakBefore w:val="0"/>
              <w:spacing w:line="320" w:lineRule="exact"/>
              <w:widowControl w:val="off"/>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上述</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项</w:t>
            </w:r>
            <w:bookmarkStart w:id="173" w:name="OLE_LINK3"/>
            <w:r>
              <w:rPr>
                <w:rFonts w:hint="eastAsia" w:ascii="宋体" w:hAnsi="宋体" w:cs="宋体"/>
                <w:b/>
                <w:bCs/>
                <w:color w:val="000000" w:themeColor="text1"/>
                <w:szCs w:val="21"/>
                <w:highlight w:val="none"/>
                <w:lang w:val="en-US" w:eastAsia="zh-CN"/>
                <w14:textFill>
                  <w14:solidFill>
                    <w14:schemeClr w14:val="tx1"/>
                  </w14:solidFill>
                </w14:textFill>
              </w:rPr>
              <w:t xml:space="preserve">检测报告每按要求（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检测结果应为符合或合格</w:t>
            </w:r>
            <w:r>
              <w:rPr>
                <w:rFonts w:hint="eastAsia" w:ascii="宋体" w:hAnsi="宋体" w:cs="宋体"/>
                <w:b/>
                <w:bCs/>
                <w:color w:val="000000" w:themeColor="text1"/>
                <w:szCs w:val="21"/>
                <w:highlight w:val="none"/>
                <w:lang w:val="en-US" w:eastAsia="zh-CN"/>
                <w14:textFill>
                  <w14:solidFill>
                    <w14:schemeClr w14:val="tx1"/>
                  </w14:solidFill>
                </w14:textFill>
              </w:rPr>
              <w:t xml:space="preserve">）提供1个得1分，满分4分，未提供或未按要求提供的不得分。</w:t>
            </w:r>
            <w:bookmarkEnd w:id="173"/>
            <w:r/>
            <w:r/>
          </w:p>
          <w:p>
            <w:pPr>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注：</w:t>
            </w:r>
            <w:r>
              <w:rPr>
                <w:rFonts w:hint="eastAsia" w:ascii="宋体" w:hAnsi="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投标文件中提供检测报告扫描件并加盖公章，检测报告上有二维码或者电话查询真伪；</w:t>
            </w: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hint="eastAsia" w:ascii="宋体" w:hAnsi="宋体"/>
                <w:b/>
                <w:bCs/>
                <w:color w:val="000000" w:themeColor="text1"/>
                <w:szCs w:val="21"/>
                <w:highlight w:val="none"/>
                <w:lang w:val="zh-CN"/>
                <w14:textFill>
                  <w14:solidFill>
                    <w14:schemeClr w14:val="tx1"/>
                  </w14:solidFill>
                </w14:textFill>
              </w:rPr>
              <w:t xml:space="preserve">如检</w:t>
            </w:r>
            <w:r>
              <w:rPr>
                <w:rFonts w:hint="eastAsia" w:ascii="宋体" w:hAnsi="宋体"/>
                <w:b/>
                <w:color w:val="000000" w:themeColor="text1"/>
                <w:szCs w:val="21"/>
                <w:highlight w:val="none"/>
                <w:lang w:val="zh-CN"/>
                <w14:textFill>
                  <w14:solidFill>
                    <w14:schemeClr w14:val="tx1"/>
                  </w14:solidFill>
                </w14:textFill>
              </w:rPr>
              <w:t xml:space="preserve">测报告中名称表述不完全一致，功能相近的，由评委统一认定。</w:t>
            </w:r>
            <w:r/>
          </w:p>
        </w:tc>
      </w:tr>
      <w:tr>
        <w:trPr>
          <w:trHeight w:val="2254"/>
        </w:trPr>
        <w:tc>
          <w:tcPr>
            <w:tcW w:w="821"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03" w:type="dxa"/>
            <w:vAlign w:val="center"/>
            <w:vMerge w:val="continue"/>
            <w:textDirection w:val="lrTb"/>
            <w:noWrap w:val="false"/>
          </w:tcPr>
          <w:p>
            <w:pPr>
              <w:jc w:val="cente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tc>
        <w:tc>
          <w:tcPr>
            <w:tcW w:w="1209" w:type="dxa"/>
            <w:vAlign w:val="center"/>
            <w:textDirection w:val="lrTb"/>
            <w:noWrap w:val="false"/>
          </w:tcPr>
          <w:p>
            <w:pP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865" w:type="dxa"/>
            <w:vAlign w:val="center"/>
            <w:textDirection w:val="lrTb"/>
            <w:noWrap w:val="false"/>
          </w:tcPr>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3.2（6分）投标人具有2023年1月1日以来法定检测机构（具有CMA认证的检验机构）</w:t>
            </w:r>
            <w:r>
              <w:rPr>
                <w:rFonts w:hint="eastAsia" w:ascii="宋体" w:hAnsi="宋体" w:cs="宋体"/>
                <w:color w:val="000000" w:themeColor="text1"/>
                <w:szCs w:val="21"/>
                <w:highlight w:val="none"/>
                <w:lang w:val="zh-CN"/>
                <w14:textFill>
                  <w14:solidFill>
                    <w14:schemeClr w14:val="tx1"/>
                  </w14:solidFill>
                </w14:textFill>
              </w:rPr>
              <w:t xml:space="preserve">的以下原材料以及部件抽样检测报告：</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cs="宋体"/>
                <w:b/>
                <w:bCs/>
                <w:color w:val="000000" w:themeColor="text1"/>
                <w:sz w:val="21"/>
                <w:szCs w:val="21"/>
                <w:highlight w:val="none"/>
                <w:u w:val="none"/>
                <w:lang w:val="zh-CN"/>
                <w14:textFill>
                  <w14:solidFill>
                    <w14:schemeClr w14:val="tx1"/>
                  </w14:solidFill>
                </w14:textFill>
              </w:rPr>
              <w:t xml:space="preserve">（1）饰面刨花板</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15102-2017《浸渍胶膜纸饰面纤维板和刨花板》、GB/T 39600-2021《人造板及其制品甲醛释放量分级》、GB/T 35601-</w:t>
            </w: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2024</w:t>
            </w:r>
            <w:r>
              <w:rPr>
                <w:rFonts w:hint="eastAsia" w:ascii="宋体" w:hAnsi="宋体" w:cs="宋体"/>
                <w:color w:val="000000" w:themeColor="text1"/>
                <w:sz w:val="21"/>
                <w:szCs w:val="21"/>
                <w:highlight w:val="none"/>
                <w:u w:val="none"/>
                <w:lang w:val="zh-CN"/>
                <w14:textFill>
                  <w14:solidFill>
                    <w14:schemeClr w14:val="tx1"/>
                  </w14:solidFill>
                </w14:textFill>
              </w:rPr>
              <w:t xml:space="preserve">《绿色产品评价 人造板和木质地板》，检测内容至少包括：①苯、甲苯、二甲苯；②甲醛释放量；③TVOC。</w:t>
            </w:r>
            <w:r/>
          </w:p>
          <w:p>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u w:val="none"/>
                <w:lang w:val="zh-CN"/>
                <w14:textFill>
                  <w14:solidFill>
                    <w14:schemeClr w14:val="tx1"/>
                  </w14:solidFill>
                </w14:textFill>
              </w:rPr>
              <w:t xml:space="preserve">（2）钢管</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 GB/T 3325-2024《金属家具通用技术条件》，检测内容至少包括：①耐盐浴；②硬度；③附着力；④甲醛；⑤可迁移有害元素</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pStyle w:val="957"/>
              <w:ind w:left="0" w:firstLine="0"/>
              <w:jc w:val="both"/>
              <w:keepLines w:val="0"/>
              <w:keepNext w:val="0"/>
              <w:pageBreakBefore w:val="0"/>
              <w:spacing w:line="240" w:lineRule="auto"/>
              <w:widowControl w:val="off"/>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t xml:space="preserve">（3）PVC封边条，检验检测标准需包含QB/T 4463-20</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25</w:t>
            </w:r>
            <w:r>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t xml:space="preserve">《家具用封边条技术要求》，检验</w:t>
            </w:r>
            <w:r>
              <w:rPr>
                <w:rFonts w:hint="eastAsia" w:ascii="宋体" w:hAnsi="宋体" w:cs="宋体"/>
                <w:color w:val="000000" w:themeColor="text1"/>
                <w:sz w:val="21"/>
                <w:szCs w:val="21"/>
                <w:highlight w:val="none"/>
                <w:u w:val="none"/>
                <w:lang w:val="en-US" w:eastAsia="zh-CN" w:bidi="ar-SA"/>
                <w14:textFill>
                  <w14:solidFill>
                    <w14:schemeClr w14:val="tx1"/>
                  </w14:solidFill>
                </w14:textFill>
              </w:rPr>
              <w:t xml:space="preserve">内容至少包括</w:t>
            </w:r>
            <w:r>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t xml:space="preserve">：①甲醛释放量；②可迁移元素(可溶性重金属)</w:t>
            </w:r>
            <w:r>
              <w:rPr>
                <w:rFonts w:hint="eastAsia" w:ascii="宋体" w:hAnsi="宋体" w:cs="宋体"/>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t xml:space="preserve">③耐磨性</w:t>
            </w:r>
            <w:r>
              <w:rPr>
                <w:rFonts w:hint="eastAsia" w:ascii="宋体" w:hAnsi="宋体" w:cs="宋体"/>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t xml:space="preserve">④耐干热性</w:t>
            </w:r>
            <w:r>
              <w:rPr>
                <w:rFonts w:hint="eastAsia" w:ascii="宋体" w:hAnsi="宋体" w:cs="宋体"/>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zh-CN" w:eastAsia="zh-CN" w:bidi="ar-SA"/>
                <w14:textFill>
                  <w14:solidFill>
                    <w14:schemeClr w14:val="tx1"/>
                  </w14:solidFill>
                </w14:textFill>
              </w:rPr>
              <w:t xml:space="preserve">⑤耐光色牢度。</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4</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）阻尼铰链</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w:t>
            </w:r>
            <w:r>
              <w:rPr>
                <w:rFonts w:hint="eastAsia" w:ascii="宋体" w:hAnsi="宋体" w:cs="宋体"/>
                <w:color w:val="000000" w:themeColor="text1"/>
                <w:highlight w:val="none"/>
                <w:u w:val="none"/>
                <w:lang w:val="zh-CN"/>
                <w14:textFill>
                  <w14:solidFill>
                    <w14:schemeClr w14:val="tx1"/>
                  </w14:solidFill>
                </w14:textFill>
              </w:rPr>
              <w:t xml:space="preserve">GB/T 3325-2024《金属家具通用技术条件》、</w:t>
            </w:r>
            <w:r>
              <w:rPr>
                <w:rFonts w:hint="eastAsia" w:ascii="宋体" w:hAnsi="宋体" w:cs="宋体"/>
                <w:color w:val="000000" w:themeColor="text1"/>
                <w:sz w:val="21"/>
                <w:szCs w:val="21"/>
                <w:highlight w:val="none"/>
                <w:u w:val="none"/>
                <w:lang w:val="zh-CN"/>
                <w14:textFill>
                  <w14:solidFill>
                    <w14:schemeClr w14:val="tx1"/>
                  </w14:solidFill>
                </w14:textFill>
              </w:rPr>
              <w:t xml:space="preserve">Q</w:t>
            </w:r>
            <w:r>
              <w:rPr>
                <w:rFonts w:hint="eastAsia" w:ascii="宋体" w:hAnsi="宋体" w:cs="宋体"/>
                <w:color w:val="000000" w:themeColor="text1"/>
                <w:sz w:val="21"/>
                <w:szCs w:val="21"/>
                <w:highlight w:val="none"/>
                <w:u w:val="none"/>
                <w:lang w:val="zh-CN"/>
                <w14:textFill>
                  <w14:solidFill>
                    <w14:schemeClr w14:val="tx1"/>
                  </w14:solidFill>
                </w14:textFill>
              </w:rPr>
              <w:t xml:space="preserve">B/T 2189-2013《家具五金 杯状暗铰链》、QB/T 3826-1999《轻工产品金属镀层和化学处理层的耐腐蚀试验方法 中性盐雾试验(NSS)法》、QB/T 3827-1999《轻工产品金属镀层和化学处理层的耐腐蚀试验方法 乙酸盐雾试验、(ASS)法》、QB/T 3832-1999《轻工产品金属镀层腐蚀试验结果的评价》，检测内容至少包括：①过载；②中性盐雾试验(NSS试验):≥100h连续喷雾，≥10级；③乙酸盐雾试验(ASS试验):≥100h连续喷雾，≥10级；④耐久性试验150000次，无缺陷。</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）床梁与床立柱连接件</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3325-2024《金属家具通用技术条件》，检测内容至少包括：①附着力；②硬度；③有害物质限量。</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6</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）塑粉,</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检验检测依据HG/T 2006-2022《热固性和热塑性粉末涂料》、GB 18581-2020《木器涂料中有害物质限量》，检测内容至少包括：①附着力；②耐盐雾性；③总铅含量；④可溶性重金属含量。</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）螺丝,</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3325-2024《金属家具通用技术条件》、QB/T 3826-1999《轻工产品金属镀层和化学处理层的耐腐性试验方法中性盐雾试验（NSS）法》、QB/T 3827-1999《轻工产品金属镀层和化学处理层的 耐腐蚀试验方法乙酸盐雾试验（ASS）法》、QB/T 3832-1999《轻工产品金属镀层腐蚀试验结果的评价》，检测内容至少包括：①外观性能；②中性盐雾试验(NSS试验):≥100h连续喷雾，≥10级；③乙酸盐雾试验(ASS试验):≥100h连续喷雾，≥10级。</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）顶盖(床立柱上下盖)</w:t>
            </w:r>
            <w:r>
              <w:rPr>
                <w:rFonts w:hint="eastAsia" w:ascii="宋体" w:hAnsi="宋体" w:cs="宋体"/>
                <w:color w:val="000000" w:themeColor="text1"/>
                <w:sz w:val="21"/>
                <w:szCs w:val="21"/>
                <w:highlight w:val="none"/>
                <w:u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检验检测标准需包含GB 18584-2024《家具中有害物质限量》，检验项目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至少</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包含：①邻苯二甲酸酯；②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可迁移有害元素</w:t>
            </w:r>
            <w:r>
              <w:rPr>
                <w:rFonts w:hint="eastAsia" w:ascii="宋体" w:hAnsi="宋体" w:eastAsia="宋体" w:cs="宋体"/>
                <w:color w:val="000000" w:themeColor="text1"/>
                <w:sz w:val="21"/>
                <w:szCs w:val="21"/>
                <w:highlight w:val="none"/>
                <w:lang w:val="zh-CN"/>
                <w14:textFill>
                  <w14:solidFill>
                    <w14:schemeClr w14:val="tx1"/>
                  </w14:solidFill>
                </w14:textFill>
              </w:rPr>
              <w:t xml:space="preserve">；；③多环芳烃；④多溴二苯醚(PBDE)。</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9</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）前护栏</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3325-2024《金属家具通用技术条件》，检测内容至少包括：①喷漆(塑)涂层；②硬度。</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0</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）注塑封边一次成型门板</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3324-2024《木家具通用技术条件》、GB/T 35607-2024《绿色产品评价 家具》，检测内容至少包括：①木制件表面理化性能；②塑料件；③木工要求；④总挥发性有机化合物。</w:t>
            </w:r>
            <w:r/>
          </w:p>
          <w:p>
            <w:pPr>
              <w:pStyle w:val="957"/>
              <w:ind w:left="0" w:firstLine="0"/>
              <w:keepLines w:val="0"/>
              <w:keepNext w:val="0"/>
              <w:pageBreakBefore w:val="0"/>
              <w:spacing w:line="320" w:lineRule="exact"/>
              <w:widowControl w:val="off"/>
              <w:rPr>
                <w:rFonts w:hint="eastAsia" w:ascii="宋体" w:hAnsi="宋体" w:cs="宋体"/>
                <w:color w:val="000000" w:themeColor="text1"/>
                <w:sz w:val="21"/>
                <w:szCs w:val="21"/>
                <w:highlight w:val="none"/>
                <w:u w:val="none"/>
                <w:lang w:val="zh-CN"/>
                <w14:textFill>
                  <w14:solidFill>
                    <w14:schemeClr w14:val="tx1"/>
                  </w14:solidFill>
                </w14:textFill>
              </w:rPr>
            </w:pP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u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u w:val="none"/>
                <w:lang w:val="zh-CN" w:eastAsia="zh-CN" w:bidi="ar-SA"/>
                <w14:textFill>
                  <w14:solidFill>
                    <w14:schemeClr w14:val="tx1"/>
                  </w14:solidFill>
                </w14:textFill>
              </w:rPr>
              <w:t xml:space="preserve">）中空吹塑一次成型床板</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32487-2016《塑料家具通用技术条件》、GB/T 35607-2024《绿色产品评价 家具》，检测内容至少包括：①邻苯二甲酸酯；②多环芳烃；③产品有害物质（铅、铬、镉）。</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u w:val="none"/>
                <w:lang w:val="zh-CN"/>
                <w14:textFill>
                  <w14:solidFill>
                    <w14:schemeClr w14:val="tx1"/>
                  </w14:solidFill>
                </w14:textFill>
              </w:rPr>
              <w:t xml:space="preserve">（1</w:t>
            </w:r>
            <w:r>
              <w:rPr>
                <w:rFonts w:hint="eastAsia" w:ascii="宋体" w:hAnsi="宋体" w:cs="宋体"/>
                <w:b/>
                <w:bCs/>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u w:val="none"/>
                <w:lang w:val="zh-CN"/>
                <w14:textFill>
                  <w14:solidFill>
                    <w14:schemeClr w14:val="tx1"/>
                  </w14:solidFill>
                </w14:textFill>
              </w:rPr>
              <w:t xml:space="preserve">）铝合金锁盒</w:t>
            </w:r>
            <w:r>
              <w:rPr>
                <w:rFonts w:hint="eastAsia" w:ascii="宋体" w:hAnsi="宋体" w:cs="宋体"/>
                <w:color w:val="000000" w:themeColor="text1"/>
                <w:sz w:val="21"/>
                <w:szCs w:val="21"/>
                <w:highlight w:val="none"/>
                <w:u w:val="none"/>
                <w:lang w:val="zh-CN"/>
                <w14:textFill>
                  <w14:solidFill>
                    <w14:schemeClr w14:val="tx1"/>
                  </w14:solidFill>
                </w14:textFill>
              </w:rPr>
              <w:t xml:space="preserve">,检验检测依据GB/T 3325-2024《金属家具通用技术条件》，检测内容至少包括：①硬度；②喷漆（塑）涂层</w:t>
            </w:r>
            <w:r>
              <w:rPr>
                <w:rFonts w:hint="eastAsia" w:ascii="宋体" w:hAnsi="宋体" w:cs="宋体"/>
                <w:color w:val="000000" w:themeColor="text1"/>
                <w:sz w:val="21"/>
                <w:szCs w:val="21"/>
                <w:highlight w:val="none"/>
                <w14:textFill>
                  <w14:solidFill>
                    <w14:schemeClr w14:val="tx1"/>
                  </w14:solidFill>
                </w14:textFill>
              </w:rPr>
              <w:t xml:space="preserve">。</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每提供一份检测报告得</w:t>
            </w:r>
            <w:r>
              <w:rPr>
                <w:rFonts w:hint="eastAsia" w:ascii="宋体" w:hAnsi="宋体" w:cs="宋体"/>
                <w:color w:val="000000" w:themeColor="text1"/>
                <w:szCs w:val="21"/>
                <w:highlight w:val="none"/>
                <w14:textFill>
                  <w14:solidFill>
                    <w14:schemeClr w14:val="tx1"/>
                  </w14:solidFill>
                </w14:textFill>
              </w:rPr>
              <w:t xml:space="preserve">0.5</w:t>
            </w:r>
            <w:r>
              <w:rPr>
                <w:rFonts w:hint="eastAsia" w:ascii="宋体" w:hAnsi="宋体" w:cs="宋体"/>
                <w:color w:val="000000" w:themeColor="text1"/>
                <w:szCs w:val="21"/>
                <w:highlight w:val="none"/>
                <w:lang w:val="zh-CN"/>
                <w14:textFill>
                  <w14:solidFill>
                    <w14:schemeClr w14:val="tx1"/>
                  </w14:solidFill>
                </w14:textFill>
              </w:rPr>
              <w:t xml:space="preserve">分，检测内容不符或不全不得分；满分</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val="zh-CN"/>
                <w14:textFill>
                  <w14:solidFill>
                    <w14:schemeClr w14:val="tx1"/>
                  </w14:solidFill>
                </w14:textFill>
              </w:rPr>
              <w:t xml:space="preserve">。</w:t>
            </w:r>
            <w:r/>
          </w:p>
          <w:p>
            <w:pPr>
              <w:keepLines w:val="0"/>
              <w:keepNext w:val="0"/>
              <w:pageBreakBefore w:val="0"/>
              <w:spacing w:line="320" w:lineRule="exact"/>
              <w:widowControl w:val="off"/>
              <w:rPr>
                <w:rFonts w:hint="eastAsia" w:ascii="宋体" w:hAnsi="宋体" w:cs="宋体"/>
                <w:b/>
                <w:bCs/>
                <w:color w:val="000000" w:themeColor="text1"/>
                <w:szCs w:val="2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上述</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项</w:t>
            </w:r>
            <w:r>
              <w:rPr>
                <w:rFonts w:hint="eastAsia" w:ascii="宋体" w:hAnsi="宋体" w:cs="宋体"/>
                <w:b/>
                <w:bCs/>
                <w:color w:val="000000" w:themeColor="text1"/>
                <w:szCs w:val="21"/>
                <w:highlight w:val="none"/>
                <w:lang w:val="en-US" w:eastAsia="zh-CN"/>
                <w14:textFill>
                  <w14:solidFill>
                    <w14:schemeClr w14:val="tx1"/>
                  </w14:solidFill>
                </w14:textFill>
              </w:rPr>
              <w:t xml:space="preserve">检测报告每按要求（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检测结果应为符合或合格</w:t>
            </w:r>
            <w:r>
              <w:rPr>
                <w:rFonts w:hint="eastAsia" w:ascii="宋体" w:hAnsi="宋体" w:cs="宋体"/>
                <w:b/>
                <w:bCs/>
                <w:color w:val="000000" w:themeColor="text1"/>
                <w:szCs w:val="21"/>
                <w:highlight w:val="none"/>
                <w:lang w:val="en-US" w:eastAsia="zh-CN"/>
                <w14:textFill>
                  <w14:solidFill>
                    <w14:schemeClr w14:val="tx1"/>
                  </w14:solidFill>
                </w14:textFill>
              </w:rPr>
              <w:t xml:space="preserve">）提供1个得0.5分，满分6分，未提供或未按要求提供的不得分。</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注：</w:t>
            </w:r>
            <w:r>
              <w:rPr>
                <w:rFonts w:hint="eastAsia" w:ascii="宋体" w:hAnsi="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投标文件中提供检测报告扫描件并加盖公章，检测报告上有二维码或者电话查询真伪；</w:t>
            </w: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hint="eastAsia" w:ascii="宋体" w:hAnsi="宋体"/>
                <w:b/>
                <w:bCs/>
                <w:color w:val="000000" w:themeColor="text1"/>
                <w:szCs w:val="21"/>
                <w:highlight w:val="none"/>
                <w:lang w:val="zh-CN"/>
                <w14:textFill>
                  <w14:solidFill>
                    <w14:schemeClr w14:val="tx1"/>
                  </w14:solidFill>
                </w14:textFill>
              </w:rPr>
              <w:t xml:space="preserve">如检</w:t>
            </w:r>
            <w:r>
              <w:rPr>
                <w:rFonts w:hint="eastAsia" w:ascii="宋体" w:hAnsi="宋体"/>
                <w:b/>
                <w:color w:val="000000" w:themeColor="text1"/>
                <w:szCs w:val="21"/>
                <w:highlight w:val="none"/>
                <w:lang w:val="zh-CN"/>
                <w14:textFill>
                  <w14:solidFill>
                    <w14:schemeClr w14:val="tx1"/>
                  </w14:solidFill>
                </w14:textFill>
              </w:rPr>
              <w:t xml:space="preserve">测报告中名称表述不完全一致，功能相近的，由评委统一认定。</w:t>
            </w:r>
            <w:r/>
          </w:p>
        </w:tc>
      </w:tr>
      <w:tr>
        <w:trPr>
          <w:trHeight w:val="775"/>
        </w:trPr>
        <w:tc>
          <w:tcPr>
            <w:tcW w:w="821" w:type="dxa"/>
            <w:vAlign w:val="center"/>
            <w:vMerge w:val="restart"/>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W w:w="1003" w:type="dxa"/>
            <w:vAlign w:val="center"/>
            <w:vMerge w:val="restart"/>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20分</w:t>
            </w:r>
            <w:r/>
          </w:p>
        </w:tc>
        <w:tc>
          <w:tcPr>
            <w:tcW w:w="1209" w:type="dxa"/>
            <w:vAlign w:val="center"/>
            <w:vMerge w:val="restart"/>
            <w:textDirection w:val="lrTb"/>
            <w:noWrap w:val="false"/>
          </w:tcPr>
          <w:p>
            <w:pP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项目生产实施、</w:t>
            </w:r>
            <w:r>
              <w:rPr>
                <w:rFonts w:hint="eastAsia" w:ascii="宋体" w:hAnsi="宋体" w:cs="宋体"/>
                <w:color w:val="000000" w:themeColor="text1"/>
                <w:szCs w:val="21"/>
                <w:highlight w:val="none"/>
                <w:lang w:val="zh-CN"/>
                <w14:textFill>
                  <w14:solidFill>
                    <w14:schemeClr w14:val="tx1"/>
                  </w14:solidFill>
                </w14:textFill>
              </w:rPr>
              <w:t xml:space="preserve">家具设计方案、</w:t>
            </w:r>
            <w:r>
              <w:rPr>
                <w:rFonts w:hint="eastAsia" w:ascii="宋体" w:hAnsi="宋体" w:eastAsia="宋体" w:cs="宋体"/>
                <w:color w:val="000000" w:themeColor="text1"/>
                <w:szCs w:val="21"/>
                <w:highlight w:val="none"/>
                <w14:textFill>
                  <w14:solidFill>
                    <w14:schemeClr w14:val="tx1"/>
                  </w14:solidFill>
                </w14:textFill>
              </w:rPr>
              <w:t xml:space="preserve">产品质量保证方案</w:t>
            </w:r>
            <w:r>
              <w:rPr>
                <w:rFonts w:hint="eastAsia" w:ascii="宋体" w:hAnsi="宋体" w:eastAsia="宋体" w:cs="宋体"/>
                <w:color w:val="000000" w:themeColor="text1"/>
                <w:szCs w:val="21"/>
                <w:highlight w:val="none"/>
                <w:lang w:eastAsia="zh-CN"/>
                <w14:textFill>
                  <w14:solidFill>
                    <w14:schemeClr w14:val="tx1"/>
                  </w14:solidFill>
                </w14:textFill>
              </w:rPr>
              <w:t xml:space="preserve">、产品运输、包装方案、产品安装方案</w:t>
            </w:r>
            <w:r/>
          </w:p>
        </w:tc>
        <w:tc>
          <w:tcPr>
            <w:tcW w:w="5865" w:type="dxa"/>
            <w:vAlign w:val="top"/>
            <w:textDirection w:val="lrTb"/>
            <w:noWrap w:val="false"/>
          </w:tcPr>
          <w:p>
            <w:pP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4.1（4分）</w:t>
            </w:r>
            <w:r>
              <w:rPr>
                <w:rFonts w:hint="eastAsia" w:ascii="宋体" w:hAnsi="宋体" w:cs="宋体"/>
                <w:color w:val="000000" w:themeColor="text1"/>
                <w:szCs w:val="21"/>
                <w:highlight w:val="none"/>
                <w:lang w:val="zh-CN"/>
                <w14:textFill>
                  <w14:solidFill>
                    <w14:schemeClr w14:val="tx1"/>
                  </w14:solidFill>
                </w14:textFill>
              </w:rPr>
              <w:t xml:space="preserve">投标人提供项目生产实施：需包括生产计划安排，生产工艺流程，拟投入的设备情况；方案需全面详实、安排合理得当、保证项目的顺利实施。优于招标文件要求的得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分，符合招标文件要求的得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分，不符合招标文件要求或未提供得不得分。</w:t>
            </w:r>
            <w:r/>
          </w:p>
        </w:tc>
      </w:tr>
      <w:tr>
        <w:trPr>
          <w:trHeight w:val="775"/>
        </w:trPr>
        <w:tc>
          <w:tcPr>
            <w:tcW w:w="821"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03"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209"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65" w:type="dxa"/>
            <w:vAlign w:val="top"/>
            <w:textDirection w:val="lrTb"/>
            <w:noWrap w:val="false"/>
          </w:tcPr>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4.2（4分）</w:t>
            </w:r>
            <w:r>
              <w:rPr>
                <w:rFonts w:hint="eastAsia" w:ascii="宋体" w:hAnsi="宋体" w:cs="宋体"/>
                <w:color w:val="000000" w:themeColor="text1"/>
                <w:szCs w:val="21"/>
                <w:highlight w:val="none"/>
                <w:lang w:val="zh-CN"/>
                <w14:textFill>
                  <w14:solidFill>
                    <w14:schemeClr w14:val="tx1"/>
                  </w14:solidFill>
                </w14:textFill>
              </w:rPr>
              <w:t xml:space="preserve">投标人针对项目需求提供所投家具设计方案，内容包括但不限于优化设计家具的彩色效果图、设计图纸等。优于招标文件要求的得</w:t>
            </w:r>
            <w:r>
              <w:rPr>
                <w:rFonts w:hint="eastAsia" w:ascii="宋体" w:hAnsi="宋体" w:cs="宋体"/>
                <w:color w:val="000000" w:themeColor="text1"/>
                <w:szCs w:val="21"/>
                <w:highlight w:val="none"/>
                <w:lang w:val="zh-CN"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分，符合招标文件要求的得</w:t>
            </w:r>
            <w:r>
              <w:rPr>
                <w:rFonts w:hint="eastAsia" w:ascii="宋体" w:hAnsi="宋体" w:cs="宋体"/>
                <w:color w:val="000000" w:themeColor="text1"/>
                <w:szCs w:val="21"/>
                <w:highlight w:val="none"/>
                <w:lang w:val="zh-CN"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分，不符合招标文件要求或未提供得不得分。</w:t>
            </w:r>
            <w:r>
              <w:rPr>
                <w:rFonts w:hint="eastAsia" w:ascii="宋体" w:hAnsi="宋体" w:cs="宋体"/>
                <w:color w:val="000000" w:themeColor="text1"/>
                <w:szCs w:val="21"/>
                <w:highlight w:val="none"/>
                <w:lang w:val="zh-CN" w:eastAsia="zh-CN"/>
                <w14:textFill>
                  <w14:solidFill>
                    <w14:schemeClr w14:val="tx1"/>
                  </w14:solidFill>
                </w14:textFill>
              </w:rPr>
              <w:t xml:space="preserve"> </w:t>
            </w:r>
            <w:r/>
          </w:p>
        </w:tc>
      </w:tr>
      <w:tr>
        <w:trPr>
          <w:trHeight w:val="1232"/>
        </w:trPr>
        <w:tc>
          <w:tcPr>
            <w:tcW w:w="821" w:type="dxa"/>
            <w:vAlign w:val="center"/>
            <w:vMerge w:val="continue"/>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tcW w:w="1003" w:type="dxa"/>
            <w:vAlign w:val="center"/>
            <w:vMerge w:val="continue"/>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9" w:type="dxa"/>
            <w:vAlign w:val="center"/>
            <w:vMerge w:val="continue"/>
            <w:textDirection w:val="lrTb"/>
            <w:noWrap w:val="false"/>
          </w:tcPr>
          <w:p>
            <w:pP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865" w:type="dxa"/>
            <w:vAlign w:val="top"/>
            <w:textDirection w:val="lrTb"/>
            <w:noWrap w:val="false"/>
          </w:tcPr>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4.3（4分）</w:t>
            </w:r>
            <w:r>
              <w:rPr>
                <w:rFonts w:hint="eastAsia" w:ascii="宋体" w:hAnsi="宋体" w:cs="宋体"/>
                <w:color w:val="000000" w:themeColor="text1"/>
                <w:szCs w:val="21"/>
                <w:highlight w:val="none"/>
                <w:lang w:val="zh-CN"/>
                <w14:textFill>
                  <w14:solidFill>
                    <w14:schemeClr w14:val="tx1"/>
                  </w14:solidFill>
                </w14:textFill>
              </w:rPr>
              <w:t xml:space="preserve">投标人提供产品质量保证方案：需包括原材料采购质量方案，产品质量目标的设定，以及产品质量检测方案；方案需全面详实、安排合理得当、保证项目的顺利实施。</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优于招标文件要求的得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分，符合招标文件要求的得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分，不符合招标文件要求或未提供的不得分</w:t>
            </w:r>
            <w:r/>
          </w:p>
        </w:tc>
      </w:tr>
      <w:tr>
        <w:trPr>
          <w:trHeight w:val="457"/>
        </w:trPr>
        <w:tc>
          <w:tcPr>
            <w:tcW w:w="821" w:type="dxa"/>
            <w:vAlign w:val="center"/>
            <w:vMerge w:val="continue"/>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tcW w:w="1003" w:type="dxa"/>
            <w:vAlign w:val="center"/>
            <w:vMerge w:val="continue"/>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9" w:type="dxa"/>
            <w:vAlign w:val="center"/>
            <w:vMerge w:val="continue"/>
            <w:textDirection w:val="lrTb"/>
            <w:noWrap w:val="false"/>
          </w:tcPr>
          <w:p>
            <w:pP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tcW w:w="5865" w:type="dxa"/>
            <w:vAlign w:val="top"/>
            <w:textDirection w:val="lrTb"/>
            <w:noWrap w:val="false"/>
          </w:tcPr>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4.4（4分）</w:t>
            </w:r>
            <w:r>
              <w:rPr>
                <w:rFonts w:hint="eastAsia" w:ascii="宋体" w:hAnsi="宋体" w:cs="宋体"/>
                <w:color w:val="000000" w:themeColor="text1"/>
                <w:szCs w:val="21"/>
                <w:highlight w:val="none"/>
                <w:lang w:val="zh-CN"/>
                <w14:textFill>
                  <w14:solidFill>
                    <w14:schemeClr w14:val="tx1"/>
                  </w14:solidFill>
                </w14:textFill>
              </w:rPr>
              <w:t xml:space="preserve">投标人提供产品运输、包装方案：需包括产品的运输计划安排方案、包装措施方案、运输安全措施；方案需全面详实、安排合理得当、保证项目的顺利实施。</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优于招标文件要求的得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分，符合招标文件要求的得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分，不符合招标文件要求或未提供得不得分。</w:t>
            </w:r>
            <w:r/>
          </w:p>
        </w:tc>
      </w:tr>
      <w:tr>
        <w:trPr>
          <w:trHeight w:val="1232"/>
        </w:trPr>
        <w:tc>
          <w:tcPr>
            <w:tcW w:w="821"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r>
            <w:r/>
          </w:p>
        </w:tc>
        <w:tc>
          <w:tcPr>
            <w:tcW w:w="1003" w:type="dxa"/>
            <w:vAlign w:val="center"/>
            <w:vMerge w:val="continue"/>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9" w:type="dxa"/>
            <w:vAlign w:val="center"/>
            <w:vMerge w:val="continue"/>
            <w:textDirection w:val="lrTb"/>
            <w:noWrap w:val="false"/>
          </w:tcPr>
          <w:p>
            <w:pPr>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r>
            <w:r/>
          </w:p>
        </w:tc>
        <w:tc>
          <w:tcPr>
            <w:tcW w:w="5865" w:type="dxa"/>
            <w:vAlign w:val="top"/>
            <w:textDirection w:val="lrTb"/>
            <w:noWrap w:val="false"/>
          </w:tcPr>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4.5（4分）</w:t>
            </w:r>
            <w:r>
              <w:rPr>
                <w:rFonts w:hint="eastAsia" w:ascii="宋体" w:hAnsi="宋体" w:cs="宋体"/>
                <w:color w:val="000000" w:themeColor="text1"/>
                <w:szCs w:val="21"/>
                <w:highlight w:val="none"/>
                <w:lang w:val="zh-CN"/>
                <w14:textFill>
                  <w14:solidFill>
                    <w14:schemeClr w14:val="tx1"/>
                  </w14:solidFill>
                </w14:textFill>
              </w:rPr>
              <w:t xml:space="preserve">投标人提供产品安装方案：需包括，产品的安装措施、项目工期的安排、拟投入的人员计划；方案需全面详实、安排合理得当、保证项目的顺利实施。</w:t>
            </w:r>
            <w:r/>
          </w:p>
          <w:p>
            <w:pPr>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优于招标文件要求的得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分，符合招标文件要求的得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分，不符合招标文件要求或未提供得不得分。</w:t>
            </w:r>
            <w:r/>
          </w:p>
        </w:tc>
      </w:tr>
      <w:tr>
        <w:trPr>
          <w:trHeight w:val="1232"/>
        </w:trPr>
        <w:tc>
          <w:tcPr>
            <w:tcW w:w="821" w:type="dxa"/>
            <w:vAlign w:val="center"/>
            <w:vMerge w:val="restart"/>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tcW w:w="1003" w:type="dxa"/>
            <w:vAlign w:val="center"/>
            <w:vMerge w:val="restart"/>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7分</w:t>
            </w:r>
            <w:r/>
          </w:p>
        </w:tc>
        <w:tc>
          <w:tcPr>
            <w:tcW w:w="1209" w:type="dxa"/>
            <w:vAlign w:val="center"/>
            <w:vMerge w:val="restart"/>
            <w:textDirection w:val="lrTb"/>
            <w:noWrap w:val="false"/>
          </w:tcPr>
          <w:p>
            <w:pP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售后服务方案</w:t>
            </w:r>
            <w:r/>
          </w:p>
        </w:tc>
        <w:tc>
          <w:tcPr>
            <w:tcW w:w="5865" w:type="dxa"/>
            <w:vAlign w:val="top"/>
            <w:textDirection w:val="lrTb"/>
            <w:noWrap w:val="false"/>
          </w:tcPr>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5.1（4分）</w:t>
            </w:r>
            <w:r>
              <w:rPr>
                <w:rFonts w:hint="eastAsia" w:ascii="宋体" w:hAnsi="宋体" w:cs="宋体"/>
                <w:color w:val="000000" w:themeColor="text1"/>
                <w:szCs w:val="21"/>
                <w:highlight w:val="none"/>
                <w:lang w:val="zh-CN"/>
                <w14:textFill>
                  <w14:solidFill>
                    <w14:schemeClr w14:val="tx1"/>
                  </w14:solidFill>
                </w14:textFill>
              </w:rPr>
              <w:t xml:space="preserve">投标人提供售后服务方案，方案需包括售后服务体系，服务内容，响应时间，售后服务人员安排。方案需全面详实、安排合理得当、保证项目的顺利实施。方案优于招标文件要求的得4分，符合招标文件要求的得2分，不符合招标文件要求或未提供得不得分。</w:t>
            </w:r>
            <w:r/>
          </w:p>
        </w:tc>
      </w:tr>
      <w:tr>
        <w:trPr>
          <w:trHeight w:val="0"/>
        </w:trPr>
        <w:tc>
          <w:tcPr>
            <w:tcW w:w="821" w:type="dxa"/>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03" w:type="dxa"/>
            <w:vAlign w:val="center"/>
            <w:vMerge w:val="continue"/>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9" w:type="dxa"/>
            <w:vAlign w:val="center"/>
            <w:vMerge w:val="continue"/>
            <w:textDirection w:val="lrTb"/>
            <w:noWrap w:val="false"/>
          </w:tcPr>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865" w:type="dxa"/>
            <w:vAlign w:val="top"/>
            <w:textDirection w:val="lrTb"/>
            <w:noWrap w:val="false"/>
          </w:tcPr>
          <w:p>
            <w:pPr>
              <w:jc w:val="left"/>
              <w:rPr>
                <w:rFonts w:hint="eastAsia" w:ascii="宋体" w:hAnsi="宋体" w:eastAsia="宋体" w:cs="宋体"/>
                <w:color w:val="000000" w:themeColor="text1"/>
                <w:sz w:val="13"/>
                <w:szCs w:val="13"/>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5.2（3分）投标人承诺质保期满后，能根据采购人要求提供充足的备品、备件。保修期外的维修，只收材料成本费。投标人提供承诺书，并加盖投标单位公章。按要求提供的得3分，未提供的不得分。</w:t>
            </w:r>
            <w:r/>
          </w:p>
        </w:tc>
      </w:tr>
      <w:tr>
        <w:trPr>
          <w:trHeight w:val="90"/>
        </w:trPr>
        <w:tc>
          <w:tcPr>
            <w:tcW w:w="821" w:type="dxa"/>
            <w:vAlign w:val="center"/>
            <w:vMerge w:val="restart"/>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W w:w="1003" w:type="dxa"/>
            <w:vAlign w:val="center"/>
            <w:vMerge w:val="restart"/>
            <w:textDirection w:val="lrTb"/>
            <w:noWrap w:val="false"/>
          </w:tcPr>
          <w:p>
            <w:pPr>
              <w:jc w:val="center"/>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12分</w:t>
            </w:r>
            <w:r/>
          </w:p>
        </w:tc>
        <w:tc>
          <w:tcPr>
            <w:tcW w:w="1209" w:type="dxa"/>
            <w:vAlign w:val="center"/>
            <w:vMerge w:val="restart"/>
            <w:textDirection w:val="lrTb"/>
            <w:noWrap w:val="false"/>
          </w:tcPr>
          <w:p>
            <w:pPr>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投标人履约能力</w:t>
            </w:r>
            <w:r/>
          </w:p>
        </w:tc>
        <w:tc>
          <w:tcPr>
            <w:tcW w:w="5865" w:type="dxa"/>
            <w:vAlign w:val="center"/>
            <w:textDirection w:val="lrTb"/>
            <w:noWrap w:val="false"/>
          </w:tcPr>
          <w:p>
            <w:pP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6.1（3分）投标人自2023年1月1日以来（以合同签订时间为准）具有与本次采购相关（需包括公寓家具类似产品的供应安装）的类似项目供货及安装成功案例，每提供一份得0.5分，最多得3分。</w:t>
            </w:r>
            <w:r>
              <w:rPr>
                <w:rFonts w:hint="eastAsia" w:ascii="宋体" w:hAnsi="宋体" w:cs="宋体"/>
                <w:b/>
                <w:bCs/>
                <w:color w:val="000000" w:themeColor="text1"/>
                <w:szCs w:val="21"/>
                <w:highlight w:val="none"/>
                <w:lang w:val="en-US" w:eastAsia="zh-CN"/>
                <w14:textFill>
                  <w14:solidFill>
                    <w14:schemeClr w14:val="tx1"/>
                  </w14:solidFill>
                </w14:textFill>
              </w:rPr>
              <w:t xml:space="preserve">（需提供有效合同复印件及用户单位盖章的验收合格报告，以上均加盖投标单位公章）</w:t>
            </w:r>
            <w:r/>
          </w:p>
        </w:tc>
      </w:tr>
      <w:tr>
        <w:trPr>
          <w:trHeight w:val="619"/>
        </w:trPr>
        <w:tc>
          <w:tcPr>
            <w:tcW w:w="821"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03"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209"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65" w:type="dxa"/>
            <w:vAlign w:val="center"/>
            <w:textDirection w:val="lrTb"/>
            <w:noWrap w:val="false"/>
          </w:tcPr>
          <w:p>
            <w:pPr>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6.2（2分）投标人具有有效的与本次公寓家具采购相关的专利证书，每提供一个证书得0.5分，最高得2分。（注：如投标文件中提供的专利名称表述与招标文件描述的关键字样不一致，而该投标文件中能证明供应商拥有的专利具有相同或相似功能和效果，且评审委员会认可的，视同符合要求。</w:t>
            </w:r>
            <w:r>
              <w:rPr>
                <w:rFonts w:hint="eastAsia" w:ascii="宋体" w:hAnsi="宋体" w:cs="宋体"/>
                <w:b/>
                <w:bCs/>
                <w:color w:val="000000" w:themeColor="text1"/>
                <w:szCs w:val="21"/>
                <w:highlight w:val="none"/>
                <w:lang w:val="en-US" w:eastAsia="zh-CN"/>
                <w14:textFill>
                  <w14:solidFill>
                    <w14:schemeClr w14:val="tx1"/>
                  </w14:solidFill>
                </w14:textFill>
              </w:rPr>
              <w:t xml:space="preserve">提供有效证书复印件，提供国家知识产权局网站查询截图加盖投标单位公章）</w:t>
            </w:r>
            <w:r/>
          </w:p>
        </w:tc>
      </w:tr>
      <w:tr>
        <w:trPr>
          <w:trHeight w:val="619"/>
        </w:trPr>
        <w:tc>
          <w:tcPr>
            <w:tcW w:w="821"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03"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209"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65" w:type="dxa"/>
            <w:vAlign w:val="center"/>
            <w:textDirection w:val="lrTb"/>
            <w:noWrap w:val="false"/>
          </w:tcPr>
          <w:p>
            <w:p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6.3（1分）</w:t>
            </w:r>
            <w:r>
              <w:rPr>
                <w:rFonts w:hint="eastAsia" w:ascii="宋体" w:hAnsi="宋体" w:cs="宋体"/>
                <w:color w:val="000000" w:themeColor="text1"/>
                <w:szCs w:val="21"/>
                <w:highlight w:val="none"/>
                <w:lang w:val="zh-CN"/>
                <w14:textFill>
                  <w14:solidFill>
                    <w14:schemeClr w14:val="tx1"/>
                  </w14:solidFill>
                </w14:textFill>
              </w:rPr>
              <w:t xml:space="preserve">投标人提供有效的</w:t>
            </w:r>
            <w:r>
              <w:rPr>
                <w:rFonts w:hint="eastAsia" w:ascii="宋体" w:hAnsi="宋体" w:cs="宋体"/>
                <w:color w:val="000000" w:themeColor="text1"/>
                <w:szCs w:val="21"/>
                <w:highlight w:val="none"/>
                <w:lang w:val="en-US" w:eastAsia="zh-CN"/>
                <w14:textFill>
                  <w14:solidFill>
                    <w14:schemeClr w14:val="tx1"/>
                  </w14:solidFill>
                </w14:textFill>
              </w:rPr>
              <w:t xml:space="preserve">中国环境标志产品认证证书，</w:t>
            </w:r>
            <w:bookmarkStart w:id="174" w:name="OLE_LINK9"/>
            <w:r>
              <w:rPr>
                <w:rFonts w:hint="eastAsia" w:ascii="宋体" w:hAnsi="宋体" w:cs="宋体"/>
                <w:color w:val="000000" w:themeColor="text1"/>
                <w:szCs w:val="21"/>
                <w:highlight w:val="none"/>
                <w:lang w:val="en-US" w:eastAsia="zh-CN"/>
                <w14:textFill>
                  <w14:solidFill>
                    <w14:schemeClr w14:val="tx1"/>
                  </w14:solidFill>
                </w14:textFill>
              </w:rPr>
              <w:t xml:space="preserve">证书须满足以下要求：</w:t>
            </w:r>
            <w:bookmarkEnd w:id="174"/>
            <w:r>
              <w:rPr>
                <w:rFonts w:hint="eastAsia" w:ascii="宋体" w:hAnsi="宋体" w:cs="宋体"/>
                <w:color w:val="000000" w:themeColor="text1"/>
                <w:szCs w:val="21"/>
                <w:highlight w:val="none"/>
                <w:lang w:val="en-US" w:eastAsia="zh-CN"/>
                <w14:textFill>
                  <w14:solidFill>
                    <w14:schemeClr w14:val="tx1"/>
                  </w14:solidFill>
                </w14:textFill>
              </w:rPr>
              <w:t xml:space="preserve">包含与本次采购相关的“金属家具”、“人造板类家具”</w:t>
            </w:r>
            <w:r>
              <w:rPr>
                <w:rFonts w:hint="eastAsia" w:ascii="宋体" w:hAnsi="宋体" w:cs="宋体"/>
                <w:color w:val="000000" w:themeColor="text1"/>
                <w:szCs w:val="21"/>
                <w:highlight w:val="none"/>
                <w:lang w:val="zh-CN"/>
                <w14:textFill>
                  <w14:solidFill>
                    <w14:schemeClr w14:val="tx1"/>
                  </w14:solidFill>
                </w14:textFill>
              </w:rPr>
              <w:t xml:space="preserve">，</w:t>
            </w:r>
            <w:bookmarkStart w:id="175" w:name="OLE_LINK10"/>
            <w:r>
              <w:rPr>
                <w:rFonts w:hint="eastAsia" w:ascii="宋体" w:hAnsi="宋体" w:cs="宋体"/>
                <w:color w:val="000000" w:themeColor="text1"/>
                <w:szCs w:val="21"/>
                <w:highlight w:val="none"/>
                <w:lang w:val="en-US" w:eastAsia="zh-CN"/>
                <w14:textFill>
                  <w14:solidFill>
                    <w14:schemeClr w14:val="tx1"/>
                  </w14:solidFill>
                </w14:textFill>
              </w:rPr>
              <w:t xml:space="preserve">每满足上述一项要求得0.5分，满分</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bookmarkEnd w:id="175"/>
            <w:r>
              <w:rPr>
                <w:rFonts w:hint="eastAsia" w:ascii="宋体" w:hAnsi="宋体" w:cs="宋体"/>
                <w:b/>
                <w:bCs/>
                <w:color w:val="000000" w:themeColor="text1"/>
                <w:szCs w:val="21"/>
                <w:highlight w:val="none"/>
                <w:lang w:val="zh-CN"/>
                <w14:textFill>
                  <w14:solidFill>
                    <w14:schemeClr w14:val="tx1"/>
                  </w14:solidFill>
                </w14:textFill>
              </w:rPr>
              <w:t xml:space="preserve">（提供有效证书复印件加盖</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b/>
                <w:bCs/>
                <w:color w:val="000000" w:themeColor="text1"/>
                <w:szCs w:val="21"/>
                <w:highlight w:val="none"/>
                <w:lang w:val="zh-CN"/>
                <w14:textFill>
                  <w14:solidFill>
                    <w14:schemeClr w14:val="tx1"/>
                  </w14:solidFill>
                </w14:textFill>
              </w:rPr>
              <w:t xml:space="preserve">公章）</w:t>
            </w:r>
            <w:r/>
          </w:p>
        </w:tc>
      </w:tr>
      <w:tr>
        <w:trPr>
          <w:trHeight w:val="428"/>
        </w:trPr>
        <w:tc>
          <w:tcPr>
            <w:tcW w:w="821" w:type="dxa"/>
            <w:vAlign w:val="center"/>
            <w:vMerge w:val="continue"/>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tcW w:w="1003" w:type="dxa"/>
            <w:vAlign w:val="center"/>
            <w:vMerge w:val="continue"/>
            <w:textDirection w:val="lrTb"/>
            <w:noWrap w:val="false"/>
          </w:tcPr>
          <w:p>
            <w:pPr>
              <w:jc w:val="cente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9" w:type="dxa"/>
            <w:vAlign w:val="center"/>
            <w:vMerge w:val="continue"/>
            <w:textDirection w:val="lrTb"/>
            <w:noWrap w:val="false"/>
          </w:tcPr>
          <w:p>
            <w:pP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tcW w:w="5865" w:type="dxa"/>
            <w:vAlign w:val="center"/>
            <w:textDirection w:val="lrTb"/>
            <w:noWrap w:val="false"/>
          </w:tcPr>
          <w:p>
            <w:pPr>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6.4（1分）</w:t>
            </w:r>
            <w:r>
              <w:rPr>
                <w:rFonts w:hint="eastAsia" w:ascii="宋体" w:hAnsi="宋体" w:cs="宋体"/>
                <w:color w:val="000000" w:themeColor="text1"/>
                <w:szCs w:val="21"/>
                <w:highlight w:val="none"/>
                <w:lang w:val="zh-CN"/>
                <w14:textFill>
                  <w14:solidFill>
                    <w14:schemeClr w14:val="tx1"/>
                  </w14:solidFill>
                </w14:textFill>
              </w:rPr>
              <w:t xml:space="preserve">投标人提供有效</w:t>
            </w:r>
            <w:bookmarkStart w:id="176" w:name="OLE_LINK8"/>
            <w:r>
              <w:rPr>
                <w:rFonts w:hint="eastAsia" w:ascii="宋体" w:hAnsi="宋体" w:cs="宋体"/>
                <w:color w:val="000000" w:themeColor="text1"/>
                <w:szCs w:val="21"/>
                <w:highlight w:val="none"/>
                <w:lang w:val="zh-CN"/>
                <w14:textFill>
                  <w14:solidFill>
                    <w14:schemeClr w14:val="tx1"/>
                  </w14:solidFill>
                </w14:textFill>
              </w:rPr>
              <w:t xml:space="preserve">中国绿色产品认证证书</w:t>
            </w:r>
            <w:bookmarkEnd w:id="176"/>
            <w:r>
              <w:rPr>
                <w:rFonts w:hint="eastAsia" w:ascii="宋体" w:hAnsi="宋体" w:cs="宋体"/>
                <w:color w:val="000000" w:themeColor="text1"/>
                <w:szCs w:val="21"/>
                <w:highlight w:val="none"/>
                <w:lang w:val="zh-CN"/>
                <w14:textFill>
                  <w14:solidFill>
                    <w14:schemeClr w14:val="tx1"/>
                  </w14:solidFill>
                </w14:textFill>
              </w:rPr>
              <w:t xml:space="preserve">，</w:t>
            </w:r>
            <w:bookmarkStart w:id="177" w:name="OLE_LINK11"/>
            <w:r>
              <w:rPr>
                <w:rFonts w:hint="eastAsia" w:ascii="宋体" w:hAnsi="宋体" w:cs="宋体"/>
                <w:color w:val="000000" w:themeColor="text1"/>
                <w:szCs w:val="21"/>
                <w:highlight w:val="none"/>
                <w:lang w:val="en-US" w:eastAsia="zh-CN"/>
                <w14:textFill>
                  <w14:solidFill>
                    <w14:schemeClr w14:val="tx1"/>
                  </w14:solidFill>
                </w14:textFill>
              </w:rPr>
              <w:t xml:space="preserve">证书须满足以下要求：</w:t>
            </w:r>
            <w:bookmarkEnd w:id="177"/>
            <w:r>
              <w:rPr>
                <w:rFonts w:hint="eastAsia" w:ascii="宋体" w:hAnsi="宋体" w:cs="宋体"/>
                <w:color w:val="000000" w:themeColor="text1"/>
                <w:szCs w:val="21"/>
                <w:highlight w:val="none"/>
                <w:lang w:val="zh-CN"/>
                <w14:textFill>
                  <w14:solidFill>
                    <w14:schemeClr w14:val="tx1"/>
                  </w14:solidFill>
                </w14:textFill>
              </w:rPr>
              <w:t xml:space="preserve">认证产品包含“金属家具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公寓组合床”、“金属家具 方凳”、“木家具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自修桌</w:t>
            </w:r>
            <w:r>
              <w:rPr>
                <w:rFonts w:hint="eastAsia" w:ascii="宋体" w:hAnsi="宋体" w:cs="宋体"/>
                <w:color w:val="000000" w:themeColor="text1"/>
                <w:szCs w:val="21"/>
                <w:highlight w:val="none"/>
                <w:lang w:val="zh-CN"/>
                <w14:textFill>
                  <w14:solidFill>
                    <w14:schemeClr w14:val="tx1"/>
                  </w14:solidFill>
                </w14:textFill>
              </w:rPr>
              <w:t xml:space="preserve">”、“木家具</w:t>
            </w:r>
            <w:r>
              <w:rPr>
                <w:rFonts w:hint="eastAsia" w:ascii="宋体" w:hAnsi="宋体" w:cs="宋体"/>
                <w:color w:val="000000" w:themeColor="text1"/>
                <w:szCs w:val="21"/>
                <w:highlight w:val="none"/>
                <w14:textFill>
                  <w14:solidFill>
                    <w14:schemeClr w14:val="tx1"/>
                  </w14:solidFill>
                </w14:textFill>
              </w:rPr>
              <w:t xml:space="preserve"> 储物柜</w:t>
            </w:r>
            <w:r>
              <w:rPr>
                <w:rFonts w:hint="eastAsia" w:ascii="宋体" w:hAnsi="宋体" w:cs="宋体"/>
                <w:color w:val="000000" w:themeColor="text1"/>
                <w:szCs w:val="21"/>
                <w:highlight w:val="none"/>
                <w:lang w:val="zh-CN"/>
                <w14:textFill>
                  <w14:solidFill>
                    <w14:schemeClr w14:val="tx1"/>
                  </w14:solidFill>
                </w14:textFill>
              </w:rPr>
              <w:t xml:space="preserve">”，</w:t>
            </w:r>
            <w:bookmarkStart w:id="178" w:name="OLE_LINK12"/>
            <w:r>
              <w:rPr>
                <w:rFonts w:hint="eastAsia" w:ascii="宋体" w:hAnsi="宋体" w:cs="宋体"/>
                <w:color w:val="000000" w:themeColor="text1"/>
                <w:szCs w:val="21"/>
                <w:highlight w:val="none"/>
                <w:lang w:val="en-US" w:eastAsia="zh-CN"/>
                <w14:textFill>
                  <w14:solidFill>
                    <w14:schemeClr w14:val="tx1"/>
                  </w14:solidFill>
                </w14:textFill>
              </w:rPr>
              <w:t xml:space="preserve">每满足上述一项要求得0.25分，满分</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bookmarkEnd w:id="178"/>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（证书需供全国认证认可信息公共服务平台查询结果截图加盖</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b/>
                <w:bCs/>
                <w:color w:val="000000" w:themeColor="text1"/>
                <w:szCs w:val="21"/>
                <w:highlight w:val="none"/>
                <w:lang w:val="zh-CN"/>
                <w14:textFill>
                  <w14:solidFill>
                    <w14:schemeClr w14:val="tx1"/>
                  </w14:solidFill>
                </w14:textFill>
              </w:rPr>
              <w:t xml:space="preserve">公章）</w:t>
            </w:r>
            <w:r/>
          </w:p>
        </w:tc>
      </w:tr>
      <w:tr>
        <w:trPr>
          <w:trHeight w:val="282"/>
        </w:trPr>
        <w:tc>
          <w:tcPr>
            <w:tcW w:w="821"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03"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209" w:type="dxa"/>
            <w:vAlign w:val="center"/>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65" w:type="dxa"/>
            <w:vAlign w:val="center"/>
            <w:textDirection w:val="lrTb"/>
            <w:noWrap w:val="false"/>
          </w:tcPr>
          <w:p>
            <w:p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6.5（1分）</w:t>
            </w:r>
            <w:r>
              <w:rPr>
                <w:rFonts w:hint="eastAsia" w:ascii="宋体" w:hAnsi="宋体" w:cs="宋体"/>
                <w:color w:val="000000" w:themeColor="text1"/>
                <w:szCs w:val="21"/>
                <w:highlight w:val="none"/>
                <w:lang w:val="zh-CN"/>
                <w14:textFill>
                  <w14:solidFill>
                    <w14:schemeClr w14:val="tx1"/>
                  </w14:solidFill>
                </w14:textFill>
              </w:rPr>
              <w:t xml:space="preserve">投标人提供有效</w:t>
            </w:r>
            <w:r>
              <w:rPr>
                <w:rFonts w:hint="eastAsia" w:ascii="宋体" w:hAnsi="宋体" w:cs="宋体"/>
                <w:color w:val="000000" w:themeColor="text1"/>
                <w:szCs w:val="21"/>
                <w:highlight w:val="none"/>
                <w:lang w:val="zh-CN" w:eastAsia="zh-CN"/>
                <w14:textFill>
                  <w14:solidFill>
                    <w14:schemeClr w14:val="tx1"/>
                  </w14:solidFill>
                </w14:textFill>
              </w:rPr>
              <w:t xml:space="preserve">家具产品有害物质限量认证证书，认证产品包含“金属家具 公寓组合床”、“金属家具 方凳”、“木家具自修桌”、“木家具 储物柜”</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每满足上述要求一项要求得0.25分，满分1分</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（证书需供全国认证认可信息公共服务平台查询结果截图加盖投标单位公章）</w:t>
            </w:r>
            <w:r/>
          </w:p>
        </w:tc>
      </w:tr>
      <w:tr>
        <w:trPr>
          <w:trHeight w:val="282"/>
        </w:trPr>
        <w:tc>
          <w:tcPr>
            <w:tcW w:w="821" w:type="dxa"/>
            <w:vAlign w:val="center"/>
            <w:vMerge w:val="continue"/>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W w:w="1003" w:type="dxa"/>
            <w:vAlign w:val="center"/>
            <w:vMerge w:val="continue"/>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W w:w="1209" w:type="dxa"/>
            <w:vAlign w:val="center"/>
            <w:vMerge w:val="continue"/>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W w:w="5865" w:type="dxa"/>
            <w:vAlign w:val="center"/>
            <w:textDirection w:val="lrTb"/>
            <w:noWrap w:val="false"/>
          </w:tcPr>
          <w:p>
            <w:p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6.6（1分）</w:t>
            </w:r>
            <w:r>
              <w:rPr>
                <w:rFonts w:hint="eastAsia" w:ascii="宋体" w:hAnsi="宋体" w:cs="宋体"/>
                <w:color w:val="000000" w:themeColor="text1"/>
                <w:szCs w:val="21"/>
                <w:highlight w:val="none"/>
                <w:lang w:val="zh-CN"/>
                <w14:textFill>
                  <w14:solidFill>
                    <w14:schemeClr w14:val="tx1"/>
                  </w14:solidFill>
                </w14:textFill>
              </w:rPr>
              <w:t xml:space="preserve">投标人提供有效</w:t>
            </w:r>
            <w:r>
              <w:rPr>
                <w:rFonts w:hint="eastAsia" w:ascii="宋体" w:hAnsi="宋体" w:cs="宋体"/>
                <w:color w:val="000000" w:themeColor="text1"/>
                <w:szCs w:val="21"/>
                <w:highlight w:val="none"/>
                <w14:textFill>
                  <w14:solidFill>
                    <w14:schemeClr w14:val="tx1"/>
                  </w14:solidFill>
                </w14:textFill>
              </w:rPr>
              <w:t xml:space="preserve">人类工效学</w:t>
            </w:r>
            <w:r>
              <w:rPr>
                <w:rFonts w:hint="eastAsia" w:ascii="宋体" w:hAnsi="宋体" w:cs="宋体"/>
                <w:color w:val="000000" w:themeColor="text1"/>
                <w:szCs w:val="21"/>
                <w:highlight w:val="none"/>
                <w:lang w:val="zh-CN"/>
                <w14:textFill>
                  <w14:solidFill>
                    <w14:schemeClr w14:val="tx1"/>
                  </w14:solidFill>
                </w14:textFill>
              </w:rPr>
              <w:t xml:space="preserve">认证证书，</w:t>
            </w:r>
            <w:r>
              <w:rPr>
                <w:rFonts w:hint="eastAsia" w:ascii="宋体" w:hAnsi="宋体" w:cs="宋体"/>
                <w:color w:val="000000" w:themeColor="text1"/>
                <w:szCs w:val="21"/>
                <w:highlight w:val="none"/>
                <w:lang w:val="en-US" w:eastAsia="zh-CN"/>
                <w14:textFill>
                  <w14:solidFill>
                    <w14:schemeClr w14:val="tx1"/>
                  </w14:solidFill>
                </w14:textFill>
              </w:rPr>
              <w:t xml:space="preserve">证书须满足以下要求：</w:t>
            </w:r>
            <w:r>
              <w:rPr>
                <w:rFonts w:hint="eastAsia" w:ascii="宋体" w:hAnsi="宋体" w:cs="宋体"/>
                <w:color w:val="000000" w:themeColor="text1"/>
                <w:szCs w:val="21"/>
                <w:highlight w:val="none"/>
                <w:lang w:val="zh-CN"/>
                <w14:textFill>
                  <w14:solidFill>
                    <w14:schemeClr w14:val="tx1"/>
                  </w14:solidFill>
                </w14:textFill>
              </w:rPr>
              <w:t xml:space="preserve">认证产品包含“公寓组合床”、“方凳”、“自修桌”、“储物柜”），</w:t>
            </w:r>
            <w:r>
              <w:rPr>
                <w:rFonts w:hint="eastAsia" w:ascii="宋体" w:hAnsi="宋体" w:cs="宋体"/>
                <w:color w:val="000000" w:themeColor="text1"/>
                <w:szCs w:val="21"/>
                <w:highlight w:val="none"/>
                <w:lang w:val="en-US" w:eastAsia="zh-CN"/>
                <w14:textFill>
                  <w14:solidFill>
                    <w14:schemeClr w14:val="tx1"/>
                  </w14:solidFill>
                </w14:textFill>
              </w:rPr>
              <w:t xml:space="preserve">每满足上述一项要求得0.25分，满分</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rPr>
                <w:rFonts w:hint="eastAsia" w:ascii="宋体" w:hAnsi="宋体" w:cs="宋体"/>
                <w:b/>
                <w:bCs/>
                <w:color w:val="000000" w:themeColor="text1"/>
                <w:szCs w:val="21"/>
                <w:highlight w:val="none"/>
                <w:lang w:val="zh-CN"/>
                <w14:textFill>
                  <w14:solidFill>
                    <w14:schemeClr w14:val="tx1"/>
                  </w14:solidFill>
                </w14:textFill>
              </w:rPr>
              <w:t xml:space="preserve">（证书需供全国认证认可信息公共服务平台查询结果截图加盖</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b/>
                <w:bCs/>
                <w:color w:val="000000" w:themeColor="text1"/>
                <w:szCs w:val="21"/>
                <w:highlight w:val="none"/>
                <w:lang w:val="zh-CN"/>
                <w14:textFill>
                  <w14:solidFill>
                    <w14:schemeClr w14:val="tx1"/>
                  </w14:solidFill>
                </w14:textFill>
              </w:rPr>
              <w:t xml:space="preserve">公章）</w:t>
            </w:r>
            <w:r/>
          </w:p>
        </w:tc>
      </w:tr>
      <w:tr>
        <w:trPr>
          <w:trHeight w:val="282"/>
        </w:trPr>
        <w:tc>
          <w:tcPr>
            <w:tcW w:w="821" w:type="dxa"/>
            <w:vAlign w:val="center"/>
            <w:vMerge w:val="continue"/>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W w:w="1003" w:type="dxa"/>
            <w:vAlign w:val="center"/>
            <w:vMerge w:val="continue"/>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W w:w="1209" w:type="dxa"/>
            <w:vAlign w:val="center"/>
            <w:vMerge w:val="continue"/>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W w:w="5865" w:type="dxa"/>
            <w:vAlign w:val="center"/>
            <w:textDirection w:val="lrTb"/>
            <w:noWrap w:val="false"/>
          </w:tcPr>
          <w:p>
            <w:pPr>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6.7（3分）</w:t>
            </w:r>
            <w:r>
              <w:rPr>
                <w:rFonts w:hint="eastAsia" w:ascii="宋体" w:hAnsi="宋体" w:cs="宋体"/>
                <w:color w:val="000000" w:themeColor="text1"/>
                <w:szCs w:val="21"/>
                <w:highlight w:val="none"/>
                <w:lang w:val="zh-CN"/>
                <w14:textFill>
                  <w14:solidFill>
                    <w14:schemeClr w14:val="tx1"/>
                  </w14:solidFill>
                </w14:textFill>
              </w:rPr>
              <w:t xml:space="preserve">生产设备：投标人提供满足标的物生产需要的主要机械设备，清单</w:t>
            </w:r>
            <w:r>
              <w:rPr>
                <w:rFonts w:hint="eastAsia" w:ascii="宋体" w:hAnsi="宋体" w:cs="宋体"/>
                <w:color w:val="000000" w:themeColor="text1"/>
                <w:szCs w:val="21"/>
                <w:highlight w:val="none"/>
                <w:lang w:val="en-US" w:eastAsia="zh-CN"/>
                <w14:textFill>
                  <w14:solidFill>
                    <w14:schemeClr w14:val="tx1"/>
                  </w14:solidFill>
                </w14:textFill>
              </w:rPr>
              <w:t xml:space="preserve">如下：</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）全自动数控裁板机（</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）全自动封边机（</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）数控六面钻（</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）全自动弯管机（</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）光纤激光切割机（</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）注塑机（</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）喷涂前处理涂装流水线（</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）双枪双工位多维自动焊机（</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）焊接机器人（</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）自动喷涂流水线等具有相同或类似功能的设备，每提供一项得</w:t>
            </w:r>
            <w:r>
              <w:rPr>
                <w:rFonts w:hint="eastAsia" w:ascii="宋体" w:hAnsi="宋体" w:cs="宋体"/>
                <w:color w:val="000000" w:themeColor="text1"/>
                <w:szCs w:val="21"/>
                <w:highlight w:val="none"/>
                <w14:textFill>
                  <w14:solidFill>
                    <w14:schemeClr w14:val="tx1"/>
                  </w14:solidFill>
                </w14:textFill>
              </w:rPr>
              <w:t xml:space="preserve">0.</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分，本项最高得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注：1、</w:t>
            </w:r>
            <w:r>
              <w:rPr>
                <w:rFonts w:hint="eastAsia" w:ascii="宋体" w:hAnsi="宋体" w:cs="宋体"/>
                <w:b/>
                <w:bCs/>
                <w:color w:val="000000" w:themeColor="text1"/>
                <w:szCs w:val="21"/>
                <w:highlight w:val="none"/>
                <w:lang w:val="zh-CN"/>
                <w14:textFill>
                  <w14:solidFill>
                    <w14:schemeClr w14:val="tx1"/>
                  </w14:solidFill>
                </w14:textFill>
              </w:rPr>
              <w:t xml:space="preserve">需提供生产设备照片、功能证明材料及购买发票，</w:t>
            </w:r>
            <w:r>
              <w:rPr>
                <w:rFonts w:hint="eastAsia" w:ascii="宋体" w:hAnsi="宋体" w:cs="宋体"/>
                <w:b/>
                <w:bCs/>
                <w:color w:val="000000" w:themeColor="text1"/>
                <w:szCs w:val="21"/>
                <w:highlight w:val="none"/>
                <w:lang w:val="en-US" w:eastAsia="zh-CN"/>
                <w14:textFill>
                  <w14:solidFill>
                    <w14:schemeClr w14:val="tx1"/>
                  </w14:solidFill>
                </w14:textFill>
              </w:rPr>
              <w:t xml:space="preserve">加盖投标单位公章；</w:t>
            </w:r>
            <w:r>
              <w:rPr>
                <w:rFonts w:hint="eastAsia" w:ascii="宋体" w:hAnsi="宋体" w:cs="宋体"/>
                <w:b w:val="0"/>
                <w:bCs w:val="0"/>
                <w:color w:val="000000" w:themeColor="text1"/>
                <w:szCs w:val="21"/>
                <w:highlight w:val="none"/>
                <w:lang w:val="zh-CN" w:eastAsia="zh-CN"/>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如所提供设备名称与本项要求不完全一致，但功能符合本项要求，提供相应功能证明材料并满足上述材料要求可得分。</w:t>
            </w:r>
            <w:r>
              <w:rPr>
                <w:rFonts w:hint="eastAsia" w:ascii="宋体" w:hAnsi="宋体" w:cs="宋体"/>
                <w:b/>
                <w:bCs/>
                <w:color w:val="000000" w:themeColor="text1"/>
                <w:szCs w:val="21"/>
                <w:highlight w:val="none"/>
                <w:lang w:val="zh-CN"/>
                <w14:textFill>
                  <w14:solidFill>
                    <w14:schemeClr w14:val="tx1"/>
                  </w14:solidFill>
                </w14:textFill>
              </w:rPr>
              <w:t xml:space="preserve">）</w:t>
            </w:r>
            <w:r/>
          </w:p>
        </w:tc>
      </w:tr>
      <w:tr>
        <w:trPr>
          <w:trHeight w:val="681"/>
        </w:trPr>
        <w:tc>
          <w:tcPr>
            <w:tcW w:w="821" w:type="dxa"/>
            <w:vAlign w:val="center"/>
            <w:vMerge w:val="restart"/>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tcW w:w="1003" w:type="dxa"/>
            <w:vAlign w:val="center"/>
            <w:vMerge w:val="restart"/>
            <w:textDirection w:val="lrTb"/>
            <w:noWrap w:val="false"/>
          </w:tcPr>
          <w:p>
            <w:pPr>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12分</w:t>
            </w:r>
            <w:r/>
          </w:p>
        </w:tc>
        <w:tc>
          <w:tcPr>
            <w:tcW w:w="1209" w:type="dxa"/>
            <w:vAlign w:val="center"/>
            <w:vMerge w:val="restart"/>
            <w:textDirection w:val="lrTb"/>
            <w:noWrap w:val="false"/>
          </w:tcPr>
          <w:p>
            <w:pP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样品</w:t>
            </w:r>
            <w:r/>
          </w:p>
        </w:tc>
        <w:tc>
          <w:tcPr>
            <w:tcW w:w="5865" w:type="dxa"/>
            <w:vAlign w:val="center"/>
            <w:textDirection w:val="lrTb"/>
            <w:noWrap w:val="false"/>
          </w:tcPr>
          <w:p>
            <w:pPr>
              <w:ind w:firstLine="200"/>
              <w:keepLines w:val="0"/>
              <w:keepNext w:val="0"/>
              <w:pageBreakBefore w:val="0"/>
              <w:spacing w:line="32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4分</w:t>
            </w:r>
            <w:r>
              <w:rPr>
                <w:rFonts w:hint="eastAsia" w:ascii="宋体" w:hAnsi="宋体" w:cs="宋体"/>
                <w:color w:val="000000" w:themeColor="text1"/>
                <w:szCs w:val="21"/>
                <w:highlight w:val="none"/>
                <w:lang w:val="zh-CN"/>
                <w14:textFill>
                  <w14:solidFill>
                    <w14:schemeClr w14:val="tx1"/>
                  </w14:solidFill>
                </w14:textFill>
              </w:rPr>
              <w:t xml:space="preserve">）小样样品外观、造型:优于招标文件要求的，得4分；符合招标文件要求的，得2分；不符合招标文件要求、样品递交不全或未按照招标文件要求递交样品的，不得分。</w:t>
            </w:r>
            <w:r/>
          </w:p>
        </w:tc>
      </w:tr>
      <w:tr>
        <w:trPr>
          <w:trHeight w:val="681"/>
        </w:trPr>
        <w:tc>
          <w:tcPr>
            <w:tcW w:w="821" w:type="dxa"/>
            <w:vAlign w:val="center"/>
            <w:vMerge w:val="continue"/>
            <w:textDirection w:val="lrTb"/>
            <w:noWrap w:val="false"/>
          </w:tcPr>
          <w:p>
            <w:pPr>
              <w:ind w:firstLine="200"/>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03" w:type="dxa"/>
            <w:vAlign w:val="center"/>
            <w:vMerge w:val="continue"/>
            <w:textDirection w:val="lrTb"/>
            <w:noWrap w:val="false"/>
          </w:tcPr>
          <w:p>
            <w:pPr>
              <w:ind w:firstLine="200"/>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209" w:type="dxa"/>
            <w:vAlign w:val="center"/>
            <w:vMerge w:val="continue"/>
            <w:textDirection w:val="lrTb"/>
            <w:noWrap w:val="false"/>
          </w:tcPr>
          <w:p>
            <w:pPr>
              <w:ind w:firstLine="200"/>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65" w:type="dxa"/>
            <w:vAlign w:val="center"/>
            <w:textDirection w:val="lrTb"/>
            <w:noWrap w:val="false"/>
          </w:tcPr>
          <w:p>
            <w:pPr>
              <w:ind w:firstLine="200"/>
              <w:keepLines w:val="0"/>
              <w:keepNext w:val="0"/>
              <w:pageBreakBefore w:val="0"/>
              <w:spacing w:line="32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4分</w:t>
            </w:r>
            <w:r>
              <w:rPr>
                <w:rFonts w:hint="eastAsia" w:ascii="宋体" w:hAnsi="宋体" w:cs="宋体"/>
                <w:color w:val="000000" w:themeColor="text1"/>
                <w:szCs w:val="21"/>
                <w:highlight w:val="none"/>
                <w:lang w:val="zh-CN"/>
                <w14:textFill>
                  <w14:solidFill>
                    <w14:schemeClr w14:val="tx1"/>
                  </w14:solidFill>
                </w14:textFill>
              </w:rPr>
              <w:t xml:space="preserve">）样品的工艺和细节处理:优于招标文件要求的，得4分；符合招标文件要求的，得2分；不符合招标文件要求、样品递交不全或未按照招标文件要求递交样品的，不得分。</w:t>
            </w:r>
            <w:r/>
          </w:p>
        </w:tc>
      </w:tr>
      <w:tr>
        <w:trPr>
          <w:trHeight w:val="681"/>
        </w:trPr>
        <w:tc>
          <w:tcPr>
            <w:tcW w:w="821" w:type="dxa"/>
            <w:vAlign w:val="center"/>
            <w:vMerge w:val="continue"/>
            <w:textDirection w:val="lrTb"/>
            <w:noWrap w:val="false"/>
          </w:tcPr>
          <w:p>
            <w:pPr>
              <w:ind w:firstLine="200"/>
              <w:spacing w:line="36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W w:w="1003" w:type="dxa"/>
            <w:vAlign w:val="center"/>
            <w:vMerge w:val="continue"/>
            <w:textDirection w:val="lrTb"/>
            <w:noWrap w:val="false"/>
          </w:tcPr>
          <w:p>
            <w:pPr>
              <w:ind w:firstLine="200"/>
              <w:spacing w:line="36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W w:w="1209" w:type="dxa"/>
            <w:vAlign w:val="center"/>
            <w:vMerge w:val="continue"/>
            <w:textDirection w:val="lrTb"/>
            <w:noWrap w:val="false"/>
          </w:tcPr>
          <w:p>
            <w:pPr>
              <w:ind w:firstLine="200"/>
              <w:spacing w:line="36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W w:w="5865" w:type="dxa"/>
            <w:vAlign w:val="center"/>
            <w:textDirection w:val="lrTb"/>
            <w:noWrap w:val="false"/>
          </w:tcPr>
          <w:p>
            <w:pPr>
              <w:ind w:firstLine="200"/>
              <w:keepLines w:val="0"/>
              <w:keepNext w:val="0"/>
              <w:pageBreakBefore w:val="0"/>
              <w:spacing w:line="32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4分</w:t>
            </w:r>
            <w:r>
              <w:rPr>
                <w:rFonts w:hint="eastAsia" w:ascii="宋体" w:hAnsi="宋体" w:cs="宋体"/>
                <w:color w:val="000000" w:themeColor="text1"/>
                <w:szCs w:val="21"/>
                <w:highlight w:val="none"/>
                <w:lang w:val="zh-CN"/>
                <w14:textFill>
                  <w14:solidFill>
                    <w14:schemeClr w14:val="tx1"/>
                  </w14:solidFill>
                </w14:textFill>
              </w:rPr>
              <w:t xml:space="preserve">）小样样品材质:优于招标文件要求的，得4分；符合招标文件要求的，得2分；不符合招标文件要求、样品递交不全或未按照招标文件要求递交样品的，不得分。</w:t>
            </w:r>
            <w:r/>
          </w:p>
        </w:tc>
      </w:tr>
      <w:tr>
        <w:trPr>
          <w:trHeight w:val="2054"/>
        </w:trPr>
        <w:tc>
          <w:tcPr>
            <w:tcW w:w="821"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p>
        </w:tc>
        <w:tc>
          <w:tcPr>
            <w:tcW w:w="1003" w:type="dxa"/>
            <w:vAlign w:val="center"/>
            <w:textDirection w:val="lrTb"/>
            <w:noWrap w:val="false"/>
          </w:tcPr>
          <w:p>
            <w:pPr>
              <w:ind w:firstLine="200"/>
              <w:spacing w:line="36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1分</w:t>
            </w:r>
            <w:r/>
          </w:p>
        </w:tc>
        <w:tc>
          <w:tcPr>
            <w:tcW w:w="1209" w:type="dxa"/>
            <w:vAlign w:val="center"/>
            <w:textDirection w:val="lrTb"/>
            <w:noWrap w:val="false"/>
          </w:tcPr>
          <w:p>
            <w:pPr>
              <w:spacing w:line="360" w:lineRule="exact"/>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节能环保</w:t>
            </w:r>
            <w:r/>
          </w:p>
        </w:tc>
        <w:tc>
          <w:tcPr>
            <w:tcW w:w="5865" w:type="dxa"/>
            <w:vAlign w:val="top"/>
            <w:textDirection w:val="lrTb"/>
            <w:noWrap w:val="false"/>
          </w:tcPr>
          <w:p>
            <w:pPr>
              <w:spacing w:line="360" w:lineRule="exact"/>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lang w:val="zh-CN"/>
                <w14:textFill>
                  <w14:solidFill>
                    <w14:schemeClr w14:val="tx1"/>
                  </w14:solidFill>
                </w14:textFill>
              </w:rPr>
              <w:t xml:space="preserve">.1（1分）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r>
      <w:tr>
        <w:trPr>
          <w:trHeight w:val="717"/>
        </w:trPr>
        <w:tc>
          <w:tcPr>
            <w:tcW w:w="821"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共计</w:t>
            </w:r>
            <w:r/>
          </w:p>
        </w:tc>
        <w:tc>
          <w:tcPr>
            <w:tcW w:w="1003" w:type="dxa"/>
            <w:vAlign w:val="center"/>
            <w:textDirection w:val="lrTb"/>
            <w:noWrap w:val="false"/>
          </w:tcPr>
          <w:p>
            <w:pPr>
              <w:ind w:firstLine="200"/>
              <w:spacing w:line="36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100分</w:t>
            </w:r>
            <w:r/>
          </w:p>
        </w:tc>
        <w:tc>
          <w:tcPr>
            <w:tcW w:w="1209" w:type="dxa"/>
            <w:vAlign w:val="center"/>
            <w:textDirection w:val="lrTb"/>
            <w:noWrap w:val="false"/>
          </w:tcPr>
          <w:p>
            <w:pPr>
              <w:spacing w:line="36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5865" w:type="dxa"/>
            <w:vAlign w:val="top"/>
            <w:textDirection w:val="lrTb"/>
            <w:noWrap w:val="false"/>
          </w:tcPr>
          <w:p>
            <w:pPr>
              <w:ind w:firstLine="200"/>
              <w:spacing w:line="36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r>
    </w:tbl>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r/>
    </w:p>
    <w:p>
      <w:pPr>
        <w:pStyle w:val="976"/>
        <w:jc w:val="center"/>
        <w:keepNext/>
        <w:spacing w:beforeAutospacing="0" w:afterAutospacing="0"/>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r/>
    </w:p>
    <w:p>
      <w:pPr>
        <w:pStyle w:val="976"/>
        <w:jc w:val="center"/>
        <w:spacing w:beforeAutospacing="0" w:afterAutospacing="0"/>
        <w:rPr>
          <w:rFonts w:hint="eastAsia" w:ascii="宋体" w:hAnsi="宋体" w:cs="宋体"/>
          <w:b/>
          <w:color w:val="000000" w:themeColor="text1"/>
          <w:sz w:val="72"/>
          <w:szCs w:val="72"/>
          <w:highlight w:val="none"/>
          <w14:textFill>
            <w14:solidFill>
              <w14:schemeClr w14:val="tx1"/>
            </w14:solidFill>
          </w14:textFill>
        </w:rPr>
      </w:pPr>
      <w:r/>
      <w:bookmarkStart w:id="179" w:name="_Toc120614282"/>
      <w:r/>
      <w:bookmarkEnd w:id="179"/>
      <w:r/>
      <w:bookmarkStart w:id="180" w:name="_Toc49090576"/>
      <w:r/>
      <w:bookmarkEnd w:id="180"/>
      <w:r/>
      <w:bookmarkStart w:id="181" w:name="_Toc26554094"/>
      <w:r/>
      <w:bookmarkStart w:id="182" w:name="_Hlt26955039"/>
      <w:r/>
      <w:bookmarkStart w:id="183" w:name="_Hlt26671244"/>
      <w:r/>
      <w:r/>
    </w:p>
    <w:p>
      <w:pPr>
        <w:pStyle w:val="976"/>
        <w:jc w:val="center"/>
        <w:spacing w:beforeAutospacing="0" w:afterAutospacing="0"/>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投  标  文  件</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 称：</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976"/>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编 号：</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      投标人名称 ：</w:t>
      </w:r>
      <w:r>
        <w:rPr>
          <w:rFonts w:hint="eastAsia" w:ascii="宋体" w:hAnsi="宋体" w:cs="宋体"/>
          <w:b/>
          <w:color w:val="000000" w:themeColor="text1"/>
          <w:sz w:val="36"/>
          <w:szCs w:val="36"/>
          <w:highlight w:val="none"/>
          <w:u w:val="single"/>
          <w14:textFill>
            <w14:solidFill>
              <w14:schemeClr w14:val="tx1"/>
            </w14:solidFill>
          </w14:textFill>
        </w:rPr>
        <w:t xml:space="preserve">（加盖CA电子公章）</w:t>
      </w:r>
      <w:r/>
    </w:p>
    <w:p>
      <w:pPr>
        <w:pStyle w:val="976"/>
        <w:jc w:val="both"/>
        <w:spacing w:beforeAutospacing="0" w:afterAutospacing="0"/>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      日   期 ：</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976"/>
        <w:jc w:val="center"/>
        <w:spacing w:beforeAutospacing="0" w:afterAutospacing="0" w:line="0" w:lineRule="atLeas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投标文件目录</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left="480"/>
        <w:jc w:val="both"/>
        <w:spacing w:beforeAutospacing="0" w:afterAutospacing="0" w:line="360" w:lineRule="auto"/>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上一年度的财务状况报表（</w:t>
      </w:r>
      <w:r>
        <w:rPr>
          <w:rFonts w:hint="eastAsia" w:ascii="宋体" w:hAnsi="宋体" w:cs="宋体"/>
          <w:color w:val="000000" w:themeColor="text1"/>
          <w:sz w:val="21"/>
          <w:szCs w:val="21"/>
          <w:highlight w:val="none"/>
          <w:lang w:val="en-US" w:eastAsia="zh-CN"/>
          <w14:textFill>
            <w14:solidFill>
              <w14:schemeClr w14:val="tx1"/>
            </w14:solidFill>
          </w14:textFill>
        </w:rPr>
        <w:t xml:space="preserve">上一年度</w:t>
      </w:r>
      <w:bookmarkStart w:id="207" w:name="_GoBack"/>
      <w:r/>
      <w:bookmarkEnd w:id="207"/>
      <w:r>
        <w:rPr>
          <w:rFonts w:hint="eastAsia" w:ascii="宋体" w:hAnsi="宋体" w:cs="宋体"/>
          <w:color w:val="000000" w:themeColor="text1"/>
          <w:sz w:val="21"/>
          <w:szCs w:val="21"/>
          <w:highlight w:val="none"/>
          <w:lang w:val="en-US" w:eastAsia="zh-CN"/>
          <w14:textFill>
            <w14:solidFill>
              <w14:schemeClr w14:val="tx1"/>
            </w14:solidFill>
          </w14:textFill>
        </w:rPr>
        <w:t xml:space="preserve">2025</w:t>
      </w:r>
      <w:r>
        <w:rPr>
          <w:rFonts w:hint="eastAsia" w:ascii="宋体" w:hAnsi="宋体" w:eastAsia="宋体" w:cs="宋体"/>
          <w:color w:val="000000" w:themeColor="text1"/>
          <w:sz w:val="21"/>
          <w:szCs w:val="21"/>
          <w:highlight w:val="none"/>
          <w14:textFill>
            <w14:solidFill>
              <w14:schemeClr w14:val="tx1"/>
            </w14:solidFill>
          </w14:textFill>
        </w:rPr>
        <w:t xml:space="preserve">年度的财务状况报表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财务状况报表至少包含利润表、资产负债表、现金流量表，成立不满一年无需提供）</w:t>
      </w:r>
      <w:r/>
    </w:p>
    <w:p>
      <w:pPr>
        <w:pStyle w:val="976"/>
        <w:ind w:left="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三、具备履行合同所必需的设备和专业技术能力的书面声明</w:t>
      </w:r>
      <w:r/>
    </w:p>
    <w:p>
      <w:pPr>
        <w:pStyle w:val="976"/>
        <w:ind w:left="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76"/>
        <w:ind w:firstLine="480"/>
        <w:jc w:val="both"/>
        <w:spacing w:beforeAutospacing="0" w:afterAutospacing="0" w:line="360" w:lineRule="auto"/>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五、参加政府采购活动前3年内在经营活动中没有重大违法记录的书面声明</w:t>
      </w:r>
      <w:r/>
    </w:p>
    <w:p>
      <w:pPr>
        <w:pStyle w:val="976"/>
        <w:ind w:firstLine="480"/>
        <w:jc w:val="both"/>
        <w:spacing w:beforeAutospacing="0" w:afterAutospacing="0" w:line="360" w:lineRule="auto"/>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六、特定资格要求的证明文件（如果本项目设置特定资格要求，则需要提供）</w:t>
      </w:r>
      <w:r/>
    </w:p>
    <w:p>
      <w:pPr>
        <w:pStyle w:val="976"/>
        <w:ind w:firstLine="480"/>
        <w:jc w:val="both"/>
        <w:spacing w:beforeAutospacing="0" w:afterAutospacing="0" w:line="360" w:lineRule="auto"/>
        <w:rPr>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七、法人授权书</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八、投标函</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九、中小企业声明函</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十、残疾人福利性单位声明函</w:t>
      </w:r>
      <w:r/>
    </w:p>
    <w:p>
      <w:pPr>
        <w:pStyle w:val="976"/>
        <w:ind w:firstLine="480"/>
        <w:jc w:val="both"/>
        <w:spacing w:beforeAutospacing="0" w:afterAutospacing="0" w:line="360" w:lineRule="auto"/>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iCs/>
          <w:color w:val="000000" w:themeColor="text1"/>
          <w:sz w:val="21"/>
          <w:szCs w:val="21"/>
          <w:highlight w:val="none"/>
          <w14:textFill>
            <w14:solidFill>
              <w14:schemeClr w14:val="tx1"/>
            </w14:solidFill>
          </w14:textFill>
        </w:rPr>
        <w:t xml:space="preserve">关于符合本国产品标准的声明函</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十</w:t>
      </w:r>
      <w:r>
        <w:rPr>
          <w:rFonts w:hint="eastAsia" w:ascii="宋体" w:hAnsi="宋体" w:cs="宋体"/>
          <w:iCs/>
          <w:color w:val="000000" w:themeColor="text1"/>
          <w:sz w:val="21"/>
          <w:szCs w:val="21"/>
          <w:highlight w:val="none"/>
          <w:lang w:val="en-US" w:eastAsia="zh-CN"/>
          <w14:textFill>
            <w14:solidFill>
              <w14:schemeClr w14:val="tx1"/>
            </w14:solidFill>
          </w14:textFill>
        </w:rPr>
        <w:t xml:space="preserve">二</w:t>
      </w:r>
      <w:r>
        <w:rPr>
          <w:rFonts w:hint="eastAsia" w:ascii="宋体" w:hAnsi="宋体" w:cs="宋体"/>
          <w:iCs/>
          <w:color w:val="000000" w:themeColor="text1"/>
          <w:sz w:val="21"/>
          <w:szCs w:val="21"/>
          <w:highlight w:val="none"/>
          <w14:textFill>
            <w14:solidFill>
              <w14:schemeClr w14:val="tx1"/>
            </w14:solidFill>
          </w14:textFill>
        </w:rPr>
        <w:t xml:space="preserve">、投标分项报价表</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十</w:t>
      </w:r>
      <w:r>
        <w:rPr>
          <w:rFonts w:hint="eastAsia" w:ascii="宋体" w:hAnsi="宋体" w:cs="宋体"/>
          <w:iCs/>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iCs/>
          <w:color w:val="000000" w:themeColor="text1"/>
          <w:sz w:val="21"/>
          <w:szCs w:val="21"/>
          <w:highlight w:val="none"/>
          <w14:textFill>
            <w14:solidFill>
              <w14:schemeClr w14:val="tx1"/>
            </w14:solidFill>
          </w14:textFill>
        </w:rPr>
        <w:t xml:space="preserve">、实质性要求响应及偏离表</w:t>
      </w:r>
      <w:r>
        <w:rPr>
          <w:rFonts w:hint="eastAsia" w:ascii="宋体" w:hAnsi="宋体" w:cs="宋体"/>
          <w:iCs/>
          <w:color w:val="000000" w:themeColor="text1"/>
          <w:sz w:val="21"/>
          <w:szCs w:val="21"/>
          <w:highlight w:val="none"/>
          <w:lang w:eastAsia="zh-CN"/>
          <w14:textFill>
            <w14:solidFill>
              <w14:schemeClr w14:val="tx1"/>
            </w14:solidFill>
          </w14:textFill>
        </w:rPr>
        <w:t xml:space="preserve">、</w:t>
      </w:r>
      <w:r>
        <w:rPr>
          <w:rFonts w:hint="eastAsia" w:ascii="宋体" w:hAnsi="宋体" w:cs="宋体"/>
          <w:iCs/>
          <w:color w:val="000000" w:themeColor="text1"/>
          <w:sz w:val="21"/>
          <w:szCs w:val="21"/>
          <w:highlight w:val="none"/>
          <w14:textFill>
            <w14:solidFill>
              <w14:schemeClr w14:val="tx1"/>
            </w14:solidFill>
          </w14:textFill>
        </w:rPr>
        <w:t xml:space="preserve">技术要求响应及偏离表</w:t>
      </w:r>
      <w:r>
        <w:rPr>
          <w:rFonts w:hint="eastAsia" w:ascii="宋体" w:hAnsi="宋体" w:cs="宋体"/>
          <w:iCs/>
          <w:color w:val="000000" w:themeColor="text1"/>
          <w:sz w:val="21"/>
          <w:szCs w:val="21"/>
          <w:highlight w:val="none"/>
          <w:lang w:eastAsia="zh-CN"/>
          <w14:textFill>
            <w14:solidFill>
              <w14:schemeClr w14:val="tx1"/>
            </w14:solidFill>
          </w14:textFill>
        </w:rPr>
        <w:t xml:space="preserve">、</w:t>
      </w:r>
      <w:r>
        <w:rPr>
          <w:rFonts w:hint="eastAsia" w:ascii="宋体" w:hAnsi="宋体" w:cs="宋体"/>
          <w:iCs/>
          <w:color w:val="000000" w:themeColor="text1"/>
          <w:sz w:val="21"/>
          <w:szCs w:val="21"/>
          <w:highlight w:val="none"/>
          <w14:textFill>
            <w14:solidFill>
              <w14:schemeClr w14:val="tx1"/>
            </w14:solidFill>
          </w14:textFill>
        </w:rPr>
        <w:t xml:space="preserve">商务要求响应及偏离表</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十</w:t>
      </w:r>
      <w:r>
        <w:rPr>
          <w:rFonts w:hint="eastAsia" w:ascii="宋体" w:hAnsi="宋体" w:cs="宋体"/>
          <w:iCs/>
          <w:color w:val="000000" w:themeColor="text1"/>
          <w:sz w:val="21"/>
          <w:szCs w:val="21"/>
          <w:highlight w:val="none"/>
          <w:lang w:val="en-US" w:eastAsia="zh-CN"/>
          <w14:textFill>
            <w14:solidFill>
              <w14:schemeClr w14:val="tx1"/>
            </w14:solidFill>
          </w14:textFill>
        </w:rPr>
        <w:t xml:space="preserve">四</w:t>
      </w:r>
      <w:r>
        <w:rPr>
          <w:rFonts w:hint="eastAsia" w:ascii="宋体" w:hAnsi="宋体" w:cs="宋体"/>
          <w:iCs/>
          <w:color w:val="000000" w:themeColor="text1"/>
          <w:sz w:val="21"/>
          <w:szCs w:val="21"/>
          <w:highlight w:val="none"/>
          <w14:textFill>
            <w14:solidFill>
              <w14:schemeClr w14:val="tx1"/>
            </w14:solidFill>
          </w14:textFill>
        </w:rPr>
        <w:t xml:space="preserve">、开标一览表</w:t>
      </w:r>
      <w:r/>
    </w:p>
    <w:p>
      <w:pPr>
        <w:pStyle w:val="976"/>
        <w:ind w:firstLine="480"/>
        <w:jc w:val="both"/>
        <w:spacing w:beforeAutospacing="0" w:afterAutospacing="0" w:line="360" w:lineRule="auto"/>
        <w:rPr>
          <w:rFonts w:hint="eastAsia" w:ascii="宋体" w:hAnsi="宋体" w:cs="宋体"/>
          <w:iCs/>
          <w:color w:val="000000" w:themeColor="text1"/>
          <w:sz w:val="21"/>
          <w:szCs w:val="21"/>
          <w:highlight w:val="none"/>
          <w14:textFill>
            <w14:solidFill>
              <w14:schemeClr w14:val="tx1"/>
            </w14:solidFill>
          </w14:textFill>
        </w:rPr>
      </w:pPr>
      <w:r>
        <w:rPr>
          <w:rFonts w:hint="eastAsia" w:ascii="宋体" w:hAnsi="宋体" w:cs="宋体"/>
          <w:iCs/>
          <w:color w:val="000000" w:themeColor="text1"/>
          <w:sz w:val="21"/>
          <w:szCs w:val="21"/>
          <w:highlight w:val="none"/>
          <w14:textFill>
            <w14:solidFill>
              <w14:schemeClr w14:val="tx1"/>
            </w14:solidFill>
          </w14:textFill>
        </w:rPr>
        <w:t xml:space="preserve">十</w:t>
      </w:r>
      <w:r>
        <w:rPr>
          <w:rFonts w:hint="eastAsia" w:ascii="宋体" w:hAnsi="宋体" w:cs="宋体"/>
          <w:iCs/>
          <w:color w:val="000000" w:themeColor="text1"/>
          <w:sz w:val="21"/>
          <w:szCs w:val="21"/>
          <w:highlight w:val="none"/>
          <w:lang w:val="en-US" w:eastAsia="zh-CN"/>
          <w14:textFill>
            <w14:solidFill>
              <w14:schemeClr w14:val="tx1"/>
            </w14:solidFill>
          </w14:textFill>
        </w:rPr>
        <w:t xml:space="preserve">五</w:t>
      </w:r>
      <w:r>
        <w:rPr>
          <w:rFonts w:hint="eastAsia" w:ascii="宋体" w:hAnsi="宋体" w:cs="宋体"/>
          <w:iCs/>
          <w:color w:val="000000" w:themeColor="text1"/>
          <w:sz w:val="21"/>
          <w:szCs w:val="21"/>
          <w:highlight w:val="none"/>
          <w14:textFill>
            <w14:solidFill>
              <w14:schemeClr w14:val="tx1"/>
            </w14:solidFill>
          </w14:textFill>
        </w:rPr>
        <w:t xml:space="preserve">、技术方案、服务承诺等</w:t>
      </w:r>
      <w:r/>
    </w:p>
    <w:p>
      <w:pPr>
        <w:pStyle w:val="976"/>
        <w:ind w:firstLine="480"/>
        <w:jc w:val="both"/>
        <w:spacing w:beforeAutospacing="0" w:afterAutospacing="0" w:line="0" w:lineRule="atLeas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br w:type="page" w:clear="all"/>
      </w:r>
      <w:r/>
    </w:p>
    <w:p>
      <w:pPr>
        <w:pStyle w:val="976"/>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976"/>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jc w:val="left"/>
        <w:spacing w:line="360" w:lineRule="auto"/>
        <w:tabs>
          <w:tab w:val="left" w:pos="1331" w:leader="none"/>
        </w:tabs>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宋体" w:eastAsia="黑体" w:cs="黑体"/>
          <w:i/>
          <w:color w:val="000000" w:themeColor="text1"/>
          <w:sz w:val="32"/>
          <w:szCs w:val="32"/>
          <w:highlight w:val="none"/>
          <w:u w:val="single"/>
          <w:lang w:val="en-US" w:eastAsia="zh-CN" w:bidi="ar-SA"/>
          <w14:textFill>
            <w14:solidFill>
              <w14:schemeClr w14:val="tx1"/>
            </w14:solidFill>
          </w14:textFill>
        </w:rPr>
        <w:t xml:space="preserve">上一年度的财务状况报表（上一年度2025年的财务状况报表,财务状况报表至少包含利润表、资产负债表、现金流量表，成立不满一年无需提供）</w:t>
      </w:r>
      <w:r/>
    </w:p>
    <w:p>
      <w:pPr>
        <w:pStyle w:val="976"/>
        <w:jc w:val="both"/>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976"/>
        <w:ind w:firstLine="492"/>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976"/>
        <w:ind w:firstLine="492"/>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主要设备有：</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976"/>
        <w:jc w:val="both"/>
        <w:spacing w:beforeAutospacing="0"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976"/>
        <w:jc w:val="both"/>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976"/>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976"/>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976"/>
        <w:jc w:val="both"/>
        <w:spacing w:beforeAutospacing="0" w:afterAutospacing="0"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p>
      <w:pPr>
        <w:pStyle w:val="976"/>
        <w:jc w:val="center"/>
        <w:spacing w:beforeAutospacing="0" w:afterAutospacing="0"/>
        <w:rPr>
          <w:rFonts w:hint="eastAsia" w:ascii="黑体" w:hAnsi="宋体" w:eastAsia="黑体" w:cs="黑体"/>
          <w:iCs/>
          <w:color w:val="000000" w:themeColor="text1"/>
          <w:sz w:val="32"/>
          <w:szCs w:val="32"/>
          <w:highlight w:val="none"/>
          <w14:textFill>
            <w14:solidFill>
              <w14:schemeClr w14:val="tx1"/>
            </w14:solidFill>
          </w14:textFill>
        </w:rPr>
      </w:pPr>
      <w:r>
        <w:rPr>
          <w:rFonts w:hint="eastAsia" w:ascii="黑体" w:hAnsi="宋体" w:eastAsia="黑体" w:cs="黑体"/>
          <w:iCs/>
          <w:color w:val="000000" w:themeColor="text1"/>
          <w:sz w:val="32"/>
          <w:szCs w:val="32"/>
          <w:highlight w:val="none"/>
          <w14:textFill>
            <w14:solidFill>
              <w14:schemeClr w14:val="tx1"/>
            </w14:solidFill>
          </w14:textFill>
        </w:rPr>
        <w:t xml:space="preserve"> 声  明</w:t>
      </w:r>
      <w:r/>
    </w:p>
    <w:p>
      <w:pPr>
        <w:pStyle w:val="976"/>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976"/>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976"/>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如果本项目申请人的特定资格要求中要求提供的，必须提供。</w:t>
      </w:r>
      <w:r/>
    </w:p>
    <w:p>
      <w:pPr>
        <w:pStyle w:val="976"/>
        <w:jc w:val="center"/>
        <w:spacing w:beforeAutospacing="0" w:afterAutospacing="0" w:line="360" w:lineRule="auto"/>
        <w:rPr>
          <w:rFonts w:hint="eastAsia" w:ascii="黑体" w:hAnsi="宋体" w:eastAsia="黑体" w:cs="黑体"/>
          <w:i/>
          <w:color w:val="000000" w:themeColor="text1"/>
          <w:sz w:val="21"/>
          <w:szCs w:val="21"/>
          <w:highlight w:val="none"/>
          <w:u w:val="single"/>
          <w14:textFill>
            <w14:solidFill>
              <w14:schemeClr w14:val="tx1"/>
            </w14:solidFill>
          </w14:textFill>
        </w:rPr>
      </w:pPr>
      <w:r/>
      <w:bookmarkStart w:id="184" w:name="_Toc120614284"/>
      <w:r/>
      <w:r/>
    </w:p>
    <w:p>
      <w:pPr>
        <w:pStyle w:val="976"/>
        <w:jc w:val="both"/>
        <w:spacing w:beforeAutospacing="0" w:afterAutospacing="0"/>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r>
      <w:r/>
    </w:p>
    <w:p>
      <w:pPr>
        <w:rPr>
          <w:rFonts w:hint="eastAsia"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br w:type="page" w:clear="all"/>
      </w:r>
      <w:r/>
    </w:p>
    <w:p>
      <w:pPr>
        <w:pStyle w:val="976"/>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976"/>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1"/>
          <w:szCs w:val="21"/>
          <w:highlight w:val="none"/>
          <w:lang w:val="en-US" w:eastAsia="zh-CN"/>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号项目采购活动的合法代理人，以本单位名义全权处理一切与该项目采购有关的事务。</w:t>
      </w:r>
      <w:r/>
    </w:p>
    <w:p>
      <w:pPr>
        <w:pStyle w:val="976"/>
        <w:ind w:firstLine="688"/>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本授权书于______年____月____日起生效，特此声明。</w:t>
      </w:r>
      <w:r/>
    </w:p>
    <w:p>
      <w:pPr>
        <w:pStyle w:val="976"/>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被授权人身份证号码：</w:t>
      </w:r>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976"/>
        <w:jc w:val="both"/>
        <w:spacing w:beforeAutospacing="0" w:afterAutospacing="0" w:line="360" w:lineRule="auto"/>
        <w:tabs>
          <w:tab w:val="left" w:pos="360" w:leader="none"/>
        </w:tabs>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被授权人联系电话：（手机）</w:t>
      </w:r>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976"/>
        <w:ind w:firstLine="63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授权单位名称：</w:t>
      </w:r>
      <w:r>
        <w:rPr>
          <w:rFonts w:ascii="Times New Roman" w:hAnsi="Times New Roman"/>
          <w:color w:val="000000" w:themeColor="text1"/>
          <w:sz w:val="21"/>
          <w:szCs w:val="21"/>
          <w:highlight w:val="none"/>
          <w:u w:val="single"/>
          <w14:textFill>
            <w14:solidFill>
              <w14:schemeClr w14:val="tx1"/>
            </w14:solidFill>
          </w14:textFill>
        </w:rPr>
        <w:t xml:space="preserve">（加盖CA电子公章）</w:t>
      </w:r>
      <w:r/>
    </w:p>
    <w:p>
      <w:pPr>
        <w:pStyle w:val="976"/>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单位地址：</w:t>
      </w:r>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976"/>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日期：</w:t>
      </w:r>
      <w:bookmarkStart w:id="185" w:name="_格式3__银行出具的资信证明"/>
      <w:r/>
      <w:bookmarkStart w:id="186" w:name="_Hlt26671380"/>
      <w:r/>
      <w:bookmarkStart w:id="187" w:name="_Hlt26955070"/>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976"/>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3390"/>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976"/>
        <w:spacing w:beforeAutospacing="0" w:afterAutospacing="0" w:line="360" w:lineRule="auto"/>
        <w:rPr>
          <w:rFonts w:eastAsia="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致：</w:t>
      </w:r>
      <w:r>
        <w:rPr>
          <w:rFonts w:hint="eastAsia" w:ascii="宋体" w:hAnsi="宋体" w:cs="宋体"/>
          <w:color w:val="000000" w:themeColor="text1"/>
          <w:sz w:val="21"/>
          <w:szCs w:val="21"/>
          <w:highlight w:val="none"/>
          <w:lang w:val="en-US" w:eastAsia="zh-CN"/>
          <w14:textFill>
            <w14:solidFill>
              <w14:schemeClr w14:val="tx1"/>
            </w14:solidFill>
          </w14:textFill>
        </w:rPr>
        <w:t xml:space="preserve">盐城工业职业技术学院</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根据贵方的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据此函，__________签字人兹宣布同意如下：</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1.按招标文件规定的各项要求，向买方提供所需货物（包含与货物相关的服务）。</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76"/>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76"/>
        <w:ind w:left="425"/>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7.与本投标有关的正式通讯地址为：</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          址：</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邮          编：</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电          话：</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传          真：</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投标人开户行：</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账          号： </w:t>
      </w:r>
      <w:r/>
    </w:p>
    <w:p>
      <w:pPr>
        <w:pStyle w:val="976"/>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           期：________年____月____日</w:t>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r>
        <w:rPr>
          <w:rFonts w:hint="eastAsia" w:ascii="黑体" w:hAnsi="宋体" w:eastAsia="黑体" w:cs="黑体"/>
          <w:b/>
          <w:color w:val="000000" w:themeColor="text1"/>
          <w:sz w:val="32"/>
          <w:szCs w:val="32"/>
          <w:highlight w:val="none"/>
          <w14:textFill>
            <w14:solidFill>
              <w14:schemeClr w14:val="tx1"/>
            </w14:solidFill>
          </w14:textFill>
        </w:rPr>
        <w:t xml:space="preserve">九、中小企业声明函（货物）（分包号：**）</w:t>
      </w:r>
      <w:r/>
    </w:p>
    <w:p>
      <w:pPr>
        <w:ind w:firstLine="480"/>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〔2020〕46号</w:t>
      </w:r>
      <w:r>
        <w:rPr>
          <w:rFonts w:hint="eastAsia" w:ascii="宋体" w:hAnsi="宋体" w:eastAsia="宋体" w:cs="宋体"/>
          <w:color w:val="000000" w:themeColor="text1"/>
          <w:sz w:val="21"/>
          <w:szCs w:val="21"/>
          <w:highlight w:val="none"/>
          <w14:textFill>
            <w14:solidFill>
              <w14:schemeClr w14:val="tx1"/>
            </w14:solidFill>
          </w14:textFill>
        </w:rPr>
        <w:t xml:space="preserve">)的规定，本公司（联合体）参加</w:t>
      </w:r>
      <w:r>
        <w:rPr>
          <w:rFonts w:hint="eastAsia" w:ascii="宋体" w:hAnsi="宋体" w:cs="宋体"/>
          <w:color w:val="000000" w:themeColor="text1"/>
          <w:sz w:val="21"/>
          <w:szCs w:val="21"/>
          <w:highlight w:val="none"/>
          <w:lang w:val="en-US" w:eastAsia="zh-CN"/>
          <w14:textFill>
            <w14:solidFill>
              <w14:schemeClr w14:val="tx1"/>
            </w14:solidFill>
          </w14:textFill>
        </w:rPr>
        <w:t xml:space="preserve">盐城工业职业技术学院</w:t>
      </w:r>
      <w:r>
        <w:rPr>
          <w:rFonts w:hint="eastAsia" w:ascii="宋体" w:hAnsi="宋体" w:eastAsia="宋体" w:cs="宋体"/>
          <w:color w:val="000000" w:themeColor="text1"/>
          <w:sz w:val="21"/>
          <w:szCs w:val="21"/>
          <w:highlight w:val="none"/>
          <w14:textFill>
            <w14:solidFill>
              <w14:schemeClr w14:val="tx1"/>
            </w14:solidFill>
          </w14:textFill>
        </w:rPr>
        <w:t xml:space="preserve">组织的采购编号为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的采购活动，提供的货物全部由符合政策要求的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1"/>
          <w:szCs w:val="21"/>
          <w:highlight w:val="none"/>
          <w14:textFill>
            <w14:solidFill>
              <w14:schemeClr w14:val="tx1"/>
            </w14:solidFill>
          </w14:textFill>
        </w:rPr>
        <w:t xml:space="preserve">企业制造。相关企业（含联合体中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的中小</w:t>
      </w:r>
      <w:r>
        <w:rPr>
          <w:rFonts w:hint="eastAsia" w:ascii="宋体" w:hAnsi="宋体" w:eastAsia="宋体" w:cs="宋体"/>
          <w:color w:val="000000" w:themeColor="text1"/>
          <w:sz w:val="21"/>
          <w:szCs w:val="21"/>
          <w:highlight w:val="none"/>
          <w14:textFill>
            <w14:solidFill>
              <w14:schemeClr w14:val="tx1"/>
            </w14:solidFill>
          </w14:textFill>
        </w:rPr>
        <w:t xml:space="preserve">企业、签订分包意向协议的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1"/>
          <w:szCs w:val="21"/>
          <w:highlight w:val="none"/>
          <w14:textFill>
            <w14:solidFill>
              <w14:schemeClr w14:val="tx1"/>
            </w14:solidFill>
          </w14:textFill>
        </w:rPr>
        <w:t xml:space="preserve">小企业）的具体情况如下：</w:t>
      </w:r>
      <w:r/>
    </w:p>
    <w:p>
      <w:pPr>
        <w:pStyle w:val="816"/>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i/>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行业；制造商为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pStyle w:val="816"/>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i/>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行业；制造商为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pStyle w:val="816"/>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16"/>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16"/>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pStyle w:val="816"/>
        <w:ind w:right="72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816"/>
        <w:ind w:right="180" w:firstLine="360"/>
        <w:jc w:val="right"/>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企业名称（加盖CA电子公章）：</w:t>
      </w:r>
      <w:r/>
    </w:p>
    <w:p>
      <w:pPr>
        <w:pStyle w:val="816"/>
        <w:ind w:right="480" w:firstLine="540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pStyle w:val="816"/>
        <w:ind w:firstLine="3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816"/>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pStyle w:val="816"/>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备注2：供应商如不提供此声明函，价格将不做相应扣除（如项目全面面向中小企业，则资格审查不通过）。</w:t>
      </w:r>
      <w:r/>
    </w:p>
    <w:p>
      <w:pPr>
        <w:pStyle w:val="976"/>
        <w:jc w:val="center"/>
        <w:spacing w:beforeAutospacing="0" w:afterAutospacing="0" w:line="0" w:lineRule="atLeast"/>
        <w:rPr>
          <w:rFonts w:hint="eastAsia" w:ascii="黑体" w:hAnsi="宋体" w:eastAsia="黑体" w:cs="黑体"/>
          <w:b/>
          <w:color w:val="000000" w:themeColor="text1"/>
          <w:sz w:val="21"/>
          <w:szCs w:val="21"/>
          <w:highlight w:val="none"/>
          <w14:textFill>
            <w14:solidFill>
              <w14:schemeClr w14:val="tx1"/>
            </w14:solidFill>
          </w14:textFill>
        </w:rPr>
      </w:pPr>
      <w:r>
        <w:rPr>
          <w:rFonts w:hint="eastAsia" w:ascii="黑体" w:hAnsi="宋体" w:eastAsia="黑体" w:cs="黑体"/>
          <w:b/>
          <w:color w:val="000000" w:themeColor="text1"/>
          <w:sz w:val="21"/>
          <w:szCs w:val="21"/>
          <w:highlight w:val="none"/>
          <w14:textFill>
            <w14:solidFill>
              <w14:schemeClr w14:val="tx1"/>
            </w14:solidFill>
          </w14:textFill>
        </w:rPr>
      </w:r>
      <w:r/>
    </w:p>
    <w:p>
      <w:pPr>
        <w:pStyle w:val="97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十、残疾人福利性单位声明函（分包号：**）</w:t>
      </w:r>
      <w:r/>
    </w:p>
    <w:p>
      <w:pPr>
        <w:pStyle w:val="976"/>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pStyle w:val="976"/>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76"/>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976"/>
        <w:ind w:firstLine="624"/>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ind w:right="1560" w:firstLine="624"/>
        <w:jc w:val="center"/>
        <w:spacing w:beforeAutospacing="0" w:afterAutospacing="0" w:line="360" w:lineRule="auto"/>
        <w:tabs>
          <w:tab w:val="left" w:pos="4864" w:leader="none"/>
        </w:tabs>
        <w:rPr>
          <w:color w:val="000000" w:themeColor="text1"/>
          <w:sz w:val="21"/>
          <w:szCs w:val="21"/>
          <w:highlight w:val="none"/>
          <w14:textFill>
            <w14:solidFill>
              <w14:schemeClr w14:val="tx1"/>
            </w14:solidFill>
          </w14:textFill>
        </w:rPr>
      </w:pPr>
      <w:r>
        <w:rPr>
          <w:rFonts w:ascii="仿宋_GB2312" w:eastAsia="仿宋_GB2312" w:cs="仿宋_GB2312"/>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供应商全称（加盖CA电子公章）：</w:t>
      </w:r>
      <w:r/>
    </w:p>
    <w:p>
      <w:pPr>
        <w:pStyle w:val="976"/>
        <w:ind w:right="1560" w:firstLine="480"/>
        <w:jc w:val="center"/>
        <w:spacing w:beforeAutospacing="0" w:afterAutospacing="0" w:line="360" w:lineRule="auto"/>
        <w:tabs>
          <w:tab w:val="left" w:pos="4864" w:leader="none"/>
        </w:tabs>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日  期：</w:t>
      </w:r>
      <w:r/>
    </w:p>
    <w:p>
      <w:pPr>
        <w:pStyle w:val="976"/>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ind w:left="0" w:right="0"/>
        <w:jc w:val="center"/>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themeColor="text1"/>
          <w:sz w:val="32"/>
          <w:szCs w:val="32"/>
          <w:highlight w:val="none"/>
          <w14:textFill>
            <w14:solidFill>
              <w14:schemeClr w14:val="tx1"/>
            </w14:solidFill>
          </w14:textFill>
        </w:rPr>
        <w:br w:type="page" w:clear="all"/>
      </w:r>
      <w:r>
        <w:rPr>
          <w:rFonts w:ascii="黑体" w:hAnsi="宋体" w:eastAsia="黑体" w:cs="黑体"/>
          <w:b/>
          <w:bCs/>
          <w:color w:val="000000" w:themeColor="text1"/>
          <w:sz w:val="32"/>
          <w:szCs w:val="32"/>
          <w:highlight w:val="none"/>
          <w14:textFill>
            <w14:solidFill>
              <w14:schemeClr w14:val="tx1"/>
            </w14:solidFill>
          </w14:textFill>
        </w:rPr>
        <w:t xml:space="preserve">十一、 关于符合本国产品标准的声明函（采购包号：**）</w:t>
      </w:r>
      <w:r/>
    </w:p>
    <w:p>
      <w:pPr>
        <w:pStyle w:val="816"/>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themeColor="text1"/>
          <w:sz w:val="24"/>
          <w:szCs w:val="24"/>
          <w:highlight w:val="none"/>
          <w14:textFill>
            <w14:solidFill>
              <w14:schemeClr w14:val="tx1"/>
            </w14:solidFill>
          </w14:textFill>
        </w:rPr>
        <w:t xml:space="preserve"> </w:t>
      </w:r>
      <w:r/>
    </w:p>
    <w:p>
      <w:pPr>
        <w:pStyle w:val="816"/>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6"/>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 （产品名称1） </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3</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4</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5</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16"/>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2.</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16"/>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p>
    <w:p>
      <w:pPr>
        <w:pStyle w:val="816"/>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 </w:t>
      </w:r>
      <w:r/>
    </w:p>
    <w:p>
      <w:pPr>
        <w:pStyle w:val="816"/>
        <w:ind w:left="0" w:right="480" w:firstLine="37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公司（单位）名称（盖章）：　</w:t>
      </w:r>
      <w:r/>
    </w:p>
    <w:p>
      <w:pPr>
        <w:pStyle w:val="816"/>
        <w:jc w:val="center"/>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                                日期：　   年　  月　  日         </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__________________</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816"/>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816"/>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6.用</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横</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线划除的地方无需填写。</w:t>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Arial" w:hAnsi="Arial" w:eastAsia="Arial" w:cs="Arial"/>
          <w:b/>
          <w:color w:val="000000" w:themeColor="text1"/>
          <w:sz w:val="24"/>
          <w:szCs w:val="24"/>
          <w:highlight w:val="none"/>
          <w14:textFill>
            <w14:solidFill>
              <w14:schemeClr w14:val="tx1"/>
            </w14:solidFill>
          </w14:textFill>
        </w:rPr>
      </w:pPr>
      <w:r>
        <w:rPr>
          <w:rFonts w:hint="eastAsia" w:ascii="Arial" w:hAnsi="Arial" w:eastAsia="Arial" w:cs="Arial"/>
          <w:b/>
          <w:color w:val="000000" w:themeColor="text1"/>
          <w:sz w:val="24"/>
          <w:szCs w:val="24"/>
          <w:highlight w:val="none"/>
          <w14:textFill>
            <w14:solidFill>
              <w14:schemeClr w14:val="tx1"/>
            </w14:solidFill>
          </w14:textFill>
        </w:rPr>
      </w:r>
      <w:r/>
    </w:p>
    <w:p>
      <w:pPr>
        <w:spacing w:line="24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81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Arial" w:hAnsi="Arial" w:eastAsia="Arial" w:cs="Arial"/>
          <w:b/>
          <w:color w:val="000000" w:themeColor="text1"/>
          <w:sz w:val="24"/>
          <w:szCs w:val="24"/>
          <w:highlight w:val="none"/>
          <w14:textFill>
            <w14:solidFill>
              <w14:schemeClr w14:val="tx1"/>
            </w14:solidFill>
          </w14:textFill>
        </w:rPr>
      </w:pPr>
      <w:r>
        <w:rPr>
          <w:rFonts w:hint="eastAsia" w:ascii="Arial" w:hAnsi="Arial" w:eastAsia="Arial" w:cs="Arial"/>
          <w:b/>
          <w:color w:val="000000" w:themeColor="text1"/>
          <w:sz w:val="24"/>
          <w:szCs w:val="24"/>
          <w:highlight w:val="none"/>
          <w14:textFill>
            <w14:solidFill>
              <w14:schemeClr w14:val="tx1"/>
            </w14:solidFill>
          </w14:textFill>
        </w:rPr>
      </w:r>
      <w:r/>
    </w:p>
    <w:p>
      <w:pPr>
        <w:spacing w:line="24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754"/>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754"/>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976"/>
        <w:jc w:val="center"/>
        <w:spacing w:beforeAutospacing="0" w:afterAutospacing="0"/>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bCs/>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highlight w:val="none"/>
          <w14:textFill>
            <w14:solidFill>
              <w14:schemeClr w14:val="tx1"/>
            </w14:solidFill>
          </w14:textFill>
        </w:rPr>
        <w:t xml:space="preserve">、</w:t>
      </w:r>
      <w:bookmarkStart w:id="188" w:name="OLE_LINK22"/>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投标分项报价表（分包号：***）</w:t>
      </w:r>
      <w:bookmarkEnd w:id="188"/>
      <w:r/>
      <w:r/>
    </w:p>
    <w:tbl>
      <w:tblPr>
        <w:tblStyle w:val="727"/>
        <w:tblW w:w="8764"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728"/>
        <w:gridCol w:w="728"/>
        <w:gridCol w:w="758"/>
        <w:gridCol w:w="997"/>
        <w:gridCol w:w="739"/>
        <w:gridCol w:w="1361"/>
        <w:gridCol w:w="835"/>
        <w:gridCol w:w="890"/>
        <w:gridCol w:w="921"/>
      </w:tblGrid>
      <w:tr>
        <w:trPr>
          <w:cantSplit/>
          <w:trHeight w:val="54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r>
      <w:tr>
        <w:trPr>
          <w:cantSplit/>
          <w:trHeight w:val="29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名称</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型号</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制造商名称</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产地</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highlight w:val="cyan"/>
                <w14:textFill>
                  <w14:solidFill>
                    <w14:schemeClr w14:val="tx1"/>
                  </w14:solidFill>
                </w14:textFill>
              </w:rPr>
            </w:pPr>
            <w:r>
              <w:rPr>
                <w:rFonts w:ascii="宋体" w:hAnsi="宋体"/>
                <w:color w:val="000000" w:themeColor="text1"/>
                <w:sz w:val="24"/>
                <w:szCs w:val="24"/>
                <w:highlight w:val="cyan"/>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36"/>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59"/>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41"/>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249"/>
        </w:trPr>
        <w:tc>
          <w:tcPr>
            <w:tcW w:w="80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gridSpan w:val="8"/>
            <w:tcW w:w="7036"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c>
          <w:tcPr>
            <w:tcW w:w="921" w:type="dxa"/>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pStyle w:val="816"/>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p>
      <w:pPr>
        <w:pStyle w:val="816"/>
        <w:numPr>
          <w:ilvl w:val="0"/>
          <w:numId w:val="0"/>
        </w:numPr>
        <w:ind w:left="0" w:right="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16"/>
        <w:numPr>
          <w:ilvl w:val="0"/>
          <w:numId w:val="0"/>
        </w:numPr>
        <w:jc w:val="both"/>
        <w:spacing w:beforeAutospacing="0" w:afterAutospacing="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spacing w:line="400" w:lineRule="exact"/>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Arial" w:hAnsi="Arial" w:eastAsia="Arial" w:cs="Arial"/>
          <w:color w:val="000000" w:themeColor="text1"/>
          <w:sz w:val="24"/>
          <w:szCs w:val="24"/>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16"/>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（备注：该表仅适用于项目采用货币报价的情形。项目采用折扣率报价的，如需要填写投标分项报价表，请项目经办人自行设计表格。招标文件定稿后该备注删除。）</w:t>
      </w:r>
      <w:r/>
    </w:p>
    <w:p>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r/>
    </w:p>
    <w:p>
      <w:pPr>
        <w:jc w:val="center"/>
        <w:spacing w:line="560" w:lineRule="exact"/>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w:t>
      </w:r>
      <w:bookmarkStart w:id="189" w:name="OLE_LINK25"/>
      <w:r>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t xml:space="preserve">实质性要求响应及偏离表（采购包号：**）</w:t>
      </w:r>
      <w:r/>
    </w:p>
    <w:tbl>
      <w:tblPr>
        <w:tblStyle w:val="727"/>
        <w:tblW w:w="89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w:t>
            </w:r>
            <w:r>
              <w:rPr>
                <w:rFonts w:ascii="宋体" w:hAnsi="宋体"/>
                <w:color w:val="000000" w:themeColor="text1"/>
                <w:sz w:val="24"/>
                <w:szCs w:val="24"/>
                <w14:textFill>
                  <w14:solidFill>
                    <w14:schemeClr w14:val="tx1"/>
                  </w14:solidFill>
                </w14:textFill>
              </w:rPr>
              <w:t xml:space="preserve">要求和商务要求中的实质性要求</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i/>
                <w:color w:val="000000" w:themeColor="text1"/>
                <w:sz w:val="24"/>
                <w:szCs w:val="21"/>
                <w:u w:val="single"/>
                <w14:textFill>
                  <w14:solidFill>
                    <w14:schemeClr w14:val="tx1"/>
                  </w14:solidFill>
                </w14:textFill>
              </w:rPr>
              <w:t xml:space="preserve">斜体且有下划线部分</w:t>
            </w:r>
            <w:r>
              <w:rPr>
                <w:rFonts w:hint="eastAsia" w:ascii="宋体" w:hAnsi="宋体"/>
                <w:b/>
                <w:bCs/>
                <w:color w:val="000000" w:themeColor="text1"/>
                <w:sz w:val="24"/>
                <w:szCs w:val="21"/>
                <w14:textFill>
                  <w14:solidFill>
                    <w14:schemeClr w14:val="tx1"/>
                  </w14:solidFill>
                </w14:textFill>
              </w:rPr>
              <w:t xml:space="preserve">或加*号条款）</w:t>
            </w:r>
            <w:r/>
          </w:p>
        </w:tc>
        <w:tc>
          <w:tcPr>
            <w:tcW w:w="3317"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6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17"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36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17"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6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3317"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i/>
          <w:color w:val="000000" w:themeColor="text1"/>
          <w:sz w:val="24"/>
          <w:szCs w:val="21"/>
          <w:u w:val="single"/>
          <w14:textFill>
            <w14:solidFill>
              <w14:schemeClr w14:val="tx1"/>
            </w14:solidFill>
          </w14:textFill>
        </w:rPr>
        <w:t xml:space="preserve">斜体且有下划线部分</w:t>
      </w:r>
      <w:r>
        <w:rPr>
          <w:rFonts w:hint="eastAsia" w:ascii="宋体" w:hAnsi="宋体"/>
          <w:b/>
          <w:bCs/>
          <w:color w:val="000000" w:themeColor="text1"/>
          <w:sz w:val="24"/>
          <w:szCs w:val="21"/>
          <w14:textFill>
            <w14:solidFill>
              <w14:schemeClr w14:val="tx1"/>
            </w14:solidFill>
          </w14:textFill>
        </w:rPr>
        <w:t xml:space="preserve">或加*号条款）</w:t>
      </w:r>
      <w:r>
        <w:rPr>
          <w:rFonts w:ascii="宋体" w:hAnsi="宋体"/>
          <w:color w:val="000000" w:themeColor="text1"/>
          <w:sz w:val="24"/>
          <w:szCs w:val="24"/>
          <w14:textFill>
            <w14:solidFill>
              <w14:schemeClr w14:val="tx1"/>
            </w14:solidFill>
          </w14:textFill>
        </w:rPr>
        <w:t xml:space="preserve">逐条做出明确响应</w:t>
      </w:r>
      <w:r>
        <w:rPr>
          <w:rFonts w:hint="eastAsia"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2.如果招标</w:t>
      </w:r>
      <w:r>
        <w:rPr>
          <w:rFonts w:ascii="宋体" w:hAnsi="宋体"/>
          <w:color w:val="000000" w:themeColor="text1"/>
          <w:sz w:val="24"/>
          <w:szCs w:val="24"/>
          <w14:textFill>
            <w14:solidFill>
              <w14:schemeClr w14:val="tx1"/>
            </w14:solidFill>
          </w14:textFill>
        </w:rPr>
        <w:t xml:space="preserve">文件要求提供</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材料，投标人</w:t>
      </w:r>
      <w:r>
        <w:rPr>
          <w:rFonts w:hint="eastAsia" w:ascii="宋体" w:hAnsi="宋体"/>
          <w:color w:val="000000" w:themeColor="text1"/>
          <w:sz w:val="24"/>
          <w:szCs w:val="24"/>
          <w14:textFill>
            <w14:solidFill>
              <w14:schemeClr w14:val="tx1"/>
            </w14:solidFill>
          </w14:textFill>
        </w:rPr>
        <w:t xml:space="preserve">必须</w:t>
      </w:r>
      <w:r>
        <w:rPr>
          <w:rFonts w:ascii="宋体" w:hAnsi="宋体"/>
          <w:color w:val="000000" w:themeColor="text1"/>
          <w:sz w:val="24"/>
          <w:szCs w:val="24"/>
          <w14:textFill>
            <w14:solidFill>
              <w14:schemeClr w14:val="tx1"/>
            </w14:solidFill>
          </w14:textFill>
        </w:rPr>
        <w:t xml:space="preserve">将证明材料</w:t>
      </w:r>
      <w:r>
        <w:rPr>
          <w:rFonts w:hint="eastAsia" w:ascii="宋体" w:hAnsi="宋体"/>
          <w:color w:val="000000" w:themeColor="text1"/>
          <w:sz w:val="24"/>
          <w:szCs w:val="24"/>
          <w14:textFill>
            <w14:solidFill>
              <w14:schemeClr w14:val="tx1"/>
            </w14:solidFill>
          </w14:textFill>
        </w:rPr>
        <w:t xml:space="preserve">列于</w:t>
      </w:r>
      <w:r>
        <w:rPr>
          <w:rFonts w:ascii="宋体" w:hAnsi="宋体"/>
          <w:color w:val="000000" w:themeColor="text1"/>
          <w:sz w:val="24"/>
          <w:szCs w:val="24"/>
          <w14:textFill>
            <w14:solidFill>
              <w14:schemeClr w14:val="tx1"/>
            </w14:solidFill>
          </w14:textFill>
        </w:rPr>
        <w:t xml:space="preserve">该表之下。</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技术要求响应及偏离表（分包号：**）</w:t>
      </w:r>
      <w:r/>
    </w:p>
    <w:tbl>
      <w:tblPr>
        <w:tblStyle w:val="72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w:t>
            </w:r>
            <w:r/>
          </w:p>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eastAsia="宋体"/>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hint="eastAsia"/>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1.投标人需</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要求（未加斜体</w:t>
      </w:r>
      <w:r>
        <w:rPr>
          <w:rFonts w:ascii="宋体" w:hAnsi="宋体"/>
          <w:color w:val="000000" w:themeColor="text1"/>
          <w:sz w:val="24"/>
          <w:szCs w:val="24"/>
          <w14:textFill>
            <w14:solidFill>
              <w14:schemeClr w14:val="tx1"/>
            </w14:solidFill>
          </w14:textFill>
        </w:rPr>
        <w:t xml:space="preserve">下划线的</w:t>
      </w:r>
      <w:r>
        <w:rPr>
          <w:rFonts w:hint="eastAsia" w:ascii="宋体" w:hAnsi="宋体"/>
          <w:color w:val="000000" w:themeColor="text1"/>
          <w:sz w:val="24"/>
          <w:szCs w:val="24"/>
          <w14:textFill>
            <w14:solidFill>
              <w14:schemeClr w14:val="tx1"/>
            </w14:solidFill>
          </w14:textFill>
        </w:rPr>
        <w:t xml:space="preserve">非</w:t>
      </w:r>
      <w:r>
        <w:rPr>
          <w:rFonts w:ascii="宋体" w:hAnsi="宋体"/>
          <w:color w:val="000000" w:themeColor="text1"/>
          <w:sz w:val="24"/>
          <w:szCs w:val="24"/>
          <w14:textFill>
            <w14:solidFill>
              <w14:schemeClr w14:val="tx1"/>
            </w14:solidFill>
          </w14:textFill>
        </w:rPr>
        <w:t xml:space="preserve">实质性</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逐条做出明确响应</w:t>
      </w:r>
      <w:r>
        <w:rPr>
          <w:rFonts w:hint="eastAsia"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2.如果招标</w:t>
      </w:r>
      <w:r>
        <w:rPr>
          <w:rFonts w:ascii="宋体" w:hAnsi="宋体"/>
          <w:color w:val="000000" w:themeColor="text1"/>
          <w:sz w:val="24"/>
          <w:szCs w:val="24"/>
          <w14:textFill>
            <w14:solidFill>
              <w14:schemeClr w14:val="tx1"/>
            </w14:solidFill>
          </w14:textFill>
        </w:rPr>
        <w:t xml:space="preserve">文件要求提供</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材料，投标人</w:t>
      </w:r>
      <w:r>
        <w:rPr>
          <w:rFonts w:hint="eastAsia" w:ascii="宋体" w:hAnsi="宋体"/>
          <w:color w:val="000000" w:themeColor="text1"/>
          <w:sz w:val="24"/>
          <w:szCs w:val="24"/>
          <w14:textFill>
            <w14:solidFill>
              <w14:schemeClr w14:val="tx1"/>
            </w14:solidFill>
          </w14:textFill>
        </w:rPr>
        <w:t xml:space="preserve">需</w:t>
      </w:r>
      <w:r>
        <w:rPr>
          <w:rFonts w:ascii="宋体" w:hAnsi="宋体"/>
          <w:color w:val="000000" w:themeColor="text1"/>
          <w:sz w:val="24"/>
          <w:szCs w:val="24"/>
          <w14:textFill>
            <w14:solidFill>
              <w14:schemeClr w14:val="tx1"/>
            </w14:solidFill>
          </w14:textFill>
        </w:rPr>
        <w:t xml:space="preserve">将证明材料</w:t>
      </w:r>
      <w:r>
        <w:rPr>
          <w:rFonts w:hint="eastAsia" w:ascii="宋体" w:hAnsi="宋体"/>
          <w:color w:val="000000" w:themeColor="text1"/>
          <w:sz w:val="24"/>
          <w:szCs w:val="24"/>
          <w14:textFill>
            <w14:solidFill>
              <w14:schemeClr w14:val="tx1"/>
            </w14:solidFill>
          </w14:textFill>
        </w:rPr>
        <w:t xml:space="preserve">列于</w:t>
      </w:r>
      <w:r>
        <w:rPr>
          <w:rFonts w:ascii="宋体" w:hAnsi="宋体"/>
          <w:color w:val="000000" w:themeColor="text1"/>
          <w:sz w:val="24"/>
          <w:szCs w:val="24"/>
          <w14:textFill>
            <w14:solidFill>
              <w14:schemeClr w14:val="tx1"/>
            </w14:solidFill>
          </w14:textFill>
        </w:rPr>
        <w:t xml:space="preserve">该表之下。</w:t>
      </w:r>
      <w:r/>
    </w:p>
    <w:p>
      <w:pPr>
        <w:pStyle w:val="976"/>
        <w:jc w:val="both"/>
        <w:spacing w:beforeAutospacing="0" w:afterAutospacing="0"/>
        <w:rPr>
          <w:color w:val="000000" w:themeColor="text1"/>
          <w:highlight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行数不够，可自行添加。</w:t>
      </w:r>
      <w:bookmarkEnd w:id="189"/>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bookmarkStart w:id="190" w:name="OLE_LINK18"/>
      <w:r/>
      <w:bookmarkStart w:id="191" w:name="OLE_LINK24"/>
      <w:r/>
      <w:bookmarkStart w:id="192" w:name="_Hlt26955054"/>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bookmarkEnd w:id="190"/>
      <w:r>
        <w:rPr>
          <w:rFonts w:hint="eastAsia" w:ascii="黑体" w:hAnsi="宋体" w:eastAsia="黑体" w:cs="黑体"/>
          <w:b/>
          <w:color w:val="000000" w:themeColor="text1"/>
          <w:sz w:val="32"/>
          <w:szCs w:val="32"/>
          <w:highlight w:val="none"/>
          <w14:textFill>
            <w14:solidFill>
              <w14:schemeClr w14:val="tx1"/>
            </w14:solidFill>
          </w14:textFill>
        </w:rPr>
        <w:t xml:space="preserve">（分包号：**）</w:t>
      </w:r>
      <w:r/>
    </w:p>
    <w:tbl>
      <w:tblPr>
        <w:tblStyle w:val="72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bookmarkStart w:id="193" w:name="_Hlt26955064"/>
            <w:r/>
            <w:bookmarkStart w:id="194" w:name="_Hlt26955056"/>
            <w:r/>
            <w:bookmarkStart w:id="195" w:name="_Hlt24879081"/>
            <w:r/>
            <w:bookmarkStart w:id="196" w:name="_Hlt26671372"/>
            <w:r/>
            <w:bookmarkStart w:id="197" w:name="_Hlt26782999"/>
            <w:r/>
            <w:bookmarkStart w:id="198" w:name="_Hlt26580838"/>
            <w:r/>
            <w:bookmarkStart w:id="199" w:name="_Hlt26671343"/>
            <w:r/>
            <w:bookmarkStart w:id="200" w:name="_Hlt26609391"/>
            <w:r/>
            <w:bookmarkStart w:id="201" w:name="OLE_LINK23"/>
            <w:r>
              <w:rPr>
                <w:rFonts w:hint="eastAsia" w:ascii="宋体" w:hAnsi="宋体" w:cs="宋体"/>
                <w:color w:val="000000" w:themeColor="text1"/>
                <w:sz w:val="21"/>
                <w:szCs w:val="21"/>
                <w:highlight w:val="none"/>
                <w14:textFill>
                  <w14:solidFill>
                    <w14:schemeClr w14:val="tx1"/>
                  </w14:solidFill>
                </w14:textFill>
              </w:rPr>
              <w:t xml:space="preserve">序号</w:t>
            </w:r>
            <w:bookmarkEnd w:id="193"/>
            <w:r/>
            <w:bookmarkEnd w:id="194"/>
            <w:r/>
            <w:bookmarkEnd w:id="195"/>
            <w:r/>
            <w:bookmarkEnd w:id="196"/>
            <w:r/>
            <w:bookmarkEnd w:id="197"/>
            <w:r/>
            <w:bookmarkEnd w:id="198"/>
            <w:r/>
            <w:bookmarkEnd w:id="199"/>
            <w:r/>
            <w:bookmarkEnd w:id="20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w:t>
            </w:r>
            <w:r/>
          </w:p>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eastAsia="宋体"/>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hint="eastAsia"/>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Autospacing="0" w:afterAutospacing="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bookmarkEnd w:id="201"/>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1.投标人需</w:t>
      </w:r>
      <w:r>
        <w:rPr>
          <w:rFonts w:ascii="宋体" w:hAnsi="宋体"/>
          <w:color w:val="000000" w:themeColor="text1"/>
          <w:sz w:val="24"/>
          <w:szCs w:val="24"/>
          <w14:textFill>
            <w14:solidFill>
              <w14:schemeClr w14:val="tx1"/>
            </w14:solidFill>
          </w14:textFill>
        </w:rPr>
        <w:t xml:space="preserve">对</w:t>
      </w:r>
      <w:r>
        <w:rPr>
          <w:rFonts w:hint="eastAsia" w:ascii="宋体" w:hAnsi="宋体"/>
          <w:color w:val="000000" w:themeColor="text1"/>
          <w:sz w:val="24"/>
          <w:szCs w:val="24"/>
          <w14:textFill>
            <w14:solidFill>
              <w14:schemeClr w14:val="tx1"/>
            </w14:solidFill>
          </w14:textFill>
        </w:rPr>
        <w:t xml:space="preserve">商务要求（未加斜体</w:t>
      </w:r>
      <w:r>
        <w:rPr>
          <w:rFonts w:ascii="宋体" w:hAnsi="宋体"/>
          <w:color w:val="000000" w:themeColor="text1"/>
          <w:sz w:val="24"/>
          <w:szCs w:val="24"/>
          <w14:textFill>
            <w14:solidFill>
              <w14:schemeClr w14:val="tx1"/>
            </w14:solidFill>
          </w14:textFill>
        </w:rPr>
        <w:t xml:space="preserve">下划线的</w:t>
      </w:r>
      <w:r>
        <w:rPr>
          <w:rFonts w:hint="eastAsia" w:ascii="宋体" w:hAnsi="宋体"/>
          <w:color w:val="000000" w:themeColor="text1"/>
          <w:sz w:val="24"/>
          <w:szCs w:val="24"/>
          <w14:textFill>
            <w14:solidFill>
              <w14:schemeClr w14:val="tx1"/>
            </w14:solidFill>
          </w14:textFill>
        </w:rPr>
        <w:t xml:space="preserve">非</w:t>
      </w:r>
      <w:r>
        <w:rPr>
          <w:rFonts w:ascii="宋体" w:hAnsi="宋体"/>
          <w:color w:val="000000" w:themeColor="text1"/>
          <w:sz w:val="24"/>
          <w:szCs w:val="24"/>
          <w14:textFill>
            <w14:solidFill>
              <w14:schemeClr w14:val="tx1"/>
            </w14:solidFill>
          </w14:textFill>
        </w:rPr>
        <w:t xml:space="preserve">实质性</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逐条做出明确响应</w:t>
      </w:r>
      <w:r>
        <w:rPr>
          <w:rFonts w:hint="eastAsia"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2.如果招标</w:t>
      </w:r>
      <w:r>
        <w:rPr>
          <w:rFonts w:ascii="宋体" w:hAnsi="宋体"/>
          <w:color w:val="000000" w:themeColor="text1"/>
          <w:sz w:val="24"/>
          <w:szCs w:val="24"/>
          <w14:textFill>
            <w14:solidFill>
              <w14:schemeClr w14:val="tx1"/>
            </w14:solidFill>
          </w14:textFill>
        </w:rPr>
        <w:t xml:space="preserve">文件要求提供</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材料，投标人</w:t>
      </w:r>
      <w:r>
        <w:rPr>
          <w:rFonts w:hint="eastAsia" w:ascii="宋体" w:hAnsi="宋体"/>
          <w:color w:val="000000" w:themeColor="text1"/>
          <w:sz w:val="24"/>
          <w:szCs w:val="24"/>
          <w14:textFill>
            <w14:solidFill>
              <w14:schemeClr w14:val="tx1"/>
            </w14:solidFill>
          </w14:textFill>
        </w:rPr>
        <w:t xml:space="preserve">需</w:t>
      </w:r>
      <w:r>
        <w:rPr>
          <w:rFonts w:ascii="宋体" w:hAnsi="宋体"/>
          <w:color w:val="000000" w:themeColor="text1"/>
          <w:sz w:val="24"/>
          <w:szCs w:val="24"/>
          <w14:textFill>
            <w14:solidFill>
              <w14:schemeClr w14:val="tx1"/>
            </w14:solidFill>
          </w14:textFill>
        </w:rPr>
        <w:t xml:space="preserve">将证明材料</w:t>
      </w:r>
      <w:r>
        <w:rPr>
          <w:rFonts w:hint="eastAsia" w:ascii="宋体" w:hAnsi="宋体"/>
          <w:color w:val="000000" w:themeColor="text1"/>
          <w:sz w:val="24"/>
          <w:szCs w:val="24"/>
          <w14:textFill>
            <w14:solidFill>
              <w14:schemeClr w14:val="tx1"/>
            </w14:solidFill>
          </w14:textFill>
        </w:rPr>
        <w:t xml:space="preserve">列于</w:t>
      </w:r>
      <w:r>
        <w:rPr>
          <w:rFonts w:ascii="宋体" w:hAnsi="宋体"/>
          <w:color w:val="000000" w:themeColor="text1"/>
          <w:sz w:val="24"/>
          <w:szCs w:val="24"/>
          <w14:textFill>
            <w14:solidFill>
              <w14:schemeClr w14:val="tx1"/>
            </w14:solidFill>
          </w14:textFill>
        </w:rPr>
        <w:t xml:space="preserve">该表之下。</w:t>
      </w:r>
      <w:r/>
    </w:p>
    <w:p>
      <w:pPr>
        <w:pStyle w:val="976"/>
        <w:jc w:val="both"/>
        <w:spacing w:beforeAutospacing="0" w:afterAutospacing="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行数不够，可自行添加。</w:t>
      </w:r>
      <w:bookmarkEnd w:id="191"/>
      <w:r/>
      <w:r/>
    </w:p>
    <w:p>
      <w:pPr>
        <w:pStyle w:val="976"/>
        <w:jc w:val="both"/>
        <w:spacing w:beforeAutospacing="0" w:afterAutospacing="0" w:line="480" w:lineRule="auto"/>
        <w:rPr>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976"/>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bookmarkStart w:id="202" w:name="_Hlt26609389"/>
      <w:r/>
      <w:bookmarkStart w:id="203" w:name="_Hlt26955066"/>
      <w:r/>
      <w:bookmarkStart w:id="204" w:name="_Hlt26671374"/>
      <w:r/>
      <w:bookmarkStart w:id="205" w:name="_Toc462564146"/>
      <w:r/>
      <w:bookmarkStart w:id="206" w:name="_格式2__法定代表人授权书"/>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center"/>
        <w:spacing w:beforeAutospacing="0" w:afterAutospacing="0"/>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 </w:t>
      </w:r>
      <w:r/>
    </w:p>
    <w:p>
      <w:pPr>
        <w:ind w:left="0" w:right="0" w:firstLine="0"/>
        <w:jc w:val="center"/>
        <w:spacing w:before="240" w:after="24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p>
      <w:pPr>
        <w:ind w:left="0" w:right="0" w:firstLine="0"/>
        <w:jc w:val="center"/>
        <w:spacing w:before="240" w:after="240"/>
        <w:rPr>
          <w:rFonts w:ascii="黑体" w:hAnsi="黑体" w:eastAsia="黑体" w:cs="黑体"/>
          <w:b/>
          <w:bCs/>
          <w:i/>
          <w:color w:val="000000" w:themeColor="text1"/>
          <w:sz w:val="32"/>
          <w:szCs w:val="32"/>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themeColor="text1"/>
          <w:sz w:val="32"/>
          <w:highlight w:val="none"/>
          <w:u w:val="single"/>
          <w14:textFill>
            <w14:solidFill>
              <w14:schemeClr w14:val="tx1"/>
            </w14:solidFill>
          </w14:textFill>
        </w:rPr>
        <w:br w:type="page" w:clear="all"/>
      </w:r>
      <w:r>
        <w:rPr>
          <w:rFonts w:ascii="黑体" w:hAnsi="黑体" w:eastAsia="黑体" w:cs="黑体"/>
          <w:b/>
          <w:i/>
          <w:iCs w:val="0"/>
          <w:color w:val="000000" w:themeColor="text1"/>
          <w:sz w:val="32"/>
          <w:highlight w:val="none"/>
          <w:u w:val="single"/>
          <w14:textFill>
            <w14:solidFill>
              <w14:schemeClr w14:val="tx1"/>
            </w14:solidFill>
          </w14:textFill>
        </w:rPr>
        <w:t xml:space="preserve">十</w:t>
      </w:r>
      <w:r>
        <w:rPr>
          <w:rFonts w:hint="eastAsia" w:ascii="黑体" w:hAnsi="黑体" w:eastAsia="黑体" w:cs="黑体"/>
          <w:b/>
          <w:i/>
          <w:iCs w:val="0"/>
          <w:color w:val="000000" w:themeColor="text1"/>
          <w:sz w:val="32"/>
          <w:highlight w:val="none"/>
          <w:u w:val="single"/>
          <w:lang w:val="en-US" w:eastAsia="zh-CN"/>
          <w14:textFill>
            <w14:solidFill>
              <w14:schemeClr w14:val="tx1"/>
            </w14:solidFill>
          </w14:textFill>
        </w:rPr>
        <w:t xml:space="preserve">四</w:t>
      </w:r>
      <w:r>
        <w:rPr>
          <w:rFonts w:ascii="黑体" w:hAnsi="黑体" w:eastAsia="黑体" w:cs="黑体"/>
          <w:b/>
          <w:i/>
          <w:iCs w:val="0"/>
          <w:color w:val="000000" w:themeColor="text1"/>
          <w:sz w:val="32"/>
          <w:highlight w:val="none"/>
          <w:u w:val="single"/>
          <w14:textFill>
            <w14:solidFill>
              <w14:schemeClr w14:val="tx1"/>
            </w14:solidFill>
          </w14:textFill>
        </w:rPr>
        <w:t xml:space="preserve">、开标一览表</w:t>
      </w:r>
      <w:r>
        <w:rPr>
          <w:rFonts w:hint="eastAsia" w:ascii="黑体" w:hAnsi="黑体" w:eastAsia="黑体" w:cs="黑体"/>
          <w:b/>
          <w:i/>
          <w:iCs w:val="0"/>
          <w:color w:val="000000" w:themeColor="text1"/>
          <w:sz w:val="32"/>
          <w:highlight w:val="none"/>
          <w:u w:val="single"/>
          <w14:textFill>
            <w14:solidFill>
              <w14:schemeClr w14:val="tx1"/>
            </w14:solidFill>
          </w14:textFill>
        </w:rPr>
        <w:t xml:space="preserve">（总价）</w:t>
      </w:r>
      <w:r/>
    </w:p>
    <w:p>
      <w:pPr>
        <w:pStyle w:val="976"/>
        <w:ind w:firstLine="480"/>
        <w:jc w:val="both"/>
        <w:spacing w:beforeAutospacing="0" w:afterAutospacing="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16"/>
        <w:ind w:firstLine="480"/>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投标人全称（加盖CA电子签章）：</w:t>
      </w:r>
      <w:r/>
    </w:p>
    <w:p>
      <w:pPr>
        <w:pStyle w:val="816"/>
        <w:ind w:firstLine="480"/>
        <w:jc w:val="both"/>
        <w:spacing w:beforeAutospacing="0" w:afterAutospacing="0"/>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盐城工业职业技术学院3、4#学生宿舍家具</w:t>
      </w:r>
      <w:r/>
    </w:p>
    <w:p>
      <w:pPr>
        <w:pStyle w:val="816"/>
        <w:ind w:firstLine="480"/>
        <w:jc w:val="both"/>
        <w:spacing w:beforeAutospacing="0" w:afterAutospacing="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编号：</w:t>
      </w:r>
      <w:r>
        <w:rPr>
          <w:rFonts w:hint="eastAsia" w:ascii="宋体" w:hAnsi="宋体" w:cs="宋体"/>
          <w:color w:val="000000" w:themeColor="text1"/>
          <w:highlight w:val="none"/>
          <w:lang w:eastAsia="zh-CN"/>
          <w14:textFill>
            <w14:solidFill>
              <w14:schemeClr w14:val="tx1"/>
            </w14:solidFill>
          </w14:textFill>
        </w:rPr>
        <w:t xml:space="preserve">JSZC-320000-JCZJ-G2026-0006</w:t>
      </w:r>
      <w:r/>
    </w:p>
    <w:p>
      <w:pPr>
        <w:pStyle w:val="816"/>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分包号：</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0"/>
        <w:gridCol w:w="6094"/>
      </w:tblGrid>
      <w:tr>
        <w:trPr>
          <w:trHeight w:val="793"/>
        </w:trPr>
        <w:tc>
          <w:tcPr>
            <w:tcW w:w="2920" w:type="dxa"/>
            <w:vAlign w:val="top"/>
            <w:textDirection w:val="lrTb"/>
            <w:noWrap w:val="false"/>
          </w:tcPr>
          <w:p>
            <w:pPr>
              <w:pStyle w:val="816"/>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 投标货物名称</w:t>
            </w:r>
            <w:r/>
          </w:p>
        </w:tc>
        <w:tc>
          <w:tcPr>
            <w:tcW w:w="6094" w:type="dxa"/>
            <w:vAlign w:val="top"/>
            <w:textDirection w:val="lrTb"/>
            <w:noWrap w:val="false"/>
          </w:tcPr>
          <w:p>
            <w:pPr>
              <w:spacing w:before="240" w:after="24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总价（小写）</w:t>
            </w:r>
            <w:r/>
          </w:p>
        </w:tc>
      </w:tr>
      <w:tr>
        <w:trPr/>
        <w:tc>
          <w:tcPr>
            <w:tcW w:w="2920" w:type="dxa"/>
            <w:vAlign w:val="top"/>
            <w:textDirection w:val="lrTb"/>
            <w:noWrap w:val="false"/>
          </w:tcPr>
          <w:p>
            <w:pPr>
              <w:spacing w:before="240" w:after="24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投标产品名称</w:t>
            </w:r>
            <w:r/>
          </w:p>
        </w:tc>
        <w:tc>
          <w:tcPr>
            <w:tcW w:w="6094" w:type="dxa"/>
            <w:vAlign w:val="top"/>
            <w:textDirection w:val="lrTb"/>
            <w:noWrap w:val="false"/>
          </w:tcPr>
          <w:p>
            <w:pPr>
              <w:spacing w:before="240" w:after="24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r>
      <w:tr>
        <w:trPr/>
        <w:tc>
          <w:tcPr>
            <w:tcW w:w="2920" w:type="dxa"/>
            <w:vAlign w:val="top"/>
            <w:textDirection w:val="lrTb"/>
            <w:noWrap w:val="false"/>
          </w:tcPr>
          <w:p>
            <w:pPr>
              <w:spacing w:before="240" w:after="24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核心产品品牌</w:t>
            </w:r>
            <w:r/>
          </w:p>
        </w:tc>
        <w:tc>
          <w:tcPr>
            <w:tcW w:w="6094" w:type="dxa"/>
            <w:vAlign w:val="top"/>
            <w:textDirection w:val="lrTb"/>
            <w:noWrap w:val="false"/>
          </w:tcPr>
          <w:p>
            <w:pPr>
              <w:spacing w:before="240" w:after="24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1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976"/>
        <w:ind w:firstLine="48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ind w:firstLine="48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ind w:firstLine="48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6"/>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76"/>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jc w:val="both"/>
        <w:spacing w:beforeAutospacing="0" w:afterAutospacing="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before="50" w:after="5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p>
    <w:p>
      <w:pPr>
        <w:jc w:val="center"/>
        <w:spacing w:before="50" w:after="50"/>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32"/>
          <w:szCs w:val="32"/>
          <w:highlight w:val="none"/>
          <w:u w:val="single"/>
          <w14:textFill>
            <w14:solidFill>
              <w14:schemeClr w14:val="tx1"/>
            </w14:solidFill>
          </w14:textFill>
        </w:rPr>
        <w:t xml:space="preserve">十</w:t>
      </w:r>
      <w:r>
        <w:rPr>
          <w:rFonts w:hint="eastAsia" w:ascii="宋体" w:hAnsi="宋体" w:cs="宋体"/>
          <w:b/>
          <w:bCs/>
          <w:i/>
          <w:iCs/>
          <w:color w:val="000000" w:themeColor="text1"/>
          <w:sz w:val="32"/>
          <w:szCs w:val="32"/>
          <w:highlight w:val="none"/>
          <w:u w:val="single"/>
          <w:lang w:val="en-US" w:eastAsia="zh-CN"/>
          <w14:textFill>
            <w14:solidFill>
              <w14:schemeClr w14:val="tx1"/>
            </w14:solidFill>
          </w14:textFill>
        </w:rPr>
        <w:t xml:space="preserve">五</w:t>
      </w:r>
      <w:r>
        <w:rPr>
          <w:rFonts w:hint="eastAsia" w:ascii="宋体" w:hAnsi="宋体" w:cs="宋体"/>
          <w:b/>
          <w:bCs/>
          <w:i/>
          <w:iCs/>
          <w:color w:val="000000" w:themeColor="text1"/>
          <w:sz w:val="32"/>
          <w:szCs w:val="32"/>
          <w:highlight w:val="none"/>
          <w:u w:val="single"/>
          <w14:textFill>
            <w14:solidFill>
              <w14:schemeClr w14:val="tx1"/>
            </w14:solidFill>
          </w14:textFill>
        </w:rPr>
        <w:t xml:space="preserve">、技术方案、服务承诺等</w:t>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bookmarkEnd w:id="6"/>
      <w:r/>
      <w:bookmarkEnd w:id="52"/>
      <w:r/>
      <w:bookmarkEnd w:id="99"/>
      <w:r/>
      <w:bookmarkEnd w:id="100"/>
      <w:r/>
      <w:bookmarkEnd w:id="101"/>
      <w:r/>
      <w:bookmarkEnd w:id="102"/>
      <w:r/>
      <w:bookmarkEnd w:id="103"/>
      <w:r/>
      <w:bookmarkEnd w:id="104"/>
      <w:r/>
      <w:bookmarkEnd w:id="105"/>
      <w:r/>
      <w:bookmarkEnd w:id="106"/>
      <w:r/>
      <w:bookmarkEnd w:id="115"/>
      <w:r/>
      <w:bookmarkEnd w:id="116"/>
      <w:r/>
      <w:bookmarkEnd w:id="123"/>
      <w:r/>
      <w:bookmarkEnd w:id="170"/>
      <w:r/>
      <w:bookmarkEnd w:id="172"/>
      <w:r/>
      <w:bookmarkEnd w:id="181"/>
      <w:r/>
      <w:bookmarkEnd w:id="182"/>
      <w:r/>
      <w:bookmarkEnd w:id="183"/>
      <w:r/>
      <w:bookmarkEnd w:id="184"/>
      <w:r/>
      <w:bookmarkEnd w:id="185"/>
      <w:r/>
      <w:bookmarkEnd w:id="186"/>
      <w:r/>
      <w:bookmarkEnd w:id="187"/>
      <w:r/>
      <w:bookmarkEnd w:id="192"/>
      <w:r/>
      <w:bookmarkEnd w:id="202"/>
      <w:r/>
      <w:bookmarkEnd w:id="203"/>
      <w:r/>
      <w:bookmarkEnd w:id="204"/>
      <w:r/>
      <w:bookmarkEnd w:id="205"/>
      <w:r/>
      <w:bookmarkEnd w:id="206"/>
      <w:r/>
      <w:r/>
    </w:p>
    <w:p>
      <w:pPr>
        <w:pStyle w:val="976"/>
        <w:jc w:val="center"/>
        <w:spacing w:beforeAutospacing="0" w:afterAutospacing="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质疑函范本</w:t>
      </w:r>
      <w:r/>
    </w:p>
    <w:p>
      <w:pPr>
        <w:pStyle w:val="976"/>
        <w:jc w:val="both"/>
        <w:spacing w:before="290"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976"/>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976"/>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976"/>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976"/>
        <w:jc w:val="both"/>
        <w:spacing w:beforeAutospacing="0" w:afterAutospacing="0" w:line="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100" w:beforeAutospacing="1" w:after="100" w:afterAutospacing="1" w:line="420" w:lineRule="atLeast"/>
        <w:shd w:val="clear" w:color="auto" w:fill="ffffff"/>
        <w:widowControl/>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pPr>
      <w:r>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t xml:space="preserve">关于提供本国产品标准符合性声明的提示函</w:t>
      </w:r>
      <w:r/>
    </w:p>
    <w:p>
      <w:pPr>
        <w:jc w:val="center"/>
        <w:tabs>
          <w:tab w:val="left" w:pos="141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各潜在投标供应商：</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为落实《国务院办公厅关于在政府采购中实施本国产品标准及相关政策的通知》（国办发【2025】34号）中关于优先采购本国产品的相关要求，确保采购项目合规高效推进，现就投标文件中本国产品标准符合性声明函的要求提示如下：</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1.供应商参与本项目投标时，若所投产品为符合政府采购支持政策的本国产品，必须在投标文件中单独提供《本国产品标准符合性声明函》（模板见采购文件）。</w:t>
      </w:r>
      <w:r/>
    </w:p>
    <w:p>
      <w:pPr>
        <w:ind w:firstLine="560"/>
        <w:jc w:val="left"/>
        <w:spacing w:line="600" w:lineRule="atLeast"/>
        <w:widowControl/>
        <w:rPr>
          <w:color w:val="000000" w:themeColor="text1"/>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2.</w:t>
      </w:r>
      <w:r>
        <w:rPr>
          <w:rFonts w:ascii="仿宋" w:hAnsi="仿宋" w:eastAsia="仿宋" w:cs="仿宋"/>
          <w:color w:val="000000" w:themeColor="text1"/>
          <w:sz w:val="28"/>
          <w:szCs w:val="28"/>
          <w:shd w:val="clear" w:color="auto" w:fill="ffffff"/>
          <w:lang w:bidi="ar"/>
          <w14:textFill>
            <w14:solidFill>
              <w14:schemeClr w14:val="tx1"/>
            </w14:solidFill>
          </w14:textFill>
        </w:rPr>
        <w:t xml:space="preserve">若供应商未按要求提交《本国产品标准符合性声明函》，或声明函内容不完整、不符合要求，将视为不享受政府采购对本国产品的支持政策，所投产品不纳入本国产品统计范围。 供应商提供的声明函存在虚假陈述的，将按照《政府采购法》等相关规定追究法律责任。</w:t>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76"/>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sectPr>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方正仿宋_GBK">
    <w:panose1 w:val="020B0503020202020204"/>
  </w:font>
  <w:font w:name="Cambria">
    <w:panose1 w:val="02040503050406030204"/>
  </w:font>
  <w:font w:name="华文中宋">
    <w:panose1 w:val="02010600040101010101"/>
  </w:font>
  <w:font w:name="仿宋_GB2312">
    <w:panose1 w:val="02010609060101010101"/>
  </w:font>
  <w:font w:name="方正书宋_GBK">
    <w:panose1 w:val="020B0503020202020204"/>
  </w:font>
  <w:font w:name="黑体">
    <w:panose1 w:val="02010609060101010101"/>
  </w:font>
  <w:font w:name="Courier New">
    <w:panose1 w:val="020703090202050204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18</w:t>
    </w:r>
    <w:r>
      <w:fldChar w:fldCharType="end"/>
    </w:r>
    <w:r/>
  </w:p>
  <w:p>
    <w:pPr>
      <w:pStyle w:val="73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7"/>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1002"/>
    <w:uiPriority w:val="0"/>
    <w:qFormat/>
    <w:pPr>
      <w:jc w:val="both"/>
      <w:widowControl w:val="off"/>
    </w:pPr>
    <w:rPr>
      <w:rFonts w:hint="default" w:ascii="Calibri" w:hAnsi="Calibri" w:eastAsia="宋体" w:cs="Times New Roman"/>
      <w:sz w:val="21"/>
      <w:szCs w:val="24"/>
      <w:lang w:val="en-US" w:eastAsia="zh-CN" w:bidi="ar-SA"/>
    </w:rPr>
  </w:style>
  <w:style w:type="paragraph" w:styleId="717">
    <w:name w:val="Heading 1"/>
    <w:basedOn w:val="716"/>
    <w:next w:val="716"/>
    <w:link w:val="755"/>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28"/>
    <w:link w:val="75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7"/>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8"/>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9"/>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0"/>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2"/>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3"/>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0"/>
    <w:qFormat/>
    <w:pPr>
      <w:ind w:firstLine="420"/>
    </w:pPr>
    <w:rPr>
      <w:szCs w:val="21"/>
    </w:r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qFormat/>
    <w:rPr>
      <w:rFonts w:ascii="楷体_GB2312" w:hAnsi="Arial" w:eastAsia="楷体_GB2312"/>
      <w:sz w:val="28"/>
      <w:szCs w:val="28"/>
    </w:rPr>
  </w:style>
  <w:style w:type="paragraph" w:styleId="733">
    <w:name w:val="Body Text Indent"/>
    <w:basedOn w:val="716"/>
    <w:uiPriority w:val="0"/>
    <w:unhideWhenUsed/>
    <w:qFormat/>
    <w:pPr>
      <w:ind w:left="420"/>
      <w:spacing w:after="120"/>
    </w:pPr>
  </w:style>
  <w:style w:type="paragraph" w:styleId="734">
    <w:name w:val="toc 5"/>
    <w:basedOn w:val="716"/>
    <w:next w:val="716"/>
    <w:uiPriority w:val="39"/>
    <w:unhideWhenUsed/>
    <w:qFormat/>
    <w:pPr>
      <w:ind w:left="1134" w:right="0" w:firstLine="0"/>
      <w:spacing w:after="57"/>
    </w:pPr>
  </w:style>
  <w:style w:type="paragraph" w:styleId="735">
    <w:name w:val="toc 3"/>
    <w:basedOn w:val="716"/>
    <w:next w:val="716"/>
    <w:uiPriority w:val="39"/>
    <w:unhideWhenUsed/>
    <w:qFormat/>
    <w:pPr>
      <w:ind w:left="567" w:right="0" w:firstLine="0"/>
      <w:spacing w:after="57"/>
    </w:pPr>
  </w:style>
  <w:style w:type="paragraph" w:styleId="736">
    <w:name w:val="Plain Text"/>
    <w:basedOn w:val="716"/>
    <w:uiPriority w:val="0"/>
    <w:qFormat/>
    <w:rPr>
      <w:rFonts w:ascii="宋体" w:hAnsi="Courier New" w:cs="Courier New"/>
      <w:szCs w:val="21"/>
    </w:rPr>
  </w:style>
  <w:style w:type="paragraph" w:styleId="737">
    <w:name w:val="toc 8"/>
    <w:basedOn w:val="716"/>
    <w:next w:val="716"/>
    <w:uiPriority w:val="39"/>
    <w:unhideWhenUsed/>
    <w:qFormat/>
    <w:pPr>
      <w:ind w:left="1984" w:right="0" w:firstLine="0"/>
      <w:spacing w:after="57"/>
    </w:pPr>
  </w:style>
  <w:style w:type="paragraph" w:styleId="738">
    <w:name w:val="endnote text"/>
    <w:basedOn w:val="716"/>
    <w:uiPriority w:val="99"/>
    <w:semiHidden/>
    <w:unhideWhenUsed/>
    <w:qFormat/>
    <w:pPr>
      <w:spacing w:after="0" w:line="240" w:lineRule="auto"/>
    </w:pPr>
    <w:rPr>
      <w:sz w:val="20"/>
    </w:rPr>
  </w:style>
  <w:style w:type="paragraph" w:styleId="739">
    <w:name w:val="Footer"/>
    <w:basedOn w:val="716"/>
    <w:link w:val="771"/>
    <w:uiPriority w:val="99"/>
    <w:unhideWhenUsed/>
    <w:qFormat/>
    <w:pPr>
      <w:spacing w:after="0" w:line="240" w:lineRule="auto"/>
      <w:tabs>
        <w:tab w:val="center" w:pos="7143" w:leader="none"/>
        <w:tab w:val="right" w:pos="14287" w:leader="none"/>
      </w:tabs>
    </w:pPr>
  </w:style>
  <w:style w:type="paragraph" w:styleId="740">
    <w:name w:val="Header"/>
    <w:basedOn w:val="716"/>
    <w:link w:val="770"/>
    <w:uiPriority w:val="99"/>
    <w:unhideWhenUsed/>
    <w:qFormat/>
    <w:pPr>
      <w:spacing w:after="0" w:line="240" w:lineRule="auto"/>
      <w:tabs>
        <w:tab w:val="center" w:pos="7143" w:leader="none"/>
        <w:tab w:val="right" w:pos="14287" w:leader="none"/>
      </w:tabs>
    </w:pPr>
  </w:style>
  <w:style w:type="paragraph" w:styleId="741">
    <w:name w:val="toc 1"/>
    <w:basedOn w:val="716"/>
    <w:next w:val="716"/>
    <w:uiPriority w:val="39"/>
    <w:unhideWhenUsed/>
    <w:qFormat/>
    <w:pPr>
      <w:ind w:left="0" w:right="0" w:firstLine="0"/>
      <w:spacing w:after="57"/>
    </w:pPr>
  </w:style>
  <w:style w:type="paragraph" w:styleId="742">
    <w:name w:val="toc 4"/>
    <w:basedOn w:val="716"/>
    <w:next w:val="716"/>
    <w:uiPriority w:val="39"/>
    <w:unhideWhenUsed/>
    <w:qFormat/>
    <w:pPr>
      <w:ind w:left="850" w:right="0" w:firstLine="0"/>
      <w:spacing w:after="57"/>
    </w:pPr>
  </w:style>
  <w:style w:type="paragraph" w:styleId="743">
    <w:name w:val="Subtitle"/>
    <w:basedOn w:val="716"/>
    <w:next w:val="716"/>
    <w:uiPriority w:val="11"/>
    <w:qFormat/>
    <w:pPr>
      <w:spacing w:before="200" w:after="200"/>
    </w:pPr>
    <w:rPr>
      <w:sz w:val="24"/>
      <w:szCs w:val="24"/>
    </w:rPr>
  </w:style>
  <w:style w:type="paragraph" w:styleId="744">
    <w:name w:val="footnote text"/>
    <w:basedOn w:val="716"/>
    <w:uiPriority w:val="99"/>
    <w:semiHidden/>
    <w:unhideWhenUsed/>
    <w:qFormat/>
    <w:pPr>
      <w:spacing w:after="40" w:line="240" w:lineRule="auto"/>
    </w:pPr>
    <w:rPr>
      <w:sz w:val="18"/>
    </w:rPr>
  </w:style>
  <w:style w:type="paragraph" w:styleId="745">
    <w:name w:val="toc 6"/>
    <w:basedOn w:val="716"/>
    <w:next w:val="716"/>
    <w:uiPriority w:val="39"/>
    <w:unhideWhenUsed/>
    <w:qFormat/>
    <w:pPr>
      <w:ind w:left="1417" w:right="0" w:firstLine="0"/>
      <w:spacing w:after="57"/>
    </w:pPr>
  </w:style>
  <w:style w:type="paragraph" w:styleId="746">
    <w:name w:val="table of figures"/>
    <w:basedOn w:val="716"/>
    <w:next w:val="716"/>
    <w:uiPriority w:val="99"/>
    <w:unhideWhenUsed/>
    <w:qFormat/>
    <w:pPr>
      <w:spacing w:after="0" w:afterAutospacing="0"/>
    </w:pPr>
  </w:style>
  <w:style w:type="paragraph" w:styleId="747">
    <w:name w:val="toc 2"/>
    <w:basedOn w:val="716"/>
    <w:next w:val="716"/>
    <w:uiPriority w:val="39"/>
    <w:unhideWhenUsed/>
    <w:qFormat/>
    <w:pPr>
      <w:ind w:left="283" w:right="0" w:firstLine="0"/>
      <w:spacing w:after="57"/>
    </w:pPr>
  </w:style>
  <w:style w:type="paragraph" w:styleId="748">
    <w:name w:val="toc 9"/>
    <w:basedOn w:val="716"/>
    <w:next w:val="716"/>
    <w:uiPriority w:val="39"/>
    <w:unhideWhenUsed/>
    <w:qFormat/>
    <w:pPr>
      <w:ind w:left="2268" w:right="0" w:firstLine="0"/>
      <w:spacing w:after="57"/>
    </w:pPr>
  </w:style>
  <w:style w:type="paragraph" w:styleId="749">
    <w:name w:val="Title"/>
    <w:basedOn w:val="716"/>
    <w:next w:val="716"/>
    <w:link w:val="765"/>
    <w:uiPriority w:val="10"/>
    <w:qFormat/>
    <w:pPr>
      <w:contextualSpacing/>
      <w:spacing w:before="300" w:after="200"/>
    </w:pPr>
    <w:rPr>
      <w:sz w:val="48"/>
      <w:szCs w:val="48"/>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正文文本缩进111"/>
    <w:basedOn w:val="716"/>
    <w:next w:val="716"/>
    <w:uiPriority w:val="0"/>
    <w:qFormat/>
    <w:pPr>
      <w:ind w:left="-105" w:firstLine="742"/>
    </w:pPr>
    <w:rPr>
      <w:rFonts w:ascii="Times New Roman" w:hAnsi="Times New Roman" w:eastAsia="仿宋_GB2312" w:cs="Times New Roman"/>
      <w:sz w:val="32"/>
      <w:szCs w:val="24"/>
    </w:rPr>
  </w:style>
  <w:style w:type="character" w:styleId="755" w:customStyle="1">
    <w:name w:val="Heading 1 Char"/>
    <w:link w:val="717"/>
    <w:uiPriority w:val="9"/>
    <w:qFormat/>
    <w:rPr>
      <w:rFonts w:ascii="Arial" w:hAnsi="Arial" w:eastAsia="Arial" w:cs="Arial"/>
      <w:sz w:val="40"/>
      <w:szCs w:val="40"/>
    </w:rPr>
  </w:style>
  <w:style w:type="character" w:styleId="756" w:customStyle="1">
    <w:name w:val="Heading 2 Char"/>
    <w:link w:val="718"/>
    <w:uiPriority w:val="9"/>
    <w:qFormat/>
    <w:rPr>
      <w:rFonts w:ascii="Arial" w:hAnsi="Arial" w:eastAsia="Arial" w:cs="Arial"/>
      <w:sz w:val="34"/>
    </w:rPr>
  </w:style>
  <w:style w:type="character" w:styleId="757" w:customStyle="1">
    <w:name w:val="Heading 3 Char"/>
    <w:link w:val="719"/>
    <w:uiPriority w:val="9"/>
    <w:qFormat/>
    <w:rPr>
      <w:rFonts w:ascii="Arial" w:hAnsi="Arial" w:eastAsia="Arial" w:cs="Arial"/>
      <w:sz w:val="30"/>
      <w:szCs w:val="30"/>
    </w:rPr>
  </w:style>
  <w:style w:type="character" w:styleId="758" w:customStyle="1">
    <w:name w:val="Heading 4 Char"/>
    <w:link w:val="720"/>
    <w:uiPriority w:val="9"/>
    <w:qFormat/>
    <w:rPr>
      <w:rFonts w:ascii="Arial" w:hAnsi="Arial" w:eastAsia="Arial" w:cs="Arial"/>
      <w:b/>
      <w:bCs/>
      <w:sz w:val="26"/>
      <w:szCs w:val="26"/>
    </w:rPr>
  </w:style>
  <w:style w:type="character" w:styleId="759" w:customStyle="1">
    <w:name w:val="Heading 5 Char"/>
    <w:link w:val="721"/>
    <w:uiPriority w:val="9"/>
    <w:qFormat/>
    <w:rPr>
      <w:rFonts w:ascii="Arial" w:hAnsi="Arial" w:eastAsia="Arial" w:cs="Arial"/>
      <w:b/>
      <w:bCs/>
      <w:sz w:val="24"/>
      <w:szCs w:val="24"/>
    </w:rPr>
  </w:style>
  <w:style w:type="character" w:styleId="760" w:customStyle="1">
    <w:name w:val="Heading 6 Char"/>
    <w:link w:val="722"/>
    <w:uiPriority w:val="9"/>
    <w:qFormat/>
    <w:rPr>
      <w:rFonts w:ascii="Arial" w:hAnsi="Arial" w:eastAsia="Arial" w:cs="Arial"/>
      <w:b/>
      <w:bCs/>
      <w:sz w:val="22"/>
      <w:szCs w:val="22"/>
    </w:rPr>
  </w:style>
  <w:style w:type="character" w:styleId="761" w:customStyle="1">
    <w:name w:val="Heading 7 Char"/>
    <w:link w:val="723"/>
    <w:uiPriority w:val="9"/>
    <w:qFormat/>
    <w:rPr>
      <w:rFonts w:ascii="Arial" w:hAnsi="Arial" w:eastAsia="Arial" w:cs="Arial"/>
      <w:b/>
      <w:bCs/>
      <w:i/>
      <w:iCs/>
      <w:sz w:val="22"/>
      <w:szCs w:val="22"/>
    </w:rPr>
  </w:style>
  <w:style w:type="character" w:styleId="762" w:customStyle="1">
    <w:name w:val="Heading 8 Char"/>
    <w:link w:val="724"/>
    <w:uiPriority w:val="9"/>
    <w:qFormat/>
    <w:rPr>
      <w:rFonts w:ascii="Arial" w:hAnsi="Arial" w:eastAsia="Arial" w:cs="Arial"/>
      <w:i/>
      <w:iCs/>
      <w:sz w:val="22"/>
      <w:szCs w:val="22"/>
    </w:rPr>
  </w:style>
  <w:style w:type="character" w:styleId="763" w:customStyle="1">
    <w:name w:val="Heading 9 Char"/>
    <w:link w:val="725"/>
    <w:uiPriority w:val="9"/>
    <w:qFormat/>
    <w:rPr>
      <w:rFonts w:ascii="Arial" w:hAnsi="Arial" w:eastAsia="Arial" w:cs="Arial"/>
      <w:i/>
      <w:iCs/>
      <w:sz w:val="21"/>
      <w:szCs w:val="21"/>
    </w:rPr>
  </w:style>
  <w:style w:type="paragraph" w:styleId="764">
    <w:name w:val="List Paragraph"/>
    <w:basedOn w:val="716"/>
    <w:uiPriority w:val="34"/>
    <w:qFormat/>
    <w:pPr>
      <w:contextualSpacing/>
      <w:ind w:left="720"/>
    </w:pPr>
  </w:style>
  <w:style w:type="character" w:styleId="765" w:customStyle="1">
    <w:name w:val="Title Char"/>
    <w:link w:val="749"/>
    <w:uiPriority w:val="10"/>
    <w:qFormat/>
    <w:rPr>
      <w:sz w:val="48"/>
      <w:szCs w:val="48"/>
    </w:rPr>
  </w:style>
  <w:style w:type="paragraph" w:styleId="766">
    <w:name w:val="Quote"/>
    <w:basedOn w:val="716"/>
    <w:next w:val="716"/>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16"/>
    <w:next w:val="71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40"/>
    <w:uiPriority w:val="99"/>
    <w:qFormat/>
  </w:style>
  <w:style w:type="character" w:styleId="771" w:customStyle="1">
    <w:name w:val="Footer Char"/>
    <w:link w:val="739"/>
    <w:uiPriority w:val="99"/>
    <w:qFormat/>
  </w:style>
  <w:style w:type="paragraph" w:styleId="772" w:customStyle="1">
    <w:name w:val="TOC Heading"/>
    <w:uiPriority w:val="39"/>
    <w:unhideWhenUsed/>
    <w:qFormat/>
    <w:rPr>
      <w:rFonts w:hint="default" w:ascii="Times New Roman" w:hAnsi="Times New Roman" w:eastAsia="宋体" w:cs="Times New Roman"/>
    </w:rPr>
  </w:style>
  <w:style w:type="paragraph" w:styleId="773" w:customStyle="1">
    <w:name w:val="标题 11"/>
    <w:basedOn w:val="716"/>
    <w:next w:val="716"/>
    <w:link w:val="784"/>
    <w:uiPriority w:val="0"/>
    <w:qFormat/>
    <w:pPr>
      <w:keepLines/>
      <w:keepNext/>
      <w:spacing w:before="480" w:after="200"/>
      <w:outlineLvl w:val="0"/>
    </w:pPr>
    <w:rPr>
      <w:rFonts w:ascii="Arial" w:hAnsi="Arial" w:eastAsia="Arial" w:cs="Arial"/>
      <w:sz w:val="40"/>
      <w:szCs w:val="40"/>
    </w:rPr>
  </w:style>
  <w:style w:type="paragraph" w:styleId="774" w:customStyle="1">
    <w:name w:val="标题 211"/>
    <w:basedOn w:val="716"/>
    <w:next w:val="716"/>
    <w:link w:val="785"/>
    <w:uiPriority w:val="0"/>
    <w:qFormat/>
    <w:pPr>
      <w:keepLines/>
      <w:keepNext/>
      <w:spacing w:before="360" w:after="200"/>
      <w:outlineLvl w:val="1"/>
    </w:pPr>
    <w:rPr>
      <w:rFonts w:ascii="Arial" w:hAnsi="Arial" w:eastAsia="Arial" w:cs="Arial"/>
      <w:sz w:val="34"/>
    </w:rPr>
  </w:style>
  <w:style w:type="paragraph" w:styleId="775" w:customStyle="1">
    <w:name w:val="标题 31"/>
    <w:basedOn w:val="716"/>
    <w:next w:val="716"/>
    <w:link w:val="786"/>
    <w:uiPriority w:val="0"/>
    <w:qFormat/>
    <w:pPr>
      <w:keepLines/>
      <w:keepNext/>
      <w:spacing w:before="320" w:after="200"/>
      <w:outlineLvl w:val="2"/>
    </w:pPr>
    <w:rPr>
      <w:rFonts w:ascii="Arial" w:hAnsi="Arial" w:eastAsia="Arial" w:cs="Arial"/>
      <w:sz w:val="30"/>
      <w:szCs w:val="30"/>
    </w:rPr>
  </w:style>
  <w:style w:type="paragraph" w:styleId="776" w:customStyle="1">
    <w:name w:val="标题 41"/>
    <w:basedOn w:val="716"/>
    <w:next w:val="716"/>
    <w:link w:val="787"/>
    <w:uiPriority w:val="0"/>
    <w:qFormat/>
    <w:pPr>
      <w:keepLines/>
      <w:keepNext/>
      <w:spacing w:before="320" w:after="200"/>
      <w:outlineLvl w:val="3"/>
    </w:pPr>
    <w:rPr>
      <w:rFonts w:ascii="Arial" w:hAnsi="Arial" w:eastAsia="Arial" w:cs="Arial"/>
      <w:b/>
      <w:bCs/>
      <w:sz w:val="26"/>
      <w:szCs w:val="26"/>
    </w:rPr>
  </w:style>
  <w:style w:type="paragraph" w:styleId="777" w:customStyle="1">
    <w:name w:val="标题 51"/>
    <w:basedOn w:val="716"/>
    <w:next w:val="716"/>
    <w:link w:val="788"/>
    <w:uiPriority w:val="0"/>
    <w:qFormat/>
    <w:pPr>
      <w:keepLines/>
      <w:keepNext/>
      <w:spacing w:before="320" w:after="200"/>
      <w:outlineLvl w:val="4"/>
    </w:pPr>
    <w:rPr>
      <w:rFonts w:ascii="Arial" w:hAnsi="Arial" w:eastAsia="Arial" w:cs="Arial"/>
      <w:b/>
      <w:bCs/>
      <w:sz w:val="24"/>
      <w:szCs w:val="24"/>
    </w:rPr>
  </w:style>
  <w:style w:type="paragraph" w:styleId="778" w:customStyle="1">
    <w:name w:val="标题 61"/>
    <w:basedOn w:val="716"/>
    <w:next w:val="716"/>
    <w:link w:val="789"/>
    <w:uiPriority w:val="0"/>
    <w:qFormat/>
    <w:pPr>
      <w:keepLines/>
      <w:keepNext/>
      <w:spacing w:before="320" w:after="200"/>
      <w:outlineLvl w:val="5"/>
    </w:pPr>
    <w:rPr>
      <w:rFonts w:ascii="Arial" w:hAnsi="Arial" w:eastAsia="Arial" w:cs="Arial"/>
      <w:b/>
      <w:bCs/>
      <w:sz w:val="22"/>
      <w:szCs w:val="22"/>
    </w:rPr>
  </w:style>
  <w:style w:type="paragraph" w:styleId="779" w:customStyle="1">
    <w:name w:val="标题 71"/>
    <w:basedOn w:val="716"/>
    <w:next w:val="716"/>
    <w:link w:val="790"/>
    <w:uiPriority w:val="0"/>
    <w:qFormat/>
    <w:pPr>
      <w:keepLines/>
      <w:keepNext/>
      <w:spacing w:before="320" w:after="200"/>
      <w:outlineLvl w:val="6"/>
    </w:pPr>
    <w:rPr>
      <w:rFonts w:ascii="Arial" w:hAnsi="Arial" w:eastAsia="Arial" w:cs="Arial"/>
      <w:b/>
      <w:bCs/>
      <w:i/>
      <w:iCs/>
      <w:sz w:val="22"/>
      <w:szCs w:val="22"/>
    </w:rPr>
  </w:style>
  <w:style w:type="paragraph" w:styleId="780" w:customStyle="1">
    <w:name w:val="标题 81"/>
    <w:basedOn w:val="716"/>
    <w:next w:val="716"/>
    <w:link w:val="791"/>
    <w:uiPriority w:val="0"/>
    <w:qFormat/>
    <w:pPr>
      <w:keepLines/>
      <w:keepNext/>
      <w:spacing w:before="320" w:after="200"/>
      <w:outlineLvl w:val="7"/>
    </w:pPr>
    <w:rPr>
      <w:rFonts w:ascii="Arial" w:hAnsi="Arial" w:eastAsia="Arial" w:cs="Arial"/>
      <w:i/>
      <w:iCs/>
      <w:sz w:val="22"/>
      <w:szCs w:val="22"/>
    </w:rPr>
  </w:style>
  <w:style w:type="paragraph" w:styleId="781" w:customStyle="1">
    <w:name w:val="标题 91"/>
    <w:basedOn w:val="716"/>
    <w:next w:val="716"/>
    <w:link w:val="792"/>
    <w:uiPriority w:val="0"/>
    <w:qFormat/>
    <w:pPr>
      <w:keepLines/>
      <w:keepNext/>
      <w:spacing w:before="320" w:after="200"/>
      <w:outlineLvl w:val="8"/>
    </w:pPr>
    <w:rPr>
      <w:rFonts w:ascii="Arial" w:hAnsi="Arial" w:eastAsia="Arial" w:cs="Arial"/>
      <w:i/>
      <w:iCs/>
      <w:sz w:val="21"/>
      <w:szCs w:val="21"/>
    </w:rPr>
  </w:style>
  <w:style w:type="character" w:styleId="782" w:customStyle="1">
    <w:name w:val="默认段落字体11"/>
    <w:link w:val="716"/>
    <w:uiPriority w:val="0"/>
    <w:qFormat/>
    <w:rPr>
      <w:rFonts w:ascii="Times New Roman" w:hAnsi="Times New Roman" w:eastAsia="宋体" w:cs="Times New Roman"/>
    </w:rPr>
  </w:style>
  <w:style w:type="table" w:styleId="783" w:customStyle="1">
    <w:name w:val="普通表格11"/>
    <w:uiPriority w:val="0"/>
    <w:qFormat/>
    <w:rPr>
      <w:rFonts w:ascii="Times New Roman" w:hAnsi="Times New Roman" w:eastAsia="宋体" w:cs="Times New Roman"/>
    </w:rPr>
    <w:tblPr/>
  </w:style>
  <w:style w:type="character" w:styleId="784" w:customStyle="1">
    <w:name w:val="Heading 1 Char_41c2a450-5611-414d-9b35-2c248325036c"/>
    <w:link w:val="773"/>
    <w:uiPriority w:val="0"/>
    <w:qFormat/>
    <w:rPr>
      <w:rFonts w:ascii="Arial" w:hAnsi="Arial" w:eastAsia="Arial" w:cs="Arial"/>
      <w:sz w:val="40"/>
      <w:szCs w:val="40"/>
    </w:rPr>
  </w:style>
  <w:style w:type="character" w:styleId="785" w:customStyle="1">
    <w:name w:val="Heading 2 Char_9c0f001f-f9df-4998-8020-a15119216ede"/>
    <w:link w:val="774"/>
    <w:uiPriority w:val="0"/>
    <w:qFormat/>
    <w:rPr>
      <w:rFonts w:ascii="Arial" w:hAnsi="Arial" w:eastAsia="Arial" w:cs="Arial"/>
      <w:sz w:val="34"/>
    </w:rPr>
  </w:style>
  <w:style w:type="character" w:styleId="786" w:customStyle="1">
    <w:name w:val="Heading 3 Char_9253cc41-a9e0-4424-b9d2-d08614ee51f6"/>
    <w:link w:val="775"/>
    <w:uiPriority w:val="0"/>
    <w:qFormat/>
    <w:rPr>
      <w:rFonts w:ascii="Arial" w:hAnsi="Arial" w:eastAsia="Arial" w:cs="Arial"/>
      <w:sz w:val="30"/>
      <w:szCs w:val="30"/>
    </w:rPr>
  </w:style>
  <w:style w:type="character" w:styleId="787" w:customStyle="1">
    <w:name w:val="Heading 4 Char_1e3924a3-4cb5-491b-a7b7-e8193cda9050"/>
    <w:link w:val="776"/>
    <w:uiPriority w:val="0"/>
    <w:qFormat/>
    <w:rPr>
      <w:rFonts w:ascii="Arial" w:hAnsi="Arial" w:eastAsia="Arial" w:cs="Arial"/>
      <w:b/>
      <w:bCs/>
      <w:sz w:val="26"/>
      <w:szCs w:val="26"/>
    </w:rPr>
  </w:style>
  <w:style w:type="character" w:styleId="788" w:customStyle="1">
    <w:name w:val="Heading 5 Char_59393c25-3ceb-4fd8-b8f4-64b7ca00df46"/>
    <w:link w:val="777"/>
    <w:uiPriority w:val="0"/>
    <w:qFormat/>
    <w:rPr>
      <w:rFonts w:ascii="Arial" w:hAnsi="Arial" w:eastAsia="Arial" w:cs="Arial"/>
      <w:b/>
      <w:bCs/>
      <w:sz w:val="24"/>
      <w:szCs w:val="24"/>
    </w:rPr>
  </w:style>
  <w:style w:type="character" w:styleId="789" w:customStyle="1">
    <w:name w:val="Heading 6 Char_f9ba954c-ec1f-4d4f-a599-1941c282b8a4"/>
    <w:link w:val="778"/>
    <w:uiPriority w:val="0"/>
    <w:qFormat/>
    <w:rPr>
      <w:rFonts w:ascii="Arial" w:hAnsi="Arial" w:eastAsia="Arial" w:cs="Arial"/>
      <w:b/>
      <w:bCs/>
      <w:sz w:val="22"/>
      <w:szCs w:val="22"/>
    </w:rPr>
  </w:style>
  <w:style w:type="character" w:styleId="790" w:customStyle="1">
    <w:name w:val="Heading 7 Char_cb1cb0f9-e411-4189-903e-f5a6411d4c11"/>
    <w:link w:val="779"/>
    <w:uiPriority w:val="0"/>
    <w:qFormat/>
    <w:rPr>
      <w:rFonts w:ascii="Arial" w:hAnsi="Arial" w:eastAsia="Arial" w:cs="Arial"/>
      <w:b/>
      <w:bCs/>
      <w:i/>
      <w:iCs/>
      <w:sz w:val="22"/>
      <w:szCs w:val="22"/>
    </w:rPr>
  </w:style>
  <w:style w:type="character" w:styleId="791" w:customStyle="1">
    <w:name w:val="Heading 8 Char_75e85dab-d3f6-4c23-b92f-972dc2873c55"/>
    <w:link w:val="780"/>
    <w:uiPriority w:val="0"/>
    <w:qFormat/>
    <w:rPr>
      <w:rFonts w:ascii="Arial" w:hAnsi="Arial" w:eastAsia="Arial" w:cs="Arial"/>
      <w:i/>
      <w:iCs/>
      <w:sz w:val="22"/>
      <w:szCs w:val="22"/>
    </w:rPr>
  </w:style>
  <w:style w:type="character" w:styleId="792" w:customStyle="1">
    <w:name w:val="Heading 9 Char_98525975-d548-4599-b7b3-155d8ddca411"/>
    <w:link w:val="781"/>
    <w:uiPriority w:val="0"/>
    <w:qFormat/>
    <w:rPr>
      <w:rFonts w:ascii="Arial" w:hAnsi="Arial" w:eastAsia="Arial" w:cs="Arial"/>
      <w:i/>
      <w:iCs/>
      <w:sz w:val="21"/>
      <w:szCs w:val="21"/>
    </w:rPr>
  </w:style>
  <w:style w:type="paragraph" w:styleId="793" w:customStyle="1">
    <w:name w:val="目录 71"/>
    <w:basedOn w:val="716"/>
    <w:next w:val="716"/>
    <w:uiPriority w:val="0"/>
    <w:qFormat/>
    <w:pPr>
      <w:ind w:left="1701" w:right="0" w:firstLine="0"/>
      <w:spacing w:after="57"/>
    </w:pPr>
    <w:rPr>
      <w:rFonts w:ascii="Times New Roman" w:hAnsi="Times New Roman" w:eastAsia="宋体" w:cs="Times New Roman"/>
    </w:rPr>
  </w:style>
  <w:style w:type="paragraph" w:styleId="794" w:customStyle="1">
    <w:name w:val="题注1"/>
    <w:basedOn w:val="716"/>
    <w:next w:val="716"/>
    <w:uiPriority w:val="0"/>
    <w:qFormat/>
    <w:pPr>
      <w:spacing w:line="276" w:lineRule="auto"/>
    </w:pPr>
    <w:rPr>
      <w:rFonts w:ascii="Times New Roman" w:hAnsi="Times New Roman" w:eastAsia="宋体" w:cs="Times New Roman"/>
      <w:b/>
      <w:bCs/>
      <w:color w:val="4f81bd"/>
      <w:sz w:val="18"/>
      <w:szCs w:val="18"/>
    </w:rPr>
  </w:style>
  <w:style w:type="paragraph" w:styleId="795" w:customStyle="1">
    <w:name w:val="批注文字11"/>
    <w:basedOn w:val="716"/>
    <w:uiPriority w:val="0"/>
    <w:qFormat/>
    <w:pPr>
      <w:jc w:val="left"/>
    </w:pPr>
  </w:style>
  <w:style w:type="paragraph" w:styleId="796" w:customStyle="1">
    <w:name w:val="正文文本111"/>
    <w:basedOn w:val="716"/>
    <w:next w:val="716"/>
    <w:uiPriority w:val="0"/>
    <w:qFormat/>
    <w:rPr>
      <w:rFonts w:ascii="楷体_GB2312" w:hAnsi="Arial" w:eastAsia="楷体_GB2312" w:cs="Times New Roman"/>
      <w:sz w:val="28"/>
      <w:szCs w:val="28"/>
    </w:rPr>
  </w:style>
  <w:style w:type="paragraph" w:styleId="797" w:customStyle="1">
    <w:name w:val="目录 51"/>
    <w:basedOn w:val="716"/>
    <w:next w:val="716"/>
    <w:uiPriority w:val="0"/>
    <w:qFormat/>
    <w:pPr>
      <w:ind w:left="1134" w:right="0" w:firstLine="0"/>
      <w:spacing w:after="57"/>
    </w:pPr>
    <w:rPr>
      <w:rFonts w:ascii="Times New Roman" w:hAnsi="Times New Roman" w:eastAsia="宋体" w:cs="Times New Roman"/>
    </w:rPr>
  </w:style>
  <w:style w:type="paragraph" w:styleId="798" w:customStyle="1">
    <w:name w:val="目录 31"/>
    <w:basedOn w:val="716"/>
    <w:next w:val="716"/>
    <w:uiPriority w:val="0"/>
    <w:qFormat/>
    <w:pPr>
      <w:ind w:left="567" w:right="0" w:firstLine="0"/>
      <w:spacing w:after="57"/>
    </w:pPr>
    <w:rPr>
      <w:rFonts w:ascii="Times New Roman" w:hAnsi="Times New Roman" w:eastAsia="宋体" w:cs="Times New Roman"/>
    </w:rPr>
  </w:style>
  <w:style w:type="paragraph" w:styleId="799" w:customStyle="1">
    <w:name w:val="目录 81"/>
    <w:basedOn w:val="716"/>
    <w:next w:val="716"/>
    <w:uiPriority w:val="0"/>
    <w:qFormat/>
    <w:pPr>
      <w:ind w:left="1984" w:right="0" w:firstLine="0"/>
      <w:spacing w:after="57"/>
    </w:pPr>
    <w:rPr>
      <w:rFonts w:ascii="Times New Roman" w:hAnsi="Times New Roman" w:eastAsia="宋体" w:cs="Times New Roman"/>
    </w:rPr>
  </w:style>
  <w:style w:type="paragraph" w:styleId="800" w:customStyle="1">
    <w:name w:val="尾注文本1"/>
    <w:basedOn w:val="716"/>
    <w:link w:val="801"/>
    <w:uiPriority w:val="0"/>
    <w:qFormat/>
    <w:pPr>
      <w:spacing w:after="0" w:line="240" w:lineRule="auto"/>
    </w:pPr>
    <w:rPr>
      <w:rFonts w:ascii="Times New Roman" w:hAnsi="Times New Roman" w:eastAsia="宋体" w:cs="Times New Roman"/>
      <w:sz w:val="20"/>
    </w:rPr>
  </w:style>
  <w:style w:type="character" w:styleId="801" w:customStyle="1">
    <w:name w:val="Endnote Text Char"/>
    <w:link w:val="800"/>
    <w:uiPriority w:val="0"/>
    <w:qFormat/>
    <w:rPr>
      <w:rFonts w:ascii="Times New Roman" w:hAnsi="Times New Roman" w:eastAsia="宋体" w:cs="Times New Roman"/>
      <w:sz w:val="20"/>
    </w:rPr>
  </w:style>
  <w:style w:type="paragraph" w:styleId="802" w:customStyle="1">
    <w:name w:val="页脚12"/>
    <w:basedOn w:val="716"/>
    <w:link w:val="82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03" w:customStyle="1">
    <w:name w:val="Caption Char"/>
    <w:link w:val="802"/>
    <w:uiPriority w:val="0"/>
    <w:qFormat/>
    <w:rPr>
      <w:rFonts w:ascii="Times New Roman" w:hAnsi="Times New Roman" w:eastAsia="宋体" w:cs="Times New Roman"/>
    </w:rPr>
  </w:style>
  <w:style w:type="paragraph" w:styleId="804" w:customStyle="1">
    <w:name w:val="页眉11"/>
    <w:basedOn w:val="716"/>
    <w:link w:val="80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05" w:customStyle="1">
    <w:name w:val="Header Char_6f08b973-fb7a-47f6-9a3a-00c3d1fa4fb9"/>
    <w:link w:val="804"/>
    <w:uiPriority w:val="0"/>
    <w:qFormat/>
    <w:rPr>
      <w:rFonts w:ascii="Times New Roman" w:hAnsi="Times New Roman" w:eastAsia="宋体" w:cs="Times New Roman"/>
    </w:rPr>
  </w:style>
  <w:style w:type="paragraph" w:styleId="806" w:customStyle="1">
    <w:name w:val="目录 11"/>
    <w:basedOn w:val="716"/>
    <w:next w:val="716"/>
    <w:uiPriority w:val="0"/>
    <w:qFormat/>
    <w:pPr>
      <w:ind w:left="0" w:right="0" w:firstLine="0"/>
      <w:spacing w:after="57"/>
    </w:pPr>
    <w:rPr>
      <w:rFonts w:ascii="Times New Roman" w:hAnsi="Times New Roman" w:eastAsia="宋体" w:cs="Times New Roman"/>
    </w:rPr>
  </w:style>
  <w:style w:type="paragraph" w:styleId="807" w:customStyle="1">
    <w:name w:val="目录 41"/>
    <w:basedOn w:val="716"/>
    <w:next w:val="716"/>
    <w:uiPriority w:val="0"/>
    <w:qFormat/>
    <w:pPr>
      <w:ind w:left="850" w:right="0" w:firstLine="0"/>
      <w:spacing w:after="57"/>
    </w:pPr>
    <w:rPr>
      <w:rFonts w:ascii="Times New Roman" w:hAnsi="Times New Roman" w:eastAsia="宋体" w:cs="Times New Roman"/>
    </w:rPr>
  </w:style>
  <w:style w:type="paragraph" w:styleId="808" w:customStyle="1">
    <w:name w:val="副标题1"/>
    <w:basedOn w:val="716"/>
    <w:next w:val="716"/>
    <w:link w:val="809"/>
    <w:uiPriority w:val="0"/>
    <w:qFormat/>
    <w:pPr>
      <w:spacing w:before="200" w:after="200"/>
    </w:pPr>
    <w:rPr>
      <w:rFonts w:ascii="Times New Roman" w:hAnsi="Times New Roman" w:eastAsia="宋体" w:cs="Times New Roman"/>
      <w:sz w:val="24"/>
      <w:szCs w:val="24"/>
    </w:rPr>
  </w:style>
  <w:style w:type="character" w:styleId="809" w:customStyle="1">
    <w:name w:val="Subtitle Char"/>
    <w:link w:val="808"/>
    <w:uiPriority w:val="0"/>
    <w:qFormat/>
    <w:rPr>
      <w:rFonts w:ascii="Times New Roman" w:hAnsi="Times New Roman" w:eastAsia="宋体" w:cs="Times New Roman"/>
      <w:sz w:val="24"/>
      <w:szCs w:val="24"/>
    </w:rPr>
  </w:style>
  <w:style w:type="paragraph" w:styleId="810" w:customStyle="1">
    <w:name w:val="脚注文本1"/>
    <w:basedOn w:val="716"/>
    <w:link w:val="811"/>
    <w:uiPriority w:val="0"/>
    <w:qFormat/>
    <w:pPr>
      <w:spacing w:after="40" w:line="240" w:lineRule="auto"/>
    </w:pPr>
    <w:rPr>
      <w:rFonts w:ascii="Times New Roman" w:hAnsi="Times New Roman" w:eastAsia="宋体" w:cs="Times New Roman"/>
      <w:sz w:val="18"/>
    </w:rPr>
  </w:style>
  <w:style w:type="character" w:styleId="811" w:customStyle="1">
    <w:name w:val="Footnote Text Char"/>
    <w:link w:val="810"/>
    <w:uiPriority w:val="0"/>
    <w:qFormat/>
    <w:rPr>
      <w:rFonts w:ascii="Times New Roman" w:hAnsi="Times New Roman" w:eastAsia="宋体" w:cs="Times New Roman"/>
      <w:sz w:val="18"/>
    </w:rPr>
  </w:style>
  <w:style w:type="paragraph" w:styleId="812" w:customStyle="1">
    <w:name w:val="目录 61"/>
    <w:basedOn w:val="716"/>
    <w:next w:val="716"/>
    <w:uiPriority w:val="0"/>
    <w:qFormat/>
    <w:pPr>
      <w:ind w:left="1417" w:right="0" w:firstLine="0"/>
      <w:spacing w:after="57"/>
    </w:pPr>
    <w:rPr>
      <w:rFonts w:ascii="Times New Roman" w:hAnsi="Times New Roman" w:eastAsia="宋体" w:cs="Times New Roman"/>
    </w:rPr>
  </w:style>
  <w:style w:type="paragraph" w:styleId="813" w:customStyle="1">
    <w:name w:val="图表目录1"/>
    <w:basedOn w:val="716"/>
    <w:next w:val="716"/>
    <w:uiPriority w:val="0"/>
    <w:qFormat/>
    <w:pPr>
      <w:spacing w:after="0" w:afterAutospacing="0"/>
    </w:pPr>
    <w:rPr>
      <w:rFonts w:ascii="Times New Roman" w:hAnsi="Times New Roman" w:eastAsia="宋体" w:cs="Times New Roman"/>
    </w:rPr>
  </w:style>
  <w:style w:type="paragraph" w:styleId="814" w:customStyle="1">
    <w:name w:val="目录 21"/>
    <w:basedOn w:val="716"/>
    <w:next w:val="716"/>
    <w:uiPriority w:val="0"/>
    <w:qFormat/>
    <w:pPr>
      <w:ind w:left="283" w:right="0" w:firstLine="0"/>
      <w:spacing w:after="57"/>
    </w:pPr>
    <w:rPr>
      <w:rFonts w:ascii="Times New Roman" w:hAnsi="Times New Roman" w:eastAsia="宋体" w:cs="Times New Roman"/>
    </w:rPr>
  </w:style>
  <w:style w:type="paragraph" w:styleId="815" w:customStyle="1">
    <w:name w:val="目录 91"/>
    <w:basedOn w:val="716"/>
    <w:next w:val="716"/>
    <w:uiPriority w:val="0"/>
    <w:qFormat/>
    <w:pPr>
      <w:ind w:left="2268" w:right="0" w:firstLine="0"/>
      <w:spacing w:after="57"/>
    </w:pPr>
    <w:rPr>
      <w:rFonts w:ascii="Times New Roman" w:hAnsi="Times New Roman" w:eastAsia="宋体" w:cs="Times New Roman"/>
    </w:rPr>
  </w:style>
  <w:style w:type="paragraph" w:styleId="816" w:customStyle="1">
    <w:name w:val="普通(网站)11"/>
    <w:basedOn w:val="716"/>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17" w:customStyle="1">
    <w:name w:val="标题1"/>
    <w:basedOn w:val="716"/>
    <w:next w:val="716"/>
    <w:link w:val="818"/>
    <w:uiPriority w:val="0"/>
    <w:qFormat/>
    <w:pPr>
      <w:contextualSpacing/>
      <w:spacing w:before="300" w:after="200"/>
    </w:pPr>
    <w:rPr>
      <w:rFonts w:ascii="Times New Roman" w:hAnsi="Times New Roman" w:eastAsia="宋体" w:cs="Times New Roman"/>
      <w:sz w:val="48"/>
      <w:szCs w:val="48"/>
    </w:rPr>
  </w:style>
  <w:style w:type="character" w:styleId="818" w:customStyle="1">
    <w:name w:val="Title Char_e2a3e34b-240b-4d7c-b981-3fed5e7107ea"/>
    <w:link w:val="817"/>
    <w:uiPriority w:val="0"/>
    <w:qFormat/>
    <w:rPr>
      <w:rFonts w:ascii="Times New Roman" w:hAnsi="Times New Roman" w:eastAsia="宋体" w:cs="Times New Roman"/>
      <w:sz w:val="48"/>
      <w:szCs w:val="48"/>
    </w:rPr>
  </w:style>
  <w:style w:type="table" w:styleId="819" w:customStyle="1">
    <w:name w:val="网格型11"/>
    <w:uiPriority w:val="0"/>
    <w:qFormat/>
    <w:pPr>
      <w:spacing w:after="0" w:line="240" w:lineRule="auto"/>
    </w:pPr>
    <w:rPr>
      <w:rFonts w:ascii="Times New Roman" w:hAnsi="Times New Roman" w:eastAsia="宋体" w:cs="Times New Roman"/>
    </w:rPr>
    <w:tblPr/>
  </w:style>
  <w:style w:type="character" w:styleId="820" w:customStyle="1">
    <w:name w:val="尾注引用1"/>
    <w:link w:val="716"/>
    <w:uiPriority w:val="0"/>
    <w:qFormat/>
    <w:rPr>
      <w:rFonts w:ascii="Times New Roman" w:hAnsi="Times New Roman" w:eastAsia="宋体" w:cs="Times New Roman"/>
      <w:vertAlign w:val="superscript"/>
    </w:rPr>
  </w:style>
  <w:style w:type="character" w:styleId="821" w:customStyle="1">
    <w:name w:val="超链接1"/>
    <w:link w:val="716"/>
    <w:uiPriority w:val="0"/>
    <w:qFormat/>
    <w:rPr>
      <w:rFonts w:ascii="Times New Roman" w:hAnsi="Times New Roman" w:eastAsia="宋体" w:cs="Times New Roman"/>
      <w:color w:val="0000ff"/>
      <w:u w:val="single"/>
    </w:rPr>
  </w:style>
  <w:style w:type="character" w:styleId="822" w:customStyle="1">
    <w:name w:val="脚注引用1"/>
    <w:link w:val="716"/>
    <w:uiPriority w:val="0"/>
    <w:qFormat/>
    <w:rPr>
      <w:rFonts w:ascii="Times New Roman" w:hAnsi="Times New Roman" w:eastAsia="宋体" w:cs="Times New Roman"/>
      <w:vertAlign w:val="superscript"/>
    </w:rPr>
  </w:style>
  <w:style w:type="character" w:styleId="823" w:customStyle="1">
    <w:name w:val="Footer Char_4da39e97-6c3a-49c6-ab1c-f0170153eeb1"/>
    <w:link w:val="802"/>
    <w:uiPriority w:val="0"/>
    <w:qFormat/>
    <w:rPr>
      <w:rFonts w:ascii="Times New Roman" w:hAnsi="Times New Roman" w:eastAsia="宋体" w:cs="Times New Roman"/>
    </w:rPr>
  </w:style>
  <w:style w:type="paragraph" w:styleId="824" w:customStyle="1">
    <w:name w:val="列出段落"/>
    <w:basedOn w:val="716"/>
    <w:uiPriority w:val="0"/>
    <w:qFormat/>
    <w:pPr>
      <w:contextualSpacing/>
      <w:ind w:left="720"/>
    </w:pPr>
    <w:rPr>
      <w:rFonts w:ascii="Times New Roman" w:hAnsi="Times New Roman" w:eastAsia="宋体" w:cs="Times New Roman"/>
    </w:rPr>
  </w:style>
  <w:style w:type="paragraph" w:styleId="825">
    <w:name w:val="No Spacing"/>
    <w:uiPriority w:val="0"/>
    <w:qFormat/>
    <w:pPr>
      <w:spacing w:before="0" w:after="0" w:line="240" w:lineRule="auto"/>
    </w:pPr>
    <w:rPr>
      <w:rFonts w:hint="default" w:ascii="Times New Roman" w:hAnsi="Times New Roman" w:eastAsia="宋体" w:cs="Times New Roman"/>
    </w:rPr>
  </w:style>
  <w:style w:type="paragraph" w:styleId="826" w:customStyle="1">
    <w:name w:val="引用"/>
    <w:basedOn w:val="716"/>
    <w:next w:val="716"/>
    <w:link w:val="827"/>
    <w:uiPriority w:val="0"/>
    <w:qFormat/>
    <w:pPr>
      <w:ind w:left="720" w:right="720"/>
    </w:pPr>
    <w:rPr>
      <w:rFonts w:ascii="Times New Roman" w:hAnsi="Times New Roman" w:eastAsia="宋体" w:cs="Times New Roman"/>
      <w:i/>
    </w:rPr>
  </w:style>
  <w:style w:type="character" w:styleId="827" w:customStyle="1">
    <w:name w:val="Quote Char_84c4fb2c-59d8-43ee-8bde-532f60f94902"/>
    <w:link w:val="826"/>
    <w:uiPriority w:val="0"/>
    <w:qFormat/>
    <w:rPr>
      <w:rFonts w:ascii="Times New Roman" w:hAnsi="Times New Roman" w:eastAsia="宋体" w:cs="Times New Roman"/>
      <w:i/>
    </w:rPr>
  </w:style>
  <w:style w:type="paragraph" w:styleId="828" w:customStyle="1">
    <w:name w:val="明显引用"/>
    <w:basedOn w:val="716"/>
    <w:next w:val="716"/>
    <w:link w:val="82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29" w:customStyle="1">
    <w:name w:val="Intense Quote Char_2f4af96d-b5b7-45c0-b428-19a22a4b2e4d"/>
    <w:link w:val="828"/>
    <w:uiPriority w:val="0"/>
    <w:qFormat/>
    <w:rPr>
      <w:rFonts w:ascii="Times New Roman" w:hAnsi="Times New Roman" w:eastAsia="宋体" w:cs="Times New Roman"/>
      <w:i/>
    </w:rPr>
  </w:style>
  <w:style w:type="table" w:styleId="830" w:customStyle="1">
    <w:name w:val="Table Grid Light"/>
    <w:uiPriority w:val="0"/>
    <w:qFormat/>
    <w:pPr>
      <w:spacing w:after="0" w:line="240" w:lineRule="auto"/>
    </w:pPr>
    <w:rPr>
      <w:rFonts w:ascii="Times New Roman" w:hAnsi="Times New Roman" w:eastAsia="宋体" w:cs="Times New Roman"/>
    </w:rPr>
    <w:tblPr/>
  </w:style>
  <w:style w:type="table" w:styleId="831" w:customStyle="1">
    <w:name w:val="Plain Table 1"/>
    <w:uiPriority w:val="0"/>
    <w:qFormat/>
    <w:pPr>
      <w:spacing w:after="0" w:line="240" w:lineRule="auto"/>
    </w:pPr>
    <w:rPr>
      <w:rFonts w:ascii="Times New Roman" w:hAnsi="Times New Roman" w:eastAsia="宋体" w:cs="Times New Roman"/>
    </w:rPr>
    <w:tblPr/>
  </w:style>
  <w:style w:type="table" w:styleId="832" w:customStyle="1">
    <w:name w:val="Plain Table 2"/>
    <w:uiPriority w:val="0"/>
    <w:qFormat/>
    <w:pPr>
      <w:spacing w:after="0" w:line="240" w:lineRule="auto"/>
    </w:pPr>
    <w:rPr>
      <w:rFonts w:ascii="Times New Roman" w:hAnsi="Times New Roman" w:eastAsia="宋体" w:cs="Times New Roman"/>
    </w:rPr>
    <w:tblPr/>
  </w:style>
  <w:style w:type="table" w:styleId="833" w:customStyle="1">
    <w:name w:val="Plain Table 3"/>
    <w:uiPriority w:val="0"/>
    <w:qFormat/>
    <w:pPr>
      <w:spacing w:after="0" w:line="240" w:lineRule="auto"/>
    </w:pPr>
    <w:rPr>
      <w:rFonts w:ascii="Times New Roman" w:hAnsi="Times New Roman" w:eastAsia="宋体" w:cs="Times New Roman"/>
    </w:rPr>
    <w:tblPr/>
  </w:style>
  <w:style w:type="table" w:styleId="834" w:customStyle="1">
    <w:name w:val="Plain Table 4"/>
    <w:uiPriority w:val="0"/>
    <w:qFormat/>
    <w:pPr>
      <w:spacing w:after="0" w:line="240" w:lineRule="auto"/>
    </w:pPr>
    <w:rPr>
      <w:rFonts w:ascii="Times New Roman" w:hAnsi="Times New Roman" w:eastAsia="宋体" w:cs="Times New Roman"/>
    </w:rPr>
    <w:tblPr/>
  </w:style>
  <w:style w:type="table" w:styleId="835" w:customStyle="1">
    <w:name w:val="Plain Table 5"/>
    <w:uiPriority w:val="0"/>
    <w:qFormat/>
    <w:pPr>
      <w:spacing w:after="0" w:line="240" w:lineRule="auto"/>
    </w:pPr>
    <w:rPr>
      <w:rFonts w:ascii="Times New Roman" w:hAnsi="Times New Roman" w:eastAsia="宋体" w:cs="Times New Roman"/>
    </w:rPr>
    <w:tblPr/>
  </w:style>
  <w:style w:type="table" w:styleId="836" w:customStyle="1">
    <w:name w:val="Grid Table 1 Light"/>
    <w:uiPriority w:val="0"/>
    <w:qFormat/>
    <w:pPr>
      <w:spacing w:after="0" w:line="240" w:lineRule="auto"/>
    </w:pPr>
    <w:rPr>
      <w:rFonts w:ascii="Times New Roman" w:hAnsi="Times New Roman" w:eastAsia="宋体" w:cs="Times New Roman"/>
    </w:rPr>
    <w:tblPr/>
  </w:style>
  <w:style w:type="table" w:styleId="837" w:customStyle="1">
    <w:name w:val="Grid Table 1 Light - Accent 1"/>
    <w:uiPriority w:val="0"/>
    <w:qFormat/>
    <w:pPr>
      <w:spacing w:after="0" w:line="240" w:lineRule="auto"/>
    </w:pPr>
    <w:rPr>
      <w:rFonts w:ascii="Times New Roman" w:hAnsi="Times New Roman" w:eastAsia="宋体" w:cs="Times New Roman"/>
    </w:rPr>
    <w:tblPr/>
  </w:style>
  <w:style w:type="table" w:styleId="838" w:customStyle="1">
    <w:name w:val="Grid Table 1 Light - Accent 2"/>
    <w:uiPriority w:val="0"/>
    <w:qFormat/>
    <w:pPr>
      <w:spacing w:after="0" w:line="240" w:lineRule="auto"/>
    </w:pPr>
    <w:rPr>
      <w:rFonts w:ascii="Times New Roman" w:hAnsi="Times New Roman" w:eastAsia="宋体" w:cs="Times New Roman"/>
    </w:rPr>
    <w:tblPr/>
  </w:style>
  <w:style w:type="table" w:styleId="839" w:customStyle="1">
    <w:name w:val="Grid Table 1 Light - Accent 3"/>
    <w:uiPriority w:val="0"/>
    <w:qFormat/>
    <w:pPr>
      <w:spacing w:after="0" w:line="240" w:lineRule="auto"/>
    </w:pPr>
    <w:rPr>
      <w:rFonts w:ascii="Times New Roman" w:hAnsi="Times New Roman" w:eastAsia="宋体" w:cs="Times New Roman"/>
    </w:rPr>
    <w:tblPr/>
  </w:style>
  <w:style w:type="table" w:styleId="840" w:customStyle="1">
    <w:name w:val="Grid Table 1 Light - Accent 4"/>
    <w:uiPriority w:val="0"/>
    <w:qFormat/>
    <w:pPr>
      <w:spacing w:after="0" w:line="240" w:lineRule="auto"/>
    </w:pPr>
    <w:rPr>
      <w:rFonts w:ascii="Times New Roman" w:hAnsi="Times New Roman" w:eastAsia="宋体" w:cs="Times New Roman"/>
    </w:rPr>
    <w:tblPr/>
  </w:style>
  <w:style w:type="table" w:styleId="841" w:customStyle="1">
    <w:name w:val="Grid Table 1 Light - Accent 5"/>
    <w:uiPriority w:val="0"/>
    <w:qFormat/>
    <w:pPr>
      <w:spacing w:after="0" w:line="240" w:lineRule="auto"/>
    </w:pPr>
    <w:rPr>
      <w:rFonts w:ascii="Times New Roman" w:hAnsi="Times New Roman" w:eastAsia="宋体" w:cs="Times New Roman"/>
    </w:rPr>
    <w:tblPr/>
  </w:style>
  <w:style w:type="table" w:styleId="842" w:customStyle="1">
    <w:name w:val="Grid Table 1 Light - Accent 6"/>
    <w:uiPriority w:val="0"/>
    <w:qFormat/>
    <w:pPr>
      <w:spacing w:after="0" w:line="240" w:lineRule="auto"/>
    </w:pPr>
    <w:rPr>
      <w:rFonts w:ascii="Times New Roman" w:hAnsi="Times New Roman" w:eastAsia="宋体" w:cs="Times New Roman"/>
    </w:rPr>
    <w:tblPr/>
  </w:style>
  <w:style w:type="table" w:styleId="843" w:customStyle="1">
    <w:name w:val="Grid Table 2"/>
    <w:uiPriority w:val="0"/>
    <w:qFormat/>
    <w:pPr>
      <w:spacing w:after="0" w:line="240" w:lineRule="auto"/>
    </w:pPr>
    <w:rPr>
      <w:rFonts w:ascii="Times New Roman" w:hAnsi="Times New Roman" w:eastAsia="宋体" w:cs="Times New Roman"/>
    </w:rPr>
    <w:tblPr/>
  </w:style>
  <w:style w:type="table" w:styleId="844" w:customStyle="1">
    <w:name w:val="Grid Table 2 - Accent 1"/>
    <w:uiPriority w:val="0"/>
    <w:qFormat/>
    <w:pPr>
      <w:spacing w:after="0" w:line="240" w:lineRule="auto"/>
    </w:pPr>
    <w:rPr>
      <w:rFonts w:ascii="Times New Roman" w:hAnsi="Times New Roman" w:eastAsia="宋体" w:cs="Times New Roman"/>
    </w:rPr>
    <w:tblPr/>
  </w:style>
  <w:style w:type="table" w:styleId="845" w:customStyle="1">
    <w:name w:val="Grid Table 2 - Accent 2"/>
    <w:uiPriority w:val="0"/>
    <w:qFormat/>
    <w:pPr>
      <w:spacing w:after="0" w:line="240" w:lineRule="auto"/>
    </w:pPr>
    <w:rPr>
      <w:rFonts w:ascii="Times New Roman" w:hAnsi="Times New Roman" w:eastAsia="宋体" w:cs="Times New Roman"/>
    </w:rPr>
    <w:tblPr/>
  </w:style>
  <w:style w:type="table" w:styleId="846" w:customStyle="1">
    <w:name w:val="Grid Table 2 - Accent 3"/>
    <w:uiPriority w:val="0"/>
    <w:qFormat/>
    <w:pPr>
      <w:spacing w:after="0" w:line="240" w:lineRule="auto"/>
    </w:pPr>
    <w:rPr>
      <w:rFonts w:ascii="Times New Roman" w:hAnsi="Times New Roman" w:eastAsia="宋体" w:cs="Times New Roman"/>
    </w:rPr>
    <w:tblPr/>
  </w:style>
  <w:style w:type="table" w:styleId="847" w:customStyle="1">
    <w:name w:val="Grid Table 2 - Accent 4"/>
    <w:uiPriority w:val="0"/>
    <w:qFormat/>
    <w:pPr>
      <w:spacing w:after="0" w:line="240" w:lineRule="auto"/>
    </w:pPr>
    <w:rPr>
      <w:rFonts w:ascii="Times New Roman" w:hAnsi="Times New Roman" w:eastAsia="宋体" w:cs="Times New Roman"/>
    </w:rPr>
    <w:tblPr/>
  </w:style>
  <w:style w:type="table" w:styleId="848" w:customStyle="1">
    <w:name w:val="Grid Table 2 - Accent 5"/>
    <w:uiPriority w:val="0"/>
    <w:qFormat/>
    <w:pPr>
      <w:spacing w:after="0" w:line="240" w:lineRule="auto"/>
    </w:pPr>
    <w:rPr>
      <w:rFonts w:ascii="Times New Roman" w:hAnsi="Times New Roman" w:eastAsia="宋体" w:cs="Times New Roman"/>
    </w:rPr>
    <w:tblPr/>
  </w:style>
  <w:style w:type="table" w:styleId="849" w:customStyle="1">
    <w:name w:val="Grid Table 2 - Accent 6"/>
    <w:uiPriority w:val="0"/>
    <w:qFormat/>
    <w:pPr>
      <w:spacing w:after="0" w:line="240" w:lineRule="auto"/>
    </w:pPr>
    <w:rPr>
      <w:rFonts w:ascii="Times New Roman" w:hAnsi="Times New Roman" w:eastAsia="宋体" w:cs="Times New Roman"/>
    </w:rPr>
    <w:tblPr/>
  </w:style>
  <w:style w:type="table" w:styleId="850" w:customStyle="1">
    <w:name w:val="Grid Table 3"/>
    <w:uiPriority w:val="0"/>
    <w:qFormat/>
    <w:pPr>
      <w:spacing w:after="0" w:line="240" w:lineRule="auto"/>
    </w:pPr>
    <w:rPr>
      <w:rFonts w:ascii="Times New Roman" w:hAnsi="Times New Roman" w:eastAsia="宋体" w:cs="Times New Roman"/>
    </w:rPr>
    <w:tblPr/>
  </w:style>
  <w:style w:type="table" w:styleId="851" w:customStyle="1">
    <w:name w:val="Grid Table 3 - Accent 1"/>
    <w:uiPriority w:val="0"/>
    <w:qFormat/>
    <w:pPr>
      <w:spacing w:after="0" w:line="240" w:lineRule="auto"/>
    </w:pPr>
    <w:rPr>
      <w:rFonts w:ascii="Times New Roman" w:hAnsi="Times New Roman" w:eastAsia="宋体" w:cs="Times New Roman"/>
    </w:rPr>
    <w:tblPr/>
  </w:style>
  <w:style w:type="table" w:styleId="852" w:customStyle="1">
    <w:name w:val="Grid Table 3 - Accent 2"/>
    <w:uiPriority w:val="0"/>
    <w:qFormat/>
    <w:pPr>
      <w:spacing w:after="0" w:line="240" w:lineRule="auto"/>
    </w:pPr>
    <w:rPr>
      <w:rFonts w:ascii="Times New Roman" w:hAnsi="Times New Roman" w:eastAsia="宋体" w:cs="Times New Roman"/>
    </w:rPr>
    <w:tblPr/>
  </w:style>
  <w:style w:type="table" w:styleId="853" w:customStyle="1">
    <w:name w:val="Grid Table 3 - Accent 3"/>
    <w:uiPriority w:val="0"/>
    <w:qFormat/>
    <w:pPr>
      <w:spacing w:after="0" w:line="240" w:lineRule="auto"/>
    </w:pPr>
    <w:rPr>
      <w:rFonts w:ascii="Times New Roman" w:hAnsi="Times New Roman" w:eastAsia="宋体" w:cs="Times New Roman"/>
    </w:rPr>
    <w:tblPr/>
  </w:style>
  <w:style w:type="table" w:styleId="854" w:customStyle="1">
    <w:name w:val="Grid Table 3 - Accent 4"/>
    <w:uiPriority w:val="0"/>
    <w:qFormat/>
    <w:pPr>
      <w:spacing w:after="0" w:line="240" w:lineRule="auto"/>
    </w:pPr>
    <w:rPr>
      <w:rFonts w:ascii="Times New Roman" w:hAnsi="Times New Roman" w:eastAsia="宋体" w:cs="Times New Roman"/>
    </w:rPr>
    <w:tblPr/>
  </w:style>
  <w:style w:type="table" w:styleId="855" w:customStyle="1">
    <w:name w:val="Grid Table 3 - Accent 5"/>
    <w:uiPriority w:val="0"/>
    <w:qFormat/>
    <w:pPr>
      <w:spacing w:after="0" w:line="240" w:lineRule="auto"/>
    </w:pPr>
    <w:rPr>
      <w:rFonts w:ascii="Times New Roman" w:hAnsi="Times New Roman" w:eastAsia="宋体" w:cs="Times New Roman"/>
    </w:rPr>
    <w:tblPr/>
  </w:style>
  <w:style w:type="table" w:styleId="856" w:customStyle="1">
    <w:name w:val="Grid Table 3 - Accent 6"/>
    <w:uiPriority w:val="0"/>
    <w:qFormat/>
    <w:pPr>
      <w:spacing w:after="0" w:line="240" w:lineRule="auto"/>
    </w:pPr>
    <w:rPr>
      <w:rFonts w:ascii="Times New Roman" w:hAnsi="Times New Roman" w:eastAsia="宋体" w:cs="Times New Roman"/>
    </w:rPr>
    <w:tblPr/>
  </w:style>
  <w:style w:type="table" w:styleId="857" w:customStyle="1">
    <w:name w:val="Grid Table 4"/>
    <w:uiPriority w:val="0"/>
    <w:qFormat/>
    <w:pPr>
      <w:spacing w:after="0" w:line="240" w:lineRule="auto"/>
    </w:pPr>
    <w:rPr>
      <w:rFonts w:ascii="Times New Roman" w:hAnsi="Times New Roman" w:eastAsia="宋体" w:cs="Times New Roman"/>
    </w:rPr>
    <w:tblPr/>
  </w:style>
  <w:style w:type="table" w:styleId="858" w:customStyle="1">
    <w:name w:val="Grid Table 4 - Accent 1"/>
    <w:uiPriority w:val="0"/>
    <w:qFormat/>
    <w:pPr>
      <w:spacing w:after="0" w:line="240" w:lineRule="auto"/>
    </w:pPr>
    <w:rPr>
      <w:rFonts w:ascii="Times New Roman" w:hAnsi="Times New Roman" w:eastAsia="宋体" w:cs="Times New Roman"/>
    </w:rPr>
    <w:tblPr/>
  </w:style>
  <w:style w:type="table" w:styleId="859" w:customStyle="1">
    <w:name w:val="Grid Table 4 - Accent 2"/>
    <w:uiPriority w:val="0"/>
    <w:qFormat/>
    <w:pPr>
      <w:spacing w:after="0" w:line="240" w:lineRule="auto"/>
    </w:pPr>
    <w:rPr>
      <w:rFonts w:ascii="Times New Roman" w:hAnsi="Times New Roman" w:eastAsia="宋体" w:cs="Times New Roman"/>
    </w:rPr>
    <w:tblPr/>
  </w:style>
  <w:style w:type="table" w:styleId="860" w:customStyle="1">
    <w:name w:val="Grid Table 4 - Accent 3"/>
    <w:uiPriority w:val="0"/>
    <w:qFormat/>
    <w:pPr>
      <w:spacing w:after="0" w:line="240" w:lineRule="auto"/>
    </w:pPr>
    <w:rPr>
      <w:rFonts w:ascii="Times New Roman" w:hAnsi="Times New Roman" w:eastAsia="宋体" w:cs="Times New Roman"/>
    </w:rPr>
    <w:tblPr/>
  </w:style>
  <w:style w:type="table" w:styleId="861" w:customStyle="1">
    <w:name w:val="Grid Table 4 - Accent 4"/>
    <w:uiPriority w:val="0"/>
    <w:qFormat/>
    <w:pPr>
      <w:spacing w:after="0" w:line="240" w:lineRule="auto"/>
    </w:pPr>
    <w:rPr>
      <w:rFonts w:ascii="Times New Roman" w:hAnsi="Times New Roman" w:eastAsia="宋体" w:cs="Times New Roman"/>
    </w:rPr>
    <w:tblPr/>
  </w:style>
  <w:style w:type="table" w:styleId="862" w:customStyle="1">
    <w:name w:val="Grid Table 4 - Accent 5"/>
    <w:uiPriority w:val="0"/>
    <w:qFormat/>
    <w:pPr>
      <w:spacing w:after="0" w:line="240" w:lineRule="auto"/>
    </w:pPr>
    <w:rPr>
      <w:rFonts w:ascii="Times New Roman" w:hAnsi="Times New Roman" w:eastAsia="宋体" w:cs="Times New Roman"/>
    </w:rPr>
    <w:tblPr/>
  </w:style>
  <w:style w:type="table" w:styleId="863" w:customStyle="1">
    <w:name w:val="Grid Table 4 - Accent 6"/>
    <w:uiPriority w:val="0"/>
    <w:qFormat/>
    <w:pPr>
      <w:spacing w:after="0" w:line="240" w:lineRule="auto"/>
    </w:pPr>
    <w:rPr>
      <w:rFonts w:ascii="Times New Roman" w:hAnsi="Times New Roman" w:eastAsia="宋体" w:cs="Times New Roman"/>
    </w:rPr>
    <w:tblPr/>
  </w:style>
  <w:style w:type="table" w:styleId="864" w:customStyle="1">
    <w:name w:val="Grid Table 5 Dark"/>
    <w:uiPriority w:val="0"/>
    <w:qFormat/>
    <w:pPr>
      <w:spacing w:after="0" w:line="240" w:lineRule="auto"/>
    </w:pPr>
    <w:rPr>
      <w:rFonts w:ascii="Times New Roman" w:hAnsi="Times New Roman" w:eastAsia="宋体" w:cs="Times New Roman"/>
    </w:rPr>
    <w:tblPr/>
  </w:style>
  <w:style w:type="table" w:styleId="865" w:customStyle="1">
    <w:name w:val="Grid Table 5 Dark- Accent 1"/>
    <w:uiPriority w:val="0"/>
    <w:qFormat/>
    <w:pPr>
      <w:spacing w:after="0" w:line="240" w:lineRule="auto"/>
    </w:pPr>
    <w:rPr>
      <w:rFonts w:ascii="Times New Roman" w:hAnsi="Times New Roman" w:eastAsia="宋体" w:cs="Times New Roman"/>
    </w:rPr>
    <w:tblPr/>
  </w:style>
  <w:style w:type="table" w:styleId="866" w:customStyle="1">
    <w:name w:val="Grid Table 5 Dark - Accent 2"/>
    <w:uiPriority w:val="0"/>
    <w:qFormat/>
    <w:pPr>
      <w:spacing w:after="0" w:line="240" w:lineRule="auto"/>
    </w:pPr>
    <w:rPr>
      <w:rFonts w:ascii="Times New Roman" w:hAnsi="Times New Roman" w:eastAsia="宋体" w:cs="Times New Roman"/>
    </w:rPr>
    <w:tblPr/>
  </w:style>
  <w:style w:type="table" w:styleId="867" w:customStyle="1">
    <w:name w:val="Grid Table 5 Dark - Accent 3"/>
    <w:uiPriority w:val="0"/>
    <w:qFormat/>
    <w:pPr>
      <w:spacing w:after="0" w:line="240" w:lineRule="auto"/>
    </w:pPr>
    <w:rPr>
      <w:rFonts w:ascii="Times New Roman" w:hAnsi="Times New Roman" w:eastAsia="宋体" w:cs="Times New Roman"/>
    </w:rPr>
    <w:tblPr/>
  </w:style>
  <w:style w:type="table" w:styleId="868" w:customStyle="1">
    <w:name w:val="Grid Table 5 Dark- Accent 4"/>
    <w:uiPriority w:val="0"/>
    <w:qFormat/>
    <w:pPr>
      <w:spacing w:after="0" w:line="240" w:lineRule="auto"/>
    </w:pPr>
    <w:rPr>
      <w:rFonts w:ascii="Times New Roman" w:hAnsi="Times New Roman" w:eastAsia="宋体" w:cs="Times New Roman"/>
    </w:rPr>
    <w:tblPr/>
  </w:style>
  <w:style w:type="table" w:styleId="869" w:customStyle="1">
    <w:name w:val="Grid Table 5 Dark - Accent 5"/>
    <w:uiPriority w:val="0"/>
    <w:qFormat/>
    <w:pPr>
      <w:spacing w:after="0" w:line="240" w:lineRule="auto"/>
    </w:pPr>
    <w:rPr>
      <w:rFonts w:ascii="Times New Roman" w:hAnsi="Times New Roman" w:eastAsia="宋体" w:cs="Times New Roman"/>
    </w:rPr>
    <w:tblPr/>
  </w:style>
  <w:style w:type="table" w:styleId="870" w:customStyle="1">
    <w:name w:val="Grid Table 5 Dark - Accent 6"/>
    <w:uiPriority w:val="0"/>
    <w:qFormat/>
    <w:pPr>
      <w:spacing w:after="0" w:line="240" w:lineRule="auto"/>
    </w:pPr>
    <w:rPr>
      <w:rFonts w:ascii="Times New Roman" w:hAnsi="Times New Roman" w:eastAsia="宋体" w:cs="Times New Roman"/>
    </w:rPr>
    <w:tblPr/>
  </w:style>
  <w:style w:type="table" w:styleId="871" w:customStyle="1">
    <w:name w:val="Grid Table 6 Colorful"/>
    <w:uiPriority w:val="0"/>
    <w:qFormat/>
    <w:pPr>
      <w:spacing w:after="0" w:line="240" w:lineRule="auto"/>
    </w:pPr>
    <w:rPr>
      <w:rFonts w:ascii="Times New Roman" w:hAnsi="Times New Roman" w:eastAsia="宋体" w:cs="Times New Roman"/>
    </w:rPr>
    <w:tblPr/>
  </w:style>
  <w:style w:type="table" w:styleId="872" w:customStyle="1">
    <w:name w:val="Grid Table 6 Colorful - Accent 1"/>
    <w:uiPriority w:val="0"/>
    <w:qFormat/>
    <w:pPr>
      <w:spacing w:after="0" w:line="240" w:lineRule="auto"/>
    </w:pPr>
    <w:rPr>
      <w:rFonts w:ascii="Times New Roman" w:hAnsi="Times New Roman" w:eastAsia="宋体" w:cs="Times New Roman"/>
    </w:rPr>
    <w:tblPr/>
  </w:style>
  <w:style w:type="table" w:styleId="873" w:customStyle="1">
    <w:name w:val="Grid Table 6 Colorful - Accent 2"/>
    <w:uiPriority w:val="0"/>
    <w:qFormat/>
    <w:pPr>
      <w:spacing w:after="0" w:line="240" w:lineRule="auto"/>
    </w:pPr>
    <w:rPr>
      <w:rFonts w:ascii="Times New Roman" w:hAnsi="Times New Roman" w:eastAsia="宋体" w:cs="Times New Roman"/>
    </w:rPr>
    <w:tblPr/>
  </w:style>
  <w:style w:type="table" w:styleId="874" w:customStyle="1">
    <w:name w:val="Grid Table 6 Colorful - Accent 3"/>
    <w:uiPriority w:val="0"/>
    <w:qFormat/>
    <w:pPr>
      <w:spacing w:after="0" w:line="240" w:lineRule="auto"/>
    </w:pPr>
    <w:rPr>
      <w:rFonts w:ascii="Times New Roman" w:hAnsi="Times New Roman" w:eastAsia="宋体" w:cs="Times New Roman"/>
    </w:rPr>
    <w:tblPr/>
  </w:style>
  <w:style w:type="table" w:styleId="875" w:customStyle="1">
    <w:name w:val="Grid Table 6 Colorful - Accent 4"/>
    <w:uiPriority w:val="0"/>
    <w:qFormat/>
    <w:pPr>
      <w:spacing w:after="0" w:line="240" w:lineRule="auto"/>
    </w:pPr>
    <w:rPr>
      <w:rFonts w:ascii="Times New Roman" w:hAnsi="Times New Roman" w:eastAsia="宋体" w:cs="Times New Roman"/>
    </w:rPr>
    <w:tblPr/>
  </w:style>
  <w:style w:type="table" w:styleId="876" w:customStyle="1">
    <w:name w:val="Grid Table 6 Colorful - Accent 5"/>
    <w:uiPriority w:val="0"/>
    <w:qFormat/>
    <w:pPr>
      <w:spacing w:after="0" w:line="240" w:lineRule="auto"/>
    </w:pPr>
    <w:rPr>
      <w:rFonts w:ascii="Times New Roman" w:hAnsi="Times New Roman" w:eastAsia="宋体" w:cs="Times New Roman"/>
    </w:rPr>
    <w:tblPr/>
  </w:style>
  <w:style w:type="table" w:styleId="877" w:customStyle="1">
    <w:name w:val="Grid Table 6 Colorful - Accent 6"/>
    <w:uiPriority w:val="0"/>
    <w:qFormat/>
    <w:pPr>
      <w:spacing w:after="0" w:line="240" w:lineRule="auto"/>
    </w:pPr>
    <w:rPr>
      <w:rFonts w:ascii="Times New Roman" w:hAnsi="Times New Roman" w:eastAsia="宋体" w:cs="Times New Roman"/>
    </w:rPr>
    <w:tblPr/>
  </w:style>
  <w:style w:type="table" w:styleId="878" w:customStyle="1">
    <w:name w:val="Grid Table 7 Colorful"/>
    <w:uiPriority w:val="0"/>
    <w:qFormat/>
    <w:pPr>
      <w:spacing w:after="0" w:line="240" w:lineRule="auto"/>
    </w:pPr>
    <w:rPr>
      <w:rFonts w:ascii="Times New Roman" w:hAnsi="Times New Roman" w:eastAsia="宋体" w:cs="Times New Roman"/>
    </w:rPr>
    <w:tblPr/>
  </w:style>
  <w:style w:type="table" w:styleId="879" w:customStyle="1">
    <w:name w:val="Grid Table 7 Colorful - Accent 1"/>
    <w:uiPriority w:val="0"/>
    <w:qFormat/>
    <w:pPr>
      <w:spacing w:after="0" w:line="240" w:lineRule="auto"/>
    </w:pPr>
    <w:rPr>
      <w:rFonts w:ascii="Times New Roman" w:hAnsi="Times New Roman" w:eastAsia="宋体" w:cs="Times New Roman"/>
    </w:rPr>
    <w:tblPr/>
  </w:style>
  <w:style w:type="table" w:styleId="880" w:customStyle="1">
    <w:name w:val="Grid Table 7 Colorful - Accent 2"/>
    <w:uiPriority w:val="0"/>
    <w:qFormat/>
    <w:pPr>
      <w:spacing w:after="0" w:line="240" w:lineRule="auto"/>
    </w:pPr>
    <w:rPr>
      <w:rFonts w:ascii="Times New Roman" w:hAnsi="Times New Roman" w:eastAsia="宋体" w:cs="Times New Roman"/>
    </w:rPr>
    <w:tblPr/>
  </w:style>
  <w:style w:type="table" w:styleId="881" w:customStyle="1">
    <w:name w:val="Grid Table 7 Colorful - Accent 3"/>
    <w:uiPriority w:val="0"/>
    <w:qFormat/>
    <w:pPr>
      <w:spacing w:after="0" w:line="240" w:lineRule="auto"/>
    </w:pPr>
    <w:rPr>
      <w:rFonts w:ascii="Times New Roman" w:hAnsi="Times New Roman" w:eastAsia="宋体" w:cs="Times New Roman"/>
    </w:rPr>
    <w:tblPr/>
  </w:style>
  <w:style w:type="table" w:styleId="882" w:customStyle="1">
    <w:name w:val="Grid Table 7 Colorful - Accent 4"/>
    <w:uiPriority w:val="0"/>
    <w:qFormat/>
    <w:pPr>
      <w:spacing w:after="0" w:line="240" w:lineRule="auto"/>
    </w:pPr>
    <w:rPr>
      <w:rFonts w:ascii="Times New Roman" w:hAnsi="Times New Roman" w:eastAsia="宋体" w:cs="Times New Roman"/>
    </w:rPr>
    <w:tblPr/>
  </w:style>
  <w:style w:type="table" w:styleId="883" w:customStyle="1">
    <w:name w:val="Grid Table 7 Colorful - Accent 5"/>
    <w:uiPriority w:val="0"/>
    <w:qFormat/>
    <w:pPr>
      <w:spacing w:after="0" w:line="240" w:lineRule="auto"/>
    </w:pPr>
    <w:rPr>
      <w:rFonts w:ascii="Times New Roman" w:hAnsi="Times New Roman" w:eastAsia="宋体" w:cs="Times New Roman"/>
    </w:rPr>
    <w:tblPr/>
  </w:style>
  <w:style w:type="table" w:styleId="884" w:customStyle="1">
    <w:name w:val="Grid Table 7 Colorful - Accent 6"/>
    <w:uiPriority w:val="0"/>
    <w:qFormat/>
    <w:pPr>
      <w:spacing w:after="0" w:line="240" w:lineRule="auto"/>
    </w:pPr>
    <w:rPr>
      <w:rFonts w:ascii="Times New Roman" w:hAnsi="Times New Roman" w:eastAsia="宋体" w:cs="Times New Roman"/>
    </w:rPr>
    <w:tblPr/>
  </w:style>
  <w:style w:type="table" w:styleId="885" w:customStyle="1">
    <w:name w:val="List Table 1 Light"/>
    <w:uiPriority w:val="0"/>
    <w:qFormat/>
    <w:pPr>
      <w:spacing w:after="0" w:line="240" w:lineRule="auto"/>
    </w:pPr>
    <w:rPr>
      <w:rFonts w:ascii="Times New Roman" w:hAnsi="Times New Roman" w:eastAsia="宋体" w:cs="Times New Roman"/>
    </w:rPr>
    <w:tblPr/>
  </w:style>
  <w:style w:type="table" w:styleId="886" w:customStyle="1">
    <w:name w:val="List Table 1 Light - Accent 1"/>
    <w:uiPriority w:val="0"/>
    <w:qFormat/>
    <w:pPr>
      <w:spacing w:after="0" w:line="240" w:lineRule="auto"/>
    </w:pPr>
    <w:rPr>
      <w:rFonts w:ascii="Times New Roman" w:hAnsi="Times New Roman" w:eastAsia="宋体" w:cs="Times New Roman"/>
    </w:rPr>
    <w:tblPr/>
  </w:style>
  <w:style w:type="table" w:styleId="887" w:customStyle="1">
    <w:name w:val="List Table 1 Light - Accent 2"/>
    <w:uiPriority w:val="0"/>
    <w:qFormat/>
    <w:pPr>
      <w:spacing w:after="0" w:line="240" w:lineRule="auto"/>
    </w:pPr>
    <w:rPr>
      <w:rFonts w:ascii="Times New Roman" w:hAnsi="Times New Roman" w:eastAsia="宋体" w:cs="Times New Roman"/>
    </w:rPr>
    <w:tblPr/>
  </w:style>
  <w:style w:type="table" w:styleId="888" w:customStyle="1">
    <w:name w:val="List Table 1 Light - Accent 3"/>
    <w:uiPriority w:val="0"/>
    <w:qFormat/>
    <w:pPr>
      <w:spacing w:after="0" w:line="240" w:lineRule="auto"/>
    </w:pPr>
    <w:rPr>
      <w:rFonts w:ascii="Times New Roman" w:hAnsi="Times New Roman" w:eastAsia="宋体" w:cs="Times New Roman"/>
    </w:rPr>
    <w:tblPr/>
  </w:style>
  <w:style w:type="table" w:styleId="889" w:customStyle="1">
    <w:name w:val="List Table 1 Light - Accent 4"/>
    <w:uiPriority w:val="0"/>
    <w:qFormat/>
    <w:pPr>
      <w:spacing w:after="0" w:line="240" w:lineRule="auto"/>
    </w:pPr>
    <w:rPr>
      <w:rFonts w:ascii="Times New Roman" w:hAnsi="Times New Roman" w:eastAsia="宋体" w:cs="Times New Roman"/>
    </w:rPr>
    <w:tblPr/>
  </w:style>
  <w:style w:type="table" w:styleId="890" w:customStyle="1">
    <w:name w:val="List Table 1 Light - Accent 5"/>
    <w:uiPriority w:val="0"/>
    <w:qFormat/>
    <w:pPr>
      <w:spacing w:after="0" w:line="240" w:lineRule="auto"/>
    </w:pPr>
    <w:rPr>
      <w:rFonts w:ascii="Times New Roman" w:hAnsi="Times New Roman" w:eastAsia="宋体" w:cs="Times New Roman"/>
    </w:rPr>
    <w:tblPr/>
  </w:style>
  <w:style w:type="table" w:styleId="891" w:customStyle="1">
    <w:name w:val="List Table 1 Light - Accent 6"/>
    <w:uiPriority w:val="0"/>
    <w:qFormat/>
    <w:pPr>
      <w:spacing w:after="0" w:line="240" w:lineRule="auto"/>
    </w:pPr>
    <w:rPr>
      <w:rFonts w:ascii="Times New Roman" w:hAnsi="Times New Roman" w:eastAsia="宋体" w:cs="Times New Roman"/>
    </w:rPr>
    <w:tblPr/>
  </w:style>
  <w:style w:type="table" w:styleId="892" w:customStyle="1">
    <w:name w:val="List Table 2"/>
    <w:uiPriority w:val="0"/>
    <w:qFormat/>
    <w:pPr>
      <w:spacing w:after="0" w:line="240" w:lineRule="auto"/>
    </w:pPr>
    <w:rPr>
      <w:rFonts w:ascii="Times New Roman" w:hAnsi="Times New Roman" w:eastAsia="宋体" w:cs="Times New Roman"/>
    </w:rPr>
    <w:tblPr/>
  </w:style>
  <w:style w:type="table" w:styleId="893" w:customStyle="1">
    <w:name w:val="List Table 2 - Accent 1"/>
    <w:uiPriority w:val="0"/>
    <w:qFormat/>
    <w:pPr>
      <w:spacing w:after="0" w:line="240" w:lineRule="auto"/>
    </w:pPr>
    <w:rPr>
      <w:rFonts w:ascii="Times New Roman" w:hAnsi="Times New Roman" w:eastAsia="宋体" w:cs="Times New Roman"/>
    </w:rPr>
    <w:tblPr/>
  </w:style>
  <w:style w:type="table" w:styleId="894" w:customStyle="1">
    <w:name w:val="List Table 2 - Accent 2"/>
    <w:uiPriority w:val="0"/>
    <w:qFormat/>
    <w:pPr>
      <w:spacing w:after="0" w:line="240" w:lineRule="auto"/>
    </w:pPr>
    <w:rPr>
      <w:rFonts w:ascii="Times New Roman" w:hAnsi="Times New Roman" w:eastAsia="宋体" w:cs="Times New Roman"/>
    </w:rPr>
    <w:tblPr/>
  </w:style>
  <w:style w:type="table" w:styleId="895" w:customStyle="1">
    <w:name w:val="List Table 2 - Accent 3"/>
    <w:uiPriority w:val="0"/>
    <w:qFormat/>
    <w:pPr>
      <w:spacing w:after="0" w:line="240" w:lineRule="auto"/>
    </w:pPr>
    <w:rPr>
      <w:rFonts w:ascii="Times New Roman" w:hAnsi="Times New Roman" w:eastAsia="宋体" w:cs="Times New Roman"/>
    </w:rPr>
    <w:tblPr/>
  </w:style>
  <w:style w:type="table" w:styleId="896" w:customStyle="1">
    <w:name w:val="List Table 2 - Accent 4"/>
    <w:uiPriority w:val="0"/>
    <w:qFormat/>
    <w:pPr>
      <w:spacing w:after="0" w:line="240" w:lineRule="auto"/>
    </w:pPr>
    <w:rPr>
      <w:rFonts w:ascii="Times New Roman" w:hAnsi="Times New Roman" w:eastAsia="宋体" w:cs="Times New Roman"/>
    </w:rPr>
    <w:tblPr/>
  </w:style>
  <w:style w:type="table" w:styleId="897" w:customStyle="1">
    <w:name w:val="List Table 2 - Accent 5"/>
    <w:uiPriority w:val="0"/>
    <w:qFormat/>
    <w:pPr>
      <w:spacing w:after="0" w:line="240" w:lineRule="auto"/>
    </w:pPr>
    <w:rPr>
      <w:rFonts w:ascii="Times New Roman" w:hAnsi="Times New Roman" w:eastAsia="宋体" w:cs="Times New Roman"/>
    </w:rPr>
    <w:tblPr/>
  </w:style>
  <w:style w:type="table" w:styleId="898" w:customStyle="1">
    <w:name w:val="List Table 2 - Accent 6"/>
    <w:uiPriority w:val="0"/>
    <w:qFormat/>
    <w:pPr>
      <w:spacing w:after="0" w:line="240" w:lineRule="auto"/>
    </w:pPr>
    <w:rPr>
      <w:rFonts w:ascii="Times New Roman" w:hAnsi="Times New Roman" w:eastAsia="宋体" w:cs="Times New Roman"/>
    </w:rPr>
    <w:tblPr/>
  </w:style>
  <w:style w:type="table" w:styleId="899" w:customStyle="1">
    <w:name w:val="List Table 3"/>
    <w:uiPriority w:val="0"/>
    <w:qFormat/>
    <w:pPr>
      <w:spacing w:after="0" w:line="240" w:lineRule="auto"/>
    </w:pPr>
    <w:rPr>
      <w:rFonts w:ascii="Times New Roman" w:hAnsi="Times New Roman" w:eastAsia="宋体" w:cs="Times New Roman"/>
    </w:rPr>
    <w:tblPr/>
  </w:style>
  <w:style w:type="table" w:styleId="900" w:customStyle="1">
    <w:name w:val="List Table 3 - Accent 1"/>
    <w:uiPriority w:val="0"/>
    <w:qFormat/>
    <w:pPr>
      <w:spacing w:after="0" w:line="240" w:lineRule="auto"/>
    </w:pPr>
    <w:rPr>
      <w:rFonts w:ascii="Times New Roman" w:hAnsi="Times New Roman" w:eastAsia="宋体" w:cs="Times New Roman"/>
    </w:rPr>
    <w:tblPr/>
  </w:style>
  <w:style w:type="table" w:styleId="901" w:customStyle="1">
    <w:name w:val="List Table 3 - Accent 2"/>
    <w:uiPriority w:val="0"/>
    <w:qFormat/>
    <w:pPr>
      <w:spacing w:after="0" w:line="240" w:lineRule="auto"/>
    </w:pPr>
    <w:rPr>
      <w:rFonts w:ascii="Times New Roman" w:hAnsi="Times New Roman" w:eastAsia="宋体" w:cs="Times New Roman"/>
    </w:rPr>
    <w:tblPr/>
  </w:style>
  <w:style w:type="table" w:styleId="902" w:customStyle="1">
    <w:name w:val="List Table 3 - Accent 3"/>
    <w:uiPriority w:val="0"/>
    <w:qFormat/>
    <w:pPr>
      <w:spacing w:after="0" w:line="240" w:lineRule="auto"/>
    </w:pPr>
    <w:rPr>
      <w:rFonts w:ascii="Times New Roman" w:hAnsi="Times New Roman" w:eastAsia="宋体" w:cs="Times New Roman"/>
    </w:rPr>
    <w:tblPr/>
  </w:style>
  <w:style w:type="table" w:styleId="903" w:customStyle="1">
    <w:name w:val="List Table 3 - Accent 4"/>
    <w:uiPriority w:val="0"/>
    <w:qFormat/>
    <w:pPr>
      <w:spacing w:after="0" w:line="240" w:lineRule="auto"/>
    </w:pPr>
    <w:rPr>
      <w:rFonts w:ascii="Times New Roman" w:hAnsi="Times New Roman" w:eastAsia="宋体" w:cs="Times New Roman"/>
    </w:rPr>
    <w:tblPr/>
  </w:style>
  <w:style w:type="table" w:styleId="904" w:customStyle="1">
    <w:name w:val="List Table 3 - Accent 5"/>
    <w:uiPriority w:val="0"/>
    <w:qFormat/>
    <w:pPr>
      <w:spacing w:after="0" w:line="240" w:lineRule="auto"/>
    </w:pPr>
    <w:rPr>
      <w:rFonts w:ascii="Times New Roman" w:hAnsi="Times New Roman" w:eastAsia="宋体" w:cs="Times New Roman"/>
    </w:rPr>
    <w:tblPr/>
  </w:style>
  <w:style w:type="table" w:styleId="905" w:customStyle="1">
    <w:name w:val="List Table 3 - Accent 6"/>
    <w:uiPriority w:val="0"/>
    <w:qFormat/>
    <w:pPr>
      <w:spacing w:after="0" w:line="240" w:lineRule="auto"/>
    </w:pPr>
    <w:rPr>
      <w:rFonts w:ascii="Times New Roman" w:hAnsi="Times New Roman" w:eastAsia="宋体" w:cs="Times New Roman"/>
    </w:rPr>
    <w:tblPr/>
  </w:style>
  <w:style w:type="table" w:styleId="906" w:customStyle="1">
    <w:name w:val="List Table 4"/>
    <w:uiPriority w:val="0"/>
    <w:qFormat/>
    <w:pPr>
      <w:spacing w:after="0" w:line="240" w:lineRule="auto"/>
    </w:pPr>
    <w:rPr>
      <w:rFonts w:ascii="Times New Roman" w:hAnsi="Times New Roman" w:eastAsia="宋体" w:cs="Times New Roman"/>
    </w:rPr>
    <w:tblPr/>
  </w:style>
  <w:style w:type="table" w:styleId="907" w:customStyle="1">
    <w:name w:val="List Table 4 - Accent 1"/>
    <w:uiPriority w:val="0"/>
    <w:qFormat/>
    <w:pPr>
      <w:spacing w:after="0" w:line="240" w:lineRule="auto"/>
    </w:pPr>
    <w:rPr>
      <w:rFonts w:ascii="Times New Roman" w:hAnsi="Times New Roman" w:eastAsia="宋体" w:cs="Times New Roman"/>
    </w:rPr>
    <w:tblPr/>
  </w:style>
  <w:style w:type="table" w:styleId="908" w:customStyle="1">
    <w:name w:val="List Table 4 - Accent 2"/>
    <w:uiPriority w:val="0"/>
    <w:qFormat/>
    <w:pPr>
      <w:spacing w:after="0" w:line="240" w:lineRule="auto"/>
    </w:pPr>
    <w:rPr>
      <w:rFonts w:ascii="Times New Roman" w:hAnsi="Times New Roman" w:eastAsia="宋体" w:cs="Times New Roman"/>
    </w:rPr>
    <w:tblPr/>
  </w:style>
  <w:style w:type="table" w:styleId="909" w:customStyle="1">
    <w:name w:val="List Table 4 - Accent 3"/>
    <w:uiPriority w:val="0"/>
    <w:qFormat/>
    <w:pPr>
      <w:spacing w:after="0" w:line="240" w:lineRule="auto"/>
    </w:pPr>
    <w:rPr>
      <w:rFonts w:ascii="Times New Roman" w:hAnsi="Times New Roman" w:eastAsia="宋体" w:cs="Times New Roman"/>
    </w:rPr>
    <w:tblPr/>
  </w:style>
  <w:style w:type="table" w:styleId="910" w:customStyle="1">
    <w:name w:val="List Table 4 - Accent 4"/>
    <w:uiPriority w:val="0"/>
    <w:qFormat/>
    <w:pPr>
      <w:spacing w:after="0" w:line="240" w:lineRule="auto"/>
    </w:pPr>
    <w:rPr>
      <w:rFonts w:ascii="Times New Roman" w:hAnsi="Times New Roman" w:eastAsia="宋体" w:cs="Times New Roman"/>
    </w:rPr>
    <w:tblPr/>
  </w:style>
  <w:style w:type="table" w:styleId="911" w:customStyle="1">
    <w:name w:val="List Table 4 - Accent 5"/>
    <w:uiPriority w:val="0"/>
    <w:qFormat/>
    <w:pPr>
      <w:spacing w:after="0" w:line="240" w:lineRule="auto"/>
    </w:pPr>
    <w:rPr>
      <w:rFonts w:ascii="Times New Roman" w:hAnsi="Times New Roman" w:eastAsia="宋体" w:cs="Times New Roman"/>
    </w:rPr>
    <w:tblPr/>
  </w:style>
  <w:style w:type="table" w:styleId="912" w:customStyle="1">
    <w:name w:val="List Table 4 - Accent 6"/>
    <w:uiPriority w:val="0"/>
    <w:qFormat/>
    <w:pPr>
      <w:spacing w:after="0" w:line="240" w:lineRule="auto"/>
    </w:pPr>
    <w:rPr>
      <w:rFonts w:ascii="Times New Roman" w:hAnsi="Times New Roman" w:eastAsia="宋体" w:cs="Times New Roman"/>
    </w:rPr>
    <w:tblPr/>
  </w:style>
  <w:style w:type="table" w:styleId="913" w:customStyle="1">
    <w:name w:val="List Table 5 Dark"/>
    <w:uiPriority w:val="0"/>
    <w:qFormat/>
    <w:pPr>
      <w:spacing w:after="0" w:line="240" w:lineRule="auto"/>
    </w:pPr>
    <w:rPr>
      <w:rFonts w:ascii="Times New Roman" w:hAnsi="Times New Roman" w:eastAsia="宋体" w:cs="Times New Roman"/>
    </w:rPr>
    <w:tblPr/>
  </w:style>
  <w:style w:type="table" w:styleId="914" w:customStyle="1">
    <w:name w:val="List Table 5 Dark - Accent 1"/>
    <w:uiPriority w:val="0"/>
    <w:qFormat/>
    <w:pPr>
      <w:spacing w:after="0" w:line="240" w:lineRule="auto"/>
    </w:pPr>
    <w:rPr>
      <w:rFonts w:ascii="Times New Roman" w:hAnsi="Times New Roman" w:eastAsia="宋体" w:cs="Times New Roman"/>
    </w:rPr>
    <w:tblPr/>
  </w:style>
  <w:style w:type="table" w:styleId="915" w:customStyle="1">
    <w:name w:val="List Table 5 Dark - Accent 2"/>
    <w:uiPriority w:val="0"/>
    <w:qFormat/>
    <w:pPr>
      <w:spacing w:after="0" w:line="240" w:lineRule="auto"/>
    </w:pPr>
    <w:rPr>
      <w:rFonts w:ascii="Times New Roman" w:hAnsi="Times New Roman" w:eastAsia="宋体" w:cs="Times New Roman"/>
    </w:rPr>
    <w:tblPr/>
  </w:style>
  <w:style w:type="table" w:styleId="916" w:customStyle="1">
    <w:name w:val="List Table 5 Dark - Accent 3"/>
    <w:uiPriority w:val="0"/>
    <w:qFormat/>
    <w:pPr>
      <w:spacing w:after="0" w:line="240" w:lineRule="auto"/>
    </w:pPr>
    <w:rPr>
      <w:rFonts w:ascii="Times New Roman" w:hAnsi="Times New Roman" w:eastAsia="宋体" w:cs="Times New Roman"/>
    </w:rPr>
    <w:tblPr/>
  </w:style>
  <w:style w:type="table" w:styleId="917" w:customStyle="1">
    <w:name w:val="List Table 5 Dark - Accent 4"/>
    <w:uiPriority w:val="0"/>
    <w:qFormat/>
    <w:pPr>
      <w:spacing w:after="0" w:line="240" w:lineRule="auto"/>
    </w:pPr>
    <w:rPr>
      <w:rFonts w:ascii="Times New Roman" w:hAnsi="Times New Roman" w:eastAsia="宋体" w:cs="Times New Roman"/>
    </w:rPr>
    <w:tblPr/>
  </w:style>
  <w:style w:type="table" w:styleId="918" w:customStyle="1">
    <w:name w:val="List Table 5 Dark - Accent 5"/>
    <w:uiPriority w:val="0"/>
    <w:qFormat/>
    <w:pPr>
      <w:spacing w:after="0" w:line="240" w:lineRule="auto"/>
    </w:pPr>
    <w:rPr>
      <w:rFonts w:ascii="Times New Roman" w:hAnsi="Times New Roman" w:eastAsia="宋体" w:cs="Times New Roman"/>
    </w:rPr>
    <w:tblPr/>
  </w:style>
  <w:style w:type="table" w:styleId="919" w:customStyle="1">
    <w:name w:val="List Table 5 Dark - Accent 6"/>
    <w:uiPriority w:val="0"/>
    <w:qFormat/>
    <w:pPr>
      <w:spacing w:after="0" w:line="240" w:lineRule="auto"/>
    </w:pPr>
    <w:rPr>
      <w:rFonts w:ascii="Times New Roman" w:hAnsi="Times New Roman" w:eastAsia="宋体" w:cs="Times New Roman"/>
    </w:rPr>
    <w:tblPr/>
  </w:style>
  <w:style w:type="table" w:styleId="920" w:customStyle="1">
    <w:name w:val="List Table 6 Colorful"/>
    <w:uiPriority w:val="0"/>
    <w:qFormat/>
    <w:pPr>
      <w:spacing w:after="0" w:line="240" w:lineRule="auto"/>
    </w:pPr>
    <w:rPr>
      <w:rFonts w:ascii="Times New Roman" w:hAnsi="Times New Roman" w:eastAsia="宋体" w:cs="Times New Roman"/>
    </w:rPr>
    <w:tblPr/>
  </w:style>
  <w:style w:type="table" w:styleId="921" w:customStyle="1">
    <w:name w:val="List Table 6 Colorful - Accent 1"/>
    <w:uiPriority w:val="0"/>
    <w:qFormat/>
    <w:pPr>
      <w:spacing w:after="0" w:line="240" w:lineRule="auto"/>
    </w:pPr>
    <w:rPr>
      <w:rFonts w:ascii="Times New Roman" w:hAnsi="Times New Roman" w:eastAsia="宋体" w:cs="Times New Roman"/>
    </w:rPr>
    <w:tblPr/>
  </w:style>
  <w:style w:type="table" w:styleId="922" w:customStyle="1">
    <w:name w:val="List Table 6 Colorful - Accent 2"/>
    <w:uiPriority w:val="0"/>
    <w:qFormat/>
    <w:pPr>
      <w:spacing w:after="0" w:line="240" w:lineRule="auto"/>
    </w:pPr>
    <w:rPr>
      <w:rFonts w:ascii="Times New Roman" w:hAnsi="Times New Roman" w:eastAsia="宋体" w:cs="Times New Roman"/>
    </w:rPr>
    <w:tblPr/>
  </w:style>
  <w:style w:type="table" w:styleId="923" w:customStyle="1">
    <w:name w:val="List Table 6 Colorful - Accent 3"/>
    <w:uiPriority w:val="0"/>
    <w:qFormat/>
    <w:pPr>
      <w:spacing w:after="0" w:line="240" w:lineRule="auto"/>
    </w:pPr>
    <w:rPr>
      <w:rFonts w:ascii="Times New Roman" w:hAnsi="Times New Roman" w:eastAsia="宋体" w:cs="Times New Roman"/>
    </w:rPr>
    <w:tblPr/>
  </w:style>
  <w:style w:type="table" w:styleId="924" w:customStyle="1">
    <w:name w:val="List Table 6 Colorful - Accent 4"/>
    <w:uiPriority w:val="0"/>
    <w:qFormat/>
    <w:pPr>
      <w:spacing w:after="0" w:line="240" w:lineRule="auto"/>
    </w:pPr>
    <w:rPr>
      <w:rFonts w:ascii="Times New Roman" w:hAnsi="Times New Roman" w:eastAsia="宋体" w:cs="Times New Roman"/>
    </w:rPr>
    <w:tblPr/>
  </w:style>
  <w:style w:type="table" w:styleId="925" w:customStyle="1">
    <w:name w:val="List Table 6 Colorful - Accent 5"/>
    <w:uiPriority w:val="0"/>
    <w:qFormat/>
    <w:pPr>
      <w:spacing w:after="0" w:line="240" w:lineRule="auto"/>
    </w:pPr>
    <w:rPr>
      <w:rFonts w:ascii="Times New Roman" w:hAnsi="Times New Roman" w:eastAsia="宋体" w:cs="Times New Roman"/>
    </w:rPr>
    <w:tblPr/>
  </w:style>
  <w:style w:type="table" w:styleId="926" w:customStyle="1">
    <w:name w:val="List Table 6 Colorful - Accent 6"/>
    <w:uiPriority w:val="0"/>
    <w:qFormat/>
    <w:pPr>
      <w:spacing w:after="0" w:line="240" w:lineRule="auto"/>
    </w:pPr>
    <w:rPr>
      <w:rFonts w:ascii="Times New Roman" w:hAnsi="Times New Roman" w:eastAsia="宋体" w:cs="Times New Roman"/>
    </w:rPr>
    <w:tblPr/>
  </w:style>
  <w:style w:type="table" w:styleId="927" w:customStyle="1">
    <w:name w:val="List Table 7 Colorful"/>
    <w:uiPriority w:val="0"/>
    <w:qFormat/>
    <w:pPr>
      <w:spacing w:after="0" w:line="240" w:lineRule="auto"/>
    </w:pPr>
    <w:rPr>
      <w:rFonts w:ascii="Times New Roman" w:hAnsi="Times New Roman" w:eastAsia="宋体" w:cs="Times New Roman"/>
    </w:rPr>
    <w:tblPr/>
  </w:style>
  <w:style w:type="table" w:styleId="928" w:customStyle="1">
    <w:name w:val="List Table 7 Colorful - Accent 1"/>
    <w:uiPriority w:val="0"/>
    <w:qFormat/>
    <w:pPr>
      <w:spacing w:after="0" w:line="240" w:lineRule="auto"/>
    </w:pPr>
    <w:rPr>
      <w:rFonts w:ascii="Times New Roman" w:hAnsi="Times New Roman" w:eastAsia="宋体" w:cs="Times New Roman"/>
    </w:rPr>
    <w:tblPr/>
  </w:style>
  <w:style w:type="table" w:styleId="929" w:customStyle="1">
    <w:name w:val="List Table 7 Colorful - Accent 2"/>
    <w:uiPriority w:val="0"/>
    <w:qFormat/>
    <w:pPr>
      <w:spacing w:after="0" w:line="240" w:lineRule="auto"/>
    </w:pPr>
    <w:rPr>
      <w:rFonts w:ascii="Times New Roman" w:hAnsi="Times New Roman" w:eastAsia="宋体" w:cs="Times New Roman"/>
    </w:rPr>
    <w:tblPr/>
  </w:style>
  <w:style w:type="table" w:styleId="930" w:customStyle="1">
    <w:name w:val="List Table 7 Colorful - Accent 3"/>
    <w:uiPriority w:val="0"/>
    <w:qFormat/>
    <w:pPr>
      <w:spacing w:after="0" w:line="240" w:lineRule="auto"/>
    </w:pPr>
    <w:rPr>
      <w:rFonts w:ascii="Times New Roman" w:hAnsi="Times New Roman" w:eastAsia="宋体" w:cs="Times New Roman"/>
    </w:rPr>
    <w:tblPr/>
  </w:style>
  <w:style w:type="table" w:styleId="931" w:customStyle="1">
    <w:name w:val="List Table 7 Colorful - Accent 4"/>
    <w:uiPriority w:val="0"/>
    <w:qFormat/>
    <w:pPr>
      <w:spacing w:after="0" w:line="240" w:lineRule="auto"/>
    </w:pPr>
    <w:rPr>
      <w:rFonts w:ascii="Times New Roman" w:hAnsi="Times New Roman" w:eastAsia="宋体" w:cs="Times New Roman"/>
    </w:rPr>
    <w:tblPr/>
  </w:style>
  <w:style w:type="table" w:styleId="932" w:customStyle="1">
    <w:name w:val="List Table 7 Colorful - Accent 5"/>
    <w:uiPriority w:val="0"/>
    <w:qFormat/>
    <w:pPr>
      <w:spacing w:after="0" w:line="240" w:lineRule="auto"/>
    </w:pPr>
    <w:rPr>
      <w:rFonts w:ascii="Times New Roman" w:hAnsi="Times New Roman" w:eastAsia="宋体" w:cs="Times New Roman"/>
    </w:rPr>
    <w:tblPr/>
  </w:style>
  <w:style w:type="table" w:styleId="933" w:customStyle="1">
    <w:name w:val="List Table 7 Colorful - Accent 6"/>
    <w:uiPriority w:val="0"/>
    <w:qFormat/>
    <w:pPr>
      <w:spacing w:after="0" w:line="240" w:lineRule="auto"/>
    </w:pPr>
    <w:rPr>
      <w:rFonts w:ascii="Times New Roman" w:hAnsi="Times New Roman" w:eastAsia="宋体" w:cs="Times New Roman"/>
    </w:rPr>
    <w:tblPr/>
  </w:style>
  <w:style w:type="table" w:styleId="934" w:customStyle="1">
    <w:name w:val="Lined - Accent"/>
    <w:uiPriority w:val="0"/>
    <w:qFormat/>
    <w:pPr>
      <w:spacing w:after="0" w:line="240" w:lineRule="auto"/>
    </w:pPr>
    <w:rPr>
      <w:rFonts w:ascii="Times New Roman" w:hAnsi="Times New Roman" w:eastAsia="宋体" w:cs="Times New Roman"/>
      <w:color w:val="404040"/>
    </w:rPr>
    <w:tblPr/>
  </w:style>
  <w:style w:type="table" w:styleId="935" w:customStyle="1">
    <w:name w:val="Lined - Accent 1"/>
    <w:uiPriority w:val="0"/>
    <w:qFormat/>
    <w:pPr>
      <w:spacing w:after="0" w:line="240" w:lineRule="auto"/>
    </w:pPr>
    <w:rPr>
      <w:rFonts w:ascii="Times New Roman" w:hAnsi="Times New Roman" w:eastAsia="宋体" w:cs="Times New Roman"/>
      <w:color w:val="404040"/>
    </w:rPr>
    <w:tblPr/>
  </w:style>
  <w:style w:type="table" w:styleId="936" w:customStyle="1">
    <w:name w:val="Lined - Accent 2"/>
    <w:uiPriority w:val="0"/>
    <w:qFormat/>
    <w:pPr>
      <w:spacing w:after="0" w:line="240" w:lineRule="auto"/>
    </w:pPr>
    <w:rPr>
      <w:rFonts w:ascii="Times New Roman" w:hAnsi="Times New Roman" w:eastAsia="宋体" w:cs="Times New Roman"/>
      <w:color w:val="404040"/>
    </w:rPr>
    <w:tblPr/>
  </w:style>
  <w:style w:type="table" w:styleId="937" w:customStyle="1">
    <w:name w:val="Lined - Accent 3"/>
    <w:uiPriority w:val="0"/>
    <w:qFormat/>
    <w:pPr>
      <w:spacing w:after="0" w:line="240" w:lineRule="auto"/>
    </w:pPr>
    <w:rPr>
      <w:rFonts w:ascii="Times New Roman" w:hAnsi="Times New Roman" w:eastAsia="宋体" w:cs="Times New Roman"/>
      <w:color w:val="404040"/>
    </w:rPr>
    <w:tblPr/>
  </w:style>
  <w:style w:type="table" w:styleId="938" w:customStyle="1">
    <w:name w:val="Lined - Accent 4"/>
    <w:uiPriority w:val="0"/>
    <w:qFormat/>
    <w:pPr>
      <w:spacing w:after="0" w:line="240" w:lineRule="auto"/>
    </w:pPr>
    <w:rPr>
      <w:rFonts w:ascii="Times New Roman" w:hAnsi="Times New Roman" w:eastAsia="宋体" w:cs="Times New Roman"/>
      <w:color w:val="404040"/>
    </w:rPr>
    <w:tblPr/>
  </w:style>
  <w:style w:type="table" w:styleId="939" w:customStyle="1">
    <w:name w:val="Lined - Accent 5"/>
    <w:uiPriority w:val="0"/>
    <w:qFormat/>
    <w:pPr>
      <w:spacing w:after="0" w:line="240" w:lineRule="auto"/>
    </w:pPr>
    <w:rPr>
      <w:rFonts w:ascii="Times New Roman" w:hAnsi="Times New Roman" w:eastAsia="宋体" w:cs="Times New Roman"/>
      <w:color w:val="404040"/>
    </w:rPr>
    <w:tblPr/>
  </w:style>
  <w:style w:type="table" w:styleId="940" w:customStyle="1">
    <w:name w:val="Lined - Accent 6"/>
    <w:uiPriority w:val="0"/>
    <w:qFormat/>
    <w:pPr>
      <w:spacing w:after="0" w:line="240" w:lineRule="auto"/>
    </w:pPr>
    <w:rPr>
      <w:rFonts w:ascii="Times New Roman" w:hAnsi="Times New Roman" w:eastAsia="宋体" w:cs="Times New Roman"/>
      <w:color w:val="404040"/>
    </w:rPr>
    <w:tblPr/>
  </w:style>
  <w:style w:type="table" w:styleId="941" w:customStyle="1">
    <w:name w:val="Bordered &amp; Lined - Accent"/>
    <w:uiPriority w:val="0"/>
    <w:qFormat/>
    <w:pPr>
      <w:spacing w:after="0" w:line="240" w:lineRule="auto"/>
    </w:pPr>
    <w:rPr>
      <w:rFonts w:ascii="Times New Roman" w:hAnsi="Times New Roman" w:eastAsia="宋体" w:cs="Times New Roman"/>
      <w:color w:val="404040"/>
    </w:rPr>
    <w:tblPr/>
  </w:style>
  <w:style w:type="table" w:styleId="942" w:customStyle="1">
    <w:name w:val="Bordered &amp; Lined - Accent 1"/>
    <w:uiPriority w:val="0"/>
    <w:qFormat/>
    <w:pPr>
      <w:spacing w:after="0" w:line="240" w:lineRule="auto"/>
    </w:pPr>
    <w:rPr>
      <w:rFonts w:ascii="Times New Roman" w:hAnsi="Times New Roman" w:eastAsia="宋体" w:cs="Times New Roman"/>
      <w:color w:val="404040"/>
    </w:rPr>
    <w:tblPr/>
  </w:style>
  <w:style w:type="table" w:styleId="943" w:customStyle="1">
    <w:name w:val="Bordered &amp; Lined - Accent 2"/>
    <w:uiPriority w:val="0"/>
    <w:qFormat/>
    <w:pPr>
      <w:spacing w:after="0" w:line="240" w:lineRule="auto"/>
    </w:pPr>
    <w:rPr>
      <w:rFonts w:ascii="Times New Roman" w:hAnsi="Times New Roman" w:eastAsia="宋体" w:cs="Times New Roman"/>
      <w:color w:val="404040"/>
    </w:rPr>
    <w:tblPr/>
  </w:style>
  <w:style w:type="table" w:styleId="944" w:customStyle="1">
    <w:name w:val="Bordered &amp; Lined - Accent 3"/>
    <w:uiPriority w:val="0"/>
    <w:qFormat/>
    <w:pPr>
      <w:spacing w:after="0" w:line="240" w:lineRule="auto"/>
    </w:pPr>
    <w:rPr>
      <w:rFonts w:ascii="Times New Roman" w:hAnsi="Times New Roman" w:eastAsia="宋体" w:cs="Times New Roman"/>
      <w:color w:val="404040"/>
    </w:rPr>
    <w:tblPr/>
  </w:style>
  <w:style w:type="table" w:styleId="945" w:customStyle="1">
    <w:name w:val="Bordered &amp; Lined - Accent 4"/>
    <w:uiPriority w:val="0"/>
    <w:qFormat/>
    <w:pPr>
      <w:spacing w:after="0" w:line="240" w:lineRule="auto"/>
    </w:pPr>
    <w:rPr>
      <w:rFonts w:ascii="Times New Roman" w:hAnsi="Times New Roman" w:eastAsia="宋体" w:cs="Times New Roman"/>
      <w:color w:val="404040"/>
    </w:rPr>
    <w:tblPr/>
  </w:style>
  <w:style w:type="table" w:styleId="946" w:customStyle="1">
    <w:name w:val="Bordered &amp; Lined - Accent 5"/>
    <w:uiPriority w:val="0"/>
    <w:qFormat/>
    <w:pPr>
      <w:spacing w:after="0" w:line="240" w:lineRule="auto"/>
    </w:pPr>
    <w:rPr>
      <w:rFonts w:ascii="Times New Roman" w:hAnsi="Times New Roman" w:eastAsia="宋体" w:cs="Times New Roman"/>
      <w:color w:val="404040"/>
    </w:rPr>
    <w:tblPr/>
  </w:style>
  <w:style w:type="table" w:styleId="947" w:customStyle="1">
    <w:name w:val="Bordered &amp; Lined - Accent 6"/>
    <w:uiPriority w:val="0"/>
    <w:qFormat/>
    <w:pPr>
      <w:spacing w:after="0" w:line="240" w:lineRule="auto"/>
    </w:pPr>
    <w:rPr>
      <w:rFonts w:ascii="Times New Roman" w:hAnsi="Times New Roman" w:eastAsia="宋体" w:cs="Times New Roman"/>
      <w:color w:val="404040"/>
    </w:rPr>
    <w:tblPr/>
  </w:style>
  <w:style w:type="table" w:styleId="948" w:customStyle="1">
    <w:name w:val="Bordered"/>
    <w:uiPriority w:val="0"/>
    <w:qFormat/>
    <w:pPr>
      <w:spacing w:after="0" w:line="240" w:lineRule="auto"/>
    </w:pPr>
    <w:rPr>
      <w:rFonts w:ascii="Times New Roman" w:hAnsi="Times New Roman" w:eastAsia="宋体" w:cs="Times New Roman"/>
    </w:rPr>
    <w:tblPr/>
  </w:style>
  <w:style w:type="table" w:styleId="949" w:customStyle="1">
    <w:name w:val="Bordered - Accent 1"/>
    <w:uiPriority w:val="0"/>
    <w:qFormat/>
    <w:pPr>
      <w:spacing w:after="0" w:line="240" w:lineRule="auto"/>
    </w:pPr>
    <w:rPr>
      <w:rFonts w:ascii="Times New Roman" w:hAnsi="Times New Roman" w:eastAsia="宋体" w:cs="Times New Roman"/>
    </w:rPr>
    <w:tblPr/>
  </w:style>
  <w:style w:type="table" w:styleId="950" w:customStyle="1">
    <w:name w:val="Bordered - Accent 2"/>
    <w:uiPriority w:val="0"/>
    <w:qFormat/>
    <w:pPr>
      <w:spacing w:after="0" w:line="240" w:lineRule="auto"/>
    </w:pPr>
    <w:rPr>
      <w:rFonts w:ascii="Times New Roman" w:hAnsi="Times New Roman" w:eastAsia="宋体" w:cs="Times New Roman"/>
    </w:rPr>
    <w:tblPr/>
  </w:style>
  <w:style w:type="table" w:styleId="951" w:customStyle="1">
    <w:name w:val="Bordered - Accent 3"/>
    <w:uiPriority w:val="0"/>
    <w:qFormat/>
    <w:pPr>
      <w:spacing w:after="0" w:line="240" w:lineRule="auto"/>
    </w:pPr>
    <w:rPr>
      <w:rFonts w:ascii="Times New Roman" w:hAnsi="Times New Roman" w:eastAsia="宋体" w:cs="Times New Roman"/>
    </w:rPr>
    <w:tblPr/>
  </w:style>
  <w:style w:type="table" w:styleId="952" w:customStyle="1">
    <w:name w:val="Bordered - Accent 4"/>
    <w:uiPriority w:val="0"/>
    <w:qFormat/>
    <w:pPr>
      <w:spacing w:after="0" w:line="240" w:lineRule="auto"/>
    </w:pPr>
    <w:rPr>
      <w:rFonts w:ascii="Times New Roman" w:hAnsi="Times New Roman" w:eastAsia="宋体" w:cs="Times New Roman"/>
    </w:rPr>
    <w:tblPr/>
  </w:style>
  <w:style w:type="table" w:styleId="953" w:customStyle="1">
    <w:name w:val="Bordered - Accent 5"/>
    <w:uiPriority w:val="0"/>
    <w:qFormat/>
    <w:pPr>
      <w:spacing w:after="0" w:line="240" w:lineRule="auto"/>
    </w:pPr>
    <w:rPr>
      <w:rFonts w:ascii="Times New Roman" w:hAnsi="Times New Roman" w:eastAsia="宋体" w:cs="Times New Roman"/>
    </w:rPr>
    <w:tblPr/>
  </w:style>
  <w:style w:type="table" w:styleId="954" w:customStyle="1">
    <w:name w:val="Bordered - Accent 6"/>
    <w:uiPriority w:val="0"/>
    <w:qFormat/>
    <w:pPr>
      <w:spacing w:after="0" w:line="240" w:lineRule="auto"/>
    </w:pPr>
    <w:rPr>
      <w:rFonts w:ascii="Times New Roman" w:hAnsi="Times New Roman" w:eastAsia="宋体" w:cs="Times New Roman"/>
    </w:rPr>
    <w:tblPr/>
  </w:style>
  <w:style w:type="paragraph" w:styleId="955" w:customStyle="1">
    <w:name w:val="TOC Heading_301c8106-5d0c-411c-8e62-f7aeabe5538c"/>
    <w:uiPriority w:val="0"/>
    <w:qFormat/>
    <w:rPr>
      <w:rFonts w:hint="default" w:ascii="Times New Roman" w:hAnsi="Times New Roman" w:eastAsia="宋体" w:cs="Times New Roman"/>
    </w:rPr>
  </w:style>
  <w:style w:type="paragraph" w:styleId="956" w:customStyle="1">
    <w:name w:val="标题 21"/>
    <w:basedOn w:val="716"/>
    <w:next w:val="957"/>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57" w:customStyle="1">
    <w:name w:val="正文缩进1"/>
    <w:basedOn w:val="716"/>
    <w:next w:val="716"/>
    <w:uiPriority w:val="0"/>
    <w:qFormat/>
    <w:pPr>
      <w:ind w:firstLine="420"/>
    </w:pPr>
    <w:rPr>
      <w:rFonts w:ascii="Times New Roman" w:hAnsi="Times New Roman" w:eastAsia="宋体" w:cs="Times New Roman"/>
      <w:szCs w:val="20"/>
    </w:rPr>
  </w:style>
  <w:style w:type="character" w:styleId="958" w:customStyle="1">
    <w:name w:val="默认段落字体1"/>
    <w:link w:val="716"/>
    <w:uiPriority w:val="0"/>
    <w:qFormat/>
    <w:rPr>
      <w:rFonts w:ascii="Times New Roman" w:hAnsi="Times New Roman" w:eastAsia="宋体" w:cs="Times New Roman"/>
    </w:rPr>
  </w:style>
  <w:style w:type="table" w:styleId="959" w:customStyle="1">
    <w:name w:val="普通表格1"/>
    <w:uiPriority w:val="0"/>
    <w:qFormat/>
    <w:rPr>
      <w:rFonts w:ascii="Times New Roman" w:hAnsi="Times New Roman" w:eastAsia="宋体" w:cs="Times New Roman"/>
    </w:rPr>
    <w:tblPr/>
  </w:style>
  <w:style w:type="character" w:styleId="960" w:customStyle="1">
    <w:name w:val="批注引用1"/>
    <w:basedOn w:val="958"/>
    <w:link w:val="716"/>
    <w:uiPriority w:val="0"/>
    <w:qFormat/>
    <w:rPr>
      <w:rFonts w:ascii="Times New Roman" w:hAnsi="Times New Roman" w:eastAsia="宋体" w:cs="Times New Roman"/>
      <w:sz w:val="21"/>
      <w:szCs w:val="21"/>
    </w:rPr>
  </w:style>
  <w:style w:type="character" w:styleId="961" w:customStyle="1">
    <w:name w:val="NormalCharacter1"/>
    <w:link w:val="716"/>
    <w:uiPriority w:val="0"/>
    <w:qFormat/>
    <w:rPr>
      <w:rFonts w:ascii="Calibri" w:hAnsi="Calibri" w:eastAsia="宋体" w:cs="Times New Roman"/>
      <w:sz w:val="21"/>
      <w:szCs w:val="24"/>
      <w:lang w:val="en-US" w:eastAsia="zh-CN" w:bidi="ar-SA"/>
    </w:rPr>
  </w:style>
  <w:style w:type="character" w:styleId="962" w:customStyle="1">
    <w:name w:val="页眉 Char"/>
    <w:basedOn w:val="958"/>
    <w:link w:val="963"/>
    <w:uiPriority w:val="0"/>
    <w:qFormat/>
    <w:rPr>
      <w:rFonts w:ascii="Calibri" w:hAnsi="Calibri" w:eastAsia="宋体" w:cs="Times New Roman"/>
      <w:sz w:val="18"/>
      <w:szCs w:val="18"/>
    </w:rPr>
  </w:style>
  <w:style w:type="paragraph" w:styleId="963" w:customStyle="1">
    <w:name w:val="页眉1"/>
    <w:basedOn w:val="716"/>
    <w:link w:val="9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4" w:customStyle="1">
    <w:name w:val="页脚 Char"/>
    <w:basedOn w:val="958"/>
    <w:link w:val="965"/>
    <w:uiPriority w:val="0"/>
    <w:qFormat/>
    <w:rPr>
      <w:rFonts w:ascii="Calibri" w:hAnsi="Calibri" w:eastAsia="宋体" w:cs="Times New Roman"/>
      <w:sz w:val="18"/>
      <w:szCs w:val="18"/>
    </w:rPr>
  </w:style>
  <w:style w:type="paragraph" w:styleId="965" w:customStyle="1">
    <w:name w:val="页脚11"/>
    <w:basedOn w:val="716"/>
    <w:link w:val="96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6" w:customStyle="1">
    <w:name w:val="font11"/>
    <w:basedOn w:val="958"/>
    <w:link w:val="716"/>
    <w:uiPriority w:val="0"/>
    <w:qFormat/>
    <w:rPr>
      <w:rFonts w:hint="eastAsia" w:ascii="微软雅黑" w:hAnsi="微软雅黑" w:eastAsia="微软雅黑" w:cs="微软雅黑"/>
      <w:color w:val="000000"/>
      <w:sz w:val="24"/>
      <w:szCs w:val="24"/>
      <w:u w:val="none"/>
    </w:rPr>
  </w:style>
  <w:style w:type="character" w:styleId="967" w:customStyle="1">
    <w:name w:val="font31"/>
    <w:basedOn w:val="958"/>
    <w:link w:val="716"/>
    <w:uiPriority w:val="0"/>
    <w:qFormat/>
    <w:rPr>
      <w:rFonts w:hint="eastAsia" w:ascii="宋体" w:hAnsi="宋体" w:eastAsia="宋体" w:cs="宋体"/>
      <w:color w:val="000000"/>
      <w:sz w:val="24"/>
      <w:szCs w:val="24"/>
      <w:u w:val="none"/>
    </w:rPr>
  </w:style>
  <w:style w:type="character" w:styleId="968" w:customStyle="1">
    <w:name w:val="custom-tag-placeholder-class"/>
    <w:basedOn w:val="958"/>
    <w:link w:val="716"/>
    <w:uiPriority w:val="0"/>
    <w:qFormat/>
    <w:rPr>
      <w:rFonts w:ascii="Times New Roman" w:hAnsi="Times New Roman" w:eastAsia="宋体" w:cs="Times New Roman"/>
    </w:rPr>
  </w:style>
  <w:style w:type="character" w:styleId="969" w:customStyle="1">
    <w:name w:val="font21"/>
    <w:basedOn w:val="958"/>
    <w:link w:val="716"/>
    <w:uiPriority w:val="0"/>
    <w:qFormat/>
    <w:rPr>
      <w:rFonts w:hint="eastAsia" w:ascii="宋体" w:hAnsi="宋体" w:eastAsia="宋体" w:cs="宋体"/>
      <w:color w:val="000000"/>
      <w:sz w:val="24"/>
      <w:szCs w:val="24"/>
      <w:u w:val="none"/>
    </w:rPr>
  </w:style>
  <w:style w:type="paragraph" w:styleId="970" w:customStyle="1">
    <w:name w:val="纯文本1"/>
    <w:basedOn w:val="716"/>
    <w:uiPriority w:val="0"/>
    <w:qFormat/>
    <w:rPr>
      <w:rFonts w:ascii="宋体" w:hAnsi="Courier New" w:eastAsia="宋体" w:cs="Courier New"/>
      <w:szCs w:val="21"/>
    </w:rPr>
  </w:style>
  <w:style w:type="paragraph" w:styleId="971" w:customStyle="1">
    <w:name w:val="批注文字1"/>
    <w:basedOn w:val="716"/>
    <w:uiPriority w:val="0"/>
    <w:qFormat/>
    <w:pPr>
      <w:jc w:val="left"/>
    </w:pPr>
    <w:rPr>
      <w:rFonts w:ascii="Times New Roman" w:hAnsi="Times New Roman" w:eastAsia="宋体" w:cs="Times New Roman"/>
    </w:rPr>
  </w:style>
  <w:style w:type="paragraph" w:styleId="972" w:customStyle="1">
    <w:name w:val="引文目录标题1"/>
    <w:basedOn w:val="716"/>
    <w:next w:val="716"/>
    <w:uiPriority w:val="0"/>
    <w:qFormat/>
    <w:pPr>
      <w:spacing w:before="120"/>
    </w:pPr>
    <w:rPr>
      <w:rFonts w:ascii="Cambria" w:hAnsi="Cambria" w:eastAsia="宋体" w:cs="Times New Roman"/>
      <w:sz w:val="24"/>
      <w:szCs w:val="21"/>
    </w:rPr>
  </w:style>
  <w:style w:type="paragraph" w:styleId="973" w:customStyle="1">
    <w:name w:val="正文首行缩进 2111"/>
    <w:basedOn w:val="754"/>
    <w:uiPriority w:val="0"/>
    <w:qFormat/>
    <w:pPr>
      <w:ind w:firstLine="420"/>
    </w:pPr>
    <w:rPr>
      <w:rFonts w:ascii="Times New Roman" w:hAnsi="Times New Roman" w:eastAsia="宋体" w:cs="Times New Roman"/>
      <w:sz w:val="20"/>
      <w:szCs w:val="20"/>
    </w:rPr>
  </w:style>
  <w:style w:type="paragraph" w:styleId="974" w:customStyle="1">
    <w:name w:val="正文文本1"/>
    <w:basedOn w:val="716"/>
    <w:uiPriority w:val="0"/>
    <w:qFormat/>
    <w:pPr>
      <w:spacing w:after="120"/>
    </w:pPr>
    <w:rPr>
      <w:rFonts w:ascii="Calibri" w:hAnsi="Calibri" w:eastAsia="宋体" w:cs="Times New Roman"/>
      <w:szCs w:val="22"/>
    </w:rPr>
  </w:style>
  <w:style w:type="paragraph" w:styleId="975" w:customStyle="1">
    <w:name w:val="正文首行缩进1"/>
    <w:basedOn w:val="974"/>
    <w:next w:val="973"/>
    <w:uiPriority w:val="0"/>
    <w:qFormat/>
    <w:pPr>
      <w:ind w:firstLine="200"/>
      <w:spacing w:line="360" w:lineRule="auto"/>
    </w:pPr>
    <w:rPr>
      <w:rFonts w:ascii="仿宋_GB2312" w:hAnsi="Times New Roman" w:eastAsia="仿宋_GB2312" w:cs="Times New Roman"/>
      <w:sz w:val="30"/>
      <w:szCs w:val="30"/>
    </w:rPr>
  </w:style>
  <w:style w:type="paragraph" w:styleId="976" w:customStyle="1">
    <w:name w:val="普通(网站)1"/>
    <w:basedOn w:val="716"/>
    <w:uiPriority w:val="0"/>
    <w:qFormat/>
    <w:pPr>
      <w:jc w:val="left"/>
      <w:spacing w:beforeAutospacing="1" w:afterAutospacing="1"/>
    </w:pPr>
    <w:rPr>
      <w:rFonts w:ascii="Times New Roman" w:hAnsi="Times New Roman" w:eastAsia="宋体" w:cs="Times New Roman"/>
      <w:sz w:val="24"/>
    </w:rPr>
  </w:style>
  <w:style w:type="paragraph" w:styleId="977" w:customStyle="1">
    <w:name w:val="正文首行缩进 21"/>
    <w:basedOn w:val="978"/>
    <w:uiPriority w:val="0"/>
    <w:qFormat/>
    <w:pPr>
      <w:ind w:firstLine="420"/>
    </w:pPr>
    <w:rPr>
      <w:rFonts w:ascii="Times New Roman" w:hAnsi="Times New Roman" w:eastAsia="宋体" w:cs="Times New Roman"/>
    </w:rPr>
  </w:style>
  <w:style w:type="paragraph" w:styleId="978" w:customStyle="1">
    <w:name w:val="正文文本缩进1"/>
    <w:basedOn w:val="716"/>
    <w:uiPriority w:val="0"/>
    <w:qFormat/>
    <w:pPr>
      <w:ind w:left="420"/>
      <w:spacing w:after="120"/>
    </w:pPr>
    <w:rPr>
      <w:rFonts w:ascii="Times New Roman" w:hAnsi="Times New Roman" w:eastAsia="宋体" w:cs="Times New Roman"/>
    </w:rPr>
  </w:style>
  <w:style w:type="paragraph" w:styleId="979" w:customStyle="1">
    <w:name w:val="页脚1"/>
    <w:basedOn w:val="71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80" w:customStyle="1">
    <w:name w:val="样式 标题 3 + (中文) 黑体 小四 非加粗 段前: 7.8 磅 段后: 0 磅 行距: 固定值 20 磅_0"/>
    <w:basedOn w:val="716"/>
    <w:uiPriority w:val="0"/>
    <w:qFormat/>
    <w:pPr>
      <w:keepLines/>
      <w:keepNext/>
      <w:spacing w:line="400" w:lineRule="exact"/>
      <w:outlineLvl w:val="2"/>
    </w:pPr>
    <w:rPr>
      <w:rFonts w:ascii="Times New Roman" w:hAnsi="Times New Roman" w:eastAsia="黑体" w:cs="宋体"/>
      <w:szCs w:val="21"/>
    </w:rPr>
  </w:style>
  <w:style w:type="paragraph" w:styleId="981" w:customStyle="1">
    <w:name w:val="段"/>
    <w:next w:val="71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82" w:customStyle="1">
    <w:name w:val="普通正文"/>
    <w:basedOn w:val="716"/>
    <w:uiPriority w:val="0"/>
    <w:qFormat/>
    <w:pPr>
      <w:ind w:firstLine="480"/>
      <w:jc w:val="left"/>
      <w:spacing w:before="120" w:after="120" w:line="360" w:lineRule="auto"/>
    </w:pPr>
    <w:rPr>
      <w:rFonts w:ascii="Arial" w:hAnsi="Arial" w:eastAsia="等线" w:cs="Arial"/>
      <w:sz w:val="24"/>
    </w:rPr>
  </w:style>
  <w:style w:type="paragraph" w:styleId="983" w:customStyle="1">
    <w:name w:val="正文首行缩进 211"/>
    <w:basedOn w:val="984"/>
    <w:next w:val="980"/>
    <w:uiPriority w:val="0"/>
    <w:qFormat/>
    <w:pPr>
      <w:ind w:left="420" w:firstLine="420"/>
      <w:spacing w:after="120"/>
    </w:pPr>
    <w:rPr>
      <w:rFonts w:ascii="Times New Roman" w:hAnsi="Times New Roman" w:eastAsia="宋体" w:cs="Times New Roman"/>
      <w:sz w:val="21"/>
      <w:szCs w:val="24"/>
    </w:rPr>
  </w:style>
  <w:style w:type="paragraph" w:styleId="984" w:customStyle="1">
    <w:name w:val="正文文本缩进11"/>
    <w:basedOn w:val="716"/>
    <w:next w:val="985"/>
    <w:uiPriority w:val="0"/>
    <w:qFormat/>
    <w:pPr>
      <w:ind w:left="-105" w:firstLine="232"/>
    </w:pPr>
    <w:rPr>
      <w:rFonts w:ascii="Times New Roman" w:hAnsi="Times New Roman" w:eastAsia="仿宋_GB2312" w:cs="Times New Roman"/>
      <w:sz w:val="32"/>
      <w:szCs w:val="32"/>
    </w:rPr>
  </w:style>
  <w:style w:type="paragraph" w:styleId="985" w:customStyle="1">
    <w:name w:val="寄信人地址11"/>
    <w:basedOn w:val="716"/>
    <w:uiPriority w:val="0"/>
    <w:qFormat/>
    <w:rPr>
      <w:rFonts w:ascii="Arial" w:hAnsi="Arial" w:eastAsia="宋体" w:cs="Arial"/>
    </w:rPr>
  </w:style>
  <w:style w:type="paragraph" w:styleId="986" w:customStyle="1">
    <w:name w:val="Default"/>
    <w:basedOn w:val="716"/>
    <w:uiPriority w:val="0"/>
    <w:qFormat/>
    <w:pPr>
      <w:jc w:val="left"/>
    </w:pPr>
    <w:rPr>
      <w:rFonts w:ascii="宋体" w:hAnsi="Calibri" w:eastAsia="宋体" w:cs="宋体"/>
      <w:color w:val="000000"/>
      <w:sz w:val="24"/>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8" w:customStyle="1">
    <w:name w:val="一级条标题"/>
    <w:basedOn w:val="989"/>
    <w:next w:val="981"/>
    <w:uiPriority w:val="0"/>
    <w:qFormat/>
    <w:pPr>
      <w:ind w:left="907" w:hanging="907"/>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89"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0" w:customStyle="1">
    <w:name w:val="Table Text"/>
    <w:basedOn w:val="716"/>
    <w:uiPriority w:val="0"/>
    <w:qFormat/>
    <w:rPr>
      <w:rFonts w:ascii="宋体" w:hAnsi="宋体" w:eastAsia="宋体" w:cs="宋体"/>
      <w:sz w:val="24"/>
      <w:szCs w:val="24"/>
    </w:rPr>
  </w:style>
  <w:style w:type="table" w:styleId="991" w:customStyle="1">
    <w:name w:val="网格型1"/>
    <w:basedOn w:val="959"/>
    <w:uiPriority w:val="0"/>
    <w:qFormat/>
    <w:pPr>
      <w:jc w:val="both"/>
      <w:widowControl w:val="off"/>
    </w:pPr>
    <w:rPr>
      <w:rFonts w:ascii="Times New Roman" w:hAnsi="Times New Roman" w:eastAsia="宋体" w:cs="Times New Roman"/>
    </w:rPr>
    <w:tblPr/>
  </w:style>
  <w:style w:type="character" w:styleId="992" w:customStyle="1">
    <w:name w:val="font51"/>
    <w:basedOn w:val="782"/>
    <w:link w:val="716"/>
    <w:uiPriority w:val="0"/>
    <w:qFormat/>
    <w:rPr>
      <w:rFonts w:ascii="方正仿宋_GBK" w:hAnsi="方正仿宋_GBK" w:eastAsia="方正仿宋_GBK" w:cs="方正仿宋_GBK"/>
      <w:color w:val="000000"/>
      <w:sz w:val="32"/>
      <w:szCs w:val="32"/>
      <w:u w:val="none"/>
    </w:rPr>
  </w:style>
  <w:style w:type="paragraph" w:styleId="993" w:customStyle="1">
    <w:name w:val="正文首行缩进11"/>
    <w:basedOn w:val="994"/>
    <w:next w:val="716"/>
    <w:uiPriority w:val="0"/>
    <w:qFormat/>
    <w:pPr>
      <w:ind w:firstLine="420"/>
    </w:pPr>
    <w:rPr>
      <w:rFonts w:ascii="Times New Roman" w:hAnsi="Times New Roman" w:eastAsia="宋体" w:cs="Times New Roman"/>
    </w:rPr>
  </w:style>
  <w:style w:type="paragraph" w:styleId="994" w:customStyle="1">
    <w:name w:val="正文文本11"/>
    <w:basedOn w:val="716"/>
    <w:next w:val="716"/>
    <w:uiPriority w:val="0"/>
    <w:qFormat/>
    <w:rPr>
      <w:rFonts w:ascii="楷体_GB2312" w:hAnsi="Arial" w:eastAsia="楷体_GB2312" w:cs="Times New Roman"/>
      <w:sz w:val="28"/>
      <w:szCs w:val="28"/>
      <w:lang w:eastAsia="en-US"/>
    </w:rPr>
  </w:style>
  <w:style w:type="character" w:styleId="995" w:customStyle="1">
    <w:name w:val="font71"/>
    <w:basedOn w:val="782"/>
    <w:link w:val="716"/>
    <w:uiPriority w:val="0"/>
    <w:qFormat/>
    <w:rPr>
      <w:rFonts w:ascii="方正仿宋_GBK" w:hAnsi="方正仿宋_GBK" w:eastAsia="方正仿宋_GBK" w:cs="方正仿宋_GBK"/>
      <w:b/>
      <w:bCs/>
      <w:color w:val="000000"/>
      <w:sz w:val="22"/>
      <w:szCs w:val="22"/>
      <w:u w:val="none"/>
    </w:rPr>
  </w:style>
  <w:style w:type="character" w:styleId="996" w:customStyle="1">
    <w:name w:val="font61"/>
    <w:basedOn w:val="782"/>
    <w:link w:val="716"/>
    <w:uiPriority w:val="0"/>
    <w:qFormat/>
    <w:rPr>
      <w:rFonts w:ascii="Times New Roman" w:hAnsi="Times New Roman" w:eastAsia="宋体" w:cs="Times New Roman"/>
      <w:b/>
      <w:bCs/>
      <w:color w:val="000000"/>
      <w:sz w:val="22"/>
      <w:szCs w:val="22"/>
      <w:u w:val="none"/>
    </w:rPr>
  </w:style>
  <w:style w:type="character" w:styleId="997" w:customStyle="1">
    <w:name w:val="font91"/>
    <w:basedOn w:val="782"/>
    <w:link w:val="716"/>
    <w:uiPriority w:val="0"/>
    <w:qFormat/>
    <w:rPr>
      <w:rFonts w:ascii="Times New Roman" w:hAnsi="Times New Roman" w:eastAsia="宋体" w:cs="Times New Roman"/>
      <w:b/>
      <w:bCs/>
      <w:color w:val="000000"/>
      <w:sz w:val="20"/>
      <w:szCs w:val="20"/>
      <w:u w:val="none"/>
    </w:rPr>
  </w:style>
  <w:style w:type="character" w:styleId="998" w:customStyle="1">
    <w:name w:val="font101"/>
    <w:basedOn w:val="782"/>
    <w:link w:val="716"/>
    <w:uiPriority w:val="0"/>
    <w:qFormat/>
    <w:rPr>
      <w:rFonts w:hint="eastAsia" w:ascii="宋体" w:hAnsi="宋体" w:eastAsia="宋体" w:cs="宋体"/>
      <w:b/>
      <w:bCs/>
      <w:color w:val="000000"/>
      <w:sz w:val="20"/>
      <w:szCs w:val="20"/>
      <w:u w:val="none"/>
    </w:rPr>
  </w:style>
  <w:style w:type="character" w:styleId="999" w:customStyle="1">
    <w:name w:val="font131"/>
    <w:basedOn w:val="782"/>
    <w:link w:val="716"/>
    <w:uiPriority w:val="0"/>
    <w:qFormat/>
    <w:rPr>
      <w:rFonts w:ascii="方正书宋_GBK" w:hAnsi="方正书宋_GBK" w:eastAsia="方正书宋_GBK" w:cs="方正书宋_GBK"/>
      <w:b/>
      <w:bCs/>
      <w:color w:val="000000"/>
      <w:sz w:val="20"/>
      <w:szCs w:val="20"/>
      <w:u w:val="none"/>
    </w:rPr>
  </w:style>
  <w:style w:type="character" w:styleId="1000" w:customStyle="1">
    <w:name w:val="font111"/>
    <w:basedOn w:val="782"/>
    <w:link w:val="716"/>
    <w:uiPriority w:val="0"/>
    <w:qFormat/>
    <w:rPr>
      <w:rFonts w:ascii="方正仿宋_GBK" w:hAnsi="方正仿宋_GBK" w:eastAsia="方正仿宋_GBK" w:cs="方正仿宋_GBK"/>
      <w:b/>
      <w:bCs/>
      <w:color w:val="000000"/>
      <w:sz w:val="20"/>
      <w:szCs w:val="20"/>
      <w:u w:val="none"/>
    </w:rPr>
  </w:style>
  <w:style w:type="character" w:styleId="1001" w:customStyle="1">
    <w:name w:val="font122"/>
    <w:basedOn w:val="782"/>
    <w:link w:val="716"/>
    <w:uiPriority w:val="0"/>
    <w:qFormat/>
    <w:rPr>
      <w:rFonts w:ascii="Times New Roman" w:hAnsi="Times New Roman" w:eastAsia="宋体" w:cs="Times New Roman"/>
      <w:b/>
      <w:bCs/>
      <w:color w:val="000000"/>
      <w:sz w:val="20"/>
      <w:szCs w:val="20"/>
      <w:u w:val="none"/>
    </w:rPr>
  </w:style>
  <w:style w:type="character" w:styleId="1002" w:customStyle="1">
    <w:name w:val="font161"/>
    <w:basedOn w:val="782"/>
    <w:link w:val="716"/>
    <w:uiPriority w:val="0"/>
    <w:qFormat/>
    <w:rPr>
      <w:rFonts w:ascii="方正仿宋_GBK" w:hAnsi="方正仿宋_GBK" w:eastAsia="方正仿宋_GBK" w:cs="方正仿宋_GBK"/>
      <w:b/>
      <w:bCs/>
      <w:color w:val="000000"/>
      <w:sz w:val="20"/>
      <w:szCs w:val="20"/>
      <w:u w:val="none"/>
    </w:rPr>
  </w:style>
  <w:style w:type="paragraph" w:styleId="1003" w:customStyle="1">
    <w:name w:val="列出段落1"/>
    <w:basedOn w:val="716"/>
    <w:uiPriority w:val="0"/>
    <w:qFormat/>
    <w:pPr>
      <w:contextualSpacing/>
      <w:ind w:left="720"/>
      <w:jc w:val="left"/>
      <w:widowControl/>
    </w:pPr>
    <w:rPr>
      <w:sz w:val="24"/>
      <w:szCs w:val="24"/>
      <w:lang w:eastAsia="en-US" w:bidi="en-US"/>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dc:creator>
  <cp:lastModifiedBy>周鹏</cp:lastModifiedBy>
  <cp:revision>16</cp:revision>
  <dcterms:created xsi:type="dcterms:W3CDTF">2025-12-18T07:48:00Z</dcterms:created>
  <dcterms:modified xsi:type="dcterms:W3CDTF">2026-06-05T06:13:18Z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eyJoZGlkIjoiMTllMzBiZTYyYTQ5ODVmZWE4MzI5ZDNkOGMwYTkzMDIiLCJ1c2VySWQiOiI2MTgwODI0MjQifQ==</vt:lpwstr>
  </property>
  <property fmtid="{D5CDD505-2E9C-101B-9397-08002B2CF9AE}" pid="3" name="KSOProductBuildVer">
    <vt:lpwstr>2052-12.1.0.26375</vt:lpwstr>
  </property>
  <property fmtid="{D5CDD505-2E9C-101B-9397-08002B2CF9AE}" pid="4" name="ICV">
    <vt:lpwstr>B8C81A4300D34172A9BE107AC3EA1651_13</vt:lpwstr>
  </property>
</Properties>
</file>