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w:t>
      </w:r>
      <w:r>
        <w:rPr>
          <w:rFonts w:hint="eastAsia" w:ascii="Arial" w:hAnsi="Arial" w:eastAsia="黑体"/>
          <w:b/>
          <w:bCs/>
          <w:sz w:val="84"/>
          <w:szCs w:val="24"/>
        </w:rPr>
        <w:t xml:space="preserve"> </w:t>
      </w:r>
      <w:r>
        <w:rPr>
          <w:rFonts w:hint="eastAsia" w:ascii="Arial" w:hAnsi="Arial" w:eastAsia="黑体"/>
          <w:b/>
          <w:bCs/>
          <w:sz w:val="84"/>
          <w:szCs w:val="24"/>
        </w:rPr>
        <w:t xml:space="preserve">开</w:t>
      </w:r>
      <w:r>
        <w:rPr>
          <w:rFonts w:hint="eastAsia" w:ascii="Arial" w:hAnsi="Arial" w:eastAsia="黑体"/>
          <w:b/>
          <w:bCs/>
          <w:sz w:val="84"/>
          <w:szCs w:val="24"/>
        </w:rPr>
        <w:t xml:space="preserve"> </w:t>
      </w:r>
      <w:r>
        <w:rPr>
          <w:rFonts w:hint="eastAsia" w:ascii="Arial" w:hAnsi="Arial" w:eastAsia="黑体"/>
          <w:b/>
          <w:bCs/>
          <w:sz w:val="84"/>
          <w:szCs w:val="24"/>
        </w:rPr>
        <w:t xml:space="preserve">招</w:t>
      </w:r>
      <w:r>
        <w:rPr>
          <w:rFonts w:hint="eastAsia" w:ascii="Arial" w:hAnsi="Arial" w:eastAsia="黑体"/>
          <w:b/>
          <w:bCs/>
          <w:sz w:val="84"/>
          <w:szCs w:val="24"/>
        </w:rPr>
        <w:t xml:space="preserve"> </w:t>
      </w:r>
      <w:r>
        <w:rPr>
          <w:rFonts w:hint="eastAsia" w:ascii="Arial" w:hAnsi="Arial" w:eastAsia="黑体"/>
          <w:b/>
          <w:bCs/>
          <w:sz w:val="84"/>
          <w:szCs w:val="24"/>
        </w:rPr>
        <w:t xml:space="preserve">标</w:t>
      </w:r>
      <w:r>
        <w:rPr>
          <w:rFonts w:hint="eastAsia" w:ascii="Arial" w:hAnsi="Arial" w:eastAsia="黑体"/>
          <w:b/>
          <w:bCs/>
          <w:sz w:val="84"/>
          <w:szCs w:val="24"/>
        </w:rPr>
        <w:t xml:space="preserve"> </w:t>
      </w:r>
      <w:r>
        <w:rPr>
          <w:rFonts w:hint="eastAsia" w:ascii="Arial" w:hAnsi="Arial" w:eastAsia="黑体"/>
          <w:b/>
          <w:bCs/>
          <w:sz w:val="84"/>
          <w:szCs w:val="24"/>
        </w:rPr>
        <w:t xml:space="preserve">文</w:t>
      </w:r>
      <w:r>
        <w:rPr>
          <w:rFonts w:hint="eastAsia" w:ascii="Arial" w:hAnsi="Arial" w:eastAsia="黑体"/>
          <w:b/>
          <w:bCs/>
          <w:sz w:val="84"/>
          <w:szCs w:val="24"/>
        </w:rPr>
        <w:t xml:space="preserve"> </w:t>
      </w:r>
      <w:r>
        <w:rPr>
          <w:rFonts w:hint="eastAsia" w:ascii="Arial" w:hAnsi="Arial" w:eastAsia="黑体"/>
          <w:b/>
          <w:bCs/>
          <w:sz w:val="84"/>
          <w:szCs w:val="24"/>
        </w:rPr>
        <w:t xml:space="preserve">件</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p>
    <w:p>
      <w:pPr>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bookmarkStart w:id="1" w:name="_Hlk227070485"/>
      <w:r>
        <w:rPr>
          <w:rFonts w:hint="eastAsia" w:ascii="Arial" w:hAnsi="Arial"/>
          <w:b/>
          <w:bCs/>
          <w:sz w:val="32"/>
          <w:szCs w:val="24"/>
        </w:rPr>
        <w:t xml:space="preserve"> </w:t>
      </w:r>
      <w:bookmarkStart w:id="2" w:name="_Hlk227054334"/>
      <w:r/>
      <w:bookmarkEnd w:id="0"/>
      <w:r>
        <w:rPr>
          <w:rFonts w:hint="eastAsia" w:ascii="宋体" w:hAnsi="宋体"/>
          <w:b/>
          <w:bCs/>
          <w:sz w:val="32"/>
          <w:szCs w:val="24"/>
        </w:rPr>
        <w:t xml:space="preserve">2026年重点工业产品质量安全隐患风险动态监测技术服务</w:t>
      </w:r>
      <w:bookmarkEnd w:id="1"/>
      <w:r/>
      <w:bookmarkEnd w:id="2"/>
      <w:r>
        <w:rPr>
          <w:rFonts w:hint="eastAsia" w:ascii="宋体" w:hAnsi="宋体"/>
          <w:b/>
          <w:bCs/>
          <w:sz w:val="32"/>
          <w:szCs w:val="24"/>
        </w:rPr>
        <w:t xml:space="preserve">（二次）</w:t>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JSZC-320000-NJXY-G2026-0021</w:t>
      </w:r>
      <w:r>
        <w:rPr>
          <w:rFonts w:ascii="Arial" w:hAnsi="Arial"/>
          <w:b/>
          <w:bCs/>
          <w:sz w:val="32"/>
          <w:szCs w:val="24"/>
        </w:rPr>
        <w:t xml:space="preserve"> </w:t>
      </w:r>
      <w:r/>
    </w:p>
    <w:p>
      <w:pPr>
        <w:spacing w:after="0" w:line="360" w:lineRule="auto"/>
        <w:widowControl w:val="off"/>
        <w:rPr>
          <w:rFonts w:ascii="宋体" w:hAnsi="Arial"/>
          <w:sz w:val="24"/>
          <w:szCs w:val="24"/>
        </w:rPr>
      </w:pPr>
      <w:r>
        <w:rPr>
          <w:rFonts w:hint="eastAsia" w:ascii="宋体" w:hAnsi="Arial"/>
          <w:sz w:val="24"/>
          <w:szCs w:val="24"/>
        </w:rPr>
        <w:t xml:space="preserve">                            </w:t>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06</w:t>
      </w:r>
      <w:r>
        <w:rPr>
          <w:rFonts w:hint="eastAsia" w:ascii="Arial" w:hAnsi="Arial"/>
          <w:b/>
          <w:bCs/>
          <w:sz w:val="32"/>
          <w:szCs w:val="24"/>
        </w:rPr>
        <w:t xml:space="preserve">月</w:t>
      </w:r>
      <w:r/>
    </w:p>
    <w:p>
      <w:pPr>
        <w:jc w:val="center"/>
        <w:spacing w:before="120" w:after="120" w:line="360" w:lineRule="auto"/>
        <w:widowControl w:val="off"/>
        <w:rPr>
          <w:rFonts w:ascii="Arial" w:hAnsi="Arial"/>
          <w:b/>
          <w:bCs/>
          <w:sz w:val="32"/>
          <w:szCs w:val="24"/>
        </w:rPr>
      </w:pPr>
      <w:r>
        <w:rPr>
          <w:rFonts w:ascii="Arial" w:hAnsi="Arial"/>
          <w:b/>
          <w:bCs/>
          <w:sz w:val="32"/>
          <w:szCs w:val="24"/>
        </w:rPr>
      </w:r>
      <w:r/>
    </w:p>
    <w:p>
      <w:pPr>
        <w:jc w:val="center"/>
        <w:spacing w:after="0" w:line="240" w:lineRule="auto"/>
        <w:widowControl w:val="off"/>
        <w:rPr>
          <w:b/>
          <w:sz w:val="32"/>
          <w:szCs w:val="32"/>
        </w:rPr>
      </w:pPr>
      <w:r/>
      <w:bookmarkStart w:id="3" w:name="_Toc17291076"/>
      <w:r/>
      <w:bookmarkStart w:id="4" w:name="_Toc120614210"/>
      <w:r/>
      <w:bookmarkStart w:id="5" w:name="_Toc523127445"/>
      <w:r/>
      <w:bookmarkStart w:id="6" w:name="_Toc20823272"/>
      <w:r/>
      <w:bookmarkStart w:id="7" w:name="_Toc479757206"/>
      <w:r/>
      <w:bookmarkStart w:id="8" w:name="_Toc16938516"/>
      <w:r/>
      <w:bookmarkStart w:id="9" w:name="_Toc513029200"/>
      <w:r>
        <w:rPr>
          <w:rFonts w:hint="eastAsia"/>
          <w:b/>
          <w:sz w:val="32"/>
          <w:szCs w:val="32"/>
        </w:rPr>
        <w:t xml:space="preserve">目</w:t>
      </w:r>
      <w:r>
        <w:rPr>
          <w:rFonts w:hint="eastAsia"/>
          <w:b/>
          <w:sz w:val="32"/>
          <w:szCs w:val="32"/>
        </w:rPr>
        <w:t xml:space="preserve">  </w:t>
      </w:r>
      <w:r>
        <w:rPr>
          <w:rFonts w:hint="eastAsia"/>
          <w:b/>
          <w:sz w:val="32"/>
          <w:szCs w:val="32"/>
        </w:rPr>
        <w:t xml:space="preserve">录</w:t>
      </w:r>
      <w:bookmarkEnd w:id="3"/>
      <w:r/>
      <w:r/>
    </w:p>
    <w:p>
      <w:pPr>
        <w:pStyle w:val="1073"/>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hyperlink w:tooltip="#_Toc192946451" w:anchor="_Toc192946451" w:history="1">
        <w:r>
          <w:rPr>
            <w:rStyle w:val="758"/>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_Toc192946451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1073"/>
        <w:rPr>
          <w:rFonts w:hint="eastAsia" w:ascii="等线" w:hAnsi="等线" w:eastAsia="等线"/>
          <w:caps w:val="0"/>
          <w:sz w:val="22"/>
          <w:szCs w:val="24"/>
        </w:rPr>
      </w:pPr>
      <w:r/>
      <w:hyperlink w:tooltip="#_Toc192946452" w:anchor="_Toc192946452" w:history="1">
        <w:r>
          <w:rPr>
            <w:rStyle w:val="758"/>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_Toc192946452 \h</w:instrText>
        </w:r>
        <w:r>
          <w:rPr>
            <w:rFonts w:hint="eastAsia"/>
          </w:rPr>
          <w:instrText xml:space="preserve"> </w:instrText>
        </w:r>
        <w:r>
          <w:rPr>
            <w:rFonts w:hint="eastAsia"/>
          </w:rPr>
        </w:r>
        <w:r>
          <w:rPr>
            <w:rFonts w:hint="eastAsia"/>
          </w:rPr>
          <w:fldChar w:fldCharType="separate"/>
        </w:r>
        <w:r>
          <w:rPr>
            <w:rFonts w:hint="eastAsia"/>
          </w:rPr>
          <w:t xml:space="preserve">12</w:t>
        </w:r>
        <w:r>
          <w:rPr>
            <w:rFonts w:hint="eastAsia"/>
          </w:rPr>
          <w:fldChar w:fldCharType="end"/>
        </w:r>
      </w:hyperlink>
      <w:r/>
      <w:r/>
    </w:p>
    <w:p>
      <w:pPr>
        <w:pStyle w:val="1073"/>
        <w:rPr>
          <w:rFonts w:hint="eastAsia" w:ascii="等线" w:hAnsi="等线" w:eastAsia="等线"/>
          <w:caps w:val="0"/>
          <w:sz w:val="22"/>
          <w:szCs w:val="24"/>
        </w:rPr>
      </w:pPr>
      <w:r/>
      <w:hyperlink w:tooltip="#_Toc192946453" w:anchor="_Toc192946453" w:history="1">
        <w:r>
          <w:rPr>
            <w:rStyle w:val="758"/>
            <w:rFonts w:hint="eastAsia" w:ascii="黑体" w:hAnsi="楷体_GB2312" w:eastAsia="黑体"/>
          </w:rPr>
          <w:t xml:space="preserve">第三章  合同条款及格式</w:t>
        </w:r>
        <w:bookmarkStart w:id="10" w:name="_Hlt227070423"/>
        <w:bookmarkStart w:id="11" w:name="_Hlt227070424"/>
        <w:bookmarkStart w:id="12" w:name="_Hlt227070448"/>
        <w:r>
          <w:rPr>
            <w:rFonts w:hint="eastAsia"/>
          </w:rPr>
          <w:tab/>
        </w:r>
        <w:bookmarkEnd w:id="10"/>
        <w:bookmarkEnd w:id="11"/>
        <w:bookmarkEnd w:id="12"/>
        <w:r>
          <w:rPr>
            <w:rFonts w:hint="eastAsia"/>
          </w:rPr>
          <w:fldChar w:fldCharType="begin"/>
        </w:r>
        <w:r>
          <w:rPr>
            <w:rFonts w:hint="eastAsia"/>
          </w:rPr>
          <w:instrText xml:space="preserve"> </w:instrText>
        </w:r>
        <w:r>
          <w:instrText xml:space="preserve">PAGEREF _Toc192946453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1073"/>
        <w:rPr>
          <w:rFonts w:hint="eastAsia" w:ascii="等线" w:hAnsi="等线" w:eastAsia="等线"/>
          <w:caps w:val="0"/>
          <w:sz w:val="22"/>
          <w:szCs w:val="24"/>
        </w:rPr>
      </w:pPr>
      <w:r/>
      <w:hyperlink w:tooltip="#_Toc192946454" w:anchor="_Toc192946454" w:history="1">
        <w:r>
          <w:rPr>
            <w:rStyle w:val="758"/>
            <w:rFonts w:hint="eastAsia" w:ascii="黑体" w:hAnsi="楷体_GB2312" w:eastAsia="黑体"/>
          </w:rPr>
          <w:t xml:space="preserve">第四章  项目需求（服务类）</w:t>
        </w:r>
        <w:r>
          <w:rPr>
            <w:rFonts w:hint="eastAsia"/>
          </w:rPr>
          <w:tab/>
        </w:r>
        <w:bookmarkStart w:id="13" w:name="_Hlt225931902"/>
        <w:bookmarkStart w:id="14" w:name="_Hlt225931901"/>
        <w:r>
          <w:rPr>
            <w:rFonts w:hint="eastAsia"/>
          </w:rPr>
          <w:fldChar w:fldCharType="begin"/>
        </w:r>
        <w:r>
          <w:rPr>
            <w:rFonts w:hint="eastAsia"/>
          </w:rPr>
          <w:instrText xml:space="preserve"> </w:instrText>
        </w:r>
        <w:r>
          <w:instrText xml:space="preserve">PAGEREF _Toc192946454 \h</w:instrText>
        </w:r>
        <w:r>
          <w:rPr>
            <w:rFonts w:hint="eastAsia"/>
          </w:rPr>
          <w:instrText xml:space="preserve"> </w:instrText>
        </w:r>
        <w:r>
          <w:rPr>
            <w:rFonts w:hint="eastAsia"/>
          </w:rPr>
        </w:r>
        <w:r>
          <w:rPr>
            <w:rFonts w:hint="eastAsia"/>
          </w:rPr>
          <w:fldChar w:fldCharType="separate"/>
        </w:r>
        <w:r>
          <w:rPr>
            <w:rFonts w:hint="eastAsia"/>
          </w:rPr>
          <w:t xml:space="preserve">37</w:t>
        </w:r>
        <w:r>
          <w:rPr>
            <w:rFonts w:hint="eastAsia"/>
          </w:rPr>
          <w:fldChar w:fldCharType="end"/>
        </w:r>
        <w:bookmarkEnd w:id="13"/>
        <w:bookmarkEnd w:id="14"/>
      </w:hyperlink>
      <w:r/>
      <w:r/>
    </w:p>
    <w:p>
      <w:pPr>
        <w:pStyle w:val="1073"/>
        <w:rPr>
          <w:rFonts w:hint="eastAsia" w:ascii="等线" w:hAnsi="等线" w:eastAsia="等线"/>
          <w:smallCaps/>
          <w:sz w:val="22"/>
        </w:rPr>
      </w:pPr>
      <w:r/>
      <w:hyperlink w:tooltip="#_Toc192946455" w:anchor="_Toc192946455" w:history="1">
        <w:r>
          <w:rPr>
            <w:rStyle w:val="758"/>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_Toc192946455 \h</w:instrText>
        </w:r>
        <w:r>
          <w:rPr>
            <w:rFonts w:hint="eastAsia"/>
          </w:rPr>
          <w:instrText xml:space="preserve"> </w:instrText>
        </w:r>
        <w:r>
          <w:rPr>
            <w:rFonts w:hint="eastAsia"/>
          </w:rPr>
        </w:r>
        <w:r>
          <w:rPr>
            <w:rFonts w:hint="eastAsia"/>
          </w:rPr>
          <w:fldChar w:fldCharType="separate"/>
        </w:r>
        <w:r>
          <w:rPr>
            <w:rFonts w:hint="eastAsia"/>
          </w:rPr>
          <w:t xml:space="preserve">73</w:t>
        </w:r>
        <w:r>
          <w:rPr>
            <w:rFonts w:hint="eastAsia"/>
          </w:rPr>
          <w:fldChar w:fldCharType="end"/>
        </w:r>
      </w:hyperlink>
      <w:r/>
      <w:r/>
    </w:p>
    <w:p>
      <w:pPr>
        <w:pStyle w:val="1073"/>
        <w:rPr>
          <w:rFonts w:hint="eastAsia" w:ascii="等线" w:hAnsi="等线" w:eastAsia="等线"/>
          <w:caps w:val="0"/>
          <w:sz w:val="22"/>
          <w:szCs w:val="24"/>
        </w:rPr>
      </w:pPr>
      <w:r/>
      <w:hyperlink w:tooltip="#_Toc192946475" w:anchor="_Toc192946475" w:history="1">
        <w:r>
          <w:rPr>
            <w:rStyle w:val="758"/>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_Toc192946475 \h</w:instrText>
        </w:r>
        <w:r>
          <w:rPr>
            <w:rFonts w:hint="eastAsia"/>
          </w:rPr>
          <w:instrText xml:space="preserve"> </w:instrText>
        </w:r>
        <w:r>
          <w:rPr>
            <w:rFonts w:hint="eastAsia"/>
          </w:rPr>
        </w:r>
        <w:r>
          <w:rPr>
            <w:rFonts w:hint="eastAsia"/>
          </w:rPr>
          <w:fldChar w:fldCharType="separate"/>
        </w:r>
        <w:r>
          <w:rPr>
            <w:rFonts w:hint="eastAsia"/>
          </w:rPr>
          <w:t xml:space="preserve">79</w:t>
        </w:r>
        <w:r>
          <w:rPr>
            <w:rFonts w:hint="eastAsia"/>
          </w:rPr>
          <w:fldChar w:fldCharType="end"/>
        </w:r>
      </w:hyperlink>
      <w:r/>
      <w:r/>
    </w:p>
    <w:p>
      <w:r>
        <w:rPr>
          <w:b/>
          <w:bCs/>
          <w:lang w:val="zh-CN"/>
        </w:rPr>
        <w:fldChar w:fldCharType="end"/>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743"/>
        <w:jc w:val="center"/>
        <w:keepLines w:val="0"/>
        <w:spacing w:before="0" w:line="240" w:lineRule="auto"/>
        <w:widowControl w:val="off"/>
        <w:rPr>
          <w:rFonts w:hint="eastAsia" w:ascii="黑体" w:hAnsi="楷体_GB2312" w:eastAsia="黑体"/>
          <w:b w:val="0"/>
          <w:bCs w:val="0"/>
          <w:color w:val="auto"/>
          <w:sz w:val="44"/>
          <w:szCs w:val="44"/>
        </w:rPr>
      </w:pPr>
      <w:r/>
      <w:bookmarkStart w:id="15" w:name="_Toc192946451"/>
      <w:r/>
      <w:bookmarkStart w:id="16" w:name="_Toc17291077"/>
      <w:r/>
      <w:bookmarkStart w:id="17" w:name="_Toc17291673"/>
      <w:r>
        <w:rPr>
          <w:rFonts w:hint="eastAsia" w:ascii="黑体" w:hAnsi="楷体_GB2312" w:eastAsia="黑体"/>
          <w:b w:val="0"/>
          <w:bCs w:val="0"/>
          <w:color w:val="auto"/>
          <w:sz w:val="44"/>
          <w:szCs w:val="44"/>
        </w:rPr>
        <w:t xml:space="preserve">第一章  </w:t>
      </w:r>
      <w:bookmarkEnd w:id="4"/>
      <w:r>
        <w:rPr>
          <w:rFonts w:hint="eastAsia" w:ascii="黑体" w:hAnsi="楷体_GB2312" w:eastAsia="黑体"/>
          <w:b w:val="0"/>
          <w:bCs w:val="0"/>
          <w:color w:val="auto"/>
          <w:sz w:val="44"/>
          <w:szCs w:val="44"/>
        </w:rPr>
        <w:t xml:space="preserve">投标邀请</w:t>
      </w:r>
      <w:bookmarkEnd w:id="15"/>
      <w:r/>
      <w:bookmarkEnd w:id="16"/>
      <w:r/>
      <w:bookmarkEnd w:id="17"/>
      <w:r/>
      <w:r/>
    </w:p>
    <w:p>
      <w:pPr>
        <w:ind w:firstLine="480"/>
        <w:jc w:val="both"/>
        <w:spacing w:after="0" w:line="560" w:lineRule="exact"/>
        <w:widowControl w:val="off"/>
        <w:rPr>
          <w:rFonts w:ascii="宋体"/>
          <w:bCs/>
          <w:sz w:val="24"/>
        </w:rPr>
      </w:pPr>
      <w:r/>
      <w:bookmarkStart w:id="18" w:name="_Hlk163568028"/>
      <w:r>
        <w:rPr>
          <w:rFonts w:hint="eastAsia" w:ascii="宋体"/>
          <w:bCs/>
          <w:sz w:val="24"/>
        </w:rPr>
        <w:t xml:space="preserve">项目概况</w:t>
      </w:r>
      <w:r/>
    </w:p>
    <w:p>
      <w:pPr>
        <w:ind w:firstLine="480"/>
        <w:jc w:val="both"/>
        <w:spacing w:after="0" w:line="560" w:lineRule="exact"/>
        <w:widowControl w:val="off"/>
        <w:rPr>
          <w:rFonts w:ascii="宋体"/>
          <w:bCs/>
          <w:sz w:val="24"/>
        </w:rPr>
      </w:pPr>
      <w:r>
        <w:rPr>
          <w:rFonts w:hint="eastAsia" w:ascii="宋体"/>
          <w:sz w:val="24"/>
        </w:rPr>
        <w:t xml:space="preserve">2026年重点工业产品质量安全隐患风险动态监测技术服务</w:t>
      </w:r>
      <w:r>
        <w:rPr>
          <w:rFonts w:hint="eastAsia" w:ascii="宋体"/>
          <w:sz w:val="24"/>
        </w:rPr>
        <w:t xml:space="preserve">（二次）</w:t>
      </w:r>
      <w:r>
        <w:rPr>
          <w:rFonts w:hint="eastAsia" w:ascii="宋体"/>
          <w:bCs/>
          <w:sz w:val="24"/>
        </w:rPr>
        <w:t xml:space="preserve">的潜在供应商应在本公司要求的相关渠道获取招标文件，并于 2026年</w:t>
      </w:r>
      <w:r>
        <w:rPr>
          <w:rFonts w:hint="eastAsia" w:ascii="宋体"/>
          <w:bCs/>
          <w:sz w:val="24"/>
        </w:rPr>
        <w:t xml:space="preserve">06</w:t>
      </w:r>
      <w:r>
        <w:rPr>
          <w:rFonts w:hint="eastAsia" w:ascii="宋体"/>
          <w:bCs/>
          <w:sz w:val="24"/>
        </w:rPr>
        <w:t xml:space="preserve">月</w:t>
      </w:r>
      <w:r>
        <w:rPr>
          <w:rFonts w:hint="eastAsia" w:ascii="宋体"/>
          <w:bCs/>
          <w:sz w:val="24"/>
        </w:rPr>
        <w:t xml:space="preserve">24</w:t>
      </w:r>
      <w:r>
        <w:rPr>
          <w:rFonts w:hint="eastAsia" w:ascii="宋体"/>
          <w:bCs/>
          <w:sz w:val="24"/>
        </w:rPr>
        <w:t xml:space="preserve">日08:30（北京时间）前递交投标文件。</w:t>
      </w:r>
      <w:r/>
    </w:p>
    <w:p>
      <w:pPr>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2026年重点工业产品质量安全隐患风险动态监测技术服务</w:t>
      </w:r>
      <w:r>
        <w:rPr>
          <w:rFonts w:hint="eastAsia" w:ascii="宋体"/>
          <w:bCs/>
          <w:sz w:val="24"/>
        </w:rPr>
        <w:t xml:space="preserve">进行公开招标采购，现欢迎符合相关条件的合格供应商投标。</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p>
    <w:p>
      <w:pPr>
        <w:ind w:firstLine="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2026年重点工业产品质量安全隐患风险动态监测技术服务</w:t>
      </w:r>
      <w:r>
        <w:rPr>
          <w:rFonts w:hint="eastAsia" w:ascii="宋体"/>
          <w:sz w:val="24"/>
        </w:rPr>
        <w:t xml:space="preserve">（二次）</w:t>
      </w:r>
      <w:r/>
    </w:p>
    <w:p>
      <w:pPr>
        <w:ind w:firstLine="480"/>
        <w:jc w:val="both"/>
        <w:spacing w:after="0" w:line="560" w:lineRule="exact"/>
        <w:widowControl w:val="off"/>
        <w:tabs>
          <w:tab w:val="left" w:pos="900" w:leader="none"/>
        </w:tabs>
        <w:rPr>
          <w:rFonts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w:t>
      </w:r>
      <w:r>
        <w:rPr>
          <w:rFonts w:ascii="宋体"/>
          <w:sz w:val="24"/>
        </w:rPr>
        <w:t xml:space="preserve">JSZC-320000-NJXY-G2026-0021</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9" w:name="_Hlk82097478"/>
      <w:r/>
      <w:r/>
    </w:p>
    <w:p>
      <w:pPr>
        <w:ind w:firstLine="480"/>
        <w:jc w:val="both"/>
        <w:spacing w:after="0" w:line="560" w:lineRule="exact"/>
        <w:widowControl w:val="off"/>
        <w:tabs>
          <w:tab w:val="left" w:pos="900" w:leader="none"/>
        </w:tabs>
        <w:rPr>
          <w:rFonts w:ascii="宋体"/>
          <w:sz w:val="24"/>
        </w:rPr>
      </w:pPr>
      <w:r/>
      <w:bookmarkStart w:id="20" w:name="_Hlk82764866"/>
      <w:r/>
      <w:bookmarkEnd w:id="19"/>
      <w:r>
        <w:rPr>
          <w:rFonts w:hint="eastAsia" w:ascii="宋体"/>
          <w:sz w:val="24"/>
        </w:rPr>
        <w:t xml:space="preserve">为高质量完成重点工业产品质量安全隐患排查治理工作，通</w:t>
      </w:r>
      <w:bookmarkStart w:id="21" w:name="_Hlk227071869"/>
      <w:r>
        <w:rPr>
          <w:rFonts w:hint="eastAsia" w:ascii="宋体"/>
          <w:sz w:val="24"/>
        </w:rPr>
        <w:t xml:space="preserve">过公开招标方式确定第三方检验检测机构，</w:t>
      </w:r>
      <w:bookmarkEnd w:id="21"/>
      <w:r>
        <w:rPr>
          <w:rFonts w:hint="eastAsia" w:ascii="宋体"/>
          <w:sz w:val="24"/>
        </w:rPr>
        <w:t xml:space="preserve">承担2026年重点工业产品质量安全隐患风险动态监测的技术服务。具体详见采购文件第四</w:t>
      </w:r>
      <w:r>
        <w:rPr>
          <w:rFonts w:hint="eastAsia" w:ascii="宋体"/>
          <w:sz w:val="24"/>
        </w:rPr>
        <w:t xml:space="preserve">章项目</w:t>
      </w:r>
      <w:r>
        <w:rPr>
          <w:rFonts w:hint="eastAsia" w:ascii="宋体"/>
          <w:sz w:val="24"/>
        </w:rPr>
        <w:t xml:space="preserve">需求。</w:t>
      </w:r>
      <w:bookmarkStart w:id="22" w:name="_Hlk85972736"/>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本招标项目的最小招标单位为采购包，按每个采购包进行投标、评标。</w:t>
      </w:r>
      <w:bookmarkEnd w:id="22"/>
      <w:r>
        <w:rPr>
          <w:rFonts w:hint="eastAsia" w:ascii="宋体"/>
          <w:sz w:val="24"/>
        </w:rPr>
        <w:t xml:space="preserve">本招标文件所有内容未做特别标注或说明即适用所有采购包。</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本项目总预算为人民币</w:t>
      </w:r>
      <w:r>
        <w:rPr>
          <w:rFonts w:hint="eastAsia" w:ascii="宋体"/>
          <w:sz w:val="24"/>
        </w:rPr>
        <w:t xml:space="preserve">129.9</w:t>
      </w:r>
      <w:r>
        <w:rPr>
          <w:rFonts w:hint="eastAsia" w:ascii="宋体"/>
          <w:sz w:val="24"/>
        </w:rPr>
        <w:t xml:space="preserve">万元，共计分设</w:t>
      </w:r>
      <w:r>
        <w:rPr>
          <w:rFonts w:hint="eastAsia" w:ascii="宋体"/>
          <w:sz w:val="24"/>
        </w:rPr>
        <w:t xml:space="preserve">2</w:t>
      </w:r>
      <w:r>
        <w:rPr>
          <w:rFonts w:hint="eastAsia" w:ascii="宋体"/>
          <w:sz w:val="24"/>
        </w:rPr>
        <w:t xml:space="preserve">个采购包。</w:t>
      </w:r>
      <w:bookmarkStart w:id="23" w:name="_Hlk228116254"/>
      <w:r>
        <w:rPr>
          <w:rFonts w:hint="eastAsia" w:ascii="宋体"/>
          <w:b/>
          <w:bCs/>
          <w:sz w:val="24"/>
        </w:rPr>
        <w:t xml:space="preserve">投标人可</w:t>
      </w:r>
      <w:r>
        <w:rPr>
          <w:rFonts w:hint="eastAsia" w:ascii="宋体"/>
          <w:b/>
          <w:bCs/>
          <w:sz w:val="24"/>
        </w:rPr>
        <w:t xml:space="preserve">兼投兼</w:t>
      </w:r>
      <w:r>
        <w:rPr>
          <w:rFonts w:hint="eastAsia" w:ascii="宋体"/>
          <w:b/>
          <w:bCs/>
          <w:sz w:val="24"/>
        </w:rPr>
        <w:t xml:space="preserve">中，</w:t>
      </w:r>
      <w:bookmarkEnd w:id="23"/>
      <w:r>
        <w:rPr>
          <w:rFonts w:hint="eastAsia" w:ascii="宋体"/>
          <w:b/>
          <w:bCs/>
          <w:sz w:val="24"/>
        </w:rPr>
        <w:t xml:space="preserve">每个采购包选取一家中标供应商。</w:t>
      </w:r>
      <w:r>
        <w:rPr>
          <w:rFonts w:hint="eastAsia" w:ascii="宋体"/>
          <w:sz w:val="24"/>
        </w:rPr>
        <w:t xml:space="preserve">每个采购包的投标人最终报价超过该采购</w:t>
      </w:r>
      <w:r>
        <w:rPr>
          <w:rFonts w:hint="eastAsia" w:ascii="宋体"/>
          <w:sz w:val="24"/>
        </w:rPr>
        <w:t xml:space="preserve">包最高</w:t>
      </w:r>
      <w:r>
        <w:rPr>
          <w:rFonts w:hint="eastAsia" w:ascii="宋体"/>
          <w:sz w:val="24"/>
        </w:rPr>
        <w:t xml:space="preserve">限价的为无效报价，按照无效响应处理。</w:t>
      </w:r>
      <w:r/>
    </w:p>
    <w:p>
      <w:pPr>
        <w:ind w:firstLine="480"/>
        <w:jc w:val="both"/>
        <w:spacing w:after="0" w:line="560" w:lineRule="exact"/>
        <w:widowControl w:val="off"/>
        <w:tabs>
          <w:tab w:val="left" w:pos="900" w:leader="none"/>
        </w:tabs>
        <w:rPr>
          <w:rFonts w:ascii="宋体"/>
          <w:bCs/>
          <w:sz w:val="24"/>
        </w:rPr>
      </w:pPr>
      <w:r>
        <w:rPr>
          <w:rFonts w:hint="eastAsia" w:ascii="宋体"/>
          <w:sz w:val="24"/>
        </w:rPr>
        <w:t xml:space="preserve">3.3</w:t>
      </w:r>
      <w:r>
        <w:rPr>
          <w:rFonts w:hint="eastAsia" w:ascii="宋体"/>
          <w:bCs/>
          <w:sz w:val="24"/>
        </w:rPr>
        <w:t xml:space="preserve">项目</w:t>
      </w:r>
      <w:r>
        <w:rPr>
          <w:rFonts w:hint="eastAsia" w:ascii="宋体"/>
          <w:sz w:val="24"/>
        </w:rPr>
        <w:t xml:space="preserve">采购包</w:t>
      </w:r>
      <w:r>
        <w:rPr>
          <w:rFonts w:hint="eastAsia" w:ascii="宋体"/>
          <w:bCs/>
          <w:sz w:val="24"/>
        </w:rPr>
        <w:t xml:space="preserve">明细</w:t>
      </w:r>
      <w:r/>
    </w:p>
    <w:p>
      <w:pPr>
        <w:ind w:firstLine="480"/>
        <w:jc w:val="both"/>
        <w:spacing w:after="0" w:line="560" w:lineRule="exact"/>
        <w:widowControl w:val="off"/>
        <w:tabs>
          <w:tab w:val="left" w:pos="900" w:leader="none"/>
        </w:tabs>
        <w:rPr>
          <w:rFonts w:ascii="宋体"/>
          <w:bCs/>
          <w:sz w:val="24"/>
        </w:rPr>
      </w:pPr>
      <w:r>
        <w:rPr>
          <w:rFonts w:hint="eastAsia" w:ascii="宋体"/>
          <w:bCs/>
          <w:sz w:val="24"/>
        </w:rPr>
        <w:t xml:space="preserve">项目采购包明细与采购</w:t>
      </w:r>
      <w:r>
        <w:rPr>
          <w:rFonts w:hint="eastAsia" w:ascii="宋体"/>
          <w:bCs/>
          <w:sz w:val="24"/>
        </w:rPr>
        <w:t xml:space="preserve">包预算</w:t>
      </w:r>
      <w:r>
        <w:rPr>
          <w:rFonts w:hint="eastAsia" w:ascii="宋体"/>
          <w:bCs/>
          <w:sz w:val="24"/>
        </w:rPr>
        <w:t xml:space="preserve">金额、最高限价一览表</w:t>
      </w:r>
      <w:r/>
    </w:p>
    <w:tbl>
      <w:tblPr>
        <w:tblW w:w="8642" w:type="dxa"/>
        <w:tblInd w:w="113" w:type="dxa"/>
        <w:tblLook w:val="0000" w:firstRow="0" w:lastRow="0" w:firstColumn="0" w:lastColumn="0" w:noHBand="0" w:noVBand="0"/>
      </w:tblPr>
      <w:tblGrid>
        <w:gridCol w:w="740"/>
        <w:gridCol w:w="1240"/>
        <w:gridCol w:w="2126"/>
        <w:gridCol w:w="1985"/>
        <w:gridCol w:w="1134"/>
        <w:gridCol w:w="1417"/>
      </w:tblGrid>
      <w:tr>
        <w:trPr>
          <w:trHeight w:val="849"/>
          <w:tblHeader/>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after="0" w:line="240" w:lineRule="auto"/>
              <w:rPr>
                <w:rFonts w:ascii="宋体"/>
                <w:sz w:val="24"/>
              </w:rPr>
            </w:pPr>
            <w:r>
              <w:rPr>
                <w:rFonts w:hint="eastAsia" w:ascii="宋体"/>
                <w:sz w:val="24"/>
              </w:rPr>
              <w:t xml:space="preserve">采购包序号</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after="0" w:line="240" w:lineRule="auto"/>
              <w:rPr>
                <w:rFonts w:ascii="宋体"/>
                <w:sz w:val="24"/>
              </w:rPr>
            </w:pPr>
            <w:r>
              <w:rPr>
                <w:rFonts w:hint="eastAsia" w:ascii="宋体"/>
                <w:sz w:val="24"/>
              </w:rPr>
              <w:t xml:space="preserve">产品类别</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after="0" w:line="240" w:lineRule="auto"/>
              <w:rPr>
                <w:rFonts w:ascii="宋体"/>
                <w:sz w:val="24"/>
              </w:rPr>
            </w:pPr>
            <w:r>
              <w:rPr>
                <w:rFonts w:hint="eastAsia" w:ascii="宋体"/>
                <w:sz w:val="24"/>
              </w:rPr>
              <w:t xml:space="preserve">动态监测产品品种</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after="0" w:line="240" w:lineRule="auto"/>
              <w:rPr>
                <w:rFonts w:ascii="宋体"/>
                <w:sz w:val="24"/>
              </w:rPr>
            </w:pPr>
            <w:r>
              <w:rPr>
                <w:rFonts w:hint="eastAsia" w:ascii="宋体"/>
                <w:sz w:val="24"/>
              </w:rPr>
              <w:t xml:space="preserve">产品销售集聚市场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hint="eastAsia" w:ascii="宋体"/>
                <w:sz w:val="24"/>
              </w:rPr>
              <w:t xml:space="preserve">动态监测数量</w:t>
            </w:r>
            <w:r>
              <w:rPr>
                <w:rFonts w:hint="eastAsia" w:ascii="宋体"/>
                <w:sz w:val="24"/>
              </w:rPr>
              <w:br/>
              <w:t xml:space="preserve">（批次）</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after="0" w:line="240" w:lineRule="auto"/>
              <w:rPr>
                <w:rFonts w:ascii="宋体"/>
                <w:sz w:val="24"/>
              </w:rPr>
            </w:pPr>
            <w:r>
              <w:rPr>
                <w:rFonts w:hint="eastAsia" w:ascii="宋体"/>
                <w:sz w:val="24"/>
              </w:rPr>
              <w:t xml:space="preserve">采购预算及最高限价</w:t>
            </w:r>
            <w:r>
              <w:rPr>
                <w:rFonts w:hint="eastAsia" w:ascii="宋体"/>
                <w:sz w:val="24"/>
              </w:rPr>
              <w:br/>
              <w:t xml:space="preserve">（人民币：元）</w:t>
            </w:r>
            <w:r/>
          </w:p>
        </w:tc>
      </w:tr>
      <w:tr>
        <w:trPr>
          <w:trHeight w:val="2469"/>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after="0" w:line="240" w:lineRule="auto"/>
              <w:rPr>
                <w:rFonts w:ascii="宋体"/>
                <w:sz w:val="24"/>
              </w:rPr>
            </w:pPr>
            <w:r>
              <w:rPr>
                <w:rFonts w:hint="eastAsia" w:ascii="宋体"/>
                <w:sz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after="0" w:line="240" w:lineRule="auto"/>
              <w:rPr>
                <w:rFonts w:ascii="宋体"/>
                <w:sz w:val="24"/>
              </w:rPr>
            </w:pPr>
            <w:r>
              <w:rPr>
                <w:rFonts w:hint="eastAsia" w:ascii="宋体"/>
                <w:sz w:val="24"/>
              </w:rPr>
              <w:t xml:space="preserve">建筑用</w:t>
            </w:r>
            <w:r>
              <w:rPr>
                <w:rFonts w:hint="eastAsia" w:ascii="宋体"/>
                <w:sz w:val="24"/>
              </w:rPr>
              <w:br/>
              <w:t xml:space="preserve">钢筋</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钢筋混凝土用热轧钢筋、冷轧带肋钢筋</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常州市新北区龙成钢材</w:t>
            </w:r>
            <w:r>
              <w:rPr>
                <w:rFonts w:hint="eastAsia" w:ascii="宋体"/>
                <w:sz w:val="24"/>
              </w:rPr>
              <w:br/>
              <w:t xml:space="preserve">城、徐州市新沂市苏北钢材市场、苏州长三角钢材市场、南通纪氏</w:t>
            </w:r>
            <w:r>
              <w:rPr>
                <w:rFonts w:hint="eastAsia" w:ascii="宋体"/>
                <w:sz w:val="24"/>
              </w:rPr>
              <w:t xml:space="preserve">钢材市</w:t>
            </w:r>
            <w:r>
              <w:rPr>
                <w:rFonts w:hint="eastAsia" w:ascii="宋体"/>
                <w:sz w:val="24"/>
              </w:rPr>
              <w:br/>
              <w:t xml:space="preserve">场、中储南京物流有限公司</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30</w:t>
            </w:r>
            <w:r/>
          </w:p>
        </w:tc>
        <w:tc>
          <w:tcPr>
            <w:tcBorders>
              <w:top w:val="none" w:color="000000" w:sz="4" w:space="0"/>
              <w:left w:val="single" w:color="auto" w:sz="4" w:space="0"/>
              <w:bottom w:val="single" w:color="auto" w:sz="4" w:space="0"/>
              <w:right w:val="single" w:color="auto" w:sz="4" w:space="0"/>
            </w:tcBorders>
            <w:tcW w:w="1417" w:type="dxa"/>
            <w:vAlign w:val="center"/>
            <w:vMerge w:val="restart"/>
            <w:textDirection w:val="lrTb"/>
            <w:noWrap w:val="false"/>
          </w:tcPr>
          <w:p>
            <w:pPr>
              <w:jc w:val="center"/>
              <w:spacing w:after="0" w:line="240" w:lineRule="auto"/>
              <w:rPr>
                <w:rFonts w:ascii="宋体"/>
                <w:sz w:val="24"/>
              </w:rPr>
            </w:pPr>
            <w:r>
              <w:rPr>
                <w:rFonts w:ascii="宋体"/>
                <w:sz w:val="24"/>
              </w:rPr>
              <w:t xml:space="preserve">494</w:t>
            </w:r>
            <w:r>
              <w:rPr>
                <w:rFonts w:hint="eastAsia" w:ascii="宋体"/>
                <w:sz w:val="24"/>
              </w:rPr>
              <w:t xml:space="preserve">000</w:t>
            </w:r>
            <w:r/>
          </w:p>
        </w:tc>
      </w:tr>
      <w:tr>
        <w:trPr>
          <w:trHeight w:val="174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shd w:val="clear" w:color="000000" w:fill="ffffff"/>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after="0" w:line="240" w:lineRule="auto"/>
              <w:rPr>
                <w:rFonts w:ascii="宋体"/>
                <w:sz w:val="24"/>
              </w:rPr>
            </w:pPr>
            <w:r>
              <w:rPr>
                <w:rFonts w:hint="eastAsia" w:ascii="宋体"/>
                <w:sz w:val="24"/>
              </w:rPr>
              <w:t xml:space="preserve">建筑保温材料</w:t>
            </w:r>
            <w:r/>
          </w:p>
        </w:tc>
        <w:tc>
          <w:tcPr>
            <w:shd w:val="clear" w:color="000000" w:fill="ffffff"/>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岩棉板、模塑聚苯乙烯泡沫板（XPS）、挤塑聚苯乙烯泡沫板（XPS）、橡塑保温板、聚氨酯泡沫（PU）</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南京市雨花台区红太阳装饰城、无锡市新</w:t>
            </w:r>
            <w:r>
              <w:rPr>
                <w:rFonts w:hint="eastAsia" w:ascii="宋体"/>
                <w:sz w:val="24"/>
              </w:rPr>
              <w:t xml:space="preserve">吴区五洲</w:t>
            </w:r>
            <w:r>
              <w:rPr>
                <w:rFonts w:hint="eastAsia" w:ascii="宋体"/>
                <w:sz w:val="24"/>
              </w:rPr>
              <w:t xml:space="preserve">国际工业博览城、苏州市华东装饰城、徐州市云龙区东兴物资市场</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40</w:t>
            </w:r>
            <w:r/>
          </w:p>
        </w:tc>
        <w:tc>
          <w:tcPr>
            <w:tcBorders>
              <w:top w:val="none" w:color="000000" w:sz="4" w:space="0"/>
              <w:left w:val="single" w:color="auto" w:sz="4" w:space="0"/>
              <w:bottom w:val="single" w:color="auto"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156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after="0" w:line="240" w:lineRule="auto"/>
              <w:rPr>
                <w:rFonts w:ascii="宋体"/>
                <w:sz w:val="24"/>
              </w:rPr>
            </w:pPr>
            <w:r>
              <w:rPr>
                <w:rFonts w:hint="eastAsia" w:ascii="宋体"/>
                <w:sz w:val="24"/>
              </w:rPr>
              <w:t xml:space="preserve">人造板</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胶合板、细木工板</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南京市</w:t>
            </w:r>
            <w:r>
              <w:rPr>
                <w:rFonts w:hint="eastAsia" w:ascii="宋体"/>
                <w:sz w:val="24"/>
              </w:rPr>
              <w:t xml:space="preserve">雨花台区弘阳装饰</w:t>
            </w:r>
            <w:r>
              <w:rPr>
                <w:rFonts w:hint="eastAsia" w:ascii="宋体"/>
                <w:sz w:val="24"/>
              </w:rPr>
              <w:t xml:space="preserve">城、无锡市新世界国际家居建材城、常州市长江自由贸易中心</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20</w:t>
            </w:r>
            <w:r/>
          </w:p>
        </w:tc>
        <w:tc>
          <w:tcPr>
            <w:tcBorders>
              <w:top w:val="none" w:color="000000" w:sz="4" w:space="0"/>
              <w:left w:val="single" w:color="auto" w:sz="4" w:space="0"/>
              <w:bottom w:val="single" w:color="auto"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1209"/>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after="0" w:line="240" w:lineRule="auto"/>
              <w:rPr>
                <w:rFonts w:ascii="宋体"/>
                <w:sz w:val="24"/>
              </w:rPr>
            </w:pPr>
            <w:r>
              <w:rPr>
                <w:rFonts w:hint="eastAsia" w:ascii="宋体"/>
                <w:sz w:val="24"/>
              </w:rPr>
              <w:t xml:space="preserve">电线电缆</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电线电缆</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苏州市华夏五金机电城、常州市江南五金机电城、盐城市区盐城五金机电城</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20</w:t>
            </w:r>
            <w:r/>
          </w:p>
        </w:tc>
        <w:tc>
          <w:tcPr>
            <w:tcBorders>
              <w:top w:val="none" w:color="000000" w:sz="4" w:space="0"/>
              <w:left w:val="single" w:color="auto" w:sz="4" w:space="0"/>
              <w:bottom w:val="single" w:color="auto"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801"/>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after="0" w:line="240" w:lineRule="auto"/>
              <w:rPr>
                <w:rFonts w:ascii="宋体"/>
                <w:sz w:val="24"/>
              </w:rPr>
            </w:pPr>
            <w:r>
              <w:rPr>
                <w:rFonts w:hint="eastAsia" w:ascii="宋体"/>
                <w:sz w:val="24"/>
              </w:rPr>
              <w:t xml:space="preserve">2</w:t>
            </w:r>
            <w:r/>
          </w:p>
        </w:tc>
        <w:tc>
          <w:tcPr>
            <w:tcBorders>
              <w:top w:val="none" w:color="000000"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after="0" w:line="240" w:lineRule="auto"/>
              <w:rPr>
                <w:rFonts w:ascii="宋体"/>
                <w:sz w:val="24"/>
              </w:rPr>
            </w:pPr>
            <w:r>
              <w:rPr>
                <w:rFonts w:hint="eastAsia" w:ascii="宋体"/>
                <w:sz w:val="24"/>
              </w:rPr>
              <w:t xml:space="preserve">燃气用具</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家用燃气灶</w:t>
            </w:r>
            <w:r/>
          </w:p>
        </w:tc>
        <w:tc>
          <w:tcPr>
            <w:tcBorders>
              <w:top w:val="none" w:color="000000" w:sz="4" w:space="0"/>
              <w:left w:val="single" w:color="auto" w:sz="4" w:space="0"/>
              <w:bottom w:val="single" w:color="auto" w:sz="4" w:space="0"/>
              <w:right w:val="single" w:color="auto" w:sz="4" w:space="0"/>
            </w:tcBorders>
            <w:tcW w:w="1985" w:type="dxa"/>
            <w:vAlign w:val="center"/>
            <w:vMerge w:val="restart"/>
            <w:textDirection w:val="lrTb"/>
            <w:noWrap w:val="false"/>
          </w:tcPr>
          <w:p>
            <w:pPr>
              <w:spacing w:after="0" w:line="240" w:lineRule="auto"/>
              <w:rPr>
                <w:rFonts w:ascii="宋体"/>
                <w:sz w:val="24"/>
              </w:rPr>
            </w:pPr>
            <w:r>
              <w:rPr>
                <w:rFonts w:hint="eastAsia" w:ascii="宋体"/>
                <w:sz w:val="24"/>
              </w:rPr>
              <w:t xml:space="preserve">南京市鼓楼区金桥市场、徐州市泉山区新黄河建材装饰城、淮安市淮阴区苏北温州大市场、宿迁市义乌商贸城、泰州市海</w:t>
            </w:r>
            <w:r>
              <w:rPr>
                <w:rFonts w:hint="eastAsia" w:ascii="宋体"/>
                <w:sz w:val="24"/>
              </w:rPr>
              <w:t xml:space="preserve">陵区温泰市场</w:t>
            </w:r>
            <w:r>
              <w:rPr>
                <w:rFonts w:hint="eastAsia" w:ascii="宋体"/>
                <w:sz w:val="24"/>
              </w:rPr>
              <w:t xml:space="preserve">、镇江市</w:t>
            </w:r>
            <w:r>
              <w:rPr>
                <w:rFonts w:hint="eastAsia" w:ascii="宋体"/>
                <w:sz w:val="24"/>
              </w:rPr>
              <w:t xml:space="preserve">丹阳市云阳镇千家乐市场</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20</w:t>
            </w:r>
            <w:r/>
          </w:p>
        </w:tc>
        <w:tc>
          <w:tcPr>
            <w:tcBorders>
              <w:top w:val="none" w:color="000000" w:sz="4" w:space="0"/>
              <w:left w:val="single" w:color="auto" w:sz="4" w:space="0"/>
              <w:bottom w:val="single" w:color="000000" w:sz="4" w:space="0"/>
              <w:right w:val="single" w:color="auto" w:sz="4" w:space="0"/>
            </w:tcBorders>
            <w:tcW w:w="1417" w:type="dxa"/>
            <w:vAlign w:val="center"/>
            <w:vMerge w:val="restart"/>
            <w:textDirection w:val="lrTb"/>
            <w:noWrap w:val="false"/>
          </w:tcPr>
          <w:p>
            <w:pPr>
              <w:jc w:val="center"/>
              <w:spacing w:after="0" w:line="240" w:lineRule="auto"/>
              <w:rPr>
                <w:rFonts w:ascii="宋体"/>
                <w:sz w:val="24"/>
              </w:rPr>
            </w:pPr>
            <w:r>
              <w:rPr>
                <w:rFonts w:ascii="宋体"/>
                <w:sz w:val="24"/>
              </w:rPr>
              <w:t xml:space="preserve">805</w:t>
            </w:r>
            <w:r>
              <w:rPr>
                <w:rFonts w:hint="eastAsia" w:ascii="宋体"/>
                <w:sz w:val="24"/>
              </w:rPr>
              <w:t xml:space="preserve">000</w:t>
            </w:r>
            <w:r/>
          </w:p>
        </w:tc>
      </w:tr>
      <w:tr>
        <w:trPr>
          <w:trHeight w:val="72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家用燃气快速热水器</w:t>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10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75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燃气用具连接用软管</w:t>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20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63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瓶装液化石油气调压器</w:t>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20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762"/>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商用燃气燃烧器具</w:t>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15</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60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电磁式燃气紧急切断阀</w:t>
            </w:r>
            <w:r/>
          </w:p>
        </w:tc>
        <w:tc>
          <w:tcPr>
            <w:tcBorders>
              <w:top w:val="none" w:color="000000" w:sz="4" w:space="0"/>
              <w:left w:val="single" w:color="auto" w:sz="4" w:space="0"/>
              <w:bottom w:val="single" w:color="auto" w:sz="4" w:space="0"/>
              <w:right w:val="single" w:color="auto" w:sz="4" w:space="0"/>
            </w:tcBorders>
            <w:tcW w:w="1985"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5</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1131"/>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restart"/>
            <w:textDirection w:val="lrTb"/>
            <w:noWrap w:val="false"/>
          </w:tcPr>
          <w:p>
            <w:pPr>
              <w:jc w:val="center"/>
              <w:spacing w:after="0" w:line="240" w:lineRule="auto"/>
              <w:rPr>
                <w:rFonts w:ascii="宋体"/>
                <w:sz w:val="24"/>
              </w:rPr>
            </w:pPr>
            <w:r>
              <w:rPr>
                <w:rFonts w:hint="eastAsia" w:ascii="宋体"/>
                <w:sz w:val="24"/>
              </w:rPr>
              <w:t xml:space="preserve">消防产品</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手提式灭火器</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无锡市</w:t>
            </w:r>
            <w:r>
              <w:rPr>
                <w:rFonts w:hint="eastAsia" w:ascii="宋体"/>
                <w:sz w:val="24"/>
              </w:rPr>
              <w:t xml:space="preserve">新吴区无锡</w:t>
            </w:r>
            <w:r>
              <w:rPr>
                <w:rFonts w:hint="eastAsia" w:ascii="宋体"/>
                <w:sz w:val="24"/>
              </w:rPr>
              <w:t xml:space="preserve">国际招商城、苏州市吴中区华夏五金机电城</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30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969"/>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过滤式消防自救呼吸器</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无锡市</w:t>
            </w:r>
            <w:r>
              <w:rPr>
                <w:rFonts w:hint="eastAsia" w:ascii="宋体"/>
                <w:sz w:val="24"/>
              </w:rPr>
              <w:t xml:space="preserve">新吴区无锡</w:t>
            </w:r>
            <w:r>
              <w:rPr>
                <w:rFonts w:hint="eastAsia" w:ascii="宋体"/>
                <w:sz w:val="24"/>
              </w:rPr>
              <w:t xml:space="preserve">国际招商城、苏州市吴中区华夏五金机电城</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20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99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消防水带</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无锡市</w:t>
            </w:r>
            <w:r>
              <w:rPr>
                <w:rFonts w:hint="eastAsia" w:ascii="宋体"/>
                <w:sz w:val="24"/>
              </w:rPr>
              <w:t xml:space="preserve">新吴区无锡</w:t>
            </w:r>
            <w:r>
              <w:rPr>
                <w:rFonts w:hint="eastAsia" w:ascii="宋体"/>
                <w:sz w:val="24"/>
              </w:rPr>
              <w:t xml:space="preserve">国际招商城、苏州市吴中区华夏五金机电城</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20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99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single" w:color="auto" w:sz="4" w:space="0"/>
              <w:bottom w:val="single" w:color="auto" w:sz="4" w:space="0"/>
              <w:right w:val="single" w:color="auto" w:sz="4" w:space="0"/>
            </w:tcBorders>
            <w:tcW w:w="12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电气火灾监控探测器</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无锡市</w:t>
            </w:r>
            <w:r>
              <w:rPr>
                <w:rFonts w:hint="eastAsia" w:ascii="宋体"/>
                <w:sz w:val="24"/>
              </w:rPr>
              <w:t xml:space="preserve">新吴区无锡</w:t>
            </w:r>
            <w:r>
              <w:rPr>
                <w:rFonts w:hint="eastAsia" w:ascii="宋体"/>
                <w:sz w:val="24"/>
              </w:rPr>
              <w:t xml:space="preserve">国际招商城、苏州市吴中区华夏五金机电城</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10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r>
        <w:trPr>
          <w:trHeight w:val="192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spacing w:after="0" w:line="240" w:lineRule="auto"/>
              <w:rPr>
                <w:rFonts w:ascii="宋体"/>
                <w:sz w:val="24"/>
              </w:rPr>
            </w:pPr>
            <w:r>
              <w:rPr>
                <w:rFonts w:ascii="宋体"/>
                <w:sz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after="0" w:line="240" w:lineRule="auto"/>
              <w:rPr>
                <w:rFonts w:ascii="宋体"/>
                <w:sz w:val="24"/>
              </w:rPr>
            </w:pPr>
            <w:r>
              <w:rPr>
                <w:rFonts w:hint="eastAsia" w:ascii="宋体"/>
                <w:sz w:val="24"/>
              </w:rPr>
              <w:t xml:space="preserve">移动电源</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spacing w:after="0" w:line="240" w:lineRule="auto"/>
              <w:rPr>
                <w:rFonts w:ascii="宋体"/>
                <w:sz w:val="24"/>
              </w:rPr>
            </w:pPr>
            <w:r>
              <w:rPr>
                <w:rFonts w:hint="eastAsia" w:ascii="宋体"/>
                <w:sz w:val="24"/>
              </w:rPr>
              <w:t xml:space="preserve">移动电源</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spacing w:after="0" w:line="240" w:lineRule="auto"/>
              <w:rPr>
                <w:rFonts w:ascii="宋体"/>
                <w:sz w:val="24"/>
              </w:rPr>
            </w:pPr>
            <w:r>
              <w:rPr>
                <w:rFonts w:hint="eastAsia" w:ascii="宋体"/>
                <w:sz w:val="24"/>
              </w:rPr>
              <w:t xml:space="preserve">苏州市赛格电子市场、苏州市吴江赛格广场</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after="0" w:line="240" w:lineRule="auto"/>
              <w:rPr>
                <w:rFonts w:ascii="宋体"/>
                <w:sz w:val="24"/>
              </w:rPr>
            </w:pPr>
            <w:r>
              <w:rPr>
                <w:rFonts w:ascii="宋体"/>
                <w:sz w:val="24"/>
              </w:rPr>
              <w:t xml:space="preserve">20</w:t>
            </w:r>
            <w:r/>
          </w:p>
        </w:tc>
        <w:tc>
          <w:tcPr>
            <w:tcBorders>
              <w:top w:val="none" w:color="000000" w:sz="4" w:space="0"/>
              <w:left w:val="single" w:color="auto" w:sz="4" w:space="0"/>
              <w:bottom w:val="single" w:color="000000" w:sz="4" w:space="0"/>
              <w:right w:val="single" w:color="auto" w:sz="4" w:space="0"/>
            </w:tcBorders>
            <w:tcW w:w="1417" w:type="dxa"/>
            <w:vAlign w:val="center"/>
            <w:vMerge w:val="continue"/>
            <w:textDirection w:val="lrTb"/>
            <w:noWrap w:val="false"/>
          </w:tcPr>
          <w:p>
            <w:pPr>
              <w:spacing w:after="0" w:line="240" w:lineRule="auto"/>
              <w:rPr>
                <w:rFonts w:ascii="宋体"/>
                <w:sz w:val="24"/>
              </w:rPr>
            </w:pPr>
            <w:r>
              <w:rPr>
                <w:rFonts w:ascii="宋体"/>
                <w:sz w:val="24"/>
              </w:rPr>
            </w:r>
            <w:r/>
          </w:p>
        </w:tc>
      </w:tr>
    </w:tbl>
    <w:p>
      <w:pPr>
        <w:spacing w:after="0" w:line="560" w:lineRule="exact"/>
        <w:rPr>
          <w:vanish/>
          <w:sz w:val="24"/>
          <w:szCs w:val="24"/>
        </w:rPr>
      </w:pPr>
      <w:r>
        <w:rPr>
          <w:vanish/>
          <w:sz w:val="24"/>
          <w:szCs w:val="24"/>
        </w:rPr>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4. 评审顺序</w:t>
      </w:r>
      <w:r/>
    </w:p>
    <w:p>
      <w:pPr>
        <w:pStyle w:val="1081"/>
        <w:spacing w:before="0" w:after="0" w:line="560" w:lineRule="exact"/>
        <w:rPr>
          <w:rFonts w:ascii="宋体"/>
        </w:rPr>
      </w:pPr>
      <w:r/>
      <w:bookmarkStart w:id="24" w:name="_Hlk86587937"/>
      <w:r>
        <w:rPr>
          <w:rFonts w:hint="eastAsia" w:ascii="宋体"/>
        </w:rPr>
        <w:t xml:space="preserve">评审时按照采购包1、采购包2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w:t>
      </w:r>
      <w:bookmarkEnd w:id="20"/>
      <w:r/>
      <w:bookmarkEnd w:id="24"/>
      <w:r/>
      <w:r/>
    </w:p>
    <w:p>
      <w:pPr>
        <w:pStyle w:val="1081"/>
        <w:spacing w:before="0" w:after="0" w:line="560" w:lineRule="exact"/>
        <w:rPr>
          <w:rFonts w:ascii="宋体"/>
        </w:rPr>
      </w:pPr>
      <w:r>
        <w:rPr>
          <w:rFonts w:hint="eastAsia" w:ascii="宋体"/>
        </w:rPr>
        <w:t xml:space="preserve">5.合同履行期限：自合同签订之日起至2026年11月30日完成。</w:t>
      </w:r>
      <w:bookmarkStart w:id="25" w:name="_Hlk162425189"/>
      <w:r>
        <w:rPr>
          <w:rFonts w:hint="eastAsia" w:ascii="宋体"/>
          <w:bCs/>
        </w:rPr>
        <w:t xml:space="preserve">合同履行</w:t>
      </w:r>
      <w:r>
        <w:rPr>
          <w:rFonts w:hint="eastAsia" w:ascii="宋体"/>
          <w:bCs/>
        </w:rPr>
        <w:t xml:space="preserve">期限内如财政预算发生重大调整则双方可无责终止合同或按政府采购相关规定执行。</w:t>
      </w:r>
      <w:bookmarkEnd w:id="25"/>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6.本项目所属行业：其他未列明行业。</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p>
    <w:p>
      <w:pPr>
        <w:jc w:val="both"/>
        <w:spacing w:after="0" w:line="560" w:lineRule="exact"/>
        <w:widowControl w:val="off"/>
        <w:rPr>
          <w:rFonts w:hint="eastAsia" w:ascii="仿宋_GB2312" w:hAnsi="仿宋_GB2312" w:cs="Arial"/>
          <w:iCs/>
          <w:sz w:val="24"/>
        </w:rPr>
      </w:pPr>
      <w:r/>
      <w:bookmarkStart w:id="26"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符合《政府采购法》第二十二条、《政府采购法实施条例》第十七条及其他资格性规定并提供以下证明材料：</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电子公章）；自然人投标需提供自然人的身份证明（复印件并加盖</w:t>
      </w:r>
      <w:bookmarkStart w:id="27" w:name="_Hlk227058076"/>
      <w:r>
        <w:rPr>
          <w:rFonts w:hint="eastAsia" w:ascii="仿宋_GB2312" w:hAnsi="仿宋_GB2312" w:cs="Arial"/>
          <w:iCs/>
          <w:sz w:val="24"/>
        </w:rPr>
        <w:t xml:space="preserve">CA</w:t>
      </w:r>
      <w:r>
        <w:rPr>
          <w:rFonts w:hint="eastAsia" w:ascii="仿宋_GB2312" w:hAnsi="仿宋_GB2312" w:cs="Arial"/>
          <w:iCs/>
          <w:sz w:val="24"/>
        </w:rPr>
        <w:t xml:space="preserve">电子公章</w:t>
      </w:r>
      <w:bookmarkEnd w:id="27"/>
      <w:r>
        <w:rPr>
          <w:rFonts w:hint="eastAsia" w:ascii="仿宋_GB2312" w:hAnsi="仿宋_GB2312" w:cs="Arial"/>
          <w:iCs/>
          <w:sz w:val="24"/>
        </w:rPr>
        <w:t xml:space="preserve">）；非独立法人独立参加投标需提供法人授权其独立参加投标并承诺承担全部责任与风险的授权书原件、非独立法人营业执照复印件等证明文件（加盖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2.2024</w:t>
      </w:r>
      <w:r>
        <w:rPr>
          <w:rFonts w:hint="eastAsia" w:ascii="仿宋_GB2312" w:hAnsi="仿宋_GB2312" w:cs="Arial"/>
          <w:iCs/>
          <w:sz w:val="24"/>
        </w:rPr>
        <w:t xml:space="preserve">年或</w:t>
      </w:r>
      <w:r>
        <w:rPr>
          <w:rFonts w:hint="eastAsia" w:ascii="仿宋_GB2312" w:hAnsi="仿宋_GB2312" w:cs="Arial"/>
          <w:iCs/>
          <w:sz w:val="24"/>
        </w:rPr>
        <w:t xml:space="preserve">2025</w:t>
      </w:r>
      <w:r>
        <w:rPr>
          <w:rFonts w:hint="eastAsia" w:ascii="仿宋_GB2312" w:hAnsi="仿宋_GB2312" w:cs="Arial"/>
          <w:iCs/>
          <w:sz w:val="24"/>
        </w:rPr>
        <w:t xml:space="preserve">年的年度财务状况报告（复印件并加盖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电子公章，成立不满一年仅需提供提交响应文件截止之日前一个月的会计报表）。</w:t>
      </w:r>
      <w:r/>
    </w:p>
    <w:p>
      <w:pPr>
        <w:ind w:firstLine="480"/>
        <w:spacing w:line="560" w:lineRule="exact"/>
        <w:rPr>
          <w:rFonts w:hint="eastAsia" w:ascii="仿宋_GB2312" w:hAnsi="仿宋_GB2312" w:cs="Arial"/>
          <w:iCs/>
          <w:sz w:val="24"/>
        </w:rPr>
      </w:pPr>
      <w:r>
        <w:rPr>
          <w:rFonts w:hint="eastAsia" w:ascii="仿宋_GB2312" w:hAnsi="仿宋_GB2312" w:cs="Arial"/>
          <w:iCs/>
          <w:sz w:val="24"/>
        </w:rPr>
        <w:t xml:space="preserve">3.</w:t>
      </w:r>
      <w:r>
        <w:rPr>
          <w:rFonts w:ascii="仿宋_GB2312" w:hAnsi="仿宋_GB2312" w:cs="Arial"/>
          <w:iCs/>
          <w:sz w:val="24"/>
        </w:rPr>
        <w:t xml:space="preserve">依法缴纳税收的相关材料（距提交响应文件截止之日前的一年内任意一月相关证明材料复印件并加盖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rPr>
          <w:rFonts w:ascii="仿宋_GB2312" w:hAnsi="仿宋_GB2312" w:cs="Arial"/>
          <w:iCs/>
          <w:sz w:val="24"/>
        </w:rPr>
        <w:t xml:space="preserve">）</w:t>
      </w:r>
      <w:r>
        <w:rPr>
          <w:rFonts w:hint="eastAsia" w:ascii="仿宋_GB2312" w:hAnsi="仿宋_GB2312" w:cs="Arial"/>
          <w:iCs/>
          <w:sz w:val="24"/>
        </w:rPr>
        <w:t xml:space="preserve">。</w:t>
      </w:r>
      <w:r/>
    </w:p>
    <w:p>
      <w:pPr>
        <w:ind w:firstLine="480"/>
        <w:spacing w:line="560" w:lineRule="exact"/>
        <w:rPr>
          <w:rFonts w:hint="eastAsia" w:ascii="仿宋_GB2312" w:hAnsi="仿宋_GB2312" w:cs="Arial"/>
          <w:iCs/>
          <w:sz w:val="24"/>
        </w:rPr>
      </w:pPr>
      <w:r>
        <w:rPr>
          <w:rFonts w:ascii="仿宋_GB2312" w:hAnsi="仿宋_GB2312" w:cs="Arial"/>
          <w:iCs/>
          <w:sz w:val="24"/>
        </w:rPr>
        <w:t xml:space="preserve">4.</w:t>
      </w:r>
      <w:r>
        <w:rPr>
          <w:rFonts w:ascii="仿宋_GB2312" w:hAnsi="仿宋_GB2312" w:cs="Arial"/>
          <w:iCs/>
          <w:sz w:val="24"/>
        </w:rPr>
        <w:t xml:space="preserve">依法缴纳社会保障资金的相关材料（距提交响应文件截止之日前的一年内任意一月相关证明材料复印件并加盖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p>
    <w:p>
      <w:pPr>
        <w:ind w:firstLine="480"/>
        <w:spacing w:line="560" w:lineRule="exact"/>
        <w:rPr>
          <w:rFonts w:hint="eastAsia" w:ascii="仿宋_GB2312" w:hAnsi="仿宋_GB2312" w:cs="Arial"/>
          <w:iCs/>
          <w:sz w:val="24"/>
        </w:rPr>
      </w:pPr>
      <w:r>
        <w:rPr>
          <w:rFonts w:ascii="仿宋_GB2312" w:hAnsi="仿宋_GB2312" w:cs="Arial"/>
          <w:iCs/>
          <w:sz w:val="24"/>
        </w:rPr>
        <w:t xml:space="preserve">5.</w:t>
      </w:r>
      <w:r>
        <w:rPr>
          <w:rFonts w:ascii="仿宋_GB2312" w:hAnsi="仿宋_GB2312" w:cs="Arial"/>
          <w:iCs/>
          <w:sz w:val="24"/>
        </w:rPr>
        <w:t xml:space="preserve">具备履行合同所必需的设备和专业技术能力的书面声明（原件并加盖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rPr>
          <w:rFonts w:ascii="仿宋_GB2312" w:hAnsi="仿宋_GB2312" w:cs="Arial"/>
          <w:iCs/>
          <w:sz w:val="24"/>
        </w:rPr>
        <w:t xml:space="preserve">）。</w:t>
      </w:r>
      <w:r/>
    </w:p>
    <w:p>
      <w:pPr>
        <w:ind w:firstLine="480"/>
        <w:spacing w:line="560" w:lineRule="exact"/>
        <w:rPr>
          <w:rFonts w:hint="eastAsia" w:ascii="仿宋_GB2312" w:hAnsi="仿宋_GB2312" w:cs="Arial"/>
          <w:iCs/>
          <w:sz w:val="24"/>
        </w:rPr>
      </w:pPr>
      <w:r>
        <w:rPr>
          <w:rFonts w:ascii="仿宋_GB2312" w:hAnsi="仿宋_GB2312" w:cs="Arial"/>
          <w:iCs/>
          <w:sz w:val="24"/>
        </w:rPr>
        <w:t xml:space="preserve">6.</w:t>
      </w:r>
      <w:r>
        <w:rPr>
          <w:rFonts w:ascii="仿宋_GB2312" w:hAnsi="仿宋_GB2312" w:cs="Arial"/>
          <w:iCs/>
          <w:sz w:val="24"/>
        </w:rPr>
        <w:t xml:space="preserve">参加政府采购活动</w:t>
      </w:r>
      <w:r>
        <w:rPr>
          <w:rFonts w:hint="eastAsia" w:ascii="仿宋_GB2312" w:hAnsi="仿宋_GB2312" w:cs="Arial"/>
          <w:iCs/>
          <w:sz w:val="24"/>
        </w:rPr>
        <w:t xml:space="preserve">前</w:t>
      </w:r>
      <w:r>
        <w:rPr>
          <w:rFonts w:hint="eastAsia" w:ascii="仿宋_GB2312" w:hAnsi="仿宋_GB2312" w:cs="Arial"/>
          <w:iCs/>
          <w:sz w:val="24"/>
        </w:rPr>
        <w:t xml:space="preserve">3</w:t>
      </w:r>
      <w:r>
        <w:rPr>
          <w:rFonts w:ascii="仿宋_GB2312" w:hAnsi="仿宋_GB2312" w:cs="Arial"/>
          <w:iCs/>
          <w:sz w:val="24"/>
        </w:rPr>
        <w:t xml:space="preserve">年内（距提交响应文件截止之日前）在经营活动中没有重大违法记录的书面声明（原件并加盖</w:t>
      </w:r>
      <w:r>
        <w:rPr>
          <w:rFonts w:hint="eastAsia" w:ascii="仿宋_GB2312" w:hAnsi="仿宋_GB2312" w:cs="Arial"/>
          <w:iCs/>
          <w:sz w:val="24"/>
        </w:rPr>
        <w:t xml:space="preserve">CA</w:t>
      </w:r>
      <w:r>
        <w:rPr>
          <w:rFonts w:hint="eastAsia" w:ascii="仿宋_GB2312" w:hAnsi="仿宋_GB2312" w:cs="Arial"/>
          <w:iCs/>
          <w:sz w:val="24"/>
        </w:rPr>
        <w:t xml:space="preserve">电子公章）。</w:t>
      </w:r>
      <w:bookmarkEnd w:id="26"/>
      <w:r/>
      <w:r/>
    </w:p>
    <w:p>
      <w:pPr>
        <w:ind w:firstLine="480"/>
        <w:jc w:val="both"/>
        <w:spacing w:after="0" w:line="560" w:lineRule="exact"/>
        <w:widowControl w:val="off"/>
        <w:rPr>
          <w:rFonts w:hint="eastAsia" w:ascii="宋体" w:hAnsi="宋体" w:cs="Arial"/>
          <w:iCs/>
          <w:sz w:val="24"/>
        </w:rPr>
      </w:pPr>
      <w:r>
        <w:rPr>
          <w:rFonts w:ascii="宋体" w:hAnsi="宋体"/>
          <w:iCs/>
          <w:sz w:val="24"/>
          <w:szCs w:val="24"/>
        </w:rPr>
        <w:t xml:space="preserve">（</w:t>
      </w:r>
      <w:r>
        <w:rPr>
          <w:rFonts w:hint="eastAsia" w:ascii="宋体" w:hAnsi="宋体"/>
          <w:iCs/>
          <w:sz w:val="24"/>
          <w:szCs w:val="24"/>
        </w:rPr>
        <w:t xml:space="preserve">二</w:t>
      </w:r>
      <w:r>
        <w:rPr>
          <w:rFonts w:ascii="宋体" w:hAnsi="宋体"/>
          <w:iCs/>
          <w:sz w:val="24"/>
          <w:szCs w:val="24"/>
        </w:rPr>
        <w:t xml:space="preserve">）</w:t>
      </w:r>
      <w:r>
        <w:rPr>
          <w:rFonts w:hint="eastAsia" w:ascii="宋体" w:hAnsi="宋体"/>
          <w:iCs/>
          <w:sz w:val="24"/>
          <w:szCs w:val="24"/>
        </w:rPr>
        <w:t xml:space="preserve">本项目的特定资格要求：</w:t>
      </w:r>
      <w:r/>
    </w:p>
    <w:p>
      <w:pPr>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p>
    <w:p>
      <w:pPr>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正值 CMA 换证期间的，应提供：</w:t>
      </w:r>
      <w:r/>
    </w:p>
    <w:p>
      <w:pPr>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①旧证复印件和技术机构向发证机关递交的换证申请相关页（应具有覆盖所投产品检验项目的检验能力并对相应项目及标准做好明显标记）；</w:t>
      </w:r>
      <w:r/>
    </w:p>
    <w:p>
      <w:pPr>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②加盖法人单位和技术机构（如与法人单位不同）公章的承诺书，承诺新证书和检测能力能在旧证有效期届满前下达并持续有效，保证资质能达到本次工作要求。</w:t>
      </w:r>
      <w:r/>
    </w:p>
    <w:p>
      <w:pPr>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所投产品检验项目的检验能力正值新版标准资质申请期间的，应提供：</w:t>
      </w:r>
      <w:r/>
    </w:p>
    <w:p>
      <w:pPr>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①旧版标准资质认定附表相关页复印件；</w:t>
      </w:r>
      <w:r/>
    </w:p>
    <w:p>
      <w:pPr>
        <w:ind w:firstLine="480"/>
        <w:jc w:val="both"/>
        <w:spacing w:after="0" w:line="560" w:lineRule="exact"/>
        <w:widowControl w:val="off"/>
        <w:rPr>
          <w:rFonts w:hint="eastAsia" w:ascii="宋体" w:hAnsi="宋体" w:cs="Arial"/>
          <w:iCs/>
          <w:sz w:val="24"/>
        </w:rPr>
      </w:pPr>
      <w:r>
        <w:rPr>
          <w:rFonts w:hint="eastAsia" w:ascii="宋体" w:hAnsi="宋体" w:cs="Arial"/>
          <w:iCs/>
          <w:sz w:val="24"/>
        </w:rPr>
        <w:t xml:space="preserve">②加盖法人单位和技术机构（如与法人单位不同）公章的承诺书，承诺新版标准检测能力的资质认定能在检验任务实施前下达，保证资质能达到本次工作要求。</w:t>
      </w:r>
      <w:r/>
    </w:p>
    <w:p>
      <w:pPr>
        <w:ind w:firstLine="480"/>
        <w:jc w:val="both"/>
        <w:spacing w:after="0" w:line="560" w:lineRule="exact"/>
        <w:widowControl w:val="off"/>
        <w:rPr>
          <w:rFonts w:hint="eastAsia" w:ascii="宋体" w:hAnsi="宋体"/>
          <w:iCs/>
          <w:sz w:val="24"/>
          <w:szCs w:val="24"/>
        </w:rPr>
      </w:pPr>
      <w:r>
        <w:rPr>
          <w:rFonts w:hint="eastAsia" w:ascii="宋体" w:hAnsi="宋体" w:cs="Arial"/>
          <w:iCs/>
          <w:sz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cs="Arial"/>
          <w:iCs/>
          <w:sz w:val="24"/>
        </w:rPr>
        <w:t xml:space="preserve">对相应项目、依据标准及检测方法做好明显标记。</w:t>
      </w:r>
      <w:r>
        <w:rPr>
          <w:rFonts w:hint="eastAsia" w:ascii="宋体" w:hAnsi="宋体" w:cs="Arial"/>
          <w:iCs/>
          <w:sz w:val="24"/>
        </w:rPr>
        <w:t xml:space="preserve">全部附表所对应的证书应为同一机构同一证书编号。备注：对不含检验检测方法的各类产品标准、限值标准可作为判定依据，不作为本项目的 CMA 资</w:t>
      </w:r>
      <w:r>
        <w:rPr>
          <w:rFonts w:hint="eastAsia" w:ascii="宋体" w:hAnsi="宋体" w:cs="Arial"/>
          <w:iCs/>
          <w:sz w:val="24"/>
        </w:rPr>
        <w:t xml:space="preserve">质条件要求。对需旧版标准资质的，应提供含</w:t>
      </w:r>
      <w:r>
        <w:rPr>
          <w:rFonts w:hint="eastAsia" w:ascii="宋体" w:hAnsi="宋体" w:cs="Arial"/>
          <w:iCs/>
          <w:sz w:val="24"/>
        </w:rPr>
        <w:t xml:space="preserve">有旧版标准</w:t>
      </w:r>
      <w:r>
        <w:rPr>
          <w:rFonts w:hint="eastAsia" w:ascii="宋体" w:hAnsi="宋体" w:cs="Arial"/>
          <w:iCs/>
          <w:sz w:val="24"/>
        </w:rPr>
        <w:t xml:space="preserve">资质的能力附表（若仅能提供旧版资质附表，可忽略附表编号与证书编号的一致性）。对需新版标准资质且机构正值新版标准资质申请期间的，应按上述要求提供旧版资质认定附表相关页和承诺书。</w:t>
      </w:r>
      <w:r/>
    </w:p>
    <w:p>
      <w:pPr>
        <w:ind w:firstLine="480"/>
        <w:jc w:val="both"/>
        <w:spacing w:after="0" w:line="560" w:lineRule="exact"/>
        <w:widowControl w:val="off"/>
        <w:rPr>
          <w:rFonts w:hint="eastAsia" w:ascii="仿宋_GB2312" w:hAnsi="仿宋_GB2312" w:cs="Arial"/>
          <w:iCs/>
          <w:sz w:val="24"/>
        </w:rPr>
      </w:pPr>
      <w:r/>
      <w:bookmarkStart w:id="28" w:name="_Hlk82765034"/>
      <w:r>
        <w:rPr>
          <w:rFonts w:hint="eastAsia" w:ascii="仿宋_GB2312" w:hAnsi="仿宋_GB2312" w:cs="Arial"/>
          <w:iCs/>
          <w:sz w:val="24"/>
        </w:rPr>
        <w:t xml:space="preserve">（三）本项目的其他资格要求：</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w:t>
      </w:r>
      <w:r>
        <w:rPr>
          <w:rFonts w:hint="eastAsia" w:ascii="仿宋_GB2312" w:hAnsi="仿宋_GB2312" w:cs="Arial"/>
          <w:iCs/>
          <w:sz w:val="24"/>
        </w:rPr>
        <w:t xml:space="preserve">未被“信用中国”网站（</w:t>
      </w:r>
      <w:r>
        <w:rPr>
          <w:rFonts w:hint="eastAsia" w:ascii="仿宋_GB2312" w:hAnsi="仿宋_GB2312" w:cs="Arial"/>
          <w:iCs/>
          <w:sz w:val="24"/>
        </w:rPr>
        <w:t xml:space="preserve">www.creditchina.gov.cn</w:t>
      </w:r>
      <w:r>
        <w:rPr>
          <w:rFonts w:hint="eastAsia" w:ascii="仿宋_GB2312" w:hAnsi="仿宋_GB2312" w:cs="Arial"/>
          <w:iCs/>
          <w:sz w:val="24"/>
        </w:rPr>
        <w:t xml:space="preserve">）、“中国政府采购网”网站（</w:t>
      </w:r>
      <w:r>
        <w:rPr>
          <w:rFonts w:hint="eastAsia" w:ascii="仿宋_GB2312" w:hAnsi="仿宋_GB2312" w:cs="Arial"/>
          <w:iCs/>
          <w:sz w:val="24"/>
        </w:rPr>
        <w:t xml:space="preserve">www.ccgp.gov.cn</w:t>
      </w:r>
      <w:r>
        <w:rPr>
          <w:rFonts w:hint="eastAsia" w:ascii="仿宋_GB2312" w:hAnsi="仿宋_GB2312" w:cs="Arial"/>
          <w:iCs/>
          <w:sz w:val="24"/>
        </w:rPr>
        <w:t xml:space="preserve">）列入失信被执行人、重大税收违法案件当事人名单、政府采购严重失信行为记录名单（承接单位可以不提供证明材料，以代理机构现场查询并截图留存为准）。</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w:t>
      </w:r>
      <w:r>
        <w:rPr>
          <w:rFonts w:hint="eastAsia" w:ascii="仿宋_GB2312" w:hAnsi="仿宋_GB2312" w:cs="Arial"/>
          <w:iCs/>
          <w:sz w:val="24"/>
        </w:rPr>
        <w:t xml:space="preserve">本项目不接受联合体投标。</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3.</w:t>
      </w:r>
      <w:r>
        <w:rPr>
          <w:rFonts w:hint="eastAsia" w:ascii="仿宋_GB2312" w:hAnsi="仿宋_GB2312" w:cs="Arial"/>
          <w:iCs/>
          <w:sz w:val="24"/>
        </w:rPr>
        <w:t xml:space="preserve">本项目不接受进口产品投标。</w:t>
      </w:r>
      <w:r>
        <w:rPr>
          <w:rFonts w:hint="eastAsia" w:ascii="仿宋_GB2312" w:hAnsi="仿宋_GB2312" w:cs="Arial"/>
          <w:iCs/>
          <w:sz w:val="24"/>
        </w:rPr>
        <w:t xml:space="preserve"> </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4.</w:t>
      </w:r>
      <w:r>
        <w:rPr>
          <w:rFonts w:hint="eastAsia" w:ascii="仿宋_GB2312" w:hAnsi="仿宋_GB2312" w:cs="Arial"/>
          <w:iCs/>
          <w:sz w:val="24"/>
        </w:rPr>
        <w:t xml:space="preserve">拒绝下述供应商参加本次采购活动：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①供应商单位负责人为同一人或者存在直接控股、管理关系的不同供应商，不得参加同一合同项下的政府采购活动；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②凡为采购项目提供整体设计、规范编制或者项目管理、监理、检测等服务的供应商，不得再参加本项目的采购活动。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③公益一类事业单位、使用事业编制且由财政拨款保障的群团组织，不得参加本项目的采购活动。</w:t>
      </w:r>
      <w:bookmarkEnd w:id="28"/>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三、获取招标文件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w:t>
      </w:r>
      <w:r>
        <w:rPr>
          <w:rFonts w:hint="eastAsia" w:ascii="宋体"/>
          <w:color w:val="000000"/>
          <w:sz w:val="24"/>
        </w:rPr>
        <w:t xml:space="preserve">地点</w:t>
      </w:r>
      <w:r>
        <w:rPr>
          <w:rFonts w:hint="eastAsia" w:ascii="宋体"/>
          <w:color w:val="000000"/>
          <w:sz w:val="24"/>
        </w:rPr>
        <w:t xml:space="preserve">：“江苏政府采购网”</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w:t>
      </w:r>
      <w:r>
        <w:rPr>
          <w:rFonts w:hint="eastAsia" w:ascii="宋体"/>
          <w:color w:val="000000"/>
          <w:sz w:val="24"/>
        </w:rPr>
        <w:t xml:space="preserve">自招标公告发布之日起至2026年</w:t>
      </w:r>
      <w:r>
        <w:rPr>
          <w:rFonts w:hint="eastAsia" w:ascii="宋体"/>
          <w:color w:val="000000"/>
          <w:sz w:val="24"/>
        </w:rPr>
        <w:t xml:space="preserve">06</w:t>
      </w:r>
      <w:r>
        <w:rPr>
          <w:rFonts w:hint="eastAsia" w:ascii="宋体"/>
          <w:color w:val="000000"/>
          <w:sz w:val="24"/>
        </w:rPr>
        <w:t xml:space="preserve">月</w:t>
      </w:r>
      <w:r>
        <w:rPr>
          <w:rFonts w:hint="eastAsia" w:ascii="宋体"/>
          <w:color w:val="000000"/>
          <w:sz w:val="24"/>
        </w:rPr>
        <w:t xml:space="preserve">14</w:t>
      </w:r>
      <w:r>
        <w:rPr>
          <w:rFonts w:hint="eastAsia" w:ascii="宋体"/>
          <w:color w:val="000000"/>
          <w:sz w:val="24"/>
        </w:rPr>
        <w:t xml:space="preserve">日23时59分，</w:t>
      </w:r>
      <w:r>
        <w:rPr>
          <w:rFonts w:hint="eastAsia" w:ascii="宋体"/>
          <w:color w:val="000000"/>
          <w:sz w:val="24"/>
        </w:rPr>
        <w:t xml:space="preserve">在“江苏政府采购网”自行免费下载招标文件。</w:t>
      </w:r>
      <w:r>
        <w:rPr>
          <w:rFonts w:hint="eastAsia" w:ascii="宋体"/>
          <w:color w:val="000000"/>
          <w:sz w:val="24"/>
        </w:rPr>
        <w:t xml:space="preserve">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29" w:name="_Hlk219329385"/>
      <w:r>
        <w:rPr>
          <w:rFonts w:hint="eastAsia" w:ascii="宋体"/>
          <w:color w:val="000000"/>
          <w:sz w:val="24"/>
        </w:rPr>
        <w:t xml:space="preserve">→</w:t>
      </w:r>
      <w:bookmarkEnd w:id="29"/>
      <w:r>
        <w:rPr>
          <w:rFonts w:ascii="宋体"/>
          <w:color w:val="000000"/>
          <w:sz w:val="24"/>
        </w:rPr>
        <w:t xml:space="preserve">点击</w:t>
      </w:r>
      <w:r>
        <w:rPr>
          <w:rFonts w:ascii="宋体"/>
          <w:color w:val="000000"/>
          <w:sz w:val="24"/>
        </w:rPr>
        <w:t xml:space="preserve">“</w:t>
      </w:r>
      <w:r>
        <w:rPr>
          <w:rFonts w:ascii="宋体"/>
          <w:color w:val="000000"/>
          <w:sz w:val="24"/>
        </w:rPr>
        <w:t xml:space="preserve">用户</w:t>
      </w:r>
      <w:r>
        <w:rPr>
          <w:rFonts w:ascii="宋体"/>
          <w:color w:val="000000"/>
          <w:sz w:val="24"/>
        </w:rPr>
        <w:t xml:space="preserve">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rPr>
        <w:t xml:space="preserve">06</w:t>
      </w:r>
      <w:r>
        <w:rPr>
          <w:rFonts w:hint="eastAsia" w:ascii="宋体" w:cs="Arial"/>
          <w:sz w:val="24"/>
          <w:szCs w:val="20"/>
        </w:rPr>
        <w:t xml:space="preserve">月</w:t>
      </w:r>
      <w:r>
        <w:rPr>
          <w:rFonts w:hint="eastAsia" w:ascii="宋体" w:cs="Arial"/>
          <w:sz w:val="24"/>
          <w:szCs w:val="20"/>
        </w:rPr>
        <w:t xml:space="preserve">24</w:t>
      </w:r>
      <w:r>
        <w:rPr>
          <w:rFonts w:hint="eastAsia" w:ascii="宋体" w:cs="Arial"/>
          <w:sz w:val="24"/>
          <w:szCs w:val="20"/>
        </w:rPr>
        <w:t xml:space="preserve">日</w:t>
      </w:r>
      <w:r>
        <w:rPr>
          <w:rFonts w:hint="eastAsia" w:ascii="宋体" w:cs="Arial"/>
          <w:sz w:val="24"/>
          <w:szCs w:val="20"/>
        </w:rPr>
        <w:t xml:space="preserve">0</w:t>
      </w:r>
      <w:r>
        <w:rPr>
          <w:rFonts w:hint="eastAsia" w:ascii="宋体"/>
          <w:bCs/>
          <w:sz w:val="24"/>
        </w:rPr>
        <w:t xml:space="preserve">8</w:t>
      </w:r>
      <w:r>
        <w:rPr>
          <w:rFonts w:hint="eastAsia" w:ascii="宋体"/>
          <w:bCs/>
          <w:sz w:val="24"/>
        </w:rPr>
        <w:t xml:space="preserve">:30</w:t>
      </w:r>
      <w:r>
        <w:rPr>
          <w:rFonts w:hint="eastAsia" w:ascii="宋体" w:cs="Arial"/>
          <w:sz w:val="24"/>
          <w:szCs w:val="20"/>
        </w:rPr>
        <w:t xml:space="preserve">（北京时间）</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2.地点：“苏</w:t>
      </w:r>
      <w:r>
        <w:rPr>
          <w:rFonts w:hint="eastAsia" w:ascii="宋体" w:cs="Arial"/>
          <w:sz w:val="24"/>
          <w:szCs w:val="20"/>
        </w:rPr>
        <w:t xml:space="preserve">采云</w:t>
      </w:r>
      <w:r>
        <w:rPr>
          <w:rFonts w:hint="eastAsia" w:ascii="宋体" w:cs="Arial"/>
          <w:sz w:val="24"/>
          <w:szCs w:val="20"/>
        </w:rPr>
        <w:t xml:space="preserve">”政府采购交易系统网上开标大厅。</w:t>
      </w:r>
      <w:r/>
    </w:p>
    <w:p>
      <w:pPr>
        <w:jc w:val="both"/>
        <w:spacing w:after="0" w:line="560" w:lineRule="exact"/>
        <w:widowControl w:val="off"/>
        <w:tabs>
          <w:tab w:val="left" w:pos="900" w:leader="none"/>
        </w:tabs>
        <w:rPr>
          <w:rFonts w:hint="eastAsia" w:ascii="宋体" w:hAnsi="宋体" w:cs="宋体"/>
          <w:b/>
          <w:sz w:val="24"/>
          <w:szCs w:val="24"/>
        </w:rPr>
      </w:pPr>
      <w:r/>
      <w:bookmarkStart w:id="30" w:name="_Toc28359084"/>
      <w:r/>
      <w:bookmarkStart w:id="31" w:name="_Toc35393625"/>
      <w:r/>
      <w:bookmarkStart w:id="32" w:name="_Toc28359007"/>
      <w:r/>
      <w:bookmarkStart w:id="33" w:name="_Toc35393794"/>
      <w:r>
        <w:rPr>
          <w:rFonts w:hint="eastAsia" w:ascii="宋体" w:hAnsi="宋体" w:cs="宋体"/>
          <w:b/>
          <w:sz w:val="24"/>
          <w:szCs w:val="24"/>
        </w:rPr>
        <w:t xml:space="preserve">五、公告期限</w:t>
      </w:r>
      <w:bookmarkEnd w:id="30"/>
      <w:r/>
      <w:bookmarkEnd w:id="31"/>
      <w:r/>
      <w:bookmarkEnd w:id="32"/>
      <w:r/>
      <w:bookmarkEnd w:id="33"/>
      <w:r/>
      <w:r/>
    </w:p>
    <w:p>
      <w:pPr>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ind w:firstLine="240"/>
        <w:rPr>
          <w:rFonts w:hint="eastAsia"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s="宋体"/>
          <w:sz w:val="24"/>
          <w:szCs w:val="24"/>
        </w:rPr>
        <w:t xml:space="preserve">被主张</w:t>
      </w:r>
      <w:r>
        <w:rPr>
          <w:rFonts w:hint="eastAsia" w:ascii="宋体" w:hAnsi="宋体" w:cs="宋体"/>
          <w:sz w:val="24"/>
          <w:szCs w:val="24"/>
        </w:rPr>
        <w:t xml:space="preserve">或认定侵权而引起的法律和经济纠纷，投标人应承担所有法律责任带来的全部最终不利后果。</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4.本项目通过苏</w:t>
      </w:r>
      <w:r>
        <w:rPr>
          <w:rFonts w:hint="eastAsia" w:ascii="宋体" w:hAnsi="宋体" w:cs="宋体"/>
          <w:sz w:val="24"/>
          <w:szCs w:val="24"/>
        </w:rPr>
        <w:t xml:space="preserve">采云</w:t>
      </w:r>
      <w:r>
        <w:rPr>
          <w:rFonts w:hint="eastAsia" w:ascii="宋体" w:hAnsi="宋体" w:cs="宋体"/>
          <w:sz w:val="24"/>
          <w:szCs w:val="24"/>
        </w:rPr>
        <w:t xml:space="preserve">系统进行招标，有意参与投标的供应商应在规定的采购文件获取期限内及时进入苏</w:t>
      </w:r>
      <w:r>
        <w:rPr>
          <w:rFonts w:hint="eastAsia" w:ascii="宋体" w:hAnsi="宋体" w:cs="宋体"/>
          <w:sz w:val="24"/>
          <w:szCs w:val="24"/>
        </w:rPr>
        <w:t xml:space="preserve">采云</w:t>
      </w:r>
      <w:r>
        <w:rPr>
          <w:rFonts w:hint="eastAsia" w:ascii="宋体" w:hAnsi="宋体" w:cs="宋体"/>
          <w:sz w:val="24"/>
          <w:szCs w:val="24"/>
        </w:rPr>
        <w:t xml:space="preserve">系统予以登记确认。供应商通过苏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系统参与政府采购项目，需要办理江苏省政府采购数字证书及电子公章，具体详见苏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系统供应商操作手册》（以下简称“操作手册”）进行注册，并制作上传电子投标文件。《操作手册》下载地址：</w:t>
      </w:r>
      <w:r/>
    </w:p>
    <w:p>
      <w:pPr>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w:t>
      </w:r>
      <w:r>
        <w:rPr>
          <w:rFonts w:hint="eastAsia" w:ascii="宋体" w:hAnsi="宋体" w:cs="宋体"/>
          <w:sz w:val="24"/>
          <w:szCs w:val="24"/>
        </w:rPr>
        <w:t xml:space="preserve">采云</w:t>
      </w:r>
      <w:r>
        <w:rPr>
          <w:rFonts w:hint="eastAsia" w:ascii="宋体" w:hAnsi="宋体" w:cs="宋体"/>
          <w:sz w:val="24"/>
          <w:szCs w:val="24"/>
        </w:rPr>
        <w:t xml:space="preserve">”南京地区客服热线025-83633744、025-83633743）。</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p>
    <w:p>
      <w:pPr>
        <w:ind w:firstLine="480"/>
        <w:jc w:val="both"/>
        <w:spacing w:after="0" w:line="560" w:lineRule="exact"/>
        <w:widowControl w:val="off"/>
        <w:rPr>
          <w:rFonts w:ascii="宋体"/>
          <w:sz w:val="24"/>
        </w:rPr>
      </w:pPr>
      <w:r/>
      <w:bookmarkStart w:id="34" w:name="_Hlk47018607"/>
      <w:r>
        <w:rPr>
          <w:rFonts w:hint="eastAsia" w:ascii="宋体"/>
          <w:sz w:val="24"/>
        </w:rPr>
        <w:t xml:space="preserve">1.采购人联系方式</w:t>
      </w:r>
      <w:r/>
    </w:p>
    <w:p>
      <w:pPr>
        <w:ind w:firstLine="480"/>
        <w:jc w:val="both"/>
        <w:spacing w:after="0" w:line="560" w:lineRule="exact"/>
        <w:widowControl w:val="off"/>
        <w:rPr>
          <w:rFonts w:ascii="宋体"/>
          <w:sz w:val="24"/>
        </w:rPr>
      </w:pPr>
      <w:r>
        <w:rPr>
          <w:rFonts w:hint="eastAsia" w:ascii="宋体"/>
          <w:sz w:val="24"/>
        </w:rPr>
        <w:t xml:space="preserve">名称：江苏省市场监督管理局</w:t>
      </w:r>
      <w:r/>
    </w:p>
    <w:p>
      <w:pPr>
        <w:ind w:firstLine="480"/>
        <w:jc w:val="both"/>
        <w:spacing w:after="0" w:line="560" w:lineRule="exact"/>
        <w:widowControl w:val="off"/>
        <w:rPr>
          <w:rFonts w:ascii="宋体"/>
          <w:sz w:val="24"/>
        </w:rPr>
      </w:pPr>
      <w:r>
        <w:rPr>
          <w:rFonts w:hint="eastAsia" w:ascii="宋体"/>
          <w:sz w:val="24"/>
        </w:rPr>
        <w:t xml:space="preserve">地址：南京市鼓楼区草场门大街107号龙江大厦</w:t>
      </w:r>
      <w:r/>
    </w:p>
    <w:p>
      <w:pPr>
        <w:ind w:firstLine="480"/>
        <w:jc w:val="both"/>
        <w:spacing w:after="0" w:line="560" w:lineRule="exact"/>
        <w:widowControl w:val="off"/>
        <w:rPr>
          <w:rFonts w:ascii="宋体"/>
          <w:sz w:val="24"/>
        </w:rPr>
      </w:pPr>
      <w:r>
        <w:rPr>
          <w:rFonts w:hint="eastAsia" w:ascii="宋体"/>
          <w:sz w:val="24"/>
        </w:rPr>
        <w:t xml:space="preserve">联系人：仇老师</w:t>
      </w:r>
      <w:r/>
    </w:p>
    <w:p>
      <w:pPr>
        <w:ind w:firstLine="480"/>
        <w:jc w:val="both"/>
        <w:spacing w:after="0" w:line="560" w:lineRule="exact"/>
        <w:widowControl w:val="off"/>
        <w:rPr>
          <w:rFonts w:ascii="宋体"/>
          <w:sz w:val="24"/>
        </w:rPr>
      </w:pPr>
      <w:r>
        <w:rPr>
          <w:rFonts w:hint="eastAsia" w:ascii="宋体"/>
          <w:sz w:val="24"/>
        </w:rPr>
        <w:t xml:space="preserve">联系方式：025-</w:t>
      </w:r>
      <w:r>
        <w:rPr>
          <w:rFonts w:ascii="宋体"/>
          <w:sz w:val="24"/>
        </w:rPr>
        <w:t xml:space="preserve">85537507</w:t>
      </w:r>
      <w:r/>
    </w:p>
    <w:p>
      <w:pPr>
        <w:ind w:firstLine="480"/>
        <w:jc w:val="both"/>
        <w:spacing w:after="0" w:line="560" w:lineRule="exact"/>
        <w:widowControl w:val="off"/>
        <w:rPr>
          <w:rFonts w:ascii="宋体"/>
          <w:sz w:val="24"/>
        </w:rPr>
      </w:pPr>
      <w:r>
        <w:rPr>
          <w:rFonts w:hint="eastAsia" w:ascii="宋体"/>
          <w:sz w:val="24"/>
        </w:rPr>
        <w:t xml:space="preserve">2.采购代理机构联系方式</w:t>
      </w:r>
      <w:r/>
    </w:p>
    <w:p>
      <w:pPr>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p>
    <w:p>
      <w:pPr>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p>
    <w:p>
      <w:pPr>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bookmarkEnd w:id="34"/>
      <w:r/>
      <w:r/>
    </w:p>
    <w:p>
      <w:pPr>
        <w:ind w:firstLine="480"/>
        <w:jc w:val="both"/>
        <w:spacing w:after="0" w:line="560" w:lineRule="exact"/>
        <w:widowControl w:val="off"/>
        <w:rPr>
          <w:rFonts w:ascii="宋体"/>
          <w:sz w:val="24"/>
        </w:rPr>
      </w:pPr>
      <w:r>
        <w:rPr>
          <w:rFonts w:hint="eastAsia" w:ascii="宋体"/>
          <w:sz w:val="24"/>
        </w:rPr>
        <w:t xml:space="preserve">项目联系人：吉工 </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电　话：025-52813631   </w:t>
      </w:r>
      <w:r/>
    </w:p>
    <w:p>
      <w:pPr>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8"/>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pStyle w:val="743"/>
        <w:jc w:val="center"/>
        <w:keepLines w:val="0"/>
        <w:spacing w:before="0" w:line="240" w:lineRule="auto"/>
        <w:widowControl w:val="off"/>
        <w:rPr>
          <w:rFonts w:hint="eastAsia" w:ascii="黑体" w:hAnsi="楷体_GB2312" w:eastAsia="黑体"/>
          <w:b w:val="0"/>
          <w:bCs w:val="0"/>
          <w:sz w:val="44"/>
          <w:szCs w:val="44"/>
        </w:rPr>
      </w:pPr>
      <w:r>
        <w:rPr>
          <w:rFonts w:ascii="宋体"/>
          <w:b w:val="0"/>
          <w:bCs w:val="0"/>
          <w:sz w:val="24"/>
          <w:szCs w:val="24"/>
        </w:rPr>
        <w:br w:type="page" w:clear="all"/>
      </w:r>
      <w:bookmarkStart w:id="35" w:name="_Toc17291674"/>
      <w:r/>
      <w:bookmarkStart w:id="36" w:name="_Toc120614211"/>
      <w:r/>
      <w:bookmarkStart w:id="37" w:name="_Toc192946452"/>
      <w:r/>
      <w:bookmarkStart w:id="38" w:name="_Toc17291078"/>
      <w:r>
        <w:rPr>
          <w:rFonts w:hint="eastAsia" w:ascii="黑体" w:hAnsi="楷体_GB2312" w:eastAsia="黑体"/>
          <w:b w:val="0"/>
          <w:bCs w:val="0"/>
          <w:color w:val="auto"/>
          <w:sz w:val="44"/>
          <w:szCs w:val="44"/>
        </w:rPr>
        <w:t xml:space="preserve">第二章  投标人须知</w:t>
      </w:r>
      <w:bookmarkEnd w:id="5"/>
      <w:r/>
      <w:bookmarkEnd w:id="6"/>
      <w:r/>
      <w:bookmarkEnd w:id="7"/>
      <w:r/>
      <w:bookmarkEnd w:id="8"/>
      <w:r/>
      <w:bookmarkEnd w:id="9"/>
      <w:r/>
      <w:bookmarkEnd w:id="35"/>
      <w:r/>
      <w:bookmarkEnd w:id="36"/>
      <w:r/>
      <w:bookmarkEnd w:id="37"/>
      <w:r/>
      <w:bookmarkEnd w:id="38"/>
      <w:r/>
      <w:r/>
    </w:p>
    <w:p>
      <w:pPr>
        <w:ind w:firstLine="480"/>
        <w:jc w:val="both"/>
        <w:spacing w:after="0" w:line="560" w:lineRule="exact"/>
        <w:widowControl w:val="off"/>
        <w:rPr>
          <w:rFonts w:ascii="宋体"/>
          <w:iCs/>
          <w:sz w:val="24"/>
        </w:rPr>
      </w:pPr>
      <w:r/>
      <w:bookmarkStart w:id="39" w:name="_Hlt26954734"/>
      <w:r/>
      <w:bookmarkStart w:id="40" w:name="_Hlt26670360"/>
      <w:r/>
      <w:bookmarkStart w:id="41" w:name="_Hlt16619475"/>
      <w:r/>
      <w:bookmarkStart w:id="42" w:name="_Hlt26954850"/>
      <w:r/>
      <w:bookmarkStart w:id="43" w:name="_Hlt26668975"/>
      <w:r/>
      <w:bookmarkStart w:id="44" w:name="_Hlt26954739"/>
      <w:r/>
      <w:bookmarkStart w:id="45" w:name="_Hlt26668999"/>
      <w:r/>
      <w:bookmarkStart w:id="46" w:name="_Hlt26954838"/>
      <w:r/>
      <w:bookmarkStart w:id="47" w:name="_Hlt26954852"/>
      <w:r/>
      <w:bookmarkStart w:id="48" w:name="_Hlt26670489"/>
      <w:r/>
      <w:bookmarkStart w:id="49" w:name="_Toc120614214"/>
      <w:r/>
      <w:bookmarkStart w:id="50" w:name="_Toc17291079"/>
      <w:r/>
      <w:bookmarkStart w:id="51" w:name="_Toc513029203"/>
      <w:r/>
      <w:bookmarkStart w:id="52" w:name="_Toc20823275"/>
      <w:r/>
      <w:bookmarkStart w:id="53" w:name="_Toc16938519"/>
      <w:r/>
      <w:bookmarkEnd w:id="39"/>
      <w:r/>
      <w:bookmarkEnd w:id="40"/>
      <w:r/>
      <w:bookmarkEnd w:id="41"/>
      <w:r/>
      <w:bookmarkEnd w:id="42"/>
      <w:r/>
      <w:bookmarkEnd w:id="43"/>
      <w:r/>
      <w:bookmarkEnd w:id="44"/>
      <w:r/>
      <w:bookmarkEnd w:id="45"/>
      <w:r/>
      <w:bookmarkEnd w:id="46"/>
      <w:r/>
      <w:bookmarkEnd w:id="47"/>
      <w:r/>
      <w:bookmarkEnd w:id="48"/>
      <w:r>
        <w:rPr>
          <w:rFonts w:hint="eastAsia" w:ascii="宋体"/>
          <w:iCs/>
          <w:sz w:val="24"/>
        </w:rPr>
        <w:t xml:space="preserve">一、总则</w:t>
      </w:r>
      <w:r/>
    </w:p>
    <w:p>
      <w:pPr>
        <w:ind w:firstLine="480"/>
        <w:jc w:val="both"/>
        <w:spacing w:after="0" w:line="560" w:lineRule="exact"/>
        <w:widowControl w:val="off"/>
        <w:rPr>
          <w:rFonts w:ascii="宋体"/>
          <w:iCs/>
          <w:sz w:val="24"/>
        </w:rPr>
      </w:pPr>
      <w:r>
        <w:rPr>
          <w:rFonts w:hint="eastAsia" w:ascii="宋体"/>
          <w:iCs/>
          <w:sz w:val="24"/>
        </w:rPr>
        <w:t xml:space="preserve">1、招标方式</w:t>
      </w:r>
      <w:r/>
    </w:p>
    <w:p>
      <w:pPr>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p>
    <w:p>
      <w:pPr>
        <w:ind w:firstLine="480"/>
        <w:jc w:val="both"/>
        <w:spacing w:after="0" w:line="560" w:lineRule="exact"/>
        <w:widowControl w:val="off"/>
        <w:rPr>
          <w:rFonts w:ascii="宋体"/>
          <w:iCs/>
          <w:sz w:val="24"/>
        </w:rPr>
      </w:pPr>
      <w:r>
        <w:rPr>
          <w:rFonts w:hint="eastAsia" w:ascii="宋体"/>
          <w:iCs/>
          <w:sz w:val="24"/>
        </w:rPr>
        <w:t xml:space="preserve">2、合格的供应商</w:t>
      </w:r>
      <w:r/>
    </w:p>
    <w:p>
      <w:pPr>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p>
    <w:p>
      <w:pPr>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p>
    <w:p>
      <w:pPr>
        <w:ind w:firstLine="480"/>
        <w:jc w:val="both"/>
        <w:spacing w:after="0" w:line="560" w:lineRule="exact"/>
        <w:widowControl w:val="off"/>
        <w:rPr>
          <w:rFonts w:ascii="宋体"/>
          <w:iCs/>
          <w:sz w:val="24"/>
        </w:rPr>
      </w:pPr>
      <w:r>
        <w:rPr>
          <w:rFonts w:hint="eastAsia" w:ascii="宋体"/>
          <w:iCs/>
          <w:sz w:val="24"/>
        </w:rPr>
        <w:t xml:space="preserve">2.3本招标文件中如有“投标人”“中标人”“承检机构”“中标供应商”等称谓，如无特别说明均指自愿参与本项目投标的供应商。</w:t>
      </w:r>
      <w:r/>
    </w:p>
    <w:p>
      <w:pPr>
        <w:ind w:firstLine="480"/>
        <w:jc w:val="both"/>
        <w:spacing w:after="0" w:line="560" w:lineRule="exact"/>
        <w:widowControl w:val="off"/>
        <w:rPr>
          <w:rFonts w:ascii="宋体"/>
          <w:iCs/>
          <w:sz w:val="24"/>
        </w:rPr>
      </w:pPr>
      <w:r>
        <w:rPr>
          <w:rFonts w:hint="eastAsia" w:ascii="宋体"/>
          <w:iCs/>
          <w:sz w:val="24"/>
        </w:rPr>
        <w:t xml:space="preserve">3、适用法律</w:t>
      </w:r>
      <w:r/>
    </w:p>
    <w:p>
      <w:pPr>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p>
    <w:p>
      <w:pPr>
        <w:ind w:firstLine="480"/>
        <w:jc w:val="both"/>
        <w:spacing w:after="0" w:line="560" w:lineRule="exact"/>
        <w:widowControl w:val="off"/>
        <w:rPr>
          <w:rFonts w:ascii="宋体"/>
          <w:iCs/>
          <w:sz w:val="24"/>
        </w:rPr>
      </w:pPr>
      <w:r>
        <w:rPr>
          <w:rFonts w:hint="eastAsia" w:ascii="宋体"/>
          <w:iCs/>
          <w:sz w:val="24"/>
        </w:rPr>
        <w:t xml:space="preserve">4、投标费用</w:t>
      </w:r>
      <w:r/>
    </w:p>
    <w:p>
      <w:pPr>
        <w:ind w:firstLine="480"/>
        <w:jc w:val="both"/>
        <w:spacing w:after="0" w:line="560" w:lineRule="exact"/>
        <w:widowControl w:val="off"/>
        <w:rPr>
          <w:rFonts w:ascii="宋体"/>
          <w:iCs/>
          <w:sz w:val="24"/>
        </w:rPr>
      </w:pPr>
      <w:r>
        <w:rPr>
          <w:rFonts w:hint="eastAsia" w:ascii="宋体"/>
          <w:iCs/>
          <w:sz w:val="24"/>
        </w:rPr>
        <w:t xml:space="preserve">4.1 供应商应自行承担所有与参加投标有关的费用，无论投标过程中的做法和结果如何，南京小旸树招标代理有限公司及采购人在任何情况下均无义务和责任承担这些费用。</w:t>
      </w:r>
      <w:r/>
    </w:p>
    <w:p>
      <w:pPr>
        <w:ind w:firstLine="598"/>
        <w:jc w:val="both"/>
        <w:spacing w:after="0" w:line="560" w:lineRule="exact"/>
        <w:tabs>
          <w:tab w:val="left" w:pos="900" w:leader="none"/>
        </w:tabs>
        <w:rPr>
          <w:rFonts w:ascii="宋体"/>
          <w:iCs/>
          <w:sz w:val="24"/>
        </w:rPr>
      </w:pPr>
      <w:r>
        <w:rPr>
          <w:rFonts w:hint="eastAsia" w:ascii="宋体"/>
          <w:iCs/>
          <w:sz w:val="24"/>
        </w:rPr>
        <w:t xml:space="preserve">4.2代理服务费（按整个项目计算）</w:t>
      </w:r>
      <w:r/>
    </w:p>
    <w:p>
      <w:pPr>
        <w:ind w:firstLine="598"/>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w:t>
      </w:r>
      <w:r>
        <w:rPr>
          <w:rFonts w:hint="eastAsia" w:ascii="宋体"/>
          <w:iCs/>
          <w:sz w:val="24"/>
        </w:rPr>
        <w:t xml:space="preserve">第十五条</w:t>
      </w:r>
      <w:r>
        <w:rPr>
          <w:rFonts w:hint="eastAsia" w:ascii="宋体"/>
          <w:iCs/>
          <w:sz w:val="24"/>
        </w:rPr>
        <w:t xml:space="preserve">、《关于进一步规范政府采购活动相关费用管理的通知》（苏财</w:t>
      </w:r>
      <w:r>
        <w:rPr>
          <w:rFonts w:hint="eastAsia" w:ascii="宋体"/>
          <w:iCs/>
          <w:sz w:val="24"/>
        </w:rPr>
        <w:t xml:space="preserve">规</w:t>
      </w:r>
      <w:r>
        <w:rPr>
          <w:rFonts w:hint="eastAsia" w:ascii="宋体"/>
          <w:iCs/>
          <w:sz w:val="24"/>
        </w:rPr>
        <w:t xml:space="preserve">〔2026〕1号）规定，经采购人研究确定，本项目代理服务费由中标供应商支付。</w:t>
      </w:r>
      <w:r/>
    </w:p>
    <w:p>
      <w:pPr>
        <w:ind w:firstLine="598"/>
        <w:jc w:val="both"/>
        <w:spacing w:after="0" w:line="560" w:lineRule="exact"/>
        <w:tabs>
          <w:tab w:val="left" w:pos="900" w:leader="none"/>
        </w:tabs>
        <w:rPr>
          <w:rFonts w:ascii="宋体"/>
          <w:iCs/>
          <w:sz w:val="24"/>
        </w:rPr>
      </w:pPr>
      <w:r>
        <w:rPr>
          <w:rFonts w:hint="eastAsia" w:ascii="宋体"/>
          <w:iCs/>
          <w:sz w:val="24"/>
        </w:rPr>
        <w:t xml:space="preserve">4.2.2报价要求：供应商在报价时应将代理服务费全额包含在投标报价中，采购人不再另行支付。</w:t>
      </w:r>
      <w:r/>
    </w:p>
    <w:p>
      <w:pPr>
        <w:ind w:firstLine="598"/>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p>
    <w:tbl>
      <w:tblPr>
        <w:tblW w:w="6535" w:type="dxa"/>
        <w:tblInd w:w="1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472"/>
        <w:gridCol w:w="2078"/>
        <w:gridCol w:w="1985"/>
      </w:tblGrid>
      <w:tr>
        <w:trPr>
          <w:trHeight w:val="255"/>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p>
        </w:tc>
      </w:tr>
      <w:tr>
        <w:trPr>
          <w:trHeight w:val="405"/>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p>
        </w:tc>
      </w:tr>
      <w:tr>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p>
        </w:tc>
      </w:tr>
      <w:tr>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p>
        </w:tc>
      </w:tr>
      <w:tr>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p>
        </w:tc>
      </w:tr>
    </w:tbl>
    <w:p>
      <w:pPr>
        <w:ind w:firstLine="598"/>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p>
    <w:p>
      <w:pPr>
        <w:ind w:firstLine="598"/>
        <w:jc w:val="both"/>
        <w:spacing w:after="0" w:line="560" w:lineRule="exact"/>
        <w:tabs>
          <w:tab w:val="left" w:pos="900" w:leader="none"/>
        </w:tabs>
        <w:rPr>
          <w:rFonts w:ascii="宋体"/>
          <w:b/>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p>
    <w:p>
      <w:pPr>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ind w:firstLine="598"/>
        <w:spacing w:after="0" w:line="560" w:lineRule="exact"/>
        <w:tabs>
          <w:tab w:val="left" w:pos="900" w:leader="none"/>
        </w:tabs>
        <w:rPr>
          <w:rFonts w:hint="eastAsia" w:ascii="宋体" w:hAnsi="宋体"/>
          <w:b/>
          <w:sz w:val="24"/>
        </w:rPr>
      </w:pPr>
      <w:r>
        <w:rPr>
          <w:rFonts w:hint="eastAsia" w:ascii="宋体" w:hAnsi="宋体"/>
          <w:bCs/>
          <w:sz w:val="24"/>
        </w:rPr>
        <w:t xml:space="preserve">账号：320006642018010101049</w:t>
      </w:r>
      <w:r/>
    </w:p>
    <w:p>
      <w:pPr>
        <w:ind w:firstLine="480"/>
        <w:jc w:val="both"/>
        <w:spacing w:after="0" w:line="560" w:lineRule="exact"/>
        <w:widowControl w:val="off"/>
        <w:rPr>
          <w:rFonts w:ascii="宋体"/>
          <w:iCs/>
          <w:sz w:val="24"/>
        </w:rPr>
      </w:pPr>
      <w:r>
        <w:rPr>
          <w:rFonts w:hint="eastAsia" w:ascii="宋体"/>
          <w:iCs/>
          <w:sz w:val="24"/>
        </w:rPr>
        <w:t xml:space="preserve">5、招标文件的约束力</w:t>
      </w:r>
      <w:r/>
    </w:p>
    <w:p>
      <w:pPr>
        <w:ind w:firstLine="480"/>
        <w:jc w:val="both"/>
        <w:spacing w:after="0" w:line="560" w:lineRule="exact"/>
        <w:widowControl w:val="off"/>
        <w:rPr>
          <w:rFonts w:ascii="宋体"/>
          <w:iCs/>
          <w:sz w:val="24"/>
        </w:rPr>
      </w:pPr>
      <w:r>
        <w:rPr>
          <w:rFonts w:hint="eastAsia" w:ascii="宋体"/>
          <w:iCs/>
          <w:sz w:val="24"/>
        </w:rPr>
        <w:t xml:space="preserve">5.1 供应商一旦参加本项目采购活动，即被认为接受了本招标文件的规定和约束。</w:t>
      </w:r>
      <w:r/>
    </w:p>
    <w:p>
      <w:pPr>
        <w:ind w:firstLine="480"/>
        <w:jc w:val="both"/>
        <w:spacing w:after="0" w:line="560" w:lineRule="exact"/>
        <w:widowControl w:val="off"/>
        <w:rPr>
          <w:rFonts w:ascii="宋体"/>
          <w:iCs/>
          <w:sz w:val="24"/>
        </w:rPr>
      </w:pPr>
      <w:r>
        <w:rPr>
          <w:rFonts w:hint="eastAsia" w:ascii="宋体"/>
          <w:iCs/>
          <w:sz w:val="24"/>
        </w:rPr>
        <w:t xml:space="preserve">二、招标文件</w:t>
      </w:r>
      <w:r/>
    </w:p>
    <w:p>
      <w:pPr>
        <w:ind w:firstLine="480"/>
        <w:jc w:val="both"/>
        <w:spacing w:after="0" w:line="560" w:lineRule="exact"/>
        <w:widowControl w:val="off"/>
        <w:rPr>
          <w:rFonts w:ascii="宋体"/>
          <w:iCs/>
          <w:sz w:val="24"/>
        </w:rPr>
      </w:pPr>
      <w:r>
        <w:rPr>
          <w:rFonts w:hint="eastAsia" w:ascii="宋体"/>
          <w:iCs/>
          <w:sz w:val="24"/>
        </w:rPr>
        <w:t xml:space="preserve">6、招标文件构成</w:t>
      </w:r>
      <w:r/>
    </w:p>
    <w:p>
      <w:pPr>
        <w:ind w:firstLine="480"/>
        <w:jc w:val="both"/>
        <w:spacing w:after="0" w:line="560" w:lineRule="exact"/>
        <w:widowControl w:val="off"/>
        <w:rPr>
          <w:rFonts w:ascii="宋体"/>
          <w:iCs/>
          <w:sz w:val="24"/>
        </w:rPr>
      </w:pPr>
      <w:r>
        <w:rPr>
          <w:rFonts w:hint="eastAsia" w:ascii="宋体"/>
          <w:iCs/>
          <w:sz w:val="24"/>
        </w:rPr>
        <w:t xml:space="preserve">6.1 招标文件由以下部分组成：</w:t>
      </w:r>
      <w:r/>
    </w:p>
    <w:p>
      <w:pPr>
        <w:ind w:firstLine="480"/>
        <w:jc w:val="both"/>
        <w:spacing w:after="0" w:line="560" w:lineRule="exact"/>
        <w:widowControl w:val="off"/>
        <w:rPr>
          <w:rFonts w:ascii="宋体"/>
          <w:iCs/>
          <w:sz w:val="24"/>
        </w:rPr>
      </w:pPr>
      <w:r>
        <w:rPr>
          <w:rFonts w:hint="eastAsia" w:ascii="宋体"/>
          <w:iCs/>
          <w:sz w:val="24"/>
        </w:rPr>
        <w:t xml:space="preserve">（1）投标邀请</w:t>
      </w:r>
      <w:r/>
    </w:p>
    <w:p>
      <w:pPr>
        <w:ind w:firstLine="480"/>
        <w:jc w:val="both"/>
        <w:spacing w:after="0" w:line="560" w:lineRule="exact"/>
        <w:widowControl w:val="off"/>
        <w:rPr>
          <w:rFonts w:ascii="宋体"/>
          <w:iCs/>
          <w:sz w:val="24"/>
        </w:rPr>
      </w:pPr>
      <w:r>
        <w:rPr>
          <w:rFonts w:hint="eastAsia" w:ascii="宋体"/>
          <w:iCs/>
          <w:sz w:val="24"/>
        </w:rPr>
        <w:t xml:space="preserve">（2）投标人须知</w:t>
      </w:r>
      <w:r/>
    </w:p>
    <w:p>
      <w:pPr>
        <w:ind w:firstLine="480"/>
        <w:jc w:val="both"/>
        <w:spacing w:after="0" w:line="560" w:lineRule="exact"/>
        <w:widowControl w:val="off"/>
        <w:rPr>
          <w:rFonts w:ascii="宋体"/>
          <w:iCs/>
          <w:sz w:val="24"/>
        </w:rPr>
      </w:pPr>
      <w:r>
        <w:rPr>
          <w:rFonts w:hint="eastAsia" w:ascii="宋体"/>
          <w:iCs/>
          <w:sz w:val="24"/>
        </w:rPr>
        <w:t xml:space="preserve">（3）合同条款及格式</w:t>
      </w:r>
      <w:r/>
    </w:p>
    <w:p>
      <w:pPr>
        <w:ind w:firstLine="480"/>
        <w:jc w:val="both"/>
        <w:spacing w:after="0" w:line="560" w:lineRule="exact"/>
        <w:widowControl w:val="off"/>
        <w:rPr>
          <w:rFonts w:ascii="宋体"/>
          <w:iCs/>
          <w:sz w:val="24"/>
        </w:rPr>
      </w:pPr>
      <w:r>
        <w:rPr>
          <w:rFonts w:hint="eastAsia" w:ascii="宋体"/>
          <w:iCs/>
          <w:sz w:val="24"/>
        </w:rPr>
        <w:t xml:space="preserve">（4）项目需求</w:t>
      </w:r>
      <w:r/>
    </w:p>
    <w:p>
      <w:pPr>
        <w:ind w:firstLine="480"/>
        <w:jc w:val="both"/>
        <w:spacing w:after="0" w:line="560" w:lineRule="exact"/>
        <w:widowControl w:val="off"/>
        <w:rPr>
          <w:rFonts w:ascii="宋体"/>
          <w:iCs/>
          <w:sz w:val="24"/>
        </w:rPr>
      </w:pPr>
      <w:r>
        <w:rPr>
          <w:rFonts w:hint="eastAsia" w:ascii="宋体"/>
          <w:iCs/>
          <w:sz w:val="24"/>
        </w:rPr>
        <w:t xml:space="preserve">（5）评标方法与评标标准</w:t>
      </w:r>
      <w:r/>
    </w:p>
    <w:p>
      <w:pPr>
        <w:ind w:firstLine="480"/>
        <w:jc w:val="both"/>
        <w:spacing w:after="0" w:line="560" w:lineRule="exact"/>
        <w:widowControl w:val="off"/>
        <w:rPr>
          <w:rFonts w:ascii="宋体"/>
          <w:iCs/>
          <w:sz w:val="24"/>
        </w:rPr>
      </w:pPr>
      <w:r>
        <w:rPr>
          <w:rFonts w:hint="eastAsia" w:ascii="宋体"/>
          <w:iCs/>
          <w:sz w:val="24"/>
        </w:rPr>
        <w:t xml:space="preserve">（6）投标文件格式</w:t>
      </w:r>
      <w:r/>
    </w:p>
    <w:p>
      <w:pPr>
        <w:ind w:firstLine="480"/>
        <w:jc w:val="both"/>
        <w:spacing w:after="0" w:line="560" w:lineRule="exact"/>
        <w:widowControl w:val="off"/>
        <w:rPr>
          <w:rFonts w:ascii="宋体"/>
          <w:iCs/>
          <w:sz w:val="24"/>
        </w:rPr>
      </w:pPr>
      <w:r>
        <w:rPr>
          <w:rFonts w:hint="eastAsia" w:ascii="宋体"/>
          <w:iCs/>
          <w:sz w:val="24"/>
        </w:rPr>
        <w:t xml:space="preserve">请仔细检查招标文件是否齐全，如有</w:t>
      </w:r>
      <w:r>
        <w:rPr>
          <w:rFonts w:hint="eastAsia" w:ascii="宋体"/>
          <w:iCs/>
          <w:sz w:val="24"/>
        </w:rPr>
        <w:t xml:space="preserve">缺漏请</w:t>
      </w:r>
      <w:r>
        <w:rPr>
          <w:rFonts w:hint="eastAsia" w:ascii="宋体"/>
          <w:iCs/>
          <w:sz w:val="24"/>
        </w:rPr>
        <w:t xml:space="preserve">立即与南京小旸树招标代理有限公司联系解决。</w:t>
      </w:r>
      <w:r/>
    </w:p>
    <w:p>
      <w:pPr>
        <w:ind w:firstLine="480"/>
        <w:jc w:val="both"/>
        <w:spacing w:after="0" w:line="560" w:lineRule="exact"/>
        <w:widowControl w:val="off"/>
        <w:rPr>
          <w:rFonts w:ascii="宋体"/>
          <w:iCs/>
          <w:sz w:val="24"/>
        </w:rPr>
      </w:pPr>
      <w:r>
        <w:rPr>
          <w:rFonts w:hint="eastAsia" w:ascii="宋体"/>
          <w:iCs/>
          <w:sz w:val="24"/>
        </w:rPr>
        <w:t xml:space="preserve">6.2 供应商应认真阅读招标文件中所有的事项、格式、条款和规范等要求。按招标文件要求和规定编制投标文件，并保证所提供的全部资料的真实性，以使其投标文件对招标文件</w:t>
      </w:r>
      <w:r>
        <w:rPr>
          <w:rFonts w:hint="eastAsia" w:ascii="宋体"/>
          <w:iCs/>
          <w:sz w:val="24"/>
        </w:rPr>
        <w:t xml:space="preserve">作出</w:t>
      </w:r>
      <w:r>
        <w:rPr>
          <w:rFonts w:hint="eastAsia" w:ascii="宋体"/>
          <w:iCs/>
          <w:sz w:val="24"/>
        </w:rPr>
        <w:t xml:space="preserve">实质性响应，否则其风险由供应商自行承担。</w:t>
      </w:r>
      <w:r/>
    </w:p>
    <w:p>
      <w:pPr>
        <w:ind w:firstLine="480"/>
        <w:jc w:val="both"/>
        <w:spacing w:after="0" w:line="560" w:lineRule="exact"/>
        <w:widowControl w:val="off"/>
        <w:rPr>
          <w:rFonts w:ascii="宋体"/>
          <w:iCs/>
          <w:sz w:val="24"/>
        </w:rPr>
      </w:pPr>
      <w:r>
        <w:rPr>
          <w:rFonts w:hint="eastAsia" w:ascii="宋体"/>
          <w:iCs/>
          <w:sz w:val="24"/>
        </w:rPr>
        <w:t xml:space="preserve">7、招标文件的澄清</w:t>
      </w:r>
      <w:r/>
    </w:p>
    <w:p>
      <w:pPr>
        <w:ind w:firstLine="480"/>
        <w:jc w:val="both"/>
        <w:spacing w:after="0" w:line="560" w:lineRule="exact"/>
        <w:widowControl w:val="off"/>
        <w:rPr>
          <w:rFonts w:ascii="宋体"/>
          <w:iCs/>
          <w:sz w:val="24"/>
        </w:rPr>
      </w:pPr>
      <w:r>
        <w:rPr>
          <w:rFonts w:hint="eastAsia" w:ascii="宋体"/>
          <w:iCs/>
          <w:sz w:val="24"/>
        </w:rPr>
        <w:t xml:space="preserve">7.1 任何要求对招标文件进行澄清的供应商，应在投标截止期十日前按招标公告中的通讯地址，以书面形式通知南京小旸树招标代理有限公司。</w:t>
      </w:r>
      <w:r/>
    </w:p>
    <w:p>
      <w:pPr>
        <w:ind w:firstLine="480"/>
        <w:jc w:val="both"/>
        <w:spacing w:after="0" w:line="560" w:lineRule="exact"/>
        <w:widowControl w:val="off"/>
        <w:rPr>
          <w:rFonts w:ascii="宋体"/>
          <w:iCs/>
          <w:sz w:val="24"/>
        </w:rPr>
      </w:pPr>
      <w:r>
        <w:rPr>
          <w:rFonts w:hint="eastAsia" w:ascii="宋体"/>
          <w:iCs/>
          <w:sz w:val="24"/>
        </w:rPr>
        <w:t xml:space="preserve">8、招标文件的修改</w:t>
      </w:r>
      <w:r/>
    </w:p>
    <w:p>
      <w:pPr>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p>
    <w:p>
      <w:pPr>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p>
    <w:p>
      <w:pPr>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招标文件的修改将在江苏政府采购网公布，补充文件将作为招标文件的组成部分，并对供应商具有约束力。</w:t>
      </w:r>
      <w:r/>
    </w:p>
    <w:p>
      <w:pPr>
        <w:ind w:firstLine="480"/>
        <w:jc w:val="both"/>
        <w:spacing w:after="0" w:line="560" w:lineRule="exact"/>
        <w:widowControl w:val="off"/>
        <w:rPr>
          <w:rFonts w:ascii="宋体"/>
          <w:iCs/>
          <w:sz w:val="24"/>
        </w:rPr>
      </w:pPr>
      <w:r>
        <w:rPr>
          <w:rFonts w:hint="eastAsia" w:ascii="宋体"/>
          <w:iCs/>
          <w:sz w:val="24"/>
        </w:rPr>
        <w:t xml:space="preserve">三、投标文件的编制</w:t>
      </w:r>
      <w:r/>
    </w:p>
    <w:p>
      <w:pPr>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p>
    <w:p>
      <w:pPr>
        <w:ind w:firstLine="480"/>
        <w:jc w:val="both"/>
        <w:spacing w:after="0" w:line="560" w:lineRule="exact"/>
        <w:widowControl w:val="off"/>
        <w:rPr>
          <w:rFonts w:ascii="宋体"/>
          <w:iCs/>
          <w:sz w:val="24"/>
        </w:rPr>
      </w:pPr>
      <w:r>
        <w:rPr>
          <w:rFonts w:hint="eastAsia" w:ascii="宋体"/>
          <w:iCs/>
          <w:sz w:val="24"/>
        </w:rPr>
        <w:t xml:space="preserve">9.1 供应商提交的投标文件以及供应商与南京小旸树招标代理有限公司就有关投标的所有来往通知、函件和文件均应使用简体中文，同一条款内容既有中文也有外文的，以中文意义为准。投标文件中如提供外文证明材料或资料、授权</w:t>
      </w:r>
      <w:r>
        <w:rPr>
          <w:rFonts w:hint="eastAsia" w:ascii="宋体"/>
          <w:iCs/>
          <w:sz w:val="24"/>
        </w:rPr>
        <w:t xml:space="preserve">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iCs/>
          <w:sz w:val="24"/>
        </w:rPr>
        <w:t xml:space="preserve">作出</w:t>
      </w:r>
      <w:r>
        <w:rPr>
          <w:rFonts w:hint="eastAsia" w:ascii="宋体"/>
          <w:iCs/>
          <w:sz w:val="24"/>
        </w:rPr>
        <w:t xml:space="preserve">否决或负偏离认定，供应商需自行承担由此引起的一切后果。</w:t>
      </w:r>
      <w:r/>
    </w:p>
    <w:p>
      <w:pPr>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p>
    <w:p>
      <w:pPr>
        <w:ind w:firstLine="480"/>
        <w:jc w:val="both"/>
        <w:spacing w:after="0" w:line="560" w:lineRule="exact"/>
        <w:widowControl w:val="off"/>
        <w:rPr>
          <w:rFonts w:ascii="宋体"/>
          <w:iCs/>
          <w:sz w:val="24"/>
        </w:rPr>
      </w:pPr>
      <w:r>
        <w:rPr>
          <w:rFonts w:hint="eastAsia" w:ascii="宋体"/>
          <w:iCs/>
          <w:sz w:val="24"/>
        </w:rPr>
        <w:t xml:space="preserve">10、投标文件构成</w:t>
      </w:r>
      <w:r/>
    </w:p>
    <w:p>
      <w:pPr>
        <w:ind w:firstLine="480"/>
        <w:jc w:val="both"/>
        <w:spacing w:after="0" w:line="560" w:lineRule="exact"/>
        <w:widowControl w:val="off"/>
        <w:rPr>
          <w:rFonts w:ascii="宋体"/>
          <w:iCs/>
          <w:sz w:val="24"/>
        </w:rPr>
      </w:pPr>
      <w:r>
        <w:rPr>
          <w:rFonts w:hint="eastAsia" w:ascii="宋体"/>
          <w:iCs/>
          <w:sz w:val="24"/>
        </w:rPr>
        <w:t xml:space="preserve">10.1 供应商编写的投标文件应包括资信证明文件、分项报价表、技术参数响应及偏离表、商务条款响应及偏离表、技术及售后服务承诺书、投标函、开标一览表等部分。</w:t>
      </w:r>
      <w:r/>
    </w:p>
    <w:p>
      <w:pPr>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p>
    <w:p>
      <w:pPr>
        <w:ind w:firstLine="480"/>
        <w:jc w:val="both"/>
        <w:spacing w:after="0" w:line="560" w:lineRule="exact"/>
        <w:widowControl w:val="off"/>
        <w:rPr>
          <w:rFonts w:ascii="宋体"/>
          <w:iCs/>
          <w:sz w:val="24"/>
        </w:rPr>
      </w:pPr>
      <w:r>
        <w:rPr>
          <w:rFonts w:hint="eastAsia" w:ascii="宋体"/>
          <w:iCs/>
          <w:sz w:val="24"/>
        </w:rPr>
        <w:t xml:space="preserve">11、证明供应商资格及符合招标文件规定的文件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11.1供应商应按要求提交资格证明文件及符合招标文件规定的文件。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11.2供应商应提交证明其有资格参加投标和中标后有能力独立履行合同的文件。</w:t>
      </w:r>
      <w:r/>
    </w:p>
    <w:p>
      <w:pPr>
        <w:ind w:firstLine="480"/>
        <w:jc w:val="both"/>
        <w:spacing w:after="0" w:line="560" w:lineRule="exact"/>
        <w:widowControl w:val="off"/>
        <w:rPr>
          <w:rFonts w:ascii="宋体"/>
          <w:iCs/>
          <w:sz w:val="24"/>
        </w:rPr>
      </w:pPr>
      <w:r>
        <w:rPr>
          <w:rFonts w:hint="eastAsia" w:ascii="宋体"/>
          <w:iCs/>
          <w:sz w:val="24"/>
        </w:rPr>
        <w:t xml:space="preserve">11.3供应商除必须具有履行合同所需提供的货物（设备装备等）以及服务的能力外，还必须具备相应的财务、技术方面的能力。</w:t>
      </w:r>
      <w:r/>
    </w:p>
    <w:p>
      <w:pPr>
        <w:ind w:firstLine="480"/>
        <w:jc w:val="both"/>
        <w:spacing w:after="0" w:line="560" w:lineRule="exact"/>
        <w:widowControl w:val="off"/>
        <w:rPr>
          <w:rFonts w:ascii="宋体"/>
          <w:iCs/>
          <w:sz w:val="24"/>
        </w:rPr>
      </w:pPr>
      <w:r>
        <w:rPr>
          <w:rFonts w:hint="eastAsia" w:ascii="宋体"/>
          <w:iCs/>
          <w:sz w:val="24"/>
        </w:rPr>
        <w:t xml:space="preserve">11.4供应商应提交根据合同要求提供的证明服务（产品）质量合格以及符合招标文件规定的证明文件。</w:t>
      </w:r>
      <w:r/>
    </w:p>
    <w:p>
      <w:pPr>
        <w:ind w:firstLine="480"/>
        <w:jc w:val="both"/>
        <w:spacing w:after="0" w:line="560" w:lineRule="exact"/>
        <w:widowControl w:val="off"/>
        <w:rPr>
          <w:rFonts w:ascii="宋体"/>
          <w:iCs/>
          <w:sz w:val="24"/>
        </w:rPr>
      </w:pPr>
      <w:r>
        <w:rPr>
          <w:rFonts w:hint="eastAsia" w:ascii="宋体"/>
          <w:iCs/>
          <w:sz w:val="24"/>
        </w:rPr>
        <w:t xml:space="preserve">11.5证明供应商所提供服务与招标文件的要求相一致的文件可以是手册、图纸、文字资料和数据。</w:t>
      </w:r>
      <w:r/>
    </w:p>
    <w:p>
      <w:pPr>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p>
    <w:p>
      <w:pPr>
        <w:ind w:firstLine="480"/>
        <w:jc w:val="both"/>
        <w:spacing w:after="0" w:line="560" w:lineRule="exact"/>
        <w:widowControl w:val="off"/>
        <w:rPr>
          <w:rFonts w:ascii="宋体"/>
          <w:iCs/>
          <w:sz w:val="24"/>
        </w:rPr>
      </w:pPr>
      <w:r>
        <w:rPr>
          <w:rFonts w:hint="eastAsia" w:ascii="宋体"/>
          <w:iCs/>
          <w:sz w:val="24"/>
        </w:rPr>
        <w:t xml:space="preserve">12.1供应商应按照招标文件规定格式填报投入人员一览表、投标配置与分</w:t>
      </w:r>
      <w:r>
        <w:rPr>
          <w:rFonts w:hint="eastAsia" w:ascii="宋体"/>
          <w:iCs/>
          <w:sz w:val="24"/>
        </w:rPr>
        <w:t xml:space="preserve">项报价表。每项服务只允许有一个报价，任何有选择的报价将不予接受。</w:t>
      </w:r>
      <w:r/>
    </w:p>
    <w:p>
      <w:pPr>
        <w:ind w:firstLine="480"/>
        <w:jc w:val="both"/>
        <w:spacing w:after="0" w:line="560" w:lineRule="exact"/>
        <w:widowControl w:val="off"/>
        <w:rPr>
          <w:rFonts w:ascii="宋体"/>
          <w:iCs/>
          <w:sz w:val="24"/>
        </w:rPr>
      </w:pPr>
      <w:r>
        <w:rPr>
          <w:rFonts w:hint="eastAsia" w:ascii="宋体"/>
          <w:iCs/>
          <w:sz w:val="24"/>
        </w:rPr>
        <w:t xml:space="preserve">12.2 标的物</w:t>
      </w:r>
      <w:r/>
    </w:p>
    <w:p>
      <w:pPr>
        <w:ind w:firstLine="480"/>
        <w:jc w:val="both"/>
        <w:spacing w:after="0" w:line="560" w:lineRule="exact"/>
        <w:widowControl w:val="off"/>
        <w:rPr>
          <w:rFonts w:ascii="宋体"/>
          <w:iCs/>
          <w:sz w:val="24"/>
        </w:rPr>
      </w:pPr>
      <w:r>
        <w:rPr>
          <w:rFonts w:hint="eastAsia" w:ascii="宋体"/>
          <w:iCs/>
          <w:sz w:val="24"/>
        </w:rPr>
        <w:t xml:space="preserve">详见项目需求。</w:t>
      </w:r>
      <w:r/>
    </w:p>
    <w:p>
      <w:pPr>
        <w:ind w:firstLine="480"/>
        <w:jc w:val="both"/>
        <w:spacing w:after="0" w:line="560" w:lineRule="exact"/>
        <w:widowControl w:val="off"/>
        <w:rPr>
          <w:rFonts w:ascii="宋体"/>
          <w:iCs/>
          <w:sz w:val="24"/>
        </w:rPr>
      </w:pPr>
      <w:r>
        <w:rPr>
          <w:rFonts w:hint="eastAsia" w:ascii="宋体"/>
          <w:iCs/>
          <w:sz w:val="24"/>
        </w:rPr>
        <w:t xml:space="preserve">12.3有关报价内容与范围</w:t>
      </w:r>
      <w:r/>
    </w:p>
    <w:p>
      <w:pPr>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该项目预算为全口径预算，包含了本项目所需的服务提供过程中可能发生的所有费用，</w:t>
      </w:r>
      <w:bookmarkStart w:id="57" w:name="_Hlk227213788"/>
      <w:r>
        <w:rPr>
          <w:rFonts w:hint="eastAsia" w:ascii="宋体"/>
          <w:b/>
          <w:bCs/>
          <w:iCs/>
          <w:sz w:val="24"/>
          <w:szCs w:val="24"/>
        </w:rPr>
        <w:t xml:space="preserve">包括但不限于样品购置费、检测费、实验室及检测设备使用费用、耗材、</w:t>
      </w:r>
      <w:r>
        <w:rPr>
          <w:rFonts w:hint="eastAsia" w:ascii="宋体"/>
          <w:b/>
          <w:bCs/>
          <w:iCs/>
          <w:sz w:val="24"/>
          <w:szCs w:val="24"/>
        </w:rPr>
        <w:t xml:space="preserve">报告文本费（检测报告、质量分析报告等的编制打印）、相关文书的邮寄费、样品处置费、</w:t>
      </w:r>
      <w:r>
        <w:rPr>
          <w:rFonts w:hint="eastAsia" w:ascii="宋体"/>
          <w:b/>
          <w:bCs/>
          <w:iCs/>
          <w:sz w:val="24"/>
          <w:szCs w:val="24"/>
        </w:rPr>
        <w:t xml:space="preserve">各种税费、利润、税金、人员工资（含各类保险、加班费、交通费、过节费等所有与人员相关费用）、培训及合同包含的所有风险、责任等各项相关费用。本次采购投标人的报价应包括为完成本项目发生的上述所有费用及采购代理服务费用（无需单独报价也无需单列）</w:t>
      </w:r>
      <w:bookmarkEnd w:id="57"/>
      <w:r>
        <w:rPr>
          <w:rFonts w:hint="eastAsia" w:ascii="宋体"/>
          <w:b/>
          <w:bCs/>
          <w:iCs/>
          <w:sz w:val="24"/>
          <w:szCs w:val="24"/>
        </w:rPr>
        <w:t xml:space="preserve">，中标后采购人除按中标价格支付采购资金以外，不再另行支付任何费用。本采购文件中另有规定的除外。</w:t>
      </w:r>
      <w:r/>
    </w:p>
    <w:p>
      <w:pPr>
        <w:ind w:firstLine="480"/>
        <w:jc w:val="both"/>
        <w:spacing w:after="0" w:line="560" w:lineRule="exact"/>
        <w:widowControl w:val="off"/>
        <w:rPr>
          <w:rFonts w:ascii="宋体"/>
          <w:iCs/>
          <w:sz w:val="24"/>
        </w:rPr>
      </w:pPr>
      <w:r>
        <w:rPr>
          <w:rFonts w:hint="eastAsia" w:ascii="宋体"/>
          <w:iCs/>
          <w:sz w:val="24"/>
        </w:rPr>
        <w:t xml:space="preserve">12.4其它费用处理</w:t>
      </w:r>
      <w:r/>
    </w:p>
    <w:p>
      <w:pPr>
        <w:ind w:firstLine="480"/>
        <w:jc w:val="both"/>
        <w:spacing w:after="0" w:line="560" w:lineRule="exact"/>
        <w:widowControl w:val="off"/>
        <w:rPr>
          <w:rFonts w:ascii="宋体"/>
          <w:iCs/>
          <w:sz w:val="24"/>
        </w:rPr>
      </w:pPr>
      <w:r>
        <w:rPr>
          <w:rFonts w:hint="eastAsia" w:ascii="宋体"/>
          <w:iCs/>
          <w:sz w:val="24"/>
        </w:rPr>
        <w:t xml:space="preserve">招标文件未列明，而供应商认为必需的费用也需列入报价。</w:t>
      </w:r>
      <w:r/>
    </w:p>
    <w:p>
      <w:pPr>
        <w:ind w:firstLine="480"/>
        <w:jc w:val="both"/>
        <w:spacing w:after="0" w:line="560" w:lineRule="exact"/>
        <w:widowControl w:val="off"/>
        <w:rPr>
          <w:rFonts w:ascii="宋体"/>
          <w:iCs/>
          <w:sz w:val="24"/>
        </w:rPr>
      </w:pPr>
      <w:r>
        <w:rPr>
          <w:rFonts w:hint="eastAsia" w:ascii="宋体"/>
          <w:iCs/>
          <w:sz w:val="24"/>
        </w:rPr>
        <w:t xml:space="preserve">12.5投标货币</w:t>
      </w:r>
      <w:r/>
    </w:p>
    <w:p>
      <w:pPr>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p>
    <w:p>
      <w:pPr>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p>
    <w:p>
      <w:pPr>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w:t>
      </w:r>
      <w:r>
        <w:rPr>
          <w:rFonts w:hint="eastAsia" w:ascii="宋体"/>
          <w:b/>
          <w:bCs/>
          <w:iCs/>
          <w:sz w:val="24"/>
          <w:szCs w:val="24"/>
        </w:rPr>
        <w:t xml:space="preserve">作出</w:t>
      </w:r>
      <w:r>
        <w:rPr>
          <w:rFonts w:hint="eastAsia" w:ascii="宋体"/>
          <w:b/>
          <w:bCs/>
          <w:iCs/>
          <w:sz w:val="24"/>
          <w:szCs w:val="24"/>
        </w:rPr>
        <w:t xml:space="preserve">响应或偏离，并说明原因。对招标文件明确的具体参数、数值指标要求，如投标文件简单复制招标文件并标注响应或无偏离但无相关</w:t>
      </w:r>
      <w:r>
        <w:rPr>
          <w:rFonts w:hint="eastAsia" w:ascii="宋体"/>
          <w:b/>
          <w:bCs/>
          <w:iCs/>
          <w:sz w:val="24"/>
          <w:szCs w:val="24"/>
        </w:rPr>
        <w:t xml:space="preserve">完整技术</w:t>
      </w:r>
      <w:r>
        <w:rPr>
          <w:rFonts w:hint="eastAsia" w:ascii="宋体"/>
          <w:b/>
          <w:bCs/>
          <w:iCs/>
          <w:sz w:val="24"/>
          <w:szCs w:val="24"/>
        </w:rPr>
        <w:t xml:space="preserve">支持资料证实，以及对招标文件明确的需主观判定的功能性要求未做任何情况说明或响应承诺的，评标委员会有权予以否决或做负偏离处理。</w:t>
      </w:r>
      <w:r/>
    </w:p>
    <w:p>
      <w:pPr>
        <w:ind w:firstLine="480"/>
        <w:jc w:val="both"/>
        <w:spacing w:after="0" w:line="560" w:lineRule="exact"/>
        <w:widowControl w:val="off"/>
        <w:rPr>
          <w:rFonts w:ascii="宋体"/>
          <w:iCs/>
          <w:sz w:val="24"/>
        </w:rPr>
      </w:pPr>
      <w:r>
        <w:rPr>
          <w:rFonts w:hint="eastAsia" w:ascii="宋体"/>
          <w:iCs/>
          <w:sz w:val="24"/>
        </w:rPr>
        <w:t xml:space="preserve">14、服务承诺</w:t>
      </w:r>
      <w:r/>
    </w:p>
    <w:p>
      <w:pPr>
        <w:ind w:firstLine="480"/>
        <w:jc w:val="both"/>
        <w:spacing w:after="0" w:line="560" w:lineRule="exact"/>
        <w:widowControl w:val="off"/>
        <w:rPr>
          <w:rFonts w:ascii="宋体"/>
          <w:iCs/>
          <w:sz w:val="24"/>
        </w:rPr>
      </w:pPr>
      <w:r>
        <w:rPr>
          <w:rFonts w:hint="eastAsia" w:ascii="宋体"/>
          <w:iCs/>
          <w:sz w:val="24"/>
        </w:rPr>
        <w:t xml:space="preserve">14、1供应商的服务承诺应按不低于招标文件中商务要求的标准。</w:t>
      </w:r>
      <w:r/>
    </w:p>
    <w:p>
      <w:pPr>
        <w:ind w:firstLine="480"/>
        <w:jc w:val="both"/>
        <w:spacing w:after="0" w:line="560" w:lineRule="exact"/>
        <w:widowControl w:val="off"/>
        <w:rPr>
          <w:rFonts w:ascii="宋体"/>
          <w:iCs/>
          <w:sz w:val="24"/>
        </w:rPr>
      </w:pPr>
      <w:r>
        <w:rPr>
          <w:rFonts w:hint="eastAsia" w:ascii="宋体"/>
          <w:iCs/>
          <w:sz w:val="24"/>
        </w:rPr>
        <w:t xml:space="preserve">15、投标函和开标一览表</w:t>
      </w:r>
      <w:r/>
    </w:p>
    <w:p>
      <w:pPr>
        <w:ind w:firstLine="480"/>
        <w:jc w:val="both"/>
        <w:spacing w:after="0" w:line="560" w:lineRule="exact"/>
        <w:widowControl w:val="off"/>
        <w:rPr>
          <w:rFonts w:ascii="宋体"/>
          <w:iCs/>
          <w:sz w:val="24"/>
        </w:rPr>
      </w:pPr>
      <w:r>
        <w:rPr>
          <w:rFonts w:hint="eastAsia" w:ascii="宋体"/>
          <w:iCs/>
          <w:sz w:val="24"/>
        </w:rPr>
        <w:t xml:space="preserve">15.1 供应商应按照招标文件中提供的格式完整、正确填写投标函、开标一览表。</w:t>
      </w:r>
      <w:r/>
    </w:p>
    <w:p>
      <w:pPr>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p>
    <w:p>
      <w:pPr>
        <w:ind w:firstLine="480"/>
        <w:jc w:val="both"/>
        <w:spacing w:after="0" w:line="560" w:lineRule="exact"/>
        <w:widowControl w:val="off"/>
        <w:rPr>
          <w:rFonts w:ascii="宋体"/>
          <w:iCs/>
          <w:sz w:val="24"/>
        </w:rPr>
      </w:pPr>
      <w:r>
        <w:rPr>
          <w:rFonts w:hint="eastAsia" w:ascii="宋体"/>
          <w:iCs/>
          <w:sz w:val="24"/>
        </w:rPr>
        <w:t xml:space="preserve">16、投标有效期</w:t>
      </w:r>
      <w:r/>
    </w:p>
    <w:p>
      <w:pPr>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p>
    <w:p>
      <w:pPr>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p>
    <w:p>
      <w:pPr>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供应商提出延长投标有效期的要求。这种要求与答复均应采用书面形式。供应商可以拒绝南京小旸树招标代理有限公司的这一要求而放弃投标，同意延长投标有效期的供应商既不能要求也不允许修改其投标文件。受投标有效期约束的所有权利与义务均延长至新的有效期。</w:t>
      </w:r>
      <w:r/>
    </w:p>
    <w:p>
      <w:pPr>
        <w:ind w:firstLine="480"/>
        <w:jc w:val="both"/>
        <w:spacing w:after="0" w:line="560" w:lineRule="exact"/>
        <w:widowControl w:val="off"/>
        <w:rPr>
          <w:rFonts w:ascii="宋体"/>
          <w:iCs/>
          <w:sz w:val="24"/>
        </w:rPr>
      </w:pPr>
      <w:r>
        <w:rPr>
          <w:rFonts w:hint="eastAsia" w:ascii="宋体"/>
          <w:iCs/>
          <w:sz w:val="24"/>
        </w:rPr>
        <w:t xml:space="preserve">四、投标文件的递交</w:t>
      </w:r>
      <w:r/>
    </w:p>
    <w:p>
      <w:pPr>
        <w:ind w:firstLine="480"/>
        <w:jc w:val="both"/>
        <w:spacing w:after="62" w:line="560" w:lineRule="exact"/>
        <w:widowControl w:val="off"/>
        <w:rPr>
          <w:rFonts w:ascii="宋体"/>
          <w:iCs/>
          <w:sz w:val="24"/>
        </w:rPr>
      </w:pPr>
      <w:r/>
      <w:bookmarkStart w:id="58" w:name="_Toc16938541"/>
      <w:r/>
      <w:bookmarkStart w:id="59" w:name="_Toc20823297"/>
      <w:r/>
      <w:bookmarkStart w:id="60" w:name="_Toc513029225"/>
      <w:r/>
      <w:bookmarkStart w:id="61" w:name="_Toc462564084"/>
      <w:r>
        <w:rPr>
          <w:rFonts w:hint="eastAsia" w:ascii="宋体"/>
          <w:iCs/>
          <w:sz w:val="24"/>
        </w:rPr>
        <w:t xml:space="preserve">18、投标文件的密封和标记</w:t>
      </w:r>
      <w:bookmarkEnd w:id="58"/>
      <w:r/>
      <w:bookmarkEnd w:id="59"/>
      <w:r/>
      <w:bookmarkEnd w:id="60"/>
      <w:r/>
      <w:bookmarkEnd w:id="61"/>
      <w:r/>
      <w:r/>
    </w:p>
    <w:p>
      <w:pPr>
        <w:ind w:firstLine="480"/>
        <w:jc w:val="both"/>
        <w:spacing w:after="62" w:line="560" w:lineRule="exact"/>
        <w:widowControl w:val="off"/>
        <w:rPr>
          <w:rFonts w:ascii="宋体"/>
          <w:iCs/>
          <w:sz w:val="24"/>
        </w:rPr>
      </w:pPr>
      <w:r>
        <w:rPr>
          <w:rFonts w:hint="eastAsia" w:ascii="宋体"/>
          <w:iCs/>
          <w:sz w:val="24"/>
        </w:rPr>
        <w:t xml:space="preserve">18.1供应商应当按照《操作手册》规定，在投标截止时间</w:t>
      </w:r>
      <w:r>
        <w:rPr>
          <w:rFonts w:hint="eastAsia" w:ascii="宋体"/>
          <w:iCs/>
          <w:sz w:val="24"/>
        </w:rPr>
        <w:t xml:space="preserve">前制作</w:t>
      </w:r>
      <w:r>
        <w:rPr>
          <w:rFonts w:hint="eastAsia" w:ascii="宋体"/>
          <w:iCs/>
          <w:sz w:val="24"/>
        </w:rPr>
        <w:t xml:space="preserve">并上传电子投标文件。</w:t>
      </w:r>
      <w:r/>
    </w:p>
    <w:p>
      <w:pPr>
        <w:ind w:firstLine="480"/>
        <w:jc w:val="both"/>
        <w:spacing w:after="62" w:line="560" w:lineRule="exact"/>
        <w:widowControl w:val="off"/>
        <w:rPr>
          <w:rFonts w:ascii="宋体"/>
          <w:iCs/>
          <w:sz w:val="24"/>
        </w:rPr>
      </w:pPr>
      <w:r/>
      <w:bookmarkStart w:id="62" w:name="_Toc16938542"/>
      <w:r/>
      <w:bookmarkStart w:id="63" w:name="_Toc513029226"/>
      <w:r/>
      <w:bookmarkStart w:id="64" w:name="_Toc20823298"/>
      <w:r>
        <w:rPr>
          <w:rFonts w:hint="eastAsia" w:ascii="宋体"/>
          <w:iCs/>
          <w:sz w:val="24"/>
        </w:rPr>
        <w:t xml:space="preserve">19、投标截止日期</w:t>
      </w:r>
      <w:bookmarkEnd w:id="62"/>
      <w:r/>
      <w:bookmarkEnd w:id="63"/>
      <w:r/>
      <w:bookmarkEnd w:id="64"/>
      <w:r/>
      <w:r/>
    </w:p>
    <w:p>
      <w:pPr>
        <w:ind w:firstLine="480"/>
        <w:jc w:val="both"/>
        <w:spacing w:after="62" w:line="560" w:lineRule="exact"/>
        <w:widowControl w:val="off"/>
        <w:rPr>
          <w:rFonts w:ascii="宋体"/>
          <w:iCs/>
          <w:sz w:val="24"/>
        </w:rPr>
      </w:pPr>
      <w:r>
        <w:rPr>
          <w:rFonts w:hint="eastAsia" w:ascii="宋体"/>
          <w:iCs/>
          <w:sz w:val="24"/>
        </w:rPr>
        <w:t xml:space="preserve">19.1 供应商上传电子投标文件的时间不得迟于招标公告中规定的投标截止时间。供应商应充分考虑到网络环境、网络带宽等风险因素，如因供应商自身原因造成的电子投标文件上传不成功的按照本招标文件第二章第27.1.2条规定做</w:t>
      </w:r>
      <w:r>
        <w:rPr>
          <w:rFonts w:hint="eastAsia" w:ascii="宋体"/>
          <w:iCs/>
          <w:sz w:val="24"/>
        </w:rPr>
        <w:t xml:space="preserve">无效投标处理。</w:t>
      </w:r>
      <w:r/>
    </w:p>
    <w:p>
      <w:pPr>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南京小旸树招标代理有限公司可以按照规定，通过修改招标文件酌情延长投标截止日期，在此情况下，供应商的所有权利和义务以及供应商受制的截止日期均应以延长后新的截止日期为准。</w:t>
      </w:r>
      <w:r/>
    </w:p>
    <w:p>
      <w:pPr>
        <w:ind w:firstLine="480"/>
        <w:jc w:val="both"/>
        <w:spacing w:after="62" w:line="560" w:lineRule="exact"/>
        <w:widowControl w:val="off"/>
        <w:rPr>
          <w:rFonts w:ascii="宋体"/>
          <w:iCs/>
          <w:sz w:val="24"/>
        </w:rPr>
      </w:pPr>
      <w:r/>
      <w:bookmarkStart w:id="65" w:name="_Toc513029227"/>
      <w:r/>
      <w:bookmarkStart w:id="66" w:name="_Toc16938543"/>
      <w:r/>
      <w:bookmarkStart w:id="67" w:name="_Toc20823299"/>
      <w:r>
        <w:rPr>
          <w:rFonts w:hint="eastAsia" w:ascii="宋体"/>
          <w:iCs/>
          <w:sz w:val="24"/>
        </w:rPr>
        <w:t xml:space="preserve">20、投标文件</w:t>
      </w:r>
      <w:bookmarkEnd w:id="65"/>
      <w:r/>
      <w:bookmarkEnd w:id="66"/>
      <w:r/>
      <w:bookmarkEnd w:id="67"/>
      <w:r>
        <w:rPr>
          <w:rFonts w:hint="eastAsia" w:ascii="宋体"/>
          <w:iCs/>
          <w:sz w:val="24"/>
        </w:rPr>
        <w:t xml:space="preserve">的拒收</w:t>
      </w:r>
      <w:r/>
    </w:p>
    <w:p>
      <w:pPr>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p>
    <w:p>
      <w:pPr>
        <w:ind w:firstLine="480"/>
        <w:jc w:val="both"/>
        <w:spacing w:after="62" w:line="560" w:lineRule="exact"/>
        <w:widowControl w:val="off"/>
        <w:rPr>
          <w:rFonts w:ascii="宋体"/>
          <w:iCs/>
          <w:sz w:val="24"/>
        </w:rPr>
      </w:pPr>
      <w:r/>
      <w:bookmarkStart w:id="68" w:name="_Toc20823300"/>
      <w:r/>
      <w:bookmarkStart w:id="69" w:name="_Toc16938544"/>
      <w:r/>
      <w:bookmarkStart w:id="70" w:name="_Toc513029228"/>
      <w:r>
        <w:rPr>
          <w:rFonts w:hint="eastAsia" w:ascii="宋体"/>
          <w:iCs/>
          <w:sz w:val="24"/>
        </w:rPr>
        <w:t xml:space="preserve">21、投标文件的撤回和</w:t>
      </w:r>
      <w:bookmarkEnd w:id="68"/>
      <w:r/>
      <w:bookmarkEnd w:id="69"/>
      <w:r/>
      <w:bookmarkEnd w:id="70"/>
      <w:r>
        <w:rPr>
          <w:rFonts w:hint="eastAsia" w:ascii="宋体"/>
          <w:iCs/>
          <w:sz w:val="24"/>
        </w:rPr>
        <w:t xml:space="preserve">修改</w:t>
      </w:r>
      <w:r/>
    </w:p>
    <w:p>
      <w:pPr>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供应商可在投标截止时间前撤回其电子投标文件，具体操作方法见《操作手册》。</w:t>
      </w:r>
      <w:r/>
    </w:p>
    <w:p>
      <w:pPr>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供应商撤回电子投标文件，则认为其不再参与本项目投标活动。</w:t>
      </w:r>
      <w:r/>
    </w:p>
    <w:p>
      <w:pPr>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p>
    <w:p>
      <w:pPr>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供应商可在投标截止时间前对其电子投标文件进行修改，具体操作方法见《操作手册》。</w:t>
      </w:r>
      <w:r/>
    </w:p>
    <w:p>
      <w:pPr>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投标截止时间之后，供应商不得对其电子投标文件作任何修改。</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在投标截止时间至招标文件中规定的投标有效期满之间的这段时间内，供应商不得撤回其投标。</w:t>
      </w:r>
      <w:r/>
    </w:p>
    <w:p>
      <w:pPr>
        <w:ind w:firstLine="480"/>
        <w:jc w:val="both"/>
        <w:spacing w:after="0" w:line="560" w:lineRule="exact"/>
        <w:widowControl w:val="off"/>
        <w:rPr>
          <w:rFonts w:ascii="宋体"/>
          <w:iCs/>
          <w:sz w:val="24"/>
        </w:rPr>
      </w:pPr>
      <w:r>
        <w:rPr>
          <w:rFonts w:hint="eastAsia" w:ascii="宋体"/>
          <w:iCs/>
          <w:sz w:val="24"/>
        </w:rPr>
        <w:t xml:space="preserve">五、开标与评标</w:t>
      </w:r>
      <w:r/>
    </w:p>
    <w:p>
      <w:pPr>
        <w:ind w:firstLine="480"/>
        <w:jc w:val="both"/>
        <w:spacing w:after="0" w:line="560" w:lineRule="exact"/>
        <w:widowControl w:val="off"/>
        <w:rPr>
          <w:rFonts w:ascii="宋体"/>
          <w:iCs/>
          <w:sz w:val="24"/>
        </w:rPr>
      </w:pPr>
      <w:r>
        <w:rPr>
          <w:rFonts w:hint="eastAsia" w:ascii="宋体"/>
          <w:iCs/>
          <w:sz w:val="24"/>
        </w:rPr>
        <w:t xml:space="preserve">22、开标</w:t>
      </w:r>
      <w:r/>
    </w:p>
    <w:p>
      <w:pPr>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南京小旸树招标代理有限公司在招标公告中规定的时间和地点组织公开开标。供应</w:t>
      </w:r>
      <w:r>
        <w:rPr>
          <w:rFonts w:hint="eastAsia" w:ascii="宋体"/>
          <w:iCs/>
          <w:sz w:val="24"/>
        </w:rPr>
        <w:t xml:space="preserve">商按照</w:t>
      </w:r>
      <w:r>
        <w:rPr>
          <w:rFonts w:hint="eastAsia" w:ascii="宋体"/>
          <w:iCs/>
          <w:sz w:val="24"/>
        </w:rPr>
        <w:t xml:space="preserve">《操作手册》规定参加开标活动，并在苏</w:t>
      </w:r>
      <w:r>
        <w:rPr>
          <w:rFonts w:hint="eastAsia" w:ascii="宋体"/>
          <w:iCs/>
          <w:sz w:val="24"/>
        </w:rPr>
        <w:t xml:space="preserve">采云</w:t>
      </w:r>
      <w:r>
        <w:rPr>
          <w:rFonts w:hint="eastAsia" w:ascii="宋体"/>
          <w:iCs/>
          <w:sz w:val="24"/>
        </w:rPr>
        <w:t xml:space="preserve">系统规定的时间内对投标文件进行解密。</w:t>
      </w:r>
      <w:r/>
    </w:p>
    <w:p>
      <w:pPr>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并宣布各供应商名称和投标价格。</w:t>
      </w:r>
      <w:r/>
    </w:p>
    <w:p>
      <w:pPr>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供应商在开标过程中涉及到的投标文件解密、开标结果确认等工作，应按照《操作手册》规定执行。</w:t>
      </w:r>
      <w:r/>
    </w:p>
    <w:p>
      <w:pPr>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供应商如果对开标过程和开标结果有疑义，应当根据《操作手册》规定提出，苏</w:t>
      </w:r>
      <w:r>
        <w:rPr>
          <w:rFonts w:hint="eastAsia" w:ascii="宋体"/>
          <w:iCs/>
          <w:sz w:val="24"/>
        </w:rPr>
        <w:t xml:space="preserve">采云</w:t>
      </w:r>
      <w:r>
        <w:rPr>
          <w:rFonts w:hint="eastAsia" w:ascii="宋体"/>
          <w:iCs/>
          <w:sz w:val="24"/>
        </w:rPr>
        <w:t xml:space="preserve">系统中《开标记录表》公布后5分钟内未提出的，视同认可开标结果。</w:t>
      </w:r>
      <w:r/>
    </w:p>
    <w:p>
      <w:pPr>
        <w:ind w:firstLine="480"/>
        <w:jc w:val="both"/>
        <w:spacing w:after="0" w:line="560" w:lineRule="exact"/>
        <w:widowControl w:val="off"/>
        <w:rPr>
          <w:rFonts w:ascii="宋体"/>
          <w:iCs/>
          <w:sz w:val="24"/>
        </w:rPr>
      </w:pPr>
      <w:r>
        <w:rPr>
          <w:rFonts w:hint="eastAsia" w:ascii="宋体"/>
          <w:iCs/>
          <w:sz w:val="24"/>
        </w:rPr>
        <w:t xml:space="preserve">23、评标委员会</w:t>
      </w:r>
      <w:r/>
    </w:p>
    <w:p>
      <w:pPr>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p>
    <w:p>
      <w:pPr>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w:t>
      </w:r>
      <w:r>
        <w:rPr>
          <w:rFonts w:hint="eastAsia" w:ascii="宋体"/>
          <w:iCs/>
          <w:sz w:val="24"/>
        </w:rPr>
        <w:t xml:space="preserve">且人员</w:t>
      </w:r>
      <w:r>
        <w:rPr>
          <w:rFonts w:hint="eastAsia" w:ascii="宋体"/>
          <w:iCs/>
          <w:sz w:val="24"/>
        </w:rPr>
        <w:t xml:space="preserve">构成符合政府采购有关规定。</w:t>
      </w:r>
      <w:r/>
    </w:p>
    <w:p>
      <w:pPr>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w:t>
      </w:r>
      <w:r>
        <w:rPr>
          <w:rFonts w:hint="eastAsia" w:ascii="宋体"/>
          <w:iCs/>
          <w:sz w:val="24"/>
        </w:rPr>
        <w:t xml:space="preserve">侯选人</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24、评标过程的保密与公正</w:t>
      </w:r>
      <w:r/>
    </w:p>
    <w:p>
      <w:pPr>
        <w:ind w:firstLine="480"/>
        <w:jc w:val="both"/>
        <w:spacing w:after="0" w:line="560" w:lineRule="exact"/>
        <w:widowControl w:val="off"/>
        <w:rPr>
          <w:rFonts w:ascii="宋体"/>
          <w:iCs/>
          <w:sz w:val="24"/>
        </w:rPr>
      </w:pPr>
      <w:r>
        <w:rPr>
          <w:rFonts w:hint="eastAsia" w:ascii="宋体"/>
          <w:iCs/>
          <w:sz w:val="24"/>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p>
    <w:p>
      <w:pPr>
        <w:ind w:firstLine="480"/>
        <w:jc w:val="both"/>
        <w:spacing w:after="0" w:line="560" w:lineRule="exact"/>
        <w:widowControl w:val="off"/>
        <w:rPr>
          <w:rFonts w:ascii="宋体"/>
          <w:iCs/>
          <w:sz w:val="24"/>
        </w:rPr>
      </w:pPr>
      <w:r>
        <w:rPr>
          <w:rFonts w:hint="eastAsia" w:ascii="宋体"/>
          <w:iCs/>
          <w:sz w:val="24"/>
        </w:rPr>
        <w:t xml:space="preserve">24.2在评标过程中，供应商不得以任何行为影响评标过程，否则其投标文件将被作为无效投标文件。</w:t>
      </w:r>
      <w:r/>
    </w:p>
    <w:p>
      <w:pPr>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24.3在评标期间，南京小旸树招标代理有限公司将设专门人员与供应商联系。</w:t>
      </w:r>
      <w:r/>
    </w:p>
    <w:p>
      <w:pPr>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南京小旸树招标代理有限公司和评标委员会不向落标的供应</w:t>
      </w:r>
      <w:r>
        <w:rPr>
          <w:rFonts w:hint="eastAsia" w:ascii="宋体"/>
          <w:iCs/>
          <w:sz w:val="24"/>
        </w:rPr>
        <w:t xml:space="preserve">商解释未</w:t>
      </w:r>
      <w:r>
        <w:rPr>
          <w:rFonts w:hint="eastAsia" w:ascii="宋体"/>
          <w:iCs/>
          <w:sz w:val="24"/>
        </w:rPr>
        <w:t xml:space="preserve">中标原因，也不公布评标过程中的相关细节。</w:t>
      </w:r>
      <w:r/>
    </w:p>
    <w:p>
      <w:pPr>
        <w:ind w:firstLine="480"/>
        <w:jc w:val="both"/>
        <w:spacing w:after="0" w:line="560" w:lineRule="exact"/>
        <w:widowControl w:val="off"/>
        <w:rPr>
          <w:rFonts w:ascii="宋体"/>
          <w:iCs/>
          <w:sz w:val="24"/>
        </w:rPr>
      </w:pPr>
      <w:r>
        <w:rPr>
          <w:rFonts w:hint="eastAsia" w:ascii="宋体"/>
          <w:iCs/>
          <w:sz w:val="24"/>
        </w:rPr>
        <w:t xml:space="preserve">24.5 采用综合评分法的项目，未中标的供应商可于中标结果公告期限届满之日起联系南京小旸树招标代理有限公司相关项目负责人查看本单位的评审得分及排名情况。</w:t>
      </w:r>
      <w:r/>
    </w:p>
    <w:p>
      <w:pPr>
        <w:ind w:firstLine="480"/>
        <w:jc w:val="both"/>
        <w:spacing w:after="0" w:line="560" w:lineRule="exact"/>
        <w:widowControl w:val="off"/>
        <w:rPr>
          <w:rFonts w:ascii="宋体"/>
          <w:iCs/>
          <w:sz w:val="24"/>
        </w:rPr>
      </w:pPr>
      <w:r>
        <w:rPr>
          <w:rFonts w:hint="eastAsia" w:ascii="宋体"/>
          <w:iCs/>
          <w:sz w:val="24"/>
        </w:rPr>
        <w:t xml:space="preserve">25、投标的澄清</w:t>
      </w:r>
      <w:r/>
    </w:p>
    <w:p>
      <w:pPr>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25.1评标期间，为有助于对投标文件的审查、评价和比较，评委会对投标文件中含义不明确、同类问题表述不一致或者有明显文字和计算错误的内容，有权要求供应商</w:t>
      </w:r>
      <w:r>
        <w:rPr>
          <w:rFonts w:hint="eastAsia" w:ascii="宋体"/>
          <w:iCs/>
          <w:sz w:val="24"/>
        </w:rPr>
        <w:t xml:space="preserve">作出</w:t>
      </w:r>
      <w:r>
        <w:rPr>
          <w:rFonts w:hint="eastAsia" w:ascii="宋体"/>
          <w:iCs/>
          <w:sz w:val="24"/>
        </w:rPr>
        <w:t xml:space="preserve">必要的澄清、说明或者补正。</w:t>
      </w:r>
      <w:r/>
    </w:p>
    <w:p>
      <w:pPr>
        <w:ind w:firstLine="480"/>
        <w:jc w:val="both"/>
        <w:spacing w:after="62" w:line="560" w:lineRule="exact"/>
        <w:widowControl w:val="off"/>
        <w:rPr>
          <w:rFonts w:ascii="宋体"/>
          <w:iCs/>
          <w:sz w:val="24"/>
        </w:rPr>
      </w:pPr>
      <w:r>
        <w:rPr>
          <w:rFonts w:hint="eastAsia" w:ascii="宋体"/>
          <w:iCs/>
          <w:sz w:val="24"/>
        </w:rPr>
        <w:t xml:space="preserve">供应商的澄清、说明或者补正不得超出投标文件的范围或者改变投标文件的实质性内容。</w:t>
      </w:r>
      <w:r/>
    </w:p>
    <w:p>
      <w:pPr>
        <w:ind w:firstLine="480"/>
        <w:jc w:val="both"/>
        <w:spacing w:after="62" w:line="560" w:lineRule="exact"/>
        <w:widowControl w:val="off"/>
        <w:rPr>
          <w:rFonts w:ascii="宋体"/>
          <w:iCs/>
          <w:sz w:val="24"/>
        </w:rPr>
      </w:pPr>
      <w:r>
        <w:rPr>
          <w:rFonts w:hint="eastAsia" w:ascii="宋体"/>
          <w:iCs/>
          <w:sz w:val="24"/>
        </w:rPr>
        <w:t xml:space="preserve">评委会并非对每个供应商都做澄清要求。</w:t>
      </w:r>
      <w:r/>
    </w:p>
    <w:p>
      <w:pPr>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w:t>
      </w:r>
      <w:r>
        <w:rPr>
          <w:rFonts w:hint="eastAsia" w:ascii="宋体"/>
          <w:iCs/>
          <w:sz w:val="24"/>
        </w:rPr>
        <w:t xml:space="preserve">采云</w:t>
      </w:r>
      <w:r>
        <w:rPr>
          <w:rFonts w:hint="eastAsia" w:ascii="宋体"/>
          <w:iCs/>
          <w:sz w:val="24"/>
        </w:rPr>
        <w:t xml:space="preserve">系统向供应商发出《澄清要求函》，接到《澄清要求函》的供应商应当按照要求在苏</w:t>
      </w:r>
      <w:r>
        <w:rPr>
          <w:rFonts w:hint="eastAsia" w:ascii="宋体"/>
          <w:iCs/>
          <w:sz w:val="24"/>
        </w:rPr>
        <w:t xml:space="preserve">采云</w:t>
      </w:r>
      <w:r>
        <w:rPr>
          <w:rFonts w:hint="eastAsia" w:ascii="宋体"/>
          <w:iCs/>
          <w:sz w:val="24"/>
        </w:rPr>
        <w:t xml:space="preserve">系统中提交《澄清响应函》并加盖电子CA电子公章。澄清、说明和补正的内容作为投标文件的补充部分，具体操作方式见《操作手册》。</w:t>
      </w:r>
      <w:r/>
    </w:p>
    <w:p>
      <w:pPr>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接到评委会澄清、说明和补正要求的，供应商如未按规定</w:t>
      </w:r>
      <w:r>
        <w:rPr>
          <w:rFonts w:hint="eastAsia" w:ascii="宋体"/>
          <w:iCs/>
          <w:sz w:val="24"/>
        </w:rPr>
        <w:t xml:space="preserve">作出</w:t>
      </w:r>
      <w:r>
        <w:rPr>
          <w:rFonts w:hint="eastAsia" w:ascii="宋体"/>
          <w:iCs/>
          <w:sz w:val="24"/>
        </w:rPr>
        <w:t xml:space="preserve">澄清、说明和补正，其风险由供应商自行承担。</w:t>
      </w:r>
      <w:r/>
    </w:p>
    <w:p>
      <w:pPr>
        <w:ind w:firstLine="480"/>
        <w:jc w:val="both"/>
        <w:spacing w:after="0" w:line="560" w:lineRule="exact"/>
        <w:widowControl w:val="off"/>
        <w:rPr>
          <w:rFonts w:ascii="宋体"/>
          <w:iCs/>
          <w:sz w:val="24"/>
        </w:rPr>
      </w:pPr>
      <w:r>
        <w:rPr>
          <w:rFonts w:hint="eastAsia" w:ascii="宋体"/>
          <w:iCs/>
          <w:sz w:val="24"/>
        </w:rPr>
        <w:t xml:space="preserve">26、对投标文件的初审</w:t>
      </w:r>
      <w:r/>
    </w:p>
    <w:p>
      <w:pPr>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p>
    <w:p>
      <w:pPr>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w:t>
      </w:r>
      <w:r>
        <w:rPr>
          <w:rFonts w:hint="eastAsia" w:ascii="宋体"/>
          <w:iCs/>
          <w:sz w:val="24"/>
        </w:rPr>
        <w:t xml:space="preserve">供应商是否被列入失信被执行人、重大税收违法案件当事人名单、政府采购严重失信行为记录名单情况进行查询，以确定供应商是否具备投标资格。查询结果将以网页打印的形式留存并归档。</w:t>
      </w:r>
      <w:r/>
    </w:p>
    <w:p>
      <w:pPr>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w:t>
      </w:r>
      <w:r>
        <w:rPr>
          <w:rFonts w:hint="eastAsia" w:ascii="宋体"/>
          <w:iCs/>
          <w:sz w:val="24"/>
        </w:rPr>
        <w:t xml:space="preserve">作出</w:t>
      </w:r>
      <w:r>
        <w:rPr>
          <w:rFonts w:hint="eastAsia" w:ascii="宋体"/>
          <w:iCs/>
          <w:sz w:val="24"/>
        </w:rPr>
        <w:t xml:space="preserve">响应。</w:t>
      </w:r>
      <w:r/>
    </w:p>
    <w:p>
      <w:pPr>
        <w:ind w:firstLine="480"/>
        <w:jc w:val="both"/>
        <w:spacing w:after="0" w:line="560" w:lineRule="exact"/>
        <w:widowControl w:val="off"/>
        <w:rPr>
          <w:rFonts w:ascii="宋体"/>
          <w:iCs/>
          <w:sz w:val="24"/>
        </w:rPr>
      </w:pPr>
      <w:r>
        <w:rPr>
          <w:rFonts w:hint="eastAsia" w:ascii="宋体"/>
          <w:iCs/>
          <w:sz w:val="24"/>
        </w:rPr>
        <w:t xml:space="preserve">26.1.3 未通过资格审查或符合性审查的供应商，南京小旸树招标代理有限公司将通过苏</w:t>
      </w:r>
      <w:r>
        <w:rPr>
          <w:rFonts w:hint="eastAsia" w:ascii="宋体"/>
          <w:iCs/>
          <w:sz w:val="24"/>
        </w:rPr>
        <w:t xml:space="preserve">采云</w:t>
      </w:r>
      <w:r>
        <w:rPr>
          <w:rFonts w:hint="eastAsia" w:ascii="宋体"/>
          <w:iCs/>
          <w:sz w:val="24"/>
        </w:rPr>
        <w:t xml:space="preserve">系统告知其具体原因，评审结束后，南京小旸树招标代理有限公司将不再告知未通过资格审查或符合性审查的原因。</w:t>
      </w:r>
      <w:r/>
    </w:p>
    <w:p>
      <w:pPr>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之二及以上成员的认定。评委决定投标文件的</w:t>
      </w:r>
      <w:r>
        <w:rPr>
          <w:rFonts w:hint="eastAsia" w:ascii="宋体"/>
          <w:iCs/>
          <w:sz w:val="24"/>
        </w:rPr>
        <w:t xml:space="preserve">响应性只根据</w:t>
      </w:r>
      <w:r>
        <w:rPr>
          <w:rFonts w:hint="eastAsia" w:ascii="宋体"/>
          <w:iCs/>
          <w:sz w:val="24"/>
        </w:rPr>
        <w:t xml:space="preserve">投标文件本身的内容，而不寻求外部的证据。</w:t>
      </w:r>
      <w:r/>
    </w:p>
    <w:p>
      <w:pPr>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26.3如果投标文件实质上没有响应招标文件的要求，评委会将予以拒绝，供应商不得通过修改或撤销不合要求的偏离或保留而使其投标成为实质性响应的投标。</w:t>
      </w:r>
      <w:r/>
    </w:p>
    <w:p>
      <w:pPr>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p>
    <w:p>
      <w:pPr>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p>
    <w:p>
      <w:pPr>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p>
    <w:p>
      <w:pPr>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p>
    <w:p>
      <w:pPr>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p>
    <w:p>
      <w:pPr>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p>
    <w:p>
      <w:pPr>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w:t>
      </w:r>
      <w:r>
        <w:rPr>
          <w:rFonts w:hint="eastAsia" w:ascii="宋体"/>
          <w:iCs/>
          <w:sz w:val="24"/>
        </w:rPr>
        <w:t xml:space="preserve">采云</w:t>
      </w:r>
      <w:r>
        <w:rPr>
          <w:rFonts w:hint="eastAsia" w:ascii="宋体"/>
          <w:iCs/>
          <w:sz w:val="24"/>
        </w:rPr>
        <w:t xml:space="preserve">系统告知供应商，调整后的价格应对供应商具有约束力。如果供应商不接受修正后的价格，则其投标将被拒绝。</w:t>
      </w:r>
      <w:r/>
    </w:p>
    <w:p>
      <w:pPr>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非单一产品采购项目，招标文件中将载明其中的核心产品。多家供应商提供的核心产品品牌相同的，按前款规定处理。</w:t>
      </w:r>
      <w:r/>
    </w:p>
    <w:p>
      <w:pPr>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供应商在开、评标全过程中应保持通讯畅通，及时登录苏</w:t>
      </w:r>
      <w:r>
        <w:rPr>
          <w:rFonts w:hint="eastAsia" w:ascii="宋体"/>
          <w:iCs/>
          <w:sz w:val="24"/>
          <w:szCs w:val="28"/>
          <w:lang w:val="zh-CN"/>
        </w:rPr>
        <w:t xml:space="preserve">采云</w:t>
      </w:r>
      <w:r>
        <w:rPr>
          <w:rFonts w:hint="eastAsia" w:ascii="宋体"/>
          <w:iCs/>
          <w:sz w:val="24"/>
          <w:szCs w:val="28"/>
          <w:lang w:val="zh-CN"/>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p>
    <w:p>
      <w:pPr>
        <w:ind w:firstLine="480"/>
        <w:jc w:val="both"/>
        <w:spacing w:after="62" w:line="560" w:lineRule="exact"/>
        <w:widowControl w:val="off"/>
        <w:rPr>
          <w:rFonts w:ascii="宋体"/>
          <w:iCs/>
          <w:color w:val="000000"/>
          <w:sz w:val="24"/>
        </w:rPr>
      </w:pPr>
      <w:r/>
      <w:bookmarkStart w:id="71" w:name="_Hlk220752912"/>
      <w:r>
        <w:rPr>
          <w:rFonts w:hint="eastAsia" w:ascii="宋体"/>
          <w:iCs/>
          <w:color w:val="000000"/>
          <w:sz w:val="24"/>
        </w:rPr>
        <w:t xml:space="preserve">（1）投标（响应）报价低于全部通过符合性审查供应商投标（响应）报价平均值50%的，即投标（响应）报价&lt;全部通过符合性审查供应商投标（响应）报价平均值×50%；</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（2）投标（响应）报价低于通过符合性审查的次低报价供应商投标（响应）报价50%的，即投标（响应）报价&lt;通过符合性审查的次低报价供应商投标（响</w:t>
      </w:r>
      <w:r>
        <w:rPr>
          <w:rFonts w:hint="eastAsia" w:ascii="宋体"/>
          <w:iCs/>
          <w:color w:val="000000"/>
          <w:sz w:val="24"/>
        </w:rPr>
        <w:t xml:space="preserve">应）报价×50%；</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（3）投标（响应）报价低于采购项目最高限价45%的，即投标（响应）报价&lt;采购项目最高限价×45%；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bookmarkEnd w:id="7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0" w:line="560" w:lineRule="exact"/>
        <w:widowControl w:val="off"/>
        <w:rPr>
          <w:rFonts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0" w:line="560" w:lineRule="exact"/>
        <w:widowControl w:val="off"/>
        <w:rPr>
          <w:rFonts w:ascii="宋体"/>
          <w:iCs/>
          <w:sz w:val="24"/>
        </w:rPr>
      </w:pPr>
      <w:r>
        <w:rPr>
          <w:rFonts w:hint="eastAsia" w:ascii="宋体"/>
          <w:iCs/>
          <w:sz w:val="24"/>
        </w:rPr>
        <w:t xml:space="preserve">27、无效投标条款</w:t>
      </w:r>
      <w:r>
        <w:rPr>
          <w:rFonts w:hint="eastAsia" w:ascii="宋体"/>
          <w:iCs/>
          <w:sz w:val="24"/>
        </w:rPr>
        <w:t xml:space="preserve">和废标条款</w:t>
      </w:r>
      <w:r/>
    </w:p>
    <w:p>
      <w:pPr>
        <w:ind w:firstLine="480"/>
        <w:jc w:val="both"/>
        <w:spacing w:after="0" w:line="560" w:lineRule="exact"/>
        <w:widowControl w:val="off"/>
        <w:rPr>
          <w:rFonts w:ascii="宋体"/>
          <w:iCs/>
          <w:sz w:val="24"/>
        </w:rPr>
      </w:pPr>
      <w:r>
        <w:rPr>
          <w:rFonts w:hint="eastAsia" w:ascii="宋体"/>
          <w:iCs/>
          <w:sz w:val="24"/>
        </w:rPr>
        <w:t xml:space="preserve">27.1无效投标条款</w:t>
      </w:r>
      <w:r/>
    </w:p>
    <w:p>
      <w:pPr>
        <w:ind w:firstLine="480"/>
        <w:jc w:val="both"/>
        <w:spacing w:after="62" w:line="560" w:lineRule="exact"/>
        <w:widowControl w:val="off"/>
        <w:rPr>
          <w:rFonts w:ascii="宋体"/>
          <w:iCs/>
          <w:sz w:val="24"/>
        </w:rPr>
      </w:pPr>
      <w:r/>
      <w:bookmarkStart w:id="72" w:name="_Toc16938551"/>
      <w:r/>
      <w:bookmarkStart w:id="73" w:name="_Toc20823307"/>
      <w:r/>
      <w:bookmarkStart w:id="74" w:name="_Toc513029235"/>
      <w:r>
        <w:rPr>
          <w:rFonts w:hint="eastAsia" w:ascii="宋体"/>
          <w:iCs/>
          <w:sz w:val="24"/>
        </w:rPr>
        <w:t xml:space="preserve">27.1.1供应商在苏</w:t>
      </w:r>
      <w:r>
        <w:rPr>
          <w:rFonts w:hint="eastAsia" w:ascii="宋体"/>
          <w:iCs/>
          <w:sz w:val="24"/>
        </w:rPr>
        <w:t xml:space="preserve">采云</w:t>
      </w:r>
      <w:r>
        <w:rPr>
          <w:rFonts w:hint="eastAsia" w:ascii="宋体"/>
          <w:iCs/>
          <w:sz w:val="24"/>
        </w:rPr>
        <w:t xml:space="preserve">系统规定的时间内未成功解密电子投标文件。</w:t>
      </w:r>
      <w:r/>
    </w:p>
    <w:p>
      <w:pPr>
        <w:ind w:firstLine="480"/>
        <w:jc w:val="both"/>
        <w:spacing w:after="62" w:line="560" w:lineRule="exact"/>
        <w:widowControl w:val="off"/>
        <w:rPr>
          <w:rFonts w:ascii="宋体"/>
          <w:iCs/>
          <w:sz w:val="24"/>
        </w:rPr>
      </w:pPr>
      <w:r>
        <w:rPr>
          <w:rFonts w:hint="eastAsia" w:ascii="宋体"/>
          <w:iCs/>
          <w:sz w:val="24"/>
        </w:rPr>
        <w:t xml:space="preserve">27.1.2供应商未按照招标文件要求上传电子投标文件的。</w:t>
      </w:r>
      <w:r/>
    </w:p>
    <w:p>
      <w:pPr>
        <w:ind w:firstLine="480"/>
        <w:jc w:val="both"/>
        <w:spacing w:after="62" w:line="560" w:lineRule="exact"/>
        <w:widowControl w:val="off"/>
        <w:rPr>
          <w:rFonts w:ascii="宋体"/>
          <w:iCs/>
          <w:sz w:val="24"/>
        </w:rPr>
      </w:pPr>
      <w:r>
        <w:rPr>
          <w:rFonts w:hint="eastAsia" w:ascii="宋体"/>
          <w:iCs/>
          <w:sz w:val="24"/>
        </w:rPr>
        <w:t xml:space="preserve">27.1.3供应商同一项目（无分包）或同一分包提交两个（含两个）以上不同的投标报价的。</w:t>
      </w:r>
      <w:r/>
    </w:p>
    <w:p>
      <w:pPr>
        <w:ind w:firstLine="480"/>
        <w:jc w:val="both"/>
        <w:spacing w:after="62" w:line="560" w:lineRule="exact"/>
        <w:widowControl w:val="off"/>
        <w:rPr>
          <w:rFonts w:ascii="宋体"/>
          <w:iCs/>
          <w:sz w:val="24"/>
        </w:rPr>
      </w:pPr>
      <w:r>
        <w:rPr>
          <w:rFonts w:hint="eastAsia" w:ascii="宋体"/>
          <w:iCs/>
          <w:sz w:val="24"/>
        </w:rPr>
        <w:t xml:space="preserve">27.1.4供应商不具备招标文件中规定资格要求的。</w:t>
      </w:r>
      <w:r/>
    </w:p>
    <w:p>
      <w:pPr>
        <w:ind w:firstLine="480"/>
        <w:jc w:val="both"/>
        <w:spacing w:after="62" w:line="560" w:lineRule="exact"/>
        <w:widowControl w:val="off"/>
        <w:rPr>
          <w:rFonts w:ascii="宋体"/>
          <w:iCs/>
          <w:sz w:val="24"/>
        </w:rPr>
      </w:pPr>
      <w:r>
        <w:rPr>
          <w:rFonts w:hint="eastAsia" w:ascii="宋体"/>
          <w:iCs/>
          <w:sz w:val="24"/>
        </w:rPr>
        <w:t xml:space="preserve">27.1.5供应商的报价超过了采购预算或最高限价的。</w:t>
      </w:r>
      <w:r/>
    </w:p>
    <w:p>
      <w:pPr>
        <w:ind w:firstLine="480"/>
        <w:jc w:val="both"/>
        <w:spacing w:after="62" w:line="560" w:lineRule="exact"/>
        <w:widowControl w:val="off"/>
        <w:rPr>
          <w:rFonts w:ascii="宋体"/>
          <w:iCs/>
          <w:sz w:val="24"/>
        </w:rPr>
      </w:pPr>
      <w:r>
        <w:rPr>
          <w:rFonts w:hint="eastAsia" w:ascii="宋体"/>
          <w:iCs/>
          <w:sz w:val="24"/>
        </w:rPr>
        <w:t xml:space="preserve">27.1.6未通过符合性审查的。</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供应商被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5"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5"/>
      <w:r/>
      <w:r/>
    </w:p>
    <w:p>
      <w:pPr>
        <w:ind w:firstLine="480"/>
        <w:jc w:val="both"/>
        <w:spacing w:after="62" w:line="560" w:lineRule="exact"/>
        <w:widowControl w:val="off"/>
        <w:rPr>
          <w:rFonts w:ascii="宋体"/>
          <w:iCs/>
          <w:sz w:val="24"/>
        </w:rPr>
      </w:pPr>
      <w:r>
        <w:rPr>
          <w:rFonts w:hint="eastAsia" w:ascii="宋体"/>
          <w:iCs/>
          <w:sz w:val="24"/>
        </w:rPr>
        <w:t xml:space="preserve">27.1.11 本项目采购产品被财政部、</w:t>
      </w:r>
      <w:r>
        <w:rPr>
          <w:rFonts w:hint="eastAsia" w:ascii="宋体"/>
          <w:iCs/>
          <w:sz w:val="24"/>
        </w:rPr>
        <w:t xml:space="preserve">国家发改委</w:t>
      </w:r>
      <w:r>
        <w:rPr>
          <w:rFonts w:hint="eastAsia" w:ascii="宋体"/>
          <w:iCs/>
          <w:sz w:val="24"/>
        </w:rPr>
        <w:t xml:space="preserve">、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w:t>
      </w:r>
      <w:r>
        <w:rPr>
          <w:rFonts w:hint="eastAsia" w:ascii="宋体"/>
          <w:iCs/>
          <w:sz w:val="24"/>
        </w:rPr>
        <w:t xml:space="preserve">或公章</w:t>
      </w:r>
      <w:r>
        <w:rPr>
          <w:rFonts w:hint="eastAsia" w:ascii="宋体"/>
          <w:iCs/>
          <w:sz w:val="24"/>
        </w:rPr>
        <w:t xml:space="preserve">的</w:t>
      </w:r>
      <w:bookmarkStart w:id="76" w:name="OLE_LINK28"/>
      <w:r>
        <w:rPr>
          <w:rFonts w:hint="eastAsia" w:ascii="宋体"/>
          <w:b/>
          <w:bCs/>
          <w:iCs/>
          <w:sz w:val="24"/>
        </w:rPr>
        <w:t xml:space="preserve">（本项目对投标文件有盖章要求的，加盖公章或CA电子公章均可，具有同等效力。公章是指刻有供应商法定名称的印章，不包括合同、财务、税务、发票等形式的业务专用章</w:t>
      </w:r>
      <w:bookmarkEnd w:id="76"/>
      <w:r>
        <w:rPr>
          <w:rFonts w:hint="eastAsia" w:ascii="宋体"/>
          <w:b/>
          <w:bCs/>
          <w:iCs/>
          <w:sz w:val="24"/>
        </w:rPr>
        <w:t xml:space="preserve">）</w:t>
      </w:r>
      <w:r>
        <w:rPr>
          <w:rFonts w:hint="eastAsia" w:ascii="宋体"/>
          <w:iCs/>
          <w:sz w:val="24"/>
        </w:rPr>
        <w:t xml:space="preserve">。</w:t>
      </w:r>
      <w:r/>
    </w:p>
    <w:p>
      <w:pPr>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bookmarkEnd w:id="72"/>
      <w:r/>
      <w:bookmarkEnd w:id="73"/>
      <w:r/>
      <w:bookmarkEnd w:id="74"/>
      <w:r/>
      <w:r/>
    </w:p>
    <w:p>
      <w:pPr>
        <w:ind w:firstLine="480"/>
        <w:jc w:val="both"/>
        <w:spacing w:after="0" w:line="560" w:lineRule="exact"/>
        <w:widowControl w:val="off"/>
        <w:rPr>
          <w:rFonts w:ascii="宋体"/>
          <w:iCs/>
          <w:sz w:val="24"/>
        </w:rPr>
      </w:pPr>
      <w:r>
        <w:rPr>
          <w:rFonts w:hint="eastAsia" w:ascii="宋体"/>
          <w:iCs/>
          <w:sz w:val="24"/>
        </w:rPr>
        <w:t xml:space="preserve">27.2每个</w:t>
      </w:r>
      <w:r>
        <w:rPr>
          <w:rFonts w:hint="eastAsia" w:ascii="宋体"/>
          <w:iCs/>
          <w:color w:val="000000"/>
          <w:sz w:val="24"/>
        </w:rPr>
        <w:t xml:space="preserve">采购</w:t>
      </w:r>
      <w:r>
        <w:rPr>
          <w:rFonts w:hint="eastAsia" w:ascii="宋体"/>
          <w:iCs/>
          <w:color w:val="000000"/>
          <w:sz w:val="24"/>
        </w:rPr>
        <w:t xml:space="preserve">包</w:t>
      </w:r>
      <w:r>
        <w:rPr>
          <w:rFonts w:hint="eastAsia" w:ascii="宋体"/>
          <w:iCs/>
          <w:sz w:val="24"/>
        </w:rPr>
        <w:t xml:space="preserve">废标</w:t>
      </w:r>
      <w:r>
        <w:rPr>
          <w:rFonts w:hint="eastAsia" w:ascii="宋体"/>
          <w:iCs/>
          <w:sz w:val="24"/>
        </w:rPr>
        <w:t xml:space="preserve">条款：</w:t>
      </w:r>
      <w:r/>
    </w:p>
    <w:p>
      <w:pPr>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w:t>
      </w:r>
      <w:r>
        <w:rPr>
          <w:rFonts w:hint="eastAsia" w:ascii="宋体"/>
          <w:iCs/>
          <w:color w:val="000000"/>
          <w:sz w:val="24"/>
        </w:rPr>
        <w:t xml:space="preserve">包</w:t>
      </w:r>
      <w:r>
        <w:rPr>
          <w:rFonts w:hint="eastAsia" w:ascii="宋体"/>
          <w:iCs/>
          <w:sz w:val="24"/>
        </w:rPr>
        <w:t xml:space="preserve">符合</w:t>
      </w:r>
      <w:r>
        <w:rPr>
          <w:rFonts w:hint="eastAsia" w:ascii="宋体"/>
          <w:iCs/>
          <w:sz w:val="24"/>
        </w:rPr>
        <w:t xml:space="preserve">专业条件的供应商或者对招标文件作实质响应的供应商不足三家的。</w:t>
      </w:r>
      <w:r/>
    </w:p>
    <w:p>
      <w:pPr>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p>
    <w:p>
      <w:pPr>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p>
    <w:p>
      <w:pPr>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w:t>
      </w:r>
      <w:r>
        <w:rPr>
          <w:rFonts w:hint="eastAsia" w:ascii="宋体"/>
          <w:iCs/>
          <w:sz w:val="24"/>
        </w:rPr>
        <w:t xml:space="preserve">采云</w:t>
      </w:r>
      <w:r>
        <w:rPr>
          <w:rFonts w:hint="eastAsia" w:ascii="宋体"/>
          <w:iCs/>
          <w:sz w:val="24"/>
        </w:rPr>
        <w:t xml:space="preserve">系统系统故障原因造成开标不成功的。</w:t>
      </w:r>
      <w:r/>
    </w:p>
    <w:p>
      <w:pPr>
        <w:ind w:firstLine="480"/>
        <w:jc w:val="both"/>
        <w:spacing w:after="0" w:line="560" w:lineRule="exact"/>
        <w:widowControl w:val="off"/>
        <w:rPr>
          <w:rFonts w:ascii="宋体"/>
          <w:iCs/>
          <w:sz w:val="24"/>
        </w:rPr>
      </w:pPr>
      <w:r>
        <w:rPr>
          <w:rFonts w:hint="eastAsia" w:ascii="宋体"/>
          <w:iCs/>
          <w:sz w:val="24"/>
        </w:rPr>
        <w:t xml:space="preserve">27.3 投标截止时间结束后任</w:t>
      </w:r>
      <w:r>
        <w:rPr>
          <w:rFonts w:hint="eastAsia" w:ascii="宋体"/>
          <w:iCs/>
          <w:sz w:val="24"/>
        </w:rPr>
        <w:t xml:space="preserve">一</w:t>
      </w:r>
      <w:r>
        <w:rPr>
          <w:rFonts w:hint="eastAsia" w:ascii="宋体"/>
          <w:iCs/>
          <w:sz w:val="24"/>
        </w:rPr>
        <w:t xml:space="preserve">采购</w:t>
      </w:r>
      <w:r>
        <w:rPr>
          <w:rFonts w:hint="eastAsia" w:ascii="宋体"/>
          <w:iCs/>
          <w:sz w:val="24"/>
        </w:rPr>
        <w:t xml:space="preserve">包参加</w:t>
      </w:r>
      <w:r>
        <w:rPr>
          <w:rFonts w:hint="eastAsia" w:ascii="宋体"/>
          <w:iCs/>
          <w:sz w:val="24"/>
        </w:rPr>
        <w:t xml:space="preserve">投标的供应商不足三家的处理：</w:t>
      </w:r>
      <w:r/>
    </w:p>
    <w:p>
      <w:pPr>
        <w:ind w:firstLine="480"/>
        <w:jc w:val="both"/>
        <w:spacing w:after="0" w:line="560" w:lineRule="exact"/>
        <w:widowControl w:val="off"/>
        <w:rPr>
          <w:rFonts w:ascii="宋体"/>
          <w:iCs/>
          <w:sz w:val="24"/>
        </w:rPr>
      </w:pPr>
      <w:r>
        <w:rPr>
          <w:rFonts w:hint="eastAsia" w:ascii="宋体"/>
          <w:iCs/>
          <w:sz w:val="24"/>
        </w:rPr>
        <w:t xml:space="preserve">27.3.1任</w:t>
      </w:r>
      <w:r>
        <w:rPr>
          <w:rFonts w:hint="eastAsia" w:ascii="宋体"/>
          <w:iCs/>
          <w:sz w:val="24"/>
        </w:rPr>
        <w:t xml:space="preserve">一</w:t>
      </w:r>
      <w:r>
        <w:rPr>
          <w:rFonts w:hint="eastAsia" w:ascii="宋体"/>
          <w:iCs/>
          <w:sz w:val="24"/>
        </w:rPr>
        <w:t xml:space="preserve">采购包如出现投标截止时间结束后参加投标的供应商或者在评标期间符合要求的或对招标文件做出实质响应的供应商不足三家情况，按政府采购相关规定执行。</w:t>
      </w:r>
      <w:r/>
    </w:p>
    <w:p>
      <w:pPr>
        <w:ind w:firstLine="480"/>
        <w:jc w:val="both"/>
        <w:spacing w:after="0" w:line="560" w:lineRule="exact"/>
        <w:widowControl w:val="off"/>
        <w:rPr>
          <w:rFonts w:ascii="宋体"/>
          <w:iCs/>
          <w:sz w:val="24"/>
        </w:rPr>
      </w:pPr>
      <w:r>
        <w:rPr>
          <w:rFonts w:hint="eastAsia" w:ascii="宋体"/>
          <w:iCs/>
          <w:sz w:val="24"/>
        </w:rPr>
        <w:t xml:space="preserve">六、定标</w:t>
      </w:r>
      <w:r/>
    </w:p>
    <w:p>
      <w:pPr>
        <w:ind w:firstLine="480"/>
        <w:jc w:val="both"/>
        <w:spacing w:after="0" w:line="560" w:lineRule="exact"/>
        <w:widowControl w:val="off"/>
        <w:rPr>
          <w:rFonts w:ascii="宋体"/>
          <w:iCs/>
          <w:sz w:val="24"/>
        </w:rPr>
      </w:pPr>
      <w:r>
        <w:rPr>
          <w:rFonts w:hint="eastAsia" w:ascii="宋体"/>
          <w:iCs/>
          <w:sz w:val="24"/>
        </w:rPr>
        <w:t xml:space="preserve">28、确定中标单位</w:t>
      </w:r>
      <w:r/>
    </w:p>
    <w:p>
      <w:pPr>
        <w:ind w:firstLine="480"/>
        <w:jc w:val="both"/>
        <w:spacing w:after="0" w:line="560" w:lineRule="exact"/>
        <w:widowControl w:val="off"/>
        <w:rPr>
          <w:rFonts w:ascii="宋体"/>
          <w:iCs/>
          <w:sz w:val="24"/>
        </w:rPr>
      </w:pPr>
      <w:r>
        <w:rPr>
          <w:rFonts w:hint="eastAsia" w:ascii="宋体"/>
          <w:iCs/>
          <w:sz w:val="24"/>
        </w:rPr>
        <w:t xml:space="preserve">28.1评审时按照采购包1、采购包2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w:t>
      </w:r>
      <w:r/>
    </w:p>
    <w:p>
      <w:pPr>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p>
    <w:p>
      <w:pPr>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p>
    <w:p>
      <w:pPr>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p>
    <w:p>
      <w:pPr>
        <w:ind w:firstLine="480"/>
        <w:jc w:val="both"/>
        <w:spacing w:after="0" w:line="560" w:lineRule="exact"/>
        <w:widowControl w:val="off"/>
        <w:rPr>
          <w:rFonts w:ascii="宋体"/>
          <w:iCs/>
          <w:sz w:val="24"/>
        </w:rPr>
      </w:pPr>
      <w:r>
        <w:rPr>
          <w:rFonts w:hint="eastAsia" w:ascii="宋体"/>
          <w:iCs/>
          <w:sz w:val="24"/>
        </w:rPr>
        <w:t xml:space="preserve">28.4.1提供虚假材料谋取中标的。</w:t>
      </w:r>
      <w:r/>
    </w:p>
    <w:p>
      <w:pPr>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p>
    <w:p>
      <w:pPr>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p>
    <w:p>
      <w:pPr>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p>
    <w:p>
      <w:pPr>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p>
    <w:p>
      <w:pPr>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p>
    <w:p>
      <w:pPr>
        <w:ind w:firstLine="480"/>
        <w:jc w:val="both"/>
        <w:spacing w:after="0" w:line="560" w:lineRule="exact"/>
        <w:widowControl w:val="off"/>
        <w:rPr>
          <w:rFonts w:ascii="宋体"/>
          <w:iCs/>
          <w:sz w:val="24"/>
        </w:rPr>
      </w:pPr>
      <w:r>
        <w:rPr>
          <w:rFonts w:hint="eastAsia" w:ascii="宋体"/>
          <w:iCs/>
          <w:sz w:val="24"/>
        </w:rPr>
        <w:t xml:space="preserve">28.4.7不符合法律、法规的规定的。</w:t>
      </w:r>
      <w:r/>
    </w:p>
    <w:p>
      <w:pPr>
        <w:ind w:firstLine="480"/>
        <w:jc w:val="both"/>
        <w:spacing w:after="0" w:line="560" w:lineRule="exact"/>
        <w:widowControl w:val="off"/>
        <w:rPr>
          <w:rFonts w:ascii="宋体"/>
          <w:iCs/>
          <w:sz w:val="24"/>
        </w:rPr>
      </w:pPr>
      <w:r>
        <w:rPr>
          <w:rFonts w:hint="eastAsia" w:ascii="宋体"/>
          <w:iCs/>
          <w:sz w:val="24"/>
        </w:rPr>
        <w:t xml:space="preserve">28.5 有下列情形之一的，视为供应商串通投标，投标无效：</w:t>
      </w:r>
      <w:r/>
    </w:p>
    <w:p>
      <w:pPr>
        <w:ind w:firstLine="480"/>
        <w:jc w:val="both"/>
        <w:spacing w:after="0" w:line="560" w:lineRule="exact"/>
        <w:widowControl w:val="off"/>
        <w:rPr>
          <w:rFonts w:ascii="宋体"/>
          <w:iCs/>
          <w:sz w:val="24"/>
        </w:rPr>
      </w:pPr>
      <w:r>
        <w:rPr>
          <w:rFonts w:hint="eastAsia" w:ascii="宋体"/>
          <w:iCs/>
          <w:sz w:val="24"/>
        </w:rPr>
        <w:t xml:space="preserve">28.5.1不同供应商的投标文件由同一单位或者个人编制。</w:t>
      </w:r>
      <w:r/>
    </w:p>
    <w:p>
      <w:pPr>
        <w:ind w:firstLine="480"/>
        <w:jc w:val="both"/>
        <w:spacing w:after="0" w:line="560" w:lineRule="exact"/>
        <w:widowControl w:val="off"/>
        <w:rPr>
          <w:rFonts w:ascii="宋体"/>
          <w:iCs/>
          <w:sz w:val="24"/>
        </w:rPr>
      </w:pPr>
      <w:r>
        <w:rPr>
          <w:rFonts w:hint="eastAsia" w:ascii="宋体"/>
          <w:iCs/>
          <w:sz w:val="24"/>
        </w:rPr>
        <w:t xml:space="preserve">28.5.2不同供应商委托同一单位或者个人办理投标事宜。</w:t>
      </w:r>
      <w:r/>
    </w:p>
    <w:p>
      <w:pPr>
        <w:ind w:firstLine="480"/>
        <w:jc w:val="both"/>
        <w:spacing w:after="0" w:line="560" w:lineRule="exact"/>
        <w:widowControl w:val="off"/>
        <w:rPr>
          <w:rFonts w:ascii="宋体"/>
          <w:iCs/>
          <w:sz w:val="24"/>
        </w:rPr>
      </w:pPr>
      <w:r>
        <w:rPr>
          <w:rFonts w:hint="eastAsia" w:ascii="宋体"/>
          <w:iCs/>
          <w:sz w:val="24"/>
        </w:rPr>
        <w:t xml:space="preserve">28.5.3 不同供应商的投标文件载明的项目管理成员或者联系人员为同一人。</w:t>
      </w:r>
      <w:r/>
    </w:p>
    <w:p>
      <w:pPr>
        <w:ind w:firstLine="480"/>
        <w:jc w:val="both"/>
        <w:spacing w:after="0" w:line="560" w:lineRule="exact"/>
        <w:widowControl w:val="off"/>
        <w:rPr>
          <w:rFonts w:ascii="宋体"/>
          <w:iCs/>
          <w:sz w:val="24"/>
        </w:rPr>
      </w:pPr>
      <w:r>
        <w:rPr>
          <w:rFonts w:hint="eastAsia" w:ascii="宋体"/>
          <w:iCs/>
          <w:sz w:val="24"/>
        </w:rPr>
        <w:t xml:space="preserve">28.5.4不同供应商的投标文件异常一致或者投标报价呈规律性差异。</w:t>
      </w:r>
      <w:r/>
    </w:p>
    <w:p>
      <w:pPr>
        <w:ind w:firstLine="480"/>
        <w:jc w:val="both"/>
        <w:spacing w:after="0" w:line="560" w:lineRule="exact"/>
        <w:widowControl w:val="off"/>
        <w:rPr>
          <w:rFonts w:ascii="宋体"/>
          <w:iCs/>
          <w:sz w:val="24"/>
        </w:rPr>
      </w:pPr>
      <w:r>
        <w:rPr>
          <w:rFonts w:hint="eastAsia" w:ascii="宋体"/>
          <w:iCs/>
          <w:sz w:val="24"/>
        </w:rPr>
        <w:t xml:space="preserve">29、质疑处理</w:t>
      </w:r>
      <w:r/>
    </w:p>
    <w:p>
      <w:pPr>
        <w:ind w:firstLine="480"/>
        <w:jc w:val="both"/>
        <w:spacing w:after="0" w:line="560" w:lineRule="exact"/>
        <w:widowControl w:val="off"/>
        <w:rPr>
          <w:rFonts w:ascii="宋体"/>
          <w:iCs/>
          <w:sz w:val="24"/>
        </w:rPr>
      </w:pPr>
      <w:r>
        <w:rPr>
          <w:rFonts w:hint="eastAsia" w:ascii="宋体"/>
          <w:iCs/>
          <w:sz w:val="24"/>
        </w:rPr>
        <w:t xml:space="preserve">29.1供应商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p>
    <w:p>
      <w:pPr>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p>
    <w:p>
      <w:pPr>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sz w:val="24"/>
        </w:rPr>
        <w:t xml:space="preserve">作出</w:t>
      </w:r>
      <w:r>
        <w:rPr>
          <w:rFonts w:hint="eastAsia" w:ascii="宋体"/>
          <w:iCs/>
          <w:sz w:val="24"/>
        </w:rPr>
        <w:t xml:space="preserve">答复。</w:t>
      </w:r>
      <w:r/>
    </w:p>
    <w:p>
      <w:pPr>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0" w:line="560" w:lineRule="exact"/>
        <w:widowControl w:val="off"/>
        <w:rPr>
          <w:rFonts w:ascii="宋体"/>
          <w:iCs/>
          <w:sz w:val="24"/>
        </w:rPr>
      </w:pPr>
      <w:r>
        <w:rPr>
          <w:rFonts w:hint="eastAsia" w:ascii="宋体"/>
          <w:iCs/>
          <w:sz w:val="24"/>
        </w:rPr>
        <w:t xml:space="preserve">29.4质疑</w:t>
      </w:r>
      <w:r>
        <w:rPr>
          <w:rFonts w:hint="eastAsia" w:ascii="宋体"/>
          <w:iCs/>
          <w:sz w:val="24"/>
        </w:rPr>
        <w:t xml:space="preserve">函应当</w:t>
      </w:r>
      <w:r>
        <w:rPr>
          <w:rFonts w:hint="eastAsia" w:ascii="宋体"/>
          <w:iCs/>
          <w:sz w:val="24"/>
        </w:rPr>
        <w:t xml:space="preserve">包括下列内容：</w:t>
      </w:r>
      <w:r/>
    </w:p>
    <w:p>
      <w:pPr>
        <w:ind w:firstLine="480"/>
        <w:jc w:val="both"/>
        <w:spacing w:after="0" w:line="560" w:lineRule="exact"/>
        <w:widowControl w:val="off"/>
        <w:rPr>
          <w:rFonts w:ascii="宋体"/>
          <w:iCs/>
          <w:sz w:val="24"/>
        </w:rPr>
      </w:pPr>
      <w:r>
        <w:rPr>
          <w:rFonts w:hint="eastAsia" w:ascii="宋体"/>
          <w:iCs/>
          <w:sz w:val="24"/>
        </w:rPr>
        <w:t xml:space="preserve">29.4.1质疑供应商的名称、地址、邮编、联系人、联系电话；</w:t>
      </w:r>
      <w:r/>
    </w:p>
    <w:p>
      <w:pPr>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p>
    <w:p>
      <w:pPr>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p>
    <w:p>
      <w:pPr>
        <w:ind w:firstLine="480"/>
        <w:jc w:val="both"/>
        <w:spacing w:after="0" w:line="560" w:lineRule="exact"/>
        <w:widowControl w:val="off"/>
        <w:rPr>
          <w:rFonts w:ascii="宋体"/>
          <w:iCs/>
          <w:sz w:val="24"/>
        </w:rPr>
      </w:pPr>
      <w:r>
        <w:rPr>
          <w:rFonts w:hint="eastAsia" w:ascii="宋体"/>
          <w:iCs/>
          <w:sz w:val="24"/>
        </w:rPr>
        <w:t xml:space="preserve">29.4.4提起质疑的日期；</w:t>
      </w:r>
      <w:r/>
    </w:p>
    <w:p>
      <w:pPr>
        <w:ind w:firstLine="480"/>
        <w:jc w:val="both"/>
        <w:spacing w:after="0" w:line="560" w:lineRule="exact"/>
        <w:widowControl w:val="off"/>
        <w:rPr>
          <w:rFonts w:ascii="宋体"/>
          <w:iCs/>
          <w:sz w:val="24"/>
        </w:rPr>
      </w:pPr>
      <w:r>
        <w:rPr>
          <w:rFonts w:hint="eastAsia" w:ascii="宋体"/>
          <w:iCs/>
          <w:sz w:val="24"/>
        </w:rPr>
        <w:t xml:space="preserve">29.4.5质疑</w:t>
      </w:r>
      <w:r>
        <w:rPr>
          <w:rFonts w:hint="eastAsia" w:ascii="宋体"/>
          <w:iCs/>
          <w:sz w:val="24"/>
        </w:rPr>
        <w:t xml:space="preserve">函应当</w:t>
      </w:r>
      <w:r>
        <w:rPr>
          <w:rFonts w:hint="eastAsia" w:ascii="宋体"/>
          <w:iCs/>
          <w:sz w:val="24"/>
        </w:rPr>
        <w:t xml:space="preserve">署名：质疑人为自然人的，应当由本人签字并</w:t>
      </w:r>
      <w:r>
        <w:rPr>
          <w:rFonts w:hint="eastAsia" w:ascii="宋体"/>
          <w:iCs/>
          <w:sz w:val="24"/>
        </w:rPr>
        <w:t xml:space="preserve">附有效</w:t>
      </w:r>
      <w:r>
        <w:rPr>
          <w:rFonts w:hint="eastAsia" w:ascii="宋体"/>
          <w:iCs/>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29.7对于内容、格式符合规定的质疑函，南京小旸树招标代理有限公司应当在收到投标人的书面质疑后七个工作日内</w:t>
      </w:r>
      <w:r>
        <w:rPr>
          <w:rFonts w:hint="eastAsia" w:ascii="宋体"/>
          <w:iCs/>
          <w:sz w:val="24"/>
        </w:rPr>
        <w:t xml:space="preserve">作出</w:t>
      </w:r>
      <w:r>
        <w:rPr>
          <w:rFonts w:hint="eastAsia" w:ascii="宋体"/>
          <w:iCs/>
          <w:sz w:val="24"/>
        </w:rPr>
        <w:t xml:space="preserve">答复，并以书面形式通知质疑供</w:t>
      </w:r>
      <w:r>
        <w:rPr>
          <w:rFonts w:hint="eastAsia" w:ascii="宋体"/>
          <w:iCs/>
          <w:sz w:val="24"/>
        </w:rPr>
        <w:t xml:space="preserve">应商和其他有关供应商，但答复的内容不得涉及商业秘密。</w:t>
      </w:r>
      <w:r/>
    </w:p>
    <w:p>
      <w:pPr>
        <w:ind w:firstLine="480"/>
        <w:jc w:val="both"/>
        <w:spacing w:after="0" w:line="560" w:lineRule="exact"/>
        <w:widowControl w:val="off"/>
        <w:rPr>
          <w:rFonts w:ascii="宋体"/>
          <w:iCs/>
          <w:sz w:val="24"/>
        </w:rPr>
      </w:pPr>
      <w:r>
        <w:rPr>
          <w:rFonts w:hint="eastAsia" w:ascii="宋体"/>
          <w:iCs/>
          <w:sz w:val="24"/>
        </w:rPr>
        <w:t xml:space="preserve">29.8供应商提出书面质疑必须有理、有据，不得恶意质疑或提交虚假质疑。否则，一经查实，南京小旸树招标代理有限公司有权依据政府采购的有关规定，报请政府采购监管部门对该供应商进行相应的行政处罚。</w:t>
      </w:r>
      <w:r/>
    </w:p>
    <w:p>
      <w:pPr>
        <w:ind w:firstLine="480"/>
        <w:jc w:val="both"/>
        <w:spacing w:after="0" w:line="560" w:lineRule="exact"/>
        <w:widowControl w:val="off"/>
        <w:rPr>
          <w:rFonts w:ascii="宋体"/>
          <w:iCs/>
          <w:sz w:val="24"/>
        </w:rPr>
      </w:pPr>
      <w:r>
        <w:rPr>
          <w:rFonts w:hint="eastAsia" w:ascii="宋体"/>
          <w:iCs/>
          <w:sz w:val="24"/>
        </w:rPr>
        <w:t xml:space="preserve">30、中标通知书</w:t>
      </w:r>
      <w:r/>
    </w:p>
    <w:p>
      <w:pPr>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w:t>
      </w:r>
      <w:r>
        <w:rPr>
          <w:rFonts w:hint="eastAsia" w:ascii="宋体"/>
          <w:iCs/>
          <w:sz w:val="24"/>
        </w:rPr>
        <w:t xml:space="preserve">采云</w:t>
      </w:r>
      <w:r>
        <w:rPr>
          <w:rFonts w:hint="eastAsia" w:ascii="宋体"/>
          <w:iCs/>
          <w:sz w:val="24"/>
        </w:rPr>
        <w:t xml:space="preserve">系统及时下载中标通知书。因系统存储空间有限，自中标结果公告届满之日起30日后，苏</w:t>
      </w:r>
      <w:r>
        <w:rPr>
          <w:rFonts w:hint="eastAsia" w:ascii="宋体"/>
          <w:iCs/>
          <w:sz w:val="24"/>
        </w:rPr>
        <w:t xml:space="preserve">采云</w:t>
      </w:r>
      <w:r>
        <w:rPr>
          <w:rFonts w:hint="eastAsia" w:ascii="宋体"/>
          <w:iCs/>
          <w:sz w:val="24"/>
        </w:rPr>
        <w:t xml:space="preserve">系统不再保证提供下载中标通知书服务,因未及时下载而造成的不利后果由中标人自行承担。</w:t>
      </w:r>
      <w:r/>
    </w:p>
    <w:p>
      <w:pPr>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中标通知书将是合同的一个组成部分。对采购人和中标的供应商均具有法律效力。中标通知书发出后，采购人改变中标结果的，或者中标的供应商放弃中标项目的，应当依法承担法律责任。</w:t>
      </w:r>
      <w:r/>
    </w:p>
    <w:p>
      <w:pPr>
        <w:ind w:firstLine="480"/>
        <w:jc w:val="both"/>
        <w:spacing w:after="0" w:line="560" w:lineRule="exact"/>
        <w:widowControl w:val="off"/>
        <w:rPr>
          <w:rFonts w:ascii="宋体"/>
          <w:iCs/>
          <w:sz w:val="24"/>
        </w:rPr>
      </w:pPr>
      <w:r>
        <w:rPr>
          <w:rFonts w:hint="eastAsia" w:ascii="宋体"/>
          <w:iCs/>
          <w:sz w:val="24"/>
        </w:rPr>
        <w:t xml:space="preserve">七、授予合同</w:t>
      </w:r>
      <w:r/>
    </w:p>
    <w:p>
      <w:pPr>
        <w:ind w:firstLine="480"/>
        <w:jc w:val="both"/>
        <w:spacing w:after="0" w:line="560" w:lineRule="exact"/>
        <w:widowControl w:val="off"/>
        <w:rPr>
          <w:rFonts w:ascii="宋体"/>
          <w:iCs/>
          <w:sz w:val="24"/>
        </w:rPr>
      </w:pPr>
      <w:r>
        <w:rPr>
          <w:rFonts w:hint="eastAsia" w:ascii="宋体"/>
          <w:iCs/>
          <w:sz w:val="24"/>
        </w:rPr>
        <w:t xml:space="preserve">31、 签订合同</w:t>
      </w:r>
      <w:r/>
    </w:p>
    <w:p>
      <w:pPr>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p>
    <w:p>
      <w:pPr>
        <w:ind w:firstLine="480"/>
        <w:jc w:val="both"/>
        <w:spacing w:after="0" w:line="560" w:lineRule="exact"/>
        <w:widowControl w:val="off"/>
        <w:rPr>
          <w:rFonts w:ascii="宋体"/>
          <w:b/>
          <w:bCs/>
          <w:iCs/>
          <w:sz w:val="24"/>
        </w:rPr>
      </w:pPr>
      <w:r>
        <w:rPr>
          <w:rFonts w:hint="eastAsia" w:ascii="宋体" w:hAnsi="宋体"/>
          <w:iCs/>
          <w:sz w:val="24"/>
        </w:rPr>
        <w:t xml:space="preserve">★</w:t>
      </w:r>
      <w:r>
        <w:rPr>
          <w:rFonts w:hint="eastAsia" w:ascii="宋体"/>
          <w:iCs/>
          <w:sz w:val="24"/>
        </w:rPr>
        <w:t xml:space="preserve">31.3 </w:t>
      </w:r>
      <w:bookmarkStart w:id="77"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77"/>
      <w:r/>
      <w:r/>
    </w:p>
    <w:p>
      <w:pPr>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p>
    <w:p>
      <w:pPr>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w:t>
      </w:r>
      <w:r>
        <w:rPr>
          <w:rFonts w:hint="eastAsia" w:ascii="宋体"/>
          <w:iCs/>
          <w:sz w:val="24"/>
        </w:rPr>
        <w:t xml:space="preserve">在不改变合同其他条款的前提下，可以与中标人协商签订补充合同，但所有补充合同的采购金额不超过原合同金额10%。</w:t>
      </w:r>
      <w:bookmarkEnd w:id="49"/>
      <w:r/>
      <w:bookmarkEnd w:id="50"/>
      <w:r/>
      <w:bookmarkEnd w:id="51"/>
      <w:r/>
      <w:bookmarkEnd w:id="52"/>
      <w:r/>
      <w:bookmarkEnd w:id="53"/>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pStyle w:val="743"/>
        <w:jc w:val="left"/>
        <w:keepLines w:val="0"/>
        <w:spacing w:before="0" w:line="240" w:lineRule="auto"/>
        <w:widowControl w:val="off"/>
        <w:tabs>
          <w:tab w:val="right" w:pos="8306" w:leader="none"/>
        </w:tabs>
        <w:rPr>
          <w:rFonts w:hint="eastAsia" w:ascii="黑体" w:hAnsi="楷体_GB2312" w:eastAsia="黑体"/>
          <w:b w:val="0"/>
          <w:bCs w:val="0"/>
          <w:color w:val="auto"/>
          <w:sz w:val="44"/>
          <w:szCs w:val="44"/>
        </w:rPr>
      </w:pPr>
      <w:r>
        <w:rPr>
          <w:rFonts w:hint="eastAsia" w:ascii="黑体" w:hAnsi="楷体_GB2312" w:eastAsia="黑体"/>
          <w:b w:val="0"/>
          <w:bCs w:val="0"/>
          <w:color w:val="auto"/>
          <w:sz w:val="44"/>
          <w:szCs w:val="44"/>
        </w:rPr>
        <w:t xml:space="preserve">       第三章  </w:t>
      </w:r>
      <w:r>
        <w:rPr>
          <w:rFonts w:hint="eastAsia" w:ascii="黑体" w:hAnsi="楷体_GB2312" w:eastAsia="黑体"/>
          <w:b w:val="0"/>
          <w:bCs w:val="0"/>
          <w:color w:val="auto"/>
          <w:sz w:val="44"/>
          <w:szCs w:val="44"/>
        </w:rPr>
        <w:t xml:space="preserve">合同条款及格式</w:t>
      </w:r>
      <w:r>
        <w:tab/>
      </w:r>
      <w:r/>
    </w:p>
    <w:p>
      <w:pPr>
        <w:jc w:val="center"/>
        <w:spacing w:after="0" w:line="520" w:lineRule="exact"/>
        <w:widowControl w:val="off"/>
        <w:rPr>
          <w:rFonts w:hint="eastAsia" w:ascii="宋体" w:hAnsi="宋体" w:cs="宋体"/>
          <w:bCs/>
          <w:sz w:val="24"/>
          <w:szCs w:val="24"/>
          <w:lang w:bidi="ar"/>
        </w:rPr>
      </w:pPr>
      <w:r>
        <w:rPr>
          <w:rFonts w:hint="eastAsia" w:ascii="宋体" w:hAnsi="宋体" w:cs="宋体"/>
          <w:bCs/>
          <w:sz w:val="24"/>
          <w:szCs w:val="24"/>
          <w:lang w:bidi="ar"/>
        </w:rPr>
        <w:t xml:space="preserve">以下为中标后</w:t>
      </w:r>
      <w:r>
        <w:rPr>
          <w:rFonts w:hint="eastAsia" w:ascii="宋体" w:hAnsi="宋体" w:cs="宋体"/>
          <w:bCs/>
          <w:sz w:val="24"/>
          <w:szCs w:val="24"/>
          <w:lang w:bidi="ar"/>
        </w:rPr>
        <w:t xml:space="preserve">签定</w:t>
      </w:r>
      <w:r>
        <w:rPr>
          <w:rFonts w:hint="eastAsia" w:ascii="宋体" w:hAnsi="宋体" w:cs="宋体"/>
          <w:bCs/>
          <w:sz w:val="24"/>
          <w:szCs w:val="24"/>
          <w:lang w:bidi="ar"/>
        </w:rPr>
        <w:t xml:space="preserve">本项目合同的通用条款，中标人不得提出实质性的修改，关于专用条款将由采购人与中标人结合本项目具体情况协商后签订。</w:t>
      </w:r>
      <w:r/>
    </w:p>
    <w:p>
      <w:pPr>
        <w:jc w:val="center"/>
        <w:spacing w:after="0" w:line="520" w:lineRule="exact"/>
        <w:widowControl w:val="off"/>
        <w:rPr>
          <w:rFonts w:hint="eastAsia" w:ascii="宋体" w:hAnsi="宋体" w:cs="宋体"/>
          <w:sz w:val="52"/>
          <w:szCs w:val="52"/>
        </w:rPr>
      </w:pPr>
      <w:r>
        <w:rPr>
          <w:rFonts w:hint="eastAsia" w:ascii="宋体" w:hAnsi="宋体" w:cs="宋体"/>
          <w:sz w:val="52"/>
          <w:szCs w:val="52"/>
        </w:rPr>
        <w:t xml:space="preserve">技术服务合同书</w:t>
      </w:r>
      <w:r/>
    </w:p>
    <w:p>
      <w:pPr>
        <w:jc w:val="both"/>
        <w:spacing w:after="0" w:line="520" w:lineRule="exact"/>
        <w:widowControl w:val="off"/>
        <w:rPr>
          <w:rFonts w:hint="eastAsia" w:ascii="宋体" w:hAnsi="宋体" w:cs="宋体"/>
          <w:sz w:val="44"/>
          <w:szCs w:val="44"/>
        </w:rPr>
      </w:pPr>
      <w:r>
        <w:rPr>
          <w:rFonts w:hint="eastAsia" w:ascii="宋体" w:hAnsi="宋体" w:cs="宋体"/>
          <w:sz w:val="44"/>
          <w:szCs w:val="44"/>
        </w:rPr>
      </w:r>
      <w:r/>
    </w:p>
    <w:p>
      <w:pPr>
        <w:jc w:val="both"/>
        <w:spacing w:after="0" w:line="520" w:lineRule="exact"/>
        <w:widowControl w:val="off"/>
        <w:rPr>
          <w:rFonts w:hint="eastAsia" w:ascii="宋体" w:hAnsi="宋体" w:cs="宋体"/>
          <w:sz w:val="44"/>
          <w:szCs w:val="44"/>
        </w:rPr>
      </w:pPr>
      <w:r>
        <w:rPr>
          <w:rFonts w:hint="eastAsia" w:ascii="宋体" w:hAnsi="宋体" w:cs="宋体"/>
          <w:sz w:val="44"/>
          <w:szCs w:val="44"/>
        </w:rPr>
      </w:r>
      <w:r/>
    </w:p>
    <w:p>
      <w:pPr>
        <w:ind w:firstLine="600"/>
        <w:jc w:val="center"/>
        <w:spacing w:after="0" w:line="520" w:lineRule="exact"/>
        <w:widowControl w:val="off"/>
        <w:rPr>
          <w:rFonts w:hint="eastAsia" w:ascii="宋体" w:hAnsi="宋体" w:cs="宋体"/>
          <w:sz w:val="30"/>
          <w:szCs w:val="30"/>
        </w:rPr>
      </w:pPr>
      <w:r>
        <w:rPr>
          <w:rFonts w:hint="eastAsia" w:ascii="宋体" w:hAnsi="宋体" w:cs="宋体"/>
          <w:sz w:val="30"/>
          <w:szCs w:val="30"/>
        </w:rPr>
        <w:t xml:space="preserve">项目名称：2026年重点工业产品质量安全隐患风险动态监测技术服务 </w:t>
      </w:r>
      <w:r/>
    </w:p>
    <w:p>
      <w:pPr>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jc w:val="center"/>
        <w:spacing w:after="0" w:line="520" w:lineRule="exact"/>
        <w:widowControl w:val="off"/>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t xml:space="preserve">采购</w:t>
      </w:r>
      <w:r>
        <w:rPr>
          <w:rFonts w:hint="eastAsia" w:ascii="宋体" w:hAnsi="宋体" w:cs="宋体"/>
          <w:i/>
          <w:iCs/>
          <w:sz w:val="30"/>
          <w:szCs w:val="30"/>
        </w:rPr>
        <w:t xml:space="preserve">包号</w:t>
      </w:r>
      <w:r>
        <w:rPr>
          <w:rFonts w:hint="eastAsia" w:ascii="宋体" w:hAnsi="宋体" w:cs="宋体"/>
          <w:i/>
          <w:iCs/>
          <w:sz w:val="30"/>
          <w:szCs w:val="30"/>
        </w:rPr>
        <w:t xml:space="preserve">+产品名称</w:t>
      </w:r>
      <w:r>
        <w:rPr>
          <w:rFonts w:hint="eastAsia" w:ascii="宋体" w:hAnsi="宋体" w:cs="宋体"/>
          <w:sz w:val="30"/>
          <w:szCs w:val="30"/>
        </w:rPr>
        <w:t xml:space="preserve">）</w:t>
      </w:r>
      <w:r/>
    </w:p>
    <w:p>
      <w:pPr>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ind w:left="420"/>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jc w:val="both"/>
        <w:spacing w:after="120" w:line="240" w:lineRule="auto"/>
        <w:widowControl w:val="off"/>
        <w:rPr>
          <w:rFonts w:hint="eastAsia" w:ascii="宋体" w:hAnsi="宋体" w:cs="宋体"/>
          <w:sz w:val="30"/>
          <w:szCs w:val="30"/>
        </w:rPr>
      </w:pPr>
      <w:r>
        <w:rPr>
          <w:rFonts w:hint="eastAsia" w:ascii="宋体" w:hAnsi="宋体" w:cs="宋体"/>
          <w:sz w:val="30"/>
          <w:szCs w:val="30"/>
        </w:rPr>
      </w:r>
      <w:r/>
    </w:p>
    <w:p>
      <w:pPr>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委托单位(甲方)：江苏省市场监督管理局</w:t>
      </w:r>
      <w:r/>
    </w:p>
    <w:p>
      <w:pPr>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服务单位(乙方)：</w:t>
      </w:r>
      <w:r/>
    </w:p>
    <w:p>
      <w:pPr>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合同签订日期：2026年  月  日</w:t>
      </w:r>
      <w:r/>
    </w:p>
    <w:p>
      <w:pPr>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合同签订地点：南京</w:t>
      </w:r>
      <w:r/>
    </w:p>
    <w:p>
      <w:pPr>
        <w:ind w:firstLine="600"/>
        <w:spacing w:after="0" w:line="520" w:lineRule="exact"/>
        <w:widowControl w:val="off"/>
        <w:rPr>
          <w:rFonts w:hint="eastAsia" w:ascii="宋体" w:hAnsi="宋体" w:cs="宋体"/>
          <w:sz w:val="30"/>
          <w:szCs w:val="30"/>
        </w:rPr>
      </w:pPr>
      <w:r>
        <w:rPr>
          <w:rFonts w:hint="eastAsia" w:ascii="宋体" w:hAnsi="宋体" w:cs="宋体"/>
          <w:sz w:val="30"/>
          <w:szCs w:val="30"/>
        </w:rPr>
        <w:t xml:space="preserve">服务期限：2026年  月  日 至2026年  月  日</w:t>
      </w:r>
      <w:r/>
    </w:p>
    <w:p>
      <w:pPr>
        <w:jc w:val="both"/>
        <w:spacing w:after="0" w:line="520" w:lineRule="exact"/>
        <w:widowControl w:val="off"/>
        <w:rPr>
          <w:rFonts w:hint="eastAsia" w:ascii="宋体" w:hAnsi="宋体" w:cs="宋体"/>
          <w:sz w:val="30"/>
          <w:szCs w:val="30"/>
        </w:rPr>
      </w:pPr>
      <w:r>
        <w:rPr>
          <w:rFonts w:hint="eastAsia" w:ascii="宋体" w:hAnsi="宋体" w:cs="宋体"/>
          <w:sz w:val="30"/>
          <w:szCs w:val="30"/>
        </w:rPr>
      </w:r>
      <w:r/>
    </w:p>
    <w:p>
      <w:pPr>
        <w:jc w:val="center"/>
        <w:spacing w:after="0" w:line="520" w:lineRule="exact"/>
        <w:widowControl w:val="off"/>
        <w:rPr>
          <w:rFonts w:hint="eastAsia" w:ascii="宋体" w:hAnsi="宋体" w:cs="宋体"/>
          <w:sz w:val="30"/>
          <w:szCs w:val="30"/>
        </w:rPr>
      </w:pPr>
      <w:r>
        <w:rPr>
          <w:rFonts w:hint="eastAsia" w:ascii="宋体" w:hAnsi="宋体" w:cs="宋体"/>
          <w:sz w:val="30"/>
          <w:szCs w:val="30"/>
        </w:rPr>
      </w:r>
      <w:r/>
    </w:p>
    <w:p>
      <w:pPr>
        <w:jc w:val="center"/>
        <w:spacing w:after="0" w:line="520" w:lineRule="exact"/>
        <w:widowControl w:val="off"/>
        <w:rPr>
          <w:rFonts w:hint="eastAsia" w:ascii="宋体" w:hAnsi="宋体" w:cs="宋体"/>
          <w:sz w:val="30"/>
          <w:szCs w:val="30"/>
        </w:rPr>
      </w:pPr>
      <w:r>
        <w:rPr>
          <w:rFonts w:hint="eastAsia" w:ascii="宋体" w:hAnsi="宋体" w:cs="宋体"/>
          <w:sz w:val="30"/>
          <w:szCs w:val="30"/>
        </w:rPr>
      </w:r>
      <w:r/>
    </w:p>
    <w:p>
      <w:pPr>
        <w:shd w:val="nil" w:color="auto"/>
        <w:rPr>
          <w:rFonts w:hint="eastAsia" w:ascii="宋体" w:hAnsi="宋体" w:cs="宋体"/>
          <w:sz w:val="24"/>
          <w:szCs w:val="24"/>
        </w:rPr>
      </w:pPr>
      <w:r>
        <w:rPr>
          <w:rFonts w:hint="eastAsia" w:ascii="宋体" w:hAnsi="宋体" w:cs="宋体"/>
          <w:sz w:val="24"/>
          <w:szCs w:val="24"/>
          <w:highlight w:val="none"/>
          <w:lang w:val="zh-CN"/>
        </w:rPr>
        <w:br w:type="page" w:clear="all"/>
      </w:r>
      <w:r>
        <w:rPr>
          <w:rFonts w:hint="eastAsia" w:ascii="宋体" w:hAnsi="宋体" w:cs="宋体"/>
          <w:sz w:val="24"/>
          <w:szCs w:val="24"/>
          <w:highlight w:val="none"/>
          <w:lang w:val="zh-CN"/>
        </w:rPr>
      </w:r>
      <w:r/>
    </w:p>
    <w:p>
      <w:pPr>
        <w:ind w:firstLine="480"/>
        <w:jc w:val="both"/>
        <w:spacing w:after="0" w:line="440" w:lineRule="exact"/>
        <w:widowControl w:val="off"/>
        <w:rPr>
          <w:rFonts w:hint="eastAsia" w:ascii="宋体" w:hAnsi="宋体" w:cs="宋体"/>
          <w:sz w:val="24"/>
          <w:szCs w:val="24"/>
          <w:highlight w:val="none"/>
          <w:lang w:val="zh-CN"/>
        </w:rPr>
      </w:pPr>
      <w:r>
        <w:rPr>
          <w:rFonts w:hint="eastAsia" w:ascii="宋体" w:hAnsi="宋体" w:cs="宋体"/>
          <w:sz w:val="24"/>
          <w:szCs w:val="24"/>
        </w:rPr>
        <w:t xml:space="preserve">依照《中华人民共和国政府采购法》《中华人民共和国民法典》等有关法律法规的规定，江苏省市场监督管理局对</w:t>
      </w:r>
      <w:r>
        <w:rPr>
          <w:rFonts w:hint="eastAsia" w:ascii="宋体" w:hAnsi="宋体" w:cs="宋体"/>
          <w:sz w:val="24"/>
          <w:szCs w:val="24"/>
          <w:u w:val="single"/>
        </w:rPr>
        <w:t xml:space="preserve">2026年</w:t>
      </w:r>
      <w:bookmarkStart w:id="84" w:name="OLE_LINK3"/>
      <w:r>
        <w:rPr>
          <w:rFonts w:hint="eastAsia" w:ascii="宋体" w:hAnsi="宋体" w:cs="宋体"/>
          <w:sz w:val="24"/>
          <w:szCs w:val="24"/>
          <w:u w:val="single"/>
        </w:rPr>
        <w:t xml:space="preserve">重点工业产品质量安全隐患风险动态监测</w:t>
      </w:r>
      <w:bookmarkEnd w:id="84"/>
      <w:r>
        <w:rPr>
          <w:rFonts w:hint="eastAsia" w:ascii="宋体" w:hAnsi="宋体" w:cs="宋体"/>
          <w:sz w:val="24"/>
          <w:szCs w:val="24"/>
          <w:u w:val="single"/>
        </w:rPr>
        <w:t xml:space="preserve">技术服务</w:t>
      </w:r>
      <w:r>
        <w:rPr>
          <w:rFonts w:hint="eastAsia" w:ascii="宋体" w:hAnsi="宋体" w:cs="宋体"/>
          <w:sz w:val="24"/>
          <w:szCs w:val="24"/>
          <w:u w:val="single"/>
          <w:lang w:val="zh-CN"/>
        </w:rPr>
        <w:t xml:space="preserve">（项目编号                ）</w:t>
      </w:r>
      <w:r>
        <w:rPr>
          <w:rFonts w:hint="eastAsia" w:ascii="宋体" w:hAnsi="宋体" w:cs="宋体"/>
          <w:sz w:val="24"/>
          <w:szCs w:val="24"/>
          <w:lang w:val="zh-CN"/>
        </w:rPr>
        <w:t xml:space="preserve">进行公开招标采购，确定乙方为服务单位，双方经协商，签订本合同。</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lang w:val="zh-CN"/>
        </w:rPr>
        <w:t xml:space="preserve">服务</w:t>
      </w:r>
      <w:r>
        <w:rPr>
          <w:rFonts w:hint="eastAsia" w:ascii="宋体" w:hAnsi="宋体" w:cs="宋体"/>
          <w:b/>
          <w:bCs/>
          <w:sz w:val="24"/>
          <w:szCs w:val="24"/>
        </w:rPr>
        <w:t xml:space="preserve">内容</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甲方委托乙方进行服务内容如下：</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在甲方要求的时间内，</w:t>
      </w:r>
      <w:r>
        <w:rPr>
          <w:rFonts w:hint="eastAsia" w:ascii="宋体" w:hAnsi="宋体" w:cs="宋体"/>
          <w:sz w:val="24"/>
          <w:szCs w:val="24"/>
        </w:rPr>
        <w:t xml:space="preserve">乙方应依据《中华人民共和国消费者权益保护法》《中华人民共和国产品质量法》《中华人民共和国标准化法》《检验检测机构监督管理办法》《产品质量监督抽查管理暂行办法》《江苏省省级产品质量监督抽查工作规范》相关要求，</w:t>
      </w:r>
      <w:r>
        <w:rPr>
          <w:rFonts w:hint="eastAsia" w:ascii="宋体" w:hAnsi="宋体" w:cs="宋体"/>
          <w:sz w:val="24"/>
          <w:szCs w:val="24"/>
          <w:lang w:val="zh-CN"/>
        </w:rPr>
        <w:t xml:space="preserve">完成抽样、检验、抽检结果寄送并完成结果数据上报等工作。</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在甲方要求的时间内，按甲方要求</w:t>
      </w:r>
      <w:r>
        <w:rPr>
          <w:rFonts w:hint="eastAsia" w:ascii="宋体" w:hAnsi="宋体" w:cs="宋体"/>
          <w:sz w:val="24"/>
          <w:szCs w:val="24"/>
        </w:rPr>
        <w:t xml:space="preserve">提交产品的检验检测数据、检验检测报告、产品质量分析报告、质量分析建议书、产品质量风险分析报告及其他相关材料。</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3、按甲方要求</w:t>
      </w:r>
      <w:r>
        <w:rPr>
          <w:rFonts w:hint="eastAsia" w:ascii="宋体" w:hAnsi="宋体" w:cs="宋体"/>
          <w:sz w:val="24"/>
          <w:szCs w:val="24"/>
        </w:rPr>
        <w:t xml:space="preserve">协助甲方</w:t>
      </w:r>
      <w:r>
        <w:rPr>
          <w:rFonts w:hint="eastAsia" w:ascii="宋体" w:hAnsi="宋体" w:cs="宋体"/>
          <w:sz w:val="24"/>
          <w:szCs w:val="24"/>
          <w:lang w:val="zh-CN"/>
        </w:rPr>
        <w:t xml:space="preserve">完成异议处理、样品保存及处置工作。</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lang w:val="zh-CN"/>
        </w:rPr>
        <w:t xml:space="preserve">二、甲方的权利与义务</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1、甲方应依照本合同向乙方提供所抽查产品的《产品质量监督抽查/风险监测任务委托书》《产品质量监督抽查通知书》、抽查实施细则。</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2、甲方有权根据客观事实及工作实际要求对本合同进行调整和变更，调整和变更情况应当及时告知乙方，乙方如有不同意见应及时反馈，最终变更结果以双方商定结果为准。</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甲方有权随时向乙方了解项目进度、开展随机检查，要求乙方提供项目相关资料。</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、甲方应当按照合同约定和验收结果及时向乙方支付相关服务费用。</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lang w:val="zh-CN"/>
        </w:rPr>
        <w:t xml:space="preserve">三、乙方的权利与义务</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1、乙方应当具备开展本合同委托内容的下列条件：</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①乙方应具备一定抽样技术能力，人员配置、作业管理等应满足抽样技术要求，确保抽查工作的顺利开展。</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②乙方应具有国家认证认可监督管理委员会或省级市场监督管理部门颁发的有效期内（有效期能覆盖本次任务的完成）的检验检测机构资质认定证书（CMA）。</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③具有必备的仪器设备、人员（须经培训符合要求）和检测能力；</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2、乙方不得存在</w:t>
      </w:r>
      <w:r>
        <w:rPr>
          <w:rFonts w:hint="eastAsia" w:ascii="宋体" w:hAnsi="宋体" w:cs="宋体"/>
          <w:sz w:val="24"/>
          <w:szCs w:val="24"/>
        </w:rPr>
        <w:t xml:space="preserve">借承担</w:t>
      </w:r>
      <w:r>
        <w:rPr>
          <w:rFonts w:hint="eastAsia" w:ascii="宋体" w:hAnsi="宋体" w:cs="宋体"/>
          <w:sz w:val="24"/>
          <w:szCs w:val="24"/>
        </w:rPr>
        <w:t xml:space="preserve">江苏省省级产品质量监督抽查/风险监测工作之机为本机构拉客户、事先通知被抽查企业，直接或间接参与企业接待等违法违规行为。</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3、乙方应当保证抽样、检验工作的合法合</w:t>
      </w:r>
      <w:r>
        <w:rPr>
          <w:rFonts w:hint="eastAsia" w:ascii="宋体" w:hAnsi="宋体" w:cs="宋体"/>
          <w:sz w:val="24"/>
          <w:szCs w:val="24"/>
        </w:rPr>
        <w:t xml:space="preserve">规</w:t>
      </w:r>
      <w:r>
        <w:rPr>
          <w:rFonts w:hint="eastAsia" w:ascii="宋体" w:hAnsi="宋体" w:cs="宋体"/>
          <w:sz w:val="24"/>
          <w:szCs w:val="24"/>
        </w:rPr>
        <w:t xml:space="preserve">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p>
    <w:p>
      <w:pPr>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4、乙方应当严格按照本合同约定的内容承担相关工作，不得超范围开展产品质量监督抽查相关业务；不得与被抽查企业签订同类产品的有偿服务协议或者接受被抽查企业对同一产品的委托检验。</w:t>
      </w:r>
      <w:r/>
    </w:p>
    <w:p>
      <w:pPr>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5、乙方应严格按照投标文件中人员配置方案进行人员安排，未经甲方同意不得擅自更换人员。对存在虚报人员或者未经甲方同意擅自更换人员的，甲方将视情况解除合同关系。</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6、除甲方书面许可外，乙方不得以任何形式分包检验检测项目、不得租赁或者借用他人检测设备。</w:t>
      </w:r>
      <w:r/>
    </w:p>
    <w:p>
      <w:pPr>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7、乙方应当在本合同约定时限内，保质保量完成抽查任务。</w:t>
      </w:r>
      <w:r>
        <w:rPr>
          <w:rFonts w:hint="eastAsia" w:ascii="宋体" w:hAnsi="宋体" w:cs="宋体"/>
          <w:sz w:val="24"/>
          <w:szCs w:val="24"/>
          <w:lang w:val="zh-CN"/>
        </w:rPr>
        <w:t xml:space="preserve">如因遭遇不可抗力或其他因素影响项目任务的正常执行进度，致使</w:t>
      </w:r>
      <w:r>
        <w:rPr>
          <w:rFonts w:hint="eastAsia" w:ascii="宋体" w:hAnsi="宋体" w:cs="宋体"/>
          <w:sz w:val="24"/>
          <w:szCs w:val="24"/>
        </w:rPr>
        <w:t xml:space="preserve">承担任务</w:t>
      </w:r>
      <w:r>
        <w:rPr>
          <w:rFonts w:hint="eastAsia" w:ascii="宋体" w:hAnsi="宋体" w:cs="宋体"/>
          <w:sz w:val="24"/>
          <w:szCs w:val="24"/>
          <w:lang w:val="zh-CN"/>
        </w:rPr>
        <w:t xml:space="preserve">需要调整时，乙方</w:t>
      </w:r>
      <w:r>
        <w:rPr>
          <w:rFonts w:hint="eastAsia" w:ascii="宋体" w:hAnsi="宋体" w:cs="宋体"/>
          <w:sz w:val="24"/>
          <w:szCs w:val="24"/>
        </w:rPr>
        <w:t xml:space="preserve">应当及时向甲方提交书面报告，经甲方确定处理意见后执行。</w:t>
      </w:r>
      <w:r/>
    </w:p>
    <w:p>
      <w:pPr>
        <w:ind w:firstLine="480"/>
        <w:spacing w:after="0" w:line="440" w:lineRule="exact"/>
        <w:widowControl w:val="off"/>
        <w:rPr>
          <w:rFonts w:hint="eastAsia" w:ascii="宋体" w:hAnsi="宋体" w:cs="宋体"/>
          <w:sz w:val="24"/>
          <w:szCs w:val="24"/>
        </w:rPr>
      </w:pPr>
      <w:r>
        <w:rPr>
          <w:rFonts w:hint="eastAsia" w:ascii="宋体" w:hAnsi="宋体" w:cs="宋体"/>
          <w:sz w:val="24"/>
          <w:szCs w:val="24"/>
        </w:rPr>
        <w:t xml:space="preserve">8、监督检查及风险监测任务中所购买样品的所有权归属甲方，乙方需对样品妥善保管，样品处置需符合《江苏省省级产品质量监督抽查工作规范》要求。</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9、乙方应积极提供资料并配合甲方在任务实施期间开展随机检查和任务完成后开展验收检查。</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zh-CN"/>
        </w:rPr>
        <w:t xml:space="preserve">、</w:t>
      </w:r>
      <w:r>
        <w:rPr>
          <w:rFonts w:hint="eastAsia" w:ascii="宋体" w:hAnsi="宋体" w:cs="宋体"/>
          <w:sz w:val="24"/>
          <w:szCs w:val="24"/>
          <w:lang w:val="zh-CN"/>
        </w:rPr>
        <w:t xml:space="preserve">服务费用</w:t>
      </w:r>
      <w:r>
        <w:rPr>
          <w:rFonts w:hint="eastAsia" w:ascii="宋体" w:hAnsi="宋体" w:cs="宋体"/>
          <w:sz w:val="24"/>
          <w:szCs w:val="24"/>
        </w:rPr>
        <w:t xml:space="preserve">尾款</w:t>
      </w:r>
      <w:r>
        <w:rPr>
          <w:rFonts w:hint="eastAsia" w:ascii="宋体" w:hAnsi="宋体" w:cs="宋体"/>
          <w:sz w:val="24"/>
          <w:szCs w:val="24"/>
        </w:rPr>
        <w:t xml:space="preserve">支付后，</w:t>
      </w:r>
      <w:r>
        <w:rPr>
          <w:rFonts w:hint="eastAsia" w:ascii="宋体" w:hAnsi="宋体" w:cs="宋体"/>
          <w:sz w:val="24"/>
          <w:szCs w:val="24"/>
        </w:rPr>
        <w:t xml:space="preserve">乙方仍</w:t>
      </w:r>
      <w:r>
        <w:rPr>
          <w:rFonts w:hint="eastAsia" w:ascii="宋体" w:hAnsi="宋体" w:cs="宋体"/>
          <w:sz w:val="24"/>
          <w:szCs w:val="24"/>
        </w:rPr>
        <w:t xml:space="preserve">应当按合同及甲方的要求协助甲方进行本次任务涉及产品的</w:t>
      </w:r>
      <w:r>
        <w:rPr>
          <w:rFonts w:hint="eastAsia" w:ascii="宋体" w:hAnsi="宋体" w:cs="宋体"/>
          <w:sz w:val="24"/>
          <w:szCs w:val="24"/>
          <w:lang w:val="zh-CN"/>
        </w:rPr>
        <w:t xml:space="preserve">异议处理</w:t>
      </w:r>
      <w:r>
        <w:rPr>
          <w:rFonts w:hint="eastAsia" w:ascii="宋体" w:hAnsi="宋体" w:cs="宋体"/>
          <w:sz w:val="24"/>
          <w:szCs w:val="24"/>
        </w:rPr>
        <w:t xml:space="preserve">及样品处置工作。</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四、双方约定因履行本合同应遵守的保密义务</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1、乙方应严格保守产品质量江苏省省级产品质量监督抽查/风险监测信息，未经甲方同意，不得将抽查结果对外发布，不得将抽查结果提供给任何部门、单位及个人，同时不得外泄被抽查企业的商业秘密。</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2、乙方在开展江苏省省级产品质量监督抽查/风险监测工作过程中，存在违</w:t>
      </w:r>
      <w:r>
        <w:rPr>
          <w:rFonts w:hint="eastAsia" w:ascii="宋体" w:hAnsi="宋体" w:cs="宋体"/>
          <w:sz w:val="24"/>
          <w:szCs w:val="24"/>
        </w:rPr>
        <w:t xml:space="preserve">法、违规和违反合同行为的，甲方可以随时解除合同，乙方需承担因其所造成的损失。</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五、服务费用及支付方式</w:t>
      </w:r>
      <w:r/>
    </w:p>
    <w:p>
      <w:pPr>
        <w:ind w:firstLine="480"/>
        <w:spacing w:after="0" w:line="440" w:lineRule="exact"/>
        <w:widowControl w:val="off"/>
        <w:rPr>
          <w:rFonts w:hint="eastAsia" w:ascii="宋体" w:hAnsi="宋体" w:cs="宋体"/>
          <w:sz w:val="21"/>
          <w:szCs w:val="21"/>
        </w:rPr>
      </w:pPr>
      <w:r>
        <w:rPr>
          <w:rFonts w:hint="eastAsia" w:ascii="宋体" w:hAnsi="宋体" w:cs="宋体"/>
          <w:sz w:val="24"/>
          <w:szCs w:val="24"/>
        </w:rPr>
        <w:t xml:space="preserve">1、服务费用：签约经费总额为￥</w:t>
      </w:r>
      <w:r>
        <w:rPr>
          <w:rFonts w:hint="eastAsia" w:ascii="宋体" w:hAnsi="宋体" w:cs="宋体"/>
          <w:sz w:val="24"/>
          <w:szCs w:val="24"/>
          <w:u w:val="single"/>
        </w:rPr>
        <w:t xml:space="preserve">    </w:t>
      </w:r>
      <w:r>
        <w:rPr>
          <w:rFonts w:hint="eastAsia" w:ascii="宋体" w:hAnsi="宋体" w:cs="宋体"/>
          <w:sz w:val="24"/>
          <w:szCs w:val="24"/>
        </w:rPr>
        <w:t xml:space="preserve">（大写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t xml:space="preserve">本服务</w:t>
      </w:r>
      <w:r>
        <w:rPr>
          <w:rFonts w:hint="eastAsia" w:ascii="宋体" w:hAnsi="宋体" w:cs="宋体"/>
          <w:sz w:val="24"/>
          <w:szCs w:val="24"/>
        </w:rPr>
        <w:t xml:space="preserve">经费包括检测费、</w:t>
      </w:r>
      <w:r>
        <w:rPr>
          <w:rFonts w:hint="eastAsia" w:ascii="宋体" w:hAnsi="宋体" w:cs="宋体"/>
          <w:sz w:val="24"/>
          <w:szCs w:val="24"/>
        </w:rPr>
        <w:t xml:space="preserve">购样费</w:t>
      </w:r>
      <w:r>
        <w:rPr>
          <w:rFonts w:hint="eastAsia" w:ascii="宋体" w:hAnsi="宋体" w:cs="宋体"/>
          <w:sz w:val="24"/>
          <w:szCs w:val="24"/>
        </w:rPr>
        <w:t xml:space="preserve">、抽样费、人员费用(交通费、住宿费、劳务费)、报告文本费（检测报告、质量分析报告等的编制打印）、相关文书的邮寄费、样品处置费用、税金等各项全部费用。除双方另有约定，乙方不得再以其他任何理由向甲方主张其他费用。</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2、支付方式（付款进度和方式）：</w:t>
      </w:r>
      <w:r/>
    </w:p>
    <w:p>
      <w:pPr>
        <w:ind w:firstLine="480"/>
        <w:jc w:val="both"/>
        <w:spacing w:after="0" w:line="440" w:lineRule="exact"/>
        <w:widowControl w:val="off"/>
        <w:rPr>
          <w:rFonts w:hint="eastAsia" w:ascii="宋体" w:hAnsi="宋体" w:cs="宋体"/>
          <w:sz w:val="24"/>
          <w:szCs w:val="24"/>
        </w:rPr>
      </w:pPr>
      <w:r>
        <w:rPr>
          <w:sz w:val="24"/>
          <w:szCs w:val="24"/>
        </w:rPr>
        <w:t xml:space="preserve">合同签订后</w:t>
      </w:r>
      <w:r>
        <w:rPr>
          <w:sz w:val="24"/>
          <w:szCs w:val="24"/>
        </w:rPr>
        <w:t xml:space="preserve">30</w:t>
      </w:r>
      <w:r>
        <w:rPr>
          <w:sz w:val="24"/>
          <w:szCs w:val="24"/>
        </w:rPr>
        <w:t xml:space="preserve">个工作日内，甲方向乙方预付服务费用的</w:t>
      </w:r>
      <w:r>
        <w:rPr>
          <w:rFonts w:hint="eastAsia"/>
          <w:sz w:val="24"/>
          <w:szCs w:val="24"/>
        </w:rPr>
        <w:t xml:space="preserve">50</w:t>
      </w:r>
      <w:r>
        <w:rPr>
          <w:sz w:val="24"/>
          <w:szCs w:val="24"/>
        </w:rPr>
        <w:t xml:space="preserve">%</w:t>
      </w:r>
      <w:r>
        <w:rPr>
          <w:sz w:val="24"/>
          <w:szCs w:val="24"/>
        </w:rPr>
        <w:t xml:space="preserve">；甲方确认乙方按合同约定完成任务，验收合格后</w:t>
      </w:r>
      <w:r>
        <w:rPr>
          <w:sz w:val="24"/>
          <w:szCs w:val="24"/>
        </w:rPr>
        <w:t xml:space="preserve">30</w:t>
      </w:r>
      <w:r>
        <w:rPr>
          <w:sz w:val="24"/>
          <w:szCs w:val="24"/>
        </w:rPr>
        <w:t xml:space="preserve">个工作日内，向乙方支付剩余服务费用。</w:t>
      </w:r>
      <w:r>
        <w:rPr>
          <w:sz w:val="24"/>
          <w:szCs w:val="24"/>
        </w:rPr>
        <w:t xml:space="preserve"> </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3、乙方收款账号信息：</w:t>
      </w:r>
      <w:r/>
    </w:p>
    <w:p>
      <w:pPr>
        <w:ind w:left="420" w:firstLine="12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单位名称：</w:t>
      </w:r>
      <w:r/>
    </w:p>
    <w:p>
      <w:pPr>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账户名称：</w:t>
      </w:r>
      <w:r>
        <w:rPr>
          <w:rFonts w:hint="eastAsia" w:ascii="宋体" w:hAnsi="宋体" w:cs="宋体"/>
          <w:sz w:val="24"/>
          <w:szCs w:val="24"/>
          <w:u w:val="single"/>
        </w:rPr>
        <w:t xml:space="preserve">                        </w:t>
      </w:r>
      <w:r/>
    </w:p>
    <w:p>
      <w:pPr>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账</w:t>
      </w:r>
      <w:r>
        <w:rPr>
          <w:rFonts w:hint="eastAsia" w:ascii="宋体" w:hAnsi="宋体" w:cs="宋体"/>
          <w:sz w:val="24"/>
          <w:szCs w:val="24"/>
        </w:rPr>
        <w:t xml:space="preserve">  号：</w:t>
      </w:r>
      <w:r>
        <w:rPr>
          <w:rFonts w:hint="eastAsia" w:ascii="宋体" w:hAnsi="宋体" w:cs="宋体"/>
          <w:sz w:val="24"/>
          <w:szCs w:val="24"/>
          <w:u w:val="single"/>
        </w:rPr>
        <w:t xml:space="preserve">                          </w:t>
      </w:r>
      <w:r/>
    </w:p>
    <w:p>
      <w:pPr>
        <w:ind w:left="559"/>
        <w:jc w:val="both"/>
        <w:spacing w:after="0" w:line="440" w:lineRule="exact"/>
        <w:widowControl w:val="off"/>
        <w:rPr>
          <w:rFonts w:hint="eastAsia" w:ascii="宋体" w:hAnsi="宋体" w:cs="宋体"/>
          <w:sz w:val="24"/>
          <w:szCs w:val="24"/>
          <w:u w:val="single"/>
        </w:rPr>
      </w:pPr>
      <w:r>
        <w:rPr>
          <w:rFonts w:hint="eastAsia" w:ascii="宋体" w:hAnsi="宋体" w:cs="宋体"/>
          <w:sz w:val="24"/>
          <w:szCs w:val="24"/>
        </w:rPr>
        <w:t xml:space="preserve">开户行：</w:t>
      </w:r>
      <w:r>
        <w:rPr>
          <w:rFonts w:hint="eastAsia" w:ascii="宋体" w:hAnsi="宋体" w:cs="宋体"/>
          <w:sz w:val="24"/>
          <w:szCs w:val="24"/>
          <w:u w:val="single"/>
        </w:rPr>
        <w:t xml:space="preserve">                          </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六、违约责任及纠纷解决</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1、甲方如未按时拨付相关经费，乙方可停止执行甲方提出的</w:t>
      </w:r>
      <w:r>
        <w:rPr>
          <w:rFonts w:hint="eastAsia" w:ascii="宋体" w:hAnsi="宋体" w:cs="宋体"/>
          <w:sz w:val="24"/>
          <w:szCs w:val="24"/>
          <w:u w:val="single"/>
        </w:rPr>
        <w:t xml:space="preserve">重点工业产品质量安全隐患风险动态监测</w:t>
      </w:r>
      <w:r>
        <w:rPr>
          <w:rFonts w:hint="eastAsia" w:ascii="宋体" w:hAnsi="宋体" w:cs="宋体"/>
          <w:sz w:val="24"/>
          <w:szCs w:val="24"/>
        </w:rPr>
        <w:t xml:space="preserve">任务。</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2、乙方如出现以下情形，甲方有权扣除其部分或全部检验费用、解除合同并取消检验资格：</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（1）未经许可分包</w:t>
      </w:r>
      <w:r>
        <w:rPr>
          <w:rFonts w:hint="eastAsia" w:ascii="宋体" w:hAnsi="宋体" w:cs="宋体"/>
          <w:sz w:val="24"/>
          <w:szCs w:val="24"/>
          <w:u w:val="single"/>
        </w:rPr>
        <w:t xml:space="preserve">重点工业产品质量安全隐患风险动态监测</w:t>
      </w:r>
      <w:r>
        <w:rPr>
          <w:rFonts w:hint="eastAsia" w:ascii="宋体" w:hAnsi="宋体" w:cs="宋体"/>
          <w:sz w:val="24"/>
          <w:szCs w:val="24"/>
        </w:rPr>
        <w:t xml:space="preserve">任务的；</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（2）拒绝、阻挠、逃避甲方对抽检工作质量和经费使用情况开展的监督检查和考核；</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（3）未按时完成承检工作、数据上报、工作总结以及其他抽检监测等资料，且未向甲方提出合理说明的</w:t>
      </w:r>
      <w:r>
        <w:rPr>
          <w:rFonts w:hint="eastAsia" w:ascii="宋体" w:hAnsi="宋体" w:cs="宋体"/>
          <w:sz w:val="24"/>
          <w:szCs w:val="24"/>
        </w:rPr>
        <w:t xml:space="preserve">。</w:t>
      </w:r>
      <w:bookmarkStart w:id="85" w:name="_Hlk228116102"/>
      <w:r>
        <w:rPr>
          <w:rFonts w:hint="eastAsia" w:ascii="宋体" w:hAnsi="宋体" w:cs="宋体"/>
          <w:sz w:val="24"/>
          <w:szCs w:val="24"/>
        </w:rPr>
        <w:t xml:space="preserve">甲方有明确交付期限而乙方逾期交付服务的，应按合同总额和逾期交付时间每日千分之六向甲方偿付滞纳金，由甲方从待付款项中扣除。逾期时间超过约定日期10日不能交付的，甲方可解除本合同。乙方因逾期交付或其他违约行为导致甲方解除合同的，乙方应向甲方支付本合同总价</w:t>
      </w:r>
      <w:r>
        <w:rPr>
          <w:rFonts w:ascii="宋体" w:hAnsi="宋体" w:cs="宋体"/>
          <w:sz w:val="24"/>
          <w:szCs w:val="24"/>
        </w:rPr>
        <w:t xml:space="preserve">5%</w:t>
      </w:r>
      <w:r>
        <w:rPr>
          <w:rFonts w:hint="eastAsia" w:ascii="宋体" w:hAnsi="宋体" w:cs="宋体"/>
          <w:sz w:val="24"/>
          <w:szCs w:val="24"/>
        </w:rPr>
        <w:t xml:space="preserve">的违约金，如造成甲方损失超过违约金的，超出部分由乙方继续承担赔偿责任。</w:t>
      </w:r>
      <w:bookmarkEnd w:id="85"/>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（4）未经甲方许可减少或者调换抽样检验品种、批次、项目或者抽样区域、环节的。</w:t>
      </w:r>
      <w:bookmarkStart w:id="86" w:name="_Hlk228116356"/>
      <w:r>
        <w:rPr>
          <w:rFonts w:hint="eastAsia" w:ascii="宋体" w:hAnsi="宋体" w:cs="宋体"/>
          <w:sz w:val="24"/>
          <w:szCs w:val="24"/>
        </w:rPr>
        <w:t xml:space="preserve">乙方所交付的服务内容、质量不符合合同规定及招标文件规定标准和投标文件响应</w:t>
      </w:r>
      <w:r>
        <w:rPr>
          <w:rFonts w:hint="eastAsia" w:ascii="宋体" w:hAnsi="宋体" w:cs="宋体"/>
          <w:sz w:val="24"/>
          <w:szCs w:val="24"/>
        </w:rPr>
        <w:t xml:space="preserve">內</w:t>
      </w:r>
      <w:r>
        <w:rPr>
          <w:rFonts w:hint="eastAsia" w:ascii="宋体" w:hAnsi="宋体" w:cs="宋体"/>
          <w:sz w:val="24"/>
          <w:szCs w:val="24"/>
        </w:rPr>
        <w:t xml:space="preserve">容的，甲方有权拒收该服务，乙方愿意更换服务但逾期交付的，按乙方逾期交付处理。乙方拒绝更换服务的，甲方可单方面解除合同，乙方应向甲方支付合同总价</w:t>
      </w:r>
      <w:r>
        <w:rPr>
          <w:rFonts w:ascii="宋体" w:hAnsi="宋体" w:cs="宋体"/>
          <w:sz w:val="24"/>
          <w:szCs w:val="24"/>
        </w:rPr>
        <w:t xml:space="preserve">5%</w:t>
      </w:r>
      <w:r>
        <w:rPr>
          <w:rFonts w:hint="eastAsia" w:ascii="宋体" w:hAnsi="宋体" w:cs="宋体"/>
          <w:sz w:val="24"/>
          <w:szCs w:val="24"/>
        </w:rPr>
        <w:t xml:space="preserve">的违约金。</w:t>
      </w:r>
      <w:bookmarkEnd w:id="86"/>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3、对乙方出现的如下情形，造成不良结果的，甲方将不再委托检验任务、解除合同直至追究法律责任</w:t>
      </w:r>
      <w:r>
        <w:rPr>
          <w:rFonts w:hint="eastAsia" w:ascii="宋体" w:hAnsi="宋体" w:cs="宋体"/>
          <w:sz w:val="24"/>
          <w:szCs w:val="24"/>
        </w:rPr>
        <w:t xml:space="preserve">，并</w:t>
      </w:r>
      <w:bookmarkStart w:id="87" w:name="_Hlk228116419"/>
      <w:r>
        <w:rPr>
          <w:rFonts w:hint="eastAsia" w:ascii="宋体" w:hAnsi="宋体" w:cs="宋体"/>
          <w:sz w:val="24"/>
          <w:szCs w:val="24"/>
        </w:rPr>
        <w:t xml:space="preserve">要求乙方退还甲方已预付的合同款项并赔偿甲方因此造成的所有损失</w:t>
      </w:r>
      <w:bookmarkEnd w:id="87"/>
      <w:r>
        <w:rPr>
          <w:rFonts w:hint="eastAsia" w:ascii="宋体" w:hAnsi="宋体" w:cs="宋体"/>
          <w:sz w:val="24"/>
          <w:szCs w:val="24"/>
        </w:rPr>
        <w:t xml:space="preserve">：</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（1）出具虚假、错误检验数据和报告的；</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（2）违反保密规定，向甲方以外单位或被抽检方泄露检验结果的；</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（3）超资质范围出具检验报告、未按规定时限出具检验报告；</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（4）因运输、保存不当导致备份样品丢失或者损毁的。</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4、因乙方虚假承诺而造成甲方损失或影响甲方整体抽样工作的，甲方有权单方面解除合同，过程中所产生的费用甲方将不予支付，禁止其3年内承担</w:t>
      </w:r>
      <w:r>
        <w:rPr>
          <w:rFonts w:hint="eastAsia" w:ascii="宋体" w:hAnsi="宋体" w:cs="宋体"/>
          <w:sz w:val="24"/>
          <w:szCs w:val="24"/>
        </w:rPr>
        <w:t xml:space="preserve">重点工业产品质量安全隐患风险动态监测</w:t>
      </w:r>
      <w:r>
        <w:rPr>
          <w:rFonts w:hint="eastAsia" w:ascii="宋体" w:hAnsi="宋体" w:cs="宋体"/>
          <w:sz w:val="24"/>
          <w:szCs w:val="24"/>
        </w:rPr>
        <w:t xml:space="preserve">任务。</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5、乙方如出现出具虚假、错误检测数据或检验报告的，甲方将扣除相应的批次经费，乙方需承担后续可能出现的赔偿责任。</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6、因乙方工作差错造成的样品损坏、检验结果偏差等工作质量问题导致撤销批次情况发生，甲方不支付撤销批次的相关费用，甲方视情况通报。</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七、验收方法与验收标准</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2、甲方在乙方完成抽检任务后应及时组织验收</w:t>
      </w:r>
      <w:r>
        <w:rPr>
          <w:rFonts w:hint="eastAsia" w:ascii="宋体" w:hAnsi="宋体" w:cs="宋体"/>
          <w:sz w:val="24"/>
          <w:szCs w:val="24"/>
          <w:lang w:val="zh-CN"/>
        </w:rPr>
        <w:t xml:space="preserve">，并根据验收结论，确定是否可以付款。</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3、验收结论分为通过、整改后通过、不予通过三类。验收结论为通过的，</w:t>
      </w:r>
      <w:r>
        <w:rPr>
          <w:rFonts w:hint="eastAsia" w:ascii="宋体" w:hAnsi="宋体" w:cs="宋体"/>
          <w:sz w:val="24"/>
          <w:szCs w:val="24"/>
        </w:rPr>
        <w:t xml:space="preserve">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验收标准如下：</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a、在委托书限定时间内完成任务并及时上传“江苏省产品质量安全监督管理系统”</w:t>
      </w:r>
      <w:r>
        <w:rPr>
          <w:rFonts w:hint="eastAsia" w:ascii="宋体" w:hAnsi="宋体" w:cs="宋体"/>
          <w:sz w:val="24"/>
          <w:szCs w:val="24"/>
        </w:rPr>
        <w:t xml:space="preserve">。</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b、有效抽查</w:t>
      </w:r>
      <w:r>
        <w:rPr>
          <w:rFonts w:hint="eastAsia" w:ascii="宋体" w:hAnsi="宋体" w:cs="宋体"/>
          <w:sz w:val="24"/>
          <w:szCs w:val="24"/>
        </w:rPr>
        <w:t xml:space="preserve">批次数满足</w:t>
      </w:r>
      <w:r>
        <w:rPr>
          <w:rFonts w:hint="eastAsia" w:ascii="宋体" w:hAnsi="宋体" w:cs="宋体"/>
          <w:sz w:val="24"/>
          <w:szCs w:val="24"/>
        </w:rPr>
        <w:t xml:space="preserve">合同约定</w:t>
      </w:r>
      <w:r>
        <w:rPr>
          <w:rFonts w:hint="eastAsia" w:ascii="宋体" w:hAnsi="宋体" w:cs="宋体"/>
          <w:sz w:val="24"/>
          <w:szCs w:val="24"/>
        </w:rPr>
        <w:t xml:space="preserve">批次数</w:t>
      </w:r>
      <w:r>
        <w:rPr>
          <w:rFonts w:hint="eastAsia" w:ascii="宋体" w:hAnsi="宋体" w:cs="宋体"/>
          <w:sz w:val="24"/>
          <w:szCs w:val="24"/>
        </w:rPr>
        <w:t xml:space="preserve">的95%及以上。</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c、未抽到样（终止抽样）情况说明表、抽样单、检验报告、质量分析报告等文书资料按要求编写并提交，且无重大错误。</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d、履约期间无违规违纪情况。</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八、服务期限</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lang w:val="zh-CN"/>
        </w:rPr>
        <w:t xml:space="preserve">乙方服务期限：合同签订之日起至</w:t>
      </w:r>
      <w:r>
        <w:rPr>
          <w:rFonts w:hint="eastAsia" w:ascii="宋体" w:hAnsi="宋体" w:cs="宋体"/>
          <w:sz w:val="24"/>
          <w:szCs w:val="24"/>
        </w:rPr>
        <w:t xml:space="preserve">2026</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九、备注</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1、本合同与招标文件、乙方投标文件如有抵触之处，以本合同条款为准。</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2、下列文件均为本合同的组成部分：</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（1）招标文件、答疑及补充通知；</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（2）投标文件；</w:t>
      </w:r>
      <w:r/>
    </w:p>
    <w:p>
      <w:pPr>
        <w:ind w:firstLine="523"/>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（3）本合同执行中共同签署的补充与修正文件。</w:t>
      </w:r>
      <w:r/>
    </w:p>
    <w:p>
      <w:pPr>
        <w:ind w:firstLine="523"/>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（4）联合体协议（如有）</w:t>
      </w:r>
      <w:r/>
    </w:p>
    <w:p>
      <w:pPr>
        <w:ind w:firstLine="482"/>
        <w:jc w:val="both"/>
        <w:spacing w:after="0" w:line="440" w:lineRule="exact"/>
        <w:widowControl w:val="off"/>
        <w:rPr>
          <w:rFonts w:hint="eastAsia" w:ascii="宋体" w:hAnsi="宋体" w:cs="宋体"/>
          <w:b/>
          <w:bCs/>
          <w:sz w:val="24"/>
          <w:szCs w:val="24"/>
        </w:rPr>
      </w:pPr>
      <w:r>
        <w:rPr>
          <w:rFonts w:hint="eastAsia" w:ascii="宋体" w:hAnsi="宋体" w:cs="宋体"/>
          <w:b/>
          <w:bCs/>
          <w:sz w:val="24"/>
          <w:szCs w:val="24"/>
        </w:rPr>
        <w:t xml:space="preserve">十、合同书双方签章</w:t>
      </w:r>
      <w:r/>
    </w:p>
    <w:p>
      <w:pPr>
        <w:ind w:firstLine="480"/>
        <w:jc w:val="both"/>
        <w:spacing w:after="0" w:line="440" w:lineRule="exact"/>
        <w:widowControl w:val="off"/>
        <w:rPr>
          <w:rFonts w:hint="eastAsia" w:ascii="宋体" w:hAnsi="宋体" w:cs="宋体"/>
          <w:sz w:val="24"/>
          <w:szCs w:val="24"/>
        </w:rPr>
      </w:pPr>
      <w:r>
        <w:rPr>
          <w:rFonts w:hint="eastAsia" w:ascii="宋体" w:hAnsi="宋体" w:cs="宋体"/>
          <w:sz w:val="24"/>
          <w:szCs w:val="24"/>
        </w:rPr>
        <w:t xml:space="preserve">本合同一式四份，经双方签字并盖章后生效。</w:t>
      </w:r>
      <w:r>
        <w:rPr>
          <w:rFonts w:hint="eastAsia" w:ascii="宋体" w:hAnsi="宋体" w:cs="宋体"/>
          <w:sz w:val="24"/>
          <w:szCs w:val="24"/>
        </w:rPr>
        <w:br w:type="page" w:clear="all"/>
      </w:r>
      <w:r/>
    </w:p>
    <w:tbl>
      <w:tblPr>
        <w:tblW w:w="479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819"/>
        <w:gridCol w:w="3971"/>
        <w:gridCol w:w="2161"/>
      </w:tblGrid>
      <w:tr>
        <w:trPr>
          <w:jc w:val="center"/>
          <w:trHeight w:val="494"/>
        </w:trPr>
        <w:tc>
          <w:tcPr>
            <w:tcW w:w="1144" w:type="dxa"/>
            <w:vAlign w:val="center"/>
            <w:vMerge w:val="restart"/>
            <w:textDirection w:val="lrTb"/>
            <w:noWrap w:val="false"/>
          </w:tcPr>
          <w:p>
            <w:pPr>
              <w:jc w:val="both"/>
              <w:spacing w:after="0" w:line="440" w:lineRule="exact"/>
              <w:widowControl w:val="off"/>
              <w:rPr>
                <w:rFonts w:hint="eastAsia" w:ascii="宋体" w:hAnsi="宋体" w:cs="宋体"/>
                <w:b/>
                <w:spacing w:val="-9"/>
                <w:sz w:val="24"/>
                <w:szCs w:val="24"/>
              </w:rPr>
            </w:pPr>
            <w:r>
              <w:rPr>
                <w:rFonts w:hint="eastAsia" w:ascii="宋体" w:hAnsi="宋体" w:cs="宋体"/>
                <w:b/>
                <w:spacing w:val="-9"/>
                <w:sz w:val="24"/>
                <w:szCs w:val="24"/>
              </w:rPr>
            </w:r>
            <w:r/>
          </w:p>
          <w:p>
            <w:pPr>
              <w:jc w:val="both"/>
              <w:spacing w:after="0" w:line="440" w:lineRule="exact"/>
              <w:widowControl w:val="off"/>
              <w:rPr>
                <w:rFonts w:hint="eastAsia" w:ascii="宋体" w:hAnsi="宋体" w:cs="宋体"/>
                <w:b/>
                <w:spacing w:val="-9"/>
                <w:sz w:val="24"/>
                <w:szCs w:val="24"/>
              </w:rPr>
            </w:pPr>
            <w:r>
              <w:rPr>
                <w:rFonts w:hint="eastAsia" w:ascii="宋体" w:hAnsi="宋体" w:cs="宋体"/>
                <w:b/>
                <w:spacing w:val="-9"/>
                <w:sz w:val="24"/>
                <w:szCs w:val="24"/>
              </w:rPr>
            </w:r>
            <w:r/>
          </w:p>
          <w:p>
            <w:pPr>
              <w:ind w:right="114"/>
              <w:jc w:val="center"/>
              <w:spacing w:after="0" w:line="440" w:lineRule="exact"/>
              <w:widowControl w:val="off"/>
              <w:rPr>
                <w:rFonts w:hint="eastAsia" w:ascii="宋体" w:hAnsi="宋体" w:cs="宋体"/>
                <w:b/>
                <w:sz w:val="24"/>
                <w:szCs w:val="24"/>
              </w:rPr>
            </w:pPr>
            <w:r>
              <w:rPr>
                <w:rFonts w:hint="eastAsia" w:ascii="宋体" w:hAnsi="宋体" w:cs="宋体"/>
                <w:b/>
                <w:spacing w:val="-9"/>
                <w:sz w:val="24"/>
                <w:szCs w:val="24"/>
              </w:rPr>
              <w:t xml:space="preserve">委托单位</w:t>
            </w:r>
            <w:r>
              <w:rPr>
                <w:rFonts w:hint="eastAsia" w:ascii="宋体" w:hAnsi="宋体" w:cs="宋体"/>
                <w:b/>
                <w:sz w:val="24"/>
                <w:szCs w:val="24"/>
              </w:rPr>
              <w:t xml:space="preserve">(甲方)</w:t>
            </w:r>
            <w:r/>
          </w:p>
        </w:tc>
        <w:tc>
          <w:tcPr>
            <w:tcW w:w="2497" w:type="dxa"/>
            <w:vAlign w:val="center"/>
            <w:textDirection w:val="lrTb"/>
            <w:noWrap w:val="false"/>
          </w:tcPr>
          <w:p>
            <w:pPr>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单位名称</w:t>
            </w:r>
            <w:r/>
          </w:p>
        </w:tc>
        <w:tc>
          <w:tcPr>
            <w:tcW w:w="1359" w:type="dxa"/>
            <w:vAlign w:val="center"/>
            <w:vMerge w:val="restart"/>
            <w:textDirection w:val="lrTb"/>
            <w:noWrap w:val="false"/>
          </w:tcPr>
          <w:p>
            <w:pPr>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jc w:val="center"/>
              <w:spacing w:after="0" w:line="440" w:lineRule="exact"/>
              <w:widowControl w:val="off"/>
              <w:rPr>
                <w:rFonts w:hint="eastAsia" w:ascii="宋体" w:hAnsi="宋体" w:cs="宋体"/>
                <w:sz w:val="24"/>
                <w:szCs w:val="24"/>
              </w:rPr>
            </w:pPr>
            <w:r>
              <w:rPr>
                <w:rFonts w:hint="eastAsia" w:ascii="宋体" w:hAnsi="宋体" w:cs="宋体"/>
                <w:sz w:val="24"/>
                <w:szCs w:val="24"/>
              </w:rPr>
            </w:r>
            <w:r/>
          </w:p>
          <w:p>
            <w:pPr>
              <w:jc w:val="both"/>
              <w:spacing w:after="0" w:line="440" w:lineRule="exact"/>
              <w:widowControl w:val="off"/>
              <w:rPr>
                <w:rFonts w:hint="eastAsia" w:ascii="宋体" w:hAnsi="宋体" w:cs="宋体"/>
                <w:sz w:val="24"/>
                <w:szCs w:val="24"/>
              </w:rPr>
            </w:pPr>
            <w:r>
              <w:rPr>
                <w:rFonts w:hint="eastAsia" w:ascii="宋体" w:hAnsi="宋体" w:cs="宋体"/>
                <w:sz w:val="24"/>
                <w:szCs w:val="24"/>
              </w:rPr>
            </w:r>
            <w:r/>
          </w:p>
          <w:p>
            <w:pPr>
              <w:ind w:left="466" w:right="203" w:hanging="358"/>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r>
            <w:r/>
          </w:p>
          <w:p>
            <w:pPr>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（单位公章）</w:t>
            </w:r>
            <w:r/>
          </w:p>
          <w:p>
            <w:pPr>
              <w:ind w:right="203"/>
              <w:jc w:val="both"/>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 2026年 月  </w:t>
            </w:r>
            <w:r>
              <w:rPr>
                <w:rFonts w:hint="eastAsia" w:ascii="宋体" w:hAnsi="宋体" w:cs="宋体"/>
                <w:spacing w:val="-17"/>
                <w:sz w:val="24"/>
                <w:szCs w:val="24"/>
              </w:rPr>
              <w:t xml:space="preserve">日</w:t>
            </w:r>
            <w:r/>
          </w:p>
        </w:tc>
      </w:tr>
      <w:tr>
        <w:trPr>
          <w:jc w:val="center"/>
          <w:trHeight w:val="494"/>
        </w:trPr>
        <w:tc>
          <w:tcPr>
            <w:tcW w:w="1144"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ind w:left="243" w:right="-29" w:hanging="137"/>
              <w:spacing w:before="42" w:after="0" w:line="440" w:lineRule="exact"/>
              <w:widowControl w:val="off"/>
              <w:rPr>
                <w:rFonts w:hint="eastAsia" w:ascii="宋体" w:hAnsi="宋体" w:cs="宋体"/>
                <w:sz w:val="24"/>
                <w:szCs w:val="24"/>
              </w:rPr>
            </w:pPr>
            <w:r>
              <w:rPr>
                <w:rFonts w:hint="eastAsia" w:ascii="宋体" w:hAnsi="宋体" w:cs="宋体"/>
                <w:sz w:val="24"/>
                <w:szCs w:val="24"/>
              </w:rPr>
              <w:t xml:space="preserve">委托单位（甲方）</w:t>
            </w:r>
            <w:r/>
          </w:p>
          <w:p>
            <w:pPr>
              <w:ind w:left="243" w:right="-29" w:hanging="137"/>
              <w:spacing w:before="42" w:after="0" w:line="440" w:lineRule="exact"/>
              <w:widowControl w:val="off"/>
              <w:rPr>
                <w:rFonts w:hint="eastAsia" w:ascii="宋体" w:hAnsi="宋体" w:cs="宋体"/>
                <w:sz w:val="24"/>
                <w:szCs w:val="24"/>
              </w:rPr>
            </w:pPr>
            <w:r>
              <w:rPr>
                <w:rFonts w:hint="eastAsia" w:ascii="宋体" w:hAnsi="宋体" w:cs="宋体"/>
                <w:sz w:val="24"/>
                <w:szCs w:val="24"/>
              </w:rPr>
              <w:t xml:space="preserve">代表（签字）</w:t>
            </w:r>
            <w:r/>
          </w:p>
        </w:tc>
        <w:tc>
          <w:tcPr>
            <w:tcW w:w="1359"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94"/>
        </w:trPr>
        <w:tc>
          <w:tcPr>
            <w:tcW w:w="1144"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ind w:right="176" w:firstLine="240"/>
              <w:spacing w:before="209" w:after="0" w:line="440" w:lineRule="exact"/>
              <w:widowControl w:val="off"/>
              <w:rPr>
                <w:rFonts w:hint="eastAsia" w:ascii="宋体" w:hAnsi="宋体" w:cs="宋体"/>
                <w:sz w:val="24"/>
                <w:szCs w:val="24"/>
              </w:rPr>
            </w:pPr>
            <w:r>
              <w:rPr>
                <w:rFonts w:hint="eastAsia" w:ascii="宋体" w:hAnsi="宋体" w:cs="宋体"/>
                <w:sz w:val="24"/>
                <w:szCs w:val="24"/>
              </w:rPr>
              <w:t xml:space="preserve">项目联系人</w:t>
            </w:r>
            <w:r/>
          </w:p>
        </w:tc>
        <w:tc>
          <w:tcPr>
            <w:tcW w:w="1359"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94"/>
        </w:trPr>
        <w:tc>
          <w:tcPr>
            <w:tcW w:w="1144"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ind w:left="180" w:right="176"/>
              <w:spacing w:before="1" w:after="0" w:line="440" w:lineRule="exact"/>
              <w:widowControl w:val="off"/>
              <w:rPr>
                <w:rFonts w:hint="eastAsia" w:ascii="宋体" w:hAnsi="宋体" w:cs="宋体"/>
                <w:sz w:val="24"/>
                <w:szCs w:val="24"/>
              </w:rPr>
            </w:pPr>
            <w:r>
              <w:rPr>
                <w:rFonts w:hint="eastAsia" w:ascii="宋体" w:hAnsi="宋体" w:cs="宋体"/>
                <w:sz w:val="24"/>
                <w:szCs w:val="24"/>
              </w:rPr>
              <w:t xml:space="preserve">电子信箱</w:t>
            </w:r>
            <w:r/>
          </w:p>
        </w:tc>
        <w:tc>
          <w:tcPr>
            <w:tcW w:w="1359"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94"/>
        </w:trPr>
        <w:tc>
          <w:tcPr>
            <w:tcW w:w="1144"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通讯地址：南京市鼓楼区草场门大街107号</w:t>
            </w:r>
            <w:r/>
          </w:p>
        </w:tc>
        <w:tc>
          <w:tcPr>
            <w:tcW w:w="1359"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94"/>
        </w:trPr>
        <w:tc>
          <w:tcPr>
            <w:tcW w:w="1144" w:type="dxa"/>
            <w:vAlign w:val="center"/>
            <w:vMerge w:val="restart"/>
            <w:textDirection w:val="lrTb"/>
            <w:noWrap w:val="false"/>
          </w:tcPr>
          <w:p>
            <w:pPr>
              <w:ind w:right="114"/>
              <w:jc w:val="center"/>
              <w:spacing w:before="1" w:after="0" w:line="440" w:lineRule="exact"/>
              <w:widowControl w:val="off"/>
              <w:rPr>
                <w:rFonts w:hint="eastAsia" w:ascii="宋体" w:hAnsi="宋体" w:cs="宋体"/>
                <w:sz w:val="24"/>
                <w:szCs w:val="24"/>
              </w:rPr>
            </w:pPr>
            <w:r>
              <w:rPr>
                <w:rFonts w:hint="eastAsia" w:ascii="宋体" w:hAnsi="宋体" w:cs="宋体"/>
                <w:b/>
                <w:spacing w:val="-9"/>
                <w:sz w:val="24"/>
                <w:szCs w:val="24"/>
              </w:rPr>
              <w:t xml:space="preserve">服务单位</w:t>
            </w:r>
            <w:r>
              <w:rPr>
                <w:rFonts w:hint="eastAsia" w:ascii="宋体" w:hAnsi="宋体" w:cs="宋体"/>
                <w:b/>
                <w:sz w:val="24"/>
                <w:szCs w:val="24"/>
              </w:rPr>
              <w:t xml:space="preserve">(乙方)</w:t>
            </w:r>
            <w:r/>
          </w:p>
        </w:tc>
        <w:tc>
          <w:tcPr>
            <w:tcW w:w="2497" w:type="dxa"/>
            <w:vAlign w:val="center"/>
            <w:textDirection w:val="lrTb"/>
            <w:noWrap w:val="false"/>
          </w:tcPr>
          <w:p>
            <w:pPr>
              <w:ind w:left="180" w:right="176"/>
              <w:spacing w:before="197" w:after="0" w:line="440" w:lineRule="exact"/>
              <w:widowControl w:val="off"/>
              <w:rPr>
                <w:rFonts w:hint="eastAsia" w:ascii="宋体" w:hAnsi="宋体" w:cs="宋体"/>
                <w:sz w:val="24"/>
                <w:szCs w:val="24"/>
              </w:rPr>
            </w:pPr>
            <w:r>
              <w:rPr>
                <w:rFonts w:hint="eastAsia" w:ascii="宋体" w:hAnsi="宋体" w:cs="宋体"/>
                <w:sz w:val="24"/>
                <w:szCs w:val="24"/>
              </w:rPr>
              <w:t xml:space="preserve">中标单位名称</w:t>
            </w:r>
            <w:r/>
          </w:p>
        </w:tc>
        <w:tc>
          <w:tcPr>
            <w:tcW w:w="1359" w:type="dxa"/>
            <w:vAlign w:val="center"/>
            <w:vMerge w:val="restart"/>
            <w:textDirection w:val="lrTb"/>
            <w:noWrap w:val="false"/>
          </w:tcPr>
          <w:p>
            <w:pPr>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jc w:val="both"/>
              <w:spacing w:before="1" w:after="0" w:line="440" w:lineRule="exact"/>
              <w:widowControl w:val="off"/>
              <w:rPr>
                <w:rFonts w:hint="eastAsia" w:ascii="宋体" w:hAnsi="宋体" w:cs="宋体"/>
                <w:sz w:val="24"/>
                <w:szCs w:val="24"/>
              </w:rPr>
            </w:pPr>
            <w:r>
              <w:rPr>
                <w:rFonts w:hint="eastAsia" w:ascii="宋体" w:hAnsi="宋体" w:cs="宋体"/>
                <w:sz w:val="24"/>
                <w:szCs w:val="24"/>
              </w:rPr>
            </w:r>
            <w:r/>
          </w:p>
          <w:p>
            <w:pPr>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r>
            <w:r/>
          </w:p>
          <w:p>
            <w:pPr>
              <w:ind w:right="203"/>
              <w:jc w:val="center"/>
              <w:spacing w:before="139" w:after="0" w:line="440" w:lineRule="exact"/>
              <w:widowControl w:val="off"/>
              <w:tabs>
                <w:tab w:val="left" w:pos="946" w:leader="none"/>
                <w:tab w:val="left" w:pos="1546" w:leader="none"/>
              </w:tabs>
              <w:rPr>
                <w:rFonts w:hint="eastAsia" w:ascii="宋体" w:hAnsi="宋体" w:cs="宋体"/>
                <w:sz w:val="24"/>
                <w:szCs w:val="24"/>
              </w:rPr>
            </w:pPr>
            <w:r>
              <w:rPr>
                <w:rFonts w:hint="eastAsia" w:ascii="宋体" w:hAnsi="宋体" w:cs="宋体"/>
                <w:sz w:val="24"/>
                <w:szCs w:val="24"/>
              </w:rPr>
              <w:t xml:space="preserve">（单位公章）</w:t>
            </w:r>
            <w:r/>
          </w:p>
          <w:p>
            <w:pPr>
              <w:jc w:val="center"/>
              <w:spacing w:after="0" w:line="440" w:lineRule="exact"/>
              <w:widowControl w:val="off"/>
              <w:rPr>
                <w:rFonts w:hint="eastAsia" w:ascii="宋体" w:hAnsi="宋体" w:cs="宋体"/>
                <w:sz w:val="24"/>
                <w:szCs w:val="24"/>
              </w:rPr>
            </w:pPr>
            <w:r>
              <w:rPr>
                <w:rFonts w:hint="eastAsia" w:ascii="宋体" w:hAnsi="宋体" w:cs="宋体"/>
                <w:sz w:val="24"/>
                <w:szCs w:val="24"/>
              </w:rPr>
              <w:t xml:space="preserve">2026年 月 </w:t>
            </w:r>
            <w:r>
              <w:rPr>
                <w:rFonts w:hint="eastAsia" w:ascii="宋体" w:hAnsi="宋体" w:cs="宋体"/>
                <w:spacing w:val="-17"/>
                <w:sz w:val="24"/>
                <w:szCs w:val="24"/>
              </w:rPr>
              <w:t xml:space="preserve">日</w:t>
            </w:r>
            <w:r/>
          </w:p>
        </w:tc>
      </w:tr>
      <w:tr>
        <w:trPr>
          <w:jc w:val="center"/>
          <w:trHeight w:val="494"/>
        </w:trPr>
        <w:tc>
          <w:tcPr>
            <w:tcW w:w="1144"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ind w:left="183" w:right="176"/>
              <w:spacing w:before="110" w:after="0" w:line="440" w:lineRule="exact"/>
              <w:widowControl w:val="off"/>
              <w:rPr>
                <w:rFonts w:hint="eastAsia" w:ascii="宋体" w:hAnsi="宋体" w:cs="宋体"/>
                <w:sz w:val="24"/>
                <w:szCs w:val="24"/>
              </w:rPr>
            </w:pPr>
            <w:r>
              <w:rPr>
                <w:rFonts w:hint="eastAsia" w:ascii="宋体" w:hAnsi="宋体" w:cs="宋体"/>
                <w:sz w:val="24"/>
                <w:szCs w:val="24"/>
              </w:rPr>
              <w:t xml:space="preserve">法人代表(或委托代理人)（签字 ）</w:t>
            </w:r>
            <w:r/>
          </w:p>
        </w:tc>
        <w:tc>
          <w:tcPr>
            <w:tcW w:w="1359"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94"/>
        </w:trPr>
        <w:tc>
          <w:tcPr>
            <w:tcW w:w="1144"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ind w:right="176" w:firstLine="240"/>
              <w:spacing w:before="209" w:after="0" w:line="440" w:lineRule="exact"/>
              <w:widowControl w:val="off"/>
              <w:rPr>
                <w:rFonts w:hint="eastAsia" w:ascii="宋体" w:hAnsi="宋体" w:cs="宋体"/>
                <w:sz w:val="24"/>
                <w:szCs w:val="24"/>
              </w:rPr>
            </w:pPr>
            <w:r>
              <w:rPr>
                <w:rFonts w:hint="eastAsia" w:ascii="宋体" w:hAnsi="宋体" w:cs="宋体"/>
                <w:sz w:val="24"/>
                <w:szCs w:val="24"/>
              </w:rPr>
              <w:t xml:space="preserve">项目联系人</w:t>
            </w:r>
            <w:r/>
          </w:p>
        </w:tc>
        <w:tc>
          <w:tcPr>
            <w:tcW w:w="1359"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94"/>
        </w:trPr>
        <w:tc>
          <w:tcPr>
            <w:tcW w:w="1144"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ind w:left="180" w:right="176"/>
              <w:spacing w:before="1" w:after="0" w:line="440" w:lineRule="exact"/>
              <w:widowControl w:val="off"/>
              <w:rPr>
                <w:rFonts w:hint="eastAsia" w:ascii="宋体" w:hAnsi="宋体" w:cs="宋体"/>
                <w:sz w:val="24"/>
                <w:szCs w:val="24"/>
              </w:rPr>
            </w:pPr>
            <w:r>
              <w:rPr>
                <w:rFonts w:hint="eastAsia" w:ascii="宋体" w:hAnsi="宋体" w:cs="宋体"/>
                <w:sz w:val="24"/>
                <w:szCs w:val="24"/>
              </w:rPr>
              <w:t xml:space="preserve">电子信箱</w:t>
            </w:r>
            <w:r/>
          </w:p>
        </w:tc>
        <w:tc>
          <w:tcPr>
            <w:tcW w:w="1359"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494"/>
        </w:trPr>
        <w:tc>
          <w:tcPr>
            <w:tcW w:w="1144"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c>
          <w:tcPr>
            <w:tcW w:w="2497" w:type="dxa"/>
            <w:vAlign w:val="center"/>
            <w:textDirection w:val="lrTb"/>
            <w:noWrap w:val="false"/>
          </w:tcPr>
          <w:p>
            <w:pPr>
              <w:ind w:left="180" w:right="176"/>
              <w:spacing w:after="0" w:line="440" w:lineRule="exact"/>
              <w:widowControl w:val="off"/>
              <w:rPr>
                <w:rFonts w:hint="eastAsia" w:ascii="宋体" w:hAnsi="宋体" w:cs="宋体"/>
                <w:sz w:val="24"/>
                <w:szCs w:val="24"/>
              </w:rPr>
            </w:pPr>
            <w:r>
              <w:rPr>
                <w:rFonts w:hint="eastAsia" w:ascii="宋体" w:hAnsi="宋体" w:cs="宋体"/>
                <w:sz w:val="24"/>
                <w:szCs w:val="24"/>
              </w:rPr>
              <w:t xml:space="preserve">通讯地址</w:t>
            </w:r>
            <w:r/>
          </w:p>
        </w:tc>
        <w:tc>
          <w:tcPr>
            <w:tcW w:w="1359" w:type="dxa"/>
            <w:vAlign w:val="center"/>
            <w:vMerge w:val="continue"/>
            <w:textDirection w:val="lrTb"/>
            <w:noWrap w:val="false"/>
          </w:tcPr>
          <w:p>
            <w:pPr>
              <w:jc w:val="center"/>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r/>
      <w:r/>
    </w:p>
    <w:p>
      <w:r/>
      <w:r/>
    </w:p>
    <w:p>
      <w:r/>
      <w:r/>
    </w:p>
    <w:p>
      <w:r/>
      <w:r/>
    </w:p>
    <w:p>
      <w:r/>
      <w:r/>
    </w:p>
    <w:p>
      <w:r/>
      <w:r/>
    </w:p>
    <w:p>
      <w:r/>
      <w:r/>
    </w:p>
    <w:p>
      <w:r/>
      <w:r/>
    </w:p>
    <w:p>
      <w:r/>
      <w:r/>
    </w:p>
    <w:p>
      <w:r/>
      <w:r/>
    </w:p>
    <w:p>
      <w:r/>
      <w:r/>
    </w:p>
    <w:p>
      <w:pPr>
        <w:shd w:val="nil" w:color="auto"/>
        <w:rPr>
          <w:rFonts w:hint="eastAsia" w:ascii="黑体" w:hAnsi="楷体_GB2312" w:eastAsia="黑体"/>
          <w:b w:val="0"/>
          <w:bCs w:val="0"/>
          <w:color w:val="auto"/>
          <w:sz w:val="44"/>
          <w:szCs w:val="44"/>
        </w:rPr>
      </w:pPr>
      <w:r>
        <w:rPr>
          <w:highlight w:val="none"/>
        </w:rPr>
        <w:br w:type="page" w:clear="all"/>
      </w:r>
      <w:r>
        <w:rPr>
          <w:highlight w:val="none"/>
        </w:rPr>
      </w:r>
      <w:r/>
    </w:p>
    <w:p>
      <w:pPr>
        <w:pStyle w:val="743"/>
        <w:jc w:val="center"/>
        <w:keepLines w:val="0"/>
        <w:spacing w:before="0" w:line="240" w:lineRule="auto"/>
        <w:widowControl w:val="off"/>
        <w:rPr>
          <w:highlight w:val="none"/>
        </w:rPr>
      </w:pPr>
      <w:r/>
      <w:bookmarkStart w:id="88" w:name="_Toc17291676"/>
      <w:r/>
      <w:bookmarkStart w:id="89" w:name="_Toc192946454"/>
      <w:r>
        <w:rPr>
          <w:rFonts w:hint="eastAsia" w:ascii="黑体" w:hAnsi="楷体_GB2312" w:eastAsia="黑体"/>
          <w:b w:val="0"/>
          <w:bCs w:val="0"/>
          <w:color w:val="auto"/>
          <w:sz w:val="44"/>
          <w:szCs w:val="44"/>
        </w:rPr>
        <w:t xml:space="preserve">第</w:t>
      </w:r>
      <w:r>
        <w:rPr>
          <w:rFonts w:hint="eastAsia" w:ascii="黑体" w:hAnsi="楷体_GB2312" w:eastAsia="黑体"/>
          <w:b w:val="0"/>
          <w:bCs w:val="0"/>
          <w:color w:val="auto"/>
          <w:sz w:val="44"/>
          <w:szCs w:val="44"/>
        </w:rPr>
        <w:t xml:space="preserve">四章  项目需求</w:t>
      </w:r>
      <w:bookmarkEnd w:id="88"/>
      <w:r>
        <w:rPr>
          <w:rFonts w:hint="eastAsia" w:ascii="黑体" w:hAnsi="楷体_GB2312" w:eastAsia="黑体"/>
          <w:b w:val="0"/>
          <w:bCs w:val="0"/>
          <w:color w:val="auto"/>
          <w:sz w:val="44"/>
          <w:szCs w:val="44"/>
        </w:rPr>
        <w:t xml:space="preserve">（服务类）</w:t>
      </w:r>
      <w:bookmarkStart w:id="90" w:name="_Hlk86242979"/>
      <w:r/>
      <w:bookmarkStart w:id="91" w:name="_Toc17291089"/>
      <w:r/>
      <w:bookmarkStart w:id="92" w:name="_Toc17291677"/>
      <w:r/>
      <w:bookmarkStart w:id="93" w:name="_Toc120614281"/>
      <w:r/>
      <w:bookmarkStart w:id="94" w:name="_Toc49090575"/>
      <w:r/>
      <w:bookmarkStart w:id="95" w:name="_Toc26554093"/>
      <w:r/>
      <w:bookmarkEnd w:id="89"/>
      <w:r/>
      <w:r/>
    </w:p>
    <w:p>
      <w:pPr>
        <w:jc w:val="center"/>
        <w:rPr>
          <w:b/>
          <w:bCs/>
          <w:sz w:val="28"/>
          <w:szCs w:val="28"/>
          <w:u w:val="single"/>
        </w:rPr>
      </w:pPr>
      <w:r>
        <w:rPr>
          <w:rFonts w:hint="eastAsia"/>
          <w:b/>
          <w:bCs/>
          <w:sz w:val="28"/>
          <w:szCs w:val="28"/>
          <w:u w:val="single"/>
        </w:rPr>
        <w:t xml:space="preserve">（以下要求如无特别说明，适用于所有采购包）</w:t>
      </w:r>
      <w:r/>
    </w:p>
    <w:p>
      <w:pPr>
        <w:ind w:firstLine="482"/>
        <w:rPr>
          <w:rFonts w:hint="eastAsia" w:ascii="宋体" w:hAnsi="宋体" w:cs="宋体"/>
          <w:b/>
          <w:sz w:val="24"/>
          <w:szCs w:val="24"/>
        </w:rPr>
      </w:pPr>
      <w:r/>
      <w:bookmarkStart w:id="96" w:name="_Hlk14096470"/>
      <w:r/>
      <w:bookmarkStart w:id="97" w:name="_Hlk47437789"/>
      <w:r/>
      <w:bookmarkEnd w:id="90"/>
      <w:r>
        <w:rPr>
          <w:rFonts w:hint="eastAsia" w:ascii="宋体" w:hAnsi="宋体" w:cs="宋体"/>
          <w:b/>
          <w:sz w:val="24"/>
          <w:szCs w:val="24"/>
        </w:rPr>
        <w:t xml:space="preserve">1.项目概况</w:t>
      </w:r>
      <w:r/>
    </w:p>
    <w:p>
      <w:pPr>
        <w:ind w:firstLine="480"/>
        <w:jc w:val="both"/>
        <w:spacing w:after="160" w:line="360" w:lineRule="auto"/>
        <w:widowControl w:val="off"/>
        <w:rPr>
          <w:rFonts w:hint="eastAsia" w:ascii="宋体" w:hAnsi="宋体" w:cs="宋体"/>
          <w:sz w:val="24"/>
          <w:szCs w:val="24"/>
        </w:rPr>
      </w:pPr>
      <w:r/>
      <w:bookmarkStart w:id="98" w:name="_Hlk227054486"/>
      <w:r>
        <w:rPr>
          <w:rFonts w:hint="eastAsia" w:ascii="宋体" w:hAnsi="宋体" w:cs="宋体"/>
          <w:sz w:val="24"/>
          <w:szCs w:val="24"/>
        </w:rPr>
        <w:t xml:space="preserve">为高质量完成重点工业产品质量安全隐患排查治理工作，通过公开招标方式确定第三方检验检测机构，承担2026年重点工业产品质量安全隐患风险动态监测的技术服务。</w:t>
      </w:r>
      <w:bookmarkEnd w:id="98"/>
      <w:r/>
      <w:r/>
    </w:p>
    <w:p>
      <w:pPr>
        <w:ind w:firstLine="482"/>
        <w:rPr>
          <w:rFonts w:hint="eastAsia" w:ascii="宋体" w:hAnsi="宋体" w:cs="宋体"/>
          <w:b/>
          <w:sz w:val="24"/>
          <w:szCs w:val="24"/>
        </w:rPr>
      </w:pPr>
      <w:r>
        <w:rPr>
          <w:rFonts w:hint="eastAsia" w:ascii="宋体" w:hAnsi="宋体" w:cs="宋体"/>
          <w:b/>
          <w:sz w:val="24"/>
          <w:szCs w:val="24"/>
        </w:rPr>
        <w:t xml:space="preserve">2.项目基本情况</w:t>
      </w:r>
      <w:r/>
    </w:p>
    <w:p>
      <w:pPr>
        <w:ind w:firstLine="480"/>
        <w:rPr>
          <w:rFonts w:hint="eastAsia" w:ascii="宋体" w:hAnsi="宋体" w:cs="宋体"/>
          <w:sz w:val="24"/>
          <w:szCs w:val="24"/>
        </w:rPr>
      </w:pPr>
      <w:r>
        <w:rPr>
          <w:rFonts w:hint="eastAsia" w:ascii="宋体" w:hAnsi="宋体" w:cs="宋体"/>
          <w:sz w:val="24"/>
          <w:szCs w:val="24"/>
        </w:rPr>
        <w:t xml:space="preserve">本项目为</w:t>
      </w:r>
      <w:r>
        <w:rPr>
          <w:rFonts w:ascii="宋体" w:hAnsi="宋体" w:cs="宋体"/>
          <w:sz w:val="24"/>
          <w:szCs w:val="24"/>
        </w:rPr>
        <w:t xml:space="preserve">江苏省市场监督管理局</w:t>
      </w:r>
      <w:bookmarkStart w:id="99" w:name="_Hlk227053969"/>
      <w:r>
        <w:rPr>
          <w:rFonts w:hint="eastAsia" w:ascii="宋体" w:hAnsi="宋体" w:cs="宋体"/>
          <w:sz w:val="24"/>
          <w:szCs w:val="24"/>
        </w:rPr>
        <w:t xml:space="preserve">2026年重点工业产品质量安全隐患风险动态监测</w:t>
      </w:r>
      <w:r>
        <w:rPr>
          <w:rFonts w:ascii="宋体" w:hAnsi="宋体" w:cs="宋体"/>
          <w:sz w:val="24"/>
          <w:szCs w:val="24"/>
        </w:rPr>
        <w:t xml:space="preserve">技术服务</w:t>
      </w:r>
      <w:bookmarkEnd w:id="99"/>
      <w:r>
        <w:rPr>
          <w:rFonts w:hint="eastAsia" w:ascii="宋体" w:hAnsi="宋体" w:cs="宋体"/>
          <w:sz w:val="24"/>
          <w:szCs w:val="24"/>
        </w:rPr>
        <w:t xml:space="preserve">。一是根据全省产业特点和市场集聚情况，结合当前正在开展的电动自行车、建筑保温材料、燃气用具等专项整治行动，以消费者名义购买，包含“三无”产品，重在发现潜在的、未知的安全风险找准找实质</w:t>
      </w:r>
      <w:r>
        <w:rPr>
          <w:rFonts w:hint="eastAsia" w:ascii="宋体" w:hAnsi="宋体" w:cs="宋体"/>
          <w:sz w:val="24"/>
          <w:szCs w:val="24"/>
        </w:rPr>
        <w:t xml:space="preserve">量安全</w:t>
      </w:r>
      <w:r>
        <w:rPr>
          <w:rFonts w:hint="eastAsia" w:ascii="宋体" w:hAnsi="宋体" w:cs="宋体"/>
          <w:sz w:val="24"/>
          <w:szCs w:val="24"/>
        </w:rPr>
        <w:t xml:space="preserve">问题，推动实现“精准监管”；二是提供抽检技术支持，本次风险动态监测与常规监督抽查统筹安排、信息共享，开展产品质量安全风动态险监测工作，验证产品质量安全风险，及时有效发现产品质量安全风险问题；三是开展重点产品质量安全形势分析，为后续监管提供决策参考，并及时通报约谈企业、提出帮扶建议。 </w:t>
      </w:r>
      <w:r/>
    </w:p>
    <w:p>
      <w:pPr>
        <w:ind w:firstLine="480"/>
        <w:rPr>
          <w:rFonts w:hint="eastAsia" w:ascii="宋体" w:hAnsi="宋体" w:cs="宋体"/>
          <w:sz w:val="24"/>
          <w:szCs w:val="24"/>
        </w:rPr>
      </w:pPr>
      <w:r>
        <w:rPr>
          <w:rFonts w:hint="eastAsia" w:ascii="宋体" w:hAnsi="宋体" w:cs="宋体"/>
          <w:sz w:val="24"/>
          <w:szCs w:val="24"/>
        </w:rPr>
        <w:t xml:space="preserve">风险动态监测覆盖</w:t>
      </w:r>
      <w:r>
        <w:rPr>
          <w:rFonts w:hint="eastAsia" w:ascii="宋体" w:hAnsi="宋体" w:cs="宋体"/>
          <w:sz w:val="24"/>
          <w:szCs w:val="24"/>
        </w:rPr>
        <w:t xml:space="preserve">全建筑</w:t>
      </w:r>
      <w:r>
        <w:rPr>
          <w:rFonts w:hint="eastAsia" w:ascii="宋体" w:hAnsi="宋体" w:cs="宋体"/>
          <w:sz w:val="24"/>
          <w:szCs w:val="24"/>
        </w:rPr>
        <w:t xml:space="preserve">用钢筋、建筑保温材料、人造板、电线电缆、燃气用具、消防产品、移动电源等</w:t>
      </w:r>
      <w:r>
        <w:rPr>
          <w:rFonts w:hint="eastAsia" w:ascii="宋体" w:hAnsi="宋体" w:cs="宋体"/>
          <w:sz w:val="24"/>
          <w:szCs w:val="24"/>
        </w:rPr>
        <w:t xml:space="preserve">7</w:t>
      </w:r>
      <w:r>
        <w:rPr>
          <w:rFonts w:hint="eastAsia" w:ascii="宋体" w:hAnsi="宋体" w:cs="宋体"/>
          <w:sz w:val="24"/>
          <w:szCs w:val="24"/>
        </w:rPr>
        <w:t xml:space="preserve">类重点产品，共计</w:t>
      </w:r>
      <w:r>
        <w:rPr>
          <w:rFonts w:hint="eastAsia" w:ascii="宋体" w:hAnsi="宋体" w:cs="宋体"/>
          <w:sz w:val="24"/>
          <w:szCs w:val="24"/>
        </w:rPr>
        <w:t xml:space="preserve">300</w:t>
      </w:r>
      <w:r>
        <w:rPr>
          <w:rFonts w:hint="eastAsia" w:ascii="宋体" w:hAnsi="宋体" w:cs="宋体"/>
          <w:sz w:val="24"/>
          <w:szCs w:val="24"/>
        </w:rPr>
        <w:t xml:space="preserve">批次，拟分</w:t>
      </w:r>
      <w:r>
        <w:rPr>
          <w:rFonts w:hint="eastAsia" w:ascii="宋体" w:hAnsi="宋体" w:cs="宋体"/>
          <w:sz w:val="24"/>
          <w:szCs w:val="24"/>
        </w:rPr>
        <w:t xml:space="preserve">2</w:t>
      </w:r>
      <w:r>
        <w:rPr>
          <w:rFonts w:hint="eastAsia" w:ascii="宋体" w:hAnsi="宋体" w:cs="宋体"/>
          <w:sz w:val="24"/>
          <w:szCs w:val="24"/>
        </w:rPr>
        <w:t xml:space="preserve">个采购包进行采购，采购预算</w:t>
      </w:r>
      <w:r>
        <w:rPr>
          <w:rFonts w:ascii="宋体" w:hAnsi="宋体" w:cs="宋体"/>
          <w:sz w:val="24"/>
          <w:szCs w:val="24"/>
        </w:rPr>
        <w:t xml:space="preserve">1</w:t>
      </w:r>
      <w:r>
        <w:rPr>
          <w:rFonts w:hint="eastAsia" w:ascii="宋体" w:hAnsi="宋体" w:cs="宋体"/>
          <w:sz w:val="24"/>
          <w:szCs w:val="24"/>
        </w:rPr>
        <w:t xml:space="preserve">2</w:t>
      </w:r>
      <w:r>
        <w:rPr>
          <w:rFonts w:ascii="宋体" w:hAnsi="宋体" w:cs="宋体"/>
          <w:sz w:val="24"/>
          <w:szCs w:val="24"/>
        </w:rPr>
        <w:t xml:space="preserve">9</w:t>
      </w: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万元。</w:t>
      </w:r>
      <w:r/>
    </w:p>
    <w:p>
      <w:pPr>
        <w:ind w:firstLine="482"/>
        <w:rPr>
          <w:rFonts w:hint="eastAsia" w:ascii="宋体" w:hAnsi="宋体" w:cs="宋体"/>
          <w:b/>
          <w:sz w:val="24"/>
          <w:szCs w:val="24"/>
        </w:rPr>
      </w:pPr>
      <w:r>
        <w:rPr>
          <w:rFonts w:hint="eastAsia" w:ascii="宋体" w:hAnsi="宋体" w:cs="宋体"/>
          <w:b/>
          <w:sz w:val="24"/>
          <w:szCs w:val="24"/>
        </w:rPr>
        <w:t xml:space="preserve">3.基本需求</w:t>
      </w:r>
      <w:r/>
    </w:p>
    <w:p>
      <w:pPr>
        <w:jc w:val="both"/>
        <w:spacing w:after="160" w:line="360" w:lineRule="auto"/>
        <w:widowControl w:val="off"/>
        <w:rPr>
          <w:rFonts w:hint="eastAsia" w:ascii="宋体" w:hAnsi="宋体" w:cs="宋体"/>
          <w:bCs/>
          <w:sz w:val="24"/>
          <w:szCs w:val="24"/>
        </w:rPr>
        <w:outlineLvl w:val="0"/>
      </w:pPr>
      <w:r>
        <w:rPr>
          <w:rFonts w:hint="eastAsia" w:ascii="宋体" w:hAnsi="宋体" w:cs="宋体"/>
          <w:bCs/>
          <w:sz w:val="24"/>
          <w:szCs w:val="24"/>
        </w:rPr>
        <w:t xml:space="preserve">3.1</w:t>
      </w:r>
      <w:r>
        <w:rPr>
          <w:rFonts w:hint="eastAsia" w:ascii="宋体" w:hAnsi="宋体" w:cs="宋体"/>
          <w:sz w:val="24"/>
          <w:szCs w:val="24"/>
        </w:rPr>
        <w:t xml:space="preserve">重点工业产品质量安全隐患风险动态监测对象</w:t>
      </w:r>
      <w:r/>
    </w:p>
    <w:p>
      <w:pPr>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202</w:t>
      </w:r>
      <w:r>
        <w:rPr>
          <w:rFonts w:ascii="宋体" w:hAnsi="宋体" w:cs="宋体"/>
          <w:sz w:val="24"/>
          <w:szCs w:val="24"/>
        </w:rPr>
        <w:t xml:space="preserve">6</w:t>
      </w:r>
      <w:r>
        <w:rPr>
          <w:rFonts w:hint="eastAsia" w:ascii="宋体" w:hAnsi="宋体" w:cs="宋体"/>
          <w:sz w:val="24"/>
          <w:szCs w:val="24"/>
        </w:rPr>
        <w:t xml:space="preserve">年江苏省重点工业产品质量安全隐患风险动态监测的对象详见附件1。</w:t>
      </w:r>
      <w:r/>
    </w:p>
    <w:p>
      <w:pPr>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3.2重点工业产品质量安全隐患风险动态监测内容</w:t>
      </w:r>
      <w:r/>
    </w:p>
    <w:p>
      <w:pPr>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202</w:t>
      </w:r>
      <w:r>
        <w:rPr>
          <w:rFonts w:ascii="宋体" w:hAnsi="宋体" w:cs="宋体"/>
          <w:sz w:val="24"/>
          <w:szCs w:val="24"/>
        </w:rPr>
        <w:t xml:space="preserve">6</w:t>
      </w:r>
      <w:r>
        <w:rPr>
          <w:rFonts w:hint="eastAsia" w:ascii="宋体" w:hAnsi="宋体" w:cs="宋体"/>
          <w:sz w:val="24"/>
          <w:szCs w:val="24"/>
        </w:rPr>
        <w:t xml:space="preserve">年江苏省重点工业产品质量安全隐患风险动态监测的内容详见附件2。</w:t>
      </w:r>
      <w:r/>
    </w:p>
    <w:p>
      <w:pPr>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3.3重点工业产品质量安全隐患风险动态监测需求明细</w:t>
      </w:r>
      <w:r/>
    </w:p>
    <w:p>
      <w:pPr>
        <w:jc w:val="both"/>
        <w:spacing w:after="160" w:line="360" w:lineRule="auto"/>
        <w:widowControl w:val="off"/>
        <w:rPr>
          <w:rFonts w:hint="eastAsia" w:ascii="宋体" w:hAnsi="宋体" w:cs="宋体"/>
          <w:sz w:val="24"/>
          <w:szCs w:val="24"/>
        </w:rPr>
      </w:pPr>
      <w:r>
        <w:rPr>
          <w:rFonts w:ascii="宋体" w:hAnsi="宋体" w:cs="宋体"/>
          <w:sz w:val="24"/>
          <w:szCs w:val="24"/>
        </w:rPr>
        <w:t xml:space="preserve">2026年江苏省</w:t>
      </w:r>
      <w:r>
        <w:rPr>
          <w:rFonts w:hint="eastAsia" w:ascii="宋体" w:hAnsi="宋体" w:cs="宋体"/>
          <w:sz w:val="24"/>
          <w:szCs w:val="24"/>
        </w:rPr>
        <w:t xml:space="preserve">重点工业产品质量安全隐患风险动态监测</w:t>
      </w:r>
      <w:r>
        <w:rPr>
          <w:rFonts w:ascii="宋体" w:hAnsi="宋体" w:cs="宋体"/>
          <w:sz w:val="24"/>
          <w:szCs w:val="24"/>
        </w:rPr>
        <w:t xml:space="preserve">需求明细详见附件</w:t>
      </w:r>
      <w:r>
        <w:rPr>
          <w:rFonts w:hint="eastAsia" w:ascii="宋体" w:hAnsi="宋体" w:cs="宋体"/>
          <w:sz w:val="24"/>
          <w:szCs w:val="24"/>
        </w:rPr>
        <w:t xml:space="preserve">3</w:t>
      </w:r>
      <w:r>
        <w:rPr>
          <w:rFonts w:ascii="宋体" w:hAnsi="宋体" w:cs="宋体"/>
          <w:sz w:val="24"/>
          <w:szCs w:val="24"/>
        </w:rPr>
        <w:t xml:space="preserve">。</w:t>
      </w:r>
      <w:r/>
    </w:p>
    <w:p>
      <w:pPr>
        <w:ind w:firstLine="482"/>
        <w:jc w:val="both"/>
        <w:spacing w:after="160" w:line="360" w:lineRule="auto"/>
        <w:widowControl w:val="off"/>
        <w:rPr>
          <w:rFonts w:hint="eastAsia" w:ascii="宋体" w:hAnsi="宋体" w:cs="宋体"/>
          <w:b/>
          <w:sz w:val="24"/>
          <w:szCs w:val="24"/>
        </w:rPr>
        <w:outlineLvl w:val="0"/>
      </w:pPr>
      <w:r/>
      <w:bookmarkStart w:id="100" w:name="_Hlk192061515"/>
      <w:r>
        <w:rPr>
          <w:rFonts w:hint="eastAsia" w:ascii="宋体" w:hAnsi="宋体" w:cs="宋体"/>
          <w:b/>
          <w:sz w:val="24"/>
          <w:szCs w:val="24"/>
        </w:rPr>
        <w:t xml:space="preserve">4.技术要求</w:t>
      </w:r>
      <w:bookmarkEnd w:id="100"/>
      <w:r/>
      <w:r/>
    </w:p>
    <w:p>
      <w:pPr>
        <w:ind w:firstLine="480"/>
        <w:spacing w:after="160" w:line="360" w:lineRule="auto"/>
        <w:widowControl w:val="off"/>
        <w:rPr>
          <w:rFonts w:hint="eastAsia" w:ascii="宋体" w:hAnsi="宋体" w:cs="宋体"/>
          <w:sz w:val="24"/>
          <w:szCs w:val="24"/>
        </w:rPr>
      </w:pPr>
      <w:r>
        <w:rPr>
          <w:rFonts w:hint="eastAsia" w:ascii="宋体" w:hAnsi="宋体" w:cs="宋体"/>
          <w:sz w:val="24"/>
          <w:szCs w:val="24"/>
        </w:rPr>
        <w:t xml:space="preserve">4.1法律法规和技术规范</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本需求</w:t>
      </w:r>
      <w:r>
        <w:rPr>
          <w:rFonts w:hint="eastAsia" w:ascii="宋体" w:hAnsi="宋体" w:cs="宋体"/>
          <w:sz w:val="24"/>
          <w:szCs w:val="24"/>
        </w:rPr>
        <w:t xml:space="preserve">至少应满足以下法律法规、技术规范的要求：</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（1）</w:t>
      </w:r>
      <w:bookmarkStart w:id="101" w:name="_Hlk227071089"/>
      <w:r>
        <w:rPr>
          <w:rFonts w:hint="eastAsia" w:ascii="宋体" w:hAnsi="宋体" w:cs="宋体"/>
          <w:sz w:val="24"/>
          <w:szCs w:val="24"/>
        </w:rPr>
        <w:t xml:space="preserve">《中华人民共和国消费者权益保护法》</w:t>
      </w:r>
      <w:bookmarkEnd w:id="101"/>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（2）《中华人民共和国产品质量法》</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（3）</w:t>
      </w:r>
      <w:bookmarkStart w:id="102" w:name="_Hlk227071202"/>
      <w:r>
        <w:rPr>
          <w:rFonts w:hint="eastAsia" w:ascii="宋体" w:hAnsi="宋体" w:cs="宋体"/>
          <w:sz w:val="24"/>
          <w:szCs w:val="24"/>
        </w:rPr>
        <w:t xml:space="preserve">《中华人民共和国标准化法》</w:t>
      </w:r>
      <w:bookmarkEnd w:id="102"/>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（4）</w:t>
      </w:r>
      <w:bookmarkStart w:id="103" w:name="_Hlk227071213"/>
      <w:r>
        <w:rPr>
          <w:rFonts w:hint="eastAsia" w:ascii="宋体" w:hAnsi="宋体" w:cs="宋体"/>
          <w:sz w:val="24"/>
          <w:szCs w:val="24"/>
        </w:rPr>
        <w:t xml:space="preserve">《检验检测机构监督管理办法》</w:t>
      </w:r>
      <w:bookmarkEnd w:id="103"/>
      <w:r>
        <w:rPr>
          <w:rFonts w:hint="eastAsia" w:ascii="宋体" w:hAnsi="宋体" w:cs="宋体"/>
          <w:sz w:val="24"/>
          <w:szCs w:val="24"/>
        </w:rPr>
        <w:t xml:space="preserve">（国家市场监督管理总局令 第39号）</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本需求</w:t>
      </w:r>
      <w:r>
        <w:rPr>
          <w:rFonts w:hint="eastAsia" w:ascii="宋体" w:hAnsi="宋体" w:cs="宋体"/>
          <w:sz w:val="24"/>
          <w:szCs w:val="24"/>
        </w:rPr>
        <w:t xml:space="preserve">应参照以下制度办法的要求：</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（1）《产品质量监督抽查管理暂行办法》（国家市场监督管理总局令 第18号）</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（2）《江苏省省级产品质量监督抽查工作规范》</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注：以上法律法规、制度办法、技术规范如有更新，按最新标准执行。</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4.2主要技术要求</w:t>
      </w:r>
      <w:r/>
    </w:p>
    <w:p>
      <w:pPr>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4.2.1抽样环节</w:t>
      </w:r>
      <w:r/>
    </w:p>
    <w:p>
      <w:pPr>
        <w:ind w:firstLine="480"/>
        <w:jc w:val="center"/>
        <w:spacing w:after="160" w:line="360" w:lineRule="auto"/>
        <w:widowControl w:val="off"/>
        <w:rPr>
          <w:rFonts w:hint="eastAsia" w:ascii="宋体" w:hAnsi="宋体" w:cs="宋体"/>
          <w:sz w:val="24"/>
          <w:szCs w:val="24"/>
        </w:rPr>
      </w:pPr>
      <w:r>
        <w:rPr>
          <w:rFonts w:hint="eastAsia" w:ascii="宋体" w:hAnsi="宋体" w:cs="宋体"/>
          <w:sz w:val="24"/>
          <w:szCs w:val="24"/>
        </w:rPr>
        <w:t xml:space="preserve">表1 抽样环节主要技术内容和标准</w:t>
      </w:r>
      <w:r/>
    </w:p>
    <w:tbl>
      <w:tblPr>
        <w:tblW w:w="4998" w:type="pct"/>
        <w:tblInd w:w="118" w:type="dxa"/>
        <w:tblLook w:val="0000" w:firstRow="0" w:lastRow="0" w:firstColumn="0" w:lastColumn="0" w:noHBand="0" w:noVBand="0"/>
      </w:tblPr>
      <w:tblGrid>
        <w:gridCol w:w="733"/>
        <w:gridCol w:w="734"/>
        <w:gridCol w:w="1261"/>
        <w:gridCol w:w="5555"/>
      </w:tblGrid>
      <w:tr>
        <w:trPr>
          <w:trHeight w:val="322"/>
        </w:trPr>
        <w:tc>
          <w:tcPr>
            <w:tcBorders>
              <w:top w:val="single" w:color="000000" w:sz="8" w:space="0"/>
              <w:left w:val="single" w:color="000000" w:sz="8" w:space="0"/>
              <w:bottom w:val="single" w:color="000000" w:sz="8" w:space="0"/>
              <w:right w:val="single" w:color="000000" w:sz="8" w:space="0"/>
            </w:tcBorders>
            <w:tcW w:w="443"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序号</w:t>
            </w:r>
            <w:r/>
          </w:p>
        </w:tc>
        <w:tc>
          <w:tcPr>
            <w:gridSpan w:val="2"/>
            <w:tcBorders>
              <w:top w:val="single" w:color="000000" w:sz="8" w:space="0"/>
              <w:left w:val="single" w:color="000000" w:sz="8" w:space="0"/>
              <w:bottom w:val="single" w:color="000000" w:sz="8" w:space="0"/>
              <w:right w:val="single" w:color="000000" w:sz="8" w:space="0"/>
            </w:tcBorders>
            <w:tcW w:w="120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服务名称</w:t>
            </w:r>
            <w:r/>
          </w:p>
        </w:tc>
        <w:tc>
          <w:tcPr>
            <w:tcBorders>
              <w:top w:val="single" w:color="000000" w:sz="8" w:space="0"/>
              <w:left w:val="single" w:color="000000" w:sz="8" w:space="0"/>
              <w:bottom w:val="single" w:color="000000" w:sz="8" w:space="0"/>
              <w:right w:val="single" w:color="000000" w:sz="8" w:space="0"/>
            </w:tcBorders>
            <w:tcW w:w="3352"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服务内容和标准</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w:t>
            </w:r>
            <w:r/>
          </w:p>
        </w:tc>
        <w:tc>
          <w:tcPr>
            <w:gridSpan w:val="2"/>
            <w:tcBorders>
              <w:top w:val="none" w:color="000000" w:sz="4" w:space="0"/>
              <w:left w:val="single" w:color="000000" w:sz="8" w:space="0"/>
              <w:bottom w:val="single" w:color="000000" w:sz="8" w:space="0"/>
              <w:right w:val="single" w:color="000000" w:sz="8" w:space="0"/>
            </w:tcBorders>
            <w:tcW w:w="120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抽样前准备</w:t>
            </w:r>
            <w:r/>
          </w:p>
        </w:tc>
        <w:tc>
          <w:tcPr>
            <w:tcBorders>
              <w:top w:val="none" w:color="000000" w:sz="4" w:space="0"/>
              <w:left w:val="single" w:color="000000" w:sz="8" w:space="0"/>
              <w:bottom w:val="single" w:color="000000" w:sz="8"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抽样单位应当建立产品质量监督抽查抽样管理制度，明确岗位职责、抽样流程和工作纪律。</w:t>
            </w:r>
            <w:r/>
          </w:p>
        </w:tc>
      </w:tr>
      <w:tr>
        <w:trPr>
          <w:trHeight w:val="307"/>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2</w:t>
            </w:r>
            <w:r/>
          </w:p>
        </w:tc>
        <w:tc>
          <w:tcPr>
            <w:gridSpan w:val="2"/>
            <w:tcBorders>
              <w:top w:val="none" w:color="000000" w:sz="4" w:space="0"/>
              <w:left w:val="single" w:color="000000" w:sz="8" w:space="0"/>
              <w:bottom w:val="single" w:color="000000" w:sz="8" w:space="0"/>
              <w:right w:val="single" w:color="000000" w:sz="8" w:space="0"/>
            </w:tcBorders>
            <w:tcW w:w="120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抽样人员确定</w:t>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color w:val="000000"/>
                <w:sz w:val="24"/>
                <w:szCs w:val="24"/>
                <w:lang w:bidi="ar"/>
              </w:rPr>
              <w:t xml:space="preserve">1</w:t>
            </w:r>
            <w:r>
              <w:rPr>
                <w:rFonts w:hint="eastAsia" w:ascii="宋体" w:hAnsi="宋体" w:cs="宋体"/>
                <w:sz w:val="24"/>
                <w:szCs w:val="24"/>
                <w:lang w:bidi="ar"/>
              </w:rPr>
              <w:t xml:space="preserve">）独立的抽样人员数量、能力等要求与服务需求相匹配。</w:t>
            </w:r>
            <w:r/>
          </w:p>
        </w:tc>
      </w:tr>
      <w:tr>
        <w:trPr>
          <w:trHeight w:val="307"/>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gridSpan w:val="2"/>
            <w:tcBorders>
              <w:top w:val="none" w:color="000000" w:sz="4" w:space="0"/>
              <w:left w:val="single" w:color="000000" w:sz="8" w:space="0"/>
              <w:bottom w:val="single" w:color="000000" w:sz="8" w:space="0"/>
              <w:right w:val="single" w:color="000000" w:sz="8" w:space="0"/>
            </w:tcBorders>
            <w:tcW w:w="120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lang w:bidi="ar"/>
              </w:rPr>
              <w:t xml:space="preserve">）</w:t>
            </w:r>
            <w:r>
              <w:rPr>
                <w:rFonts w:hint="eastAsia" w:ascii="宋体" w:hAnsi="宋体" w:cs="宋体"/>
                <w:sz w:val="24"/>
                <w:szCs w:val="24"/>
                <w:lang w:bidi="ar"/>
              </w:rPr>
              <w:t xml:space="preserve">实施抽检分离，</w:t>
            </w:r>
            <w:r>
              <w:rPr>
                <w:rFonts w:ascii="宋体" w:hAnsi="宋体" w:cs="宋体"/>
                <w:sz w:val="24"/>
                <w:szCs w:val="24"/>
                <w:lang w:bidi="ar"/>
              </w:rPr>
              <w:t xml:space="preserve">同一产品</w:t>
            </w:r>
            <w:r>
              <w:rPr>
                <w:rFonts w:hint="eastAsia" w:ascii="宋体" w:hAnsi="宋体" w:cs="宋体"/>
                <w:sz w:val="24"/>
                <w:szCs w:val="24"/>
                <w:lang w:bidi="ar"/>
              </w:rPr>
              <w:t xml:space="preserve">抽样人员与检验人员不得为同一人。</w:t>
            </w:r>
            <w:r/>
          </w:p>
        </w:tc>
      </w:tr>
      <w:tr>
        <w:trPr>
          <w:trHeight w:val="307"/>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gridSpan w:val="2"/>
            <w:tcBorders>
              <w:top w:val="none" w:color="000000" w:sz="4" w:space="0"/>
              <w:left w:val="single" w:color="000000" w:sz="8" w:space="0"/>
              <w:bottom w:val="single" w:color="000000" w:sz="8" w:space="0"/>
              <w:right w:val="single" w:color="000000" w:sz="8" w:space="0"/>
            </w:tcBorders>
            <w:tcW w:w="120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auto" w:sz="4"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（3）抽样人员执行抽样任务时不得少于两人。</w:t>
            </w:r>
            <w:r/>
          </w:p>
        </w:tc>
      </w:tr>
      <w:tr>
        <w:trPr>
          <w:trHeight w:val="90"/>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3</w:t>
            </w:r>
            <w:r/>
          </w:p>
        </w:tc>
        <w:tc>
          <w:tcPr>
            <w:gridSpan w:val="2"/>
            <w:tcBorders>
              <w:top w:val="none" w:color="000000" w:sz="4" w:space="0"/>
              <w:left w:val="single" w:color="000000" w:sz="8" w:space="0"/>
              <w:bottom w:val="single" w:color="000000" w:sz="8" w:space="0"/>
              <w:right w:val="single" w:color="000000" w:sz="8" w:space="0"/>
            </w:tcBorders>
            <w:tcW w:w="120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抽样前培训</w:t>
            </w:r>
            <w:r/>
          </w:p>
        </w:tc>
        <w:tc>
          <w:tcPr>
            <w:tcBorders>
              <w:top w:val="single" w:color="auto" w:sz="4" w:space="0"/>
              <w:left w:val="single" w:color="000000" w:sz="8" w:space="0"/>
              <w:bottom w:val="single" w:color="000000" w:sz="8"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抽样前应当对抽样人员进行培训，并做好相关记录。抽样人员应当熟悉产品质量法、《产品质量监督抽查管理暂行办法》《江苏省省级产品质量监督</w:t>
            </w:r>
            <w:r>
              <w:rPr>
                <w:rFonts w:hint="eastAsia" w:ascii="宋体" w:hAnsi="宋体" w:cs="宋体"/>
                <w:sz w:val="24"/>
                <w:szCs w:val="24"/>
                <w:lang w:bidi="ar"/>
              </w:rPr>
              <w:t xml:space="preserve">抽查工作规范》等相关法律法规、规章和产品标准。</w:t>
            </w:r>
            <w:r/>
          </w:p>
        </w:tc>
      </w:tr>
      <w:tr>
        <w:trPr>
          <w:trHeight w:val="322"/>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4</w:t>
            </w:r>
            <w:r/>
          </w:p>
        </w:tc>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现场抽样</w:t>
            </w:r>
            <w:r/>
          </w:p>
        </w:tc>
        <w:tc>
          <w:tcPr>
            <w:tcBorders>
              <w:top w:val="none" w:color="000000" w:sz="4" w:space="0"/>
              <w:left w:val="single" w:color="000000" w:sz="8" w:space="0"/>
              <w:bottom w:val="single" w:color="auto" w:sz="4" w:space="0"/>
              <w:right w:val="single" w:color="000000" w:sz="8" w:space="0"/>
            </w:tcBorders>
            <w:tcW w:w="761"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抽样告知</w:t>
            </w:r>
            <w:r/>
          </w:p>
        </w:tc>
        <w:tc>
          <w:tcPr>
            <w:tcBorders>
              <w:top w:val="single" w:color="000000" w:sz="8" w:space="0"/>
              <w:left w:val="single" w:color="000000" w:sz="8" w:space="0"/>
              <w:bottom w:val="single" w:color="auto" w:sz="4"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抽样工作不得预先通知受检单位，以消费者名义进行购买。</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5</w:t>
            </w:r>
            <w:r/>
          </w:p>
        </w:tc>
        <w:tc>
          <w:tcPr>
            <w:tcBorders>
              <w:top w:val="none" w:color="000000" w:sz="4" w:space="0"/>
              <w:left w:val="single" w:color="000000" w:sz="8" w:space="0"/>
              <w:bottom w:val="single" w:color="000000" w:sz="8" w:space="0"/>
              <w:right w:val="single" w:color="auto" w:sz="4"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信息核查</w:t>
            </w:r>
            <w:r/>
          </w:p>
        </w:tc>
        <w:tc>
          <w:tcPr>
            <w:tcBorders>
              <w:top w:val="single" w:color="auto" w:sz="4" w:space="0"/>
              <w:left w:val="single" w:color="auto" w:sz="4" w:space="0"/>
              <w:bottom w:val="single" w:color="auto" w:sz="4" w:space="0"/>
              <w:right w:val="single" w:color="auto" w:sz="4"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抽样人员应详实记录受检单位的营业执照所载信息、实际经营地址等相关内容。</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6</w:t>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000000" w:sz="8" w:space="0"/>
              <w:bottom w:val="single" w:color="000000" w:sz="8" w:space="0"/>
              <w:right w:val="single" w:color="auto" w:sz="4" w:space="0"/>
            </w:tcBorders>
            <w:tcW w:w="761"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样品抽取</w:t>
            </w:r>
            <w:r/>
          </w:p>
        </w:tc>
        <w:tc>
          <w:tcPr>
            <w:tcBorders>
              <w:top w:val="single" w:color="auto" w:sz="4" w:space="0"/>
              <w:left w:val="single" w:color="auto" w:sz="4" w:space="0"/>
              <w:bottom w:val="none" w:color="000000" w:sz="4" w:space="0"/>
              <w:right w:val="single" w:color="auto" w:sz="4"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（1）抽样人员应从受检单位的经营场所待销产品中随机购买样品，不得由受检单位自行提供样品。</w:t>
            </w:r>
            <w:r/>
          </w:p>
        </w:tc>
      </w:tr>
      <w:tr>
        <w:trPr>
          <w:trHeight w:val="322"/>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auto" w:sz="4" w:space="0"/>
            </w:tcBorders>
            <w:tcW w:w="761"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3352" w:type="pct"/>
            <w:vAlign w:val="center"/>
            <w:textDirection w:val="lrTb"/>
            <w:noWrap w:val="false"/>
          </w:tcPr>
          <w:p>
            <w:pPr>
              <w:spacing w:after="160" w:line="320" w:lineRule="exact"/>
              <w:rPr>
                <w:rFonts w:hint="eastAsia" w:ascii="宋体" w:hAnsi="宋体" w:cs="宋体"/>
                <w:sz w:val="24"/>
                <w:szCs w:val="24"/>
                <w:lang w:bidi="ar"/>
              </w:rPr>
            </w:pPr>
            <w:r>
              <w:rPr>
                <w:rFonts w:hint="eastAsia" w:ascii="宋体" w:hAnsi="宋体" w:cs="宋体"/>
                <w:sz w:val="24"/>
                <w:szCs w:val="24"/>
                <w:lang w:bidi="ar"/>
              </w:rPr>
              <w:t xml:space="preserve">（2）抽样数量原则上应当满足检验的要求。</w:t>
            </w:r>
            <w:r/>
          </w:p>
          <w:p>
            <w:pPr>
              <w:spacing w:after="160" w:line="320" w:lineRule="exact"/>
              <w:rPr>
                <w:rFonts w:hint="eastAsia" w:ascii="宋体" w:hAnsi="宋体" w:cs="宋体"/>
                <w:sz w:val="24"/>
                <w:szCs w:val="24"/>
              </w:rPr>
            </w:pPr>
            <w:r>
              <w:rPr>
                <w:rFonts w:hint="eastAsia"/>
                <w:sz w:val="24"/>
                <w:szCs w:val="24"/>
                <w:lang w:bidi="ar"/>
              </w:rPr>
              <w:t xml:space="preserve">（</w:t>
            </w:r>
            <w:r>
              <w:rPr>
                <w:rFonts w:hint="eastAsia"/>
                <w:sz w:val="24"/>
                <w:szCs w:val="24"/>
                <w:lang w:bidi="ar"/>
              </w:rPr>
              <w:t xml:space="preserve">3</w:t>
            </w:r>
            <w:r>
              <w:rPr>
                <w:rFonts w:hint="eastAsia"/>
                <w:sz w:val="24"/>
                <w:szCs w:val="24"/>
                <w:lang w:bidi="ar"/>
              </w:rPr>
              <w:t xml:space="preserve">）抽样现场的设备，品种、数量、功能应能满足项目需求。</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7</w:t>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auto" w:sz="4" w:space="0"/>
            </w:tcBorders>
            <w:tcW w:w="761"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封样签字</w:t>
            </w:r>
            <w:r/>
          </w:p>
        </w:tc>
        <w:tc>
          <w:tcPr>
            <w:tcBorders>
              <w:top w:val="single" w:color="auto" w:sz="4" w:space="0"/>
              <w:left w:val="single" w:color="auto" w:sz="4" w:space="0"/>
              <w:bottom w:val="none" w:color="000000" w:sz="4" w:space="0"/>
              <w:right w:val="single" w:color="auto" w:sz="4"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（1）抽样人员应当采取有效的防拆封措施，对检验样品封样，并贴上封条。</w:t>
            </w:r>
            <w:r/>
          </w:p>
        </w:tc>
      </w:tr>
      <w:tr>
        <w:trPr>
          <w:trHeight w:val="322"/>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auto" w:sz="4" w:space="0"/>
            </w:tcBorders>
            <w:tcW w:w="761"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auto" w:sz="4" w:space="0"/>
              <w:bottom w:val="single" w:color="auto" w:sz="4" w:space="0"/>
              <w:right w:val="single" w:color="auto" w:sz="4"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（2）封条上应当由抽样人员签字或盖章确认。</w:t>
            </w:r>
            <w:r/>
          </w:p>
        </w:tc>
      </w:tr>
      <w:tr>
        <w:trPr>
          <w:trHeight w:val="2929"/>
        </w:trPr>
        <w:tc>
          <w:tcPr>
            <w:tcBorders>
              <w:top w:val="none" w:color="000000" w:sz="4" w:space="0"/>
              <w:left w:val="single" w:color="000000" w:sz="8" w:space="0"/>
              <w:bottom w:val="single" w:color="auto" w:sz="4" w:space="0"/>
              <w:right w:val="single" w:color="000000" w:sz="8" w:space="0"/>
            </w:tcBorders>
            <w:tcW w:w="443"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8</w:t>
            </w:r>
            <w:r/>
          </w:p>
        </w:tc>
        <w:tc>
          <w:tcPr>
            <w:tcBorders>
              <w:top w:val="none" w:color="000000" w:sz="4" w:space="0"/>
              <w:left w:val="single" w:color="000000" w:sz="8" w:space="0"/>
              <w:bottom w:val="single" w:color="auto" w:sz="4"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auto" w:sz="4" w:space="0"/>
              <w:right w:val="single" w:color="000000" w:sz="8" w:space="0"/>
            </w:tcBorders>
            <w:tcW w:w="761"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抽样单填写</w:t>
            </w:r>
            <w:r/>
          </w:p>
        </w:tc>
        <w:tc>
          <w:tcPr>
            <w:tcBorders>
              <w:top w:val="single" w:color="auto" w:sz="4" w:space="0"/>
              <w:left w:val="single" w:color="000000" w:sz="8" w:space="0"/>
              <w:bottom w:val="single" w:color="000000" w:sz="8"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lang w:bidi="ar"/>
              </w:rPr>
            </w:pPr>
            <w:r>
              <w:rPr>
                <w:rFonts w:hint="eastAsia" w:ascii="宋体" w:hAnsi="宋体" w:cs="宋体"/>
                <w:sz w:val="24"/>
                <w:szCs w:val="24"/>
                <w:lang w:bidi="ar"/>
              </w:rPr>
              <w:t xml:space="preserve">（1）抽样人员根据实际情况填写《产品质量监督抽查抽样单》，详细记录抽样信息。</w:t>
            </w:r>
            <w:r/>
          </w:p>
          <w:p>
            <w:pPr>
              <w:spacing w:after="160" w:line="320" w:lineRule="exact"/>
              <w:rPr>
                <w:rFonts w:hint="eastAsia" w:ascii="宋体" w:hAnsi="宋体" w:cs="宋体"/>
                <w:sz w:val="24"/>
                <w:szCs w:val="24"/>
              </w:rPr>
            </w:pPr>
            <w:r>
              <w:rPr>
                <w:rFonts w:hint="eastAsia" w:ascii="宋体" w:hAnsi="宋体" w:cs="宋体"/>
                <w:sz w:val="24"/>
                <w:szCs w:val="24"/>
                <w:lang w:bidi="ar"/>
              </w:rPr>
              <w:t xml:space="preserve">（2）如遇特殊情况，经采购人同意，使用纸质版抽样文书时，应当字迹工整、清晰，容易辨认，不得随意更改。</w:t>
            </w:r>
            <w:r/>
          </w:p>
          <w:p>
            <w:pPr>
              <w:spacing w:after="160" w:line="320" w:lineRule="exact"/>
              <w:rPr>
                <w:rFonts w:hint="eastAsia" w:ascii="宋体" w:hAnsi="宋体" w:cs="宋体"/>
                <w:sz w:val="24"/>
                <w:szCs w:val="24"/>
              </w:rPr>
            </w:pPr>
            <w:r>
              <w:rPr>
                <w:rFonts w:hint="eastAsia" w:ascii="宋体" w:hAnsi="宋体" w:cs="宋体"/>
                <w:sz w:val="24"/>
                <w:szCs w:val="24"/>
                <w:lang w:bidi="ar"/>
              </w:rPr>
              <w:t xml:space="preserve">（3）抽样单填写完毕后，应当由抽样人员签字或盖章确认。</w:t>
            </w:r>
            <w:r/>
          </w:p>
          <w:p>
            <w:pPr>
              <w:spacing w:after="160" w:line="320" w:lineRule="exact"/>
              <w:rPr>
                <w:rFonts w:hint="eastAsia" w:ascii="宋体" w:hAnsi="宋体" w:cs="宋体"/>
                <w:sz w:val="24"/>
                <w:szCs w:val="24"/>
              </w:rPr>
            </w:pPr>
            <w:r>
              <w:rPr>
                <w:rFonts w:hint="eastAsia" w:ascii="宋体" w:hAnsi="宋体" w:cs="宋体"/>
                <w:sz w:val="24"/>
                <w:szCs w:val="24"/>
                <w:lang w:bidi="ar"/>
              </w:rPr>
              <w:t xml:space="preserve">（4）如未采集到受检单位营业执照信息，地址栏填写实体店实际地址，具体到门牌号。</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9</w:t>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现场信息采集</w:t>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（1）抽样人员应当通过拍照等方式对抽样场所、证照信息、贮存环境、样品信息、封样、运输等环节进行现场信息采集。</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（2）必要时，使用信息采集的设备，包括相机等类似设备应能满足项目需求，完整、清晰记录抽样现场过程。</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10</w:t>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费用支付</w:t>
            </w:r>
            <w:r/>
          </w:p>
        </w:tc>
        <w:tc>
          <w:tcPr>
            <w:tcBorders>
              <w:top w:val="none" w:color="000000" w:sz="4" w:space="0"/>
              <w:left w:val="single" w:color="000000" w:sz="8" w:space="0"/>
              <w:bottom w:val="single" w:color="000000" w:sz="8"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抽样人员应当向受检单位支付样品购置费并索取发票（或相关购物凭证）及所购样品明细。</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11</w:t>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样品运输</w:t>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（1）抽取的样品应当由抽样人员携带或寄送至检验机构。</w:t>
            </w:r>
            <w:r/>
          </w:p>
        </w:tc>
      </w:tr>
      <w:tr>
        <w:trPr>
          <w:trHeight w:val="322"/>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（2）抽样人员应当根据样品特性和检验目的进行合理贮存、运输。</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（3）对于易碎或有其他特殊贮运条件等要求的样品，抽样人员应当采取适当措施，保证样品运输过程符合标准或样品标示要求的运输条件。</w:t>
            </w:r>
            <w:r/>
          </w:p>
        </w:tc>
      </w:tr>
      <w:tr>
        <w:trPr>
          <w:trHeight w:val="628"/>
        </w:trPr>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443"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761"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352"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（4）用于样品运输的设备和车辆，运载能力和数量应能满足项目需求。</w:t>
            </w:r>
            <w:r/>
          </w:p>
        </w:tc>
      </w:tr>
    </w:tbl>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4.2.2检验环节</w:t>
      </w:r>
      <w:r/>
    </w:p>
    <w:p>
      <w:pPr>
        <w:jc w:val="center"/>
        <w:spacing w:after="160" w:line="560" w:lineRule="exact"/>
        <w:rPr>
          <w:rFonts w:hint="eastAsia" w:ascii="宋体" w:hAnsi="宋体" w:cs="宋体"/>
          <w:sz w:val="24"/>
          <w:szCs w:val="24"/>
        </w:rPr>
      </w:pPr>
      <w:r>
        <w:rPr>
          <w:rFonts w:hint="eastAsia" w:ascii="宋体" w:hAnsi="宋体" w:cs="宋体"/>
          <w:sz w:val="24"/>
          <w:szCs w:val="24"/>
        </w:rPr>
        <w:t xml:space="preserve">表2 检验环节主要技术内容和标准</w:t>
      </w:r>
      <w:r/>
    </w:p>
    <w:tbl>
      <w:tblPr>
        <w:tblW w:w="4998" w:type="pct"/>
        <w:tblInd w:w="118" w:type="dxa"/>
        <w:tblLook w:val="0000" w:firstRow="0" w:lastRow="0" w:firstColumn="0" w:lastColumn="0" w:noHBand="0" w:noVBand="0"/>
      </w:tblPr>
      <w:tblGrid>
        <w:gridCol w:w="819"/>
        <w:gridCol w:w="1565"/>
        <w:gridCol w:w="5899"/>
      </w:tblGrid>
      <w:tr>
        <w:trPr>
          <w:trHeight w:val="322"/>
        </w:trPr>
        <w:tc>
          <w:tcPr>
            <w:tcBorders>
              <w:top w:val="single" w:color="000000" w:sz="8" w:space="0"/>
              <w:left w:val="single" w:color="000000" w:sz="8" w:space="0"/>
              <w:bottom w:val="single" w:color="000000" w:sz="8" w:space="0"/>
              <w:right w:val="single" w:color="000000" w:sz="8" w:space="0"/>
            </w:tcBorders>
            <w:tcW w:w="49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94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服务名称</w:t>
            </w:r>
            <w:r/>
          </w:p>
        </w:tc>
        <w:tc>
          <w:tcPr>
            <w:tcBorders>
              <w:top w:val="single" w:color="000000" w:sz="8" w:space="0"/>
              <w:left w:val="single" w:color="000000" w:sz="8" w:space="0"/>
              <w:bottom w:val="single" w:color="000000" w:sz="8" w:space="0"/>
              <w:right w:val="single" w:color="000000" w:sz="8" w:space="0"/>
            </w:tcBorders>
            <w:tcW w:w="3560"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服务内容和标准</w:t>
            </w:r>
            <w:r/>
          </w:p>
        </w:tc>
      </w:tr>
      <w:tr>
        <w:trPr>
          <w:trHeight w:val="680"/>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w:t>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检验单位要求</w:t>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未经采购人同意，检验单位不得分包或者转包检验任务。</w:t>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2</w:t>
            </w:r>
            <w:r/>
          </w:p>
        </w:tc>
        <w:tc>
          <w:tcPr>
            <w:tcBorders>
              <w:top w:val="none" w:color="000000" w:sz="4" w:space="0"/>
              <w:left w:val="single" w:color="000000" w:sz="8" w:space="0"/>
              <w:bottom w:val="single" w:color="000000" w:sz="8" w:space="0"/>
              <w:right w:val="single" w:color="000000" w:sz="8" w:space="0"/>
            </w:tcBorders>
            <w:tcW w:w="94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检验人员管理</w:t>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（1）相关产品检验人员数量、专业领域、工作年限等要求与服务需求相匹配。</w:t>
            </w:r>
            <w:r/>
          </w:p>
        </w:tc>
      </w:tr>
      <w:tr>
        <w:trPr>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（2）建立检验人员持证上岗制度，加强产品质量相关法律法规、标准规范、质量控制要求、实验室安全与防护知识等方面的培训考核，确保检验人员能力持续满足承检工作需求。</w:t>
            </w:r>
            <w:r/>
          </w:p>
        </w:tc>
      </w:tr>
      <w:tr>
        <w:trPr>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3</w:t>
            </w:r>
            <w:r/>
          </w:p>
        </w:tc>
        <w:tc>
          <w:tcPr>
            <w:tcBorders>
              <w:top w:val="none" w:color="000000" w:sz="4" w:space="0"/>
              <w:left w:val="single" w:color="000000" w:sz="8" w:space="0"/>
              <w:bottom w:val="single" w:color="000000" w:sz="8" w:space="0"/>
              <w:right w:val="single" w:color="000000" w:sz="8" w:space="0"/>
            </w:tcBorders>
            <w:tcW w:w="94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样品接收与保存</w:t>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（1）检验单位接收样品时，应当查验、记录样品的外观、状态、封条有无破损以及其他可能对检验结论产生影响的情况，并核对样品与抽样文书信息。</w:t>
            </w:r>
            <w:r/>
          </w:p>
        </w:tc>
      </w:tr>
      <w:tr>
        <w:trPr>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（2）对符合检验要求的样品，检验单位应当在</w:t>
            </w:r>
            <w:r>
              <w:rPr>
                <w:rFonts w:ascii="宋体" w:hAnsi="宋体" w:cs="宋体"/>
                <w:sz w:val="24"/>
                <w:szCs w:val="24"/>
                <w:lang w:bidi="ar"/>
              </w:rPr>
              <w:t xml:space="preserve">抽样后五个工作日内</w:t>
            </w:r>
            <w:r>
              <w:rPr>
                <w:rFonts w:hint="eastAsia" w:ascii="宋体" w:hAnsi="宋体" w:cs="宋体"/>
                <w:sz w:val="24"/>
                <w:szCs w:val="24"/>
                <w:lang w:bidi="ar"/>
              </w:rPr>
              <w:t xml:space="preserve">完成样品接收工作，将检验样品加贴相应标识后，按照要求入库存放。</w:t>
            </w:r>
            <w:r/>
          </w:p>
        </w:tc>
      </w:tr>
      <w:tr>
        <w:trPr>
          <w:trHeight w:val="1242"/>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3）对不符合要求的样品，如抽样文书信息与实际样品不符、样品数量不能满足检验要求、样品性状改变可能对检验结论产生影响、封条破损、封样缺少防拆封措施等情况，检验单位应当拒绝接收并规范填写拒收理由，及时报告采购人。</w:t>
            </w:r>
            <w:r/>
          </w:p>
        </w:tc>
      </w:tr>
      <w:tr>
        <w:trPr>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（4）抽样检验的样品由检验单位保存。检验单位应当建立样品保管制度，严禁样品被随意调换、拆封。</w:t>
            </w:r>
            <w:r/>
          </w:p>
        </w:tc>
      </w:tr>
      <w:tr>
        <w:trPr>
          <w:trHeight w:val="322"/>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（5）样品储存场所容量、环境、温度控制等与服务需求相匹配。</w:t>
            </w:r>
            <w:r/>
          </w:p>
        </w:tc>
      </w:tr>
      <w:tr>
        <w:trPr>
          <w:trHeight w:val="628"/>
        </w:trPr>
        <w:tc>
          <w:tcPr>
            <w:tcBorders>
              <w:top w:val="single" w:color="auto" w:sz="4" w:space="0"/>
              <w:left w:val="single" w:color="000000" w:sz="8" w:space="0"/>
              <w:bottom w:val="single" w:color="000000" w:sz="8" w:space="0"/>
              <w:right w:val="single" w:color="000000" w:sz="8" w:space="0"/>
            </w:tcBorders>
            <w:tcW w:w="49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4</w:t>
            </w:r>
            <w:r/>
          </w:p>
        </w:tc>
        <w:tc>
          <w:tcPr>
            <w:tcBorders>
              <w:top w:val="single" w:color="auto" w:sz="4" w:space="0"/>
              <w:left w:val="single" w:color="000000" w:sz="8" w:space="0"/>
              <w:bottom w:val="single" w:color="000000" w:sz="8" w:space="0"/>
              <w:right w:val="single" w:color="FFFFFF" w:sz="8" w:space="0"/>
            </w:tcBorders>
            <w:tcW w:w="94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检验过程</w:t>
            </w:r>
            <w:r/>
          </w:p>
        </w:tc>
        <w:tc>
          <w:tcPr>
            <w:tcBorders>
              <w:top w:val="single" w:color="auto"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（1）检验单位应依据相关产品标准、法律法规、专业特色市场产品质量风险动态监测实施方案确定的检验项目和检验方法进行。</w:t>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FFFFFF"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（2）拟用于相关产品检验工作的实验场所面积、环境、布局和组成部分等与服务需求相匹配。</w:t>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FFFFFF"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（3）检验设备的仪器型号、等级、精密度、运行状况和数量应能满足项目需求。</w:t>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5</w:t>
            </w:r>
            <w:r/>
          </w:p>
        </w:tc>
        <w:tc>
          <w:tcPr>
            <w:tcBorders>
              <w:top w:val="none" w:color="000000" w:sz="4" w:space="0"/>
              <w:left w:val="single" w:color="000000" w:sz="8" w:space="0"/>
              <w:bottom w:val="single" w:color="000000" w:sz="8" w:space="0"/>
              <w:right w:val="single" w:color="000000" w:sz="8" w:space="0"/>
            </w:tcBorders>
            <w:tcW w:w="94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检验记录</w:t>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（1）检验原始记录必须如实填写，保证真实、准确、完整、清晰、可溯源，不得随意更改。</w:t>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（2）确有必要更改的，更改</w:t>
            </w:r>
            <w:r>
              <w:rPr>
                <w:rFonts w:hint="eastAsia" w:ascii="宋体" w:hAnsi="宋体" w:cs="宋体"/>
                <w:sz w:val="24"/>
                <w:szCs w:val="24"/>
                <w:lang w:bidi="ar"/>
              </w:rPr>
              <w:t xml:space="preserve">处应当</w:t>
            </w:r>
            <w:r>
              <w:rPr>
                <w:rFonts w:hint="eastAsia" w:ascii="宋体" w:hAnsi="宋体" w:cs="宋体"/>
                <w:sz w:val="24"/>
                <w:szCs w:val="24"/>
                <w:lang w:bidi="ar"/>
              </w:rPr>
              <w:t xml:space="preserve">经检验人员签字或盖章确认，采用电子化原始记录的，应当保留更改痕迹。</w:t>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6</w:t>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结果质量控制</w:t>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检验单位应当选取加标回收、人员比对、设备比对或实验室间比对等质</w:t>
            </w:r>
            <w:r>
              <w:rPr>
                <w:rFonts w:hint="eastAsia" w:ascii="宋体" w:hAnsi="宋体" w:cs="宋体"/>
                <w:sz w:val="24"/>
                <w:szCs w:val="24"/>
                <w:lang w:bidi="ar"/>
              </w:rPr>
              <w:t xml:space="preserve">控方式</w:t>
            </w:r>
            <w:r>
              <w:rPr>
                <w:rFonts w:hint="eastAsia" w:ascii="宋体" w:hAnsi="宋体" w:cs="宋体"/>
                <w:sz w:val="24"/>
                <w:szCs w:val="24"/>
                <w:lang w:bidi="ar"/>
              </w:rPr>
              <w:t xml:space="preserve">确保数据的准确性。</w:t>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7</w:t>
            </w:r>
            <w:r/>
          </w:p>
        </w:tc>
        <w:tc>
          <w:tcPr>
            <w:tcBorders>
              <w:top w:val="none" w:color="000000" w:sz="4" w:space="0"/>
              <w:left w:val="single" w:color="000000" w:sz="8" w:space="0"/>
              <w:bottom w:val="single" w:color="000000" w:sz="8" w:space="0"/>
              <w:right w:val="single" w:color="000000" w:sz="8" w:space="0"/>
            </w:tcBorders>
            <w:tcW w:w="944" w:type="pct"/>
            <w:vAlign w:val="center"/>
            <w:vMerge w:val="restart"/>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检验报告</w:t>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（1）检验单位应当按规定格式出具检验报告，检验报告应当内容真实完整、数据准确。</w:t>
            </w:r>
            <w:r/>
          </w:p>
        </w:tc>
      </w:tr>
      <w:tr>
        <w:trPr>
          <w:trHeight w:val="628"/>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none" w:color="000000" w:sz="4"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（2）检验单位应当按约定时间完成抽样检验工作，并出具检验检测报告。</w:t>
            </w:r>
            <w:r/>
          </w:p>
        </w:tc>
      </w:tr>
      <w:tr>
        <w:trPr>
          <w:trHeight w:val="935"/>
        </w:trPr>
        <w:tc>
          <w:tcPr>
            <w:tcBorders>
              <w:top w:val="none" w:color="000000" w:sz="4" w:space="0"/>
              <w:left w:val="single" w:color="000000" w:sz="8" w:space="0"/>
              <w:bottom w:val="single" w:color="000000" w:sz="8" w:space="0"/>
              <w:right w:val="single" w:color="000000" w:sz="8" w:space="0"/>
            </w:tcBorders>
            <w:tcW w:w="49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944" w:type="pct"/>
            <w:vAlign w:val="center"/>
            <w:vMerge w:val="continue"/>
            <w:textDirection w:val="lrTb"/>
            <w:noWrap w:val="false"/>
          </w:tcPr>
          <w:p>
            <w:pPr>
              <w:jc w:val="center"/>
              <w:spacing w:after="160" w:line="320" w:lineRule="exact"/>
              <w:widowControl w:val="off"/>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（3）检验单位出具的检验报告应当加盖机构公章或检验检测专用章，并有相关检验人员的签名或者盖章。检验单位和检验人员对出具的检验报告负责。</w:t>
            </w:r>
            <w:r/>
          </w:p>
        </w:tc>
      </w:tr>
      <w:tr>
        <w:trPr>
          <w:trHeight w:val="935"/>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8</w:t>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检验过程特殊情况</w:t>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检验过程中遇有样品失效或者其他情况致使检验无法进行的，检验单位必须如实记录有关情况，提供充分的证明材料，并将有关情况报告采购人。</w:t>
            </w:r>
            <w:r/>
          </w:p>
        </w:tc>
      </w:tr>
      <w:tr>
        <w:trPr>
          <w:trHeight w:val="1242"/>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9</w:t>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风险信息限时报送</w:t>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检验单位在检验过程中发现严重产品质量安全风险情形的，应当立即对样品信息、检验结果等进行核实，并向采购人书面或电话报告，确认对方收悉并记录备查。检验单位要按“急事急办”原则，尽快出具完整的检验报告。</w:t>
            </w:r>
            <w:r/>
          </w:p>
        </w:tc>
      </w:tr>
      <w:tr>
        <w:trPr>
          <w:trHeight w:val="1242"/>
        </w:trPr>
        <w:tc>
          <w:tcPr>
            <w:tcBorders>
              <w:top w:val="none" w:color="000000" w:sz="4" w:space="0"/>
              <w:left w:val="single" w:color="000000" w:sz="8" w:space="0"/>
              <w:bottom w:val="single" w:color="000000" w:sz="8" w:space="0"/>
              <w:right w:val="single" w:color="000000" w:sz="8" w:space="0"/>
            </w:tcBorders>
            <w:tcW w:w="49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10</w:t>
            </w:r>
            <w:r/>
          </w:p>
        </w:tc>
        <w:tc>
          <w:tcPr>
            <w:tcBorders>
              <w:top w:val="none" w:color="000000" w:sz="4" w:space="0"/>
              <w:left w:val="single" w:color="000000" w:sz="8" w:space="0"/>
              <w:bottom w:val="single" w:color="000000" w:sz="8" w:space="0"/>
              <w:right w:val="single" w:color="000000" w:sz="8" w:space="0"/>
            </w:tcBorders>
            <w:tcW w:w="944" w:type="pct"/>
            <w:vAlign w:val="center"/>
            <w:textDirection w:val="lrTb"/>
            <w:noWrap w:val="false"/>
          </w:tcPr>
          <w:p>
            <w:pPr>
              <w:jc w:val="center"/>
              <w:spacing w:after="160" w:line="320" w:lineRule="exact"/>
              <w:rPr>
                <w:rFonts w:hint="eastAsia" w:ascii="宋体" w:hAnsi="宋体" w:cs="宋体"/>
                <w:sz w:val="24"/>
                <w:szCs w:val="24"/>
              </w:rPr>
            </w:pPr>
            <w:r>
              <w:rPr>
                <w:rFonts w:hint="eastAsia" w:ascii="宋体" w:hAnsi="宋体" w:cs="宋体"/>
                <w:sz w:val="24"/>
                <w:szCs w:val="24"/>
                <w:lang w:bidi="ar"/>
              </w:rPr>
              <w:t xml:space="preserve">检验报告报送</w:t>
            </w:r>
            <w:r/>
          </w:p>
        </w:tc>
        <w:tc>
          <w:tcPr>
            <w:tcBorders>
              <w:top w:val="none" w:color="000000" w:sz="4" w:space="0"/>
              <w:left w:val="single" w:color="000000" w:sz="8" w:space="0"/>
              <w:bottom w:val="single" w:color="000000" w:sz="8" w:space="0"/>
              <w:right w:val="single" w:color="000000" w:sz="8" w:space="0"/>
            </w:tcBorders>
            <w:tcW w:w="3560" w:type="pct"/>
            <w:vAlign w:val="center"/>
            <w:textDirection w:val="lrTb"/>
            <w:noWrap w:val="false"/>
          </w:tcPr>
          <w:p>
            <w:pPr>
              <w:spacing w:after="160" w:line="320" w:lineRule="exact"/>
              <w:rPr>
                <w:rFonts w:hint="eastAsia" w:ascii="宋体" w:hAnsi="宋体" w:cs="宋体"/>
                <w:sz w:val="24"/>
                <w:szCs w:val="24"/>
              </w:rPr>
            </w:pPr>
            <w:r>
              <w:rPr>
                <w:rFonts w:hint="eastAsia" w:ascii="宋体" w:hAnsi="宋体" w:cs="宋体"/>
                <w:sz w:val="24"/>
                <w:szCs w:val="24"/>
                <w:lang w:bidi="ar"/>
              </w:rPr>
              <w:t xml:space="preserve">检验单位应当在检验结论</w:t>
            </w:r>
            <w:r>
              <w:rPr>
                <w:rFonts w:hint="eastAsia" w:ascii="宋体" w:hAnsi="宋体" w:cs="宋体"/>
                <w:sz w:val="24"/>
                <w:szCs w:val="24"/>
                <w:lang w:bidi="ar"/>
              </w:rPr>
              <w:t xml:space="preserve">作出</w:t>
            </w:r>
            <w:r>
              <w:rPr>
                <w:rFonts w:hint="eastAsia" w:ascii="宋体" w:hAnsi="宋体" w:cs="宋体"/>
                <w:sz w:val="24"/>
                <w:szCs w:val="24"/>
                <w:lang w:bidi="ar"/>
              </w:rPr>
              <w:t xml:space="preserve">后两个工作日内将检验报告及《产品质量监督抽查结果通知单》《产品质量监督抽查抽样单》《不合格产品质量分析建议书》等有关材料报送采购人。</w:t>
            </w:r>
            <w:r/>
          </w:p>
        </w:tc>
      </w:tr>
    </w:tbl>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4.2.3数据汇总、分析报告与复检环节</w:t>
      </w:r>
      <w:r/>
    </w:p>
    <w:p>
      <w:pPr>
        <w:jc w:val="center"/>
        <w:spacing w:after="160" w:line="560" w:lineRule="exact"/>
        <w:rPr>
          <w:rFonts w:hint="eastAsia" w:ascii="宋体" w:hAnsi="宋体" w:cs="宋体"/>
          <w:sz w:val="24"/>
          <w:szCs w:val="24"/>
        </w:rPr>
      </w:pPr>
      <w:r>
        <w:rPr>
          <w:rFonts w:hint="eastAsia" w:ascii="宋体" w:hAnsi="宋体" w:cs="宋体"/>
          <w:sz w:val="24"/>
          <w:szCs w:val="24"/>
        </w:rPr>
        <w:t xml:space="preserve">表3 数据处理上报、分析报告环节主要技术内容和标准</w:t>
      </w:r>
      <w:r/>
    </w:p>
    <w:tbl>
      <w:tblPr>
        <w:tblW w:w="4998" w:type="pct"/>
        <w:tblInd w:w="113" w:type="dxa"/>
        <w:tblLook w:val="0000" w:firstRow="0" w:lastRow="0" w:firstColumn="0" w:lastColumn="0" w:noHBand="0" w:noVBand="0"/>
      </w:tblPr>
      <w:tblGrid>
        <w:gridCol w:w="909"/>
        <w:gridCol w:w="1536"/>
        <w:gridCol w:w="5848"/>
      </w:tblGrid>
      <w:tr>
        <w:trPr>
          <w:trHeight w:val="307"/>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服务名称</w:t>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服务内容和标准</w:t>
            </w:r>
            <w:r/>
          </w:p>
        </w:tc>
      </w:tr>
      <w:tr>
        <w:trPr>
          <w:trHeight w:val="90"/>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检验检测报告</w:t>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spacing w:after="160" w:line="320" w:lineRule="exact"/>
              <w:rPr>
                <w:rFonts w:cs="Calibri"/>
                <w:sz w:val="24"/>
                <w:szCs w:val="24"/>
              </w:rPr>
            </w:pPr>
            <w:r>
              <w:rPr>
                <w:rFonts w:hint="eastAsia" w:cs="Calibri"/>
                <w:sz w:val="24"/>
                <w:szCs w:val="24"/>
              </w:rPr>
              <w:t xml:space="preserve">参照《江苏省省级产品质量监督抽查工作规范》中检验检测报告格式出具报告，检验检测报告应当内容真实齐全、数据准确、结论明确。</w:t>
            </w:r>
            <w:r/>
          </w:p>
        </w:tc>
      </w:tr>
      <w:tr>
        <w:trPr>
          <w:trHeight w:val="1440"/>
        </w:trPr>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不合格产品质量分析建议书</w:t>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spacing w:after="160" w:line="320" w:lineRule="exact"/>
              <w:rPr>
                <w:rFonts w:cs="Calibri"/>
                <w:sz w:val="24"/>
                <w:szCs w:val="24"/>
              </w:rPr>
            </w:pPr>
            <w:r>
              <w:rPr>
                <w:rFonts w:hint="eastAsia" w:cs="Calibri"/>
                <w:sz w:val="24"/>
                <w:szCs w:val="24"/>
              </w:rPr>
              <w:t xml:space="preserve">对检验结果为不合格的产品，应组织技术专家对发现的质量问题进行分析研究，结合该类产品设计、制造和质量管理要求，形成《不合格产品质量分析建议书》，提出具有针对性的问题分析和改进建议。</w:t>
            </w:r>
            <w:r/>
          </w:p>
        </w:tc>
      </w:tr>
      <w:tr>
        <w:trPr>
          <w:trHeight w:val="803"/>
        </w:trPr>
        <w:tc>
          <w:tcPr>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spacing w:after="160" w:line="320" w:lineRule="exact"/>
              <w:rPr>
                <w:rFonts w:cs="Calibri"/>
                <w:sz w:val="24"/>
                <w:szCs w:val="24"/>
              </w:rPr>
            </w:pPr>
            <w:r>
              <w:rPr>
                <w:rFonts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26" w:type="pct"/>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数据汇总</w:t>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hint="eastAsia" w:cs="Calibri"/>
                <w:sz w:val="24"/>
                <w:szCs w:val="24"/>
              </w:rPr>
              <w:t xml:space="preserve">1</w:t>
            </w:r>
            <w:r>
              <w:rPr>
                <w:rFonts w:hint="eastAsia" w:cs="Calibri"/>
                <w:sz w:val="24"/>
                <w:szCs w:val="24"/>
              </w:rPr>
              <w:t xml:space="preserve">）数据统计分析、结果信息报送人员数量、能力等要求与服务需求相匹配。</w:t>
            </w:r>
            <w:r/>
          </w:p>
        </w:tc>
      </w:tr>
      <w:tr>
        <w:trPr>
          <w:trHeight w:val="920"/>
        </w:trPr>
        <w:tc>
          <w:tcPr>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926" w:type="pct"/>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hint="eastAsia" w:cs="Calibri"/>
                <w:sz w:val="24"/>
                <w:szCs w:val="24"/>
              </w:rPr>
              <w:t xml:space="preserve">2</w:t>
            </w:r>
            <w:r>
              <w:rPr>
                <w:rFonts w:hint="eastAsia" w:cs="Calibri"/>
                <w:sz w:val="24"/>
                <w:szCs w:val="24"/>
              </w:rPr>
              <w:t xml:space="preserve">）根据采购人要求，按时完成抽检数据的统计汇总分析，并将检验数据与抽样、检验检测报告等信息对应一致报采购人，检验单位对数据质量负责。</w:t>
            </w:r>
            <w:r/>
          </w:p>
          <w:p>
            <w:pPr>
              <w:spacing w:after="160" w:line="320" w:lineRule="exact"/>
              <w:rPr>
                <w:rFonts w:cs="Calibri"/>
                <w:sz w:val="24"/>
                <w:szCs w:val="24"/>
              </w:rPr>
            </w:pPr>
            <w:r>
              <w:rPr>
                <w:rFonts w:hint="eastAsia" w:cs="Calibri"/>
                <w:sz w:val="24"/>
                <w:szCs w:val="24"/>
              </w:rPr>
              <w:t xml:space="preserve">（</w:t>
            </w:r>
            <w:r>
              <w:rPr>
                <w:rFonts w:hint="eastAsia" w:cs="Calibri"/>
                <w:sz w:val="24"/>
                <w:szCs w:val="24"/>
              </w:rPr>
              <w:t xml:space="preserve">3</w:t>
            </w:r>
            <w:r>
              <w:rPr>
                <w:rFonts w:hint="eastAsia" w:cs="Calibri"/>
                <w:sz w:val="24"/>
                <w:szCs w:val="24"/>
              </w:rPr>
              <w:t xml:space="preserve">）在委托书限定时间内完成任务并及时上传“江苏省产品质量安全监督管理系统”。</w:t>
            </w:r>
            <w:r/>
          </w:p>
        </w:tc>
      </w:tr>
      <w:tr>
        <w:trPr>
          <w:trHeight w:val="935"/>
        </w:trPr>
        <w:tc>
          <w:tcPr>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spacing w:after="160" w:line="320" w:lineRule="exact"/>
              <w:rPr>
                <w:rFonts w:cs="Calibri"/>
                <w:sz w:val="24"/>
                <w:szCs w:val="24"/>
              </w:rPr>
            </w:pPr>
            <w:r>
              <w:rPr>
                <w:rFonts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26" w:type="pct"/>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分析报告</w:t>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cs="Calibri"/>
                <w:sz w:val="24"/>
                <w:szCs w:val="24"/>
              </w:rPr>
              <w:t xml:space="preserve">1</w:t>
            </w:r>
            <w:r>
              <w:rPr>
                <w:rFonts w:hint="eastAsia" w:cs="Calibri"/>
                <w:sz w:val="24"/>
                <w:szCs w:val="24"/>
              </w:rPr>
              <w:t xml:space="preserve">）在检验工作完成后按采购人要求提供分析报告，包含但不限于任务抽检情况、结果分析、风险警示、工作建议等方面内容。</w:t>
            </w:r>
            <w:r/>
          </w:p>
        </w:tc>
      </w:tr>
      <w:tr>
        <w:trPr>
          <w:trHeight w:val="948"/>
        </w:trPr>
        <w:tc>
          <w:tcPr>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926" w:type="pct"/>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Borders>
              <w:top w:val="single" w:color="000000" w:sz="4" w:space="0"/>
              <w:left w:val="single" w:color="000000" w:sz="4" w:space="0"/>
              <w:bottom w:val="single" w:color="000000" w:sz="4" w:space="0"/>
              <w:right w:val="single" w:color="000000" w:sz="4" w:space="0"/>
            </w:tcBorders>
            <w:tcW w:w="3525" w:type="pct"/>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cs="Calibri"/>
                <w:sz w:val="24"/>
                <w:szCs w:val="24"/>
              </w:rPr>
              <w:t xml:space="preserve">2</w:t>
            </w:r>
            <w:r>
              <w:rPr>
                <w:rFonts w:hint="eastAsia" w:cs="Calibri"/>
                <w:sz w:val="24"/>
                <w:szCs w:val="24"/>
              </w:rPr>
              <w:t xml:space="preserve">）分析报告应当全面、详实、有针对性，风险提示清晰明确、建议切实可行。</w:t>
            </w:r>
            <w:r/>
          </w:p>
        </w:tc>
      </w:tr>
    </w:tbl>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4.2.4其他服务要求</w:t>
      </w:r>
      <w:r/>
    </w:p>
    <w:p>
      <w:pPr>
        <w:jc w:val="center"/>
        <w:spacing w:after="160" w:line="560" w:lineRule="exact"/>
        <w:rPr>
          <w:rFonts w:hint="eastAsia" w:ascii="宋体" w:hAnsi="宋体" w:cs="宋体"/>
          <w:sz w:val="24"/>
          <w:szCs w:val="24"/>
        </w:rPr>
      </w:pPr>
      <w:r>
        <w:rPr>
          <w:rFonts w:hint="eastAsia" w:ascii="宋体" w:hAnsi="宋体" w:cs="宋体"/>
          <w:sz w:val="24"/>
          <w:szCs w:val="24"/>
        </w:rPr>
        <w:t xml:space="preserve">表4 其他服务内容和标准</w:t>
      </w:r>
      <w:r/>
    </w:p>
    <w:tbl>
      <w:tblPr>
        <w:tblW w:w="9645"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9"/>
        <w:gridCol w:w="2150"/>
        <w:gridCol w:w="6676"/>
      </w:tblGrid>
      <w:tr>
        <w:trPr>
          <w:trHeight w:val="322"/>
        </w:trPr>
        <w:tc>
          <w:tcPr>
            <w:tcW w:w="819"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序号</w:t>
            </w:r>
            <w:r/>
          </w:p>
        </w:tc>
        <w:tc>
          <w:tcPr>
            <w:tcW w:w="2150"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服务名称</w:t>
            </w:r>
            <w:r/>
          </w:p>
        </w:tc>
        <w:tc>
          <w:tcPr>
            <w:tcW w:w="6676"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服务内容和标准</w:t>
            </w:r>
            <w:r/>
          </w:p>
        </w:tc>
      </w:tr>
      <w:tr>
        <w:trPr>
          <w:trHeight w:val="1020"/>
        </w:trPr>
        <w:tc>
          <w:tcPr>
            <w:tcW w:w="819" w:type="dxa"/>
            <w:vAlign w:val="center"/>
            <w:vMerge w:val="restart"/>
            <w:textDirection w:val="lrTb"/>
            <w:noWrap w:val="false"/>
          </w:tcPr>
          <w:p>
            <w:pPr>
              <w:jc w:val="center"/>
              <w:spacing w:after="160" w:line="320" w:lineRule="exact"/>
              <w:rPr>
                <w:rFonts w:cs="Calibri"/>
                <w:sz w:val="24"/>
                <w:szCs w:val="24"/>
              </w:rPr>
            </w:pPr>
            <w:r>
              <w:rPr>
                <w:rFonts w:cs="Calibri"/>
                <w:sz w:val="24"/>
                <w:szCs w:val="24"/>
              </w:rPr>
              <w:t xml:space="preserve">1</w:t>
            </w:r>
            <w:r/>
          </w:p>
        </w:tc>
        <w:tc>
          <w:tcPr>
            <w:tcW w:w="2150" w:type="dxa"/>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人员团队配置</w:t>
            </w:r>
            <w:r/>
          </w:p>
        </w:tc>
        <w:tc>
          <w:tcPr>
            <w:tcW w:w="6676" w:type="dxa"/>
            <w:vAlign w:val="center"/>
            <w:textDirection w:val="lrTb"/>
            <w:noWrap w:val="false"/>
          </w:tcPr>
          <w:p>
            <w:pPr>
              <w:spacing w:after="160" w:line="320" w:lineRule="exact"/>
              <w:rPr>
                <w:rFonts w:cs="Calibri"/>
                <w:sz w:val="24"/>
                <w:szCs w:val="24"/>
                <w:highlight w:val="yellow"/>
              </w:rPr>
            </w:pPr>
            <w:r>
              <w:rPr>
                <w:rFonts w:hint="eastAsia" w:cs="Calibri"/>
                <w:sz w:val="24"/>
                <w:szCs w:val="24"/>
              </w:rPr>
              <w:t xml:space="preserve">（</w:t>
            </w:r>
            <w:r>
              <w:rPr>
                <w:rFonts w:hint="eastAsia" w:cs="Calibri"/>
                <w:sz w:val="24"/>
                <w:szCs w:val="24"/>
              </w:rPr>
              <w:t xml:space="preserve">1</w:t>
            </w:r>
            <w:r>
              <w:rPr>
                <w:rFonts w:hint="eastAsia" w:cs="Calibri"/>
                <w:sz w:val="24"/>
                <w:szCs w:val="24"/>
              </w:rPr>
              <w:t xml:space="preserve">）项目负责人职称要求：供应商拟投入本项目的项目负责人应具有副高级以上专业技术职称。</w:t>
            </w:r>
            <w:r/>
          </w:p>
        </w:tc>
      </w:tr>
      <w:tr>
        <w:trPr>
          <w:trHeight w:val="1658"/>
        </w:trPr>
        <w:tc>
          <w:tcPr>
            <w:tcW w:w="819" w:type="dxa"/>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W w:w="2150" w:type="dxa"/>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W w:w="6676" w:type="dxa"/>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hint="eastAsia" w:cs="Calibri"/>
                <w:sz w:val="24"/>
                <w:szCs w:val="24"/>
              </w:rPr>
              <w:t xml:space="preserve">2</w:t>
            </w:r>
            <w:r>
              <w:rPr>
                <w:rFonts w:hint="eastAsia" w:cs="Calibri"/>
                <w:sz w:val="24"/>
                <w:szCs w:val="24"/>
              </w:rPr>
              <w:t xml:space="preserve">）配备人员数量要求：应配备与所投风险动态监测产品任务数量相匹配的抽样检测人员，相关的中级（含）以上职称检验人员或具有</w:t>
            </w:r>
            <w:r>
              <w:rPr>
                <w:rFonts w:hint="eastAsia" w:cs="Calibri"/>
                <w:sz w:val="24"/>
                <w:szCs w:val="24"/>
              </w:rPr>
              <w:t xml:space="preserve">8</w:t>
            </w:r>
            <w:r>
              <w:rPr>
                <w:rFonts w:hint="eastAsia" w:cs="Calibri"/>
                <w:sz w:val="24"/>
                <w:szCs w:val="24"/>
              </w:rPr>
              <w:t xml:space="preserve">年以上所投产品检验工作经历的人员数量不少于</w:t>
            </w:r>
            <w:r>
              <w:rPr>
                <w:rFonts w:hint="eastAsia" w:cs="Calibri"/>
                <w:sz w:val="24"/>
                <w:szCs w:val="24"/>
              </w:rPr>
              <w:t xml:space="preserve">4</w:t>
            </w:r>
            <w:r>
              <w:rPr>
                <w:rFonts w:hint="eastAsia" w:cs="Calibri"/>
                <w:sz w:val="24"/>
                <w:szCs w:val="24"/>
              </w:rPr>
              <w:t xml:space="preserve">人；抽样人员数量不少于</w:t>
            </w:r>
            <w:r>
              <w:rPr>
                <w:rFonts w:hint="eastAsia" w:cs="Calibri"/>
                <w:sz w:val="24"/>
                <w:szCs w:val="24"/>
              </w:rPr>
              <w:t xml:space="preserve">6</w:t>
            </w:r>
            <w:r>
              <w:rPr>
                <w:rFonts w:hint="eastAsia" w:cs="Calibri"/>
                <w:sz w:val="24"/>
                <w:szCs w:val="24"/>
              </w:rPr>
              <w:t xml:space="preserve">人。</w:t>
            </w:r>
            <w:r/>
          </w:p>
        </w:tc>
      </w:tr>
      <w:tr>
        <w:trPr>
          <w:trHeight w:val="628"/>
        </w:trPr>
        <w:tc>
          <w:tcPr>
            <w:tcW w:w="819" w:type="dxa"/>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2</w:t>
            </w:r>
            <w:r/>
          </w:p>
        </w:tc>
        <w:tc>
          <w:tcPr>
            <w:tcW w:w="2150" w:type="dxa"/>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管理制度</w:t>
            </w:r>
            <w:r/>
          </w:p>
        </w:tc>
        <w:tc>
          <w:tcPr>
            <w:tcW w:w="6676" w:type="dxa"/>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hint="eastAsia" w:cs="Calibri"/>
                <w:sz w:val="24"/>
                <w:szCs w:val="24"/>
              </w:rPr>
              <w:t xml:space="preserve">1</w:t>
            </w:r>
            <w:r>
              <w:rPr>
                <w:rFonts w:hint="eastAsia" w:cs="Calibri"/>
                <w:sz w:val="24"/>
                <w:szCs w:val="24"/>
              </w:rPr>
              <w:t xml:space="preserve">）管理制度具备抽样、检验工作管理制度、样品管理、处置工作管理制度、结果上报管理制度等全流程工作的具体要求。</w:t>
            </w:r>
            <w:r/>
          </w:p>
        </w:tc>
      </w:tr>
      <w:tr>
        <w:trPr>
          <w:trHeight w:val="628"/>
        </w:trPr>
        <w:tc>
          <w:tcPr>
            <w:tcW w:w="819" w:type="dxa"/>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W w:w="2150" w:type="dxa"/>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W w:w="6676" w:type="dxa"/>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hint="eastAsia" w:cs="Calibri"/>
                <w:sz w:val="24"/>
                <w:szCs w:val="24"/>
              </w:rPr>
              <w:t xml:space="preserve">2</w:t>
            </w:r>
            <w:r>
              <w:rPr>
                <w:rFonts w:hint="eastAsia" w:cs="Calibri"/>
                <w:sz w:val="24"/>
                <w:szCs w:val="24"/>
              </w:rPr>
              <w:t xml:space="preserve">）管理制度完善、内容齐全，制度措施科学合理</w:t>
            </w:r>
            <w:r>
              <w:rPr>
                <w:rFonts w:cs="Calibri"/>
                <w:sz w:val="24"/>
                <w:szCs w:val="24"/>
              </w:rPr>
              <w:t xml:space="preserve">，</w:t>
            </w:r>
            <w:r>
              <w:rPr>
                <w:rFonts w:hint="eastAsia" w:cs="Calibri"/>
                <w:sz w:val="24"/>
                <w:szCs w:val="24"/>
              </w:rPr>
              <w:t xml:space="preserve">有针对性，且能满足相关法律法规规章的规定及采购需求。</w:t>
            </w:r>
            <w:r/>
          </w:p>
        </w:tc>
      </w:tr>
      <w:tr>
        <w:trPr>
          <w:trHeight w:val="628"/>
        </w:trPr>
        <w:tc>
          <w:tcPr>
            <w:tcW w:w="819"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3</w:t>
            </w:r>
            <w:r/>
          </w:p>
        </w:tc>
        <w:tc>
          <w:tcPr>
            <w:tcW w:w="2150"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快速响应服务时效</w:t>
            </w:r>
            <w:r/>
          </w:p>
        </w:tc>
        <w:tc>
          <w:tcPr>
            <w:tcW w:w="6676" w:type="dxa"/>
            <w:vAlign w:val="center"/>
            <w:textDirection w:val="lrTb"/>
            <w:noWrap w:val="false"/>
          </w:tcPr>
          <w:p>
            <w:pPr>
              <w:spacing w:after="160" w:line="320" w:lineRule="exact"/>
              <w:rPr>
                <w:rFonts w:cs="Calibri"/>
                <w:sz w:val="24"/>
                <w:szCs w:val="24"/>
              </w:rPr>
            </w:pPr>
            <w:r>
              <w:rPr>
                <w:rFonts w:hint="eastAsia" w:cs="Calibri"/>
                <w:sz w:val="24"/>
                <w:szCs w:val="24"/>
              </w:rPr>
              <w:t xml:space="preserve">供应商具备在突发情况出现时</w:t>
            </w:r>
            <w:r>
              <w:rPr>
                <w:rFonts w:hint="eastAsia" w:cs="Calibri"/>
                <w:sz w:val="24"/>
                <w:szCs w:val="24"/>
              </w:rPr>
              <w:t xml:space="preserve">2</w:t>
            </w:r>
            <w:r>
              <w:rPr>
                <w:rFonts w:hint="eastAsia" w:cs="Calibri"/>
                <w:sz w:val="24"/>
                <w:szCs w:val="24"/>
              </w:rPr>
              <w:t xml:space="preserve">小时内予以响应的快速响应服务时效。</w:t>
            </w:r>
            <w:r/>
          </w:p>
        </w:tc>
      </w:tr>
      <w:tr>
        <w:trPr>
          <w:trHeight w:val="628"/>
        </w:trPr>
        <w:tc>
          <w:tcPr>
            <w:tcW w:w="819" w:type="dxa"/>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4</w:t>
            </w:r>
            <w:r/>
          </w:p>
        </w:tc>
        <w:tc>
          <w:tcPr>
            <w:tcW w:w="2150" w:type="dxa"/>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服务方案</w:t>
            </w:r>
            <w:r/>
          </w:p>
        </w:tc>
        <w:tc>
          <w:tcPr>
            <w:tcW w:w="6676" w:type="dxa"/>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hint="eastAsia" w:cs="Calibri"/>
                <w:sz w:val="24"/>
                <w:szCs w:val="24"/>
              </w:rPr>
              <w:t xml:space="preserve">1</w:t>
            </w:r>
            <w:r>
              <w:rPr>
                <w:rFonts w:hint="eastAsia" w:cs="Calibri"/>
                <w:sz w:val="24"/>
                <w:szCs w:val="24"/>
              </w:rPr>
              <w:t xml:space="preserve">）服务方案应当包括但不限于前期准备工作（包括工作部署、抽样工作的详细内容及组织安排、样品购买、样品接收及核查方案等）、后期准备工作（</w:t>
            </w:r>
            <w:r>
              <w:rPr>
                <w:rFonts w:cs="Calibri"/>
                <w:sz w:val="24"/>
                <w:szCs w:val="24"/>
              </w:rPr>
              <w:t xml:space="preserve">包括检验工作安排、检验结果报送、样品处置及保密工作</w:t>
            </w:r>
            <w:r>
              <w:rPr>
                <w:rFonts w:hint="eastAsia" w:cs="Calibri"/>
                <w:sz w:val="24"/>
                <w:szCs w:val="24"/>
              </w:rPr>
              <w:t xml:space="preserve">等）、重点难点问题分析及解决方案等各项内容。</w:t>
            </w:r>
            <w:r/>
          </w:p>
        </w:tc>
      </w:tr>
      <w:tr>
        <w:trPr>
          <w:trHeight w:val="322"/>
        </w:trPr>
        <w:tc>
          <w:tcPr>
            <w:tcW w:w="819" w:type="dxa"/>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W w:w="2150" w:type="dxa"/>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W w:w="6676" w:type="dxa"/>
            <w:vAlign w:val="center"/>
            <w:textDirection w:val="lrTb"/>
            <w:noWrap w:val="false"/>
          </w:tcPr>
          <w:p>
            <w:pPr>
              <w:spacing w:after="160" w:line="320" w:lineRule="exact"/>
              <w:rPr>
                <w:rFonts w:cs="Calibri"/>
                <w:sz w:val="24"/>
                <w:szCs w:val="24"/>
              </w:rPr>
            </w:pPr>
            <w:r>
              <w:rPr>
                <w:rFonts w:hint="eastAsia" w:cs="Calibri"/>
                <w:sz w:val="24"/>
                <w:szCs w:val="24"/>
              </w:rPr>
              <w:t xml:space="preserve">（</w:t>
            </w:r>
            <w:r>
              <w:rPr>
                <w:rFonts w:hint="eastAsia" w:cs="Calibri"/>
                <w:sz w:val="24"/>
                <w:szCs w:val="24"/>
              </w:rPr>
              <w:t xml:space="preserve">2</w:t>
            </w:r>
            <w:r>
              <w:rPr>
                <w:rFonts w:hint="eastAsia" w:cs="Calibri"/>
                <w:sz w:val="24"/>
                <w:szCs w:val="24"/>
              </w:rPr>
              <w:t xml:space="preserve">）服务方案内容、结构完整，科学有效，有针对性、可操作性强。</w:t>
            </w:r>
            <w:r/>
          </w:p>
        </w:tc>
      </w:tr>
      <w:tr>
        <w:trPr>
          <w:trHeight w:val="628"/>
        </w:trPr>
        <w:tc>
          <w:tcPr>
            <w:tcW w:w="819" w:type="dxa"/>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5</w:t>
            </w:r>
            <w:r/>
          </w:p>
        </w:tc>
        <w:tc>
          <w:tcPr>
            <w:tcW w:w="2150" w:type="dxa"/>
            <w:vAlign w:val="center"/>
            <w:vMerge w:val="restart"/>
            <w:textDirection w:val="lrTb"/>
            <w:noWrap w:val="false"/>
          </w:tcPr>
          <w:p>
            <w:pPr>
              <w:jc w:val="center"/>
              <w:spacing w:after="160" w:line="320" w:lineRule="exact"/>
              <w:rPr>
                <w:rFonts w:cs="Calibri"/>
                <w:sz w:val="24"/>
                <w:szCs w:val="24"/>
              </w:rPr>
            </w:pPr>
            <w:r>
              <w:rPr>
                <w:rFonts w:hint="eastAsia" w:cs="Calibri"/>
                <w:sz w:val="24"/>
                <w:szCs w:val="24"/>
              </w:rPr>
              <w:t xml:space="preserve">突发事件应急处置预案</w:t>
            </w:r>
            <w:r/>
          </w:p>
        </w:tc>
        <w:tc>
          <w:tcPr>
            <w:tcW w:w="6676" w:type="dxa"/>
            <w:vAlign w:val="center"/>
            <w:textDirection w:val="lrTb"/>
            <w:noWrap w:val="false"/>
          </w:tcPr>
          <w:p>
            <w:pPr>
              <w:spacing w:after="160" w:line="320" w:lineRule="exact"/>
              <w:rPr>
                <w:rFonts w:cs="Calibri"/>
                <w:sz w:val="24"/>
                <w:szCs w:val="24"/>
              </w:rPr>
            </w:pPr>
            <w:r>
              <w:rPr>
                <w:rFonts w:cs="Calibri"/>
                <w:sz w:val="24"/>
                <w:szCs w:val="24"/>
              </w:rPr>
              <w:t xml:space="preserve">（</w:t>
            </w:r>
            <w:r>
              <w:rPr>
                <w:rFonts w:cs="Calibri"/>
                <w:sz w:val="24"/>
                <w:szCs w:val="24"/>
              </w:rPr>
              <w:t xml:space="preserve">1</w:t>
            </w:r>
            <w:r>
              <w:rPr>
                <w:rFonts w:cs="Calibri"/>
                <w:sz w:val="24"/>
                <w:szCs w:val="24"/>
              </w:rPr>
              <w:t xml:space="preserve">）</w:t>
            </w:r>
            <w:r>
              <w:rPr>
                <w:rFonts w:hint="eastAsia" w:cs="Calibri"/>
                <w:sz w:val="24"/>
                <w:szCs w:val="24"/>
              </w:rPr>
              <w:t xml:space="preserve">应具有专门应对突发事件且符合项目需求的专业人员、专业设备和应急处置预案。</w:t>
            </w:r>
            <w:r/>
          </w:p>
        </w:tc>
      </w:tr>
      <w:tr>
        <w:trPr>
          <w:trHeight w:val="322"/>
        </w:trPr>
        <w:tc>
          <w:tcPr>
            <w:tcW w:w="819" w:type="dxa"/>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W w:w="2150" w:type="dxa"/>
            <w:vAlign w:val="center"/>
            <w:vMerge w:val="continue"/>
            <w:textDirection w:val="lrTb"/>
            <w:noWrap w:val="false"/>
          </w:tcPr>
          <w:p>
            <w:pPr>
              <w:jc w:val="center"/>
              <w:spacing w:after="160" w:line="320" w:lineRule="exact"/>
              <w:rPr>
                <w:rFonts w:cs="Calibri"/>
                <w:sz w:val="24"/>
                <w:szCs w:val="24"/>
              </w:rPr>
            </w:pPr>
            <w:r>
              <w:rPr>
                <w:rFonts w:cs="Calibri"/>
                <w:sz w:val="24"/>
                <w:szCs w:val="24"/>
              </w:rPr>
            </w:r>
            <w:r/>
          </w:p>
        </w:tc>
        <w:tc>
          <w:tcPr>
            <w:tcW w:w="6676" w:type="dxa"/>
            <w:vAlign w:val="center"/>
            <w:textDirection w:val="lrTb"/>
            <w:noWrap w:val="false"/>
          </w:tcPr>
          <w:p>
            <w:pPr>
              <w:spacing w:after="160" w:line="320" w:lineRule="exact"/>
              <w:rPr>
                <w:rFonts w:cs="Calibri"/>
                <w:sz w:val="24"/>
                <w:szCs w:val="24"/>
              </w:rPr>
            </w:pPr>
            <w:r>
              <w:rPr>
                <w:rFonts w:cs="Calibri"/>
                <w:sz w:val="24"/>
                <w:szCs w:val="24"/>
              </w:rPr>
              <w:t xml:space="preserve">（</w:t>
            </w:r>
            <w:r>
              <w:rPr>
                <w:rFonts w:cs="Calibri"/>
                <w:sz w:val="24"/>
                <w:szCs w:val="24"/>
              </w:rPr>
              <w:t xml:space="preserve">2</w:t>
            </w:r>
            <w:r>
              <w:rPr>
                <w:rFonts w:cs="Calibri"/>
                <w:sz w:val="24"/>
                <w:szCs w:val="24"/>
              </w:rPr>
              <w:t xml:space="preserve">）</w:t>
            </w:r>
            <w:r>
              <w:rPr>
                <w:rFonts w:hint="eastAsia" w:cs="Calibri"/>
                <w:sz w:val="24"/>
                <w:szCs w:val="24"/>
              </w:rPr>
              <w:t xml:space="preserve">预案内容全面，处置应对措施科学有效，可操作性强。</w:t>
            </w:r>
            <w:r/>
          </w:p>
        </w:tc>
      </w:tr>
      <w:tr>
        <w:trPr>
          <w:trHeight w:val="2410"/>
        </w:trPr>
        <w:tc>
          <w:tcPr>
            <w:tcW w:w="819"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6</w:t>
            </w:r>
            <w:r/>
          </w:p>
        </w:tc>
        <w:tc>
          <w:tcPr>
            <w:tcW w:w="2150"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工作业绩</w:t>
            </w:r>
            <w:r/>
          </w:p>
        </w:tc>
        <w:tc>
          <w:tcPr>
            <w:tcW w:w="6676" w:type="dxa"/>
            <w:vAlign w:val="center"/>
            <w:textDirection w:val="lrTb"/>
            <w:noWrap w:val="false"/>
          </w:tcPr>
          <w:p>
            <w:pPr>
              <w:spacing w:after="0" w:line="320" w:lineRule="exact"/>
              <w:rPr>
                <w:rFonts w:cs="Calibri"/>
                <w:sz w:val="24"/>
                <w:szCs w:val="24"/>
              </w:rPr>
            </w:pPr>
            <w:r>
              <w:rPr>
                <w:rFonts w:hint="eastAsia" w:cs="Calibri"/>
                <w:sz w:val="24"/>
                <w:szCs w:val="24"/>
              </w:rPr>
              <w:t xml:space="preserve">（</w:t>
            </w:r>
            <w:r>
              <w:rPr>
                <w:rFonts w:hint="eastAsia" w:cs="Calibri"/>
                <w:sz w:val="24"/>
                <w:szCs w:val="24"/>
              </w:rPr>
              <w:t xml:space="preserve">1</w:t>
            </w:r>
            <w:r>
              <w:rPr>
                <w:rFonts w:hint="eastAsia" w:cs="Calibri"/>
                <w:sz w:val="24"/>
                <w:szCs w:val="24"/>
              </w:rPr>
              <w:t xml:space="preserve">）承担相关产品质量安全抽样检验工作任务及类似项目情况，包括常规监督抽查任务、应急及专项任务。</w:t>
            </w:r>
            <w:r/>
          </w:p>
          <w:p>
            <w:pPr>
              <w:spacing w:after="0" w:line="320" w:lineRule="exact"/>
              <w:rPr>
                <w:rFonts w:cs="Calibri"/>
                <w:sz w:val="24"/>
                <w:szCs w:val="24"/>
              </w:rPr>
            </w:pPr>
            <w:r>
              <w:rPr>
                <w:rFonts w:hint="eastAsia" w:cs="Calibri"/>
                <w:sz w:val="24"/>
                <w:szCs w:val="24"/>
              </w:rPr>
              <w:t xml:space="preserve">（</w:t>
            </w:r>
            <w:r>
              <w:rPr>
                <w:rFonts w:hint="eastAsia" w:cs="Calibri"/>
                <w:sz w:val="24"/>
                <w:szCs w:val="24"/>
              </w:rPr>
              <w:t xml:space="preserve">2</w:t>
            </w:r>
            <w:r>
              <w:rPr>
                <w:rFonts w:hint="eastAsia" w:cs="Calibri"/>
                <w:sz w:val="24"/>
                <w:szCs w:val="24"/>
              </w:rPr>
              <w:t xml:space="preserve">）工作业绩应能证明供应商的服务能力。</w:t>
            </w:r>
            <w:r/>
          </w:p>
          <w:p>
            <w:pPr>
              <w:spacing w:after="0" w:line="320" w:lineRule="exact"/>
              <w:rPr>
                <w:rFonts w:cs="Calibri"/>
                <w:sz w:val="24"/>
                <w:szCs w:val="24"/>
              </w:rPr>
            </w:pPr>
            <w:r>
              <w:rPr>
                <w:rFonts w:hint="eastAsia" w:cs="Calibri"/>
                <w:sz w:val="24"/>
                <w:szCs w:val="24"/>
              </w:rPr>
              <w:t xml:space="preserve">（</w:t>
            </w:r>
            <w:r>
              <w:rPr>
                <w:rFonts w:hint="eastAsia" w:cs="Calibri"/>
                <w:sz w:val="24"/>
                <w:szCs w:val="24"/>
              </w:rPr>
              <w:t xml:space="preserve">3</w:t>
            </w:r>
            <w:r>
              <w:rPr>
                <w:rFonts w:hint="eastAsia" w:cs="Calibri"/>
                <w:sz w:val="24"/>
                <w:szCs w:val="24"/>
              </w:rPr>
              <w:t xml:space="preserve">）从</w:t>
            </w:r>
            <w:r>
              <w:rPr>
                <w:rFonts w:hint="eastAsia" w:cs="Calibri"/>
                <w:sz w:val="24"/>
                <w:szCs w:val="24"/>
              </w:rPr>
              <w:t xml:space="preserve">2023</w:t>
            </w:r>
            <w:r>
              <w:rPr>
                <w:rFonts w:hint="eastAsia" w:cs="Calibri"/>
                <w:sz w:val="24"/>
                <w:szCs w:val="24"/>
              </w:rPr>
              <w:t xml:space="preserve">年</w:t>
            </w:r>
            <w:r>
              <w:rPr>
                <w:rFonts w:hint="eastAsia" w:cs="Calibri"/>
                <w:sz w:val="24"/>
                <w:szCs w:val="24"/>
              </w:rPr>
              <w:t xml:space="preserve">1</w:t>
            </w:r>
            <w:r>
              <w:rPr>
                <w:rFonts w:hint="eastAsia" w:cs="Calibri"/>
                <w:sz w:val="24"/>
                <w:szCs w:val="24"/>
              </w:rPr>
              <w:t xml:space="preserve">月</w:t>
            </w:r>
            <w:r>
              <w:rPr>
                <w:rFonts w:hint="eastAsia" w:cs="Calibri"/>
                <w:sz w:val="24"/>
                <w:szCs w:val="24"/>
              </w:rPr>
              <w:t xml:space="preserve">1</w:t>
            </w:r>
            <w:r>
              <w:rPr>
                <w:rFonts w:hint="eastAsia" w:cs="Calibri"/>
                <w:sz w:val="24"/>
                <w:szCs w:val="24"/>
              </w:rPr>
              <w:t xml:space="preserve">日起（以合同或合作协议签订时间为准）至投标截止之日止，投标人承担过与本项目类似案例产品质量监督抽查业绩。</w:t>
            </w:r>
            <w:r/>
          </w:p>
        </w:tc>
      </w:tr>
      <w:tr>
        <w:trPr>
          <w:trHeight w:val="322"/>
        </w:trPr>
        <w:tc>
          <w:tcPr>
            <w:tcW w:w="819"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7</w:t>
            </w:r>
            <w:r/>
          </w:p>
        </w:tc>
        <w:tc>
          <w:tcPr>
            <w:tcW w:w="2150"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工作质量状况</w:t>
            </w:r>
            <w:r/>
          </w:p>
        </w:tc>
        <w:tc>
          <w:tcPr>
            <w:tcW w:w="6676" w:type="dxa"/>
            <w:vAlign w:val="center"/>
            <w:textDirection w:val="lrTb"/>
            <w:noWrap w:val="false"/>
          </w:tcPr>
          <w:p>
            <w:pPr>
              <w:spacing w:after="160" w:line="320" w:lineRule="exact"/>
              <w:rPr>
                <w:rFonts w:cs="Calibri"/>
                <w:sz w:val="24"/>
                <w:szCs w:val="24"/>
              </w:rPr>
            </w:pPr>
            <w:r>
              <w:rPr>
                <w:rFonts w:hint="eastAsia" w:cs="Calibri"/>
                <w:sz w:val="24"/>
                <w:szCs w:val="24"/>
              </w:rPr>
              <w:t xml:space="preserve">在承担产品质量安全抽检任务中，未有因工作质量问题被通报的情况。</w:t>
            </w:r>
            <w:r/>
          </w:p>
        </w:tc>
      </w:tr>
      <w:tr>
        <w:trPr>
          <w:trHeight w:val="322"/>
        </w:trPr>
        <w:tc>
          <w:tcPr>
            <w:tcW w:w="819"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8</w:t>
            </w:r>
            <w:r/>
          </w:p>
        </w:tc>
        <w:tc>
          <w:tcPr>
            <w:tcW w:w="2150" w:type="dxa"/>
            <w:vAlign w:val="center"/>
            <w:textDirection w:val="lrTb"/>
            <w:noWrap w:val="false"/>
          </w:tcPr>
          <w:p>
            <w:pPr>
              <w:jc w:val="center"/>
              <w:spacing w:after="0" w:line="320" w:lineRule="exact"/>
              <w:rPr>
                <w:sz w:val="24"/>
                <w:szCs w:val="24"/>
              </w:rPr>
            </w:pPr>
            <w:r>
              <w:rPr>
                <w:sz w:val="24"/>
                <w:szCs w:val="24"/>
              </w:rPr>
              <w:t xml:space="preserve">产业行业</w:t>
            </w:r>
            <w:r/>
          </w:p>
          <w:p>
            <w:pPr>
              <w:jc w:val="center"/>
              <w:spacing w:after="160" w:line="320" w:lineRule="exact"/>
              <w:rPr>
                <w:rFonts w:cs="Calibri"/>
                <w:sz w:val="24"/>
                <w:szCs w:val="24"/>
              </w:rPr>
            </w:pPr>
            <w:r>
              <w:rPr>
                <w:sz w:val="24"/>
                <w:szCs w:val="24"/>
              </w:rPr>
              <w:t xml:space="preserve">了解情况</w:t>
            </w:r>
            <w:r/>
          </w:p>
        </w:tc>
        <w:tc>
          <w:tcPr>
            <w:tcW w:w="6676" w:type="dxa"/>
            <w:vAlign w:val="center"/>
            <w:textDirection w:val="lrTb"/>
            <w:noWrap w:val="false"/>
          </w:tcPr>
          <w:p>
            <w:pPr>
              <w:spacing w:after="160" w:line="320" w:lineRule="exact"/>
              <w:rPr>
                <w:rFonts w:cs="Calibri"/>
                <w:sz w:val="24"/>
                <w:szCs w:val="24"/>
              </w:rPr>
            </w:pPr>
            <w:r>
              <w:rPr>
                <w:sz w:val="24"/>
                <w:szCs w:val="24"/>
                <w:lang w:val="zh-CN"/>
              </w:rPr>
              <w:t xml:space="preserve">内容需包含产业分布状况、监测产品产业当前状态、专业市场现状、产品的质量现状、存在的风险点、应用前景和发展趋势</w:t>
            </w:r>
            <w:r>
              <w:rPr>
                <w:sz w:val="24"/>
                <w:szCs w:val="24"/>
              </w:rPr>
              <w:t xml:space="preserve">等</w:t>
            </w:r>
            <w:r>
              <w:rPr>
                <w:rFonts w:hint="eastAsia"/>
                <w:sz w:val="24"/>
                <w:szCs w:val="24"/>
              </w:rPr>
              <w:t xml:space="preserve">。</w:t>
            </w:r>
            <w:r/>
          </w:p>
        </w:tc>
      </w:tr>
      <w:tr>
        <w:trPr>
          <w:trHeight w:val="322"/>
        </w:trPr>
        <w:tc>
          <w:tcPr>
            <w:tcW w:w="819" w:type="dxa"/>
            <w:vAlign w:val="center"/>
            <w:textDirection w:val="lrTb"/>
            <w:noWrap w:val="false"/>
          </w:tcPr>
          <w:p>
            <w:pPr>
              <w:jc w:val="center"/>
              <w:spacing w:after="160" w:line="320" w:lineRule="exact"/>
              <w:rPr>
                <w:rFonts w:cs="Calibri"/>
                <w:sz w:val="24"/>
                <w:szCs w:val="24"/>
              </w:rPr>
            </w:pPr>
            <w:r>
              <w:rPr>
                <w:rFonts w:hint="eastAsia" w:cs="Calibri"/>
                <w:sz w:val="24"/>
                <w:szCs w:val="24"/>
              </w:rPr>
              <w:t xml:space="preserve">9</w:t>
            </w:r>
            <w:r/>
          </w:p>
        </w:tc>
        <w:tc>
          <w:tcPr>
            <w:tcW w:w="2150" w:type="dxa"/>
            <w:vAlign w:val="center"/>
            <w:textDirection w:val="lrTb"/>
            <w:noWrap w:val="false"/>
          </w:tcPr>
          <w:p>
            <w:pPr>
              <w:jc w:val="center"/>
              <w:spacing w:after="0" w:line="320" w:lineRule="exact"/>
              <w:rPr>
                <w:sz w:val="24"/>
                <w:szCs w:val="24"/>
              </w:rPr>
            </w:pPr>
            <w:r>
              <w:rPr>
                <w:rFonts w:hint="eastAsia"/>
                <w:sz w:val="24"/>
                <w:szCs w:val="24"/>
              </w:rPr>
              <w:t xml:space="preserve">仪器设备配备</w:t>
            </w:r>
            <w:r/>
          </w:p>
        </w:tc>
        <w:tc>
          <w:tcPr>
            <w:tcW w:w="6676" w:type="dxa"/>
            <w:vAlign w:val="center"/>
            <w:textDirection w:val="lrTb"/>
            <w:noWrap w:val="false"/>
          </w:tcPr>
          <w:p>
            <w:pPr>
              <w:spacing w:after="160" w:line="320" w:lineRule="exact"/>
              <w:rPr>
                <w:sz w:val="24"/>
                <w:szCs w:val="24"/>
                <w:lang w:val="zh-CN"/>
              </w:rPr>
            </w:pPr>
            <w:r>
              <w:rPr>
                <w:rFonts w:hint="eastAsia"/>
                <w:sz w:val="24"/>
                <w:szCs w:val="24"/>
              </w:rPr>
              <w:t xml:space="preserve">供应商应承诺在服务期间投入的所有仪器设备在计量（校准）有效期内，覆盖所投采购</w:t>
            </w:r>
            <w:r>
              <w:rPr>
                <w:rFonts w:hint="eastAsia"/>
                <w:sz w:val="24"/>
                <w:szCs w:val="24"/>
              </w:rPr>
              <w:t xml:space="preserve">包风险</w:t>
            </w:r>
            <w:r>
              <w:rPr>
                <w:rFonts w:hint="eastAsia"/>
                <w:sz w:val="24"/>
                <w:szCs w:val="24"/>
              </w:rPr>
              <w:t xml:space="preserve">动态监测产品全部检验</w:t>
            </w:r>
            <w:r>
              <w:rPr>
                <w:rFonts w:hint="eastAsia"/>
                <w:sz w:val="24"/>
                <w:szCs w:val="24"/>
              </w:rPr>
              <w:t xml:space="preserve">项目，精度适宜、数量充足，能够满足所投采购包产</w:t>
            </w:r>
            <w:r>
              <w:rPr>
                <w:rFonts w:hint="eastAsia"/>
                <w:sz w:val="24"/>
                <w:szCs w:val="24"/>
              </w:rPr>
              <w:t xml:space="preserve">品所有</w:t>
            </w:r>
            <w:r>
              <w:rPr>
                <w:rFonts w:hint="eastAsia"/>
                <w:sz w:val="24"/>
                <w:szCs w:val="24"/>
              </w:rPr>
              <w:t xml:space="preserve">检验项目的检测需要。</w:t>
            </w:r>
            <w:r/>
          </w:p>
        </w:tc>
      </w:tr>
    </w:tbl>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4.2.5管理考核</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在服务周期内，供应商应确保其能力水平持续满足法律法规、标准、规范性文件和采购人的要求，并接受采购人组织的数据质量考核、日常考核和技术考核等。</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4.2.5.1 数据质量考核</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采购人对供应商报送的抽样检验数据的准确性、规范性、及时性等进行抽查。</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4.2.5.2 日常考核</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采购人对供应商在任务执行过程中开展的管理考核，包括任务完成时效、均衡推进、问题发现率、抽样方案和分析报告质量、重大问题及时报告、应急服务响应等相关情况。</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4.2.5.3 技术考核</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采购人对供应商在任务执行过程中开展的专项考核，包括飞行检查、报告抽查等。</w:t>
      </w:r>
      <w:r/>
    </w:p>
    <w:p>
      <w:pPr>
        <w:ind w:firstLine="482"/>
        <w:jc w:val="both"/>
        <w:spacing w:before="312" w:after="160" w:line="360" w:lineRule="auto"/>
        <w:widowControl w:val="off"/>
        <w:rPr>
          <w:rFonts w:hint="eastAsia" w:ascii="宋体" w:hAnsi="宋体" w:cs="宋体"/>
          <w:b/>
          <w:sz w:val="24"/>
          <w:szCs w:val="24"/>
        </w:rPr>
        <w:outlineLvl w:val="0"/>
      </w:pPr>
      <w:r>
        <w:rPr>
          <w:rFonts w:hint="eastAsia" w:ascii="宋体" w:hAnsi="宋体" w:cs="宋体"/>
          <w:b/>
          <w:sz w:val="24"/>
          <w:szCs w:val="24"/>
        </w:rPr>
        <w:t xml:space="preserve">5.商务要求</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5.1 服务期限：</w:t>
      </w:r>
      <w:bookmarkStart w:id="104" w:name="_Hlk227075967"/>
      <w:r>
        <w:rPr>
          <w:rFonts w:hint="eastAsia" w:ascii="宋体" w:hAnsi="宋体" w:cs="宋体"/>
          <w:sz w:val="24"/>
          <w:szCs w:val="24"/>
        </w:rPr>
        <w:t xml:space="preserve">自合同签订之日起至202</w:t>
      </w:r>
      <w:r>
        <w:rPr>
          <w:rFonts w:ascii="宋体" w:hAnsi="宋体" w:cs="宋体"/>
          <w:sz w:val="24"/>
          <w:szCs w:val="24"/>
        </w:rPr>
        <w:t xml:space="preserve">6</w:t>
      </w:r>
      <w:r>
        <w:rPr>
          <w:rFonts w:hint="eastAsia" w:ascii="宋体" w:hAnsi="宋体" w:cs="宋体"/>
          <w:sz w:val="24"/>
          <w:szCs w:val="24"/>
        </w:rPr>
        <w:t xml:space="preserve">年11月30日完成。</w:t>
      </w:r>
      <w:bookmarkEnd w:id="104"/>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5.2 服务范围：</w:t>
      </w:r>
      <w:r>
        <w:rPr>
          <w:rFonts w:hint="eastAsia"/>
          <w:sz w:val="24"/>
          <w:szCs w:val="24"/>
        </w:rPr>
        <w:t xml:space="preserve">江苏省</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5.3 付款进度和方式</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5.3.1付款进度和方式：合同签订后30个工作日内，甲方向乙方预付服务费用的50%；甲方确认乙方按合同约定完成任务，验收合格后30个工作日内，</w:t>
      </w:r>
      <w:r>
        <w:rPr>
          <w:rFonts w:hint="eastAsia" w:ascii="宋体" w:hAnsi="宋体" w:cs="宋体"/>
          <w:sz w:val="24"/>
          <w:szCs w:val="24"/>
        </w:rPr>
        <w:t xml:space="preserve">向乙方支付剩余服务费用。</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5.3.2 </w:t>
      </w:r>
      <w:r>
        <w:rPr>
          <w:rFonts w:hint="eastAsia" w:ascii="宋体" w:hAnsi="宋体" w:cs="宋体"/>
          <w:sz w:val="24"/>
          <w:szCs w:val="24"/>
        </w:rPr>
        <w:t xml:space="preserve">本服务</w:t>
      </w:r>
      <w:r>
        <w:rPr>
          <w:rFonts w:hint="eastAsia" w:ascii="宋体" w:hAnsi="宋体" w:cs="宋体"/>
          <w:sz w:val="24"/>
          <w:szCs w:val="24"/>
        </w:rPr>
        <w:t xml:space="preserve">经费</w:t>
      </w:r>
      <w:r>
        <w:rPr>
          <w:rFonts w:hint="eastAsia" w:ascii="宋体" w:hAnsi="宋体" w:cs="宋体"/>
          <w:sz w:val="24"/>
          <w:szCs w:val="24"/>
        </w:rPr>
        <w:t xml:space="preserve">包括购样费</w:t>
      </w:r>
      <w:r>
        <w:rPr>
          <w:rFonts w:hint="eastAsia" w:ascii="宋体" w:hAnsi="宋体" w:cs="宋体"/>
          <w:sz w:val="24"/>
          <w:szCs w:val="24"/>
        </w:rPr>
        <w:t xml:space="preserve">、人员费用(交通费、住宿费、劳务费)、检测费、报告文本费（检测报告、质量分析报告等的编制打印）、相关文书的邮寄费、样品处置费、税金等各项全部费用。除双方另有约定，乙方不得再以其他任何理由向甲方主张其他费用。</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5.4 履约验收</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5.4.1验收程序</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原则上按照通知验收、机构自查、验收评审、整改复查的流程组织开展验收工作。</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5.4.2验收内容</w:t>
      </w:r>
      <w:r/>
    </w:p>
    <w:p>
      <w:pPr>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验收内容包括：计划执行情况、任务完成质量、分析报告质量、机构综合考核情况以及合同规定的其他履约情况等。履约验收的内容和标准如下：</w:t>
      </w:r>
      <w:r/>
    </w:p>
    <w:p>
      <w:pPr>
        <w:jc w:val="center"/>
        <w:spacing w:after="160" w:line="560" w:lineRule="exact"/>
        <w:rPr>
          <w:rFonts w:hint="eastAsia" w:ascii="宋体" w:hAnsi="宋体" w:cs="宋体"/>
          <w:sz w:val="24"/>
          <w:szCs w:val="24"/>
        </w:rPr>
      </w:pPr>
      <w:r>
        <w:rPr>
          <w:rFonts w:hint="eastAsia" w:ascii="宋体" w:hAnsi="宋体" w:cs="宋体"/>
          <w:sz w:val="24"/>
          <w:szCs w:val="24"/>
        </w:rPr>
        <w:t xml:space="preserve">表5 履约验收项目表</w:t>
      </w:r>
      <w:r/>
    </w:p>
    <w:tbl>
      <w:tblPr>
        <w:tblW w:w="8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32"/>
        <w:gridCol w:w="2300"/>
        <w:gridCol w:w="4510"/>
        <w:gridCol w:w="1185"/>
      </w:tblGrid>
      <w:tr>
        <w:trPr>
          <w:jc w:val="center"/>
          <w:trHeight w:val="513"/>
        </w:trPr>
        <w:tc>
          <w:tcPr>
            <w:tcW w:w="932" w:type="dxa"/>
            <w:vAlign w:val="center"/>
            <w:textDirection w:val="lrTb"/>
            <w:noWrap w:val="false"/>
          </w:tcPr>
          <w:p>
            <w:pPr>
              <w:jc w:val="center"/>
              <w:spacing w:after="160" w:line="320" w:lineRule="exact"/>
              <w:widowControl w:val="off"/>
              <w:rPr>
                <w:rFonts w:hint="eastAsia" w:ascii="宋体" w:hAnsi="宋体" w:cs="Calibri"/>
                <w:sz w:val="24"/>
                <w:szCs w:val="24"/>
              </w:rPr>
            </w:pPr>
            <w:r>
              <w:rPr>
                <w:rFonts w:hint="eastAsia" w:ascii="宋体" w:hAnsi="宋体" w:cs="Calibri"/>
                <w:sz w:val="24"/>
                <w:szCs w:val="24"/>
              </w:rPr>
              <w:t xml:space="preserve">序号</w:t>
            </w:r>
            <w:r/>
          </w:p>
        </w:tc>
        <w:tc>
          <w:tcPr>
            <w:tcW w:w="2300" w:type="dxa"/>
            <w:vAlign w:val="center"/>
            <w:textDirection w:val="lrTb"/>
            <w:noWrap w:val="false"/>
          </w:tcPr>
          <w:p>
            <w:pPr>
              <w:jc w:val="center"/>
              <w:spacing w:after="160" w:line="320" w:lineRule="exact"/>
              <w:widowControl w:val="off"/>
              <w:rPr>
                <w:rFonts w:hint="eastAsia" w:ascii="宋体" w:hAnsi="宋体" w:cs="Calibri"/>
                <w:sz w:val="24"/>
                <w:szCs w:val="24"/>
              </w:rPr>
            </w:pPr>
            <w:r>
              <w:rPr>
                <w:rFonts w:hint="eastAsia" w:ascii="宋体" w:hAnsi="宋体" w:cs="Calibri"/>
                <w:sz w:val="24"/>
                <w:szCs w:val="24"/>
              </w:rPr>
              <w:t xml:space="preserve">验收内容</w:t>
            </w:r>
            <w:r/>
          </w:p>
        </w:tc>
        <w:tc>
          <w:tcPr>
            <w:tcW w:w="4510" w:type="dxa"/>
            <w:vAlign w:val="center"/>
            <w:textDirection w:val="lrTb"/>
            <w:noWrap w:val="false"/>
          </w:tcPr>
          <w:p>
            <w:pPr>
              <w:jc w:val="center"/>
              <w:spacing w:after="160" w:line="320" w:lineRule="exact"/>
              <w:widowControl w:val="off"/>
              <w:rPr>
                <w:rFonts w:hint="eastAsia" w:ascii="宋体" w:hAnsi="宋体" w:cs="Calibri"/>
                <w:sz w:val="24"/>
                <w:szCs w:val="24"/>
              </w:rPr>
            </w:pPr>
            <w:r>
              <w:rPr>
                <w:rFonts w:hint="eastAsia" w:ascii="宋体" w:hAnsi="宋体" w:cs="Calibri"/>
                <w:sz w:val="24"/>
                <w:szCs w:val="24"/>
              </w:rPr>
              <w:t xml:space="preserve">验收标准</w:t>
            </w:r>
            <w:r/>
          </w:p>
        </w:tc>
        <w:tc>
          <w:tcPr>
            <w:tcW w:w="1185" w:type="dxa"/>
            <w:vAlign w:val="center"/>
            <w:textDirection w:val="lrTb"/>
            <w:noWrap w:val="false"/>
          </w:tcPr>
          <w:p>
            <w:pPr>
              <w:jc w:val="center"/>
              <w:spacing w:after="160" w:line="320" w:lineRule="exact"/>
              <w:widowControl w:val="off"/>
              <w:rPr>
                <w:rFonts w:hint="eastAsia" w:ascii="宋体" w:hAnsi="宋体" w:cs="Calibri"/>
                <w:sz w:val="24"/>
                <w:szCs w:val="24"/>
              </w:rPr>
            </w:pPr>
            <w:r>
              <w:rPr>
                <w:rFonts w:hint="eastAsia" w:ascii="宋体" w:hAnsi="宋体" w:cs="Calibri"/>
                <w:sz w:val="24"/>
                <w:szCs w:val="24"/>
              </w:rPr>
              <w:t xml:space="preserve">证明材料</w:t>
            </w:r>
            <w:r/>
          </w:p>
        </w:tc>
      </w:tr>
      <w:tr>
        <w:trPr>
          <w:jc w:val="center"/>
          <w:trHeight w:val="443"/>
        </w:trPr>
        <w:tc>
          <w:tcPr>
            <w:tcW w:w="932"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1</w:t>
            </w:r>
            <w:r/>
          </w:p>
        </w:tc>
        <w:tc>
          <w:tcPr>
            <w:tcW w:w="230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计划执行情况</w:t>
            </w:r>
            <w:r/>
          </w:p>
        </w:tc>
        <w:tc>
          <w:tcPr>
            <w:tcW w:w="4510" w:type="dxa"/>
            <w:vAlign w:val="center"/>
            <w:textDirection w:val="lrTb"/>
            <w:noWrap w:val="false"/>
          </w:tcPr>
          <w:p>
            <w:pPr>
              <w:spacing w:after="160" w:line="320" w:lineRule="exact"/>
              <w:rPr>
                <w:rFonts w:hint="eastAsia" w:ascii="宋体" w:hAnsi="宋体" w:cs="Calibri"/>
                <w:sz w:val="24"/>
                <w:szCs w:val="24"/>
              </w:rPr>
            </w:pPr>
            <w:r>
              <w:rPr>
                <w:rFonts w:hint="eastAsia" w:ascii="宋体" w:hAnsi="宋体" w:cs="Calibri"/>
                <w:sz w:val="24"/>
                <w:szCs w:val="24"/>
              </w:rPr>
              <w:t xml:space="preserve">抽查品种、批次、抽样区域、场所等符合采购人的要求；抽查</w:t>
            </w:r>
            <w:r>
              <w:rPr>
                <w:rFonts w:hint="eastAsia" w:ascii="宋体" w:hAnsi="宋体" w:cs="Calibri"/>
                <w:sz w:val="24"/>
                <w:szCs w:val="24"/>
              </w:rPr>
              <w:t xml:space="preserve">批次数</w:t>
            </w:r>
            <w:r>
              <w:rPr>
                <w:rFonts w:hint="eastAsia" w:ascii="宋体" w:hAnsi="宋体" w:cs="Calibri"/>
                <w:sz w:val="24"/>
                <w:szCs w:val="24"/>
              </w:rPr>
              <w:t xml:space="preserve">是否达到合同约定批次的95%以上。</w:t>
            </w:r>
            <w:r>
              <w:rPr>
                <w:rFonts w:ascii="宋体" w:hAnsi="宋体" w:cs="Calibri"/>
                <w:sz w:val="24"/>
                <w:szCs w:val="24"/>
              </w:rPr>
              <w:t xml:space="preserve"> </w:t>
            </w:r>
            <w:r/>
          </w:p>
        </w:tc>
        <w:tc>
          <w:tcPr>
            <w:tcW w:w="1185"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jc w:val="center"/>
          <w:trHeight w:val="756"/>
        </w:trPr>
        <w:tc>
          <w:tcPr>
            <w:tcW w:w="932"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2</w:t>
            </w:r>
            <w:r/>
          </w:p>
        </w:tc>
        <w:tc>
          <w:tcPr>
            <w:tcW w:w="230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任务完成时限</w:t>
            </w:r>
            <w:r/>
          </w:p>
        </w:tc>
        <w:tc>
          <w:tcPr>
            <w:tcW w:w="4510" w:type="dxa"/>
            <w:vAlign w:val="center"/>
            <w:textDirection w:val="lrTb"/>
            <w:noWrap w:val="false"/>
          </w:tcPr>
          <w:p>
            <w:pPr>
              <w:spacing w:after="160" w:line="320" w:lineRule="exact"/>
              <w:rPr>
                <w:rFonts w:hint="eastAsia" w:ascii="宋体" w:hAnsi="宋体" w:cs="Calibri"/>
                <w:sz w:val="24"/>
                <w:szCs w:val="24"/>
              </w:rPr>
            </w:pPr>
            <w:r>
              <w:rPr>
                <w:rFonts w:hint="eastAsia" w:ascii="宋体" w:hAnsi="宋体" w:cs="Calibri"/>
                <w:sz w:val="24"/>
                <w:szCs w:val="24"/>
              </w:rPr>
              <w:t xml:space="preserve">是否及时完成，抽样信息、检验数据、检验检测报告、质量分析报告是否及时报送。</w:t>
            </w:r>
            <w:r/>
          </w:p>
        </w:tc>
        <w:tc>
          <w:tcPr>
            <w:tcW w:w="1185"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jc w:val="center"/>
          <w:trHeight w:val="1392"/>
        </w:trPr>
        <w:tc>
          <w:tcPr>
            <w:tcW w:w="932"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4</w:t>
            </w:r>
            <w:r/>
          </w:p>
        </w:tc>
        <w:tc>
          <w:tcPr>
            <w:tcW w:w="230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任务完成质量</w:t>
            </w:r>
            <w:r/>
          </w:p>
        </w:tc>
        <w:tc>
          <w:tcPr>
            <w:tcW w:w="4510" w:type="dxa"/>
            <w:vAlign w:val="center"/>
            <w:textDirection w:val="lrTb"/>
            <w:noWrap w:val="false"/>
          </w:tcPr>
          <w:p>
            <w:pPr>
              <w:spacing w:after="160" w:line="320" w:lineRule="exact"/>
              <w:rPr>
                <w:rFonts w:hint="eastAsia" w:ascii="宋体" w:hAnsi="宋体" w:cs="Calibri"/>
                <w:sz w:val="24"/>
                <w:szCs w:val="24"/>
              </w:rPr>
            </w:pPr>
            <w:r>
              <w:rPr>
                <w:rFonts w:hint="eastAsia" w:ascii="宋体" w:hAnsi="宋体" w:cs="Calibri"/>
                <w:sz w:val="24"/>
                <w:szCs w:val="24"/>
              </w:rPr>
              <w:t xml:space="preserve">抽样信息.检验数据的准确性、规范性等相关法律法规要求。</w:t>
            </w:r>
            <w:r/>
          </w:p>
        </w:tc>
        <w:tc>
          <w:tcPr>
            <w:tcW w:w="1185"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jc w:val="center"/>
          <w:trHeight w:val="838"/>
        </w:trPr>
        <w:tc>
          <w:tcPr>
            <w:tcW w:w="932"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5</w:t>
            </w:r>
            <w:r/>
          </w:p>
        </w:tc>
        <w:tc>
          <w:tcPr>
            <w:tcW w:w="2300" w:type="dxa"/>
            <w:vAlign w:val="center"/>
            <w:textDirection w:val="lrTb"/>
            <w:noWrap w:val="false"/>
          </w:tcPr>
          <w:p>
            <w:pPr>
              <w:jc w:val="center"/>
              <w:spacing w:after="160" w:line="320" w:lineRule="exact"/>
              <w:rPr>
                <w:rFonts w:hint="eastAsia" w:ascii="宋体" w:hAnsi="宋体" w:cs="Calibri"/>
                <w:sz w:val="24"/>
                <w:szCs w:val="24"/>
              </w:rPr>
            </w:pPr>
            <w:r>
              <w:rPr>
                <w:rFonts w:ascii="宋体" w:hAnsi="宋体" w:cs="宋体"/>
                <w:sz w:val="24"/>
                <w:szCs w:val="24"/>
              </w:rPr>
              <w:t xml:space="preserve">分析报告质量</w:t>
            </w:r>
            <w:r/>
          </w:p>
        </w:tc>
        <w:tc>
          <w:tcPr>
            <w:tcW w:w="4510" w:type="dxa"/>
            <w:vAlign w:val="center"/>
            <w:textDirection w:val="lrTb"/>
            <w:noWrap w:val="false"/>
          </w:tcPr>
          <w:p>
            <w:pPr>
              <w:spacing w:after="160" w:line="320" w:lineRule="exact"/>
              <w:rPr>
                <w:rFonts w:hint="eastAsia" w:ascii="宋体" w:hAnsi="宋体" w:cs="Calibri"/>
                <w:sz w:val="24"/>
                <w:szCs w:val="24"/>
              </w:rPr>
            </w:pPr>
            <w:r>
              <w:rPr>
                <w:rFonts w:hint="eastAsia" w:ascii="宋体" w:hAnsi="宋体" w:cs="Calibri"/>
                <w:sz w:val="24"/>
                <w:szCs w:val="24"/>
              </w:rPr>
              <w:t xml:space="preserve">质量分析报告、不合格诊断建议书是否</w:t>
            </w:r>
            <w:r>
              <w:rPr>
                <w:rFonts w:ascii="宋体" w:hAnsi="宋体" w:cs="宋体"/>
                <w:sz w:val="24"/>
                <w:szCs w:val="24"/>
              </w:rPr>
              <w:t xml:space="preserve">全面、详实、有针对性</w:t>
            </w:r>
            <w:r>
              <w:rPr>
                <w:rFonts w:hint="eastAsia" w:ascii="宋体" w:hAnsi="宋体" w:cs="宋体"/>
                <w:sz w:val="24"/>
                <w:szCs w:val="24"/>
              </w:rPr>
              <w:t xml:space="preserve">，</w:t>
            </w:r>
            <w:r>
              <w:rPr>
                <w:rFonts w:ascii="宋体" w:hAnsi="宋体" w:cs="宋体"/>
                <w:sz w:val="24"/>
                <w:szCs w:val="24"/>
              </w:rPr>
              <w:t xml:space="preserve">建议切实可行</w:t>
            </w:r>
            <w:r>
              <w:rPr>
                <w:rFonts w:hint="eastAsia" w:ascii="宋体" w:hAnsi="宋体" w:cs="Calibri"/>
                <w:sz w:val="24"/>
                <w:szCs w:val="24"/>
              </w:rPr>
              <w:t xml:space="preserve">。</w:t>
            </w:r>
            <w:r/>
          </w:p>
        </w:tc>
        <w:tc>
          <w:tcPr>
            <w:tcW w:w="1185"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jc w:val="center"/>
          <w:trHeight w:val="841"/>
        </w:trPr>
        <w:tc>
          <w:tcPr>
            <w:tcW w:w="932"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6</w:t>
            </w:r>
            <w:r/>
          </w:p>
        </w:tc>
        <w:tc>
          <w:tcPr>
            <w:tcW w:w="230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服务保障支撑监管的情况</w:t>
            </w:r>
            <w:r/>
          </w:p>
        </w:tc>
        <w:tc>
          <w:tcPr>
            <w:tcW w:w="4510" w:type="dxa"/>
            <w:vAlign w:val="center"/>
            <w:textDirection w:val="lrTb"/>
            <w:noWrap w:val="false"/>
          </w:tcPr>
          <w:p>
            <w:pPr>
              <w:spacing w:after="160" w:line="320" w:lineRule="exact"/>
              <w:rPr>
                <w:rFonts w:hint="eastAsia" w:ascii="宋体" w:hAnsi="宋体" w:cs="Calibri"/>
                <w:sz w:val="24"/>
                <w:szCs w:val="24"/>
              </w:rPr>
            </w:pPr>
            <w:r>
              <w:rPr>
                <w:rFonts w:hint="eastAsia" w:ascii="宋体" w:hAnsi="宋体" w:cs="Calibri"/>
                <w:sz w:val="24"/>
                <w:szCs w:val="24"/>
                <w:lang w:bidi="ar"/>
              </w:rPr>
              <w:t xml:space="preserve">应急响应、服务保障等监管特殊要求</w:t>
            </w:r>
            <w:r>
              <w:rPr>
                <w:rFonts w:hint="eastAsia" w:ascii="宋体" w:hAnsi="宋体" w:cs="Calibri"/>
                <w:sz w:val="24"/>
                <w:szCs w:val="24"/>
              </w:rPr>
              <w:t xml:space="preserve">符合采购人的要求。</w:t>
            </w:r>
            <w:r/>
          </w:p>
        </w:tc>
        <w:tc>
          <w:tcPr>
            <w:tcW w:w="1185"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jc w:val="center"/>
          <w:trHeight w:val="841"/>
        </w:trPr>
        <w:tc>
          <w:tcPr>
            <w:tcW w:w="932"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7</w:t>
            </w:r>
            <w:r/>
          </w:p>
        </w:tc>
        <w:tc>
          <w:tcPr>
            <w:tcW w:w="230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工作纪律情况</w:t>
            </w:r>
            <w:r/>
          </w:p>
        </w:tc>
        <w:tc>
          <w:tcPr>
            <w:tcW w:w="4510" w:type="dxa"/>
            <w:vAlign w:val="center"/>
            <w:textDirection w:val="lrTb"/>
            <w:noWrap w:val="false"/>
          </w:tcPr>
          <w:p>
            <w:pPr>
              <w:spacing w:after="160" w:line="278" w:lineRule="auto"/>
              <w:widowControl w:val="off"/>
              <w:rPr>
                <w:rFonts w:hint="eastAsia" w:ascii="宋体" w:hAnsi="宋体" w:cs="Calibri"/>
                <w:sz w:val="24"/>
                <w:szCs w:val="24"/>
              </w:rPr>
            </w:pPr>
            <w:r>
              <w:rPr>
                <w:rFonts w:hint="eastAsia" w:ascii="宋体" w:hAnsi="宋体" w:cs="Calibri"/>
                <w:sz w:val="24"/>
                <w:szCs w:val="24"/>
              </w:rPr>
              <w:t xml:space="preserve">遵守法律法规、抽样和检验纪律等情况, 承担风险动态监测任务期间，有无事先通知被抽查企业，直接或间接参与企业接待等违法违规行为，有无与被抽查企业签订同类产品的有偿服务协议或者接受被抽查企业对同一产品的委托检验、有无企业反映的其他违规情况。</w:t>
            </w:r>
            <w:r/>
          </w:p>
        </w:tc>
        <w:tc>
          <w:tcPr>
            <w:tcW w:w="1185"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jc w:val="center"/>
          <w:trHeight w:val="711"/>
        </w:trPr>
        <w:tc>
          <w:tcPr>
            <w:tcW w:w="932"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8</w:t>
            </w:r>
            <w:r/>
          </w:p>
        </w:tc>
        <w:tc>
          <w:tcPr>
            <w:tcW w:w="230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合同规定的其他履约情况</w:t>
            </w:r>
            <w:r/>
          </w:p>
        </w:tc>
        <w:tc>
          <w:tcPr>
            <w:tcW w:w="451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符合合同书要求。</w:t>
            </w:r>
            <w:r/>
          </w:p>
        </w:tc>
        <w:tc>
          <w:tcPr>
            <w:tcW w:w="1185"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r>
            <w:r/>
          </w:p>
        </w:tc>
      </w:tr>
      <w:tr>
        <w:trPr>
          <w:jc w:val="center"/>
          <w:trHeight w:val="679"/>
        </w:trPr>
        <w:tc>
          <w:tcPr>
            <w:tcW w:w="932"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9</w:t>
            </w:r>
            <w:r/>
          </w:p>
        </w:tc>
        <w:tc>
          <w:tcPr>
            <w:tcW w:w="230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pacing w:val="-10"/>
                <w:sz w:val="24"/>
                <w:szCs w:val="24"/>
              </w:rPr>
              <w:t xml:space="preserve">采购人认为需要的其他验收内容</w:t>
            </w:r>
            <w:r/>
          </w:p>
        </w:tc>
        <w:tc>
          <w:tcPr>
            <w:tcW w:w="4510"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t xml:space="preserve">/</w:t>
            </w:r>
            <w:r/>
          </w:p>
        </w:tc>
        <w:tc>
          <w:tcPr>
            <w:tcW w:w="1185" w:type="dxa"/>
            <w:vAlign w:val="center"/>
            <w:textDirection w:val="lrTb"/>
            <w:noWrap w:val="false"/>
          </w:tcPr>
          <w:p>
            <w:pPr>
              <w:jc w:val="center"/>
              <w:spacing w:after="160" w:line="320" w:lineRule="exact"/>
              <w:rPr>
                <w:rFonts w:hint="eastAsia" w:ascii="宋体" w:hAnsi="宋体" w:cs="Calibri"/>
                <w:sz w:val="24"/>
                <w:szCs w:val="24"/>
              </w:rPr>
            </w:pPr>
            <w:r>
              <w:rPr>
                <w:rFonts w:hint="eastAsia" w:ascii="宋体" w:hAnsi="宋体" w:cs="Calibri"/>
                <w:sz w:val="24"/>
                <w:szCs w:val="24"/>
              </w:rPr>
            </w:r>
            <w:r/>
          </w:p>
        </w:tc>
      </w:tr>
    </w:tbl>
    <w:p>
      <w:pPr>
        <w:jc w:val="both"/>
        <w:spacing w:after="0" w:line="360" w:lineRule="auto"/>
        <w:widowControl w:val="off"/>
        <w:rPr>
          <w:rFonts w:hint="eastAsia" w:ascii="宋体" w:hAnsi="宋体"/>
          <w:b/>
          <w:sz w:val="24"/>
          <w:szCs w:val="24"/>
        </w:rPr>
      </w:pPr>
      <w:r>
        <w:rPr>
          <w:rFonts w:hint="eastAsia" w:ascii="宋体" w:hAnsi="宋体"/>
          <w:b/>
          <w:sz w:val="24"/>
          <w:szCs w:val="24"/>
        </w:rPr>
        <w:t xml:space="preserve">★5.5保密要求</w:t>
      </w:r>
      <w:r/>
    </w:p>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5.5.1供应商及其服务人员应做好保密工作，对抽检信息、数据等负有保密义务。在项目实施过程中要建立工作登记单实现可追溯并确保相关档案实体及电子</w:t>
      </w:r>
      <w:r>
        <w:rPr>
          <w:rFonts w:hint="eastAsia" w:ascii="宋体" w:hAnsi="宋体"/>
          <w:bCs/>
          <w:sz w:val="24"/>
          <w:szCs w:val="24"/>
        </w:rPr>
        <w:t xml:space="preserve">档</w:t>
      </w:r>
      <w:r>
        <w:rPr>
          <w:rFonts w:hint="eastAsia" w:ascii="宋体" w:hAnsi="宋体"/>
          <w:bCs/>
          <w:sz w:val="24"/>
          <w:szCs w:val="24"/>
        </w:rPr>
        <w:t xml:space="preserve">信息的安全。未经允许不得对接触到的各种资料、文件拍照、拍摄，各种实体及电子资料等不得损坏、丢失和泄密，未经采购人授权，不得向除采购人外的任何单位与个人透露任何信息。否则由此造成的一切后果供应商需承担相关法律责任和赔偿责任。</w:t>
      </w:r>
      <w:r/>
    </w:p>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5.5.2服务人员不得以任何形式将档案资料（包括纸质档和电子档）带出指定工作现场，不得以任何形式进行泄漏、传播。</w:t>
      </w:r>
      <w:r/>
    </w:p>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5.5.3供应商应对其服务人员保密义务承担责任，如因其服务人员违反保密义务导致采购人产生损失或支出费用的，采购人有权要求供应商承担责任。</w:t>
      </w:r>
      <w:r/>
    </w:p>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5.5.4供应商及其服务人员的保密期限为永久，不因本项目所签订的文件或合同的终止而终止。</w:t>
      </w:r>
      <w:r/>
    </w:p>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针对上述保密要求内容，供应商须提供书面承诺函原件并加盖CA电子公章，格式自拟，内容应</w:t>
      </w:r>
      <w:r>
        <w:rPr>
          <w:rFonts w:hint="eastAsia" w:ascii="宋体" w:hAnsi="宋体"/>
          <w:bCs/>
          <w:sz w:val="24"/>
          <w:szCs w:val="24"/>
        </w:rPr>
        <w:t xml:space="preserve">完全响应</w:t>
      </w:r>
      <w:r>
        <w:rPr>
          <w:rFonts w:hint="eastAsia" w:ascii="宋体" w:hAnsi="宋体"/>
          <w:bCs/>
          <w:sz w:val="24"/>
          <w:szCs w:val="24"/>
        </w:rPr>
        <w:t xml:space="preserve">招标文件要求。</w:t>
      </w:r>
      <w:r/>
    </w:p>
    <w:p>
      <w:pPr>
        <w:jc w:val="both"/>
        <w:spacing w:after="0" w:line="360" w:lineRule="auto"/>
        <w:widowControl w:val="off"/>
        <w:rPr>
          <w:rFonts w:hint="eastAsia" w:ascii="宋体" w:hAnsi="宋体"/>
          <w:b/>
          <w:sz w:val="24"/>
          <w:szCs w:val="24"/>
        </w:rPr>
      </w:pPr>
      <w:r>
        <w:rPr>
          <w:rFonts w:hint="eastAsia" w:ascii="宋体" w:hAnsi="宋体"/>
          <w:b/>
          <w:sz w:val="24"/>
          <w:szCs w:val="24"/>
        </w:rPr>
        <w:t xml:space="preserve">★5.6履约形式</w:t>
      </w:r>
      <w:r/>
    </w:p>
    <w:p>
      <w:pPr>
        <w:ind w:firstLine="480"/>
        <w:jc w:val="both"/>
        <w:spacing w:after="0" w:line="360" w:lineRule="auto"/>
        <w:widowControl w:val="off"/>
        <w:rPr>
          <w:rFonts w:hint="eastAsia" w:ascii="宋体" w:hAnsi="宋体"/>
          <w:bCs/>
          <w:sz w:val="24"/>
          <w:szCs w:val="24"/>
        </w:rPr>
      </w:pPr>
      <w:r>
        <w:rPr>
          <w:rFonts w:ascii="宋体" w:hAnsi="宋体"/>
          <w:bCs/>
          <w:sz w:val="24"/>
          <w:szCs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r/>
    </w:p>
    <w:p>
      <w:pPr>
        <w:ind w:firstLine="480"/>
        <w:jc w:val="both"/>
        <w:spacing w:after="0" w:line="360" w:lineRule="auto"/>
        <w:widowControl w:val="off"/>
      </w:pPr>
      <w:r>
        <w:rPr>
          <w:rFonts w:ascii="宋体" w:hAnsi="宋体"/>
          <w:bCs/>
          <w:sz w:val="24"/>
          <w:szCs w:val="24"/>
        </w:rPr>
        <w:t xml:space="preserve">供应商应提供不予分包转包书面承诺函并加盖公章，内容需满足采购文件要求，格式自拟</w:t>
      </w:r>
      <w:r/>
    </w:p>
    <w:p>
      <w:pPr>
        <w:jc w:val="both"/>
        <w:spacing w:after="0" w:line="360" w:lineRule="auto"/>
        <w:widowControl w:val="off"/>
        <w:rPr>
          <w:rFonts w:hint="eastAsia" w:ascii="宋体" w:hAnsi="宋体"/>
          <w:b/>
          <w:sz w:val="24"/>
          <w:szCs w:val="24"/>
        </w:rPr>
      </w:pPr>
      <w:r>
        <w:rPr>
          <w:rFonts w:hint="eastAsia" w:ascii="宋体" w:hAnsi="宋体"/>
          <w:b/>
          <w:sz w:val="24"/>
          <w:szCs w:val="24"/>
        </w:rPr>
        <w:t xml:space="preserve">★5.7.成果归属要求</w:t>
      </w:r>
      <w:r/>
    </w:p>
    <w:p>
      <w:pPr>
        <w:ind w:firstLine="480"/>
        <w:jc w:val="both"/>
        <w:spacing w:after="0" w:line="360" w:lineRule="auto"/>
        <w:widowControl w:val="off"/>
        <w:rPr>
          <w:rFonts w:hint="eastAsia" w:ascii="宋体" w:hAnsi="宋体"/>
          <w:bCs/>
          <w:sz w:val="24"/>
          <w:szCs w:val="24"/>
        </w:rPr>
      </w:pPr>
      <w:r>
        <w:rPr>
          <w:rFonts w:ascii="宋体" w:hAnsi="宋体"/>
          <w:bCs/>
          <w:sz w:val="24"/>
          <w:szCs w:val="24"/>
        </w:rPr>
        <w:t xml:space="preserve">成交供应商须将履约过程的所有材料及成果完整提交给采购人，本项目履约服务过程中产生的所有文字、音频、视频的素材与最终成果的所有权属于采购人所有。未经采购人许可，供应商不得单独在任何报刊、杂志、互联网等媒体上宣传或公布本项目的研究成果。</w:t>
      </w:r>
      <w:r/>
    </w:p>
    <w:p>
      <w:pPr>
        <w:ind w:firstLine="480"/>
        <w:jc w:val="both"/>
        <w:spacing w:after="0" w:line="360" w:lineRule="auto"/>
        <w:widowControl w:val="off"/>
        <w:rPr>
          <w:rFonts w:hint="eastAsia" w:ascii="宋体" w:hAnsi="宋体"/>
          <w:bCs/>
          <w:sz w:val="24"/>
          <w:szCs w:val="24"/>
        </w:rPr>
      </w:pPr>
      <w:r>
        <w:rPr>
          <w:rFonts w:ascii="宋体" w:hAnsi="宋体"/>
          <w:bCs/>
          <w:sz w:val="24"/>
          <w:szCs w:val="24"/>
        </w:rPr>
        <w:t xml:space="preserve">针对此项成果归属内容，供应商须提供书面承诺函原件并加盖公章，格式自拟。</w:t>
      </w:r>
      <w:r/>
    </w:p>
    <w:p>
      <w:pPr>
        <w:jc w:val="both"/>
        <w:spacing w:after="0" w:line="360" w:lineRule="auto"/>
        <w:widowControl w:val="off"/>
        <w:rPr>
          <w:rFonts w:hint="eastAsia" w:ascii="宋体" w:hAnsi="宋体" w:cs="微软雅黑"/>
          <w:b/>
          <w:sz w:val="24"/>
          <w:szCs w:val="24"/>
        </w:rPr>
      </w:pPr>
      <w:r>
        <w:rPr>
          <w:rFonts w:hint="eastAsia" w:ascii="宋体" w:hAnsi="宋体"/>
          <w:b/>
          <w:sz w:val="24"/>
          <w:szCs w:val="24"/>
        </w:rPr>
        <w:t xml:space="preserve">5.8</w:t>
      </w:r>
      <w:r>
        <w:rPr>
          <w:rFonts w:hint="eastAsia" w:ascii="宋体" w:hAnsi="宋体" w:cs="微软雅黑"/>
          <w:b/>
          <w:sz w:val="24"/>
          <w:szCs w:val="24"/>
        </w:rPr>
        <w:t xml:space="preserve">报价要求</w:t>
      </w:r>
      <w:r/>
    </w:p>
    <w:p>
      <w:pPr>
        <w:ind w:firstLine="480"/>
        <w:spacing w:after="0" w:line="560" w:lineRule="exact"/>
        <w:rPr>
          <w:rFonts w:hint="eastAsia" w:ascii="宋体" w:hAnsi="宋体" w:cs="微软雅黑"/>
          <w:bCs/>
          <w:sz w:val="24"/>
          <w:szCs w:val="24"/>
        </w:rPr>
      </w:pPr>
      <w:r>
        <w:rPr>
          <w:rFonts w:hint="eastAsia" w:ascii="宋体" w:hAnsi="宋体" w:cs="微软雅黑"/>
          <w:bCs/>
          <w:sz w:val="24"/>
          <w:szCs w:val="24"/>
        </w:rPr>
        <w:t xml:space="preserve">5.8</w:t>
      </w:r>
      <w:r>
        <w:rPr>
          <w:rFonts w:ascii="宋体" w:hAnsi="宋体" w:cs="微软雅黑"/>
          <w:bCs/>
          <w:sz w:val="24"/>
          <w:szCs w:val="24"/>
        </w:rPr>
        <w:t xml:space="preserve">.</w:t>
      </w:r>
      <w:r>
        <w:rPr>
          <w:rFonts w:hint="eastAsia" w:ascii="宋体" w:hAnsi="宋体" w:cs="微软雅黑"/>
          <w:bCs/>
          <w:sz w:val="24"/>
          <w:szCs w:val="24"/>
        </w:rPr>
        <w:t xml:space="preserve">1该项目预算为全口径预算，包含了本项目所需的服务提供过程中可能发生的所有费用，包括但不限于样品购置费、检测费、实验室及检测设备使用费用、耗材、</w:t>
      </w:r>
      <w:bookmarkStart w:id="105" w:name="OLE_LINK5"/>
      <w:r>
        <w:rPr>
          <w:rFonts w:hint="eastAsia" w:ascii="宋体" w:hAnsi="宋体" w:cs="微软雅黑"/>
          <w:bCs/>
          <w:sz w:val="24"/>
          <w:szCs w:val="24"/>
        </w:rPr>
        <w:t xml:space="preserve">报告文本费（检测报告、质量分析报告等的编制打印）、相关文书的邮寄费、样品处置费、</w:t>
      </w:r>
      <w:bookmarkEnd w:id="105"/>
      <w:r>
        <w:rPr>
          <w:rFonts w:hint="eastAsia" w:ascii="宋体" w:hAnsi="宋体" w:cs="微软雅黑"/>
          <w:bCs/>
          <w:sz w:val="24"/>
          <w:szCs w:val="24"/>
        </w:rPr>
        <w:t xml:space="preserve">各种税费、利润、税金、人员工资（含各类保险、加班费、交通费、过节费等所有与人员相关费用）、培训及合同包含的所有风险、责任等各项相关费用。本次采购供应商的报价应包括完成本项目发生的上述</w:t>
      </w:r>
      <w:r>
        <w:rPr>
          <w:rFonts w:hint="eastAsia" w:ascii="宋体" w:hAnsi="宋体" w:cs="微软雅黑"/>
          <w:bCs/>
          <w:sz w:val="24"/>
          <w:szCs w:val="24"/>
        </w:rPr>
        <w:t xml:space="preserve">所有</w:t>
      </w:r>
      <w:r>
        <w:rPr>
          <w:rFonts w:hint="eastAsia" w:ascii="宋体" w:hAnsi="宋体" w:cs="微软雅黑"/>
          <w:bCs/>
          <w:iCs/>
          <w:sz w:val="24"/>
          <w:szCs w:val="24"/>
        </w:rPr>
        <w:t xml:space="preserve">费用及采购代理服务费用（无需单独报价也无需单列）</w:t>
      </w:r>
      <w:r>
        <w:rPr>
          <w:rFonts w:hint="eastAsia" w:ascii="宋体" w:hAnsi="宋体" w:cs="微软雅黑"/>
          <w:bCs/>
          <w:sz w:val="24"/>
          <w:szCs w:val="24"/>
        </w:rPr>
        <w:t xml:space="preserve">，中标后采购人按中标价格结算支付采购资金，不再变更结算价格。</w:t>
      </w:r>
      <w:r/>
    </w:p>
    <w:p>
      <w:pPr>
        <w:ind w:firstLine="480"/>
        <w:spacing w:after="0" w:line="560" w:lineRule="exact"/>
        <w:rPr>
          <w:rFonts w:hint="eastAsia" w:ascii="宋体" w:hAnsi="宋体" w:cs="微软雅黑"/>
          <w:bCs/>
          <w:iCs/>
          <w:sz w:val="24"/>
          <w:szCs w:val="24"/>
        </w:rPr>
      </w:pPr>
      <w:r>
        <w:rPr>
          <w:rFonts w:hint="eastAsia" w:ascii="宋体" w:hAnsi="宋体" w:cs="微软雅黑"/>
          <w:bCs/>
          <w:sz w:val="24"/>
          <w:szCs w:val="24"/>
        </w:rPr>
        <w:t xml:space="preserve">5.8.2本项目履约过程中需要发生抽检人员薪酬福利与社保费用、检测试剂费用、检测耗材费用、检测设备费用、交通费用、实验室场地费用、人员培训费用等诸多刚性成本项目，供应商应根据自身情况理性合理报价，不得低于正常成本价低价恶性竞争，确保采购人检测质量。请仔细阅读本文件“第二章  </w:t>
      </w:r>
      <w:r>
        <w:rPr>
          <w:rFonts w:hint="eastAsia" w:ascii="宋体" w:hAnsi="宋体" w:cs="微软雅黑"/>
          <w:bCs/>
          <w:sz w:val="24"/>
          <w:szCs w:val="24"/>
        </w:rPr>
        <w:t xml:space="preserve">投标人须知”第26.8条、第26.9条、第27.1.10条内容，如投标供应商报价触发异常低价审核程序，</w:t>
      </w:r>
      <w:r>
        <w:rPr>
          <w:rFonts w:hint="eastAsia" w:ascii="宋体" w:hAnsi="宋体" w:cs="微软雅黑"/>
          <w:bCs/>
          <w:iCs/>
          <w:sz w:val="24"/>
          <w:szCs w:val="24"/>
        </w:rPr>
        <w:t xml:space="preserve">启动异常低价投标审查后，投标供应商不按时提供书面说明、证明材料,或者提供的书面说明、证明材料不能证明其报价合理性的，将作无效投标处理。</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5.8.3供应商应按</w:t>
      </w:r>
      <w:r>
        <w:rPr>
          <w:rFonts w:hint="eastAsia" w:ascii="宋体" w:hAnsi="宋体" w:cs="宋体"/>
          <w:b/>
          <w:bCs/>
          <w:sz w:val="24"/>
          <w:szCs w:val="24"/>
        </w:rPr>
        <w:t xml:space="preserve">总价</w:t>
      </w:r>
      <w:r>
        <w:rPr>
          <w:rFonts w:hint="eastAsia" w:ascii="宋体" w:hAnsi="宋体" w:cs="宋体"/>
          <w:sz w:val="24"/>
          <w:szCs w:val="24"/>
        </w:rPr>
        <w:t xml:space="preserve">予以报价。供应商中标后在合同履约期内，不得以任何理由要求对其投标报价、运营方式、运营质量、人员数量、人员质量评估项目、服务内容、服务条件、服务质量等降低要求、变更要求或拒绝服务。</w:t>
      </w:r>
      <w:r/>
    </w:p>
    <w:p>
      <w:pPr>
        <w:jc w:val="both"/>
        <w:spacing w:after="160" w:line="360" w:lineRule="auto"/>
        <w:widowControl w:val="off"/>
        <w:rPr>
          <w:rFonts w:hint="eastAsia" w:ascii="宋体" w:hAnsi="宋体" w:cs="方正黑体_GBK"/>
          <w:b/>
          <w:sz w:val="24"/>
          <w:szCs w:val="24"/>
        </w:rPr>
      </w:pPr>
      <w:r>
        <w:rPr>
          <w:rFonts w:hint="eastAsia" w:ascii="宋体" w:hAnsi="宋体" w:cs="方正黑体_GBK"/>
          <w:b/>
          <w:sz w:val="24"/>
          <w:szCs w:val="24"/>
        </w:rPr>
        <w:br w:type="page" w:clear="all"/>
      </w:r>
      <w:r>
        <w:rPr>
          <w:rFonts w:hint="eastAsia" w:ascii="宋体" w:hAnsi="宋体" w:cs="方正黑体_GBK"/>
          <w:b/>
          <w:sz w:val="24"/>
          <w:szCs w:val="24"/>
        </w:rPr>
        <w:t xml:space="preserve">附件1</w:t>
      </w:r>
      <w:r/>
    </w:p>
    <w:p>
      <w:pPr>
        <w:jc w:val="center"/>
        <w:spacing w:after="160" w:line="360" w:lineRule="auto"/>
        <w:widowControl w:val="off"/>
        <w:rPr>
          <w:rFonts w:hint="eastAsia" w:ascii="宋体" w:hAnsi="宋体" w:cs="方正黑体_GBK"/>
          <w:bCs/>
          <w:sz w:val="24"/>
          <w:szCs w:val="24"/>
        </w:rPr>
      </w:pPr>
      <w:r>
        <w:rPr>
          <w:rFonts w:hint="eastAsia" w:ascii="宋体" w:hAnsi="宋体" w:cs="方正黑体_GBK"/>
          <w:bCs/>
          <w:sz w:val="24"/>
          <w:szCs w:val="24"/>
        </w:rPr>
        <w:t xml:space="preserve">202</w:t>
      </w:r>
      <w:r>
        <w:rPr>
          <w:rFonts w:ascii="宋体" w:hAnsi="宋体" w:cs="方正黑体_GBK"/>
          <w:bCs/>
          <w:sz w:val="24"/>
          <w:szCs w:val="24"/>
        </w:rPr>
        <w:t xml:space="preserve">6</w:t>
      </w:r>
      <w:r>
        <w:rPr>
          <w:rFonts w:hint="eastAsia" w:ascii="宋体" w:hAnsi="宋体" w:cs="方正黑体_GBK"/>
          <w:bCs/>
          <w:sz w:val="24"/>
          <w:szCs w:val="24"/>
        </w:rPr>
        <w:t xml:space="preserve">年江苏省</w:t>
      </w:r>
      <w:r>
        <w:rPr>
          <w:rFonts w:hint="eastAsia" w:ascii="宋体" w:hAnsi="宋体" w:cs="宋体"/>
          <w:sz w:val="24"/>
          <w:szCs w:val="24"/>
        </w:rPr>
        <w:t xml:space="preserve">重点工业产品质量安全隐患风险动态监测</w:t>
      </w:r>
      <w:r>
        <w:rPr>
          <w:rFonts w:hint="eastAsia" w:ascii="宋体" w:hAnsi="宋体" w:cs="方正黑体_GBK"/>
          <w:bCs/>
          <w:sz w:val="24"/>
          <w:szCs w:val="24"/>
        </w:rPr>
        <w:t xml:space="preserve">对象</w:t>
      </w:r>
      <w:r/>
    </w:p>
    <w:p>
      <w:pPr>
        <w:jc w:val="center"/>
        <w:spacing w:after="160" w:line="360" w:lineRule="auto"/>
        <w:widowControl w:val="off"/>
        <w:rPr>
          <w:rFonts w:hint="eastAsia" w:ascii="宋体" w:hAnsi="宋体" w:cs="方正黑体_GBK"/>
          <w:bCs/>
          <w:sz w:val="24"/>
          <w:szCs w:val="24"/>
        </w:rPr>
      </w:pPr>
      <w:r>
        <w:rPr>
          <w:rFonts w:hint="eastAsia" w:ascii="宋体" w:hAnsi="宋体" w:cs="方正黑体_GBK"/>
          <w:bCs/>
          <w:sz w:val="24"/>
          <w:szCs w:val="24"/>
        </w:rPr>
      </w:r>
      <w:r/>
    </w:p>
    <w:tbl>
      <w:tblPr>
        <w:tblpPr w:horzAnchor="text" w:tblpXSpec="center" w:vertAnchor="text" w:tblpY="1" w:leftFromText="180" w:topFromText="0" w:rightFromText="180" w:bottomFromText="0"/>
        <w:tblW w:w="5089" w:type="pct"/>
        <w:tblLook w:val="0000" w:firstRow="0" w:lastRow="0" w:firstColumn="0" w:lastColumn="0" w:noHBand="0" w:noVBand="0"/>
      </w:tblPr>
      <w:tblGrid>
        <w:gridCol w:w="716"/>
        <w:gridCol w:w="997"/>
        <w:gridCol w:w="2706"/>
        <w:gridCol w:w="4025"/>
      </w:tblGrid>
      <w:tr>
        <w:trPr>
          <w:trHeight w:val="454"/>
        </w:trPr>
        <w:tc>
          <w:tcPr>
            <w:tcBorders>
              <w:top w:val="single" w:color="auto" w:sz="4" w:space="0"/>
              <w:left w:val="single" w:color="auto" w:sz="4" w:space="0"/>
              <w:bottom w:val="single" w:color="auto" w:sz="4" w:space="0"/>
              <w:right w:val="single" w:color="auto" w:sz="4" w:space="0"/>
            </w:tcBorders>
            <w:tcW w:w="728" w:type="dxa"/>
            <w:vAlign w:val="center"/>
            <w:vMerge w:val="restart"/>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采购包序号</w:t>
            </w:r>
            <w:r/>
          </w:p>
        </w:tc>
        <w:tc>
          <w:tcPr>
            <w:tcBorders>
              <w:top w:val="single" w:color="auto"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产品类别</w:t>
            </w:r>
            <w:r/>
          </w:p>
        </w:tc>
        <w:tc>
          <w:tcPr>
            <w:tcBorders>
              <w:top w:val="single" w:color="auto" w:sz="4" w:space="0"/>
              <w:left w:val="single" w:color="auto" w:sz="4" w:space="0"/>
              <w:bottom w:val="single" w:color="auto" w:sz="4" w:space="0"/>
              <w:right w:val="single" w:color="auto" w:sz="4" w:space="0"/>
            </w:tcBorders>
            <w:tcW w:w="2767" w:type="dxa"/>
            <w:vAlign w:val="center"/>
            <w:vMerge w:val="restart"/>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动态监测产品品种</w:t>
            </w:r>
            <w:r/>
          </w:p>
        </w:tc>
        <w:tc>
          <w:tcPr>
            <w:tcBorders>
              <w:top w:val="single" w:color="auto" w:sz="4" w:space="0"/>
              <w:left w:val="single" w:color="auto" w:sz="4" w:space="0"/>
              <w:bottom w:val="single" w:color="auto" w:sz="4" w:space="0"/>
              <w:right w:val="single" w:color="auto" w:sz="4" w:space="0"/>
            </w:tcBorders>
            <w:tcW w:w="4159" w:type="dxa"/>
            <w:vAlign w:val="center"/>
            <w:vMerge w:val="restart"/>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产品销售集聚市场</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restart"/>
            <w:textDirection w:val="lrTb"/>
            <w:noWrap w:val="false"/>
          </w:tcPr>
          <w:p>
            <w:pPr>
              <w:jc w:val="center"/>
              <w:spacing w:after="160" w:line="240" w:lineRule="exact"/>
              <w:rPr>
                <w:rFonts w:hint="eastAsia"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建筑用钢筋</w:t>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钢筋混凝土用热轧钢筋、冷轧带肋钢筋</w:t>
            </w:r>
            <w:r/>
          </w:p>
        </w:tc>
        <w:tc>
          <w:tcPr>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常州市新北区龙成钢材城、徐州市新沂市苏北钢材市场、苏州长三角钢材市场、南通纪氏钢材市场、中储南京物流有限公司</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shd w:val="clear" w:color="000000" w:fill="ffffff"/>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建筑保温材料</w:t>
            </w:r>
            <w:r/>
          </w:p>
        </w:tc>
        <w:tc>
          <w:tcPr>
            <w:shd w:val="clear" w:color="000000" w:fill="ffffff"/>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岩棉板、模塑聚苯乙烯泡沫板（XPS）、挤塑聚苯乙烯泡沫板（XPS）、橡塑保温板、聚氨酯泡沫（PU）</w:t>
            </w:r>
            <w:r/>
          </w:p>
        </w:tc>
        <w:tc>
          <w:tcPr>
            <w:shd w:val="clear" w:color="000000" w:fill="ffffff"/>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南京市雨花台区红太阳装饰城、无锡市新</w:t>
            </w:r>
            <w:r>
              <w:rPr>
                <w:rFonts w:hint="eastAsia" w:ascii="宋体" w:hAnsi="宋体" w:cs="宋体"/>
                <w:sz w:val="21"/>
                <w:szCs w:val="21"/>
              </w:rPr>
              <w:t xml:space="preserve">吴区五洲</w:t>
            </w:r>
            <w:r>
              <w:rPr>
                <w:rFonts w:hint="eastAsia" w:ascii="宋体" w:hAnsi="宋体" w:cs="宋体"/>
                <w:sz w:val="21"/>
                <w:szCs w:val="21"/>
              </w:rPr>
              <w:t xml:space="preserve">国际工业博览城、苏州市华东装饰城、徐州市云龙区东兴物资市场</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人造板</w:t>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胶合板、细木工板</w:t>
            </w:r>
            <w:r/>
          </w:p>
        </w:tc>
        <w:tc>
          <w:tcPr>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南京市</w:t>
            </w:r>
            <w:r>
              <w:rPr>
                <w:rFonts w:hint="eastAsia" w:ascii="宋体" w:hAnsi="宋体" w:cs="宋体"/>
                <w:sz w:val="21"/>
                <w:szCs w:val="21"/>
              </w:rPr>
              <w:t xml:space="preserve">雨花台区弘阳装饰</w:t>
            </w:r>
            <w:r>
              <w:rPr>
                <w:rFonts w:hint="eastAsia" w:ascii="宋体" w:hAnsi="宋体" w:cs="宋体"/>
                <w:sz w:val="21"/>
                <w:szCs w:val="21"/>
              </w:rPr>
              <w:t xml:space="preserve">城、无锡市新世界国际家居建材城、常州市长江自由贸易中心</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电线电缆</w:t>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电线电缆</w:t>
            </w:r>
            <w:r/>
          </w:p>
        </w:tc>
        <w:tc>
          <w:tcPr>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苏州市华夏五金机电城、常州市江南五金机电城、盐城市区盐城五金机电城</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restart"/>
            <w:textDirection w:val="lrTb"/>
            <w:noWrap w:val="false"/>
          </w:tcPr>
          <w:p>
            <w:pPr>
              <w:jc w:val="center"/>
              <w:spacing w:after="160" w:line="240" w:lineRule="exact"/>
              <w:rPr>
                <w:rFonts w:hint="eastAsia" w:ascii="宋体" w:hAnsi="宋体"/>
                <w:sz w:val="21"/>
                <w:szCs w:val="21"/>
              </w:rPr>
            </w:pPr>
            <w:r>
              <w:rPr>
                <w:rFonts w:hint="eastAsia" w:ascii="宋体" w:hAnsi="宋体"/>
                <w:sz w:val="21"/>
                <w:szCs w:val="21"/>
              </w:rPr>
              <w:t xml:space="preserve">2</w:t>
            </w:r>
            <w:r/>
          </w:p>
        </w:tc>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燃气用具</w:t>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家用燃气灶</w:t>
            </w:r>
            <w:r/>
          </w:p>
        </w:tc>
        <w:tc>
          <w:tcPr>
            <w:tcBorders>
              <w:top w:val="none" w:color="000000" w:sz="4" w:space="0"/>
              <w:left w:val="single" w:color="auto" w:sz="4" w:space="0"/>
              <w:bottom w:val="single" w:color="auto" w:sz="4" w:space="0"/>
              <w:right w:val="single" w:color="auto" w:sz="4" w:space="0"/>
            </w:tcBorders>
            <w:tcW w:w="4159" w:type="dxa"/>
            <w:vAlign w:val="center"/>
            <w:vMerge w:val="restart"/>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南京市鼓楼区金桥市场、徐州市泉山区新黄河建材装饰城、淮安市淮阴区苏北温州大市场、宿迁市义乌商贸城、泰州市海</w:t>
            </w:r>
            <w:r>
              <w:rPr>
                <w:rFonts w:hint="eastAsia" w:ascii="宋体" w:hAnsi="宋体" w:cs="宋体"/>
                <w:sz w:val="21"/>
                <w:szCs w:val="21"/>
              </w:rPr>
              <w:t xml:space="preserve">陵区温泰市场</w:t>
            </w:r>
            <w:r>
              <w:rPr>
                <w:rFonts w:hint="eastAsia" w:ascii="宋体" w:hAnsi="宋体" w:cs="宋体"/>
                <w:sz w:val="21"/>
                <w:szCs w:val="21"/>
              </w:rPr>
              <w:t xml:space="preserve">、镇江市丹阳市云阳镇千家乐市场</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家用燃气快速热水器</w:t>
            </w:r>
            <w:r/>
          </w:p>
        </w:tc>
        <w:tc>
          <w:tcPr>
            <w:tcBorders>
              <w:top w:val="none" w:color="000000" w:sz="4" w:space="0"/>
              <w:left w:val="single" w:color="auto" w:sz="4" w:space="0"/>
              <w:bottom w:val="single" w:color="auto" w:sz="4" w:space="0"/>
              <w:right w:val="single" w:color="auto" w:sz="4" w:space="0"/>
            </w:tcBorders>
            <w:tcW w:w="4159"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燃气用具连接用软管</w:t>
            </w:r>
            <w:r/>
          </w:p>
        </w:tc>
        <w:tc>
          <w:tcPr>
            <w:tcBorders>
              <w:top w:val="none" w:color="000000" w:sz="4" w:space="0"/>
              <w:left w:val="single" w:color="auto" w:sz="4" w:space="0"/>
              <w:bottom w:val="single" w:color="auto" w:sz="4" w:space="0"/>
              <w:right w:val="single" w:color="auto" w:sz="4" w:space="0"/>
            </w:tcBorders>
            <w:tcW w:w="4159"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瓶装液化石油气调压器</w:t>
            </w:r>
            <w:r/>
          </w:p>
        </w:tc>
        <w:tc>
          <w:tcPr>
            <w:tcBorders>
              <w:top w:val="none" w:color="000000" w:sz="4" w:space="0"/>
              <w:left w:val="single" w:color="auto" w:sz="4" w:space="0"/>
              <w:bottom w:val="single" w:color="auto" w:sz="4" w:space="0"/>
              <w:right w:val="single" w:color="auto" w:sz="4" w:space="0"/>
            </w:tcBorders>
            <w:tcW w:w="4159"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商用燃气燃烧器具</w:t>
            </w:r>
            <w:r/>
          </w:p>
        </w:tc>
        <w:tc>
          <w:tcPr>
            <w:tcBorders>
              <w:top w:val="none" w:color="000000" w:sz="4" w:space="0"/>
              <w:left w:val="single" w:color="auto" w:sz="4" w:space="0"/>
              <w:bottom w:val="single" w:color="auto" w:sz="4" w:space="0"/>
              <w:right w:val="single" w:color="auto" w:sz="4" w:space="0"/>
            </w:tcBorders>
            <w:tcW w:w="4159"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电磁式燃气紧急切断阀</w:t>
            </w:r>
            <w:r/>
          </w:p>
        </w:tc>
        <w:tc>
          <w:tcPr>
            <w:tcBorders>
              <w:top w:val="none" w:color="000000" w:sz="4" w:space="0"/>
              <w:left w:val="single" w:color="auto" w:sz="4" w:space="0"/>
              <w:bottom w:val="single" w:color="auto" w:sz="4" w:space="0"/>
              <w:right w:val="single" w:color="auto" w:sz="4" w:space="0"/>
            </w:tcBorders>
            <w:tcW w:w="4159"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消防产品</w:t>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手提式灭火器</w:t>
            </w:r>
            <w:r/>
          </w:p>
        </w:tc>
        <w:tc>
          <w:tcPr>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无锡市</w:t>
            </w:r>
            <w:r>
              <w:rPr>
                <w:rFonts w:hint="eastAsia" w:ascii="宋体" w:hAnsi="宋体" w:cs="宋体"/>
                <w:sz w:val="21"/>
                <w:szCs w:val="21"/>
              </w:rPr>
              <w:t xml:space="preserve">新吴区无锡</w:t>
            </w:r>
            <w:r>
              <w:rPr>
                <w:rFonts w:hint="eastAsia" w:ascii="宋体" w:hAnsi="宋体" w:cs="宋体"/>
                <w:sz w:val="21"/>
                <w:szCs w:val="21"/>
              </w:rPr>
              <w:t xml:space="preserve">国际招商城、苏州市吴中区华夏五金机电城</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过滤式消防自救呼吸器</w:t>
            </w:r>
            <w:r/>
          </w:p>
        </w:tc>
        <w:tc>
          <w:tcPr>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无锡市</w:t>
            </w:r>
            <w:r>
              <w:rPr>
                <w:rFonts w:hint="eastAsia" w:ascii="宋体" w:hAnsi="宋体" w:cs="宋体"/>
                <w:sz w:val="21"/>
                <w:szCs w:val="21"/>
              </w:rPr>
              <w:t xml:space="preserve">新吴区无锡</w:t>
            </w:r>
            <w:r>
              <w:rPr>
                <w:rFonts w:hint="eastAsia" w:ascii="宋体" w:hAnsi="宋体" w:cs="宋体"/>
                <w:sz w:val="21"/>
                <w:szCs w:val="21"/>
              </w:rPr>
              <w:t xml:space="preserve">国际招商城、苏州市吴中区华夏五金机电城</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消防水带</w:t>
            </w:r>
            <w:r/>
          </w:p>
        </w:tc>
        <w:tc>
          <w:tcPr>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无锡市</w:t>
            </w:r>
            <w:r>
              <w:rPr>
                <w:rFonts w:hint="eastAsia" w:ascii="宋体" w:hAnsi="宋体" w:cs="宋体"/>
                <w:sz w:val="21"/>
                <w:szCs w:val="21"/>
              </w:rPr>
              <w:t xml:space="preserve">新吴区无锡</w:t>
            </w:r>
            <w:r>
              <w:rPr>
                <w:rFonts w:hint="eastAsia" w:ascii="宋体" w:hAnsi="宋体" w:cs="宋体"/>
                <w:sz w:val="21"/>
                <w:szCs w:val="21"/>
              </w:rPr>
              <w:t xml:space="preserve">国际招商城、苏州市吴中区华夏五金机电城</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电气火灾监控探测器</w:t>
            </w:r>
            <w:r/>
          </w:p>
          <w:p>
            <w:pPr>
              <w:spacing w:after="160" w:line="240" w:lineRule="exact"/>
              <w:rPr>
                <w:rFonts w:hint="eastAsia" w:ascii="宋体" w:hAnsi="宋体" w:cs="宋体"/>
                <w:sz w:val="21"/>
                <w:szCs w:val="21"/>
              </w:rPr>
            </w:pPr>
            <w:r>
              <w:rPr>
                <w:rFonts w:hint="eastAsia" w:ascii="宋体" w:hAnsi="宋体" w:cs="宋体"/>
                <w:sz w:val="21"/>
                <w:szCs w:val="21"/>
              </w:rPr>
            </w:r>
            <w:r/>
          </w:p>
        </w:tc>
        <w:tc>
          <w:tcPr>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无锡市</w:t>
            </w:r>
            <w:r>
              <w:rPr>
                <w:rFonts w:hint="eastAsia" w:ascii="宋体" w:hAnsi="宋体" w:cs="宋体"/>
                <w:sz w:val="21"/>
                <w:szCs w:val="21"/>
              </w:rPr>
              <w:t xml:space="preserve">新吴区无锡</w:t>
            </w:r>
            <w:r>
              <w:rPr>
                <w:rFonts w:hint="eastAsia" w:ascii="宋体" w:hAnsi="宋体" w:cs="宋体"/>
                <w:sz w:val="21"/>
                <w:szCs w:val="21"/>
              </w:rPr>
              <w:t xml:space="preserve">国际招商城、苏州市吴中区华夏五金机电城</w:t>
            </w:r>
            <w:r/>
          </w:p>
        </w:tc>
      </w:tr>
      <w:tr>
        <w:trPr>
          <w:trHeight w:val="454"/>
        </w:trPr>
        <w:tc>
          <w:tcPr>
            <w:tcBorders>
              <w:top w:val="none" w:color="000000" w:sz="4" w:space="0"/>
              <w:left w:val="single" w:color="auto" w:sz="4" w:space="0"/>
              <w:bottom w:val="single" w:color="auto" w:sz="4" w:space="0"/>
              <w:right w:val="single" w:color="auto" w:sz="4" w:space="0"/>
            </w:tcBorders>
            <w:tcW w:w="728" w:type="dxa"/>
            <w:vAlign w:val="center"/>
            <w:vMerge w:val="continue"/>
            <w:textDirection w:val="lrTb"/>
            <w:noWrap w:val="false"/>
          </w:tcPr>
          <w:p>
            <w:pPr>
              <w:spacing w:after="160" w:line="240" w:lineRule="exact"/>
              <w:rPr>
                <w:rFonts w:hint="eastAsia" w:ascii="宋体" w:hAnsi="宋体"/>
                <w:sz w:val="21"/>
                <w:szCs w:val="21"/>
              </w:rPr>
            </w:pPr>
            <w:r>
              <w:rPr>
                <w:rFonts w:hint="eastAsia" w:ascii="宋体" w:hAnsi="宋体"/>
                <w:sz w:val="21"/>
                <w:szCs w:val="21"/>
              </w:rPr>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移动电源</w:t>
            </w:r>
            <w:r/>
          </w:p>
        </w:tc>
        <w:tc>
          <w:tcPr>
            <w:tcBorders>
              <w:top w:val="none" w:color="000000" w:sz="4" w:space="0"/>
              <w:left w:val="none" w:color="000000" w:sz="4" w:space="0"/>
              <w:bottom w:val="single" w:color="auto" w:sz="4" w:space="0"/>
              <w:right w:val="single" w:color="auto" w:sz="4" w:space="0"/>
            </w:tcBorders>
            <w:tcW w:w="2767"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移动电源</w:t>
            </w:r>
            <w:r/>
          </w:p>
        </w:tc>
        <w:tc>
          <w:tcPr>
            <w:tcBorders>
              <w:top w:val="none" w:color="000000" w:sz="4" w:space="0"/>
              <w:left w:val="none" w:color="000000" w:sz="4" w:space="0"/>
              <w:bottom w:val="single" w:color="auto" w:sz="4" w:space="0"/>
              <w:right w:val="single" w:color="auto" w:sz="4" w:space="0"/>
            </w:tcBorders>
            <w:tcW w:w="4159"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苏州市赛格电子市场、苏州市吴江赛格广场</w:t>
            </w:r>
            <w:r/>
          </w:p>
        </w:tc>
      </w:tr>
    </w:tbl>
    <w:p>
      <w:pPr>
        <w:jc w:val="center"/>
        <w:spacing w:after="160" w:line="560" w:lineRule="exac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方正黑体_GBK"/>
          <w:b/>
          <w:sz w:val="24"/>
          <w:szCs w:val="24"/>
        </w:rPr>
        <w:t xml:space="preserve">附件2  </w:t>
      </w:r>
      <w:r>
        <w:rPr>
          <w:rFonts w:hint="eastAsia" w:ascii="宋体" w:hAnsi="宋体" w:cs="宋体"/>
          <w:sz w:val="24"/>
          <w:szCs w:val="24"/>
        </w:rPr>
        <w:t xml:space="preserve">202</w:t>
      </w:r>
      <w:r>
        <w:rPr>
          <w:rFonts w:ascii="宋体" w:hAnsi="宋体" w:cs="宋体"/>
          <w:sz w:val="24"/>
          <w:szCs w:val="24"/>
        </w:rPr>
        <w:t xml:space="preserve">6</w:t>
      </w:r>
      <w:r>
        <w:rPr>
          <w:rFonts w:hint="eastAsia" w:ascii="宋体" w:hAnsi="宋体" w:cs="宋体"/>
          <w:sz w:val="24"/>
          <w:szCs w:val="24"/>
        </w:rPr>
        <w:t xml:space="preserve">年江苏省重点工业产品质量安全隐患风险动态监测内容</w:t>
      </w:r>
      <w:r/>
    </w:p>
    <w:tbl>
      <w:tblPr>
        <w:tblW w:w="46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8"/>
        <w:gridCol w:w="1078"/>
        <w:gridCol w:w="2092"/>
        <w:gridCol w:w="1621"/>
        <w:gridCol w:w="2235"/>
        <w:gridCol w:w="15"/>
      </w:tblGrid>
      <w:tr>
        <w:trPr>
          <w:gridAfter w:val="1"/>
          <w:jc w:val="center"/>
          <w:trHeight w:val="1971"/>
        </w:trPr>
        <w:tc>
          <w:tcPr>
            <w:tcW w:w="681" w:type="dxa"/>
            <w:vAlign w:val="center"/>
            <w:textDirection w:val="lrTb"/>
            <w:noWrap w:val="false"/>
          </w:tcPr>
          <w:p>
            <w:pPr>
              <w:jc w:val="center"/>
              <w:spacing w:after="160" w:line="300" w:lineRule="exact"/>
              <w:rPr>
                <w:rFonts w:hint="eastAsia" w:ascii="宋体" w:hAnsi="宋体" w:cs="宋体"/>
                <w:sz w:val="21"/>
                <w:szCs w:val="21"/>
              </w:rPr>
            </w:pPr>
            <w:r>
              <w:rPr>
                <w:rFonts w:hint="eastAsia" w:ascii="宋体" w:hAnsi="宋体" w:cs="宋体"/>
                <w:sz w:val="21"/>
                <w:szCs w:val="21"/>
              </w:rPr>
              <w:t xml:space="preserve">采购包序号</w:t>
            </w:r>
            <w:r/>
          </w:p>
        </w:tc>
        <w:tc>
          <w:tcPr>
            <w:tcW w:w="1111" w:type="dxa"/>
            <w:vAlign w:val="center"/>
            <w:textDirection w:val="lrTb"/>
            <w:noWrap w:val="false"/>
          </w:tcPr>
          <w:p>
            <w:pPr>
              <w:jc w:val="center"/>
              <w:spacing w:after="160" w:line="300" w:lineRule="exact"/>
              <w:rPr>
                <w:rFonts w:hint="eastAsia" w:ascii="宋体" w:hAnsi="宋体" w:cs="宋体"/>
                <w:sz w:val="21"/>
                <w:szCs w:val="21"/>
              </w:rPr>
            </w:pPr>
            <w:r>
              <w:rPr>
                <w:rFonts w:hint="eastAsia" w:ascii="宋体" w:hAnsi="宋体" w:cs="宋体"/>
                <w:sz w:val="21"/>
                <w:szCs w:val="21"/>
              </w:rPr>
              <w:t xml:space="preserve">产品类别</w:t>
            </w:r>
            <w:r/>
          </w:p>
        </w:tc>
        <w:tc>
          <w:tcPr>
            <w:tcW w:w="2138" w:type="dxa"/>
            <w:vAlign w:val="center"/>
            <w:textDirection w:val="lrTb"/>
            <w:noWrap w:val="false"/>
          </w:tcPr>
          <w:p>
            <w:pPr>
              <w:jc w:val="center"/>
              <w:spacing w:after="160" w:line="300" w:lineRule="exact"/>
              <w:rPr>
                <w:rFonts w:hint="eastAsia" w:ascii="宋体" w:hAnsi="宋体" w:cs="宋体"/>
                <w:sz w:val="21"/>
                <w:szCs w:val="21"/>
              </w:rPr>
            </w:pPr>
            <w:r>
              <w:rPr>
                <w:rFonts w:hint="eastAsia" w:ascii="宋体" w:hAnsi="宋体" w:cs="宋体"/>
                <w:sz w:val="21"/>
                <w:szCs w:val="21"/>
              </w:rPr>
              <w:t xml:space="preserve">动态监测产品品种</w:t>
            </w:r>
            <w:r/>
          </w:p>
        </w:tc>
        <w:tc>
          <w:tcPr>
            <w:tcW w:w="1670" w:type="dxa"/>
            <w:vAlign w:val="center"/>
            <w:textDirection w:val="lrTb"/>
            <w:noWrap w:val="false"/>
          </w:tcPr>
          <w:p>
            <w:pPr>
              <w:jc w:val="center"/>
              <w:spacing w:after="160" w:line="300" w:lineRule="exact"/>
              <w:rPr>
                <w:rFonts w:hint="eastAsia" w:ascii="宋体" w:hAnsi="宋体" w:cs="宋体"/>
                <w:sz w:val="21"/>
                <w:szCs w:val="21"/>
              </w:rPr>
            </w:pPr>
            <w:r>
              <w:rPr>
                <w:rFonts w:hint="eastAsia" w:ascii="宋体" w:hAnsi="宋体" w:cs="宋体"/>
                <w:sz w:val="21"/>
                <w:szCs w:val="21"/>
              </w:rPr>
              <w:t xml:space="preserve">动态监测数量（批次）</w:t>
            </w:r>
            <w:r/>
          </w:p>
        </w:tc>
        <w:tc>
          <w:tcPr>
            <w:tcW w:w="2304" w:type="dxa"/>
            <w:vAlign w:val="center"/>
            <w:textDirection w:val="lrTb"/>
            <w:noWrap w:val="false"/>
          </w:tcPr>
          <w:p>
            <w:pPr>
              <w:jc w:val="center"/>
              <w:spacing w:after="160" w:line="300" w:lineRule="exact"/>
              <w:rPr>
                <w:rFonts w:hint="eastAsia" w:ascii="宋体" w:hAnsi="宋体" w:cs="宋体"/>
                <w:sz w:val="21"/>
                <w:szCs w:val="21"/>
              </w:rPr>
            </w:pPr>
            <w:r>
              <w:rPr>
                <w:rFonts w:hint="eastAsia" w:ascii="宋体" w:hAnsi="宋体" w:cs="宋体"/>
                <w:sz w:val="21"/>
                <w:szCs w:val="21"/>
              </w:rPr>
              <w:t xml:space="preserve">采购预算</w:t>
            </w:r>
            <w:r>
              <w:rPr>
                <w:rFonts w:hint="eastAsia" w:ascii="宋体" w:hAnsi="宋体" w:cs="宋体"/>
                <w:sz w:val="21"/>
                <w:szCs w:val="21"/>
              </w:rPr>
              <w:br/>
              <w:t xml:space="preserve">（人民币：元）</w:t>
            </w:r>
            <w:r/>
          </w:p>
        </w:tc>
      </w:tr>
      <w:tr>
        <w:trPr>
          <w:jc w:val="center"/>
          <w:trHeight w:val="454"/>
        </w:trPr>
        <w:tc>
          <w:tcPr>
            <w:tcW w:w="681" w:type="dxa"/>
            <w:vAlign w:val="center"/>
            <w:vMerge w:val="restart"/>
            <w:textDirection w:val="lrTb"/>
            <w:noWrap w:val="false"/>
          </w:tcPr>
          <w:p>
            <w:pPr>
              <w:jc w:val="center"/>
              <w:spacing w:after="160" w:line="278" w:lineRule="auto"/>
              <w:rPr>
                <w:rFonts w:hint="eastAsia" w:ascii="宋体" w:hAnsi="宋体"/>
                <w:sz w:val="21"/>
                <w:szCs w:val="21"/>
              </w:rPr>
            </w:pPr>
            <w:r>
              <w:rPr>
                <w:rFonts w:hint="eastAsia" w:ascii="宋体" w:hAnsi="宋体"/>
                <w:sz w:val="21"/>
                <w:szCs w:val="21"/>
              </w:rPr>
              <w:t xml:space="preserve">1</w:t>
            </w:r>
            <w:r/>
          </w:p>
        </w:tc>
        <w:tc>
          <w:tcPr>
            <w:tcW w:w="1111"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建筑用钢筋</w:t>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钢筋混凝土用热轧钢筋、冷轧带肋钢筋</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30</w:t>
            </w:r>
            <w:r/>
          </w:p>
        </w:tc>
        <w:tc>
          <w:tcPr>
            <w:gridSpan w:val="2"/>
            <w:tcW w:w="2319" w:type="dxa"/>
            <w:vAlign w:val="center"/>
            <w:vMerge w:val="restart"/>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494</w:t>
            </w:r>
            <w:r>
              <w:rPr>
                <w:rFonts w:hint="eastAsia" w:ascii="宋体" w:hAnsi="宋体"/>
                <w:sz w:val="21"/>
                <w:szCs w:val="21"/>
              </w:rPr>
              <w:t xml:space="preserve">000</w:t>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shd w:val="clear" w:color="000000" w:fill="ffffff"/>
            <w:tcW w:w="1111"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建筑保温材料</w:t>
            </w:r>
            <w:r/>
          </w:p>
        </w:tc>
        <w:tc>
          <w:tcPr>
            <w:shd w:val="clear" w:color="000000" w:fill="ffffff"/>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岩棉板、模塑聚苯乙烯泡沫板（XPS）、挤塑聚苯乙烯泡沫板（XPS）、橡塑保温板、聚氨酯泡沫（PU）</w:t>
            </w:r>
            <w:r/>
          </w:p>
        </w:tc>
        <w:tc>
          <w:tcPr>
            <w:shd w:val="clear" w:color="000000" w:fill="ffffff"/>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40</w:t>
            </w:r>
            <w:r/>
          </w:p>
        </w:tc>
        <w:tc>
          <w:tcPr>
            <w:gridSpan w:val="2"/>
            <w:shd w:val="clear" w:color="000000" w:fill="ffffff"/>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人造板</w:t>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胶合板、细木工板</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20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电线电缆</w:t>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电线电缆</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20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restart"/>
            <w:textDirection w:val="lrTb"/>
            <w:noWrap w:val="false"/>
          </w:tcPr>
          <w:p>
            <w:pPr>
              <w:jc w:val="center"/>
              <w:spacing w:after="160" w:line="278" w:lineRule="auto"/>
              <w:rPr>
                <w:rFonts w:hint="eastAsia" w:ascii="宋体" w:hAnsi="宋体"/>
                <w:sz w:val="21"/>
                <w:szCs w:val="21"/>
              </w:rPr>
            </w:pPr>
            <w:r>
              <w:rPr>
                <w:rFonts w:hint="eastAsia" w:ascii="宋体" w:hAnsi="宋体"/>
                <w:sz w:val="21"/>
                <w:szCs w:val="21"/>
              </w:rPr>
              <w:t xml:space="preserve">2</w:t>
            </w:r>
            <w:r/>
          </w:p>
        </w:tc>
        <w:tc>
          <w:tcPr>
            <w:tcW w:w="1111" w:type="dxa"/>
            <w:vAlign w:val="center"/>
            <w:vMerge w:val="restart"/>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燃气用具</w:t>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家用燃气灶</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20</w:t>
            </w:r>
            <w:r/>
          </w:p>
        </w:tc>
        <w:tc>
          <w:tcPr>
            <w:gridSpan w:val="2"/>
            <w:tcW w:w="2319" w:type="dxa"/>
            <w:vAlign w:val="center"/>
            <w:vMerge w:val="restart"/>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805</w:t>
            </w:r>
            <w:r>
              <w:rPr>
                <w:rFonts w:hint="eastAsia" w:ascii="宋体" w:hAnsi="宋体"/>
                <w:sz w:val="21"/>
                <w:szCs w:val="21"/>
              </w:rPr>
              <w:t xml:space="preserve">000</w:t>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家用燃气快速热水器</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10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燃气用具连接用软管</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20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瓶装液化石油气调压器</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20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商用燃气燃烧器具</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15</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电磁式燃气紧急切断阀</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5</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restart"/>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消防产品</w:t>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手提式灭火器</w:t>
            </w:r>
            <w:r/>
          </w:p>
        </w:tc>
        <w:tc>
          <w:tcPr>
            <w:tcW w:w="1670" w:type="dxa"/>
            <w:vAlign w:val="center"/>
            <w:textDirection w:val="lrTb"/>
            <w:noWrap w:val="false"/>
          </w:tcPr>
          <w:p>
            <w:pPr>
              <w:jc w:val="center"/>
              <w:spacing w:after="160" w:line="240" w:lineRule="exact"/>
              <w:rPr>
                <w:rFonts w:hint="eastAsia" w:ascii="宋体" w:hAnsi="宋体"/>
                <w:color w:val="000000"/>
                <w:sz w:val="21"/>
                <w:szCs w:val="21"/>
              </w:rPr>
            </w:pPr>
            <w:r>
              <w:rPr>
                <w:rFonts w:ascii="宋体" w:hAnsi="宋体"/>
                <w:color w:val="000000"/>
                <w:sz w:val="21"/>
                <w:szCs w:val="21"/>
              </w:rPr>
              <w:t xml:space="preserve">30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过滤式消防自救呼吸器</w:t>
            </w:r>
            <w:r/>
          </w:p>
        </w:tc>
        <w:tc>
          <w:tcPr>
            <w:tcW w:w="1670" w:type="dxa"/>
            <w:vAlign w:val="center"/>
            <w:textDirection w:val="lrTb"/>
            <w:noWrap w:val="false"/>
          </w:tcPr>
          <w:p>
            <w:pPr>
              <w:jc w:val="center"/>
              <w:spacing w:after="160" w:line="240" w:lineRule="exact"/>
              <w:rPr>
                <w:rFonts w:hint="eastAsia" w:ascii="宋体" w:hAnsi="宋体"/>
                <w:color w:val="000000"/>
                <w:sz w:val="21"/>
                <w:szCs w:val="21"/>
              </w:rPr>
            </w:pPr>
            <w:r>
              <w:rPr>
                <w:rFonts w:ascii="宋体" w:hAnsi="宋体"/>
                <w:color w:val="000000"/>
                <w:sz w:val="21"/>
                <w:szCs w:val="21"/>
              </w:rPr>
              <w:t xml:space="preserve">20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消防水带</w:t>
            </w:r>
            <w:r/>
          </w:p>
        </w:tc>
        <w:tc>
          <w:tcPr>
            <w:tcW w:w="1670" w:type="dxa"/>
            <w:vAlign w:val="center"/>
            <w:textDirection w:val="lrTb"/>
            <w:noWrap w:val="false"/>
          </w:tcPr>
          <w:p>
            <w:pPr>
              <w:jc w:val="center"/>
              <w:spacing w:after="160" w:line="240" w:lineRule="exact"/>
              <w:rPr>
                <w:rFonts w:hint="eastAsia" w:ascii="宋体" w:hAnsi="宋体"/>
                <w:color w:val="000000"/>
                <w:sz w:val="21"/>
                <w:szCs w:val="21"/>
              </w:rPr>
            </w:pPr>
            <w:r>
              <w:rPr>
                <w:rFonts w:ascii="宋体" w:hAnsi="宋体"/>
                <w:color w:val="000000"/>
                <w:sz w:val="21"/>
                <w:szCs w:val="21"/>
              </w:rPr>
              <w:t xml:space="preserve">20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vMerge w:val="continue"/>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电气火灾监控探测器</w:t>
            </w:r>
            <w:r/>
          </w:p>
        </w:tc>
        <w:tc>
          <w:tcPr>
            <w:tcW w:w="1670" w:type="dxa"/>
            <w:vAlign w:val="center"/>
            <w:textDirection w:val="lrTb"/>
            <w:noWrap w:val="false"/>
          </w:tcPr>
          <w:p>
            <w:pPr>
              <w:jc w:val="center"/>
              <w:spacing w:after="160" w:line="240" w:lineRule="exact"/>
              <w:rPr>
                <w:rFonts w:hint="eastAsia" w:ascii="宋体" w:hAnsi="宋体"/>
                <w:color w:val="000000"/>
                <w:sz w:val="21"/>
                <w:szCs w:val="21"/>
              </w:rPr>
            </w:pPr>
            <w:r>
              <w:rPr>
                <w:rFonts w:ascii="宋体" w:hAnsi="宋体"/>
                <w:color w:val="000000"/>
                <w:sz w:val="21"/>
                <w:szCs w:val="21"/>
              </w:rPr>
              <w:t xml:space="preserve">10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r>
        <w:trPr>
          <w:jc w:val="center"/>
          <w:trHeight w:val="454"/>
        </w:trPr>
        <w:tc>
          <w:tcPr>
            <w:tcW w:w="681"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c>
          <w:tcPr>
            <w:tcW w:w="1111" w:type="dxa"/>
            <w:vAlign w:val="center"/>
            <w:textDirection w:val="lrTb"/>
            <w:noWrap w:val="false"/>
          </w:tcPr>
          <w:p>
            <w:pPr>
              <w:jc w:val="center"/>
              <w:spacing w:after="160" w:line="240" w:lineRule="exact"/>
              <w:rPr>
                <w:rFonts w:hint="eastAsia" w:ascii="宋体" w:hAnsi="宋体" w:cs="宋体"/>
                <w:sz w:val="21"/>
                <w:szCs w:val="21"/>
              </w:rPr>
            </w:pPr>
            <w:r>
              <w:rPr>
                <w:rFonts w:hint="eastAsia" w:ascii="宋体" w:hAnsi="宋体" w:cs="宋体"/>
                <w:sz w:val="21"/>
                <w:szCs w:val="21"/>
              </w:rPr>
              <w:t xml:space="preserve">移动电源</w:t>
            </w:r>
            <w:r/>
          </w:p>
        </w:tc>
        <w:tc>
          <w:tcPr>
            <w:tcW w:w="2138" w:type="dxa"/>
            <w:vAlign w:val="center"/>
            <w:textDirection w:val="lrTb"/>
            <w:noWrap w:val="false"/>
          </w:tcPr>
          <w:p>
            <w:pPr>
              <w:spacing w:after="160" w:line="240" w:lineRule="exact"/>
              <w:rPr>
                <w:rFonts w:hint="eastAsia" w:ascii="宋体" w:hAnsi="宋体" w:cs="宋体"/>
                <w:sz w:val="21"/>
                <w:szCs w:val="21"/>
              </w:rPr>
            </w:pPr>
            <w:r>
              <w:rPr>
                <w:rFonts w:hint="eastAsia" w:ascii="宋体" w:hAnsi="宋体" w:cs="宋体"/>
                <w:sz w:val="21"/>
                <w:szCs w:val="21"/>
              </w:rPr>
              <w:t xml:space="preserve">移动电源</w:t>
            </w:r>
            <w:r/>
          </w:p>
        </w:tc>
        <w:tc>
          <w:tcPr>
            <w:tcW w:w="1670" w:type="dxa"/>
            <w:vAlign w:val="center"/>
            <w:textDirection w:val="lrTb"/>
            <w:noWrap w:val="false"/>
          </w:tcPr>
          <w:p>
            <w:pPr>
              <w:jc w:val="center"/>
              <w:spacing w:after="160" w:line="240" w:lineRule="exact"/>
              <w:rPr>
                <w:rFonts w:hint="eastAsia" w:ascii="宋体" w:hAnsi="宋体"/>
                <w:sz w:val="21"/>
                <w:szCs w:val="21"/>
              </w:rPr>
            </w:pPr>
            <w:r>
              <w:rPr>
                <w:rFonts w:ascii="宋体" w:hAnsi="宋体"/>
                <w:sz w:val="21"/>
                <w:szCs w:val="21"/>
              </w:rPr>
              <w:t xml:space="preserve">20</w:t>
            </w:r>
            <w:r/>
          </w:p>
        </w:tc>
        <w:tc>
          <w:tcPr>
            <w:gridSpan w:val="2"/>
            <w:tcW w:w="2319" w:type="dxa"/>
            <w:vAlign w:val="center"/>
            <w:vMerge w:val="continue"/>
            <w:textDirection w:val="lrTb"/>
            <w:noWrap w:val="false"/>
          </w:tcPr>
          <w:p>
            <w:pPr>
              <w:spacing w:after="160" w:line="278" w:lineRule="auto"/>
              <w:rPr>
                <w:rFonts w:hint="eastAsia" w:ascii="宋体" w:hAnsi="宋体"/>
                <w:sz w:val="21"/>
                <w:szCs w:val="21"/>
              </w:rPr>
            </w:pPr>
            <w:r>
              <w:rPr>
                <w:rFonts w:hint="eastAsia" w:ascii="宋体" w:hAnsi="宋体"/>
                <w:sz w:val="21"/>
                <w:szCs w:val="21"/>
              </w:rPr>
            </w:r>
            <w:r/>
          </w:p>
        </w:tc>
      </w:tr>
    </w:tbl>
    <w:p>
      <w:pPr>
        <w:spacing w:after="160" w:line="560" w:lineRule="exact"/>
        <w:rPr>
          <w:rFonts w:hint="eastAsia" w:ascii="宋体" w:hAnsi="宋体" w:cs="宋体"/>
          <w:sz w:val="24"/>
          <w:szCs w:val="24"/>
        </w:rPr>
      </w:pPr>
      <w:r>
        <w:rPr>
          <w:rFonts w:hint="eastAsia" w:ascii="宋体" w:hAnsi="宋体" w:cs="宋体"/>
          <w:sz w:val="24"/>
          <w:szCs w:val="24"/>
        </w:rPr>
      </w:r>
      <w:r/>
    </w:p>
    <w:p>
      <w:pPr>
        <w:jc w:val="both"/>
        <w:spacing w:after="160" w:line="360" w:lineRule="auto"/>
        <w:widowControl w:val="off"/>
        <w:rPr>
          <w:rFonts w:hint="eastAsia" w:ascii="宋体" w:hAnsi="宋体" w:cs="方正黑体_GBK"/>
          <w:b/>
          <w:sz w:val="24"/>
          <w:szCs w:val="24"/>
        </w:rPr>
      </w:pPr>
      <w:r>
        <w:rPr>
          <w:rFonts w:hint="eastAsia" w:ascii="宋体" w:hAnsi="宋体" w:cs="方正黑体_GBK"/>
          <w:b/>
          <w:sz w:val="24"/>
          <w:szCs w:val="24"/>
        </w:rPr>
        <w:br w:type="page" w:clear="all"/>
      </w:r>
      <w:r>
        <w:rPr>
          <w:rFonts w:hint="eastAsia" w:ascii="宋体" w:hAnsi="宋体" w:cs="方正黑体_GBK"/>
          <w:b/>
          <w:sz w:val="24"/>
          <w:szCs w:val="24"/>
        </w:rPr>
        <w:t xml:space="preserve">附件3</w:t>
      </w:r>
      <w:r/>
    </w:p>
    <w:p>
      <w:pPr>
        <w:jc w:val="center"/>
        <w:spacing w:after="160" w:line="360" w:lineRule="auto"/>
        <w:widowControl w:val="off"/>
        <w:rPr>
          <w:rFonts w:hint="eastAsia" w:ascii="宋体" w:hAnsi="宋体" w:cs="方正黑体_GBK"/>
          <w:bCs/>
          <w:sz w:val="24"/>
          <w:szCs w:val="24"/>
        </w:rPr>
      </w:pPr>
      <w:r>
        <w:rPr>
          <w:rFonts w:hint="eastAsia" w:ascii="宋体" w:hAnsi="宋体" w:cs="方正黑体_GBK"/>
          <w:bCs/>
          <w:sz w:val="24"/>
          <w:szCs w:val="24"/>
        </w:rPr>
        <w:t xml:space="preserve">202</w:t>
      </w:r>
      <w:r>
        <w:rPr>
          <w:rFonts w:ascii="宋体" w:hAnsi="宋体" w:cs="方正黑体_GBK"/>
          <w:bCs/>
          <w:sz w:val="24"/>
          <w:szCs w:val="24"/>
        </w:rPr>
        <w:t xml:space="preserve">6</w:t>
      </w:r>
      <w:r>
        <w:rPr>
          <w:rFonts w:hint="eastAsia" w:ascii="宋体" w:hAnsi="宋体" w:cs="方正黑体_GBK"/>
          <w:bCs/>
          <w:sz w:val="24"/>
          <w:szCs w:val="24"/>
        </w:rPr>
        <w:t xml:space="preserve">年江苏省</w:t>
      </w:r>
      <w:r>
        <w:rPr>
          <w:rFonts w:hint="eastAsia" w:ascii="宋体" w:hAnsi="宋体" w:cs="宋体"/>
          <w:sz w:val="24"/>
          <w:szCs w:val="24"/>
        </w:rPr>
        <w:t xml:space="preserve">重点工业产品质量安全隐患风险动态监测</w:t>
      </w:r>
      <w:r>
        <w:rPr>
          <w:rFonts w:hint="eastAsia" w:ascii="宋体" w:hAnsi="宋体" w:cs="方正黑体_GBK"/>
          <w:bCs/>
          <w:sz w:val="24"/>
          <w:szCs w:val="24"/>
        </w:rPr>
        <w:t xml:space="preserve">需求明细</w:t>
      </w:r>
      <w:r/>
    </w:p>
    <w:p>
      <w:pPr>
        <w:spacing w:after="160" w:line="360" w:lineRule="auto"/>
        <w:widowControl w:val="off"/>
        <w:rPr>
          <w:b/>
          <w:bCs/>
          <w:color w:val="0d0d0d"/>
          <w:sz w:val="28"/>
          <w:szCs w:val="28"/>
        </w:rPr>
      </w:pPr>
      <w:r>
        <w:rPr>
          <w:rFonts w:hint="eastAsia"/>
          <w:b/>
          <w:bCs/>
          <w:color w:val="0d0d0d"/>
          <w:sz w:val="28"/>
          <w:szCs w:val="28"/>
        </w:rPr>
        <w:t xml:space="preserve">1</w:t>
      </w:r>
      <w:r>
        <w:rPr>
          <w:rFonts w:hint="eastAsia"/>
          <w:b/>
          <w:bCs/>
          <w:color w:val="0d0d0d"/>
          <w:sz w:val="28"/>
          <w:szCs w:val="28"/>
        </w:rPr>
        <w:t xml:space="preserve">、建筑用钢筋</w:t>
      </w:r>
      <w:r/>
    </w:p>
    <w:p>
      <w:pPr>
        <w:jc w:val="both"/>
        <w:spacing w:after="160" w:line="278" w:lineRule="auto"/>
        <w:widowControl w:val="off"/>
        <w:rPr>
          <w:rFonts w:cs="Calibri"/>
          <w:sz w:val="21"/>
          <w:szCs w:val="21"/>
        </w:rPr>
      </w:pPr>
      <w:r>
        <w:rPr>
          <w:rFonts w:hint="eastAsia" w:cs="Calibri"/>
          <w:sz w:val="21"/>
          <w:szCs w:val="21"/>
        </w:rPr>
        <w:t xml:space="preserve">钢筋混凝土用热轧钢筋产品检验检测项目、依据及方法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508"/>
        <w:gridCol w:w="3242"/>
        <w:gridCol w:w="1989"/>
        <w:gridCol w:w="1989"/>
      </w:tblGrid>
      <w:tr>
        <w:trPr>
          <w:jc w:val="center"/>
          <w:trHeight w:val="340"/>
          <w:tblHeader/>
        </w:trPr>
        <w:tc>
          <w:tcPr>
            <w:tcW w:w="342"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序号</w:t>
            </w:r>
            <w:r/>
          </w:p>
        </w:tc>
        <w:tc>
          <w:tcPr>
            <w:gridSpan w:val="2"/>
            <w:tcW w:w="2260"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检验项目</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检验依据</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检验方法</w:t>
            </w:r>
            <w:r/>
          </w:p>
        </w:tc>
      </w:tr>
      <w:tr>
        <w:trPr>
          <w:jc w:val="center"/>
          <w:trHeight w:val="340"/>
        </w:trPr>
        <w:tc>
          <w:tcPr>
            <w:tcW w:w="342"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1</w:t>
            </w:r>
            <w:r/>
          </w:p>
        </w:tc>
        <w:tc>
          <w:tcPr>
            <w:tcW w:w="306"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力学性能</w:t>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下屈服强度</w:t>
            </w:r>
            <w:r>
              <w:rPr>
                <w:rFonts w:hint="eastAsia" w:cs="Calibri"/>
                <w:sz w:val="21"/>
                <w:szCs w:val="21"/>
              </w:rPr>
              <w:t xml:space="preserve">ReL</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p>
            <w:pPr>
              <w:jc w:val="both"/>
              <w:spacing w:after="160" w:line="278" w:lineRule="auto"/>
              <w:widowControl w:val="off"/>
              <w:rPr>
                <w:rFonts w:cs="Calibri"/>
                <w:sz w:val="21"/>
                <w:szCs w:val="21"/>
              </w:rPr>
            </w:pPr>
            <w:r>
              <w:rPr>
                <w:rFonts w:hint="eastAsia" w:cs="Calibri"/>
                <w:sz w:val="21"/>
                <w:szCs w:val="21"/>
              </w:rPr>
              <w:t xml:space="preserve">GB/T 28900</w:t>
            </w:r>
            <w:r>
              <w:rPr>
                <w:rFonts w:hint="eastAsia" w:cs="Calibri"/>
                <w:sz w:val="21"/>
                <w:szCs w:val="21"/>
              </w:rPr>
              <w:t xml:space="preserve">—</w:t>
            </w:r>
            <w:r>
              <w:rPr>
                <w:rFonts w:hint="eastAsia" w:cs="Calibri"/>
                <w:sz w:val="21"/>
                <w:szCs w:val="21"/>
              </w:rPr>
              <w:t xml:space="preserve">2022</w:t>
            </w:r>
            <w:r/>
          </w:p>
        </w:tc>
      </w:tr>
      <w:tr>
        <w:trPr>
          <w:jc w:val="center"/>
          <w:trHeight w:val="9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抗拉强度</w:t>
            </w:r>
            <w:r>
              <w:rPr>
                <w:rFonts w:hint="eastAsia" w:cs="Calibri"/>
                <w:sz w:val="21"/>
                <w:szCs w:val="21"/>
              </w:rPr>
              <w:t xml:space="preserve">Rm</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断后伸长率</w:t>
            </w:r>
            <w:r>
              <w:rPr>
                <w:rFonts w:hint="eastAsia" w:cs="Calibri"/>
                <w:sz w:val="21"/>
                <w:szCs w:val="21"/>
              </w:rPr>
              <w:t xml:space="preserve">A</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实测抗拉强度与实测屈服强度之比</w:t>
            </w:r>
            <w:r>
              <w:rPr>
                <w:rFonts w:hint="eastAsia" w:cs="Calibri"/>
                <w:sz w:val="21"/>
                <w:szCs w:val="21"/>
              </w:rPr>
              <w:t xml:space="preserve">Rom/ </w:t>
            </w:r>
            <w:r>
              <w:rPr>
                <w:rFonts w:hint="eastAsia" w:cs="Calibri"/>
                <w:sz w:val="21"/>
                <w:szCs w:val="21"/>
              </w:rPr>
              <w:t xml:space="preserve">RoeL</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实测屈服强度与屈服强度特征值之比</w:t>
            </w:r>
            <w:r>
              <w:rPr>
                <w:rFonts w:hint="eastAsia" w:cs="Calibri"/>
                <w:sz w:val="21"/>
                <w:szCs w:val="21"/>
              </w:rPr>
              <w:t xml:space="preserve">RoeL</w:t>
            </w:r>
            <w:r>
              <w:rPr>
                <w:rFonts w:hint="eastAsia" w:cs="Calibri"/>
                <w:sz w:val="21"/>
                <w:szCs w:val="21"/>
              </w:rPr>
              <w:t xml:space="preserve">/ </w:t>
            </w:r>
            <w:r>
              <w:rPr>
                <w:rFonts w:hint="eastAsia" w:cs="Calibri"/>
                <w:sz w:val="21"/>
                <w:szCs w:val="21"/>
              </w:rPr>
              <w:t xml:space="preserve">ReL</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最大力</w:t>
            </w:r>
            <w:r>
              <w:rPr>
                <w:rFonts w:hint="eastAsia" w:cs="Calibri"/>
                <w:sz w:val="21"/>
                <w:szCs w:val="21"/>
              </w:rPr>
              <w:t xml:space="preserve">总延伸率</w:t>
            </w:r>
            <w:r>
              <w:rPr>
                <w:rFonts w:hint="eastAsia" w:cs="Calibri"/>
                <w:sz w:val="21"/>
                <w:szCs w:val="21"/>
              </w:rPr>
              <w:t xml:space="preserve">Agt</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2</w:t>
            </w:r>
            <w:r/>
          </w:p>
        </w:tc>
        <w:tc>
          <w:tcPr>
            <w:tcW w:w="306"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工艺性能</w:t>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弯曲性能</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p>
            <w:pPr>
              <w:jc w:val="both"/>
              <w:spacing w:after="160" w:line="278" w:lineRule="auto"/>
              <w:widowControl w:val="off"/>
              <w:rPr>
                <w:rFonts w:cs="Calibri"/>
                <w:sz w:val="21"/>
                <w:szCs w:val="21"/>
              </w:rPr>
            </w:pPr>
            <w:r>
              <w:rPr>
                <w:rFonts w:hint="eastAsia" w:cs="Calibri"/>
                <w:sz w:val="21"/>
                <w:szCs w:val="21"/>
              </w:rPr>
              <w:t xml:space="preserve">GB/T 28900</w:t>
            </w:r>
            <w:r>
              <w:rPr>
                <w:rFonts w:hint="eastAsia" w:cs="Calibri"/>
                <w:sz w:val="21"/>
                <w:szCs w:val="21"/>
              </w:rPr>
              <w:t xml:space="preserve">—</w:t>
            </w:r>
            <w:r>
              <w:rPr>
                <w:rFonts w:hint="eastAsia" w:cs="Calibri"/>
                <w:sz w:val="21"/>
                <w:szCs w:val="21"/>
              </w:rPr>
              <w:t xml:space="preserve">2022</w:t>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反向弯曲性能</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p>
            <w:pPr>
              <w:jc w:val="both"/>
              <w:spacing w:after="160" w:line="278" w:lineRule="auto"/>
              <w:widowControl w:val="off"/>
              <w:rPr>
                <w:rFonts w:cs="Calibri"/>
                <w:sz w:val="21"/>
                <w:szCs w:val="21"/>
              </w:rPr>
            </w:pPr>
            <w:r>
              <w:rPr>
                <w:rFonts w:hint="eastAsia" w:cs="Calibri"/>
                <w:sz w:val="21"/>
                <w:szCs w:val="21"/>
              </w:rPr>
              <w:t xml:space="preserve">GB/T 28900</w:t>
            </w:r>
            <w:r>
              <w:rPr>
                <w:rFonts w:hint="eastAsia" w:cs="Calibri"/>
                <w:sz w:val="21"/>
                <w:szCs w:val="21"/>
              </w:rPr>
              <w:t xml:space="preserve">—</w:t>
            </w:r>
            <w:r>
              <w:rPr>
                <w:rFonts w:hint="eastAsia" w:cs="Calibri"/>
                <w:sz w:val="21"/>
                <w:szCs w:val="21"/>
              </w:rPr>
              <w:t xml:space="preserve">2022</w:t>
            </w:r>
            <w:r/>
          </w:p>
        </w:tc>
      </w:tr>
      <w:tr>
        <w:trPr>
          <w:jc w:val="center"/>
          <w:trHeight w:val="340"/>
        </w:trPr>
        <w:tc>
          <w:tcPr>
            <w:tcW w:w="342"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3</w:t>
            </w:r>
            <w:r/>
          </w:p>
        </w:tc>
        <w:tc>
          <w:tcPr>
            <w:tcW w:w="306"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化学</w:t>
            </w:r>
            <w:r/>
          </w:p>
          <w:p>
            <w:pPr>
              <w:jc w:val="both"/>
              <w:spacing w:after="160" w:line="278" w:lineRule="auto"/>
              <w:widowControl w:val="off"/>
              <w:rPr>
                <w:rFonts w:cs="Calibri"/>
                <w:sz w:val="21"/>
                <w:szCs w:val="21"/>
              </w:rPr>
            </w:pPr>
            <w:r>
              <w:rPr>
                <w:rFonts w:hint="eastAsia" w:cs="Calibri"/>
                <w:sz w:val="21"/>
                <w:szCs w:val="21"/>
              </w:rPr>
              <w:t xml:space="preserve">成分</w:t>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C</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GB/T 223.5</w:t>
            </w:r>
            <w:r>
              <w:rPr>
                <w:rFonts w:hint="eastAsia" w:cs="Calibri"/>
                <w:sz w:val="21"/>
                <w:szCs w:val="21"/>
              </w:rPr>
              <w:t xml:space="preserve">—</w:t>
            </w:r>
            <w:r>
              <w:rPr>
                <w:rFonts w:hint="eastAsia" w:cs="Calibri"/>
                <w:sz w:val="21"/>
                <w:szCs w:val="21"/>
              </w:rPr>
              <w:t xml:space="preserve">2008</w:t>
            </w:r>
            <w:r/>
          </w:p>
          <w:p>
            <w:pPr>
              <w:jc w:val="both"/>
              <w:spacing w:after="160" w:line="278" w:lineRule="auto"/>
              <w:widowControl w:val="off"/>
              <w:rPr>
                <w:rFonts w:cs="Calibri"/>
                <w:sz w:val="21"/>
                <w:szCs w:val="21"/>
              </w:rPr>
            </w:pPr>
            <w:r>
              <w:rPr>
                <w:rFonts w:hint="eastAsia" w:cs="Calibri"/>
                <w:sz w:val="21"/>
                <w:szCs w:val="21"/>
              </w:rPr>
              <w:t xml:space="preserve">GB/T 223.11</w:t>
            </w:r>
            <w:r>
              <w:rPr>
                <w:rFonts w:hint="eastAsia" w:cs="Calibri"/>
                <w:sz w:val="21"/>
                <w:szCs w:val="21"/>
              </w:rPr>
              <w:t xml:space="preserve">—</w:t>
            </w:r>
            <w:r>
              <w:rPr>
                <w:rFonts w:hint="eastAsia" w:cs="Calibri"/>
                <w:sz w:val="21"/>
                <w:szCs w:val="21"/>
              </w:rPr>
              <w:t xml:space="preserve">2025</w:t>
            </w:r>
            <w:r/>
          </w:p>
          <w:p>
            <w:pPr>
              <w:jc w:val="both"/>
              <w:spacing w:after="160" w:line="278" w:lineRule="auto"/>
              <w:widowControl w:val="off"/>
              <w:rPr>
                <w:rFonts w:cs="Calibri"/>
                <w:sz w:val="21"/>
                <w:szCs w:val="21"/>
              </w:rPr>
            </w:pPr>
            <w:r>
              <w:rPr>
                <w:rFonts w:hint="eastAsia" w:cs="Calibri"/>
                <w:sz w:val="21"/>
                <w:szCs w:val="21"/>
              </w:rPr>
              <w:t xml:space="preserve">GB/T 223.12</w:t>
            </w:r>
            <w:r>
              <w:rPr>
                <w:rFonts w:hint="eastAsia" w:cs="Calibri"/>
                <w:sz w:val="21"/>
                <w:szCs w:val="21"/>
              </w:rPr>
              <w:t xml:space="preserve">—</w:t>
            </w:r>
            <w:r>
              <w:rPr>
                <w:rFonts w:hint="eastAsia" w:cs="Calibri"/>
                <w:sz w:val="21"/>
                <w:szCs w:val="21"/>
              </w:rPr>
              <w:t xml:space="preserve">1991</w:t>
            </w:r>
            <w:r/>
          </w:p>
          <w:p>
            <w:pPr>
              <w:jc w:val="both"/>
              <w:spacing w:after="160" w:line="278" w:lineRule="auto"/>
              <w:widowControl w:val="off"/>
              <w:rPr>
                <w:rFonts w:cs="Calibri"/>
                <w:sz w:val="21"/>
                <w:szCs w:val="21"/>
              </w:rPr>
            </w:pPr>
            <w:r>
              <w:rPr>
                <w:rFonts w:hint="eastAsia" w:cs="Calibri"/>
                <w:sz w:val="21"/>
                <w:szCs w:val="21"/>
              </w:rPr>
              <w:t xml:space="preserve">GB/T 223.14</w:t>
            </w:r>
            <w:r>
              <w:rPr>
                <w:rFonts w:hint="eastAsia" w:cs="Calibri"/>
                <w:sz w:val="21"/>
                <w:szCs w:val="21"/>
              </w:rPr>
              <w:t xml:space="preserve">—</w:t>
            </w:r>
            <w:r>
              <w:rPr>
                <w:rFonts w:hint="eastAsia" w:cs="Calibri"/>
                <w:sz w:val="21"/>
                <w:szCs w:val="21"/>
              </w:rPr>
              <w:t xml:space="preserve">2000</w:t>
            </w:r>
            <w:r/>
          </w:p>
          <w:p>
            <w:pPr>
              <w:jc w:val="both"/>
              <w:spacing w:after="160" w:line="278" w:lineRule="auto"/>
              <w:widowControl w:val="off"/>
              <w:rPr>
                <w:rFonts w:cs="Calibri"/>
                <w:sz w:val="21"/>
                <w:szCs w:val="21"/>
              </w:rPr>
            </w:pPr>
            <w:r>
              <w:rPr>
                <w:rFonts w:hint="eastAsia" w:cs="Calibri"/>
                <w:sz w:val="21"/>
                <w:szCs w:val="21"/>
              </w:rPr>
              <w:t xml:space="preserve">GB/T 223.19</w:t>
            </w:r>
            <w:r>
              <w:rPr>
                <w:rFonts w:hint="eastAsia" w:cs="Calibri"/>
                <w:sz w:val="21"/>
                <w:szCs w:val="21"/>
              </w:rPr>
              <w:t xml:space="preserve">—</w:t>
            </w:r>
            <w:r>
              <w:rPr>
                <w:rFonts w:hint="eastAsia" w:cs="Calibri"/>
                <w:sz w:val="21"/>
                <w:szCs w:val="21"/>
              </w:rPr>
              <w:t xml:space="preserve">1989</w:t>
            </w:r>
            <w:r/>
          </w:p>
          <w:p>
            <w:pPr>
              <w:jc w:val="both"/>
              <w:spacing w:after="160" w:line="278" w:lineRule="auto"/>
              <w:widowControl w:val="off"/>
              <w:rPr>
                <w:rFonts w:cs="Calibri"/>
                <w:sz w:val="21"/>
                <w:szCs w:val="21"/>
              </w:rPr>
            </w:pPr>
            <w:r>
              <w:rPr>
                <w:rFonts w:hint="eastAsia" w:cs="Calibri"/>
                <w:sz w:val="21"/>
                <w:szCs w:val="21"/>
              </w:rPr>
              <w:t xml:space="preserve">GB/T 223.23</w:t>
            </w:r>
            <w:r>
              <w:rPr>
                <w:rFonts w:hint="eastAsia" w:cs="Calibri"/>
                <w:sz w:val="21"/>
                <w:szCs w:val="21"/>
              </w:rPr>
              <w:t xml:space="preserve">—</w:t>
            </w:r>
            <w:r>
              <w:rPr>
                <w:rFonts w:hint="eastAsia" w:cs="Calibri"/>
                <w:sz w:val="21"/>
                <w:szCs w:val="21"/>
              </w:rPr>
              <w:t xml:space="preserve">2008</w:t>
            </w:r>
            <w:r/>
          </w:p>
          <w:p>
            <w:pPr>
              <w:jc w:val="both"/>
              <w:spacing w:after="160" w:line="278" w:lineRule="auto"/>
              <w:widowControl w:val="off"/>
              <w:rPr>
                <w:rFonts w:cs="Calibri"/>
                <w:sz w:val="21"/>
                <w:szCs w:val="21"/>
              </w:rPr>
            </w:pPr>
            <w:r>
              <w:rPr>
                <w:rFonts w:hint="eastAsia" w:cs="Calibri"/>
                <w:sz w:val="21"/>
                <w:szCs w:val="21"/>
              </w:rPr>
              <w:t xml:space="preserve">GB/T 223.26</w:t>
            </w:r>
            <w:r>
              <w:rPr>
                <w:rFonts w:hint="eastAsia" w:cs="Calibri"/>
                <w:sz w:val="21"/>
                <w:szCs w:val="21"/>
              </w:rPr>
              <w:t xml:space="preserve">—</w:t>
            </w:r>
            <w:r>
              <w:rPr>
                <w:rFonts w:hint="eastAsia" w:cs="Calibri"/>
                <w:sz w:val="21"/>
                <w:szCs w:val="21"/>
              </w:rPr>
              <w:t xml:space="preserve">2008</w:t>
            </w:r>
            <w:r/>
          </w:p>
          <w:p>
            <w:pPr>
              <w:jc w:val="both"/>
              <w:spacing w:after="160" w:line="278" w:lineRule="auto"/>
              <w:widowControl w:val="off"/>
              <w:rPr>
                <w:rFonts w:cs="Calibri"/>
                <w:sz w:val="21"/>
                <w:szCs w:val="21"/>
              </w:rPr>
            </w:pPr>
            <w:r>
              <w:rPr>
                <w:rFonts w:hint="eastAsia" w:cs="Calibri"/>
                <w:sz w:val="21"/>
                <w:szCs w:val="21"/>
              </w:rPr>
              <w:t xml:space="preserve">GB/T 223.40</w:t>
            </w:r>
            <w:r>
              <w:rPr>
                <w:rFonts w:hint="eastAsia" w:cs="Calibri"/>
                <w:sz w:val="21"/>
                <w:szCs w:val="21"/>
              </w:rPr>
              <w:t xml:space="preserve">—</w:t>
            </w:r>
            <w:r>
              <w:rPr>
                <w:rFonts w:hint="eastAsia" w:cs="Calibri"/>
                <w:sz w:val="21"/>
                <w:szCs w:val="21"/>
              </w:rPr>
              <w:t xml:space="preserve">2007</w:t>
            </w:r>
            <w:r/>
          </w:p>
          <w:p>
            <w:pPr>
              <w:jc w:val="both"/>
              <w:spacing w:after="160" w:line="278" w:lineRule="auto"/>
              <w:widowControl w:val="off"/>
              <w:rPr>
                <w:rFonts w:cs="Calibri"/>
                <w:sz w:val="21"/>
                <w:szCs w:val="21"/>
              </w:rPr>
            </w:pPr>
            <w:r>
              <w:rPr>
                <w:rFonts w:hint="eastAsia" w:cs="Calibri"/>
                <w:sz w:val="21"/>
                <w:szCs w:val="21"/>
              </w:rPr>
              <w:t xml:space="preserve">GB/T 223.59</w:t>
            </w:r>
            <w:r>
              <w:rPr>
                <w:rFonts w:hint="eastAsia" w:cs="Calibri"/>
                <w:sz w:val="21"/>
                <w:szCs w:val="21"/>
              </w:rPr>
              <w:t xml:space="preserve">—</w:t>
            </w:r>
            <w:r>
              <w:rPr>
                <w:rFonts w:hint="eastAsia" w:cs="Calibri"/>
                <w:sz w:val="21"/>
                <w:szCs w:val="21"/>
              </w:rPr>
              <w:t xml:space="preserve">2008</w:t>
            </w:r>
            <w:r/>
          </w:p>
          <w:p>
            <w:pPr>
              <w:jc w:val="both"/>
              <w:spacing w:after="160" w:line="278" w:lineRule="auto"/>
              <w:widowControl w:val="off"/>
              <w:rPr>
                <w:rFonts w:cs="Calibri"/>
                <w:sz w:val="21"/>
                <w:szCs w:val="21"/>
              </w:rPr>
            </w:pPr>
            <w:r>
              <w:rPr>
                <w:rFonts w:hint="eastAsia" w:cs="Calibri"/>
                <w:sz w:val="21"/>
                <w:szCs w:val="21"/>
              </w:rPr>
              <w:t xml:space="preserve">GB/T 223.63</w:t>
            </w:r>
            <w:r>
              <w:rPr>
                <w:rFonts w:hint="eastAsia" w:cs="Calibri"/>
                <w:sz w:val="21"/>
                <w:szCs w:val="21"/>
              </w:rPr>
              <w:t xml:space="preserve">—</w:t>
            </w:r>
            <w:r>
              <w:rPr>
                <w:rFonts w:hint="eastAsia" w:cs="Calibri"/>
                <w:sz w:val="21"/>
                <w:szCs w:val="21"/>
              </w:rPr>
              <w:t xml:space="preserve">2022</w:t>
            </w:r>
            <w:r/>
          </w:p>
          <w:p>
            <w:pPr>
              <w:jc w:val="both"/>
              <w:spacing w:after="160" w:line="278" w:lineRule="auto"/>
              <w:widowControl w:val="off"/>
              <w:rPr>
                <w:rFonts w:cs="Calibri"/>
                <w:sz w:val="21"/>
                <w:szCs w:val="21"/>
              </w:rPr>
            </w:pPr>
            <w:r>
              <w:rPr>
                <w:rFonts w:hint="eastAsia" w:cs="Calibri"/>
                <w:sz w:val="21"/>
                <w:szCs w:val="21"/>
              </w:rPr>
              <w:t xml:space="preserve">GB/T 223.85</w:t>
            </w:r>
            <w:r>
              <w:rPr>
                <w:rFonts w:hint="eastAsia" w:cs="Calibri"/>
                <w:sz w:val="21"/>
                <w:szCs w:val="21"/>
              </w:rPr>
              <w:t xml:space="preserve">—</w:t>
            </w:r>
            <w:r>
              <w:rPr>
                <w:rFonts w:hint="eastAsia" w:cs="Calibri"/>
                <w:sz w:val="21"/>
                <w:szCs w:val="21"/>
              </w:rPr>
              <w:t xml:space="preserve">2009</w:t>
            </w:r>
            <w:r/>
          </w:p>
          <w:p>
            <w:pPr>
              <w:jc w:val="both"/>
              <w:spacing w:after="160" w:line="278" w:lineRule="auto"/>
              <w:widowControl w:val="off"/>
              <w:rPr>
                <w:rFonts w:cs="Calibri"/>
                <w:sz w:val="21"/>
                <w:szCs w:val="21"/>
              </w:rPr>
            </w:pPr>
            <w:r>
              <w:rPr>
                <w:rFonts w:hint="eastAsia" w:cs="Calibri"/>
                <w:sz w:val="21"/>
                <w:szCs w:val="21"/>
              </w:rPr>
              <w:t xml:space="preserve">GB/T 223.86</w:t>
            </w:r>
            <w:r>
              <w:rPr>
                <w:rFonts w:hint="eastAsia" w:cs="Calibri"/>
                <w:sz w:val="21"/>
                <w:szCs w:val="21"/>
              </w:rPr>
              <w:t xml:space="preserve">—</w:t>
            </w:r>
            <w:r>
              <w:rPr>
                <w:rFonts w:hint="eastAsia" w:cs="Calibri"/>
                <w:sz w:val="21"/>
                <w:szCs w:val="21"/>
              </w:rPr>
              <w:t xml:space="preserve">2009</w:t>
            </w:r>
            <w:r/>
          </w:p>
          <w:p>
            <w:pPr>
              <w:jc w:val="both"/>
              <w:spacing w:after="160" w:line="278" w:lineRule="auto"/>
              <w:widowControl w:val="off"/>
              <w:rPr>
                <w:rFonts w:cs="Calibri"/>
                <w:sz w:val="21"/>
                <w:szCs w:val="21"/>
              </w:rPr>
            </w:pPr>
            <w:r>
              <w:rPr>
                <w:rFonts w:hint="eastAsia" w:cs="Calibri"/>
                <w:sz w:val="21"/>
                <w:szCs w:val="21"/>
              </w:rPr>
              <w:t xml:space="preserve">GB/T 4336</w:t>
            </w:r>
            <w:r>
              <w:rPr>
                <w:rFonts w:hint="eastAsia" w:cs="Calibri"/>
                <w:sz w:val="21"/>
                <w:szCs w:val="21"/>
              </w:rPr>
              <w:t xml:space="preserve">—</w:t>
            </w:r>
            <w:r>
              <w:rPr>
                <w:rFonts w:hint="eastAsia" w:cs="Calibri"/>
                <w:sz w:val="21"/>
                <w:szCs w:val="21"/>
              </w:rPr>
              <w:t xml:space="preserve">2016</w:t>
            </w:r>
            <w:r>
              <w:rPr>
                <w:rFonts w:hint="eastAsia" w:cs="Calibri"/>
                <w:sz w:val="21"/>
                <w:szCs w:val="21"/>
              </w:rPr>
              <w:t xml:space="preserve">（含第</w:t>
            </w:r>
            <w:r>
              <w:rPr>
                <w:rFonts w:hint="eastAsia" w:cs="Calibri"/>
                <w:sz w:val="21"/>
                <w:szCs w:val="21"/>
              </w:rPr>
              <w:t xml:space="preserve">1</w:t>
            </w:r>
            <w:r>
              <w:rPr>
                <w:rFonts w:hint="eastAsia" w:cs="Calibri"/>
                <w:sz w:val="21"/>
                <w:szCs w:val="21"/>
              </w:rPr>
              <w:t xml:space="preserve">号修改单）</w:t>
            </w:r>
            <w:r/>
          </w:p>
          <w:p>
            <w:pPr>
              <w:jc w:val="both"/>
              <w:spacing w:after="160" w:line="278" w:lineRule="auto"/>
              <w:widowControl w:val="off"/>
              <w:rPr>
                <w:rFonts w:cs="Calibri"/>
                <w:sz w:val="21"/>
                <w:szCs w:val="21"/>
              </w:rPr>
            </w:pPr>
            <w:r>
              <w:rPr>
                <w:rFonts w:hint="eastAsia" w:cs="Calibri"/>
                <w:sz w:val="21"/>
                <w:szCs w:val="21"/>
              </w:rPr>
              <w:t xml:space="preserve">GB/T 20123</w:t>
            </w:r>
            <w:r>
              <w:rPr>
                <w:rFonts w:hint="eastAsia" w:cs="Calibri"/>
                <w:sz w:val="21"/>
                <w:szCs w:val="21"/>
              </w:rPr>
              <w:t xml:space="preserve">—</w:t>
            </w:r>
            <w:r>
              <w:rPr>
                <w:rFonts w:hint="eastAsia" w:cs="Calibri"/>
                <w:sz w:val="21"/>
                <w:szCs w:val="21"/>
              </w:rPr>
              <w:t xml:space="preserve">2006</w:t>
            </w:r>
            <w:r/>
          </w:p>
          <w:p>
            <w:pPr>
              <w:jc w:val="both"/>
              <w:spacing w:after="160" w:line="278" w:lineRule="auto"/>
              <w:widowControl w:val="off"/>
              <w:rPr>
                <w:rFonts w:cs="Calibri"/>
                <w:sz w:val="21"/>
                <w:szCs w:val="21"/>
              </w:rPr>
            </w:pPr>
            <w:r>
              <w:rPr>
                <w:rFonts w:hint="eastAsia" w:cs="Calibri"/>
                <w:sz w:val="21"/>
                <w:szCs w:val="21"/>
              </w:rPr>
              <w:t xml:space="preserve">GB/T 20125</w:t>
            </w:r>
            <w:r>
              <w:rPr>
                <w:rFonts w:hint="eastAsia" w:cs="Calibri"/>
                <w:sz w:val="21"/>
                <w:szCs w:val="21"/>
              </w:rPr>
              <w:t xml:space="preserve">—</w:t>
            </w:r>
            <w:r>
              <w:rPr>
                <w:rFonts w:hint="eastAsia" w:cs="Calibri"/>
                <w:sz w:val="21"/>
                <w:szCs w:val="21"/>
              </w:rPr>
              <w:t xml:space="preserve">2006</w:t>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Si</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Mn</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P</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S</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4</w:t>
            </w:r>
            <w:r/>
          </w:p>
        </w:tc>
        <w:tc>
          <w:tcPr>
            <w:gridSpan w:val="2"/>
            <w:tcW w:w="2260"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碳当量</w:t>
            </w:r>
            <w:r>
              <w:rPr>
                <w:rFonts w:hint="eastAsia" w:cs="Calibri"/>
                <w:sz w:val="21"/>
                <w:szCs w:val="21"/>
              </w:rPr>
              <w:t xml:space="preserve">Ceq</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2"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5</w:t>
            </w:r>
            <w:r/>
          </w:p>
        </w:tc>
        <w:tc>
          <w:tcPr>
            <w:tcW w:w="306"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尺寸外形</w:t>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横肋高</w:t>
            </w:r>
            <w:r>
              <w:rPr>
                <w:rFonts w:hint="eastAsia" w:cs="Calibri"/>
                <w:sz w:val="21"/>
                <w:szCs w:val="21"/>
              </w:rPr>
              <w:t xml:space="preserve">h</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间距</w:t>
            </w:r>
            <w:r>
              <w:rPr>
                <w:rFonts w:hint="eastAsia" w:cs="Calibri"/>
                <w:sz w:val="21"/>
                <w:szCs w:val="21"/>
              </w:rPr>
              <w:t xml:space="preserve">l</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横肋末端最大间隙</w:t>
            </w:r>
            <w:r>
              <w:rPr>
                <w:rFonts w:hint="eastAsia" w:cs="Calibri"/>
                <w:sz w:val="21"/>
                <w:szCs w:val="21"/>
              </w:rPr>
              <w:t xml:space="preserve">fi</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2"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306"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954"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每米弯曲度</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2"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6</w:t>
            </w:r>
            <w:r/>
          </w:p>
        </w:tc>
        <w:tc>
          <w:tcPr>
            <w:gridSpan w:val="2"/>
            <w:tcW w:w="2260"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重量偏差</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2"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7</w:t>
            </w:r>
            <w:r/>
          </w:p>
        </w:tc>
        <w:tc>
          <w:tcPr>
            <w:gridSpan w:val="2"/>
            <w:tcW w:w="2260"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金相组织</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2"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8</w:t>
            </w:r>
            <w:r/>
          </w:p>
        </w:tc>
        <w:tc>
          <w:tcPr>
            <w:gridSpan w:val="2"/>
            <w:tcW w:w="2260"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表面标志</w:t>
            </w:r>
            <w:r/>
          </w:p>
        </w:tc>
        <w:tc>
          <w:tcPr>
            <w:tcW w:w="1199"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c>
          <w:tcPr>
            <w:tcW w:w="1199" w:type="pc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1499.2</w:t>
            </w:r>
            <w:r>
              <w:rPr>
                <w:rFonts w:hint="eastAsia" w:cs="Calibri"/>
                <w:sz w:val="21"/>
                <w:szCs w:val="21"/>
              </w:rPr>
              <w:t xml:space="preserve">—</w:t>
            </w:r>
            <w:r>
              <w:rPr>
                <w:rFonts w:hint="eastAsia" w:cs="Calibri"/>
                <w:sz w:val="21"/>
                <w:szCs w:val="21"/>
              </w:rPr>
              <w:t xml:space="preserve">2024</w:t>
            </w:r>
            <w:r/>
          </w:p>
        </w:tc>
      </w:tr>
    </w:tbl>
    <w:p>
      <w:pPr>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cs="Calibri"/>
          <w:sz w:val="21"/>
          <w:szCs w:val="21"/>
        </w:rPr>
        <w:br w:type="page" w:clear="all"/>
      </w:r>
      <w:r>
        <w:rPr>
          <w:rFonts w:hint="eastAsia" w:cs="Calibri"/>
          <w:sz w:val="21"/>
          <w:szCs w:val="21"/>
        </w:rPr>
        <w:t xml:space="preserve">冷轧带肋钢筋产品检验检测项目、依据及方法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7"/>
        <w:gridCol w:w="971"/>
        <w:gridCol w:w="2776"/>
        <w:gridCol w:w="1986"/>
        <w:gridCol w:w="1986"/>
      </w:tblGrid>
      <w:tr>
        <w:trPr>
          <w:jc w:val="center"/>
          <w:trHeight w:val="340"/>
          <w:tblHeader/>
        </w:trPr>
        <w:tc>
          <w:tcPr>
            <w:tcW w:w="348"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序号</w:t>
            </w:r>
            <w:r/>
          </w:p>
        </w:tc>
        <w:tc>
          <w:tcPr>
            <w:gridSpan w:val="2"/>
            <w:tcW w:w="2258"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检验项目</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检验依据</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检验方法</w:t>
            </w:r>
            <w:r/>
          </w:p>
        </w:tc>
      </w:tr>
      <w:tr>
        <w:trPr>
          <w:jc w:val="center"/>
          <w:trHeight w:val="340"/>
        </w:trPr>
        <w:tc>
          <w:tcPr>
            <w:tcW w:w="348"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1</w:t>
            </w:r>
            <w:r/>
          </w:p>
        </w:tc>
        <w:tc>
          <w:tcPr>
            <w:tcW w:w="585"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力学性能</w:t>
            </w:r>
            <w:r/>
          </w:p>
        </w:tc>
        <w:tc>
          <w:tcPr>
            <w:tcW w:w="1673"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规定塑性延伸强度</w:t>
            </w:r>
            <w:r>
              <w:rPr>
                <w:rFonts w:hint="eastAsia" w:cs="Calibri"/>
                <w:sz w:val="21"/>
                <w:szCs w:val="21"/>
              </w:rPr>
              <w:t xml:space="preserve">Rp0.2</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p>
            <w:pPr>
              <w:jc w:val="both"/>
              <w:spacing w:after="160" w:line="278" w:lineRule="auto"/>
              <w:widowControl w:val="off"/>
              <w:rPr>
                <w:rFonts w:cs="Calibri"/>
                <w:sz w:val="21"/>
                <w:szCs w:val="21"/>
              </w:rPr>
            </w:pPr>
            <w:r>
              <w:rPr>
                <w:rFonts w:hint="eastAsia" w:cs="Calibri"/>
                <w:sz w:val="21"/>
                <w:szCs w:val="21"/>
              </w:rPr>
              <w:t xml:space="preserve">GB/T 28900</w:t>
            </w:r>
            <w:r>
              <w:rPr>
                <w:rFonts w:hint="eastAsia" w:cs="Calibri"/>
                <w:sz w:val="21"/>
                <w:szCs w:val="21"/>
              </w:rPr>
              <w:t xml:space="preserve">—</w:t>
            </w:r>
            <w:r>
              <w:rPr>
                <w:rFonts w:hint="eastAsia" w:cs="Calibri"/>
                <w:sz w:val="21"/>
                <w:szCs w:val="21"/>
              </w:rPr>
              <w:t xml:space="preserve">2022</w:t>
            </w:r>
            <w:r/>
          </w:p>
        </w:tc>
      </w:tr>
      <w:tr>
        <w:trPr>
          <w:jc w:val="center"/>
          <w:trHeight w:val="340"/>
        </w:trPr>
        <w:tc>
          <w:tcPr>
            <w:tcW w:w="348"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抗拉强度</w:t>
            </w:r>
            <w:r>
              <w:rPr>
                <w:rFonts w:hint="eastAsia" w:cs="Calibri"/>
                <w:sz w:val="21"/>
                <w:szCs w:val="21"/>
              </w:rPr>
              <w:t xml:space="preserve">Rm</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8"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断后伸长率</w:t>
            </w:r>
            <w:r>
              <w:rPr>
                <w:rFonts w:hint="eastAsia" w:cs="Calibri"/>
                <w:sz w:val="21"/>
                <w:szCs w:val="21"/>
              </w:rPr>
              <w:t xml:space="preserve">A</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8"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Rm/ Rp0.2</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8"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最大力</w:t>
            </w:r>
            <w:r>
              <w:rPr>
                <w:rFonts w:hint="eastAsia" w:cs="Calibri"/>
                <w:sz w:val="21"/>
                <w:szCs w:val="21"/>
              </w:rPr>
              <w:t xml:space="preserve">总延伸率</w:t>
            </w:r>
            <w:r>
              <w:rPr>
                <w:rFonts w:hint="eastAsia" w:cs="Calibri"/>
                <w:sz w:val="21"/>
                <w:szCs w:val="21"/>
              </w:rPr>
              <w:t xml:space="preserve"> </w:t>
            </w:r>
            <w:r>
              <w:rPr>
                <w:rFonts w:hint="eastAsia" w:cs="Calibri"/>
                <w:sz w:val="21"/>
                <w:szCs w:val="21"/>
              </w:rPr>
              <w:t xml:space="preserve">Agt</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r>
      <w:tr>
        <w:trPr>
          <w:jc w:val="center"/>
          <w:trHeight w:val="340"/>
        </w:trPr>
        <w:tc>
          <w:tcPr>
            <w:tcW w:w="348"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2</w:t>
            </w:r>
            <w:r/>
          </w:p>
        </w:tc>
        <w:tc>
          <w:tcPr>
            <w:tcW w:w="585"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工艺性能</w:t>
            </w:r>
            <w:r/>
          </w:p>
        </w:tc>
        <w:tc>
          <w:tcPr>
            <w:tcW w:w="1673"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弯曲试验</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p>
            <w:pPr>
              <w:jc w:val="both"/>
              <w:spacing w:after="160" w:line="278" w:lineRule="auto"/>
              <w:widowControl w:val="off"/>
              <w:rPr>
                <w:rFonts w:cs="Calibri"/>
                <w:sz w:val="21"/>
                <w:szCs w:val="21"/>
              </w:rPr>
            </w:pPr>
            <w:r>
              <w:rPr>
                <w:rFonts w:hint="eastAsia" w:cs="Calibri"/>
                <w:sz w:val="21"/>
                <w:szCs w:val="21"/>
              </w:rPr>
              <w:t xml:space="preserve">GB/T 28900</w:t>
            </w:r>
            <w:r>
              <w:rPr>
                <w:rFonts w:hint="eastAsia" w:cs="Calibri"/>
                <w:sz w:val="21"/>
                <w:szCs w:val="21"/>
              </w:rPr>
              <w:t xml:space="preserve">—</w:t>
            </w:r>
            <w:r>
              <w:rPr>
                <w:rFonts w:hint="eastAsia" w:cs="Calibri"/>
                <w:sz w:val="21"/>
                <w:szCs w:val="21"/>
              </w:rPr>
              <w:t xml:space="preserve">2022</w:t>
            </w:r>
            <w:r/>
          </w:p>
        </w:tc>
      </w:tr>
      <w:tr>
        <w:trPr>
          <w:jc w:val="center"/>
          <w:trHeight w:val="340"/>
        </w:trPr>
        <w:tc>
          <w:tcPr>
            <w:tcW w:w="348"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3</w:t>
            </w:r>
            <w:r/>
          </w:p>
        </w:tc>
        <w:tc>
          <w:tcPr>
            <w:tcW w:w="585" w:type="pct"/>
            <w:vAlign w:val="center"/>
            <w:vMerge w:val="restart"/>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尺寸偏差</w:t>
            </w:r>
            <w:r/>
          </w:p>
        </w:tc>
        <w:tc>
          <w:tcPr>
            <w:tcW w:w="1673"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横肋中点高</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8"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585" w:type="pct"/>
            <w:vAlign w:val="center"/>
            <w:vMerge w:val="continue"/>
            <w:textDirection w:val="lrTb"/>
            <w:noWrap w:val="false"/>
          </w:tcPr>
          <w:p>
            <w:pPr>
              <w:jc w:val="both"/>
              <w:spacing w:after="160" w:line="278" w:lineRule="auto"/>
              <w:widowControl w:val="off"/>
              <w:rPr>
                <w:rFonts w:cs="Calibri"/>
                <w:sz w:val="21"/>
                <w:szCs w:val="21"/>
              </w:rPr>
            </w:pPr>
            <w:r>
              <w:rPr>
                <w:rFonts w:cs="Calibri"/>
                <w:sz w:val="21"/>
                <w:szCs w:val="21"/>
              </w:rPr>
            </w:r>
            <w:r/>
          </w:p>
        </w:tc>
        <w:tc>
          <w:tcPr>
            <w:tcW w:w="1673"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横肋间距</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8"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4</w:t>
            </w:r>
            <w:r/>
          </w:p>
        </w:tc>
        <w:tc>
          <w:tcPr>
            <w:gridSpan w:val="2"/>
            <w:tcW w:w="2258"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重量偏差</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r>
      <w:tr>
        <w:trPr>
          <w:jc w:val="center"/>
          <w:trHeight w:val="340"/>
        </w:trPr>
        <w:tc>
          <w:tcPr>
            <w:tcW w:w="348"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5</w:t>
            </w:r>
            <w:r/>
          </w:p>
        </w:tc>
        <w:tc>
          <w:tcPr>
            <w:gridSpan w:val="2"/>
            <w:tcW w:w="2258"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标志</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c>
          <w:tcPr>
            <w:tcW w:w="1197" w:type="pct"/>
            <w:vAlign w:val="center"/>
            <w:textDirection w:val="lrTb"/>
            <w:noWrap w:val="false"/>
          </w:tcPr>
          <w:p>
            <w:pPr>
              <w:jc w:val="both"/>
              <w:spacing w:after="160" w:line="278" w:lineRule="auto"/>
              <w:widowControl w:val="off"/>
              <w:rPr>
                <w:rFonts w:cs="Calibri"/>
                <w:sz w:val="21"/>
                <w:szCs w:val="21"/>
              </w:rPr>
            </w:pPr>
            <w:r>
              <w:rPr>
                <w:rFonts w:hint="eastAsia" w:cs="Calibri"/>
                <w:sz w:val="21"/>
                <w:szCs w:val="21"/>
              </w:rPr>
              <w:t xml:space="preserve">GB 13788</w:t>
            </w:r>
            <w:r>
              <w:rPr>
                <w:rFonts w:hint="eastAsia" w:cs="Calibri"/>
                <w:sz w:val="21"/>
                <w:szCs w:val="21"/>
              </w:rPr>
              <w:t xml:space="preserve">—</w:t>
            </w:r>
            <w:r>
              <w:rPr>
                <w:rFonts w:hint="eastAsia" w:cs="Calibri"/>
                <w:sz w:val="21"/>
                <w:szCs w:val="21"/>
              </w:rPr>
              <w:t xml:space="preserve">2024</w:t>
            </w:r>
            <w:r/>
          </w:p>
        </w:tc>
      </w:tr>
    </w:tbl>
    <w:p>
      <w:pPr>
        <w:spacing w:after="160" w:line="360" w:lineRule="auto"/>
        <w:widowControl w:val="off"/>
        <w:rPr>
          <w:b/>
          <w:bCs/>
          <w:color w:val="0d0d0d"/>
          <w:sz w:val="28"/>
          <w:szCs w:val="28"/>
        </w:rPr>
      </w:pPr>
      <w:r>
        <w:rPr>
          <w:b/>
          <w:bCs/>
          <w:color w:val="0d0d0d"/>
          <w:sz w:val="28"/>
          <w:szCs w:val="28"/>
        </w:rPr>
      </w:r>
      <w:r/>
    </w:p>
    <w:p>
      <w:pPr>
        <w:spacing w:after="160" w:line="360" w:lineRule="auto"/>
        <w:widowControl w:val="off"/>
        <w:rPr>
          <w:b/>
          <w:bCs/>
          <w:color w:val="0d0d0d"/>
          <w:sz w:val="28"/>
          <w:szCs w:val="28"/>
        </w:rPr>
      </w:pPr>
      <w:r>
        <w:rPr>
          <w:b/>
          <w:bCs/>
          <w:color w:val="0d0d0d"/>
          <w:sz w:val="28"/>
          <w:szCs w:val="28"/>
        </w:rPr>
        <w:br w:type="page" w:clear="all"/>
      </w:r>
      <w:r>
        <w:rPr>
          <w:rFonts w:hint="eastAsia"/>
          <w:b/>
          <w:bCs/>
          <w:color w:val="0d0d0d"/>
          <w:sz w:val="28"/>
          <w:szCs w:val="28"/>
        </w:rPr>
        <w:t xml:space="preserve">2</w:t>
      </w:r>
      <w:r>
        <w:rPr>
          <w:rFonts w:hint="eastAsia"/>
          <w:b/>
          <w:bCs/>
          <w:color w:val="0d0d0d"/>
          <w:sz w:val="28"/>
          <w:szCs w:val="28"/>
        </w:rPr>
        <w:t xml:space="preserve">、建筑保温材料</w:t>
      </w:r>
      <w:r/>
    </w:p>
    <w:p>
      <w:pPr>
        <w:spacing w:after="160" w:line="360" w:lineRule="auto"/>
        <w:widowControl w:val="off"/>
        <w:rPr>
          <w:color w:val="0d0d0d"/>
          <w:sz w:val="21"/>
          <w:szCs w:val="21"/>
        </w:rPr>
      </w:pPr>
      <w:r>
        <w:rPr>
          <w:rFonts w:hint="eastAsia"/>
          <w:color w:val="0d0d0d"/>
          <w:sz w:val="21"/>
          <w:szCs w:val="21"/>
        </w:rPr>
        <w:t xml:space="preserve">绝热用挤塑聚苯乙烯泡沫塑料（</w:t>
      </w:r>
      <w:r>
        <w:rPr>
          <w:rFonts w:hint="eastAsia"/>
          <w:color w:val="0d0d0d"/>
          <w:sz w:val="21"/>
          <w:szCs w:val="21"/>
        </w:rPr>
        <w:t xml:space="preserve">XPS</w:t>
      </w:r>
      <w:r>
        <w:rPr>
          <w:rFonts w:hint="eastAsia"/>
          <w:color w:val="0d0d0d"/>
          <w:sz w:val="21"/>
          <w:szCs w:val="21"/>
        </w:rPr>
        <w:t xml:space="preserve">）</w:t>
      </w:r>
      <w:r>
        <w:rPr>
          <w:rFonts w:hint="eastAsia" w:ascii="宋体" w:hAnsi="宋体" w:cs="宋体"/>
          <w:sz w:val="21"/>
          <w:szCs w:val="21"/>
        </w:rPr>
        <w:t xml:space="preserve">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8"/>
        <w:gridCol w:w="2281"/>
        <w:gridCol w:w="2271"/>
        <w:gridCol w:w="3046"/>
      </w:tblGrid>
      <w:tr>
        <w:trPr>
          <w:jc w:val="center"/>
          <w:trHeight w:val="306"/>
        </w:trPr>
        <w:tc>
          <w:tcPr>
            <w:tcW w:w="421"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374"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368"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83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421"/>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1</w:t>
            </w:r>
            <w:r/>
          </w:p>
        </w:tc>
        <w:tc>
          <w:tcPr>
            <w:tcW w:w="1374"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导热系数</w:t>
            </w:r>
            <w:r/>
          </w:p>
        </w:tc>
        <w:tc>
          <w:tcPr>
            <w:tcW w:w="1368"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10801.2-2018</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10801.2</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2018</w:t>
            </w:r>
            <w:r/>
          </w:p>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10294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2008</w:t>
            </w:r>
            <w:r/>
          </w:p>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val="de-DE" w:eastAsia="en-US"/>
              </w:rPr>
              <w:t xml:space="preserve"> GB/T 10295</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2008</w:t>
            </w:r>
            <w:r/>
          </w:p>
        </w:tc>
      </w:tr>
      <w:tr>
        <w:trPr>
          <w:jc w:val="center"/>
          <w:trHeight w:val="421"/>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2</w:t>
            </w:r>
            <w:r/>
          </w:p>
        </w:tc>
        <w:tc>
          <w:tcPr>
            <w:tcW w:w="1374"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eastAsia="en-US"/>
              </w:rPr>
              <w:t xml:space="preserve">燃烧性能</w:t>
            </w:r>
            <w:r/>
          </w:p>
        </w:tc>
        <w:tc>
          <w:tcPr>
            <w:tcW w:w="1368"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10801.2-2018</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 8624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2012</w:t>
            </w:r>
            <w:r/>
          </w:p>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20284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2006</w:t>
            </w:r>
            <w:r/>
          </w:p>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11785</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2005 </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8626</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2007</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2406.2</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2009</w:t>
            </w:r>
            <w:r/>
          </w:p>
        </w:tc>
      </w:tr>
    </w:tbl>
    <w:p>
      <w:pPr>
        <w:jc w:val="both"/>
        <w:spacing w:after="160" w:line="360" w:lineRule="auto"/>
        <w:widowControl w:val="off"/>
        <w:rPr>
          <w:color w:val="0d0d0d"/>
          <w:sz w:val="21"/>
          <w:szCs w:val="21"/>
        </w:rPr>
      </w:pPr>
      <w:r>
        <w:rPr>
          <w:color w:val="0d0d0d"/>
          <w:sz w:val="21"/>
          <w:szCs w:val="21"/>
        </w:rPr>
      </w:r>
      <w:r/>
    </w:p>
    <w:p>
      <w:pPr>
        <w:spacing w:after="160" w:line="360" w:lineRule="auto"/>
        <w:widowControl w:val="off"/>
        <w:rPr>
          <w:color w:val="0d0d0d"/>
          <w:sz w:val="21"/>
          <w:szCs w:val="21"/>
        </w:rPr>
      </w:pPr>
      <w:r>
        <w:rPr>
          <w:rFonts w:hint="eastAsia"/>
          <w:color w:val="0d0d0d"/>
          <w:sz w:val="21"/>
          <w:szCs w:val="21"/>
        </w:rPr>
        <w:t xml:space="preserve">绝热用模塑聚苯乙烯泡沫塑料（</w:t>
      </w:r>
      <w:r>
        <w:rPr>
          <w:rFonts w:hint="eastAsia"/>
          <w:color w:val="0d0d0d"/>
          <w:sz w:val="21"/>
          <w:szCs w:val="21"/>
        </w:rPr>
        <w:t xml:space="preserve">EPS</w:t>
      </w:r>
      <w:r>
        <w:rPr>
          <w:rFonts w:hint="eastAsia"/>
          <w:color w:val="0d0d0d"/>
          <w:sz w:val="21"/>
          <w:szCs w:val="21"/>
        </w:rPr>
        <w:t xml:space="preserve">）</w:t>
      </w:r>
      <w:r>
        <w:rPr>
          <w:rFonts w:hint="eastAsia" w:ascii="宋体" w:hAnsi="宋体" w:cs="宋体"/>
          <w:sz w:val="21"/>
          <w:szCs w:val="21"/>
        </w:rPr>
        <w:t xml:space="preserve">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3"/>
        <w:gridCol w:w="2290"/>
        <w:gridCol w:w="2308"/>
        <w:gridCol w:w="2995"/>
      </w:tblGrid>
      <w:tr>
        <w:trPr>
          <w:jc w:val="center"/>
          <w:trHeight w:val="558"/>
        </w:trPr>
        <w:tc>
          <w:tcPr>
            <w:tcW w:w="424"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380"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390"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804"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397"/>
        </w:trPr>
        <w:tc>
          <w:tcPr>
            <w:tcW w:w="424"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1</w:t>
            </w:r>
            <w:r/>
          </w:p>
        </w:tc>
        <w:tc>
          <w:tcPr>
            <w:tcW w:w="1380"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导热系数（平均温度25℃）</w:t>
            </w:r>
            <w:r/>
          </w:p>
        </w:tc>
        <w:tc>
          <w:tcPr>
            <w:tcW w:w="1390"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10801.1-2021</w:t>
            </w:r>
            <w:r/>
          </w:p>
        </w:tc>
        <w:tc>
          <w:tcPr>
            <w:tcW w:w="1804" w:type="pct"/>
            <w:vAlign w:val="center"/>
            <w:textDirection w:val="lrTb"/>
            <w:noWrap w:val="false"/>
          </w:tcPr>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10801.1</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2021</w:t>
            </w:r>
            <w:r/>
          </w:p>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10294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2008</w:t>
            </w:r>
            <w:r/>
          </w:p>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val="de-DE" w:eastAsia="en-US"/>
              </w:rPr>
              <w:t xml:space="preserve">GB/T 10295</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2008</w:t>
            </w:r>
            <w:r/>
          </w:p>
        </w:tc>
      </w:tr>
      <w:tr>
        <w:trPr>
          <w:jc w:val="center"/>
          <w:trHeight w:val="397"/>
        </w:trPr>
        <w:tc>
          <w:tcPr>
            <w:tcW w:w="424"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2</w:t>
            </w:r>
            <w:r/>
          </w:p>
        </w:tc>
        <w:tc>
          <w:tcPr>
            <w:tcW w:w="1380"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燃烧性能</w:t>
            </w:r>
            <w:r/>
          </w:p>
        </w:tc>
        <w:tc>
          <w:tcPr>
            <w:tcW w:w="1390"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10801.1-2021</w:t>
            </w:r>
            <w:r/>
          </w:p>
        </w:tc>
        <w:tc>
          <w:tcPr>
            <w:tcW w:w="1804" w:type="pct"/>
            <w:vAlign w:val="center"/>
            <w:textDirection w:val="lrTb"/>
            <w:noWrap w:val="false"/>
          </w:tcPr>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 8624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2012</w:t>
            </w:r>
            <w:r/>
          </w:p>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20284</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2006</w:t>
            </w:r>
            <w:r/>
          </w:p>
          <w:p>
            <w:pPr>
              <w:jc w:val="center"/>
              <w:spacing w:after="160" w:line="278" w:lineRule="auto"/>
              <w:rPr>
                <w:rFonts w:hint="eastAsia" w:ascii="宋体" w:hAnsi="宋体" w:cs="宋体"/>
                <w:color w:val="000000"/>
                <w:sz w:val="21"/>
                <w:szCs w:val="21"/>
                <w:lang w:val="de-DE" w:eastAsia="en-US"/>
              </w:rPr>
            </w:pPr>
            <w:r>
              <w:rPr>
                <w:rFonts w:hint="eastAsia" w:ascii="宋体" w:hAnsi="宋体" w:cs="宋体"/>
                <w:color w:val="000000"/>
                <w:sz w:val="21"/>
                <w:szCs w:val="21"/>
                <w:lang w:val="de-DE" w:eastAsia="en-US"/>
              </w:rPr>
              <w:t xml:space="preserve">GB/T 11785</w:t>
            </w:r>
            <w:r>
              <w:rPr>
                <w:rFonts w:hint="eastAsia" w:ascii="宋体" w:hAnsi="宋体" w:cs="宋体"/>
                <w:color w:val="000000"/>
                <w:sz w:val="21"/>
                <w:szCs w:val="21"/>
                <w:lang w:val="de-DE"/>
              </w:rPr>
              <w:t xml:space="preserve">-</w:t>
            </w:r>
            <w:r>
              <w:rPr>
                <w:rFonts w:hint="eastAsia" w:ascii="宋体" w:hAnsi="宋体" w:cs="宋体"/>
                <w:color w:val="000000"/>
                <w:sz w:val="21"/>
                <w:szCs w:val="21"/>
                <w:lang w:val="de-DE" w:eastAsia="en-US"/>
              </w:rPr>
              <w:t xml:space="preserve">2005 </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8626</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2007</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2406.2</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2009</w:t>
            </w:r>
            <w:r/>
          </w:p>
        </w:tc>
      </w:tr>
    </w:tbl>
    <w:p>
      <w:pPr>
        <w:jc w:val="both"/>
        <w:spacing w:after="160" w:line="360" w:lineRule="auto"/>
        <w:widowControl w:val="off"/>
        <w:rPr>
          <w:color w:val="0d0d0d"/>
          <w:sz w:val="21"/>
          <w:szCs w:val="21"/>
        </w:rPr>
      </w:pPr>
      <w:r>
        <w:rPr>
          <w:color w:val="0d0d0d"/>
          <w:sz w:val="21"/>
          <w:szCs w:val="21"/>
        </w:rPr>
      </w:r>
      <w:r/>
    </w:p>
    <w:p>
      <w:pPr>
        <w:spacing w:after="160" w:line="360" w:lineRule="auto"/>
        <w:widowControl w:val="off"/>
        <w:rPr>
          <w:color w:val="0d0d0d"/>
          <w:sz w:val="21"/>
          <w:szCs w:val="21"/>
        </w:rPr>
      </w:pPr>
      <w:r>
        <w:rPr>
          <w:color w:val="0d0d0d"/>
          <w:sz w:val="21"/>
          <w:szCs w:val="21"/>
        </w:rPr>
        <w:br w:type="page" w:clear="all"/>
      </w:r>
      <w:r>
        <w:rPr>
          <w:rFonts w:hint="eastAsia"/>
          <w:color w:val="0d0d0d"/>
          <w:sz w:val="21"/>
          <w:szCs w:val="21"/>
        </w:rPr>
        <w:t xml:space="preserve">硬质聚氨酯保温板</w:t>
      </w:r>
      <w:r>
        <w:rPr>
          <w:rFonts w:hint="eastAsia" w:ascii="宋体" w:hAnsi="宋体" w:cs="宋体"/>
          <w:sz w:val="21"/>
          <w:szCs w:val="21"/>
        </w:rPr>
        <w:t xml:space="preserve">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3"/>
        <w:gridCol w:w="2269"/>
        <w:gridCol w:w="2432"/>
        <w:gridCol w:w="2892"/>
      </w:tblGrid>
      <w:tr>
        <w:trPr>
          <w:jc w:val="center"/>
          <w:trHeight w:val="20"/>
        </w:trPr>
        <w:tc>
          <w:tcPr>
            <w:tcW w:w="423"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367"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466"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743"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20"/>
        </w:trPr>
        <w:tc>
          <w:tcPr>
            <w:tcW w:w="423"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1</w:t>
            </w:r>
            <w:r/>
          </w:p>
        </w:tc>
        <w:tc>
          <w:tcPr>
            <w:tcW w:w="1367"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初期导热系数（23℃、28d）</w:t>
            </w:r>
            <w:r/>
          </w:p>
        </w:tc>
        <w:tc>
          <w:tcPr>
            <w:tcW w:w="146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21558-2008</w:t>
            </w:r>
            <w:r/>
          </w:p>
        </w:tc>
        <w:tc>
          <w:tcPr>
            <w:tcW w:w="174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10294-1988</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或GB</w:t>
            </w:r>
            <w:r>
              <w:rPr>
                <w:rFonts w:hint="eastAsia" w:ascii="宋体" w:hAnsi="宋体" w:cs="宋体"/>
                <w:color w:val="000000"/>
                <w:sz w:val="21"/>
                <w:szCs w:val="21"/>
                <w:lang w:eastAsia="en-US"/>
              </w:rPr>
              <w:t xml:space="preserve">/T 10295-1988</w:t>
            </w:r>
            <w:r/>
          </w:p>
        </w:tc>
      </w:tr>
      <w:tr>
        <w:trPr>
          <w:jc w:val="center"/>
          <w:trHeight w:val="20"/>
        </w:trPr>
        <w:tc>
          <w:tcPr>
            <w:tcW w:w="423"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2</w:t>
            </w:r>
            <w:r/>
          </w:p>
        </w:tc>
        <w:tc>
          <w:tcPr>
            <w:tcW w:w="1367"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燃烧性能</w:t>
            </w:r>
            <w:r/>
          </w:p>
        </w:tc>
        <w:tc>
          <w:tcPr>
            <w:tcW w:w="146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21558-2008</w:t>
            </w:r>
            <w:r/>
          </w:p>
        </w:tc>
        <w:tc>
          <w:tcPr>
            <w:tcW w:w="174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8626-2007</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 8624-2012</w:t>
            </w:r>
            <w:r/>
          </w:p>
        </w:tc>
      </w:tr>
    </w:tbl>
    <w:p>
      <w:pPr>
        <w:jc w:val="both"/>
        <w:spacing w:after="160" w:line="360" w:lineRule="auto"/>
        <w:widowControl w:val="off"/>
        <w:rPr>
          <w:color w:val="0d0d0d"/>
          <w:sz w:val="21"/>
          <w:szCs w:val="21"/>
        </w:rPr>
      </w:pPr>
      <w:r>
        <w:rPr>
          <w:color w:val="0d0d0d"/>
          <w:sz w:val="21"/>
          <w:szCs w:val="21"/>
        </w:rPr>
      </w:r>
      <w:r/>
    </w:p>
    <w:p>
      <w:pPr>
        <w:spacing w:after="160" w:line="360" w:lineRule="auto"/>
        <w:widowControl w:val="off"/>
        <w:rPr>
          <w:color w:val="0d0d0d"/>
          <w:sz w:val="21"/>
          <w:szCs w:val="21"/>
        </w:rPr>
      </w:pPr>
      <w:r>
        <w:rPr>
          <w:rFonts w:hint="eastAsia"/>
          <w:color w:val="0d0d0d"/>
          <w:sz w:val="21"/>
          <w:szCs w:val="21"/>
        </w:rPr>
        <w:t xml:space="preserve">柔性泡沫橡塑绝热制品</w:t>
      </w:r>
      <w:r>
        <w:rPr>
          <w:rFonts w:hint="eastAsia" w:ascii="宋体" w:hAnsi="宋体" w:cs="宋体"/>
          <w:sz w:val="21"/>
          <w:szCs w:val="21"/>
        </w:rPr>
        <w:t xml:space="preserve">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3"/>
        <w:gridCol w:w="2269"/>
        <w:gridCol w:w="2432"/>
        <w:gridCol w:w="2892"/>
      </w:tblGrid>
      <w:tr>
        <w:trPr>
          <w:jc w:val="center"/>
          <w:trHeight w:val="20"/>
        </w:trPr>
        <w:tc>
          <w:tcPr>
            <w:tcW w:w="423"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367"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466"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743"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20"/>
        </w:trPr>
        <w:tc>
          <w:tcPr>
            <w:tcW w:w="423"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1</w:t>
            </w:r>
            <w:r/>
          </w:p>
        </w:tc>
        <w:tc>
          <w:tcPr>
            <w:tcW w:w="1367"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导热系数（平均温度25℃）</w:t>
            </w:r>
            <w:r/>
          </w:p>
        </w:tc>
        <w:tc>
          <w:tcPr>
            <w:tcW w:w="146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rPr>
              <w:t xml:space="preserve">GB/T 17794-2021</w:t>
            </w:r>
            <w:r/>
          </w:p>
        </w:tc>
        <w:tc>
          <w:tcPr>
            <w:tcW w:w="1743"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GB/T 10294-2008</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rPr>
              <w:t xml:space="preserve">或GB/T 10295-2008</w:t>
            </w:r>
            <w:r/>
          </w:p>
        </w:tc>
      </w:tr>
      <w:tr>
        <w:trPr>
          <w:jc w:val="center"/>
          <w:trHeight w:val="20"/>
        </w:trPr>
        <w:tc>
          <w:tcPr>
            <w:tcW w:w="423"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2</w:t>
            </w:r>
            <w:r/>
          </w:p>
        </w:tc>
        <w:tc>
          <w:tcPr>
            <w:tcW w:w="1367"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rPr>
              <w:t xml:space="preserve">燃烧性能</w:t>
            </w:r>
            <w:r/>
          </w:p>
        </w:tc>
        <w:tc>
          <w:tcPr>
            <w:tcW w:w="146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rPr>
              <w:t xml:space="preserve">GB/T 17794-2021</w:t>
            </w:r>
            <w:r/>
          </w:p>
        </w:tc>
        <w:tc>
          <w:tcPr>
            <w:tcW w:w="174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 8624-2012</w:t>
            </w:r>
            <w:r/>
          </w:p>
        </w:tc>
      </w:tr>
    </w:tbl>
    <w:p>
      <w:pPr>
        <w:jc w:val="both"/>
        <w:spacing w:after="160" w:line="278" w:lineRule="auto"/>
        <w:widowControl w:val="off"/>
        <w:rPr>
          <w:sz w:val="21"/>
          <w:szCs w:val="21"/>
        </w:rPr>
      </w:pPr>
      <w:r>
        <w:rPr>
          <w:sz w:val="21"/>
          <w:szCs w:val="21"/>
        </w:rPr>
      </w:r>
      <w:r/>
    </w:p>
    <w:p>
      <w:pPr>
        <w:spacing w:after="160" w:line="360" w:lineRule="auto"/>
        <w:widowControl w:val="off"/>
        <w:rPr>
          <w:color w:val="0d0d0d"/>
          <w:sz w:val="21"/>
          <w:szCs w:val="21"/>
        </w:rPr>
      </w:pPr>
      <w:r>
        <w:rPr>
          <w:rFonts w:hint="eastAsia"/>
          <w:color w:val="0d0d0d"/>
          <w:sz w:val="21"/>
          <w:szCs w:val="21"/>
        </w:rPr>
        <w:t xml:space="preserve">建筑用岩棉板</w:t>
      </w:r>
      <w:r>
        <w:rPr>
          <w:rFonts w:hint="eastAsia" w:ascii="宋体" w:hAnsi="宋体" w:cs="宋体"/>
          <w:sz w:val="21"/>
          <w:szCs w:val="21"/>
        </w:rPr>
        <w:t xml:space="preserve">产品检验检测项目、依据及方法</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1"/>
        <w:gridCol w:w="2149"/>
        <w:gridCol w:w="2741"/>
        <w:gridCol w:w="2742"/>
      </w:tblGrid>
      <w:tr>
        <w:trPr>
          <w:jc w:val="center"/>
          <w:trHeight w:val="20"/>
        </w:trPr>
        <w:tc>
          <w:tcPr>
            <w:tcW w:w="399"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29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652"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652"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20"/>
        </w:trPr>
        <w:tc>
          <w:tcPr>
            <w:tcW w:w="399"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1</w:t>
            </w:r>
            <w:r/>
          </w:p>
        </w:tc>
        <w:tc>
          <w:tcPr>
            <w:tcW w:w="129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导热系数</w:t>
            </w:r>
            <w:r/>
          </w:p>
        </w:tc>
        <w:tc>
          <w:tcPr>
            <w:tcW w:w="1652"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19686-</w:t>
            </w:r>
            <w:r>
              <w:rPr>
                <w:rFonts w:hint="eastAsia" w:ascii="宋体" w:hAnsi="宋体" w:cs="宋体"/>
                <w:color w:val="000000"/>
                <w:sz w:val="21"/>
                <w:szCs w:val="21"/>
                <w:lang w:eastAsia="en-US"/>
              </w:rPr>
              <w:t xml:space="preserve">201</w:t>
            </w:r>
            <w:r>
              <w:rPr>
                <w:rFonts w:hint="eastAsia" w:ascii="宋体" w:hAnsi="宋体" w:cs="宋体"/>
                <w:color w:val="000000"/>
                <w:sz w:val="21"/>
                <w:szCs w:val="21"/>
              </w:rPr>
              <w:t xml:space="preserve">5</w:t>
            </w:r>
            <w:r/>
          </w:p>
        </w:tc>
        <w:tc>
          <w:tcPr>
            <w:tcW w:w="1652"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2008</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10295</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2008</w:t>
            </w:r>
            <w:r/>
          </w:p>
        </w:tc>
      </w:tr>
      <w:tr>
        <w:trPr>
          <w:jc w:val="center"/>
          <w:trHeight w:val="20"/>
        </w:trPr>
        <w:tc>
          <w:tcPr>
            <w:tcW w:w="399"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2</w:t>
            </w:r>
            <w:r/>
          </w:p>
        </w:tc>
        <w:tc>
          <w:tcPr>
            <w:tcW w:w="129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燃烧性能</w:t>
            </w:r>
            <w:r/>
          </w:p>
        </w:tc>
        <w:tc>
          <w:tcPr>
            <w:tcW w:w="1652"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19686-</w:t>
            </w:r>
            <w:r>
              <w:rPr>
                <w:rFonts w:hint="eastAsia" w:ascii="宋体" w:hAnsi="宋体" w:cs="宋体"/>
                <w:color w:val="000000"/>
                <w:sz w:val="21"/>
                <w:szCs w:val="21"/>
                <w:lang w:eastAsia="en-US"/>
              </w:rPr>
              <w:t xml:space="preserve">201</w:t>
            </w:r>
            <w:r>
              <w:rPr>
                <w:rFonts w:hint="eastAsia" w:ascii="宋体" w:hAnsi="宋体" w:cs="宋体"/>
                <w:color w:val="000000"/>
                <w:sz w:val="21"/>
                <w:szCs w:val="21"/>
              </w:rPr>
              <w:t xml:space="preserve">5</w:t>
            </w:r>
            <w:r/>
          </w:p>
        </w:tc>
        <w:tc>
          <w:tcPr>
            <w:tcW w:w="1652"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 8624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2012</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5464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2010</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14402</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2007 </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20284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2006</w:t>
            </w:r>
            <w:r/>
          </w:p>
        </w:tc>
      </w:tr>
    </w:tbl>
    <w:p>
      <w:pPr>
        <w:jc w:val="both"/>
        <w:spacing w:after="120" w:line="278" w:lineRule="auto"/>
        <w:widowControl w:val="off"/>
        <w:rPr>
          <w:rFonts w:ascii="Calibri" w:hAnsi="Calibri" w:cs="Calibri"/>
          <w:sz w:val="21"/>
          <w:szCs w:val="21"/>
        </w:rPr>
      </w:pPr>
      <w:r>
        <w:rPr>
          <w:rFonts w:ascii="Calibri" w:hAnsi="Calibri" w:cs="Calibri"/>
          <w:sz w:val="21"/>
          <w:szCs w:val="21"/>
        </w:rPr>
      </w:r>
      <w:r/>
    </w:p>
    <w:p>
      <w:pPr>
        <w:spacing w:after="160" w:line="360" w:lineRule="auto"/>
        <w:widowControl w:val="off"/>
        <w:rPr>
          <w:color w:val="0d0d0d"/>
          <w:sz w:val="21"/>
          <w:szCs w:val="21"/>
        </w:rPr>
      </w:pPr>
      <w:r>
        <w:rPr>
          <w:color w:val="0d0d0d"/>
          <w:sz w:val="21"/>
          <w:szCs w:val="21"/>
        </w:rPr>
        <w:br w:type="page" w:clear="all"/>
      </w:r>
      <w:r>
        <w:rPr>
          <w:rFonts w:hint="eastAsia"/>
          <w:color w:val="0d0d0d"/>
          <w:sz w:val="21"/>
          <w:szCs w:val="21"/>
        </w:rPr>
        <w:t xml:space="preserve">建筑外墙外保温用岩棉板</w:t>
      </w:r>
      <w:r>
        <w:rPr>
          <w:rFonts w:hint="eastAsia" w:ascii="宋体" w:hAnsi="宋体" w:cs="宋体"/>
          <w:sz w:val="21"/>
          <w:szCs w:val="21"/>
        </w:rPr>
        <w:t xml:space="preserve">产品检验检测项目、依据及方法</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1"/>
        <w:gridCol w:w="2149"/>
        <w:gridCol w:w="2741"/>
        <w:gridCol w:w="2742"/>
      </w:tblGrid>
      <w:tr>
        <w:trPr>
          <w:jc w:val="center"/>
          <w:trHeight w:val="20"/>
        </w:trPr>
        <w:tc>
          <w:tcPr>
            <w:tcW w:w="399"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29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652"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652"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20"/>
        </w:trPr>
        <w:tc>
          <w:tcPr>
            <w:tcW w:w="399"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1</w:t>
            </w:r>
            <w:r/>
          </w:p>
        </w:tc>
        <w:tc>
          <w:tcPr>
            <w:tcW w:w="129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导热系数</w:t>
            </w:r>
            <w:r/>
          </w:p>
        </w:tc>
        <w:tc>
          <w:tcPr>
            <w:tcW w:w="1652"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25975-2018</w:t>
            </w:r>
            <w:r/>
          </w:p>
        </w:tc>
        <w:tc>
          <w:tcPr>
            <w:tcW w:w="1652"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2008</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10295</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2008</w:t>
            </w:r>
            <w:r/>
          </w:p>
        </w:tc>
      </w:tr>
      <w:tr>
        <w:trPr>
          <w:jc w:val="center"/>
          <w:trHeight w:val="20"/>
        </w:trPr>
        <w:tc>
          <w:tcPr>
            <w:tcW w:w="399"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2</w:t>
            </w:r>
            <w:r/>
          </w:p>
        </w:tc>
        <w:tc>
          <w:tcPr>
            <w:tcW w:w="129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燃烧性能</w:t>
            </w:r>
            <w:r/>
          </w:p>
        </w:tc>
        <w:tc>
          <w:tcPr>
            <w:tcW w:w="1652"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25975-2018</w:t>
            </w:r>
            <w:r/>
          </w:p>
        </w:tc>
        <w:tc>
          <w:tcPr>
            <w:tcW w:w="1652"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 8624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2012</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5464</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2010</w:t>
            </w:r>
            <w:r/>
          </w:p>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14402</w:t>
            </w:r>
            <w:r>
              <w:rPr>
                <w:rFonts w:hint="eastAsia" w:ascii="宋体" w:hAnsi="宋体" w:cs="宋体"/>
                <w:color w:val="000000"/>
                <w:sz w:val="21"/>
                <w:szCs w:val="21"/>
              </w:rPr>
              <w:t xml:space="preserve">-</w:t>
            </w:r>
            <w:r>
              <w:rPr>
                <w:rFonts w:hint="eastAsia" w:ascii="宋体" w:hAnsi="宋体" w:cs="宋体"/>
                <w:color w:val="000000"/>
                <w:sz w:val="21"/>
                <w:szCs w:val="21"/>
                <w:lang w:eastAsia="en-US"/>
              </w:rPr>
              <w:t xml:space="preserve">2007</w:t>
            </w:r>
            <w:r/>
          </w:p>
        </w:tc>
      </w:tr>
    </w:tbl>
    <w:p>
      <w:pPr>
        <w:spacing w:after="160" w:line="360" w:lineRule="auto"/>
        <w:widowControl w:val="off"/>
        <w:rPr>
          <w:b/>
          <w:bCs/>
          <w:color w:val="0d0d0d"/>
          <w:sz w:val="28"/>
          <w:szCs w:val="28"/>
        </w:rPr>
      </w:pPr>
      <w:r>
        <w:rPr>
          <w:b/>
          <w:bCs/>
          <w:color w:val="0d0d0d"/>
          <w:sz w:val="28"/>
          <w:szCs w:val="28"/>
        </w:rPr>
      </w:r>
      <w:r/>
    </w:p>
    <w:p>
      <w:pPr>
        <w:spacing w:after="160" w:line="360" w:lineRule="auto"/>
        <w:widowControl w:val="off"/>
        <w:rPr>
          <w:b/>
          <w:bCs/>
          <w:color w:val="0d0d0d"/>
          <w:sz w:val="28"/>
          <w:szCs w:val="28"/>
        </w:rPr>
      </w:pPr>
      <w:r/>
      <w:bookmarkStart w:id="106" w:name="OLE_LINK1"/>
      <w:r>
        <w:rPr>
          <w:b/>
          <w:bCs/>
          <w:color w:val="0d0d0d"/>
          <w:sz w:val="28"/>
          <w:szCs w:val="28"/>
        </w:rPr>
        <w:br w:type="page" w:clear="all"/>
      </w:r>
      <w:r>
        <w:rPr>
          <w:rFonts w:hint="eastAsia"/>
          <w:b/>
          <w:bCs/>
          <w:color w:val="0d0d0d"/>
          <w:sz w:val="28"/>
          <w:szCs w:val="28"/>
        </w:rPr>
        <w:t xml:space="preserve">3</w:t>
      </w:r>
      <w:r>
        <w:rPr>
          <w:rFonts w:hint="eastAsia"/>
          <w:b/>
          <w:bCs/>
          <w:color w:val="0d0d0d"/>
          <w:sz w:val="28"/>
          <w:szCs w:val="28"/>
        </w:rPr>
        <w:t xml:space="preserve">、人造板</w:t>
      </w:r>
      <w:bookmarkEnd w:id="106"/>
      <w:r/>
      <w:r/>
    </w:p>
    <w:p>
      <w:pPr>
        <w:spacing w:after="160" w:line="360" w:lineRule="auto"/>
        <w:widowControl w:val="off"/>
        <w:rPr>
          <w:color w:val="0d0d0d"/>
          <w:sz w:val="21"/>
          <w:szCs w:val="21"/>
        </w:rPr>
      </w:pPr>
      <w:r>
        <w:rPr>
          <w:rFonts w:hint="eastAsia"/>
          <w:color w:val="0d0d0d"/>
          <w:sz w:val="21"/>
          <w:szCs w:val="21"/>
        </w:rPr>
        <w:t xml:space="preserve">胶合板</w:t>
      </w:r>
      <w:r>
        <w:rPr>
          <w:rFonts w:hint="eastAsia" w:ascii="宋体" w:hAnsi="宋体" w:cs="宋体"/>
          <w:sz w:val="21"/>
          <w:szCs w:val="21"/>
        </w:rPr>
        <w:t xml:space="preserve">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2281"/>
        <w:gridCol w:w="2271"/>
        <w:gridCol w:w="3045"/>
      </w:tblGrid>
      <w:tr>
        <w:trPr>
          <w:jc w:val="center"/>
          <w:trHeight w:val="306"/>
        </w:trPr>
        <w:tc>
          <w:tcPr>
            <w:tcW w:w="421"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37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369"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83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351"/>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1</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sz w:val="21"/>
                <w:szCs w:val="21"/>
              </w:rPr>
              <w:t xml:space="preserve">含水率</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209"/>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2</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sz w:val="21"/>
                <w:szCs w:val="21"/>
              </w:rPr>
              <w:t xml:space="preserve">胶合强度</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421"/>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3</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sz w:val="21"/>
                <w:szCs w:val="21"/>
              </w:rPr>
              <w:t xml:space="preserve">浸渍剥离</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421"/>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4</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sz w:val="21"/>
                <w:szCs w:val="21"/>
              </w:rPr>
              <w:t xml:space="preserve">静曲强度</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5</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sz w:val="21"/>
                <w:szCs w:val="21"/>
              </w:rPr>
              <w:t xml:space="preserve">弹性模量</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6</w:t>
            </w:r>
            <w:r/>
          </w:p>
        </w:tc>
        <w:tc>
          <w:tcPr>
            <w:tcW w:w="137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color w:val="000000"/>
                <w:sz w:val="21"/>
                <w:szCs w:val="21"/>
              </w:rPr>
              <w:t xml:space="preserve">甲醛释放量</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9846</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2015</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2017</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39600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2021</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gridSpan w:val="4"/>
            <w:tcW w:w="5000" w:type="pct"/>
            <w:vAlign w:val="center"/>
            <w:textDirection w:val="lrTb"/>
            <w:noWrap w:val="false"/>
          </w:tcPr>
          <w:p>
            <w:pPr>
              <w:spacing w:after="160" w:line="360" w:lineRule="auto"/>
              <w:widowControl w:val="off"/>
              <w:rPr>
                <w:rFonts w:hint="eastAsia" w:ascii="宋体" w:hAnsi="宋体" w:cs="宋体"/>
                <w:color w:val="000000"/>
                <w:sz w:val="21"/>
                <w:szCs w:val="21"/>
              </w:rPr>
            </w:pPr>
            <w:r>
              <w:rPr>
                <w:rFonts w:hint="eastAsia" w:ascii="宋体" w:hAnsi="宋体"/>
                <w:color w:val="0d0d0d"/>
                <w:sz w:val="21"/>
                <w:szCs w:val="21"/>
              </w:rPr>
              <w:t xml:space="preserve">备注：</w:t>
            </w:r>
            <w:r>
              <w:rPr>
                <w:rFonts w:ascii="宋体" w:hAnsi="宋体"/>
                <w:color w:val="0d0d0d"/>
                <w:sz w:val="21"/>
                <w:szCs w:val="21"/>
              </w:rPr>
              <w:t xml:space="preserve"> G</w:t>
            </w:r>
            <w:r>
              <w:rPr>
                <w:rFonts w:ascii="宋体" w:hAnsi="宋体" w:cs="宋体"/>
                <w:color w:val="000000"/>
                <w:sz w:val="21"/>
                <w:szCs w:val="21"/>
              </w:rPr>
              <w:t xml:space="preserve">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w:t>
            </w:r>
            <w:r>
              <w:rPr>
                <w:rFonts w:hint="eastAsia" w:ascii="宋体" w:hAnsi="宋体"/>
                <w:color w:val="0d0d0d"/>
                <w:sz w:val="21"/>
                <w:szCs w:val="21"/>
              </w:rPr>
              <w:t xml:space="preserve">强制性</w:t>
            </w:r>
            <w:r>
              <w:rPr>
                <w:rFonts w:ascii="宋体" w:hAnsi="宋体"/>
                <w:color w:val="0d0d0d"/>
                <w:sz w:val="21"/>
                <w:szCs w:val="21"/>
              </w:rPr>
              <w:t xml:space="preserve">国家标准</w:t>
            </w:r>
            <w:r>
              <w:rPr>
                <w:rFonts w:hint="eastAsia" w:ascii="宋体" w:hAnsi="宋体"/>
                <w:color w:val="0d0d0d"/>
                <w:sz w:val="21"/>
                <w:szCs w:val="21"/>
              </w:rPr>
              <w:t xml:space="preserve">于2026年6月1日</w:t>
            </w:r>
            <w:r>
              <w:rPr>
                <w:rFonts w:ascii="宋体" w:hAnsi="宋体"/>
                <w:color w:val="0d0d0d"/>
                <w:sz w:val="21"/>
                <w:szCs w:val="21"/>
              </w:rPr>
              <w:t xml:space="preserve">实施，此日期之后</w:t>
            </w:r>
            <w:r>
              <w:rPr>
                <w:rFonts w:hint="eastAsia" w:ascii="宋体" w:hAnsi="宋体"/>
                <w:color w:val="0d0d0d"/>
                <w:sz w:val="21"/>
                <w:szCs w:val="21"/>
              </w:rPr>
              <w:t xml:space="preserve">的</w:t>
            </w:r>
            <w:r>
              <w:rPr>
                <w:rFonts w:ascii="宋体" w:hAnsi="宋体"/>
                <w:color w:val="0d0d0d"/>
                <w:sz w:val="21"/>
                <w:szCs w:val="21"/>
              </w:rPr>
              <w:t xml:space="preserve">产品</w:t>
            </w:r>
            <w:r>
              <w:rPr>
                <w:rFonts w:hint="eastAsia" w:ascii="宋体" w:hAnsi="宋体"/>
                <w:color w:val="0d0d0d"/>
                <w:sz w:val="21"/>
                <w:szCs w:val="21"/>
              </w:rPr>
              <w:t xml:space="preserve">动态</w:t>
            </w:r>
            <w:r>
              <w:rPr>
                <w:rFonts w:hint="eastAsia" w:ascii="宋体" w:hAnsi="宋体"/>
                <w:color w:val="0d0d0d"/>
                <w:sz w:val="21"/>
                <w:szCs w:val="21"/>
              </w:rPr>
              <w:t xml:space="preserve">监测</w:t>
            </w:r>
            <w:r>
              <w:rPr>
                <w:rFonts w:ascii="宋体" w:hAnsi="宋体"/>
                <w:color w:val="0d0d0d"/>
                <w:sz w:val="21"/>
                <w:szCs w:val="21"/>
              </w:rPr>
              <w:t xml:space="preserve">按</w:t>
            </w:r>
            <w:r>
              <w:rPr>
                <w:rFonts w:ascii="宋体" w:hAnsi="宋体" w:cs="宋体"/>
                <w:color w:val="000000"/>
                <w:sz w:val="21"/>
                <w:szCs w:val="21"/>
              </w:rPr>
              <w:t xml:space="preserve">GB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25要求执行</w:t>
            </w:r>
            <w:r>
              <w:rPr>
                <w:rFonts w:ascii="宋体" w:hAnsi="宋体" w:cs="宋体"/>
                <w:color w:val="000000"/>
                <w:sz w:val="21"/>
                <w:szCs w:val="21"/>
              </w:rPr>
              <w:t xml:space="preserve">。</w:t>
            </w:r>
            <w:r/>
          </w:p>
        </w:tc>
      </w:tr>
    </w:tbl>
    <w:p>
      <w:pPr>
        <w:jc w:val="both"/>
        <w:spacing w:after="160" w:line="278" w:lineRule="auto"/>
        <w:widowControl w:val="off"/>
        <w:rPr>
          <w:rFonts w:cs="Calibri"/>
          <w:sz w:val="21"/>
          <w:szCs w:val="21"/>
        </w:rPr>
      </w:pPr>
      <w:r>
        <w:rPr>
          <w:rFonts w:cs="Calibri"/>
          <w:sz w:val="21"/>
          <w:szCs w:val="21"/>
        </w:rPr>
      </w:r>
      <w:r/>
    </w:p>
    <w:p>
      <w:pPr>
        <w:jc w:val="both"/>
        <w:spacing w:after="120" w:line="278" w:lineRule="auto"/>
        <w:widowControl w:val="off"/>
        <w:rPr>
          <w:color w:val="0d0d0d"/>
          <w:sz w:val="21"/>
          <w:szCs w:val="21"/>
        </w:rPr>
      </w:pPr>
      <w:r>
        <w:rPr>
          <w:rFonts w:hint="eastAsia"/>
          <w:color w:val="0d0d0d"/>
          <w:sz w:val="21"/>
          <w:szCs w:val="21"/>
        </w:rPr>
        <w:t xml:space="preserve">细木工板</w:t>
      </w:r>
      <w:r>
        <w:rPr>
          <w:rFonts w:hint="eastAsia" w:ascii="宋体" w:hAnsi="宋体" w:cs="宋体"/>
          <w:sz w:val="21"/>
          <w:szCs w:val="21"/>
        </w:rPr>
        <w:t xml:space="preserve">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2281"/>
        <w:gridCol w:w="2271"/>
        <w:gridCol w:w="3045"/>
      </w:tblGrid>
      <w:tr>
        <w:trPr>
          <w:jc w:val="center"/>
          <w:trHeight w:val="306"/>
        </w:trPr>
        <w:tc>
          <w:tcPr>
            <w:tcW w:w="421"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37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369"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83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351"/>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1</w:t>
            </w:r>
            <w:r/>
          </w:p>
        </w:tc>
        <w:tc>
          <w:tcPr>
            <w:tcW w:w="1375" w:type="pct"/>
            <w:vAlign w:val="center"/>
            <w:textDirection w:val="lrTb"/>
            <w:noWrap w:val="false"/>
          </w:tcPr>
          <w:p>
            <w:pPr>
              <w:jc w:val="center"/>
              <w:spacing w:after="160" w:line="300" w:lineRule="exact"/>
              <w:widowControl w:val="off"/>
              <w:rPr>
                <w:rFonts w:hint="eastAsia" w:ascii="宋体" w:hAnsi="宋体" w:cs="宋体"/>
                <w:color w:val="000000"/>
                <w:sz w:val="21"/>
                <w:szCs w:val="21"/>
              </w:rPr>
            </w:pPr>
            <w:r>
              <w:rPr>
                <w:color w:val="000000"/>
                <w:sz w:val="21"/>
                <w:szCs w:val="21"/>
              </w:rPr>
              <w:t xml:space="preserve">含水率</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209"/>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2</w:t>
            </w:r>
            <w:r/>
          </w:p>
        </w:tc>
        <w:tc>
          <w:tcPr>
            <w:tcW w:w="1375" w:type="pct"/>
            <w:vAlign w:val="center"/>
            <w:textDirection w:val="lrTb"/>
            <w:noWrap w:val="false"/>
          </w:tcPr>
          <w:p>
            <w:pPr>
              <w:jc w:val="center"/>
              <w:spacing w:after="160" w:line="300" w:lineRule="exact"/>
              <w:widowControl w:val="off"/>
              <w:rPr>
                <w:rFonts w:hint="eastAsia" w:ascii="宋体" w:hAnsi="宋体" w:cs="宋体"/>
                <w:color w:val="000000"/>
                <w:sz w:val="21"/>
                <w:szCs w:val="21"/>
              </w:rPr>
            </w:pPr>
            <w:r>
              <w:rPr>
                <w:sz w:val="21"/>
                <w:szCs w:val="21"/>
              </w:rPr>
              <w:t xml:space="preserve">横向静曲强度</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421"/>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3</w:t>
            </w:r>
            <w:r/>
          </w:p>
        </w:tc>
        <w:tc>
          <w:tcPr>
            <w:tcW w:w="1375" w:type="pct"/>
            <w:vAlign w:val="center"/>
            <w:textDirection w:val="lrTb"/>
            <w:noWrap w:val="false"/>
          </w:tcPr>
          <w:p>
            <w:pPr>
              <w:jc w:val="center"/>
              <w:spacing w:after="160" w:line="300" w:lineRule="exact"/>
              <w:widowControl w:val="off"/>
              <w:rPr>
                <w:rFonts w:hint="eastAsia" w:ascii="宋体" w:hAnsi="宋体" w:cs="宋体"/>
                <w:color w:val="000000"/>
                <w:sz w:val="21"/>
                <w:szCs w:val="21"/>
              </w:rPr>
            </w:pPr>
            <w:r>
              <w:rPr>
                <w:sz w:val="21"/>
                <w:szCs w:val="21"/>
              </w:rPr>
              <w:t xml:space="preserve">浸渍剥离性能</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421"/>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4</w:t>
            </w:r>
            <w:r/>
          </w:p>
        </w:tc>
        <w:tc>
          <w:tcPr>
            <w:tcW w:w="1375" w:type="pct"/>
            <w:vAlign w:val="center"/>
            <w:textDirection w:val="lrTb"/>
            <w:noWrap w:val="false"/>
          </w:tcPr>
          <w:p>
            <w:pPr>
              <w:jc w:val="center"/>
              <w:spacing w:after="160" w:line="300" w:lineRule="exact"/>
              <w:widowControl w:val="off"/>
              <w:rPr>
                <w:rFonts w:hint="eastAsia" w:ascii="宋体" w:hAnsi="宋体" w:cs="宋体"/>
                <w:color w:val="000000"/>
                <w:sz w:val="21"/>
                <w:szCs w:val="21"/>
              </w:rPr>
            </w:pPr>
            <w:r>
              <w:rPr>
                <w:sz w:val="21"/>
                <w:szCs w:val="21"/>
              </w:rPr>
              <w:t xml:space="preserve">表面胶合强度</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5</w:t>
            </w:r>
            <w:r/>
          </w:p>
        </w:tc>
        <w:tc>
          <w:tcPr>
            <w:tcW w:w="1375" w:type="pct"/>
            <w:vAlign w:val="center"/>
            <w:textDirection w:val="lrTb"/>
            <w:noWrap w:val="false"/>
          </w:tcPr>
          <w:p>
            <w:pPr>
              <w:jc w:val="center"/>
              <w:spacing w:after="160" w:line="300" w:lineRule="exact"/>
              <w:widowControl w:val="off"/>
              <w:rPr>
                <w:rFonts w:hint="eastAsia" w:ascii="宋体" w:hAnsi="宋体" w:cs="宋体"/>
                <w:color w:val="000000"/>
                <w:sz w:val="21"/>
                <w:szCs w:val="21"/>
              </w:rPr>
            </w:pPr>
            <w:r>
              <w:rPr>
                <w:color w:val="000000"/>
                <w:sz w:val="21"/>
                <w:szCs w:val="21"/>
              </w:rPr>
              <w:t xml:space="preserve">甲醛释放量</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5849</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2016</w:t>
            </w:r>
            <w:r/>
          </w:p>
        </w:tc>
        <w:tc>
          <w:tcPr>
            <w:tcW w:w="1835"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2017</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39600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2021</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gridSpan w:val="4"/>
            <w:tcW w:w="5000" w:type="pct"/>
            <w:vAlign w:val="center"/>
            <w:textDirection w:val="lrTb"/>
            <w:noWrap w:val="false"/>
          </w:tcPr>
          <w:p>
            <w:pPr>
              <w:spacing w:after="160" w:line="360" w:lineRule="auto"/>
              <w:widowControl w:val="off"/>
              <w:rPr>
                <w:rFonts w:hint="eastAsia" w:ascii="宋体" w:hAnsi="宋体" w:cs="宋体"/>
                <w:color w:val="000000"/>
                <w:sz w:val="21"/>
                <w:szCs w:val="21"/>
              </w:rPr>
            </w:pPr>
            <w:r>
              <w:rPr>
                <w:rFonts w:hint="eastAsia" w:ascii="宋体" w:hAnsi="宋体"/>
                <w:color w:val="0d0d0d"/>
                <w:sz w:val="21"/>
                <w:szCs w:val="21"/>
              </w:rPr>
              <w:t xml:space="preserve">备注：</w:t>
            </w:r>
            <w:r>
              <w:rPr>
                <w:rFonts w:ascii="宋体" w:hAnsi="宋体"/>
                <w:color w:val="0d0d0d"/>
                <w:sz w:val="21"/>
                <w:szCs w:val="21"/>
              </w:rPr>
              <w:t xml:space="preserve"> G</w:t>
            </w:r>
            <w:r>
              <w:rPr>
                <w:rFonts w:ascii="宋体" w:hAnsi="宋体" w:cs="宋体"/>
                <w:color w:val="000000"/>
                <w:sz w:val="21"/>
                <w:szCs w:val="21"/>
              </w:rPr>
              <w:t xml:space="preserve">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w:t>
            </w:r>
            <w:r>
              <w:rPr>
                <w:rFonts w:hint="eastAsia" w:ascii="宋体" w:hAnsi="宋体"/>
                <w:color w:val="0d0d0d"/>
                <w:sz w:val="21"/>
                <w:szCs w:val="21"/>
              </w:rPr>
              <w:t xml:space="preserve">强制性</w:t>
            </w:r>
            <w:r>
              <w:rPr>
                <w:rFonts w:ascii="宋体" w:hAnsi="宋体"/>
                <w:color w:val="0d0d0d"/>
                <w:sz w:val="21"/>
                <w:szCs w:val="21"/>
              </w:rPr>
              <w:t xml:space="preserve">国家标准</w:t>
            </w:r>
            <w:r>
              <w:rPr>
                <w:rFonts w:hint="eastAsia" w:ascii="宋体" w:hAnsi="宋体"/>
                <w:color w:val="0d0d0d"/>
                <w:sz w:val="21"/>
                <w:szCs w:val="21"/>
              </w:rPr>
              <w:t xml:space="preserve">于2026年6月1日</w:t>
            </w:r>
            <w:r>
              <w:rPr>
                <w:rFonts w:ascii="宋体" w:hAnsi="宋体"/>
                <w:color w:val="0d0d0d"/>
                <w:sz w:val="21"/>
                <w:szCs w:val="21"/>
              </w:rPr>
              <w:t xml:space="preserve">实施，此日期之后</w:t>
            </w:r>
            <w:r>
              <w:rPr>
                <w:rFonts w:hint="eastAsia" w:ascii="宋体" w:hAnsi="宋体"/>
                <w:color w:val="0d0d0d"/>
                <w:sz w:val="21"/>
                <w:szCs w:val="21"/>
              </w:rPr>
              <w:t xml:space="preserve">的</w:t>
            </w:r>
            <w:r>
              <w:rPr>
                <w:rFonts w:ascii="宋体" w:hAnsi="宋体"/>
                <w:color w:val="0d0d0d"/>
                <w:sz w:val="21"/>
                <w:szCs w:val="21"/>
              </w:rPr>
              <w:t xml:space="preserve">产品</w:t>
            </w:r>
            <w:r>
              <w:rPr>
                <w:rFonts w:hint="eastAsia" w:ascii="宋体" w:hAnsi="宋体"/>
                <w:color w:val="0d0d0d"/>
                <w:sz w:val="21"/>
                <w:szCs w:val="21"/>
              </w:rPr>
              <w:t xml:space="preserve">动态</w:t>
            </w:r>
            <w:r>
              <w:rPr>
                <w:rFonts w:hint="eastAsia" w:ascii="宋体" w:hAnsi="宋体"/>
                <w:color w:val="0d0d0d"/>
                <w:sz w:val="21"/>
                <w:szCs w:val="21"/>
              </w:rPr>
              <w:t xml:space="preserve">监测</w:t>
            </w:r>
            <w:r>
              <w:rPr>
                <w:rFonts w:ascii="宋体" w:hAnsi="宋体"/>
                <w:color w:val="0d0d0d"/>
                <w:sz w:val="21"/>
                <w:szCs w:val="21"/>
              </w:rPr>
              <w:t xml:space="preserve">按</w:t>
            </w:r>
            <w:r>
              <w:rPr>
                <w:rFonts w:ascii="宋体" w:hAnsi="宋体" w:cs="宋体"/>
                <w:color w:val="000000"/>
                <w:sz w:val="21"/>
                <w:szCs w:val="21"/>
              </w:rPr>
              <w:t xml:space="preserve">GB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25要求执行</w:t>
            </w:r>
            <w:r>
              <w:rPr>
                <w:rFonts w:ascii="宋体" w:hAnsi="宋体" w:cs="宋体"/>
                <w:color w:val="000000"/>
                <w:sz w:val="21"/>
                <w:szCs w:val="21"/>
              </w:rPr>
              <w:t xml:space="preserve">。</w:t>
            </w:r>
            <w:r/>
          </w:p>
        </w:tc>
      </w:tr>
    </w:tbl>
    <w:p>
      <w:pPr>
        <w:jc w:val="both"/>
        <w:spacing w:after="120" w:line="278" w:lineRule="auto"/>
        <w:widowControl w:val="off"/>
        <w:rPr>
          <w:color w:val="0d0d0d"/>
          <w:sz w:val="21"/>
          <w:szCs w:val="21"/>
        </w:rPr>
      </w:pPr>
      <w:r>
        <w:rPr>
          <w:color w:val="0d0d0d"/>
          <w:sz w:val="21"/>
          <w:szCs w:val="21"/>
        </w:rPr>
      </w:r>
      <w:r/>
    </w:p>
    <w:p>
      <w:pPr>
        <w:spacing w:after="160" w:line="360" w:lineRule="auto"/>
        <w:widowControl w:val="off"/>
        <w:rPr>
          <w:color w:val="0d0d0d"/>
          <w:sz w:val="21"/>
          <w:szCs w:val="21"/>
        </w:rPr>
      </w:pPr>
      <w:r>
        <w:rPr>
          <w:rFonts w:hint="eastAsia"/>
          <w:color w:val="0d0d0d"/>
          <w:sz w:val="21"/>
          <w:szCs w:val="21"/>
        </w:rPr>
        <w:t xml:space="preserve">浸渍胶膜纸饰面胶合板</w:t>
      </w:r>
      <w:r>
        <w:rPr>
          <w:rFonts w:hint="eastAsia" w:ascii="宋体" w:hAnsi="宋体" w:cs="宋体"/>
          <w:sz w:val="21"/>
          <w:szCs w:val="21"/>
        </w:rPr>
        <w:t xml:space="preserve">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2281"/>
        <w:gridCol w:w="2271"/>
        <w:gridCol w:w="3045"/>
      </w:tblGrid>
      <w:tr>
        <w:trPr>
          <w:jc w:val="center"/>
          <w:trHeight w:val="306"/>
        </w:trPr>
        <w:tc>
          <w:tcPr>
            <w:tcW w:w="421"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37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369"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836"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351"/>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1</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sz w:val="21"/>
                <w:szCs w:val="21"/>
              </w:rPr>
              <w:t xml:space="preserve">含水率</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209"/>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2</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sz w:val="21"/>
                <w:szCs w:val="21"/>
              </w:rPr>
              <w:t xml:space="preserve">胶合强度</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3</w:t>
            </w:r>
            <w:r/>
          </w:p>
        </w:tc>
        <w:tc>
          <w:tcPr>
            <w:tcW w:w="1375" w:type="pct"/>
            <w:vAlign w:val="center"/>
            <w:textDirection w:val="lrTb"/>
            <w:noWrap w:val="false"/>
          </w:tcPr>
          <w:p>
            <w:pPr>
              <w:jc w:val="center"/>
              <w:spacing w:after="160" w:line="278" w:lineRule="auto"/>
              <w:widowControl w:val="off"/>
              <w:rPr>
                <w:sz w:val="21"/>
                <w:szCs w:val="21"/>
                <w:lang w:eastAsia="en-US"/>
              </w:rPr>
            </w:pPr>
            <w:r>
              <w:rPr>
                <w:rFonts w:hint="eastAsia"/>
                <w:sz w:val="21"/>
                <w:szCs w:val="21"/>
              </w:rPr>
              <w:t xml:space="preserve">表面耐磨</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4</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表面耐干热</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5</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表面耐冷热循环</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6</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表面耐龟裂</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7</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耐光色牢</w:t>
            </w:r>
            <w:r>
              <w:rPr>
                <w:rFonts w:hint="eastAsia"/>
                <w:sz w:val="21"/>
                <w:szCs w:val="21"/>
              </w:rPr>
              <w:t xml:space="preserve">度</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8</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甲醛释放量</w:t>
            </w:r>
            <w:r/>
          </w:p>
        </w:tc>
        <w:tc>
          <w:tcPr>
            <w:tcW w:w="1369"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836"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2017</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39600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2021</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gridSpan w:val="4"/>
            <w:tcW w:w="5000" w:type="pct"/>
            <w:vAlign w:val="center"/>
            <w:textDirection w:val="lrTb"/>
            <w:noWrap w:val="false"/>
          </w:tcPr>
          <w:p>
            <w:pPr>
              <w:spacing w:after="160" w:line="360" w:lineRule="auto"/>
              <w:widowControl w:val="off"/>
              <w:rPr>
                <w:rFonts w:hint="eastAsia" w:ascii="宋体" w:hAnsi="宋体" w:cs="宋体"/>
                <w:color w:val="000000"/>
                <w:sz w:val="21"/>
                <w:szCs w:val="21"/>
              </w:rPr>
            </w:pPr>
            <w:r>
              <w:rPr>
                <w:rFonts w:hint="eastAsia" w:ascii="宋体" w:hAnsi="宋体"/>
                <w:color w:val="0d0d0d"/>
                <w:sz w:val="21"/>
                <w:szCs w:val="21"/>
              </w:rPr>
              <w:t xml:space="preserve">备注：</w:t>
            </w:r>
            <w:r>
              <w:rPr>
                <w:rFonts w:hint="eastAsia" w:ascii="宋体" w:hAnsi="宋体"/>
                <w:color w:val="0d0d0d"/>
                <w:sz w:val="21"/>
                <w:szCs w:val="21"/>
              </w:rPr>
              <w:t xml:space="preserve"> </w:t>
            </w:r>
            <w:r>
              <w:rPr>
                <w:rFonts w:ascii="宋体" w:hAnsi="宋体"/>
                <w:color w:val="0d0d0d"/>
                <w:sz w:val="21"/>
                <w:szCs w:val="21"/>
              </w:rPr>
              <w:t xml:space="preserve">G</w:t>
            </w:r>
            <w:r>
              <w:rPr>
                <w:rFonts w:ascii="宋体" w:hAnsi="宋体" w:cs="宋体"/>
                <w:color w:val="000000"/>
                <w:sz w:val="21"/>
                <w:szCs w:val="21"/>
              </w:rPr>
              <w:t xml:space="preserve">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w:t>
            </w:r>
            <w:r>
              <w:rPr>
                <w:rFonts w:hint="eastAsia" w:ascii="宋体" w:hAnsi="宋体"/>
                <w:color w:val="0d0d0d"/>
                <w:sz w:val="21"/>
                <w:szCs w:val="21"/>
              </w:rPr>
              <w:t xml:space="preserve">强制性</w:t>
            </w:r>
            <w:r>
              <w:rPr>
                <w:rFonts w:ascii="宋体" w:hAnsi="宋体"/>
                <w:color w:val="0d0d0d"/>
                <w:sz w:val="21"/>
                <w:szCs w:val="21"/>
              </w:rPr>
              <w:t xml:space="preserve">国家标准</w:t>
            </w:r>
            <w:r>
              <w:rPr>
                <w:rFonts w:hint="eastAsia" w:ascii="宋体" w:hAnsi="宋体"/>
                <w:color w:val="0d0d0d"/>
                <w:sz w:val="21"/>
                <w:szCs w:val="21"/>
              </w:rPr>
              <w:t xml:space="preserve">于2026年6月1日</w:t>
            </w:r>
            <w:r>
              <w:rPr>
                <w:rFonts w:ascii="宋体" w:hAnsi="宋体"/>
                <w:color w:val="0d0d0d"/>
                <w:sz w:val="21"/>
                <w:szCs w:val="21"/>
              </w:rPr>
              <w:t xml:space="preserve">实施，此日期之后</w:t>
            </w:r>
            <w:r>
              <w:rPr>
                <w:rFonts w:hint="eastAsia" w:ascii="宋体" w:hAnsi="宋体"/>
                <w:color w:val="0d0d0d"/>
                <w:sz w:val="21"/>
                <w:szCs w:val="21"/>
              </w:rPr>
              <w:t xml:space="preserve">的</w:t>
            </w:r>
            <w:r>
              <w:rPr>
                <w:rFonts w:ascii="宋体" w:hAnsi="宋体"/>
                <w:color w:val="0d0d0d"/>
                <w:sz w:val="21"/>
                <w:szCs w:val="21"/>
              </w:rPr>
              <w:t xml:space="preserve">产品</w:t>
            </w:r>
            <w:r>
              <w:rPr>
                <w:rFonts w:hint="eastAsia" w:ascii="宋体" w:hAnsi="宋体"/>
                <w:color w:val="0d0d0d"/>
                <w:sz w:val="21"/>
                <w:szCs w:val="21"/>
              </w:rPr>
              <w:t xml:space="preserve">动态</w:t>
            </w:r>
            <w:r>
              <w:rPr>
                <w:rFonts w:hint="eastAsia" w:ascii="宋体" w:hAnsi="宋体"/>
                <w:color w:val="0d0d0d"/>
                <w:sz w:val="21"/>
                <w:szCs w:val="21"/>
              </w:rPr>
              <w:t xml:space="preserve">监测</w:t>
            </w:r>
            <w:r>
              <w:rPr>
                <w:rFonts w:ascii="宋体" w:hAnsi="宋体"/>
                <w:color w:val="0d0d0d"/>
                <w:sz w:val="21"/>
                <w:szCs w:val="21"/>
              </w:rPr>
              <w:t xml:space="preserve">按</w:t>
            </w:r>
            <w:r>
              <w:rPr>
                <w:rFonts w:ascii="宋体" w:hAnsi="宋体" w:cs="宋体"/>
                <w:color w:val="000000"/>
                <w:sz w:val="21"/>
                <w:szCs w:val="21"/>
              </w:rPr>
              <w:t xml:space="preserve">GB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25要求执行</w:t>
            </w:r>
            <w:r>
              <w:rPr>
                <w:rFonts w:ascii="宋体" w:hAnsi="宋体" w:cs="宋体"/>
                <w:color w:val="000000"/>
                <w:sz w:val="21"/>
                <w:szCs w:val="21"/>
              </w:rPr>
              <w:t xml:space="preserve">。</w:t>
            </w:r>
            <w:r/>
          </w:p>
        </w:tc>
      </w:tr>
    </w:tbl>
    <w:p>
      <w:pPr>
        <w:spacing w:after="160" w:line="360" w:lineRule="auto"/>
        <w:widowControl w:val="off"/>
        <w:rPr>
          <w:color w:val="0d0d0d"/>
          <w:sz w:val="21"/>
          <w:szCs w:val="21"/>
        </w:rPr>
      </w:pPr>
      <w:r>
        <w:rPr>
          <w:color w:val="0d0d0d"/>
          <w:sz w:val="21"/>
          <w:szCs w:val="21"/>
        </w:rPr>
      </w:r>
      <w:r/>
    </w:p>
    <w:p>
      <w:pPr>
        <w:spacing w:after="160" w:line="360" w:lineRule="auto"/>
        <w:widowControl w:val="off"/>
        <w:rPr>
          <w:color w:val="0d0d0d"/>
          <w:sz w:val="21"/>
          <w:szCs w:val="21"/>
        </w:rPr>
      </w:pPr>
      <w:r>
        <w:rPr>
          <w:rFonts w:hint="eastAsia"/>
          <w:color w:val="0d0d0d"/>
          <w:sz w:val="21"/>
          <w:szCs w:val="21"/>
        </w:rPr>
        <w:t xml:space="preserve">浸渍胶膜纸饰面细木工板</w:t>
      </w:r>
      <w:r>
        <w:rPr>
          <w:rFonts w:hint="eastAsia" w:ascii="宋体" w:hAnsi="宋体" w:cs="宋体"/>
          <w:sz w:val="21"/>
          <w:szCs w:val="21"/>
        </w:rPr>
        <w:t xml:space="preserve">产品检验检测项目、依据及方法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8"/>
        <w:gridCol w:w="2281"/>
        <w:gridCol w:w="2544"/>
        <w:gridCol w:w="2773"/>
      </w:tblGrid>
      <w:tr>
        <w:trPr>
          <w:jc w:val="center"/>
          <w:trHeight w:val="306"/>
        </w:trPr>
        <w:tc>
          <w:tcPr>
            <w:tcW w:w="421"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序号</w:t>
            </w:r>
            <w:r/>
          </w:p>
        </w:tc>
        <w:tc>
          <w:tcPr>
            <w:tcW w:w="1375"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检验项目</w:t>
            </w:r>
            <w:r/>
          </w:p>
        </w:tc>
        <w:tc>
          <w:tcPr>
            <w:tcW w:w="1533" w:type="pct"/>
            <w:vAlign w:val="center"/>
            <w:textDirection w:val="lrTb"/>
            <w:noWrap w:val="false"/>
          </w:tcPr>
          <w:p>
            <w:pPr>
              <w:jc w:val="center"/>
              <w:spacing w:after="160" w:line="440" w:lineRule="exact"/>
              <w:widowControl w:val="off"/>
              <w:rPr>
                <w:color w:val="0d0d0d"/>
                <w:sz w:val="21"/>
                <w:szCs w:val="21"/>
              </w:rPr>
            </w:pPr>
            <w:r>
              <w:rPr>
                <w:rFonts w:hint="eastAsia"/>
                <w:color w:val="0d0d0d"/>
                <w:sz w:val="21"/>
                <w:szCs w:val="21"/>
              </w:rPr>
              <w:t xml:space="preserve">检验依据</w:t>
            </w:r>
            <w:r/>
          </w:p>
        </w:tc>
        <w:tc>
          <w:tcPr>
            <w:tcW w:w="1671" w:type="pct"/>
            <w:vAlign w:val="center"/>
            <w:textDirection w:val="lrTb"/>
            <w:noWrap w:val="false"/>
          </w:tcPr>
          <w:p>
            <w:pPr>
              <w:jc w:val="center"/>
              <w:spacing w:after="160" w:line="440" w:lineRule="exact"/>
              <w:widowControl w:val="off"/>
              <w:rPr>
                <w:color w:val="0d0d0d"/>
                <w:sz w:val="21"/>
                <w:szCs w:val="21"/>
              </w:rPr>
            </w:pPr>
            <w:r>
              <w:rPr>
                <w:color w:val="0d0d0d"/>
                <w:sz w:val="21"/>
                <w:szCs w:val="21"/>
              </w:rPr>
              <w:t xml:space="preserve">检验方法</w:t>
            </w:r>
            <w:r/>
          </w:p>
        </w:tc>
      </w:tr>
      <w:tr>
        <w:trPr>
          <w:jc w:val="center"/>
          <w:trHeight w:val="351"/>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1</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sz w:val="21"/>
                <w:szCs w:val="21"/>
              </w:rPr>
              <w:t xml:space="preserve">含水率</w:t>
            </w:r>
            <w:r/>
          </w:p>
        </w:tc>
        <w:tc>
          <w:tcPr>
            <w:tcW w:w="1533" w:type="pct"/>
            <w:vAlign w:val="center"/>
            <w:textDirection w:val="lrTb"/>
            <w:noWrap w:val="false"/>
          </w:tcPr>
          <w:p>
            <w:pPr>
              <w:jc w:val="center"/>
              <w:spacing w:after="160" w:line="278" w:lineRule="auto"/>
              <w:rPr>
                <w:rFonts w:hint="eastAsia" w:ascii="宋体" w:hAnsi="宋体" w:cs="宋体"/>
                <w:color w:val="000000"/>
                <w:sz w:val="21"/>
                <w:szCs w:val="21"/>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209"/>
        </w:trPr>
        <w:tc>
          <w:tcPr>
            <w:tcW w:w="421" w:type="pct"/>
            <w:vAlign w:val="center"/>
            <w:textDirection w:val="lrTb"/>
            <w:noWrap w:val="false"/>
          </w:tcPr>
          <w:p>
            <w:pPr>
              <w:jc w:val="center"/>
              <w:spacing w:after="160" w:line="278" w:lineRule="auto"/>
              <w:widowControl w:val="off"/>
              <w:rPr>
                <w:color w:val="0d0d0d"/>
                <w:sz w:val="21"/>
                <w:szCs w:val="21"/>
              </w:rPr>
            </w:pPr>
            <w:r>
              <w:rPr>
                <w:color w:val="0d0d0d"/>
                <w:sz w:val="21"/>
                <w:szCs w:val="21"/>
              </w:rPr>
              <w:t xml:space="preserve">2</w:t>
            </w:r>
            <w:r/>
          </w:p>
        </w:tc>
        <w:tc>
          <w:tcPr>
            <w:tcW w:w="1375" w:type="pct"/>
            <w:vAlign w:val="center"/>
            <w:textDirection w:val="lrTb"/>
            <w:noWrap w:val="false"/>
          </w:tcPr>
          <w:p>
            <w:pPr>
              <w:jc w:val="center"/>
              <w:spacing w:after="160" w:line="278" w:lineRule="auto"/>
              <w:widowControl w:val="off"/>
              <w:rPr>
                <w:rFonts w:hint="eastAsia" w:ascii="宋体" w:hAnsi="宋体" w:cs="宋体"/>
                <w:color w:val="000000"/>
                <w:sz w:val="21"/>
                <w:szCs w:val="21"/>
              </w:rPr>
            </w:pPr>
            <w:r>
              <w:rPr>
                <w:rFonts w:ascii="宋体" w:hAnsi="宋体"/>
                <w:color w:val="000000"/>
                <w:sz w:val="21"/>
                <w:szCs w:val="21"/>
              </w:rPr>
              <w:t xml:space="preserve">浸渍剥离</w:t>
            </w:r>
            <w:r/>
          </w:p>
        </w:tc>
        <w:tc>
          <w:tcPr>
            <w:tcW w:w="153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3</w:t>
            </w:r>
            <w:r/>
          </w:p>
        </w:tc>
        <w:tc>
          <w:tcPr>
            <w:tcW w:w="1375" w:type="pct"/>
            <w:vAlign w:val="center"/>
            <w:textDirection w:val="lrTb"/>
            <w:noWrap w:val="false"/>
          </w:tcPr>
          <w:p>
            <w:pPr>
              <w:jc w:val="center"/>
              <w:spacing w:after="160" w:line="278" w:lineRule="auto"/>
              <w:widowControl w:val="off"/>
              <w:rPr>
                <w:sz w:val="21"/>
                <w:szCs w:val="21"/>
                <w:lang w:eastAsia="en-US"/>
              </w:rPr>
            </w:pPr>
            <w:r>
              <w:rPr>
                <w:rFonts w:hint="eastAsia"/>
                <w:sz w:val="21"/>
                <w:szCs w:val="21"/>
              </w:rPr>
              <w:t xml:space="preserve">表面耐磨</w:t>
            </w:r>
            <w:r/>
          </w:p>
        </w:tc>
        <w:tc>
          <w:tcPr>
            <w:tcW w:w="153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4</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表面耐干热</w:t>
            </w:r>
            <w:r/>
          </w:p>
        </w:tc>
        <w:tc>
          <w:tcPr>
            <w:tcW w:w="153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5</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表面耐冷热循环</w:t>
            </w:r>
            <w:r/>
          </w:p>
        </w:tc>
        <w:tc>
          <w:tcPr>
            <w:tcW w:w="153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6</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表面耐龟裂</w:t>
            </w:r>
            <w:r/>
          </w:p>
        </w:tc>
        <w:tc>
          <w:tcPr>
            <w:tcW w:w="153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7</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耐光色牢</w:t>
            </w:r>
            <w:r>
              <w:rPr>
                <w:rFonts w:hint="eastAsia"/>
                <w:sz w:val="21"/>
                <w:szCs w:val="21"/>
              </w:rPr>
              <w:t xml:space="preserve">度</w:t>
            </w:r>
            <w:r/>
          </w:p>
        </w:tc>
        <w:tc>
          <w:tcPr>
            <w:tcW w:w="153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tcW w:w="421" w:type="pct"/>
            <w:vAlign w:val="center"/>
            <w:textDirection w:val="lrTb"/>
            <w:noWrap w:val="false"/>
          </w:tcPr>
          <w:p>
            <w:pPr>
              <w:jc w:val="center"/>
              <w:spacing w:after="160" w:line="278" w:lineRule="auto"/>
              <w:widowControl w:val="off"/>
              <w:rPr>
                <w:color w:val="0d0d0d"/>
                <w:sz w:val="21"/>
                <w:szCs w:val="21"/>
              </w:rPr>
            </w:pPr>
            <w:r>
              <w:rPr>
                <w:rFonts w:hint="eastAsia"/>
                <w:color w:val="0d0d0d"/>
                <w:sz w:val="21"/>
                <w:szCs w:val="21"/>
              </w:rPr>
              <w:t xml:space="preserve">8</w:t>
            </w:r>
            <w:r/>
          </w:p>
        </w:tc>
        <w:tc>
          <w:tcPr>
            <w:tcW w:w="1375" w:type="pct"/>
            <w:vAlign w:val="center"/>
            <w:textDirection w:val="lrTb"/>
            <w:noWrap w:val="false"/>
          </w:tcPr>
          <w:p>
            <w:pPr>
              <w:jc w:val="center"/>
              <w:spacing w:after="160" w:line="278" w:lineRule="auto"/>
              <w:widowControl w:val="off"/>
              <w:rPr>
                <w:sz w:val="21"/>
                <w:szCs w:val="21"/>
                <w:lang w:eastAsia="en-US"/>
              </w:rPr>
            </w:pPr>
            <w:r>
              <w:rPr>
                <w:sz w:val="21"/>
                <w:szCs w:val="21"/>
              </w:rPr>
              <w:t xml:space="preserve">甲醛释放量</w:t>
            </w:r>
            <w:r/>
          </w:p>
        </w:tc>
        <w:tc>
          <w:tcPr>
            <w:tcW w:w="1533"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hint="eastAsia" w:ascii="宋体" w:hAnsi="宋体" w:cs="宋体"/>
                <w:color w:val="000000"/>
                <w:sz w:val="21"/>
                <w:szCs w:val="21"/>
                <w:lang w:eastAsia="en-US"/>
              </w:rPr>
              <w:t xml:space="preserve">GB/T </w:t>
            </w:r>
            <w:r>
              <w:rPr>
                <w:rFonts w:hint="eastAsia" w:ascii="宋体" w:hAnsi="宋体" w:cs="宋体"/>
                <w:color w:val="000000"/>
                <w:sz w:val="21"/>
                <w:szCs w:val="21"/>
              </w:rPr>
              <w:t xml:space="preserve">34722-2025</w:t>
            </w:r>
            <w:r/>
          </w:p>
        </w:tc>
        <w:tc>
          <w:tcPr>
            <w:tcW w:w="1671" w:type="pct"/>
            <w:vAlign w:val="center"/>
            <w:textDirection w:val="lrTb"/>
            <w:noWrap w:val="false"/>
          </w:tcPr>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2017</w:t>
            </w:r>
            <w:r/>
          </w:p>
          <w:p>
            <w:pPr>
              <w:jc w:val="center"/>
              <w:spacing w:after="160" w:line="278" w:lineRule="auto"/>
              <w:rPr>
                <w:rFonts w:hint="eastAsia" w:ascii="宋体" w:hAnsi="宋体" w:cs="宋体"/>
                <w:color w:val="000000"/>
                <w:sz w:val="21"/>
                <w:szCs w:val="21"/>
              </w:rPr>
            </w:pPr>
            <w:r>
              <w:rPr>
                <w:rFonts w:ascii="宋体" w:hAnsi="宋体" w:cs="宋体"/>
                <w:color w:val="000000"/>
                <w:sz w:val="21"/>
                <w:szCs w:val="21"/>
                <w:lang w:eastAsia="en-US"/>
              </w:rPr>
              <w:t xml:space="preserve">GB 18580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25</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39600</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2021</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2013</w:t>
            </w:r>
            <w:r/>
          </w:p>
          <w:p>
            <w:pPr>
              <w:jc w:val="center"/>
              <w:spacing w:after="160" w:line="278" w:lineRule="auto"/>
              <w:rPr>
                <w:rFonts w:hint="eastAsia" w:ascii="宋体" w:hAnsi="宋体" w:cs="宋体"/>
                <w:color w:val="000000"/>
                <w:sz w:val="21"/>
                <w:szCs w:val="21"/>
                <w:lang w:eastAsia="en-US"/>
              </w:rPr>
            </w:pPr>
            <w:r>
              <w:rPr>
                <w:rFonts w:ascii="宋体" w:hAnsi="宋体" w:cs="宋体"/>
                <w:color w:val="000000"/>
                <w:sz w:val="21"/>
                <w:szCs w:val="21"/>
                <w:lang w:eastAsia="en-US"/>
              </w:rPr>
              <w:t xml:space="preserve">GB/T 17657</w:t>
            </w:r>
            <w:r>
              <w:rPr>
                <w:rFonts w:hint="eastAsia" w:ascii="宋体" w:hAnsi="宋体" w:cs="宋体"/>
                <w:color w:val="000000"/>
                <w:sz w:val="21"/>
                <w:szCs w:val="21"/>
              </w:rPr>
              <w:t xml:space="preserve">-</w:t>
            </w:r>
            <w:r>
              <w:rPr>
                <w:rFonts w:ascii="宋体" w:hAnsi="宋体" w:cs="宋体"/>
                <w:color w:val="000000"/>
                <w:sz w:val="21"/>
                <w:szCs w:val="21"/>
                <w:lang w:eastAsia="en-US"/>
              </w:rPr>
              <w:t xml:space="preserve">20</w:t>
            </w:r>
            <w:r>
              <w:rPr>
                <w:rFonts w:hint="eastAsia" w:ascii="宋体" w:hAnsi="宋体" w:cs="宋体"/>
                <w:color w:val="000000"/>
                <w:sz w:val="21"/>
                <w:szCs w:val="21"/>
              </w:rPr>
              <w:t xml:space="preserve">22</w:t>
            </w:r>
            <w:r/>
          </w:p>
        </w:tc>
      </w:tr>
      <w:tr>
        <w:trPr>
          <w:jc w:val="center"/>
          <w:trHeight w:val="90"/>
        </w:trPr>
        <w:tc>
          <w:tcPr>
            <w:gridSpan w:val="4"/>
            <w:tcW w:w="5000" w:type="pct"/>
            <w:vAlign w:val="center"/>
            <w:textDirection w:val="lrTb"/>
            <w:noWrap w:val="false"/>
          </w:tcPr>
          <w:p>
            <w:pPr>
              <w:spacing w:after="160" w:line="360" w:lineRule="auto"/>
              <w:widowControl w:val="off"/>
              <w:rPr>
                <w:rFonts w:hint="eastAsia" w:ascii="宋体" w:hAnsi="宋体"/>
                <w:color w:val="0d0d0d"/>
                <w:sz w:val="21"/>
                <w:szCs w:val="21"/>
              </w:rPr>
            </w:pPr>
            <w:r>
              <w:rPr>
                <w:rFonts w:hint="eastAsia" w:ascii="宋体" w:hAnsi="宋体"/>
                <w:color w:val="0d0d0d"/>
                <w:sz w:val="21"/>
                <w:szCs w:val="21"/>
              </w:rPr>
              <w:t xml:space="preserve">备注：</w:t>
            </w:r>
            <w:r>
              <w:rPr>
                <w:rFonts w:hint="eastAsia" w:ascii="宋体" w:hAnsi="宋体"/>
                <w:color w:val="0d0d0d"/>
                <w:sz w:val="21"/>
                <w:szCs w:val="21"/>
              </w:rPr>
              <w:t xml:space="preserve"> </w:t>
            </w:r>
            <w:r>
              <w:rPr>
                <w:rFonts w:ascii="宋体" w:hAnsi="宋体"/>
                <w:color w:val="0d0d0d"/>
                <w:sz w:val="21"/>
                <w:szCs w:val="21"/>
              </w:rPr>
              <w:t xml:space="preserve">G</w:t>
            </w:r>
            <w:r>
              <w:rPr>
                <w:rFonts w:ascii="宋体" w:hAnsi="宋体" w:cs="宋体"/>
                <w:color w:val="000000"/>
                <w:sz w:val="21"/>
                <w:szCs w:val="21"/>
              </w:rPr>
              <w:t xml:space="preserve">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w:t>
            </w:r>
            <w:r>
              <w:rPr>
                <w:rFonts w:hint="eastAsia" w:ascii="宋体" w:hAnsi="宋体"/>
                <w:color w:val="0d0d0d"/>
                <w:sz w:val="21"/>
                <w:szCs w:val="21"/>
              </w:rPr>
              <w:t xml:space="preserve">强制性</w:t>
            </w:r>
            <w:r>
              <w:rPr>
                <w:rFonts w:ascii="宋体" w:hAnsi="宋体"/>
                <w:color w:val="0d0d0d"/>
                <w:sz w:val="21"/>
                <w:szCs w:val="21"/>
              </w:rPr>
              <w:t xml:space="preserve">国家标准</w:t>
            </w:r>
            <w:r>
              <w:rPr>
                <w:rFonts w:hint="eastAsia" w:ascii="宋体" w:hAnsi="宋体"/>
                <w:color w:val="0d0d0d"/>
                <w:sz w:val="21"/>
                <w:szCs w:val="21"/>
              </w:rPr>
              <w:t xml:space="preserve">于2026年6月1日</w:t>
            </w:r>
            <w:r>
              <w:rPr>
                <w:rFonts w:ascii="宋体" w:hAnsi="宋体"/>
                <w:color w:val="0d0d0d"/>
                <w:sz w:val="21"/>
                <w:szCs w:val="21"/>
              </w:rPr>
              <w:t xml:space="preserve">实施，此日期之后</w:t>
            </w:r>
            <w:r>
              <w:rPr>
                <w:rFonts w:hint="eastAsia" w:ascii="宋体" w:hAnsi="宋体"/>
                <w:color w:val="0d0d0d"/>
                <w:sz w:val="21"/>
                <w:szCs w:val="21"/>
              </w:rPr>
              <w:t xml:space="preserve">的</w:t>
            </w:r>
            <w:r>
              <w:rPr>
                <w:rFonts w:ascii="宋体" w:hAnsi="宋体"/>
                <w:color w:val="0d0d0d"/>
                <w:sz w:val="21"/>
                <w:szCs w:val="21"/>
              </w:rPr>
              <w:t xml:space="preserve">产品</w:t>
            </w:r>
            <w:r>
              <w:rPr>
                <w:rFonts w:hint="eastAsia" w:ascii="宋体" w:hAnsi="宋体"/>
                <w:color w:val="0d0d0d"/>
                <w:sz w:val="21"/>
                <w:szCs w:val="21"/>
              </w:rPr>
              <w:t xml:space="preserve">动态</w:t>
            </w:r>
            <w:r>
              <w:rPr>
                <w:rFonts w:hint="eastAsia" w:ascii="宋体" w:hAnsi="宋体"/>
                <w:color w:val="0d0d0d"/>
                <w:sz w:val="21"/>
                <w:szCs w:val="21"/>
              </w:rPr>
              <w:t xml:space="preserve">监测</w:t>
            </w:r>
            <w:r>
              <w:rPr>
                <w:rFonts w:ascii="宋体" w:hAnsi="宋体"/>
                <w:color w:val="0d0d0d"/>
                <w:sz w:val="21"/>
                <w:szCs w:val="21"/>
              </w:rPr>
              <w:t xml:space="preserve">按</w:t>
            </w:r>
            <w:r>
              <w:rPr>
                <w:rFonts w:ascii="宋体" w:hAnsi="宋体" w:cs="宋体"/>
                <w:color w:val="000000"/>
                <w:sz w:val="21"/>
                <w:szCs w:val="21"/>
              </w:rPr>
              <w:t xml:space="preserve">GB 18580</w:t>
            </w:r>
            <w:r>
              <w:rPr>
                <w:rFonts w:hint="eastAsia" w:ascii="宋体" w:hAnsi="宋体" w:cs="宋体"/>
                <w:color w:val="000000"/>
                <w:sz w:val="21"/>
                <w:szCs w:val="21"/>
              </w:rPr>
              <w:t xml:space="preserve">-</w:t>
            </w:r>
            <w:r>
              <w:rPr>
                <w:rFonts w:ascii="宋体" w:hAnsi="宋体" w:cs="宋体"/>
                <w:color w:val="000000"/>
                <w:sz w:val="21"/>
                <w:szCs w:val="21"/>
              </w:rPr>
              <w:t xml:space="preserve">20</w:t>
            </w:r>
            <w:r>
              <w:rPr>
                <w:rFonts w:hint="eastAsia" w:ascii="宋体" w:hAnsi="宋体" w:cs="宋体"/>
                <w:color w:val="000000"/>
                <w:sz w:val="21"/>
                <w:szCs w:val="21"/>
              </w:rPr>
              <w:t xml:space="preserve">25要求执行</w:t>
            </w:r>
            <w:r>
              <w:rPr>
                <w:rFonts w:ascii="宋体" w:hAnsi="宋体" w:cs="宋体"/>
                <w:color w:val="000000"/>
                <w:sz w:val="21"/>
                <w:szCs w:val="21"/>
              </w:rPr>
              <w:t xml:space="preserve">。</w:t>
            </w:r>
            <w:r/>
          </w:p>
        </w:tc>
      </w:tr>
    </w:tbl>
    <w:p>
      <w:pPr>
        <w:ind w:firstLine="210"/>
        <w:jc w:val="both"/>
        <w:spacing w:after="160" w:line="278" w:lineRule="auto"/>
        <w:widowControl w:val="off"/>
        <w:rPr>
          <w:rFonts w:hint="eastAsia" w:ascii="宋体" w:hAnsi="宋体" w:cs="宋体"/>
          <w:sz w:val="21"/>
          <w:szCs w:val="21"/>
        </w:rPr>
      </w:pPr>
      <w:r>
        <w:rPr>
          <w:rFonts w:hint="eastAsia" w:ascii="宋体" w:hAnsi="宋体" w:cs="宋体"/>
          <w:sz w:val="21"/>
          <w:szCs w:val="21"/>
        </w:rPr>
      </w:r>
      <w:r/>
    </w:p>
    <w:p>
      <w:pPr>
        <w:spacing w:after="160" w:line="360" w:lineRule="auto"/>
        <w:widowControl w:val="off"/>
        <w:rPr>
          <w:b/>
          <w:bCs/>
          <w:color w:val="0d0d0d"/>
          <w:sz w:val="28"/>
          <w:szCs w:val="28"/>
        </w:rPr>
      </w:pPr>
      <w:r>
        <w:rPr>
          <w:b/>
          <w:bCs/>
          <w:color w:val="0d0d0d"/>
          <w:sz w:val="28"/>
          <w:szCs w:val="28"/>
        </w:rPr>
        <w:br w:type="page" w:clear="all"/>
      </w:r>
      <w:r>
        <w:rPr>
          <w:rFonts w:hint="eastAsia"/>
          <w:b/>
          <w:bCs/>
          <w:color w:val="0d0d0d"/>
          <w:sz w:val="28"/>
          <w:szCs w:val="28"/>
        </w:rPr>
        <w:t xml:space="preserve">4</w:t>
      </w:r>
      <w:r>
        <w:rPr>
          <w:rFonts w:hint="eastAsia"/>
          <w:b/>
          <w:bCs/>
          <w:color w:val="0d0d0d"/>
          <w:sz w:val="28"/>
          <w:szCs w:val="28"/>
        </w:rPr>
        <w:t xml:space="preserve">、电线电缆</w:t>
      </w:r>
      <w:r/>
    </w:p>
    <w:p>
      <w:pPr>
        <w:jc w:val="both"/>
        <w:spacing w:after="160" w:line="278" w:lineRule="auto"/>
        <w:widowControl w:val="off"/>
        <w:rPr>
          <w:rFonts w:cs="Calibri"/>
          <w:sz w:val="21"/>
          <w:szCs w:val="21"/>
        </w:rPr>
      </w:pPr>
      <w:r>
        <w:rPr>
          <w:rFonts w:hint="eastAsia" w:ascii="宋体" w:hAnsi="宋体" w:cs="宋体"/>
          <w:sz w:val="21"/>
          <w:szCs w:val="21"/>
        </w:rPr>
        <w:t xml:space="preserve">额定电压 450/750V 及以下聚氯乙烯绝缘电线电缆产品检验项目、依据及方法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6"/>
        <w:gridCol w:w="2547"/>
        <w:gridCol w:w="2323"/>
        <w:gridCol w:w="2590"/>
      </w:tblGrid>
      <w:tr>
        <w:trPr>
          <w:jc w:val="center"/>
          <w:trHeight w:val="563"/>
          <w:tblHeader/>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jc w:val="center"/>
          <w:trHeight w:val="1018"/>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5023.3—2008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jc w:val="center"/>
          <w:trHeight w:val="819"/>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护套厚度</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5023.3—2008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绝缘老化前拉力试验</w:t>
            </w:r>
            <w:r/>
          </w:p>
        </w:tc>
        <w:tc>
          <w:tcPr>
            <w:tcW w:w="1400" w:type="pct"/>
            <w:vAlign w:val="center"/>
            <w:vMerge w:val="restart"/>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5023.3—2008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绝缘老化后拉力试验</w:t>
            </w:r>
            <w:r/>
          </w:p>
        </w:tc>
        <w:tc>
          <w:tcPr>
            <w:tcW w:w="1400" w:type="pct"/>
            <w:vAlign w:val="center"/>
            <w:vMerge w:val="continue"/>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护套老化前拉力试验</w:t>
            </w:r>
            <w:r/>
          </w:p>
        </w:tc>
        <w:tc>
          <w:tcPr>
            <w:tcW w:w="1400" w:type="pct"/>
            <w:vAlign w:val="center"/>
            <w:vMerge w:val="restart"/>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护套老化后拉力试验</w:t>
            </w:r>
            <w:r/>
          </w:p>
        </w:tc>
        <w:tc>
          <w:tcPr>
            <w:tcW w:w="1400" w:type="pct"/>
            <w:vAlign w:val="center"/>
            <w:vMerge w:val="continue"/>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曲</w:t>
            </w:r>
            <w:r>
              <w:rPr>
                <w:rFonts w:hint="eastAsia" w:ascii="宋体" w:hAnsi="宋体" w:cs="宋体"/>
                <w:sz w:val="21"/>
                <w:szCs w:val="21"/>
              </w:rPr>
              <w:t xml:space="preserve">挠试验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8734.1—2016</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不延燃试验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5023.3—2008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5023.5—2008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8734.2—2016</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8734.3—2016</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18380.12—2008</w:t>
            </w:r>
            <w:r/>
          </w:p>
        </w:tc>
      </w:tr>
      <w:tr>
        <w:trPr>
          <w:jc w:val="center"/>
          <w:trHeight w:val="1128"/>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成束阻燃性能</w:t>
            </w:r>
            <w:r>
              <w:rPr>
                <w:rFonts w:hint="eastAsia" w:ascii="宋体" w:hAnsi="宋体" w:cs="宋体"/>
                <w:sz w:val="21"/>
                <w:szCs w:val="21"/>
                <w:vertAlign w:val="superscript"/>
              </w:rPr>
              <w:t xml:space="preserve">a</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19666—2019</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18380.33—2022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18380.34—2022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18380.35—2022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18380.36—2022</w:t>
            </w:r>
            <w:r/>
          </w:p>
        </w:tc>
      </w:tr>
      <w:tr>
        <w:trPr>
          <w:jc w:val="center"/>
          <w:trHeight w:val="478"/>
        </w:trPr>
        <w:tc>
          <w:tcPr>
            <w:gridSpan w:val="4"/>
            <w:tcW w:w="5000" w:type="pct"/>
            <w:vAlign w:val="center"/>
            <w:textDirection w:val="lrTb"/>
            <w:noWrap w:val="false"/>
          </w:tcPr>
          <w:p>
            <w:pPr>
              <w:jc w:val="both"/>
              <w:spacing w:after="160" w:line="30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vertAlign w:val="superscript"/>
              </w:rPr>
              <w:t xml:space="preserve">a</w:t>
            </w:r>
            <w:r>
              <w:rPr>
                <w:rFonts w:hint="eastAsia" w:ascii="宋体" w:hAnsi="宋体" w:cs="宋体"/>
                <w:sz w:val="21"/>
                <w:szCs w:val="21"/>
              </w:rPr>
              <w:t xml:space="preserve">该</w:t>
            </w:r>
            <w:r>
              <w:rPr>
                <w:rFonts w:hint="eastAsia" w:ascii="宋体" w:hAnsi="宋体" w:cs="宋体"/>
                <w:sz w:val="21"/>
                <w:szCs w:val="21"/>
              </w:rPr>
              <w:t xml:space="preserve">试验仅</w:t>
            </w:r>
            <w:r>
              <w:rPr>
                <w:rFonts w:hint="eastAsia" w:ascii="宋体" w:hAnsi="宋体" w:cs="宋体"/>
                <w:sz w:val="21"/>
                <w:szCs w:val="21"/>
              </w:rPr>
              <w:t xml:space="preserve">适用于成束阻燃产品。</w:t>
            </w:r>
            <w:r/>
          </w:p>
        </w:tc>
      </w:tr>
    </w:tbl>
    <w:p>
      <w:pPr>
        <w:jc w:val="both"/>
        <w:spacing w:after="160" w:line="278"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额定电压 450/750V 及以下橡皮绝缘电线电缆产品检验项目、依据及方法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7"/>
        <w:gridCol w:w="2549"/>
        <w:gridCol w:w="2318"/>
        <w:gridCol w:w="2592"/>
      </w:tblGrid>
      <w:tr>
        <w:trPr>
          <w:jc w:val="center"/>
          <w:trHeight w:val="563"/>
          <w:tblHeader/>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jc w:val="center"/>
          <w:trHeight w:val="58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jc w:val="center"/>
          <w:trHeight w:val="50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护套厚度</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绝缘老化前拉力试验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绝缘空气烘箱老化后拉力试验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绝缘空气弹老化后拉力试验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2951.2—1997</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绝缘热延伸试验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2951.5—1997</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护套老化前拉力试验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护套空气烘箱老化后拉力试验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2951.2—1997</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护套热延伸试验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2951.5—1997</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11</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曲</w:t>
            </w:r>
            <w:r>
              <w:rPr>
                <w:rFonts w:hint="eastAsia" w:ascii="宋体" w:hAnsi="宋体" w:cs="宋体"/>
                <w:sz w:val="21"/>
                <w:szCs w:val="21"/>
              </w:rPr>
              <w:t xml:space="preserve">挠试验</w:t>
            </w:r>
            <w:r>
              <w:rPr>
                <w:rFonts w:hint="eastAsia" w:ascii="宋体" w:hAnsi="宋体" w:cs="宋体"/>
                <w:sz w:val="21"/>
                <w:szCs w:val="21"/>
              </w:rPr>
              <w:t xml:space="preserve">及试验后的浸水电压试验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5013.4—2008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8735.2—2016</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5013.2—2008</w:t>
            </w:r>
            <w:r/>
          </w:p>
        </w:tc>
      </w:tr>
    </w:tbl>
    <w:p>
      <w:pPr>
        <w:jc w:val="both"/>
        <w:spacing w:after="160" w:line="278"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架空绝缘电缆产品检验项目、依据及方法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7"/>
        <w:gridCol w:w="2549"/>
        <w:gridCol w:w="2318"/>
        <w:gridCol w:w="2592"/>
      </w:tblGrid>
      <w:tr>
        <w:trPr>
          <w:jc w:val="center"/>
          <w:trHeight w:val="563"/>
          <w:tblHeader/>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14049—2008</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tc>
      </w:tr>
      <w:tr>
        <w:trPr>
          <w:jc w:val="center"/>
          <w:trHeight w:val="614"/>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14049—2008</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3048.4—2007</w:t>
            </w:r>
            <w:r/>
          </w:p>
        </w:tc>
      </w:tr>
      <w:tr>
        <w:trPr>
          <w:jc w:val="center"/>
          <w:trHeight w:val="614"/>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绝缘原始性能</w:t>
            </w:r>
            <w:r/>
          </w:p>
        </w:tc>
        <w:tc>
          <w:tcPr>
            <w:tcW w:w="1397" w:type="pct"/>
            <w:vAlign w:val="center"/>
            <w:vMerge w:val="restart"/>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tc>
        <w:tc>
          <w:tcPr>
            <w:tcW w:w="1562" w:type="pct"/>
            <w:vAlign w:val="center"/>
            <w:vMerge w:val="restart"/>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2951.2—1997</w:t>
            </w:r>
            <w:r/>
          </w:p>
        </w:tc>
      </w:tr>
      <w:tr>
        <w:trPr>
          <w:jc w:val="center"/>
          <w:trHeight w:val="614"/>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绝缘空气烘箱老化试验</w:t>
            </w:r>
            <w:r/>
          </w:p>
        </w:tc>
        <w:tc>
          <w:tcPr>
            <w:tcW w:w="1397" w:type="pct"/>
            <w:vAlign w:val="center"/>
            <w:vMerge w:val="continue"/>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62" w:type="pct"/>
            <w:vAlign w:val="center"/>
            <w:vMerge w:val="continue"/>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绝缘老化前机械性能</w:t>
            </w:r>
            <w:r/>
          </w:p>
        </w:tc>
        <w:tc>
          <w:tcPr>
            <w:tcW w:w="1397" w:type="pct"/>
            <w:vAlign w:val="center"/>
            <w:vMerge w:val="restart"/>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14049—2008</w:t>
            </w:r>
            <w:r/>
          </w:p>
        </w:tc>
        <w:tc>
          <w:tcPr>
            <w:tcW w:w="1562" w:type="pct"/>
            <w:vAlign w:val="center"/>
            <w:vMerge w:val="restart"/>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2951.1—1997</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2951.2—1997</w:t>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绝缘空气老化后机械性能</w:t>
            </w:r>
            <w:r/>
          </w:p>
        </w:tc>
        <w:tc>
          <w:tcPr>
            <w:tcW w:w="1397" w:type="pct"/>
            <w:vAlign w:val="center"/>
            <w:vMerge w:val="continue"/>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c>
          <w:tcPr>
            <w:tcW w:w="1562" w:type="pct"/>
            <w:vAlign w:val="center"/>
            <w:vMerge w:val="continue"/>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90"/>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收缩试验</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2951.3—1997</w:t>
            </w:r>
            <w:r/>
          </w:p>
        </w:tc>
      </w:tr>
      <w:tr>
        <w:trPr>
          <w:jc w:val="center"/>
          <w:trHeight w:val="635"/>
        </w:trPr>
        <w:tc>
          <w:tcPr>
            <w:tcW w:w="50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6"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热延伸</w:t>
            </w:r>
            <w:r/>
          </w:p>
        </w:tc>
        <w:tc>
          <w:tcPr>
            <w:tcW w:w="1397"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12527—2008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14049—2008</w:t>
            </w:r>
            <w:r/>
          </w:p>
        </w:tc>
        <w:tc>
          <w:tcPr>
            <w:tcW w:w="1562"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2951.5—1997</w:t>
            </w:r>
            <w:r/>
          </w:p>
        </w:tc>
      </w:tr>
    </w:tbl>
    <w:p>
      <w:pPr>
        <w:jc w:val="both"/>
        <w:spacing w:after="160" w:line="278"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塑料绝缘控制电缆产品检验项目、依据及方法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6"/>
        <w:gridCol w:w="2547"/>
        <w:gridCol w:w="2323"/>
        <w:gridCol w:w="2590"/>
      </w:tblGrid>
      <w:tr>
        <w:trPr>
          <w:jc w:val="center"/>
          <w:trHeight w:val="563"/>
          <w:tblHeader/>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绝缘厚度测量</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护套厚度测量</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屏蔽层结构尺寸检查</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4909.2—2009</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导体直流电阻测量</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3048.4—2007</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绝缘老化前拉力试验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绝缘空气箱老化后拉力试验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绝缘热延伸试验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绝缘收缩试验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2951.13—2008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护套老化前拉力试验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护套空气箱老化后拉力试验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11</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护套失重试验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2951.32—2008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12</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成品电缆单根燃烧试验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18380.12—2022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18380.13—2022</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13</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成品电缆成束燃烧试验</w:t>
            </w:r>
            <w:r>
              <w:rPr>
                <w:rFonts w:hint="eastAsia" w:ascii="宋体" w:hAnsi="宋体" w:cs="宋体"/>
                <w:sz w:val="21"/>
                <w:szCs w:val="21"/>
                <w:vertAlign w:val="superscript"/>
              </w:rPr>
              <w:t xml:space="preserve">a</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9330—2020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18380.33—2022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18380.34—2022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18380.35—2022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18380.36—2022</w:t>
            </w:r>
            <w:r/>
          </w:p>
        </w:tc>
      </w:tr>
      <w:tr>
        <w:trPr>
          <w:jc w:val="center"/>
          <w:trHeight w:val="590"/>
        </w:trPr>
        <w:tc>
          <w:tcPr>
            <w:gridSpan w:val="4"/>
            <w:tcW w:w="5000" w:type="pct"/>
            <w:vAlign w:val="center"/>
            <w:textDirection w:val="lrTb"/>
            <w:noWrap w:val="false"/>
          </w:tcPr>
          <w:p>
            <w:pPr>
              <w:jc w:val="both"/>
              <w:spacing w:after="160" w:line="30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vertAlign w:val="superscript"/>
              </w:rPr>
              <w:t xml:space="preserve">a</w:t>
            </w:r>
            <w:r>
              <w:rPr>
                <w:rFonts w:hint="eastAsia" w:ascii="宋体" w:hAnsi="宋体" w:cs="宋体"/>
                <w:sz w:val="21"/>
                <w:szCs w:val="21"/>
              </w:rPr>
              <w:t xml:space="preserve">该</w:t>
            </w:r>
            <w:r>
              <w:rPr>
                <w:rFonts w:hint="eastAsia" w:ascii="宋体" w:hAnsi="宋体" w:cs="宋体"/>
                <w:sz w:val="21"/>
                <w:szCs w:val="21"/>
              </w:rPr>
              <w:t xml:space="preserve">试验仅</w:t>
            </w:r>
            <w:r>
              <w:rPr>
                <w:rFonts w:hint="eastAsia" w:ascii="宋体" w:hAnsi="宋体" w:cs="宋体"/>
                <w:sz w:val="21"/>
                <w:szCs w:val="21"/>
              </w:rPr>
              <w:t xml:space="preserve">适用于成束阻燃产品。</w:t>
            </w:r>
            <w:r/>
          </w:p>
        </w:tc>
      </w:tr>
    </w:tbl>
    <w:p>
      <w:pPr>
        <w:jc w:val="both"/>
        <w:spacing w:after="160" w:line="278" w:lineRule="auto"/>
        <w:widowControl w:val="off"/>
        <w:rPr>
          <w:rFonts w:hint="eastAsia" w:ascii="宋体" w:hAnsi="宋体" w:cs="宋体"/>
          <w:sz w:val="21"/>
          <w:szCs w:val="21"/>
        </w:rPr>
      </w:pPr>
      <w:r>
        <w:rPr>
          <w:rFonts w:hint="eastAsia" w:ascii="宋体" w:hAnsi="宋体" w:cs="宋体"/>
          <w:sz w:val="21"/>
          <w:szCs w:val="21"/>
        </w:rPr>
      </w:r>
      <w:r/>
    </w:p>
    <w:p>
      <w:pPr>
        <w:jc w:val="both"/>
        <w:spacing w:after="160" w:line="278" w:lineRule="auto"/>
        <w:widowControl w:val="off"/>
        <w:rPr>
          <w:rFonts w:hint="eastAsia" w:ascii="宋体" w:hAnsi="宋体" w:cs="宋体"/>
          <w:color w:val="000000"/>
          <w:sz w:val="21"/>
          <w:szCs w:val="21"/>
        </w:rPr>
      </w:pPr>
      <w:r>
        <w:rPr>
          <w:rFonts w:hint="eastAsia" w:ascii="宋体" w:hAnsi="宋体" w:cs="宋体"/>
          <w:sz w:val="21"/>
          <w:szCs w:val="21"/>
        </w:rPr>
        <w:t xml:space="preserve">电力电缆产品检验项目、依据及方法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6"/>
        <w:gridCol w:w="2547"/>
        <w:gridCol w:w="2323"/>
        <w:gridCol w:w="2590"/>
      </w:tblGrid>
      <w:tr>
        <w:trPr>
          <w:jc w:val="center"/>
          <w:trHeight w:val="590"/>
          <w:tblHeader/>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厚度测量</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金属铠装</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r>
      <w:tr>
        <w:trPr>
          <w:jc w:val="center"/>
          <w:trHeight w:val="893"/>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3956—2008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绝缘老化前机械性能</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绝缘空气烘箱老化后机械性能</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28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绝缘热延伸试验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绝缘收缩试验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2951.13—2008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护套老化前机械性能</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护套空气烘箱老化后机械性能</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护套空气烘箱中失重试验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2951.32—2008</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11</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电缆的单根阻燃试验</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18380.12—2022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18380.13—2022</w:t>
            </w:r>
            <w:r/>
          </w:p>
        </w:tc>
      </w:tr>
      <w:tr>
        <w:trPr>
          <w:jc w:val="center"/>
          <w:trHeight w:val="59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12</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电缆的成束阻燃试验</w:t>
            </w:r>
            <w:r>
              <w:rPr>
                <w:rFonts w:hint="eastAsia" w:ascii="宋体" w:hAnsi="宋体" w:cs="宋体"/>
                <w:sz w:val="21"/>
                <w:szCs w:val="21"/>
                <w:vertAlign w:val="superscript"/>
              </w:rPr>
              <w:t xml:space="preserve">a</w:t>
            </w:r>
            <w:r/>
          </w:p>
        </w:tc>
        <w:tc>
          <w:tcPr>
            <w:tcW w:w="1400"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12706.1—2020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12706.2—2020</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12706.3—2020</w:t>
            </w:r>
            <w:r/>
          </w:p>
        </w:tc>
        <w:tc>
          <w:tcPr>
            <w:tcW w:w="1561"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18380.33—2022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18380.34—2022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18380.35—2022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18380.36—2022</w:t>
            </w:r>
            <w:r/>
          </w:p>
        </w:tc>
      </w:tr>
      <w:tr>
        <w:trPr>
          <w:jc w:val="center"/>
          <w:trHeight w:val="590"/>
        </w:trPr>
        <w:tc>
          <w:tcPr>
            <w:gridSpan w:val="4"/>
            <w:tcW w:w="5000" w:type="pct"/>
            <w:vAlign w:val="center"/>
            <w:textDirection w:val="lrTb"/>
            <w:noWrap w:val="false"/>
          </w:tcPr>
          <w:p>
            <w:pPr>
              <w:jc w:val="both"/>
              <w:spacing w:after="160" w:line="30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vertAlign w:val="superscript"/>
              </w:rPr>
              <w:t xml:space="preserve">a</w:t>
            </w:r>
            <w:r>
              <w:rPr>
                <w:rFonts w:hint="eastAsia" w:ascii="宋体" w:hAnsi="宋体" w:cs="宋体"/>
                <w:sz w:val="21"/>
                <w:szCs w:val="21"/>
              </w:rPr>
              <w:t xml:space="preserve">该</w:t>
            </w:r>
            <w:r>
              <w:rPr>
                <w:rFonts w:hint="eastAsia" w:ascii="宋体" w:hAnsi="宋体" w:cs="宋体"/>
                <w:sz w:val="21"/>
                <w:szCs w:val="21"/>
              </w:rPr>
              <w:t xml:space="preserve">试验仅</w:t>
            </w:r>
            <w:r>
              <w:rPr>
                <w:rFonts w:hint="eastAsia" w:ascii="宋体" w:hAnsi="宋体" w:cs="宋体"/>
                <w:sz w:val="21"/>
                <w:szCs w:val="21"/>
              </w:rPr>
              <w:t xml:space="preserve">适用于成束阻燃产品。</w:t>
            </w:r>
            <w:r/>
          </w:p>
        </w:tc>
      </w:tr>
    </w:tbl>
    <w:p>
      <w:pPr>
        <w:jc w:val="both"/>
        <w:spacing w:after="160" w:line="278"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jc w:val="both"/>
        <w:spacing w:after="160" w:line="278" w:lineRule="auto"/>
        <w:widowControl w:val="off"/>
        <w:rPr>
          <w:rFonts w:hint="eastAsia" w:ascii="宋体" w:hAnsi="宋体" w:cs="宋体"/>
          <w:sz w:val="21"/>
          <w:szCs w:val="21"/>
        </w:rPr>
      </w:pPr>
      <w:r>
        <w:rPr>
          <w:rFonts w:hint="eastAsia" w:ascii="宋体" w:hAnsi="宋体" w:cs="宋体"/>
          <w:sz w:val="21"/>
          <w:szCs w:val="21"/>
        </w:rPr>
        <w:t xml:space="preserve">额定电压450/750V及以下交联聚烯烃绝缘电线和电缆产品检验项目、依据及方法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6"/>
        <w:gridCol w:w="2547"/>
        <w:gridCol w:w="2029"/>
        <w:gridCol w:w="2884"/>
      </w:tblGrid>
      <w:tr>
        <w:trPr>
          <w:jc w:val="center"/>
          <w:trHeight w:val="510"/>
          <w:tblHeader/>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序号</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检验项目</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检验依据</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检验方法</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绝缘厚度</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vMerge w:val="restart"/>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2</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护套厚度</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vMerge w:val="continue"/>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3</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导体电阻</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5023.2—2008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4</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绝缘老化前拉力试验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5</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绝缘老化后拉力试验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6</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绝缘热延伸试验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7</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绝缘热收缩试验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2951.13—2008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8</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护套老化前拉力试验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9</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护套老化后拉力试验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2951.11—2008</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2951.12—2008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10</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护套热延伸试验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2951.21—2008</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11</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曲</w:t>
            </w:r>
            <w:r>
              <w:rPr>
                <w:rFonts w:hint="eastAsia" w:ascii="宋体" w:hAnsi="宋体" w:cs="宋体"/>
                <w:sz w:val="21"/>
                <w:szCs w:val="21"/>
              </w:rPr>
              <w:t xml:space="preserve">挠试验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12</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单根电线或电缆的阻燃性试验</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18380.12—2022</w:t>
            </w:r>
            <w:r/>
          </w:p>
        </w:tc>
      </w:tr>
      <w:tr>
        <w:trPr>
          <w:jc w:val="center"/>
          <w:trHeight w:val="510"/>
        </w:trPr>
        <w:tc>
          <w:tcPr>
            <w:tcW w:w="504"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13</w:t>
            </w:r>
            <w:r/>
          </w:p>
        </w:tc>
        <w:tc>
          <w:tcPr>
            <w:tcW w:w="1535"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成束电线或电缆的阻燃性试验</w:t>
            </w:r>
            <w:r>
              <w:rPr>
                <w:rFonts w:hint="eastAsia" w:ascii="宋体" w:hAnsi="宋体" w:cs="宋体"/>
                <w:sz w:val="21"/>
                <w:szCs w:val="21"/>
                <w:vertAlign w:val="superscript"/>
              </w:rPr>
              <w:t xml:space="preserve">a</w:t>
            </w:r>
            <w:r/>
          </w:p>
        </w:tc>
        <w:tc>
          <w:tcPr>
            <w:tcW w:w="1223"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JB/T 10491—2022</w:t>
            </w:r>
            <w:r/>
          </w:p>
        </w:tc>
        <w:tc>
          <w:tcPr>
            <w:tcW w:w="1738" w:type="pct"/>
            <w:vAlign w:val="center"/>
            <w:textDirection w:val="lrTb"/>
            <w:noWrap w:val="false"/>
          </w:tcPr>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18380.33—2022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18380.34—2022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18380.35—2022</w:t>
            </w:r>
            <w:r/>
          </w:p>
          <w:p>
            <w:pPr>
              <w:jc w:val="center"/>
              <w:spacing w:after="160" w:line="300" w:lineRule="exact"/>
              <w:widowControl w:val="off"/>
              <w:rPr>
                <w:rFonts w:hint="eastAsia" w:ascii="宋体" w:hAnsi="宋体" w:cs="宋体"/>
                <w:sz w:val="21"/>
                <w:szCs w:val="21"/>
              </w:rPr>
            </w:pPr>
            <w:r>
              <w:rPr>
                <w:rFonts w:hint="eastAsia" w:ascii="宋体" w:hAnsi="宋体" w:cs="宋体"/>
                <w:sz w:val="21"/>
                <w:szCs w:val="21"/>
              </w:rPr>
              <w:t xml:space="preserve">GB/T 18380.36—2022</w:t>
            </w:r>
            <w:r/>
          </w:p>
        </w:tc>
      </w:tr>
      <w:tr>
        <w:trPr>
          <w:jc w:val="center"/>
          <w:trHeight w:val="510"/>
        </w:trPr>
        <w:tc>
          <w:tcPr>
            <w:gridSpan w:val="4"/>
            <w:tcW w:w="5000" w:type="pct"/>
            <w:vAlign w:val="center"/>
            <w:textDirection w:val="lrTb"/>
            <w:noWrap w:val="false"/>
          </w:tcPr>
          <w:p>
            <w:pPr>
              <w:jc w:val="both"/>
              <w:spacing w:after="160" w:line="30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vertAlign w:val="superscript"/>
              </w:rPr>
              <w:t xml:space="preserve">a</w:t>
            </w:r>
            <w:r>
              <w:rPr>
                <w:rFonts w:hint="eastAsia" w:ascii="宋体" w:hAnsi="宋体" w:cs="宋体"/>
                <w:sz w:val="21"/>
                <w:szCs w:val="21"/>
              </w:rPr>
              <w:t xml:space="preserve">该</w:t>
            </w:r>
            <w:r>
              <w:rPr>
                <w:rFonts w:hint="eastAsia" w:ascii="宋体" w:hAnsi="宋体" w:cs="宋体"/>
                <w:sz w:val="21"/>
                <w:szCs w:val="21"/>
              </w:rPr>
              <w:t xml:space="preserve">试验仅</w:t>
            </w:r>
            <w:r>
              <w:rPr>
                <w:rFonts w:hint="eastAsia" w:ascii="宋体" w:hAnsi="宋体" w:cs="宋体"/>
                <w:sz w:val="21"/>
                <w:szCs w:val="21"/>
              </w:rPr>
              <w:t xml:space="preserve">适用于成束阻燃产品。</w:t>
            </w:r>
            <w:r/>
          </w:p>
        </w:tc>
      </w:tr>
    </w:tbl>
    <w:p>
      <w:pPr>
        <w:spacing w:after="0" w:line="278" w:lineRule="auto"/>
        <w:rPr>
          <w:rFonts w:hint="eastAsia" w:ascii="仿宋" w:hAnsi="仿宋" w:eastAsia="仿宋" w:cs="仿宋"/>
          <w:sz w:val="21"/>
          <w:szCs w:val="21"/>
        </w:rPr>
      </w:pPr>
      <w:r>
        <w:rPr>
          <w:rFonts w:hint="eastAsia" w:ascii="仿宋" w:hAnsi="仿宋" w:eastAsia="仿宋" w:cs="仿宋"/>
          <w:sz w:val="21"/>
          <w:szCs w:val="21"/>
        </w:rPr>
      </w:r>
      <w:r/>
    </w:p>
    <w:p>
      <w:pPr>
        <w:jc w:val="both"/>
        <w:spacing w:after="160" w:line="360" w:lineRule="auto"/>
        <w:widowControl w:val="off"/>
        <w:rPr>
          <w:b/>
          <w:bCs/>
          <w:color w:val="0d0d0d"/>
          <w:sz w:val="28"/>
          <w:szCs w:val="28"/>
        </w:rPr>
      </w:pPr>
      <w:r>
        <w:rPr>
          <w:b/>
          <w:bCs/>
          <w:color w:val="0d0d0d"/>
          <w:sz w:val="28"/>
          <w:szCs w:val="28"/>
        </w:rPr>
        <w:br w:type="page" w:clear="all"/>
      </w:r>
      <w:r>
        <w:rPr>
          <w:rFonts w:hint="eastAsia"/>
          <w:b/>
          <w:bCs/>
          <w:color w:val="0d0d0d"/>
          <w:sz w:val="28"/>
          <w:szCs w:val="28"/>
        </w:rPr>
        <w:t xml:space="preserve">5</w:t>
      </w:r>
      <w:r>
        <w:rPr>
          <w:rFonts w:hint="eastAsia"/>
          <w:b/>
          <w:bCs/>
          <w:color w:val="0d0d0d"/>
          <w:sz w:val="28"/>
          <w:szCs w:val="28"/>
        </w:rPr>
        <w:t xml:space="preserve">、</w:t>
      </w:r>
      <w:r>
        <w:rPr>
          <w:rFonts w:hint="eastAsia"/>
          <w:b/>
          <w:bCs/>
          <w:color w:val="0d0d0d"/>
          <w:sz w:val="28"/>
          <w:szCs w:val="28"/>
        </w:rPr>
        <w:t xml:space="preserve">燃气用具</w:t>
      </w:r>
      <w:r/>
    </w:p>
    <w:p>
      <w:pPr>
        <w:jc w:val="both"/>
        <w:spacing w:after="160" w:line="278" w:lineRule="auto"/>
        <w:widowControl w:val="off"/>
        <w:rPr>
          <w:rFonts w:cs="Calibri"/>
          <w:sz w:val="21"/>
          <w:szCs w:val="21"/>
        </w:rPr>
      </w:pPr>
      <w:r>
        <w:rPr>
          <w:rFonts w:hint="eastAsia" w:cs="Calibri"/>
          <w:sz w:val="21"/>
          <w:szCs w:val="21"/>
        </w:rPr>
        <w:t xml:space="preserve">家用燃气灶</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Height w:val="287"/>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热负荷</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干烟气中</w:t>
            </w:r>
            <w:r>
              <w:rPr>
                <w:rFonts w:hint="eastAsia" w:ascii="Calibri" w:hAnsi="Calibri" w:cs="Calibri"/>
                <w:sz w:val="20"/>
                <w:szCs w:val="21"/>
              </w:rPr>
              <w:t xml:space="preserve">CO</w:t>
            </w:r>
            <w:r>
              <w:rPr>
                <w:rFonts w:hint="eastAsia" w:ascii="Calibri" w:hAnsi="Calibri" w:cs="Calibri"/>
                <w:sz w:val="20"/>
                <w:szCs w:val="21"/>
              </w:rPr>
              <w:t xml:space="preserve">浓度（室内型）</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熄火保护装置</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结构的一般要求</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16410-2020</w:t>
            </w:r>
            <w:r/>
          </w:p>
        </w:tc>
      </w:tr>
    </w:tbl>
    <w:p>
      <w:pPr>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hint="eastAsia" w:cs="Calibri"/>
          <w:sz w:val="21"/>
          <w:szCs w:val="21"/>
        </w:rPr>
        <w:t xml:space="preserve">家用燃气快速热水器</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烟气中</w:t>
            </w:r>
            <w:r>
              <w:rPr>
                <w:rFonts w:hint="eastAsia" w:ascii="Calibri" w:hAnsi="Calibri" w:cs="Calibri"/>
                <w:sz w:val="20"/>
                <w:szCs w:val="21"/>
              </w:rPr>
              <w:t xml:space="preserve">CO</w:t>
            </w:r>
            <w:r>
              <w:rPr>
                <w:rFonts w:hint="eastAsia" w:ascii="Calibri" w:hAnsi="Calibri" w:cs="Calibri"/>
                <w:sz w:val="20"/>
                <w:szCs w:val="21"/>
              </w:rPr>
              <w:t xml:space="preserve">含量</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安全装置</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热水产率</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接地措施</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6932-2015</w:t>
            </w:r>
            <w:r/>
          </w:p>
        </w:tc>
      </w:tr>
    </w:tbl>
    <w:p>
      <w:pPr>
        <w:ind w:left="360"/>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hint="eastAsia" w:cs="Calibri"/>
          <w:sz w:val="21"/>
          <w:szCs w:val="21"/>
        </w:rPr>
        <w:t xml:space="preserve">燃气用具连接用软管</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气密性</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41317-2024</w:t>
            </w:r>
            <w:r/>
          </w:p>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44017-2024</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41317-2024</w:t>
            </w:r>
            <w:r/>
          </w:p>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44017-2024</w:t>
            </w:r>
            <w:r/>
          </w:p>
        </w:tc>
      </w:tr>
    </w:tbl>
    <w:p>
      <w:pPr>
        <w:ind w:left="360"/>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hint="eastAsia" w:cs="Calibri"/>
          <w:sz w:val="21"/>
          <w:szCs w:val="21"/>
        </w:rPr>
        <w:t xml:space="preserve">瓶装液化石油气调压器</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结构</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35844-2018</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35844-2018</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气密性</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调压静特性</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r>
    </w:tbl>
    <w:p>
      <w:pPr>
        <w:ind w:left="360"/>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hint="eastAsia" w:cs="Calibri"/>
          <w:sz w:val="21"/>
          <w:szCs w:val="21"/>
        </w:rPr>
        <w:t xml:space="preserve">商用燃气燃烧器具</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通用结构</w:t>
            </w:r>
            <w:r>
              <w:rPr>
                <w:rFonts w:hint="eastAsia" w:ascii="Calibri" w:hAnsi="Calibri" w:cs="Calibri"/>
                <w:sz w:val="20"/>
                <w:szCs w:val="21"/>
              </w:rPr>
              <w:t xml:space="preserve">-</w:t>
            </w:r>
            <w:r>
              <w:rPr>
                <w:rFonts w:hint="eastAsia" w:ascii="Calibri" w:hAnsi="Calibri" w:cs="Calibri"/>
                <w:sz w:val="20"/>
                <w:szCs w:val="21"/>
              </w:rPr>
              <w:t xml:space="preserve">一般要求</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35848-2024</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35848-2024</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热负荷准确度</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干烟气中</w:t>
            </w:r>
            <w:r>
              <w:rPr>
                <w:rFonts w:hint="eastAsia" w:ascii="Calibri" w:hAnsi="Calibri" w:cs="Calibri"/>
                <w:sz w:val="20"/>
                <w:szCs w:val="21"/>
              </w:rPr>
              <w:t xml:space="preserve">CO</w:t>
            </w:r>
            <w:r>
              <w:rPr>
                <w:rFonts w:hint="eastAsia" w:ascii="Calibri" w:hAnsi="Calibri" w:cs="Calibri"/>
                <w:sz w:val="20"/>
                <w:szCs w:val="21"/>
              </w:rPr>
              <w:t xml:space="preserve">（α</w:t>
            </w:r>
            <w:r>
              <w:rPr>
                <w:rFonts w:hint="eastAsia" w:ascii="Calibri" w:hAnsi="Calibri" w:cs="Calibri"/>
                <w:sz w:val="20"/>
                <w:szCs w:val="21"/>
              </w:rPr>
              <w:t xml:space="preserve">=1</w:t>
            </w:r>
            <w:r>
              <w:rPr>
                <w:rFonts w:hint="eastAsia" w:ascii="Calibri" w:hAnsi="Calibri" w:cs="Calibri"/>
                <w:sz w:val="20"/>
                <w:szCs w:val="21"/>
              </w:rPr>
              <w:t xml:space="preserve">）含量</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熄火保护装置</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r>
    </w:tbl>
    <w:p>
      <w:pPr>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hint="eastAsia" w:cs="Calibri"/>
          <w:sz w:val="21"/>
          <w:szCs w:val="21"/>
        </w:rPr>
        <w:t xml:space="preserve">电磁式燃气紧急切断阀</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紧急切断性能</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44016-2024</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44016-2024</w:t>
            </w:r>
            <w:r/>
          </w:p>
        </w:tc>
      </w:tr>
    </w:tbl>
    <w:p>
      <w:pPr>
        <w:jc w:val="both"/>
        <w:spacing w:after="160" w:line="360" w:lineRule="auto"/>
        <w:widowControl w:val="off"/>
        <w:rPr>
          <w:b/>
          <w:bCs/>
          <w:color w:val="0d0d0d"/>
          <w:sz w:val="28"/>
          <w:szCs w:val="28"/>
        </w:rPr>
      </w:pPr>
      <w:r>
        <w:rPr>
          <w:b/>
          <w:bCs/>
          <w:color w:val="0d0d0d"/>
          <w:sz w:val="28"/>
          <w:szCs w:val="28"/>
          <w:highlight w:val="lightGray"/>
        </w:rPr>
        <w:br w:type="page" w:clear="all"/>
      </w:r>
      <w:r>
        <w:rPr>
          <w:rFonts w:hint="eastAsia"/>
          <w:b/>
          <w:bCs/>
          <w:color w:val="0d0d0d"/>
          <w:sz w:val="28"/>
          <w:szCs w:val="28"/>
        </w:rPr>
        <w:t xml:space="preserve">6</w:t>
      </w:r>
      <w:r>
        <w:rPr>
          <w:rFonts w:hint="eastAsia"/>
          <w:b/>
          <w:bCs/>
          <w:color w:val="0d0d0d"/>
          <w:sz w:val="28"/>
          <w:szCs w:val="28"/>
        </w:rPr>
        <w:t xml:space="preserve">、</w:t>
      </w:r>
      <w:r>
        <w:rPr>
          <w:rFonts w:hint="eastAsia"/>
          <w:b/>
          <w:bCs/>
          <w:color w:val="0d0d0d"/>
          <w:sz w:val="28"/>
          <w:szCs w:val="28"/>
        </w:rPr>
        <w:t xml:space="preserve">消防产品</w:t>
      </w:r>
      <w:r/>
    </w:p>
    <w:p>
      <w:pPr>
        <w:jc w:val="both"/>
        <w:spacing w:after="160" w:line="278" w:lineRule="auto"/>
        <w:widowControl w:val="off"/>
        <w:rPr>
          <w:rFonts w:cs="Calibri"/>
          <w:sz w:val="21"/>
          <w:szCs w:val="21"/>
        </w:rPr>
      </w:pPr>
      <w:r>
        <w:rPr>
          <w:rFonts w:hint="eastAsia" w:ascii="宋体" w:hAnsi="宋体" w:cs="Calibri"/>
          <w:sz w:val="21"/>
          <w:szCs w:val="21"/>
        </w:rPr>
        <w:t xml:space="preserve">手提式灭火器</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20</w:t>
            </w:r>
            <w:r>
              <w:rPr>
                <w:rFonts w:hint="eastAsia" w:ascii="Calibri" w:hAnsi="Calibri" w:cs="Calibri"/>
                <w:sz w:val="20"/>
                <w:szCs w:val="21"/>
              </w:rPr>
              <w:t xml:space="preserve">℃时喷射性能</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4351-2023</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4351-2023</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充装要求</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4351-2023</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瓶体</w:t>
            </w:r>
            <w:r>
              <w:rPr>
                <w:rFonts w:hint="eastAsia" w:ascii="Calibri" w:hAnsi="Calibri" w:cs="Calibri"/>
                <w:sz w:val="20"/>
                <w:szCs w:val="21"/>
              </w:rPr>
              <w:t xml:space="preserve">-</w:t>
            </w:r>
            <w:r>
              <w:rPr>
                <w:rFonts w:hint="eastAsia" w:ascii="Calibri" w:hAnsi="Calibri" w:cs="Calibri"/>
                <w:sz w:val="20"/>
                <w:szCs w:val="21"/>
              </w:rPr>
              <w:t xml:space="preserve">爆破性能试验</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4351-2023</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灭火剂（干粉灭火剂）</w:t>
            </w:r>
            <w:r>
              <w:rPr>
                <w:rFonts w:hint="eastAsia" w:ascii="Calibri" w:hAnsi="Calibri" w:cs="Calibri"/>
                <w:sz w:val="20"/>
                <w:szCs w:val="21"/>
              </w:rPr>
              <w:t xml:space="preserve">-</w:t>
            </w:r>
            <w:r>
              <w:rPr>
                <w:rFonts w:hint="eastAsia" w:ascii="Calibri" w:hAnsi="Calibri" w:cs="Calibri"/>
                <w:sz w:val="20"/>
                <w:szCs w:val="21"/>
              </w:rPr>
              <w:t xml:space="preserve">第一主要组分含量</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4066-2017</w:t>
            </w:r>
            <w:r/>
          </w:p>
        </w:tc>
      </w:tr>
    </w:tbl>
    <w:p>
      <w:pPr>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hint="eastAsia" w:cs="Calibri"/>
          <w:sz w:val="21"/>
          <w:szCs w:val="21"/>
        </w:rPr>
        <w:t xml:space="preserve">过滤式消防自救呼吸器</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结构</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21976.7-2012</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21976.7-2012</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材料阻燃性能</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2626-2006</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一氧化碳</w:t>
            </w:r>
            <w:r>
              <w:rPr>
                <w:rFonts w:ascii="Calibri" w:hAnsi="Calibri" w:cs="Calibri"/>
                <w:sz w:val="20"/>
                <w:szCs w:val="21"/>
              </w:rPr>
              <w:t xml:space="preserve">防护</w:t>
            </w:r>
            <w:r>
              <w:rPr>
                <w:rFonts w:hint="eastAsia" w:ascii="Calibri" w:hAnsi="Calibri" w:cs="Calibri"/>
                <w:sz w:val="20"/>
                <w:szCs w:val="21"/>
              </w:rPr>
              <w:t xml:space="preserve">性能</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21976.7-2012</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滤烟性能</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2890-2009</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5</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连接强度</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21976.7-2012</w:t>
            </w:r>
            <w:r/>
          </w:p>
        </w:tc>
      </w:tr>
    </w:tbl>
    <w:p>
      <w:pPr>
        <w:ind w:left="360"/>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hint="eastAsia" w:cs="Calibri"/>
          <w:sz w:val="21"/>
          <w:szCs w:val="21"/>
        </w:rPr>
        <w:t xml:space="preserve">消防水带</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水压试验</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爆破试验</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延伸率和膨胀率及扭转方向</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黏附性</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5</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附着强度</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/T 532-2008</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6</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热空气老化性能</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w:t>
            </w:r>
            <w:r>
              <w:rPr>
                <w:rFonts w:ascii="Calibri" w:hAnsi="Calibri" w:cs="Calibri"/>
                <w:sz w:val="20"/>
                <w:szCs w:val="21"/>
              </w:rPr>
              <w:t xml:space="preserve"> 6246-2011</w:t>
            </w:r>
            <w:r/>
          </w:p>
        </w:tc>
      </w:tr>
    </w:tbl>
    <w:p>
      <w:pPr>
        <w:ind w:left="360"/>
        <w:jc w:val="both"/>
        <w:spacing w:after="160" w:line="278" w:lineRule="auto"/>
        <w:widowControl w:val="off"/>
        <w:rPr>
          <w:rFonts w:cs="Calibri"/>
          <w:sz w:val="21"/>
          <w:szCs w:val="21"/>
        </w:rPr>
      </w:pPr>
      <w:r>
        <w:rPr>
          <w:rFonts w:cs="Calibri"/>
          <w:sz w:val="21"/>
          <w:szCs w:val="21"/>
        </w:rPr>
      </w:r>
      <w:r/>
    </w:p>
    <w:p>
      <w:pPr>
        <w:jc w:val="both"/>
        <w:spacing w:after="160" w:line="278" w:lineRule="auto"/>
        <w:widowControl w:val="off"/>
        <w:rPr>
          <w:rFonts w:cs="Calibri"/>
          <w:sz w:val="21"/>
          <w:szCs w:val="21"/>
        </w:rPr>
      </w:pPr>
      <w:r>
        <w:rPr>
          <w:rFonts w:hint="eastAsia" w:cs="Calibri"/>
          <w:sz w:val="21"/>
          <w:szCs w:val="21"/>
        </w:rPr>
        <w:t xml:space="preserve">电气火灾监控探测器</w:t>
      </w:r>
      <w:r>
        <w:rPr>
          <w:rFonts w:hint="eastAsia" w:ascii="宋体" w:hAnsi="宋体" w:cs="宋体"/>
          <w:sz w:val="21"/>
          <w:szCs w:val="21"/>
          <w:lang w:bidi="ar"/>
        </w:rPr>
        <w:t xml:space="preserve">产品检验项目、依据及方法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4"/>
        <w:gridCol w:w="3444"/>
        <w:gridCol w:w="2074"/>
        <w:gridCol w:w="2074"/>
      </w:tblGrid>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07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w:t>
            </w:r>
            <w:r>
              <w:rPr>
                <w:rFonts w:ascii="Calibri" w:hAnsi="Calibri" w:cs="Calibri"/>
                <w:sz w:val="20"/>
                <w:szCs w:val="21"/>
              </w:rPr>
              <w:t xml:space="preserve">方法</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试验前检查</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14287.2-2014</w:t>
            </w:r>
            <w:r/>
          </w:p>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14287.3-2014</w:t>
            </w:r>
            <w:r/>
          </w:p>
        </w:tc>
        <w:tc>
          <w:tcPr>
            <w:tcW w:w="2074" w:type="dxa"/>
            <w:vAlign w:val="center"/>
            <w:vMerge w:val="restart"/>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14287.2-2014</w:t>
            </w:r>
            <w:r/>
          </w:p>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w:t>
            </w:r>
            <w:r>
              <w:rPr>
                <w:rFonts w:ascii="Calibri" w:hAnsi="Calibri" w:cs="Calibri"/>
                <w:sz w:val="20"/>
                <w:szCs w:val="21"/>
              </w:rPr>
              <w:t xml:space="preserve">B 14287.3-2014</w:t>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监控报警功能</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r>
      <w:tr>
        <w:trPr>
          <w:jc w:val="center"/>
        </w:trPr>
        <w:tc>
          <w:tcPr>
            <w:tcW w:w="70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3444"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绝缘电阻</w:t>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c>
          <w:tcPr>
            <w:tcW w:w="2074" w:type="dxa"/>
            <w:vAlign w:val="center"/>
            <w:vMerge w:val="continue"/>
            <w:textDirection w:val="lrTb"/>
            <w:noWrap w:val="false"/>
          </w:tcPr>
          <w:p>
            <w:pPr>
              <w:jc w:val="center"/>
              <w:spacing w:after="160" w:line="278" w:lineRule="auto"/>
              <w:widowControl w:val="off"/>
              <w:rPr>
                <w:rFonts w:ascii="Calibri" w:hAnsi="Calibri" w:cs="Calibri"/>
                <w:sz w:val="20"/>
                <w:szCs w:val="21"/>
              </w:rPr>
            </w:pPr>
            <w:r>
              <w:rPr>
                <w:rFonts w:ascii="Calibri" w:hAnsi="Calibri" w:cs="Calibri"/>
                <w:sz w:val="20"/>
                <w:szCs w:val="21"/>
              </w:rPr>
            </w:r>
            <w:r/>
          </w:p>
        </w:tc>
      </w:tr>
    </w:tbl>
    <w:p>
      <w:pPr>
        <w:spacing w:after="160" w:line="360" w:lineRule="auto"/>
        <w:widowControl w:val="off"/>
        <w:rPr>
          <w:b/>
          <w:bCs/>
          <w:color w:val="0d0d0d"/>
          <w:sz w:val="28"/>
          <w:szCs w:val="28"/>
        </w:rPr>
      </w:pPr>
      <w:r>
        <w:rPr>
          <w:b/>
          <w:bCs/>
          <w:color w:val="0d0d0d"/>
          <w:sz w:val="28"/>
          <w:szCs w:val="28"/>
        </w:rPr>
      </w:r>
      <w:r/>
    </w:p>
    <w:p>
      <w:pPr>
        <w:spacing w:after="160" w:line="360" w:lineRule="auto"/>
        <w:widowControl w:val="off"/>
        <w:rPr>
          <w:b/>
          <w:bCs/>
          <w:color w:val="0d0d0d"/>
          <w:sz w:val="28"/>
          <w:szCs w:val="28"/>
        </w:rPr>
      </w:pPr>
      <w:r>
        <w:rPr>
          <w:b/>
          <w:bCs/>
          <w:color w:val="0d0d0d"/>
          <w:sz w:val="28"/>
          <w:szCs w:val="28"/>
        </w:rPr>
        <w:br w:type="page" w:clear="all"/>
      </w:r>
      <w:r>
        <w:rPr>
          <w:rFonts w:hint="eastAsia"/>
          <w:b/>
          <w:bCs/>
          <w:color w:val="0d0d0d"/>
          <w:sz w:val="28"/>
          <w:szCs w:val="28"/>
        </w:rPr>
        <w:t xml:space="preserve">7</w:t>
      </w:r>
      <w:r>
        <w:rPr>
          <w:rFonts w:hint="eastAsia"/>
          <w:b/>
          <w:bCs/>
          <w:color w:val="0d0d0d"/>
          <w:sz w:val="28"/>
          <w:szCs w:val="28"/>
        </w:rPr>
        <w:t xml:space="preserve">、移动电源</w:t>
      </w:r>
      <w:r/>
    </w:p>
    <w:p>
      <w:pPr>
        <w:jc w:val="both"/>
        <w:spacing w:after="160" w:line="278" w:lineRule="auto"/>
        <w:widowControl w:val="off"/>
        <w:rPr>
          <w:rFonts w:cs="Calibri"/>
          <w:sz w:val="21"/>
          <w:szCs w:val="21"/>
        </w:rPr>
      </w:pPr>
      <w:r>
        <w:rPr>
          <w:rFonts w:hint="eastAsia" w:cs="Calibri"/>
          <w:sz w:val="21"/>
          <w:szCs w:val="21"/>
        </w:rPr>
        <w:t xml:space="preserve">移动电源产品检测项目、依据及方法</w:t>
      </w:r>
      <w:r/>
    </w:p>
    <w:tbl>
      <w:tblPr>
        <w:tblW w:w="8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742"/>
        <w:gridCol w:w="2050"/>
        <w:gridCol w:w="2629"/>
        <w:gridCol w:w="2996"/>
      </w:tblGrid>
      <w:tr>
        <w:trPr>
          <w:jc w:val="center"/>
          <w:trHeight w:val="782"/>
        </w:trPr>
        <w:tc>
          <w:tcPr>
            <w:tcW w:w="742"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序号</w:t>
            </w:r>
            <w:r/>
          </w:p>
        </w:tc>
        <w:tc>
          <w:tcPr>
            <w:tcW w:w="2050"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检验项目</w:t>
            </w:r>
            <w:r/>
          </w:p>
        </w:tc>
        <w:tc>
          <w:tcPr>
            <w:tcW w:w="2629"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检验依据</w:t>
            </w:r>
            <w:r/>
          </w:p>
        </w:tc>
        <w:tc>
          <w:tcPr>
            <w:tcW w:w="2996"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检验方法</w:t>
            </w:r>
            <w:r/>
          </w:p>
        </w:tc>
      </w:tr>
      <w:tr>
        <w:trPr>
          <w:jc w:val="center"/>
          <w:trHeight w:val="822"/>
        </w:trPr>
        <w:tc>
          <w:tcPr>
            <w:tcW w:w="742"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1</w:t>
            </w:r>
            <w:r/>
          </w:p>
        </w:tc>
        <w:tc>
          <w:tcPr>
            <w:tcW w:w="2050"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热灼伤</w:t>
            </w:r>
            <w:r/>
          </w:p>
        </w:tc>
        <w:tc>
          <w:tcPr>
            <w:tcW w:w="2629"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4943.1-2022</w:t>
            </w:r>
            <w:r/>
          </w:p>
        </w:tc>
        <w:tc>
          <w:tcPr>
            <w:tcW w:w="2996"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4943.1-2022</w:t>
            </w:r>
            <w:r/>
          </w:p>
        </w:tc>
      </w:tr>
      <w:tr>
        <w:trPr>
          <w:jc w:val="center"/>
          <w:trHeight w:val="706"/>
        </w:trPr>
        <w:tc>
          <w:tcPr>
            <w:tcW w:w="742"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2</w:t>
            </w:r>
            <w:r/>
          </w:p>
        </w:tc>
        <w:tc>
          <w:tcPr>
            <w:tcW w:w="2050"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过充电</w:t>
            </w:r>
            <w:r/>
          </w:p>
        </w:tc>
        <w:tc>
          <w:tcPr>
            <w:tcW w:w="2629"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p>
        </w:tc>
        <w:tc>
          <w:tcPr>
            <w:tcW w:w="2996"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p>
        </w:tc>
      </w:tr>
      <w:tr>
        <w:trPr>
          <w:jc w:val="center"/>
          <w:trHeight w:val="702"/>
        </w:trPr>
        <w:tc>
          <w:tcPr>
            <w:tcW w:w="742"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3</w:t>
            </w:r>
            <w:r/>
          </w:p>
        </w:tc>
        <w:tc>
          <w:tcPr>
            <w:tcW w:w="2050"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低气压</w:t>
            </w:r>
            <w:r/>
          </w:p>
        </w:tc>
        <w:tc>
          <w:tcPr>
            <w:tcW w:w="2629"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p>
        </w:tc>
        <w:tc>
          <w:tcPr>
            <w:tcW w:w="2996"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p>
        </w:tc>
      </w:tr>
      <w:tr>
        <w:trPr>
          <w:jc w:val="center"/>
          <w:trHeight w:val="684"/>
        </w:trPr>
        <w:tc>
          <w:tcPr>
            <w:tcW w:w="742"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4</w:t>
            </w:r>
            <w:r/>
          </w:p>
        </w:tc>
        <w:tc>
          <w:tcPr>
            <w:tcW w:w="2050"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温度循环</w:t>
            </w:r>
            <w:r/>
          </w:p>
        </w:tc>
        <w:tc>
          <w:tcPr>
            <w:tcW w:w="2629"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p>
        </w:tc>
        <w:tc>
          <w:tcPr>
            <w:tcW w:w="2996"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p>
        </w:tc>
      </w:tr>
      <w:tr>
        <w:trPr>
          <w:jc w:val="center"/>
          <w:trHeight w:val="708"/>
        </w:trPr>
        <w:tc>
          <w:tcPr>
            <w:tcW w:w="742"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5</w:t>
            </w:r>
            <w:r/>
          </w:p>
        </w:tc>
        <w:tc>
          <w:tcPr>
            <w:tcW w:w="2050"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热滥用</w:t>
            </w:r>
            <w:r/>
          </w:p>
        </w:tc>
        <w:tc>
          <w:tcPr>
            <w:tcW w:w="2629"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p>
        </w:tc>
        <w:tc>
          <w:tcPr>
            <w:tcW w:w="2996" w:type="dxa"/>
            <w:vAlign w:val="center"/>
            <w:textDirection w:val="lrTb"/>
            <w:noWrap w:val="false"/>
          </w:tcPr>
          <w:p>
            <w:pPr>
              <w:jc w:val="center"/>
              <w:spacing w:after="160" w:line="278" w:lineRule="auto"/>
              <w:widowControl w:val="off"/>
              <w:rPr>
                <w:rFonts w:ascii="Calibri" w:hAnsi="Calibri" w:cs="Calibri"/>
                <w:sz w:val="20"/>
                <w:szCs w:val="21"/>
              </w:rPr>
            </w:pPr>
            <w:r>
              <w:rPr>
                <w:rFonts w:hint="eastAsia" w:ascii="Calibri" w:hAnsi="Calibri" w:cs="Calibri"/>
                <w:sz w:val="20"/>
                <w:szCs w:val="21"/>
              </w:rPr>
              <w:t xml:space="preserve">GB 31241-2022</w:t>
            </w:r>
            <w:r/>
          </w:p>
        </w:tc>
      </w:tr>
    </w:tbl>
    <w:p>
      <w:pPr>
        <w:spacing w:after="160" w:line="360" w:lineRule="auto"/>
        <w:widowControl w:val="off"/>
        <w:rPr>
          <w:b/>
          <w:bCs/>
          <w:color w:val="0d0d0d"/>
          <w:sz w:val="28"/>
          <w:szCs w:val="28"/>
        </w:rPr>
      </w:pPr>
      <w:r>
        <w:rPr>
          <w:b/>
          <w:bCs/>
          <w:color w:val="0d0d0d"/>
          <w:sz w:val="28"/>
          <w:szCs w:val="28"/>
        </w:rPr>
      </w:r>
      <w:r/>
    </w:p>
    <w:p>
      <w:pPr>
        <w:pStyle w:val="743"/>
        <w:jc w:val="center"/>
        <w:keepLines w:val="0"/>
        <w:spacing w:before="0" w:line="240" w:lineRule="auto"/>
        <w:widowControl w:val="off"/>
      </w:pPr>
      <w:r>
        <w:rPr>
          <w:rFonts w:hint="eastAsia" w:ascii="宋体" w:hAnsi="宋体" w:cs="方正黑体_GBK"/>
          <w:bCs w:val="0"/>
          <w:sz w:val="24"/>
          <w:szCs w:val="24"/>
        </w:rPr>
        <w:br w:type="page" w:clear="all"/>
      </w:r>
      <w:bookmarkStart w:id="107" w:name="_Toc192946455"/>
      <w:r/>
      <w:bookmarkEnd w:id="96"/>
      <w:r/>
      <w:bookmarkEnd w:id="97"/>
      <w:r>
        <w:rPr>
          <w:rFonts w:hint="eastAsia" w:ascii="黑体" w:hAnsi="楷体_GB2312" w:eastAsia="黑体"/>
          <w:color w:val="auto"/>
          <w:sz w:val="44"/>
          <w:szCs w:val="44"/>
        </w:rPr>
        <w:t xml:space="preserve">第五章  评标方法与评标标准</w:t>
      </w:r>
      <w:bookmarkEnd w:id="107"/>
      <w:r/>
      <w:bookmarkEnd w:id="91"/>
      <w:r/>
      <w:bookmarkEnd w:id="92"/>
      <w:r/>
      <w:r/>
    </w:p>
    <w:p>
      <w:pPr>
        <w:ind w:firstLine="480"/>
        <w:rPr>
          <w:rFonts w:ascii="Arial" w:hAnsi="Arial" w:cs="Arial"/>
          <w:b/>
          <w:bCs/>
          <w:sz w:val="24"/>
          <w:szCs w:val="24"/>
        </w:rPr>
      </w:pPr>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w:t>
      </w:r>
      <w:r>
        <w:rPr>
          <w:rFonts w:hint="eastAsia" w:ascii="Arial" w:hAnsi="Arial" w:cs="Arial"/>
          <w:sz w:val="24"/>
          <w:szCs w:val="24"/>
        </w:rPr>
        <w:t xml:space="preserve">100</w:t>
      </w:r>
      <w:r>
        <w:rPr>
          <w:rFonts w:hint="eastAsia" w:ascii="Arial" w:hAnsi="Arial" w:cs="Arial"/>
          <w:sz w:val="24"/>
          <w:szCs w:val="24"/>
        </w:rPr>
        <w:t xml:space="preserve">分，将全部评委评分直接进行算术平均计算，小数点后按四舍五入规则保留</w:t>
      </w:r>
      <w:r>
        <w:rPr>
          <w:rFonts w:hint="eastAsia" w:ascii="Arial" w:hAnsi="Arial" w:cs="Arial"/>
          <w:sz w:val="24"/>
          <w:szCs w:val="24"/>
        </w:rPr>
        <w:t xml:space="preserve">2</w:t>
      </w:r>
      <w:r>
        <w:rPr>
          <w:rFonts w:hint="eastAsia" w:ascii="Arial" w:hAnsi="Arial" w:cs="Arial"/>
          <w:sz w:val="24"/>
          <w:szCs w:val="24"/>
        </w:rPr>
        <w:t xml:space="preserve">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，按主要技术指标优劣顺序排列，由评标委员会确定中标候选人。</w:t>
      </w:r>
      <w:r>
        <w:rPr>
          <w:rFonts w:hint="eastAsia" w:ascii="Arial" w:hAnsi="Arial" w:cs="Arial"/>
          <w:b/>
          <w:bCs/>
          <w:sz w:val="24"/>
          <w:szCs w:val="24"/>
        </w:rPr>
        <w:t xml:space="preserve">本评分标准适用所有采购包，每个采购</w:t>
      </w:r>
      <w:r>
        <w:rPr>
          <w:rFonts w:hint="eastAsia" w:ascii="Arial" w:hAnsi="Arial" w:cs="Arial"/>
          <w:b/>
          <w:bCs/>
          <w:sz w:val="24"/>
          <w:szCs w:val="24"/>
        </w:rPr>
        <w:t xml:space="preserve">包选择</w:t>
      </w:r>
      <w:r>
        <w:rPr>
          <w:rFonts w:hint="eastAsia" w:ascii="Arial" w:hAnsi="Arial" w:cs="Arial"/>
          <w:b/>
          <w:bCs/>
          <w:sz w:val="24"/>
          <w:szCs w:val="24"/>
        </w:rPr>
        <w:t xml:space="preserve">1</w:t>
      </w:r>
      <w:r>
        <w:rPr>
          <w:rFonts w:hint="eastAsia" w:ascii="Arial" w:hAnsi="Arial" w:cs="Arial"/>
          <w:b/>
          <w:bCs/>
          <w:sz w:val="24"/>
          <w:szCs w:val="24"/>
        </w:rPr>
        <w:t xml:space="preserve">名中标供应商。</w:t>
      </w:r>
      <w:r/>
    </w:p>
    <w:tbl>
      <w:tblPr>
        <w:tblW w:w="94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17"/>
        <w:gridCol w:w="954"/>
        <w:gridCol w:w="6238"/>
        <w:gridCol w:w="888"/>
        <w:gridCol w:w="566"/>
      </w:tblGrid>
      <w:tr>
        <w:trPr>
          <w:trHeight w:val="639"/>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08" w:name="_Toc192946456"/>
            <w:r>
              <w:rPr>
                <w:rFonts w:hint="eastAsia" w:ascii="宋体" w:hAnsi="宋体" w:cs="宋体"/>
                <w:b/>
                <w:sz w:val="21"/>
                <w:szCs w:val="21"/>
              </w:rPr>
              <w:t xml:space="preserve">类别</w:t>
            </w:r>
            <w:bookmarkEnd w:id="108"/>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09" w:name="_Toc192946457"/>
            <w:r>
              <w:rPr>
                <w:rFonts w:hint="eastAsia" w:ascii="宋体" w:hAnsi="宋体" w:cs="宋体"/>
                <w:b/>
                <w:sz w:val="21"/>
                <w:szCs w:val="21"/>
              </w:rPr>
              <w:t xml:space="preserve">评分内容</w:t>
            </w:r>
            <w:bookmarkEnd w:id="109"/>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10" w:name="_Toc192946458"/>
            <w:r>
              <w:rPr>
                <w:rFonts w:hint="eastAsia" w:ascii="宋体" w:hAnsi="宋体" w:cs="宋体"/>
                <w:b/>
                <w:sz w:val="21"/>
                <w:szCs w:val="21"/>
              </w:rPr>
              <w:t xml:space="preserve">评分标准（适用所有采购包）</w:t>
            </w:r>
            <w:bookmarkEnd w:id="110"/>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11" w:name="_Toc192946459"/>
            <w:r>
              <w:rPr>
                <w:rFonts w:hint="eastAsia" w:ascii="宋体" w:hAnsi="宋体" w:cs="宋体"/>
                <w:b/>
                <w:sz w:val="21"/>
                <w:szCs w:val="21"/>
              </w:rPr>
              <w:t xml:space="preserve">分值</w:t>
            </w:r>
            <w:bookmarkEnd w:id="111"/>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rPr>
                <w:rFonts w:hint="eastAsia" w:ascii="宋体" w:hAnsi="宋体" w:cs="宋体"/>
                <w:b/>
                <w:sz w:val="21"/>
                <w:szCs w:val="21"/>
              </w:rPr>
              <w:t xml:space="preserve">备注</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p>
        </w:tc>
        <w:tc>
          <w:tcPr>
            <w:tcBorders>
              <w:top w:val="single" w:color="000000" w:sz="4" w:space="0"/>
              <w:left w:val="single" w:color="000000" w:sz="4" w:space="0"/>
              <w:bottom w:val="single" w:color="000000" w:sz="4" w:space="0"/>
              <w:right w:val="single" w:color="000000" w:sz="4" w:space="0"/>
            </w:tcBorders>
            <w:tcW w:w="6238" w:type="dxa"/>
            <w:textDirection w:val="lrTb"/>
            <w:noWrap w:val="false"/>
          </w:tcPr>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rPr>
                <w:rFonts w:hint="eastAsia" w:ascii="宋体" w:hAnsi="宋体" w:cs="宋体"/>
                <w:sz w:val="21"/>
                <w:szCs w:val="21"/>
                <w:lang w:val="zh-CN" w:bidi="zh-CN"/>
              </w:rPr>
              <w:t xml:space="preserve">分统一</w:t>
            </w:r>
            <w:r>
              <w:rPr>
                <w:rFonts w:hint="eastAsia" w:ascii="宋体" w:hAnsi="宋体" w:cs="宋体"/>
                <w:sz w:val="21"/>
                <w:szCs w:val="21"/>
                <w:lang w:val="zh-CN" w:bidi="zh-CN"/>
              </w:rPr>
              <w:t xml:space="preserve">采用低价优先法，即满足招标文件要求且投标评审价格最低的投标报价为评标基准价，其价格分为满分。其他投标人的价格</w:t>
            </w:r>
            <w:r>
              <w:rPr>
                <w:rFonts w:hint="eastAsia" w:ascii="宋体" w:hAnsi="宋体" w:cs="宋体"/>
                <w:sz w:val="21"/>
                <w:szCs w:val="21"/>
                <w:lang w:val="zh-CN" w:bidi="zh-CN"/>
              </w:rPr>
              <w:t xml:space="preserve">分统一</w:t>
            </w:r>
            <w:r>
              <w:rPr>
                <w:rFonts w:hint="eastAsia" w:ascii="宋体" w:hAnsi="宋体" w:cs="宋体"/>
                <w:sz w:val="21"/>
                <w:szCs w:val="21"/>
                <w:lang w:val="zh-CN" w:bidi="zh-CN"/>
              </w:rPr>
              <w:t xml:space="preserve">按照下列公式计算：投标报价得分＝（评标基准价/投标报价）×10。小数点后按四舍五入规则保留2位小数。</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112" w:name="_Toc192946460"/>
            <w:r>
              <w:rPr>
                <w:rFonts w:hint="eastAsia" w:ascii="宋体" w:hAnsi="宋体" w:cs="宋体"/>
                <w:spacing w:val="-6"/>
                <w:sz w:val="21"/>
                <w:szCs w:val="21"/>
                <w:lang w:val="zh-CN" w:bidi="zh-CN"/>
              </w:rPr>
              <w:t xml:space="preserve">1</w:t>
            </w:r>
            <w:r>
              <w:rPr>
                <w:rFonts w:ascii="宋体" w:hAnsi="宋体" w:cs="宋体"/>
                <w:spacing w:val="-6"/>
                <w:sz w:val="21"/>
                <w:szCs w:val="21"/>
                <w:lang w:val="zh-CN" w:bidi="zh-CN"/>
              </w:rPr>
              <w:t xml:space="preserve">0</w:t>
            </w:r>
            <w:r>
              <w:rPr>
                <w:rFonts w:hint="eastAsia" w:ascii="宋体" w:hAnsi="宋体" w:cs="宋体"/>
                <w:spacing w:val="-6"/>
                <w:sz w:val="21"/>
                <w:szCs w:val="21"/>
                <w:lang w:val="zh-CN" w:bidi="zh-CN"/>
              </w:rPr>
              <w:t xml:space="preserve">分</w:t>
            </w:r>
            <w:bookmarkEnd w:id="112"/>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val="zh-CN" w:bidi="zh-CN"/>
              </w:rPr>
              <w:t xml:space="preserve">价格</w:t>
            </w:r>
            <w:r>
              <w:rPr>
                <w:rFonts w:hint="eastAsia" w:ascii="宋体" w:hAnsi="宋体" w:cs="宋体"/>
                <w:spacing w:val="-6"/>
                <w:sz w:val="21"/>
                <w:szCs w:val="21"/>
                <w:lang w:bidi="zh-CN"/>
              </w:rPr>
              <w:t xml:space="preserve">分</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13" w:name="_Toc192946461"/>
            <w:r>
              <w:rPr>
                <w:rFonts w:hint="eastAsia" w:ascii="宋体" w:hAnsi="宋体" w:cs="宋体"/>
                <w:sz w:val="21"/>
                <w:szCs w:val="21"/>
                <w:lang w:bidi="zh-CN"/>
              </w:rPr>
              <w:t xml:space="preserve">2</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供应商履约信用情况</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从2023年1月1日起（以</w:t>
            </w:r>
            <w:r>
              <w:rPr>
                <w:rFonts w:hint="eastAsia" w:ascii="宋体" w:hAnsi="宋体" w:cs="宋体"/>
                <w:spacing w:val="-3"/>
                <w:sz w:val="21"/>
                <w:szCs w:val="21"/>
                <w:lang w:bidi="zh-CN"/>
              </w:rPr>
              <w:t xml:space="preserve">通报发布</w:t>
            </w:r>
            <w:r>
              <w:rPr>
                <w:rFonts w:hint="eastAsia" w:ascii="宋体" w:hAnsi="宋体" w:cs="宋体"/>
                <w:spacing w:val="-3"/>
                <w:sz w:val="21"/>
                <w:szCs w:val="21"/>
                <w:lang w:val="zh-CN" w:bidi="zh-CN"/>
              </w:rPr>
              <w:t xml:space="preserve">时间为准）至投标截止之日止，投标人在市场监管领域相关产品质量监督抽查任务中，没有因工作质量问题被通报的，得3分；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需提供承诺函，否则不得分。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从2023年1月1日起至投标截止之日止，投标人在市场监管领域无产品质量监督抽查任务的，视为无工作质量问题，得3分；需提供承诺函，否则不得分。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该评分点供应商如不实承诺，一经发现则按提供虚假材料谋取中标报财政监管部门。</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3分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14" w:name="OLE_LINK4"/>
            <w:r>
              <w:rPr>
                <w:rFonts w:hint="eastAsia" w:ascii="宋体" w:hAnsi="宋体" w:cs="宋体"/>
                <w:spacing w:val="-6"/>
                <w:sz w:val="21"/>
                <w:szCs w:val="21"/>
                <w:lang w:bidi="zh-CN"/>
              </w:rPr>
              <w:t xml:space="preserve">客观分</w:t>
            </w:r>
            <w:bookmarkEnd w:id="114"/>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3</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业绩</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从2023年1月1日起（以合同或合作协议签订时间为准）至投标截止之日止，投标人有承担过</w:t>
            </w:r>
            <w:r>
              <w:rPr>
                <w:rFonts w:hint="eastAsia" w:ascii="宋体" w:hAnsi="宋体" w:cs="宋体"/>
                <w:spacing w:val="-3"/>
                <w:sz w:val="21"/>
                <w:szCs w:val="21"/>
                <w:lang w:bidi="zh-CN"/>
              </w:rPr>
              <w:t xml:space="preserve">与本项目类似</w:t>
            </w:r>
            <w:r>
              <w:rPr>
                <w:rFonts w:hint="eastAsia" w:ascii="宋体" w:hAnsi="宋体" w:cs="宋体"/>
                <w:spacing w:val="-3"/>
                <w:sz w:val="21"/>
                <w:szCs w:val="21"/>
                <w:lang w:val="zh-CN" w:bidi="zh-CN"/>
              </w:rPr>
              <w:t xml:space="preserve">案例产品质量监督抽查</w:t>
            </w:r>
            <w:r>
              <w:rPr>
                <w:rFonts w:hint="eastAsia" w:ascii="宋体" w:hAnsi="宋体" w:cs="宋体"/>
                <w:spacing w:val="-3"/>
                <w:sz w:val="21"/>
                <w:szCs w:val="21"/>
                <w:lang w:bidi="zh-CN"/>
              </w:rPr>
              <w:t xml:space="preserve">业绩</w:t>
            </w:r>
            <w:r>
              <w:rPr>
                <w:rFonts w:hint="eastAsia" w:ascii="宋体" w:hAnsi="宋体" w:cs="宋体"/>
                <w:spacing w:val="-3"/>
                <w:sz w:val="21"/>
                <w:szCs w:val="21"/>
                <w:lang w:val="zh-CN" w:bidi="zh-CN"/>
              </w:rPr>
              <w:t xml:space="preserve">的，每例得3分，本项最高得9分。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需提供相关项目合同（或合作协议）复印件并加盖投标供应商公章，</w:t>
            </w:r>
            <w:r>
              <w:rPr>
                <w:rFonts w:hint="eastAsia" w:ascii="宋体" w:hAnsi="宋体" w:cs="宋体"/>
                <w:spacing w:val="-3"/>
                <w:sz w:val="21"/>
                <w:szCs w:val="21"/>
                <w:lang w:val="zh-CN" w:bidi="zh-CN"/>
              </w:rPr>
              <w:t xml:space="preserve">需体现</w:t>
            </w:r>
            <w:r>
              <w:rPr>
                <w:rFonts w:hint="eastAsia" w:ascii="宋体" w:hAnsi="宋体" w:cs="宋体"/>
                <w:spacing w:val="-3"/>
                <w:sz w:val="21"/>
                <w:szCs w:val="21"/>
                <w:lang w:val="zh-CN" w:bidi="zh-CN"/>
              </w:rPr>
              <w:t xml:space="preserve">签约单位及盖章内容、合同（或合作协议）签订时间、主要服务内容及其他主要条款，未提供证明文件或者证明文件不清晰不完整或不符合要求的不得分。同一合同甲方的多份合同仅按一份计算。</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9分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4</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项目团队负责人</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根据供应商拟投入本项目的项目负责人专业技术职称评分：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项目负责人具有副高级</w:t>
            </w:r>
            <w:bookmarkStart w:id="115" w:name="OLE_LINK9"/>
            <w:r>
              <w:rPr>
                <w:rFonts w:hint="eastAsia" w:ascii="宋体" w:hAnsi="宋体" w:cs="宋体"/>
                <w:spacing w:val="-3"/>
                <w:sz w:val="21"/>
                <w:szCs w:val="21"/>
                <w:lang w:val="zh-CN" w:bidi="zh-CN"/>
              </w:rPr>
              <w:t xml:space="preserve">(含)</w:t>
            </w:r>
            <w:bookmarkEnd w:id="115"/>
            <w:r>
              <w:rPr>
                <w:rFonts w:hint="eastAsia" w:ascii="宋体" w:hAnsi="宋体" w:cs="宋体"/>
                <w:spacing w:val="-3"/>
                <w:sz w:val="21"/>
                <w:szCs w:val="21"/>
                <w:lang w:bidi="zh-CN"/>
              </w:rPr>
              <w:t xml:space="preserve">以上</w:t>
            </w:r>
            <w:r>
              <w:rPr>
                <w:rFonts w:hint="eastAsia" w:ascii="宋体" w:hAnsi="宋体" w:cs="宋体"/>
                <w:spacing w:val="-3"/>
                <w:sz w:val="21"/>
                <w:szCs w:val="21"/>
                <w:lang w:val="zh-CN" w:bidi="zh-CN"/>
              </w:rPr>
              <w:t xml:space="preserve">专业技术职称，得</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分；具有中级专业技术职称，得2</w:t>
            </w:r>
            <w:r>
              <w:rPr>
                <w:rFonts w:ascii="宋体" w:hAnsi="宋体" w:cs="宋体"/>
                <w:spacing w:val="-3"/>
                <w:sz w:val="21"/>
                <w:szCs w:val="21"/>
                <w:lang w:val="zh-CN" w:bidi="zh-CN"/>
              </w:rPr>
              <w:t xml:space="preserve">分</w:t>
            </w:r>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须同时提供：</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①人员</w:t>
            </w:r>
            <w:r>
              <w:rPr>
                <w:rFonts w:ascii="宋体" w:hAnsi="宋体" w:cs="宋体"/>
                <w:spacing w:val="-3"/>
                <w:sz w:val="21"/>
                <w:szCs w:val="21"/>
                <w:lang w:val="zh-CN" w:bidi="zh-CN"/>
              </w:rPr>
              <w:t xml:space="preserve">名</w:t>
            </w:r>
            <w:r>
              <w:rPr>
                <w:rFonts w:hint="eastAsia" w:ascii="宋体" w:hAnsi="宋体" w:cs="宋体"/>
                <w:spacing w:val="-3"/>
                <w:sz w:val="21"/>
                <w:szCs w:val="21"/>
                <w:lang w:val="zh-CN" w:bidi="zh-CN"/>
              </w:rPr>
              <w:t xml:space="preserve">单 </w:t>
            </w:r>
            <w:r>
              <w:rPr>
                <w:rFonts w:hint="eastAsia" w:ascii="宋体" w:hAnsi="宋体" w:cs="宋体"/>
                <w:spacing w:val="-3"/>
                <w:sz w:val="21"/>
                <w:szCs w:val="21"/>
                <w:lang w:bidi="zh-CN"/>
              </w:rPr>
              <w:t xml:space="preserve">②</w:t>
            </w:r>
            <w:r>
              <w:rPr>
                <w:rFonts w:hint="eastAsia" w:ascii="宋体" w:hAnsi="宋体" w:cs="宋体"/>
                <w:spacing w:val="-3"/>
                <w:sz w:val="21"/>
                <w:szCs w:val="21"/>
                <w:lang w:val="zh-CN" w:bidi="zh-CN"/>
              </w:rPr>
              <w:t xml:space="preserve">职称证明材料复印件 </w:t>
            </w:r>
            <w:r>
              <w:rPr>
                <w:rFonts w:hint="eastAsia" w:ascii="宋体" w:hAnsi="宋体" w:cs="宋体"/>
                <w:spacing w:val="-3"/>
                <w:sz w:val="21"/>
                <w:szCs w:val="21"/>
                <w:lang w:bidi="zh-CN"/>
              </w:rPr>
              <w:t xml:space="preserve">③</w:t>
            </w:r>
            <w:r>
              <w:rPr>
                <w:rFonts w:hint="eastAsia" w:ascii="宋体" w:hAnsi="宋体" w:cs="宋体"/>
                <w:spacing w:val="-3"/>
                <w:sz w:val="21"/>
                <w:szCs w:val="21"/>
                <w:lang w:val="zh-CN" w:bidi="zh-CN"/>
              </w:rPr>
              <w:t xml:space="preserve">供应商为其缴纳社保的证明材料：如为供应商自有在职人员，需同时提供2026年01月至递交投标文件截止之日期间任意一月由投标人为其缴纳社保基金的证明材料；若为劳务派遣人员，需同时提供项目负责人个人的劳动合同、投标人与人事代理（劳务外包）公司签订的人事代理（劳务外包）合同、2026年01月至递交投标文件截止之日期间任意一月人事代理（劳务外包）公司为其缴纳</w:t>
            </w:r>
            <w:r>
              <w:rPr>
                <w:rFonts w:hint="eastAsia" w:ascii="宋体" w:hAnsi="宋体" w:cs="宋体"/>
                <w:spacing w:val="-3"/>
                <w:sz w:val="21"/>
                <w:szCs w:val="21"/>
                <w:lang w:val="zh-CN" w:bidi="zh-CN"/>
              </w:rPr>
              <w:t xml:space="preserve">社保证明</w:t>
            </w:r>
            <w:r>
              <w:rPr>
                <w:rFonts w:hint="eastAsia" w:ascii="宋体" w:hAnsi="宋体" w:cs="宋体"/>
                <w:spacing w:val="-3"/>
                <w:sz w:val="21"/>
                <w:szCs w:val="21"/>
                <w:lang w:val="zh-CN" w:bidi="zh-CN"/>
              </w:rPr>
              <w:t xml:space="preserve">材料。退休返聘人员不得分。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上述评分点证明资料不完整或不一致或不符合要求的不计分。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5分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5</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项目团队成员</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供应商拟投入本项目的项目组成员（</w:t>
            </w:r>
            <w:r>
              <w:rPr>
                <w:rFonts w:hint="eastAsia" w:ascii="宋体" w:hAnsi="宋体" w:cs="宋体"/>
                <w:spacing w:val="-3"/>
                <w:sz w:val="21"/>
                <w:szCs w:val="21"/>
                <w:lang w:bidi="zh-CN"/>
              </w:rPr>
              <w:t xml:space="preserve">不</w:t>
            </w:r>
            <w:r>
              <w:rPr>
                <w:rFonts w:hint="eastAsia" w:ascii="宋体" w:hAnsi="宋体" w:cs="宋体"/>
                <w:spacing w:val="-3"/>
                <w:sz w:val="21"/>
                <w:szCs w:val="21"/>
                <w:lang w:val="zh-CN" w:bidi="zh-CN"/>
              </w:rPr>
              <w:t xml:space="preserve">含项目负责人）</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（1）具有中级（含）以上专业技术职称的检验人员或具有8年以上所投包产品检验工作经历的人员数量≥8人，同时抽样人员数量≥10人，同时满足上述两点得</w:t>
            </w:r>
            <w:r>
              <w:rPr>
                <w:rFonts w:hint="eastAsia" w:ascii="宋体" w:hAnsi="宋体" w:cs="宋体"/>
                <w:spacing w:val="-3"/>
                <w:sz w:val="21"/>
                <w:szCs w:val="21"/>
                <w:lang w:bidi="zh-CN"/>
              </w:rPr>
              <w:t xml:space="preserve">7</w:t>
            </w:r>
            <w:r>
              <w:rPr>
                <w:rFonts w:hint="eastAsia" w:ascii="宋体" w:hAnsi="宋体" w:cs="宋体"/>
                <w:spacing w:val="-3"/>
                <w:sz w:val="21"/>
                <w:szCs w:val="21"/>
                <w:lang w:val="zh-CN" w:bidi="zh-CN"/>
              </w:rPr>
              <w:t xml:space="preserve">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（2）具有中级（含）以上专业技术职称的检验人员或具有8年以上所投包产品检验工作经历的人员数量介于5（含）人-7（含）人之间的，同时抽样人员数量在7（含）人-9（含）人之间的，同时满足上述两点得</w:t>
            </w:r>
            <w:r>
              <w:rPr>
                <w:rFonts w:hint="eastAsia" w:ascii="宋体" w:hAnsi="宋体" w:cs="宋体"/>
                <w:spacing w:val="-3"/>
                <w:sz w:val="21"/>
                <w:szCs w:val="21"/>
                <w:lang w:bidi="zh-CN"/>
              </w:rPr>
              <w:t xml:space="preserve">4</w:t>
            </w:r>
            <w:r>
              <w:rPr>
                <w:rFonts w:hint="eastAsia" w:ascii="宋体" w:hAnsi="宋体" w:cs="宋体"/>
                <w:spacing w:val="-3"/>
                <w:sz w:val="21"/>
                <w:szCs w:val="21"/>
                <w:lang w:val="zh-CN" w:bidi="zh-CN"/>
              </w:rPr>
              <w:t xml:space="preserve">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（3）其他</w:t>
            </w:r>
            <w:r>
              <w:rPr>
                <w:rFonts w:hint="eastAsia" w:ascii="宋体" w:hAnsi="宋体" w:cs="宋体"/>
                <w:spacing w:val="-3"/>
                <w:sz w:val="21"/>
                <w:szCs w:val="21"/>
                <w:lang w:bidi="zh-CN"/>
              </w:rPr>
              <w:t xml:space="preserve">或未提供或不符合要求不得分</w:t>
            </w:r>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须同时提供：</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①人员清单 ②职称或工作经验证明材料 ③供应商为其缴纳社保的证明材料，所有参与评分的人员：如为供应商自有在职人员，均需同时提供一一对应的2026年01月至递交投标文件截止之日期间任意一月由投标人为其缴纳社保基金的证明材料；若为劳务派遣人员，均需同时提供一一对应的团队成员个人的劳动合同、投标人与人事代理（劳务外包）公司签订的人事代理（劳务外包）合同、2026年01月至递交投标文件截止之日期间任意一月人事代理（劳务外包）公司为团队成员缴纳</w:t>
            </w:r>
            <w:r>
              <w:rPr>
                <w:rFonts w:hint="eastAsia" w:ascii="宋体" w:hAnsi="宋体" w:cs="宋体"/>
                <w:spacing w:val="-3"/>
                <w:sz w:val="21"/>
                <w:szCs w:val="21"/>
                <w:lang w:val="zh-CN" w:bidi="zh-CN"/>
              </w:rPr>
              <w:t xml:space="preserve">社保证明</w:t>
            </w:r>
            <w:r>
              <w:rPr>
                <w:rFonts w:hint="eastAsia" w:ascii="宋体" w:hAnsi="宋体" w:cs="宋体"/>
                <w:spacing w:val="-3"/>
                <w:sz w:val="21"/>
                <w:szCs w:val="21"/>
                <w:lang w:val="zh-CN" w:bidi="zh-CN"/>
              </w:rPr>
              <w:t xml:space="preserve">材料。退休返聘人员不得分。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上述评分点证明资料不完整或不一致或不符合要求的不计分。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此评分点中抽样人员与检验人员不得重复，如有重复在符合人员要求的前提下优先按检验人员计算，不重复计算。</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7分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trHeight w:val="1148"/>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6</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快速响应服务时效</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供应商承诺在出现突发状况时2小时内予以响应，和采购人及时沟通情况，提出解决思路和初步措施的，得4分。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提供书面承诺函，格式自拟，并加盖CA公章。</w:t>
            </w:r>
            <w:r>
              <w:rPr>
                <w:rFonts w:hint="eastAsia" w:ascii="宋体" w:hAnsi="宋体" w:cs="宋体"/>
                <w:sz w:val="21"/>
                <w:szCs w:val="21"/>
                <w:lang w:val="zh-CN" w:bidi="zh-CN"/>
              </w:rPr>
              <w:t xml:space="preserve">未提供或不符合要求者不得分。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4分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7</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t xml:space="preserve">实验室检测设备配置情况</w:t>
            </w:r>
            <w:r/>
          </w:p>
        </w:tc>
        <w:tc>
          <w:tcPr>
            <w:tcBorders>
              <w:top w:val="single" w:color="000000" w:sz="4" w:space="0"/>
              <w:left w:val="single" w:color="000000" w:sz="4" w:space="0"/>
              <w:bottom w:val="single" w:color="000000" w:sz="4" w:space="0"/>
              <w:right w:val="single" w:color="000000" w:sz="4" w:space="0"/>
            </w:tcBorders>
            <w:tcW w:w="6238" w:type="dxa"/>
            <w:textDirection w:val="lrTb"/>
            <w:noWrap w:val="false"/>
          </w:tcPr>
          <w:p>
            <w:pPr>
              <w:spacing w:after="0" w:line="240" w:lineRule="auto"/>
              <w:widowControl w:val="off"/>
              <w:rPr>
                <w:rFonts w:hint="eastAsia" w:ascii="宋体" w:hAnsi="宋体" w:cs="宋体"/>
                <w:sz w:val="21"/>
                <w:szCs w:val="21"/>
                <w:lang w:bidi="zh-CN"/>
              </w:rPr>
            </w:pPr>
            <w:r/>
            <w:bookmarkStart w:id="116" w:name="OLE_LINK11"/>
            <w:r>
              <w:rPr>
                <w:rFonts w:hint="eastAsia" w:ascii="宋体" w:hAnsi="宋体" w:cs="宋体"/>
                <w:sz w:val="21"/>
                <w:szCs w:val="21"/>
                <w:lang w:bidi="zh-CN"/>
              </w:rPr>
              <w:t xml:space="preserve">供应商应承诺在服务期间投入的所有仪器设备在计量（校准）有效期内，覆盖所投采购</w:t>
            </w:r>
            <w:r>
              <w:rPr>
                <w:rFonts w:hint="eastAsia" w:ascii="宋体" w:hAnsi="宋体" w:cs="宋体"/>
                <w:sz w:val="21"/>
                <w:szCs w:val="21"/>
                <w:lang w:bidi="zh-CN"/>
              </w:rPr>
              <w:t xml:space="preserve">包风险</w:t>
            </w:r>
            <w:r>
              <w:rPr>
                <w:rFonts w:hint="eastAsia" w:ascii="宋体" w:hAnsi="宋体" w:cs="宋体"/>
                <w:sz w:val="21"/>
                <w:szCs w:val="21"/>
                <w:lang w:bidi="zh-CN"/>
              </w:rPr>
              <w:t xml:space="preserve">动态监测产品全部检验项目，精度适宜、数量充足，能够满足所投采购包产</w:t>
            </w:r>
            <w:r>
              <w:rPr>
                <w:rFonts w:hint="eastAsia" w:ascii="宋体" w:hAnsi="宋体" w:cs="宋体"/>
                <w:sz w:val="21"/>
                <w:szCs w:val="21"/>
                <w:lang w:bidi="zh-CN"/>
              </w:rPr>
              <w:t xml:space="preserve">品所有</w:t>
            </w:r>
            <w:r>
              <w:rPr>
                <w:rFonts w:hint="eastAsia" w:ascii="宋体" w:hAnsi="宋体" w:cs="宋体"/>
                <w:sz w:val="21"/>
                <w:szCs w:val="21"/>
                <w:lang w:bidi="zh-CN"/>
              </w:rPr>
              <w:t xml:space="preserve">检验项目的检测需要。</w:t>
            </w:r>
            <w:bookmarkEnd w:id="116"/>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z w:val="21"/>
                <w:szCs w:val="21"/>
                <w:lang w:bidi="zh-CN"/>
              </w:rPr>
              <w:t xml:space="preserve">需提供书面承诺函并加盖CA公章。未提供或不符合要求者不得分。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3</w:t>
            </w:r>
            <w:r>
              <w:rPr>
                <w:rFonts w:hint="eastAsia" w:ascii="宋体" w:hAnsi="宋体" w:cs="宋体"/>
                <w:spacing w:val="-6"/>
                <w:sz w:val="21"/>
                <w:szCs w:val="21"/>
                <w:lang w:val="zh-CN" w:bidi="zh-CN"/>
              </w:rPr>
              <w:t xml:space="preserve">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客</w:t>
            </w:r>
            <w:r>
              <w:rPr>
                <w:rFonts w:hint="eastAsia" w:ascii="宋体" w:hAnsi="宋体" w:cs="宋体"/>
                <w:spacing w:val="-6"/>
                <w:sz w:val="21"/>
                <w:szCs w:val="21"/>
                <w:lang w:val="zh-CN" w:bidi="zh-CN"/>
              </w:rPr>
              <w:t xml:space="preserve">观分</w:t>
            </w:r>
            <w:bookmarkEnd w:id="113"/>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8</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t xml:space="preserve">抽样、检验工作管理制度</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根据需求响应方案中供应商针对本项目拟定的抽样、检验工作管理制度予以评审，</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w:t>
            </w:r>
            <w:r>
              <w:rPr>
                <w:rFonts w:hint="eastAsia" w:ascii="宋体" w:hAnsi="宋体" w:cs="宋体"/>
                <w:spacing w:val="-3"/>
                <w:sz w:val="21"/>
                <w:szCs w:val="21"/>
                <w:lang w:val="zh-CN" w:bidi="zh-CN"/>
              </w:rPr>
              <w:t xml:space="preserve">欠缺需</w:t>
            </w:r>
            <w:r>
              <w:rPr>
                <w:rFonts w:hint="eastAsia" w:ascii="宋体" w:hAnsi="宋体" w:cs="宋体"/>
                <w:spacing w:val="-3"/>
                <w:sz w:val="21"/>
                <w:szCs w:val="21"/>
                <w:lang w:val="zh-CN" w:bidi="zh-CN"/>
              </w:rPr>
              <w:t xml:space="preserve">进一步修改完善的得2分；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6分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9</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t xml:space="preserve">样品管理、处置工作管理制度</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根据需求响应方案中供应商针对本项目拟定的样品管理、处置工作管理制度予以评审，</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w:t>
            </w:r>
            <w:r>
              <w:rPr>
                <w:rFonts w:hint="eastAsia" w:ascii="宋体" w:hAnsi="宋体" w:cs="宋体"/>
                <w:spacing w:val="-3"/>
                <w:sz w:val="21"/>
                <w:szCs w:val="21"/>
                <w:lang w:val="zh-CN" w:bidi="zh-CN"/>
              </w:rPr>
              <w:t xml:space="preserve">欠缺需</w:t>
            </w:r>
            <w:r>
              <w:rPr>
                <w:rFonts w:hint="eastAsia" w:ascii="宋体" w:hAnsi="宋体" w:cs="宋体"/>
                <w:spacing w:val="-3"/>
                <w:sz w:val="21"/>
                <w:szCs w:val="21"/>
                <w:lang w:val="zh-CN" w:bidi="zh-CN"/>
              </w:rPr>
              <w:t xml:space="preserve">进一步修改完善的得2分；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6分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10</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t xml:space="preserve">结果上报管理制度</w:t>
            </w:r>
            <w:r/>
          </w:p>
          <w:p>
            <w:pPr>
              <w:jc w:val="center"/>
              <w:spacing w:after="0" w:line="240" w:lineRule="auto"/>
              <w:widowControl w:val="off"/>
              <w:rPr>
                <w:rFonts w:hint="eastAsia" w:ascii="宋体" w:hAnsi="宋体" w:cs="宋体"/>
                <w:sz w:val="21"/>
                <w:szCs w:val="21"/>
                <w:lang w:val="zh-CN" w:bidi="zh-CN"/>
              </w:rPr>
              <w:outlineLvl w:val="1"/>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根据需求响应方案中供应商针对本项目拟定的结果上报管理制度予以评审，</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（1）优于需求得6分；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（2）满足需求得4分；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w:t>
            </w:r>
            <w:r>
              <w:rPr>
                <w:rFonts w:hint="eastAsia" w:ascii="宋体" w:hAnsi="宋体" w:cs="宋体"/>
                <w:spacing w:val="-3"/>
                <w:sz w:val="21"/>
                <w:szCs w:val="21"/>
                <w:lang w:val="zh-CN" w:bidi="zh-CN"/>
              </w:rPr>
              <w:t xml:space="preserve">欠缺需</w:t>
            </w:r>
            <w:r>
              <w:rPr>
                <w:rFonts w:hint="eastAsia" w:ascii="宋体" w:hAnsi="宋体" w:cs="宋体"/>
                <w:spacing w:val="-3"/>
                <w:sz w:val="21"/>
                <w:szCs w:val="21"/>
                <w:lang w:val="zh-CN" w:bidi="zh-CN"/>
              </w:rPr>
              <w:t xml:space="preserve">进一步修改完善的得2分；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6分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1939"/>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11</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产业行业了解情况</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根据需求响应方案中供应商针对监测产品相关产业行业分析</w:t>
            </w:r>
            <w:r>
              <w:rPr>
                <w:rFonts w:hint="eastAsia" w:ascii="宋体" w:hAnsi="宋体" w:cs="宋体"/>
                <w:spacing w:val="-3"/>
                <w:sz w:val="21"/>
                <w:szCs w:val="21"/>
                <w:lang w:bidi="zh-CN"/>
              </w:rPr>
              <w:t xml:space="preserve">情况予以评审，</w:t>
            </w:r>
            <w:r>
              <w:rPr>
                <w:rFonts w:hint="eastAsia" w:ascii="宋体" w:hAnsi="宋体" w:cs="宋体"/>
                <w:spacing w:val="-3"/>
                <w:sz w:val="21"/>
                <w:szCs w:val="21"/>
                <w:lang w:val="zh-CN" w:bidi="zh-CN"/>
              </w:rPr>
              <w:t xml:space="preserve">内容需包含产业分布状况、监测产品产业当前状态、专业市场现状、产品的质量现状、存在的风险点、应用前景和发展趋势</w:t>
            </w:r>
            <w:r>
              <w:rPr>
                <w:rFonts w:hint="eastAsia" w:ascii="宋体" w:hAnsi="宋体" w:cs="宋体"/>
                <w:spacing w:val="-3"/>
                <w:sz w:val="21"/>
                <w:szCs w:val="21"/>
                <w:lang w:bidi="zh-CN"/>
              </w:rPr>
              <w:t xml:space="preserve">等。</w:t>
            </w:r>
            <w:r/>
          </w:p>
          <w:p>
            <w:pPr>
              <w:ind w:left="425" w:hanging="425"/>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1</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优于需求得</w:t>
            </w:r>
            <w:r>
              <w:rPr>
                <w:rFonts w:hint="eastAsia" w:ascii="宋体" w:hAnsi="宋体" w:cs="宋体"/>
                <w:spacing w:val="-3"/>
                <w:sz w:val="21"/>
                <w:szCs w:val="21"/>
                <w:lang w:bidi="zh-CN"/>
              </w:rPr>
              <w:t xml:space="preserve">9</w:t>
            </w:r>
            <w:r>
              <w:rPr>
                <w:rFonts w:ascii="宋体" w:hAnsi="宋体" w:cs="宋体"/>
                <w:spacing w:val="-3"/>
                <w:sz w:val="21"/>
                <w:szCs w:val="21"/>
                <w:lang w:bidi="zh-CN"/>
              </w:rPr>
              <w:t xml:space="preserve">分；</w:t>
            </w:r>
            <w:r/>
          </w:p>
          <w:p>
            <w:pPr>
              <w:ind w:left="425" w:hanging="425"/>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2</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满足需求得</w:t>
            </w:r>
            <w:r>
              <w:rPr>
                <w:rFonts w:hint="eastAsia" w:ascii="宋体" w:hAnsi="宋体" w:cs="宋体"/>
                <w:spacing w:val="-3"/>
                <w:sz w:val="21"/>
                <w:szCs w:val="21"/>
                <w:lang w:bidi="zh-CN"/>
              </w:rPr>
              <w:t xml:space="preserve">6</w:t>
            </w:r>
            <w:r>
              <w:rPr>
                <w:rFonts w:ascii="宋体" w:hAnsi="宋体" w:cs="宋体"/>
                <w:spacing w:val="-3"/>
                <w:sz w:val="21"/>
                <w:szCs w:val="21"/>
                <w:lang w:bidi="zh-CN"/>
              </w:rPr>
              <w:t xml:space="preserve">分；</w:t>
            </w:r>
            <w:r/>
          </w:p>
          <w:p>
            <w:pPr>
              <w:ind w:left="425" w:hanging="425"/>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3</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内容有</w:t>
            </w:r>
            <w:r>
              <w:rPr>
                <w:rFonts w:ascii="宋体" w:hAnsi="宋体" w:cs="宋体"/>
                <w:spacing w:val="-3"/>
                <w:sz w:val="21"/>
                <w:szCs w:val="21"/>
                <w:lang w:bidi="zh-CN"/>
              </w:rPr>
              <w:t xml:space="preserve">欠缺需</w:t>
            </w:r>
            <w:r>
              <w:rPr>
                <w:rFonts w:ascii="宋体" w:hAnsi="宋体" w:cs="宋体"/>
                <w:spacing w:val="-3"/>
                <w:sz w:val="21"/>
                <w:szCs w:val="21"/>
                <w:lang w:bidi="zh-CN"/>
              </w:rPr>
              <w:t xml:space="preserve">进一步修改完善的得</w:t>
            </w: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分；</w:t>
            </w:r>
            <w:r/>
          </w:p>
          <w:p>
            <w:pPr>
              <w:ind w:left="425" w:hanging="425"/>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4</w:t>
            </w:r>
            <w:r>
              <w:rPr>
                <w:rFonts w:hint="eastAsia" w:ascii="宋体" w:hAnsi="宋体" w:cs="宋体"/>
                <w:spacing w:val="-3"/>
                <w:sz w:val="21"/>
                <w:szCs w:val="21"/>
                <w:lang w:bidi="zh-CN"/>
              </w:rPr>
              <w:t xml:space="preserve">）</w:t>
            </w:r>
            <w:r>
              <w:rPr>
                <w:rFonts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9分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12</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服务方案(前期准备工作)</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根据需求响应方案中供应商针对本次产品质量风险动态监测服务的前期准备工作予以评审，具体包括工作部署、抽样工作的详细内容及组织安排、样品购买、样品接收及核查方案等。</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w:t>
            </w:r>
            <w:r>
              <w:rPr>
                <w:rFonts w:ascii="宋体" w:hAnsi="宋体" w:cs="宋体"/>
                <w:spacing w:val="-3"/>
                <w:sz w:val="21"/>
                <w:szCs w:val="21"/>
                <w:lang w:bidi="zh-CN"/>
              </w:rPr>
              <w:t xml:space="preserve">优于需求得8分；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满足需求得5分；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内容有</w:t>
            </w:r>
            <w:r>
              <w:rPr>
                <w:rFonts w:ascii="宋体" w:hAnsi="宋体" w:cs="宋体"/>
                <w:spacing w:val="-3"/>
                <w:sz w:val="21"/>
                <w:szCs w:val="21"/>
                <w:lang w:bidi="zh-CN"/>
              </w:rPr>
              <w:t xml:space="preserve">欠缺需</w:t>
            </w:r>
            <w:r>
              <w:rPr>
                <w:rFonts w:ascii="宋体" w:hAnsi="宋体" w:cs="宋体"/>
                <w:spacing w:val="-3"/>
                <w:sz w:val="21"/>
                <w:szCs w:val="21"/>
                <w:lang w:bidi="zh-CN"/>
              </w:rPr>
              <w:t xml:space="preserve">进一步修改完善的得2分；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w:t>
            </w:r>
            <w:r>
              <w:rPr>
                <w:rFonts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8分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13</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服务方案(后期准备工作)</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根据需求响应方案中供应商针对本次产品质量风险动态监测服务的后期准备工作予以评审，</w:t>
            </w:r>
            <w:bookmarkStart w:id="117" w:name="OLE_LINK19"/>
            <w:r>
              <w:rPr>
                <w:rFonts w:ascii="宋体" w:hAnsi="宋体" w:cs="宋体"/>
                <w:spacing w:val="-3"/>
                <w:sz w:val="21"/>
                <w:szCs w:val="21"/>
                <w:lang w:bidi="zh-CN"/>
              </w:rPr>
              <w:t xml:space="preserve">具体包括检验工作安排、检验结果报送、样品处置及保密工作等方案</w:t>
            </w:r>
            <w:r>
              <w:rPr>
                <w:rFonts w:hint="eastAsia" w:ascii="宋体" w:hAnsi="宋体" w:cs="宋体"/>
                <w:spacing w:val="-3"/>
                <w:sz w:val="21"/>
                <w:szCs w:val="21"/>
                <w:lang w:bidi="zh-CN"/>
              </w:rPr>
              <w:t xml:space="preserve">。</w:t>
            </w:r>
            <w:bookmarkEnd w:id="117"/>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w:t>
            </w:r>
            <w:r>
              <w:rPr>
                <w:rFonts w:ascii="宋体" w:hAnsi="宋体" w:cs="宋体"/>
                <w:spacing w:val="-3"/>
                <w:sz w:val="21"/>
                <w:szCs w:val="21"/>
                <w:lang w:bidi="zh-CN"/>
              </w:rPr>
              <w:t xml:space="preserve">优于需求得8分；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满足需求得5分；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w:t>
            </w:r>
            <w:r>
              <w:rPr>
                <w:rFonts w:ascii="宋体" w:hAnsi="宋体" w:cs="宋体"/>
                <w:spacing w:val="-3"/>
                <w:sz w:val="21"/>
                <w:szCs w:val="21"/>
                <w:lang w:bidi="zh-CN"/>
              </w:rPr>
              <w:t xml:space="preserve">内容有</w:t>
            </w:r>
            <w:r>
              <w:rPr>
                <w:rFonts w:ascii="宋体" w:hAnsi="宋体" w:cs="宋体"/>
                <w:spacing w:val="-3"/>
                <w:sz w:val="21"/>
                <w:szCs w:val="21"/>
                <w:lang w:bidi="zh-CN"/>
              </w:rPr>
              <w:t xml:space="preserve">欠缺需</w:t>
            </w:r>
            <w:r>
              <w:rPr>
                <w:rFonts w:ascii="宋体" w:hAnsi="宋体" w:cs="宋体"/>
                <w:spacing w:val="-3"/>
                <w:sz w:val="21"/>
                <w:szCs w:val="21"/>
                <w:lang w:bidi="zh-CN"/>
              </w:rPr>
              <w:t xml:space="preserve">进一步修改完善的得2分；</w:t>
            </w:r>
            <w:r/>
          </w:p>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w:t>
            </w:r>
            <w:r>
              <w:rPr>
                <w:rFonts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8分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340"/>
          <w:tblHeade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14</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重点难点问题分析及解决方案</w:t>
            </w:r>
            <w:r/>
          </w:p>
        </w:tc>
        <w:tc>
          <w:tcPr>
            <w:tcBorders>
              <w:top w:val="single" w:color="000000" w:sz="4" w:space="0"/>
              <w:left w:val="single" w:color="000000" w:sz="4" w:space="0"/>
              <w:bottom w:val="single" w:color="000000" w:sz="4" w:space="0"/>
              <w:right w:val="single" w:color="000000" w:sz="4" w:space="0"/>
            </w:tcBorders>
            <w:tcW w:w="6238"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根据需求响应方案中供应商针对本次产品质量风险动态监测服务的重点难点问题分析及解决方案予以评审。</w:t>
            </w:r>
            <w:r/>
          </w:p>
          <w:p>
            <w:pPr>
              <w:jc w:val="both"/>
              <w:spacing w:after="0" w:line="240" w:lineRule="auto"/>
              <w:widowControl w:val="off"/>
              <w:tabs>
                <w:tab w:val="left" w:pos="720" w:leader="none"/>
              </w:tabs>
              <w:rPr>
                <w:rFonts w:hint="eastAsia" w:ascii="宋体" w:hAnsi="宋体" w:cs="宋体"/>
                <w:spacing w:val="-3"/>
                <w:sz w:val="21"/>
                <w:szCs w:val="21"/>
                <w:lang w:bidi="zh-CN"/>
              </w:rPr>
            </w:pPr>
            <w:r>
              <w:rPr>
                <w:rFonts w:hint="eastAsia" w:ascii="宋体" w:hAnsi="宋体" w:cs="宋体"/>
                <w:spacing w:val="-3"/>
                <w:sz w:val="21"/>
                <w:szCs w:val="21"/>
                <w:lang w:bidi="zh-CN"/>
              </w:rPr>
              <w:t xml:space="preserve">（1）优于需求得8分；</w:t>
            </w:r>
            <w:r/>
          </w:p>
          <w:p>
            <w:pPr>
              <w:jc w:val="both"/>
              <w:spacing w:after="0" w:line="240" w:lineRule="auto"/>
              <w:widowControl w:val="off"/>
              <w:tabs>
                <w:tab w:val="left" w:pos="720" w:leader="none"/>
              </w:tabs>
              <w:rPr>
                <w:rFonts w:hint="eastAsia" w:ascii="宋体" w:hAnsi="宋体" w:cs="宋体"/>
                <w:spacing w:val="-3"/>
                <w:sz w:val="21"/>
                <w:szCs w:val="21"/>
                <w:lang w:bidi="zh-CN"/>
              </w:rPr>
            </w:pPr>
            <w:r>
              <w:rPr>
                <w:rFonts w:hint="eastAsia" w:ascii="宋体" w:hAnsi="宋体" w:cs="宋体"/>
                <w:spacing w:val="-3"/>
                <w:sz w:val="21"/>
                <w:szCs w:val="21"/>
                <w:lang w:bidi="zh-CN"/>
              </w:rPr>
              <w:t xml:space="preserve">（2）满足需求得5分；</w:t>
            </w:r>
            <w:r/>
          </w:p>
          <w:p>
            <w:pPr>
              <w:jc w:val="both"/>
              <w:spacing w:after="0" w:line="240" w:lineRule="auto"/>
              <w:widowControl w:val="off"/>
              <w:tabs>
                <w:tab w:val="left" w:pos="720" w:leader="none"/>
              </w:tabs>
              <w:rPr>
                <w:rFonts w:hint="eastAsia" w:ascii="宋体" w:hAnsi="宋体" w:cs="宋体"/>
                <w:spacing w:val="-3"/>
                <w:sz w:val="21"/>
                <w:szCs w:val="21"/>
                <w:lang w:bidi="zh-CN"/>
              </w:rPr>
            </w:pPr>
            <w:r>
              <w:rPr>
                <w:rFonts w:hint="eastAsia" w:ascii="宋体" w:hAnsi="宋体" w:cs="宋体"/>
                <w:spacing w:val="-3"/>
                <w:sz w:val="21"/>
                <w:szCs w:val="21"/>
                <w:lang w:bidi="zh-CN"/>
              </w:rPr>
              <w:t xml:space="preserve">（3）内容有</w:t>
            </w:r>
            <w:r>
              <w:rPr>
                <w:rFonts w:hint="eastAsia" w:ascii="宋体" w:hAnsi="宋体" w:cs="宋体"/>
                <w:spacing w:val="-3"/>
                <w:sz w:val="21"/>
                <w:szCs w:val="21"/>
                <w:lang w:bidi="zh-CN"/>
              </w:rPr>
              <w:t xml:space="preserve">欠缺需</w:t>
            </w:r>
            <w:r>
              <w:rPr>
                <w:rFonts w:hint="eastAsia" w:ascii="宋体" w:hAnsi="宋体" w:cs="宋体"/>
                <w:spacing w:val="-3"/>
                <w:sz w:val="21"/>
                <w:szCs w:val="21"/>
                <w:lang w:bidi="zh-CN"/>
              </w:rPr>
              <w:t xml:space="preserve">进一步修改完善的得2分；</w:t>
            </w:r>
            <w:r/>
          </w:p>
          <w:p>
            <w:pPr>
              <w:jc w:val="both"/>
              <w:spacing w:after="0" w:line="240" w:lineRule="auto"/>
              <w:widowControl w:val="off"/>
              <w:tabs>
                <w:tab w:val="left" w:pos="720" w:leader="none"/>
              </w:tabs>
              <w:rPr>
                <w:rFonts w:hint="eastAsia" w:ascii="宋体" w:hAnsi="宋体" w:cs="宋体"/>
                <w:spacing w:val="-3"/>
                <w:sz w:val="21"/>
                <w:szCs w:val="21"/>
                <w:lang w:bidi="zh-CN"/>
              </w:rPr>
            </w:pPr>
            <w:r>
              <w:rPr>
                <w:rFonts w:hint="eastAsia" w:ascii="宋体" w:hAnsi="宋体" w:cs="宋体"/>
                <w:spacing w:val="-3"/>
                <w:sz w:val="21"/>
                <w:szCs w:val="21"/>
                <w:lang w:bidi="zh-CN"/>
              </w:rPr>
              <w:t xml:space="preserve">（4）其他或未提供不得分。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8分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r>
        <w:trPr>
          <w:trHeight w:val="90"/>
          <w:tblHeader/>
        </w:trPr>
        <w:tc>
          <w:tcPr>
            <w:tcBorders>
              <w:left w:val="single" w:color="000000" w:sz="4" w:space="0"/>
              <w:right w:val="single" w:color="000000" w:sz="4" w:space="0"/>
            </w:tcBorders>
            <w:tcW w:w="817" w:type="dxa"/>
            <w:vAlign w:val="center"/>
            <w:textDirection w:val="lrTb"/>
            <w:noWrap w:val="false"/>
          </w:tcPr>
          <w:p>
            <w:pPr>
              <w:jc w:val="center"/>
              <w:rPr>
                <w:rFonts w:hint="eastAsia" w:ascii="宋体" w:hAnsi="宋体" w:cs="宋体"/>
                <w:sz w:val="21"/>
                <w:szCs w:val="21"/>
                <w:lang w:bidi="zh-CN"/>
              </w:rPr>
            </w:pPr>
            <w:r>
              <w:rPr>
                <w:rFonts w:hint="eastAsia" w:ascii="宋体" w:hAnsi="宋体" w:cs="宋体"/>
                <w:sz w:val="21"/>
                <w:szCs w:val="21"/>
                <w:lang w:bidi="zh-CN"/>
              </w:rPr>
              <w:t xml:space="preserve">15</w:t>
            </w:r>
            <w:r/>
          </w:p>
        </w:tc>
        <w:tc>
          <w:tcPr>
            <w:tcBorders>
              <w:top w:val="single" w:color="000000" w:sz="4" w:space="0"/>
              <w:left w:val="single" w:color="000000" w:sz="4" w:space="0"/>
              <w:right w:val="single" w:color="000000" w:sz="4" w:space="0"/>
            </w:tcBorders>
            <w:tcW w:w="954"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突发事件应急处置预案</w:t>
            </w:r>
            <w:r/>
          </w:p>
        </w:tc>
        <w:tc>
          <w:tcPr>
            <w:tcBorders>
              <w:top w:val="single" w:color="000000" w:sz="4" w:space="0"/>
              <w:left w:val="single" w:color="000000" w:sz="4" w:space="0"/>
              <w:bottom w:val="single" w:color="000000" w:sz="4" w:space="0"/>
              <w:right w:val="single" w:color="000000" w:sz="4" w:space="0"/>
            </w:tcBorders>
            <w:tcW w:w="6238" w:type="dxa"/>
            <w:textDirection w:val="lrTb"/>
            <w:noWrap w:val="false"/>
          </w:tcPr>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根据供应商突发事件应急处置预案进行评分。突发事件应急处置预案</w:t>
            </w:r>
            <w:r>
              <w:rPr>
                <w:rFonts w:hint="eastAsia" w:ascii="宋体" w:hAnsi="宋体" w:cs="宋体"/>
                <w:sz w:val="21"/>
                <w:szCs w:val="21"/>
                <w:lang w:bidi="zh-CN"/>
              </w:rPr>
              <w:t xml:space="preserve">内容主要</w:t>
            </w:r>
            <w:r>
              <w:rPr>
                <w:rFonts w:hint="eastAsia" w:ascii="宋体" w:hAnsi="宋体" w:cs="宋体"/>
                <w:sz w:val="21"/>
                <w:szCs w:val="21"/>
                <w:lang w:val="zh-CN" w:bidi="zh-CN"/>
              </w:rPr>
              <w:t xml:space="preserve">包括抽检过程中可能遇到的各类突发情况，以及对应的应急解决处置措施。</w:t>
            </w:r>
            <w:r/>
          </w:p>
          <w:p>
            <w:pPr>
              <w:numPr>
                <w:ilvl w:val="0"/>
                <w:numId w:val="8"/>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优于需求得8分；</w:t>
            </w:r>
            <w:r/>
          </w:p>
          <w:p>
            <w:pPr>
              <w:numPr>
                <w:ilvl w:val="0"/>
                <w:numId w:val="8"/>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满足需求得5分；</w:t>
            </w:r>
            <w:r/>
          </w:p>
          <w:p>
            <w:pPr>
              <w:numPr>
                <w:ilvl w:val="0"/>
                <w:numId w:val="8"/>
              </w:num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内容有</w:t>
            </w:r>
            <w:r>
              <w:rPr>
                <w:rFonts w:hint="eastAsia" w:ascii="宋体" w:hAnsi="宋体" w:cs="宋体"/>
                <w:sz w:val="21"/>
                <w:szCs w:val="21"/>
                <w:lang w:val="zh-CN" w:bidi="zh-CN"/>
              </w:rPr>
              <w:t xml:space="preserve">欠缺需</w:t>
            </w:r>
            <w:r>
              <w:rPr>
                <w:rFonts w:hint="eastAsia" w:ascii="宋体" w:hAnsi="宋体" w:cs="宋体"/>
                <w:sz w:val="21"/>
                <w:szCs w:val="21"/>
                <w:lang w:val="zh-CN" w:bidi="zh-CN"/>
              </w:rPr>
              <w:t xml:space="preserve">进一步修改完善的得2分；</w:t>
            </w:r>
            <w:r/>
          </w:p>
          <w:p>
            <w:pPr>
              <w:spacing w:after="0" w:line="240" w:lineRule="auto"/>
              <w:widowControl w:val="off"/>
              <w:rPr>
                <w:rFonts w:hint="eastAsia" w:ascii="宋体" w:hAnsi="宋体" w:cs="宋体"/>
                <w:b/>
                <w:bCs/>
                <w:sz w:val="21"/>
                <w:szCs w:val="21"/>
                <w:lang w:val="zh-CN" w:bidi="zh-CN"/>
              </w:rPr>
            </w:pPr>
            <w:r>
              <w:rPr>
                <w:rFonts w:hint="eastAsia" w:ascii="宋体" w:hAnsi="宋体" w:cs="宋体"/>
                <w:sz w:val="21"/>
                <w:szCs w:val="21"/>
                <w:lang w:bidi="zh-CN"/>
              </w:rPr>
              <w:t xml:space="preserve">(4)</w:t>
            </w:r>
            <w:r>
              <w:rPr>
                <w:rFonts w:hint="eastAsia" w:ascii="宋体" w:hAnsi="宋体" w:cs="宋体"/>
                <w:sz w:val="21"/>
                <w:szCs w:val="21"/>
                <w:lang w:val="zh-CN" w:bidi="zh-CN"/>
              </w:rPr>
              <w:t xml:space="preserve">其他或未提供不得分。</w:t>
            </w:r>
            <w:r/>
          </w:p>
        </w:tc>
        <w:tc>
          <w:tcPr>
            <w:tcBorders>
              <w:top w:val="single" w:color="000000" w:sz="4" w:space="0"/>
              <w:left w:val="single" w:color="000000" w:sz="4" w:space="0"/>
              <w:right w:val="single" w:color="000000" w:sz="4" w:space="0"/>
            </w:tcBorders>
            <w:tcW w:w="888"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118" w:name="_Toc192946467"/>
            <w:r>
              <w:rPr>
                <w:rFonts w:hint="eastAsia" w:ascii="宋体" w:hAnsi="宋体" w:cs="宋体"/>
                <w:spacing w:val="-6"/>
                <w:sz w:val="21"/>
                <w:szCs w:val="21"/>
                <w:lang w:bidi="zh-CN"/>
              </w:rPr>
              <w:t xml:space="preserve">8</w:t>
            </w:r>
            <w:r>
              <w:rPr>
                <w:rFonts w:hint="eastAsia" w:ascii="宋体" w:hAnsi="宋体" w:cs="宋体"/>
                <w:spacing w:val="-6"/>
                <w:sz w:val="21"/>
                <w:szCs w:val="21"/>
                <w:lang w:val="zh-CN" w:bidi="zh-CN"/>
              </w:rPr>
              <w:t xml:space="preserve">分</w:t>
            </w:r>
            <w:bookmarkEnd w:id="118"/>
            <w:r/>
            <w:r/>
          </w:p>
        </w:tc>
        <w:tc>
          <w:tcPr>
            <w:tcBorders>
              <w:top w:val="single" w:color="000000" w:sz="4" w:space="0"/>
              <w:left w:val="single" w:color="000000" w:sz="4" w:space="0"/>
              <w:right w:val="single" w:color="000000" w:sz="4" w:space="0"/>
            </w:tcBorders>
            <w:tcW w:w="566"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rPr>
                <w:rFonts w:hint="eastAsia" w:ascii="宋体" w:hAnsi="宋体" w:cs="宋体"/>
                <w:spacing w:val="-6"/>
                <w:sz w:val="21"/>
                <w:szCs w:val="21"/>
                <w:lang w:bidi="zh-CN"/>
              </w:rPr>
              <w:t xml:space="preserve">主观分</w:t>
            </w:r>
            <w:r/>
          </w:p>
        </w:tc>
      </w:tr>
    </w:tbl>
    <w:p>
      <w:pPr>
        <w:spacing w:before="120" w:after="120" w:line="360" w:lineRule="auto"/>
        <w:widowControl w:val="off"/>
        <w:rPr>
          <w:rFonts w:ascii="Arial" w:hAnsi="Arial" w:cs="Arial"/>
          <w:sz w:val="24"/>
          <w:szCs w:val="24"/>
        </w:rPr>
      </w:pPr>
      <w:r>
        <w:rPr>
          <w:rFonts w:ascii="Arial" w:hAnsi="Arial" w:cs="Arial"/>
          <w:sz w:val="24"/>
          <w:szCs w:val="24"/>
        </w:rPr>
      </w:r>
      <w:r/>
    </w:p>
    <w:p>
      <w:pPr>
        <w:spacing w:before="120" w:after="120" w:line="360" w:lineRule="auto"/>
        <w:widowControl w:val="off"/>
        <w:rPr>
          <w:rFonts w:ascii="Arial" w:hAnsi="Arial" w:cs="Arial"/>
          <w:sz w:val="24"/>
          <w:szCs w:val="24"/>
        </w:rPr>
      </w:pPr>
      <w:r>
        <w:rPr>
          <w:rFonts w:ascii="Arial" w:hAnsi="Arial" w:cs="Arial"/>
          <w:sz w:val="24"/>
          <w:szCs w:val="24"/>
        </w:rPr>
        <w:br w:type="page" w:clear="all"/>
      </w:r>
      <w:r>
        <w:rPr>
          <w:rFonts w:hint="eastAsia" w:ascii="Arial" w:hAnsi="Arial" w:cs="Arial"/>
          <w:sz w:val="24"/>
          <w:szCs w:val="24"/>
        </w:rPr>
        <w:t xml:space="preserve">说明：</w:t>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1</w:t>
      </w:r>
      <w:r>
        <w:rPr>
          <w:rFonts w:hint="eastAsia" w:ascii="Arial" w:hAnsi="Arial" w:cs="Arial"/>
          <w:sz w:val="24"/>
          <w:szCs w:val="24"/>
        </w:rPr>
        <w:t xml:space="preserve">、小微型企业价格扣除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p>
    <w:p>
      <w:pPr>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p>
    <w:p>
      <w:pPr>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p>
    <w:p>
      <w:pPr>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w:t>
      </w:r>
      <w:r>
        <w:rPr>
          <w:rFonts w:hint="eastAsia" w:ascii="宋体" w:hAnsi="Arial"/>
          <w:sz w:val="24"/>
          <w:szCs w:val="24"/>
        </w:rPr>
        <w:t xml:space="preserve">品，在技术、服务等指标满足采购需求的前提下，实行优先采购。投标人须提供有效期内的中国节能产品认证证书复印件及“节能产品政府采购品目清单”中投标产品所在</w:t>
      </w:r>
      <w:r>
        <w:rPr>
          <w:rFonts w:hint="eastAsia" w:ascii="宋体" w:hAnsi="Arial"/>
          <w:sz w:val="24"/>
          <w:szCs w:val="24"/>
        </w:rPr>
        <w:t xml:space="preserve">清单页并加盖</w:t>
      </w:r>
      <w:r>
        <w:rPr>
          <w:rFonts w:hint="eastAsia" w:ascii="宋体" w:hAnsi="Arial"/>
          <w:sz w:val="24"/>
          <w:szCs w:val="24"/>
        </w:rPr>
        <w:t xml:space="preserve">投标人公章。节能产品政府采购品目清单在中国政府采购网（http：//www.ccgp.gov .</w:t>
      </w:r>
      <w:r>
        <w:rPr>
          <w:rFonts w:hint="eastAsia" w:ascii="宋体" w:hAnsi="Arial"/>
          <w:sz w:val="24"/>
          <w:szCs w:val="24"/>
        </w:rPr>
        <w:t xml:space="preserve">cn</w:t>
      </w:r>
      <w:r>
        <w:rPr>
          <w:rFonts w:hint="eastAsia" w:ascii="宋体" w:hAnsi="Arial"/>
          <w:sz w:val="24"/>
          <w:szCs w:val="24"/>
        </w:rPr>
        <w:t xml:space="preserve">/）上发布。</w:t>
      </w:r>
      <w:r/>
    </w:p>
    <w:p>
      <w:pPr>
        <w:ind w:firstLine="480"/>
        <w:spacing w:before="120" w:after="120" w:line="360" w:lineRule="auto"/>
        <w:widowControl w:val="off"/>
        <w:rPr>
          <w:rFonts w:ascii="宋体" w:hAnsi="Arial"/>
          <w:sz w:val="24"/>
          <w:szCs w:val="24"/>
        </w:rPr>
      </w:pPr>
      <w:r>
        <w:rPr>
          <w:rFonts w:hint="eastAsia" w:ascii="宋体" w:hAnsi="Arial"/>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sz w:val="24"/>
          <w:szCs w:val="24"/>
        </w:rPr>
        <w:t xml:space="preserve">清单页并加盖</w:t>
      </w:r>
      <w:r>
        <w:rPr>
          <w:rFonts w:hint="eastAsia" w:ascii="宋体" w:hAnsi="Arial"/>
          <w:sz w:val="24"/>
          <w:szCs w:val="24"/>
        </w:rPr>
        <w:t xml:space="preserve">投标人公章。环境标志产品政府采购品目清单在中国政府采购网（http://www.ccgp.gov.cn/）上发布。</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rPr>
          <w:rFonts w:ascii="Arial" w:hAnsi="Arial" w:cs="Arial"/>
          <w:sz w:val="24"/>
          <w:szCs w:val="24"/>
        </w:rPr>
      </w:pPr>
      <w:r>
        <w:rPr>
          <w:rFonts w:hint="eastAsia" w:ascii="宋体" w:hAnsi="Arial"/>
          <w:sz w:val="24"/>
          <w:szCs w:val="24"/>
        </w:rPr>
        <w:t xml:space="preserve">6、所有认证、证明或业绩均以有效的证明文件的复印件并加盖CA电子公章为依据，原件备查。</w:t>
      </w:r>
      <w:r/>
    </w:p>
    <w:p>
      <w:pPr>
        <w:ind w:firstLine="480"/>
        <w:spacing w:before="120" w:after="120" w:line="400" w:lineRule="exact"/>
        <w:widowControl w:val="off"/>
        <w:rPr>
          <w:rFonts w:ascii="宋体" w:hAnsi="Arial"/>
          <w:sz w:val="24"/>
          <w:szCs w:val="24"/>
        </w:rPr>
      </w:pPr>
      <w:r>
        <w:rPr>
          <w:rFonts w:ascii="宋体" w:hAnsi="Arial"/>
          <w:sz w:val="24"/>
          <w:szCs w:val="24"/>
        </w:rPr>
      </w:r>
      <w:r/>
    </w:p>
    <w:p>
      <w:pPr>
        <w:ind w:firstLine="480"/>
        <w:spacing w:before="120" w:after="120" w:line="400" w:lineRule="exact"/>
        <w:widowControl w:val="off"/>
        <w:rPr>
          <w:rFonts w:ascii="宋体" w:hAnsi="Arial"/>
          <w:sz w:val="24"/>
          <w:szCs w:val="24"/>
        </w:rPr>
      </w:pPr>
      <w:r>
        <w:rPr>
          <w:rFonts w:ascii="宋体" w:hAnsi="Arial"/>
          <w:sz w:val="24"/>
          <w:szCs w:val="24"/>
        </w:rPr>
      </w:r>
      <w:r/>
    </w:p>
    <w:p>
      <w:pPr>
        <w:ind w:firstLine="480"/>
        <w:spacing w:before="120" w:after="120" w:line="400" w:lineRule="exact"/>
        <w:widowControl w:val="off"/>
        <w:rPr>
          <w:rFonts w:ascii="宋体" w:hAnsi="Arial"/>
          <w:sz w:val="24"/>
          <w:szCs w:val="24"/>
        </w:rPr>
      </w:pPr>
      <w:r>
        <w:rPr>
          <w:rFonts w:ascii="宋体" w:hAnsi="Arial"/>
          <w:sz w:val="24"/>
          <w:szCs w:val="24"/>
        </w:rPr>
      </w:r>
      <w:r/>
    </w:p>
    <w:p>
      <w:pPr>
        <w:ind w:firstLine="480"/>
        <w:spacing w:before="120" w:after="120" w:line="400" w:lineRule="exact"/>
        <w:widowControl w:val="off"/>
        <w:rPr>
          <w:rFonts w:ascii="宋体" w:hAnsi="Arial"/>
          <w:sz w:val="24"/>
          <w:szCs w:val="24"/>
        </w:rPr>
      </w:pPr>
      <w:r>
        <w:rPr>
          <w:rFonts w:ascii="宋体" w:hAnsi="Arial"/>
          <w:sz w:val="24"/>
          <w:szCs w:val="24"/>
        </w:rPr>
      </w:r>
      <w:r/>
    </w:p>
    <w:p>
      <w:pPr>
        <w:pStyle w:val="743"/>
        <w:jc w:val="center"/>
        <w:keepLines w:val="0"/>
        <w:spacing w:before="0" w:line="240" w:lineRule="auto"/>
        <w:widowControl w:val="off"/>
        <w:rPr>
          <w:rFonts w:hint="eastAsia" w:ascii="黑体" w:hAnsi="楷体_GB2312" w:eastAsia="黑体"/>
          <w:b w:val="0"/>
          <w:bCs w:val="0"/>
          <w:color w:val="auto"/>
          <w:sz w:val="44"/>
          <w:szCs w:val="44"/>
        </w:rPr>
      </w:pPr>
      <w:r/>
      <w:bookmarkStart w:id="119" w:name="_Toc192946475"/>
      <w:r/>
      <w:bookmarkStart w:id="120" w:name="_Toc17291678"/>
      <w:r/>
      <w:bookmarkStart w:id="121" w:name="_Toc17291090"/>
      <w:r/>
      <w:bookmarkEnd w:id="93"/>
      <w:r/>
      <w:bookmarkEnd w:id="94"/>
      <w:r/>
      <w:bookmarkEnd w:id="95"/>
      <w:r>
        <w:rPr>
          <w:rFonts w:hint="eastAsia" w:ascii="黑体" w:hAnsi="楷体_GB2312" w:eastAsia="黑体"/>
          <w:b w:val="0"/>
          <w:bCs w:val="0"/>
          <w:color w:val="auto"/>
          <w:sz w:val="44"/>
          <w:szCs w:val="44"/>
        </w:rPr>
        <w:br w:type="page" w:clear="all"/>
      </w:r>
      <w:r>
        <w:rPr>
          <w:rFonts w:hint="eastAsia" w:ascii="黑体" w:hAnsi="楷体_GB2312" w:eastAsia="黑体"/>
          <w:b w:val="0"/>
          <w:bCs w:val="0"/>
          <w:color w:val="auto"/>
          <w:sz w:val="44"/>
          <w:szCs w:val="44"/>
        </w:rPr>
        <w:t xml:space="preserve">第六章  投标文件格式</w:t>
      </w:r>
      <w:bookmarkEnd w:id="119"/>
      <w:r/>
      <w:bookmarkEnd w:id="120"/>
      <w:r/>
      <w:bookmarkEnd w:id="121"/>
      <w:r>
        <w:rPr>
          <w:rFonts w:hint="eastAsia" w:ascii="黑体" w:hAnsi="楷体_GB2312" w:eastAsia="黑体"/>
          <w:b w:val="0"/>
          <w:bCs w:val="0"/>
          <w:color w:val="auto"/>
          <w:sz w:val="44"/>
          <w:szCs w:val="44"/>
        </w:rPr>
        <w:t xml:space="preserve"> </w:t>
      </w:r>
      <w:r/>
    </w:p>
    <w:p>
      <w:pPr>
        <w:jc w:val="center"/>
        <w:spacing w:after="0" w:line="240" w:lineRule="auto"/>
        <w:widowControl w:val="off"/>
        <w:rPr>
          <w:rFonts w:ascii="宋体"/>
          <w:b/>
          <w:sz w:val="72"/>
        </w:rPr>
      </w:pPr>
      <w:r/>
      <w:bookmarkStart w:id="122" w:name="_Hlt26671244"/>
      <w:r/>
      <w:bookmarkStart w:id="123" w:name="_Hlt26955039"/>
      <w:r/>
      <w:bookmarkEnd w:id="122"/>
      <w:r/>
      <w:bookmarkEnd w:id="123"/>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shd w:val="nil" w:color="auto"/>
        <w:rPr>
          <w:rFonts w:hint="eastAsia" w:ascii="黑体" w:hAnsi="黑体" w:eastAsia="黑体"/>
          <w:b/>
          <w:bCs/>
          <w:sz w:val="32"/>
          <w:szCs w:val="32"/>
        </w:rPr>
      </w:pPr>
      <w:r>
        <w:rPr>
          <w:rFonts w:hint="eastAsia" w:ascii="黑体" w:hAnsi="黑体" w:eastAsia="黑体"/>
          <w:b/>
          <w:bCs/>
          <w:sz w:val="32"/>
          <w:szCs w:val="32"/>
          <w:highlight w:val="none"/>
        </w:rPr>
        <w:br w:type="page" w:clear="all"/>
      </w:r>
      <w:r>
        <w:rPr>
          <w:rFonts w:hint="eastAsia" w:ascii="黑体" w:hAnsi="黑体" w:eastAsia="黑体"/>
          <w:b/>
          <w:bCs/>
          <w:sz w:val="32"/>
          <w:szCs w:val="32"/>
          <w:highlight w:val="none"/>
        </w:rPr>
      </w:r>
      <w:r/>
    </w:p>
    <w:p>
      <w:pPr>
        <w:jc w:val="center"/>
        <w:spacing w:after="0" w:line="240" w:lineRule="auto"/>
        <w:widowControl w:val="off"/>
        <w:rPr>
          <w:rFonts w:hint="eastAsia" w:ascii="黑体" w:hAnsi="黑体" w:eastAsia="黑体"/>
          <w:b/>
          <w:bCs/>
          <w:sz w:val="32"/>
          <w:szCs w:val="32"/>
          <w:highlight w:val="none"/>
        </w:rPr>
      </w:pPr>
      <w:r>
        <w:rPr>
          <w:rFonts w:hint="eastAsia" w:ascii="黑体" w:hAnsi="黑体" w:eastAsia="黑体"/>
          <w:b/>
          <w:bCs/>
          <w:sz w:val="32"/>
          <w:szCs w:val="32"/>
        </w:rPr>
        <w:t xml:space="preserve">投标文件主要目录</w:t>
      </w:r>
      <w:r/>
    </w:p>
    <w:p>
      <w:pPr>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ind w:firstLine="480"/>
        <w:jc w:val="both"/>
        <w:spacing w:after="0" w:line="560" w:lineRule="exact"/>
        <w:widowControl w:val="off"/>
        <w:rPr>
          <w:rFonts w:hint="eastAsia"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p>
    <w:p>
      <w:pPr>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p>
    <w:p>
      <w:pPr>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0"/>
        <w:gridCol w:w="4560"/>
        <w:gridCol w:w="3570"/>
      </w:tblGrid>
      <w:tr>
        <w:trPr>
          <w:trHeight w:val="460"/>
        </w:trPr>
        <w:tc>
          <w:tcPr>
            <w:tcW w:w="111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p>
        </w:tc>
        <w:tc>
          <w:tcPr>
            <w:tcW w:w="456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p>
        </w:tc>
        <w:tc>
          <w:tcPr>
            <w:tcW w:w="3570" w:type="dxa"/>
            <w:textDirection w:val="lrTb"/>
            <w:noWrap w:val="false"/>
          </w:tcPr>
          <w:p>
            <w:pPr>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p>
        </w:tc>
      </w:tr>
      <w:tr>
        <w:trPr>
          <w:trHeight w:val="446"/>
        </w:trPr>
        <w:tc>
          <w:tcPr>
            <w:tcW w:w="111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textDirection w:val="lrTb"/>
            <w:noWrap w:val="false"/>
          </w:tcPr>
          <w:p>
            <w:pPr>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auto" w:sz="4" w:space="0"/>
            </w:tcBorders>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bl>
    <w:p>
      <w:pPr>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p>
    <w:p>
      <w:pPr>
        <w:spacing w:after="0" w:line="240" w:lineRule="auto"/>
        <w:widowControl w:val="off"/>
        <w:rPr>
          <w:rFonts w:ascii="宋体"/>
          <w:sz w:val="21"/>
        </w:rPr>
      </w:pPr>
      <w:r>
        <w:rPr>
          <w:rFonts w:ascii="宋体"/>
          <w:sz w:val="21"/>
        </w:rPr>
      </w:r>
      <w:r/>
    </w:p>
    <w:p>
      <w:pPr>
        <w:jc w:val="center"/>
        <w:spacing w:after="0" w:line="240" w:lineRule="auto"/>
        <w:widowControl w:val="off"/>
        <w:rPr>
          <w:rFonts w:hint="eastAsia"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3"/>
        <w:gridCol w:w="6663"/>
        <w:gridCol w:w="1275"/>
        <w:gridCol w:w="1058"/>
      </w:tblGrid>
      <w:tr>
        <w:trPr>
          <w:trHeight w:val="921"/>
        </w:trPr>
        <w:tc>
          <w:tcPr>
            <w:tcW w:w="99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bookmarkStart w:id="124"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25" w:name="_Hlk108382233"/>
            <w:r>
              <w:rPr>
                <w:rFonts w:hint="eastAsia" w:ascii="宋体" w:hAnsi="宋体"/>
                <w:iCs/>
                <w:color w:val="000000"/>
                <w:sz w:val="24"/>
                <w:szCs w:val="24"/>
              </w:rPr>
              <w:t xml:space="preserve">仅需提供提交投标文件截止之日前的一个月的会计报表</w:t>
            </w:r>
            <w:bookmarkEnd w:id="125"/>
            <w:r>
              <w:rPr>
                <w:rFonts w:hint="eastAsia" w:ascii="宋体" w:hAnsi="宋体"/>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p>
        </w:tc>
        <w:tc>
          <w:tcPr>
            <w:tcW w:w="6663" w:type="dxa"/>
            <w:vAlign w:val="center"/>
            <w:textDirection w:val="lrTb"/>
            <w:noWrap w:val="false"/>
          </w:tcPr>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99"/>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spacing w:after="0" w:line="240" w:lineRule="auto"/>
              <w:widowControl w:val="off"/>
              <w:rPr>
                <w:rFonts w:hint="eastAsia" w:ascii="宋体" w:hAnsi="宋体" w:cs="Arial"/>
                <w:sz w:val="24"/>
                <w:szCs w:val="32"/>
                <w:highlight w:val="yellow"/>
              </w:rPr>
            </w:pPr>
            <w:r>
              <w:rPr>
                <w:rFonts w:hint="eastAsia" w:ascii="宋体" w:hAnsi="宋体" w:cs="Arial"/>
                <w:sz w:val="24"/>
                <w:szCs w:val="32"/>
              </w:rPr>
              <w:t xml:space="preserve">8</w:t>
            </w:r>
            <w:r/>
          </w:p>
        </w:tc>
        <w:tc>
          <w:tcPr>
            <w:tcW w:w="6663" w:type="dxa"/>
            <w:vAlign w:val="center"/>
            <w:textDirection w:val="lrTb"/>
            <w:noWrap w:val="false"/>
          </w:tcPr>
          <w:p>
            <w:pPr>
              <w:spacing w:line="560" w:lineRule="exact"/>
              <w:rPr>
                <w:rFonts w:hint="eastAsia" w:ascii="宋体" w:hAnsi="宋体"/>
                <w:color w:val="000000"/>
                <w:sz w:val="24"/>
                <w:szCs w:val="24"/>
                <w:highlight w:val="yellow"/>
              </w:rPr>
            </w:pPr>
            <w:r>
              <w:rPr>
                <w:rFonts w:hint="eastAsia" w:ascii="宋体" w:hAnsi="宋体"/>
                <w:color w:val="000000"/>
                <w:sz w:val="24"/>
                <w:szCs w:val="24"/>
              </w:rPr>
              <w:t xml:space="preserve">本项目的特定资格要求</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正值 CMA 换证期间的，应提供：</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①旧证复印件和技术机构向发证机关递交的换证申请相关页（应具有覆盖所投产品检验项目的检验能力并 对相应项目及标准做好明显标记）；</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的承诺书，承诺新证书和检测能力能在旧证有效期 届满前下达并持续有效，保证资质能达到本次工作要求。</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所投产品检验项目的检验能力正值新版标准资质申请期间的，应提供：</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①旧版标准资质认定附表相关页复印件；</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的承诺书，承诺新版标准检测能力的资质认定能在 检验任务实施前下达，保证资质能达到本次工作要求。</w:t>
            </w:r>
            <w:r/>
          </w:p>
          <w:p>
            <w:pPr>
              <w:spacing w:line="560" w:lineRule="exact"/>
              <w:rPr>
                <w:rFonts w:ascii="Calibri" w:hAnsi="Calibri"/>
                <w:highlight w:val="yellow"/>
              </w:rPr>
            </w:pPr>
            <w:r>
              <w:rPr>
                <w:rFonts w:hint="eastAsia" w:ascii="宋体" w:hAnsi="宋体"/>
                <w:color w:val="000000"/>
                <w:sz w:val="24"/>
                <w:szCs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rPr>
              <w:t xml:space="preserve">对相应项目、依据标准及检测方法做好明显标记</w:t>
            </w:r>
            <w:r>
              <w:rPr>
                <w:rFonts w:hint="eastAsia" w:ascii="宋体" w:hAnsi="宋体"/>
                <w:color w:val="000000"/>
                <w:sz w:val="24"/>
                <w:szCs w:val="24"/>
              </w:rPr>
              <w:t xml:space="preserve">。全部附表所对应的证书应为同一机构同一证书编号。备注：对不含检验检测方法的各类 产品标准、限值标准可作为判定依据，不作为本项 目的 CMA 资质条件要求。对需旧版标准资质的，应提供含</w:t>
            </w:r>
            <w:r>
              <w:rPr>
                <w:rFonts w:hint="eastAsia" w:ascii="宋体" w:hAnsi="宋体"/>
                <w:color w:val="000000"/>
                <w:sz w:val="24"/>
                <w:szCs w:val="24"/>
              </w:rPr>
              <w:t xml:space="preserve">有旧版标准</w:t>
            </w:r>
            <w:r>
              <w:rPr>
                <w:rFonts w:hint="eastAsia" w:ascii="宋体" w:hAnsi="宋体"/>
                <w:color w:val="000000"/>
                <w:sz w:val="24"/>
                <w:szCs w:val="24"/>
              </w:rPr>
              <w:t xml:space="preserve">资质的能力附表（若仅能提供旧版资质附表，可忽略附表编号与证书编号的一致性）。对需新版标准资质且机构正值新版标准资质申请期间的，应按上述要求提供旧版资质认定附表相关页和承诺书。 </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bookmarkStart w:id="126" w:name="_Hlk69969747"/>
            <w:r/>
            <w:bookmarkEnd w:id="124"/>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w:t>
            </w:r>
            <w:r>
              <w:rPr>
                <w:rFonts w:hint="eastAsia" w:ascii="宋体" w:hAnsi="宋体"/>
                <w:color w:val="ff0000"/>
                <w:sz w:val="24"/>
                <w:szCs w:val="24"/>
              </w:rPr>
              <w:t xml:space="preserve">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bookmarkStart w:id="127" w:name="OLE_LINK8"/>
            <w:r/>
            <w:bookmarkStart w:id="128" w:name="_Hlk123886068"/>
            <w:r>
              <w:rPr>
                <w:rFonts w:hint="eastAsia" w:ascii="宋体" w:hAnsi="宋体"/>
                <w:color w:val="000000"/>
                <w:sz w:val="24"/>
                <w:szCs w:val="24"/>
              </w:rPr>
              <w:t xml:space="preserve">不予分包转包</w:t>
            </w:r>
            <w:bookmarkEnd w:id="127"/>
            <w:r>
              <w:rPr>
                <w:rFonts w:hint="eastAsia" w:ascii="宋体" w:hAnsi="宋体"/>
                <w:color w:val="000000"/>
                <w:sz w:val="24"/>
                <w:szCs w:val="24"/>
              </w:rPr>
              <w:t xml:space="preserve">书面承诺函（格式自拟，内容需满足采购文件要求，原件并加盖CA电子公章）</w:t>
            </w:r>
            <w:bookmarkEnd w:id="128"/>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p>
        </w:tc>
        <w:tc>
          <w:tcPr>
            <w:tcW w:w="6663" w:type="dxa"/>
            <w:textDirection w:val="lrTb"/>
            <w:noWrap w:val="false"/>
          </w:tcPr>
          <w:p>
            <w:pPr>
              <w:spacing w:after="0" w:line="240" w:lineRule="auto"/>
              <w:rPr>
                <w:rFonts w:hint="eastAsia" w:ascii="宋体" w:hAnsi="宋体"/>
                <w:color w:val="000000"/>
                <w:sz w:val="24"/>
                <w:szCs w:val="24"/>
              </w:rPr>
            </w:pPr>
            <w:r>
              <w:rPr>
                <w:rFonts w:hint="eastAsia" w:ascii="宋体" w:hAnsi="宋体" w:cs="宋体"/>
                <w:sz w:val="24"/>
              </w:rPr>
              <w:t xml:space="preserve">保密要求</w:t>
            </w:r>
            <w:r>
              <w:rPr>
                <w:rFonts w:hint="eastAsia" w:ascii="宋体" w:hAnsi="宋体"/>
                <w:color w:val="000000"/>
                <w:sz w:val="24"/>
                <w:szCs w:val="24"/>
              </w:rPr>
              <w:t xml:space="preserve">书面承诺函（格式自拟，内容需满足采购文件要求，原件并加盖CA电子公章）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6</w:t>
            </w:r>
            <w:r/>
          </w:p>
        </w:tc>
        <w:tc>
          <w:tcPr>
            <w:tcW w:w="6663" w:type="dxa"/>
            <w:textDirection w:val="lrTb"/>
            <w:noWrap w:val="false"/>
          </w:tcPr>
          <w:p>
            <w:pPr>
              <w:spacing w:after="0" w:line="240" w:lineRule="auto"/>
              <w:rPr>
                <w:rFonts w:hint="eastAsia" w:ascii="宋体" w:hAnsi="宋体" w:cs="宋体"/>
                <w:sz w:val="24"/>
              </w:rPr>
            </w:pPr>
            <w:r>
              <w:rPr>
                <w:rFonts w:hint="eastAsia" w:ascii="宋体" w:hAnsi="宋体" w:cs="宋体"/>
                <w:sz w:val="24"/>
              </w:rPr>
              <w:t xml:space="preserve">成果归属要求书面承诺函（格式自拟，内容需满足采购文件要求，原件并加盖CA电子公章）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126"/>
            <w:r/>
            <w:r/>
          </w:p>
        </w:tc>
      </w:tr>
      <w:tr>
        <w:trPr>
          <w:trHeight w:val="40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w:t>
      </w:r>
      <w:r>
        <w:rPr>
          <w:rFonts w:hint="eastAsia" w:ascii="宋体" w:hAnsi="宋体"/>
          <w:b/>
          <w:sz w:val="28"/>
          <w:szCs w:val="28"/>
          <w:u w:val="single"/>
        </w:rPr>
        <w:t xml:space="preserve">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29" w:name="_Hlk69969156"/>
      <w:r>
        <w:rPr>
          <w:rFonts w:hint="eastAsia" w:ascii="宋体" w:hAnsi="宋体"/>
          <w:b/>
          <w:sz w:val="28"/>
          <w:szCs w:val="28"/>
          <w:u w:val="single"/>
        </w:rPr>
        <w:t xml:space="preserve">（自行添加内容）</w:t>
      </w:r>
      <w:bookmarkEnd w:id="129"/>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rPr>
          <w:rFonts w:ascii="Arial" w:hAnsi="Arial"/>
        </w:rPr>
      </w:pPr>
      <w:r>
        <w:rPr>
          <w:rFonts w:ascii="Arial" w:hAnsi="Arial"/>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30" w:name="_Hlk126856116"/>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bookmarkEnd w:id="130"/>
      <w:r/>
      <w:r/>
    </w:p>
    <w:p>
      <w:pPr>
        <w:shd w:val="nil" w:color="auto"/>
        <w:rPr>
          <w:rFonts w:hint="eastAsia" w:ascii="宋体" w:hAnsi="宋体"/>
          <w:b/>
          <w:bCs/>
          <w:sz w:val="28"/>
          <w:szCs w:val="28"/>
          <w:u w:val="single"/>
        </w:rPr>
      </w:pPr>
      <w:r>
        <w:rPr>
          <w:rFonts w:hint="eastAsia" w:ascii="宋体" w:hAnsi="宋体"/>
          <w:b/>
          <w:sz w:val="28"/>
          <w:szCs w:val="28"/>
          <w:highlight w:val="none"/>
          <w:u w:val="single"/>
        </w:rPr>
        <w:br w:type="page" w:clear="all"/>
      </w:r>
      <w:r>
        <w:rPr>
          <w:rFonts w:hint="eastAsia" w:ascii="宋体" w:hAnsi="宋体"/>
          <w:b/>
          <w:sz w:val="28"/>
          <w:szCs w:val="28"/>
          <w:highlight w:val="none"/>
          <w:u w:val="single"/>
        </w:rPr>
      </w:r>
      <w:r/>
    </w:p>
    <w:p>
      <w:pPr>
        <w:jc w:val="both"/>
        <w:spacing w:after="0" w:line="360" w:lineRule="auto"/>
        <w:widowControl w:val="off"/>
        <w:rPr>
          <w:rFonts w:hint="eastAsia" w:ascii="宋体" w:hAnsi="宋体"/>
          <w:b/>
          <w:bCs/>
          <w:sz w:val="28"/>
          <w:szCs w:val="28"/>
          <w:highlight w:val="none"/>
          <w:u w:val="single"/>
        </w:rPr>
      </w:pPr>
      <w:r>
        <w:rPr>
          <w:rFonts w:hint="eastAsia" w:ascii="宋体" w:hAnsi="宋体"/>
          <w:b/>
          <w:sz w:val="28"/>
          <w:szCs w:val="28"/>
          <w:u w:val="single"/>
        </w:rPr>
        <w:t xml:space="preserve">5、具备履行合同所必需的设备和专业技术能力的书面声明（格式如下，按要求填写，原件并加盖CA电子公章）</w:t>
      </w:r>
      <w:r/>
    </w:p>
    <w:p>
      <w:pPr>
        <w:jc w:val="both"/>
        <w:spacing w:before="50" w:after="50" w:line="240" w:lineRule="auto"/>
        <w:widowControl w:val="off"/>
        <w:rPr>
          <w:rFonts w:ascii="Calibri" w:hAnsi="Calibri"/>
          <w:b/>
          <w:sz w:val="30"/>
          <w:szCs w:val="30"/>
        </w:rPr>
      </w:pPr>
      <w:r>
        <w:rPr>
          <w:rFonts w:ascii="Calibri" w:hAnsi="Calibri"/>
          <w:b/>
          <w:sz w:val="30"/>
          <w:szCs w:val="30"/>
        </w:rPr>
      </w:r>
      <w:r/>
    </w:p>
    <w:p>
      <w:pPr>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p>
    <w:p>
      <w:pPr>
        <w:jc w:val="center"/>
        <w:rPr>
          <w:rFonts w:hint="eastAsia" w:ascii="黑体" w:hAnsi="黑体" w:eastAsia="黑体"/>
          <w:sz w:val="30"/>
          <w:szCs w:val="30"/>
        </w:rPr>
      </w:pPr>
      <w:r>
        <w:rPr>
          <w:rFonts w:hint="eastAsia" w:ascii="黑体" w:hAnsi="黑体" w:eastAsia="黑体"/>
          <w:sz w:val="30"/>
          <w:szCs w:val="30"/>
        </w:rPr>
        <w:t xml:space="preserve">声  明</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shd w:val="nil" w:color="auto"/>
        <w:rPr>
          <w:rFonts w:hint="eastAsia" w:ascii="宋体" w:hAnsi="宋体"/>
          <w:b/>
          <w:bCs/>
          <w:sz w:val="28"/>
          <w:szCs w:val="28"/>
          <w:u w:val="single"/>
        </w:rPr>
      </w:pPr>
      <w:r>
        <w:rPr>
          <w:rFonts w:hint="eastAsia" w:ascii="宋体" w:hAnsi="宋体"/>
          <w:b/>
          <w:sz w:val="28"/>
          <w:szCs w:val="28"/>
          <w:highlight w:val="none"/>
          <w:u w:val="single"/>
        </w:rPr>
        <w:br w:type="page" w:clear="all"/>
      </w:r>
      <w:r>
        <w:rPr>
          <w:rFonts w:hint="eastAsia" w:ascii="宋体" w:hAnsi="宋体"/>
          <w:b/>
          <w:sz w:val="28"/>
          <w:szCs w:val="28"/>
          <w:highlight w:val="none"/>
          <w:u w:val="single"/>
        </w:rPr>
      </w:r>
      <w:r/>
    </w:p>
    <w:p>
      <w:pPr>
        <w:jc w:val="both"/>
        <w:spacing w:after="0" w:line="360" w:lineRule="auto"/>
        <w:widowControl w:val="off"/>
        <w:rPr>
          <w:rFonts w:hint="eastAsia" w:ascii="宋体" w:hAnsi="宋体"/>
          <w:b/>
          <w:bCs/>
          <w:sz w:val="28"/>
          <w:szCs w:val="28"/>
          <w:highlight w:val="none"/>
          <w:u w:val="single"/>
        </w:rPr>
      </w:pP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、未被列入失信被执行人、重大税收违法案件当事人名单、政府采购严重违法失信行为记录名单的证明材料（可以不提供，由代理机构现场查询截图留存为准）</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column"/>
      </w:r>
      <w:r>
        <w:rPr>
          <w:rFonts w:ascii="宋体" w:hAnsi="宋体"/>
          <w:b/>
          <w:sz w:val="28"/>
          <w:szCs w:val="28"/>
          <w:u w:val="single"/>
        </w:rPr>
        <w:t xml:space="preserve">8</w:t>
      </w:r>
      <w:r>
        <w:rPr>
          <w:rFonts w:hint="eastAsia" w:ascii="宋体" w:hAnsi="宋体"/>
          <w:b/>
          <w:sz w:val="28"/>
          <w:szCs w:val="28"/>
          <w:u w:val="single"/>
        </w:rPr>
        <w:t xml:space="preserve">、特定资格要求</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正值 CMA 换证期间的，应提供：</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①旧证复印件和技术机构向发证机关递交的换证申请相关页（应具有覆盖所投产品检验项目的检验能力并 对相应项目及标准做好明显标记）；</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的承诺书，承诺新证书和检测能力能在旧证有效期 届满前下达并持续有效，保证资质能达到本次工作要求。</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所投产品检验项目的检验能力正值新版标准资质申请期间的，应提供：</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①旧版标准资质认定附表相关页复印件；</w:t>
      </w:r>
      <w:r/>
    </w:p>
    <w:p>
      <w:pPr>
        <w:spacing w:line="560" w:lineRule="exact"/>
        <w:rPr>
          <w:rFonts w:hint="eastAsia" w:ascii="宋体" w:hAnsi="宋体"/>
          <w:color w:val="000000"/>
          <w:sz w:val="24"/>
          <w:szCs w:val="24"/>
        </w:rPr>
      </w:pPr>
      <w:r>
        <w:rPr>
          <w:rFonts w:hint="eastAsia" w:ascii="宋体" w:hAnsi="宋体"/>
          <w:color w:val="000000"/>
          <w:sz w:val="24"/>
          <w:szCs w:val="24"/>
        </w:rPr>
        <w:t xml:space="preserve">②加盖法人单位和技术机构（如与法人单位不同）公章 的承诺书，承诺新版标准检测能力的资质认定能在 检验任务实施前下达，保证资质能达到本次工作要求。</w:t>
      </w:r>
      <w:r/>
    </w:p>
    <w:p>
      <w:pPr>
        <w:spacing w:line="560" w:lineRule="exact"/>
        <w:rPr>
          <w:rFonts w:hint="eastAsia" w:ascii="宋体" w:hAnsi="宋体"/>
          <w:color w:val="000000"/>
          <w:sz w:val="24"/>
          <w:szCs w:val="24"/>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rPr>
        <w:t xml:space="preserve">对相应项目、依据标准及检测方法做好明显标记</w:t>
      </w:r>
      <w:r>
        <w:rPr>
          <w:rFonts w:hint="eastAsia" w:ascii="宋体" w:hAnsi="宋体"/>
          <w:color w:val="000000"/>
          <w:sz w:val="24"/>
          <w:szCs w:val="24"/>
        </w:rPr>
        <w:t xml:space="preserve">。全部附表所对应的证书应为同一机构同一证书编号。备注：对不含检验检测方法的各类 产品标准、限值标准可作为判定依据，不作为本项 目的 CMA 资质条件要求。对需旧版标准资质的，应提供含</w:t>
      </w:r>
      <w:r>
        <w:rPr>
          <w:rFonts w:hint="eastAsia" w:ascii="宋体" w:hAnsi="宋体"/>
          <w:color w:val="000000"/>
          <w:sz w:val="24"/>
          <w:szCs w:val="24"/>
        </w:rPr>
        <w:t xml:space="preserve">有旧版标准</w:t>
      </w:r>
      <w:r>
        <w:rPr>
          <w:rFonts w:hint="eastAsia" w:ascii="宋体" w:hAnsi="宋体"/>
          <w:color w:val="000000"/>
          <w:sz w:val="24"/>
          <w:szCs w:val="24"/>
        </w:rPr>
        <w:t xml:space="preserve">资质的能力附表（若仅能提供旧版资质附表，可忽略附表编号与证书编号的一致性）。对需新版标准资质且机构正值新版标准资质申请期间的，应按上述要求提供旧版资质认定附表相关页和承诺书。</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rPr>
          <w:rFonts w:hint="eastAsia" w:ascii="宋体" w:hAnsi="宋体"/>
          <w:b/>
          <w:color w:val="000000"/>
          <w:sz w:val="28"/>
          <w:szCs w:val="28"/>
        </w:rPr>
      </w:pPr>
      <w:r>
        <w:rPr>
          <w:rFonts w:ascii="宋体" w:hAnsi="宋体"/>
          <w:b/>
          <w:sz w:val="28"/>
          <w:szCs w:val="28"/>
        </w:rPr>
        <w:br w:type="page" w:clear="all"/>
      </w:r>
      <w:r>
        <w:rPr>
          <w:rFonts w:ascii="宋体" w:hAnsi="宋体"/>
          <w:b/>
          <w:sz w:val="28"/>
          <w:szCs w:val="28"/>
        </w:rPr>
        <w:t xml:space="preserve">9</w:t>
      </w:r>
      <w:r>
        <w:rPr>
          <w:rFonts w:hint="eastAsia" w:ascii="宋体" w:hAnsi="宋体"/>
          <w:b/>
          <w:sz w:val="28"/>
          <w:szCs w:val="28"/>
        </w:rPr>
        <w:t xml:space="preserve">、</w:t>
      </w:r>
      <w:bookmarkStart w:id="131" w:name="_Hlk107592330"/>
      <w:r>
        <w:rPr>
          <w:rFonts w:hint="eastAsia" w:ascii="宋体" w:hAnsi="宋体"/>
          <w:b/>
          <w:color w:val="000000"/>
          <w:sz w:val="28"/>
          <w:szCs w:val="28"/>
        </w:rPr>
        <w:t xml:space="preserve">其他资格要求承诺函（格式如下，不得随意更改，加盖公章）</w:t>
      </w:r>
      <w:r/>
    </w:p>
    <w:p>
      <w:pPr>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bookmarkEnd w:id="131"/>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240" w:lineRule="auto"/>
        <w:widowControl w:val="off"/>
        <w:rPr>
          <w:rFonts w:ascii="宋体"/>
          <w:sz w:val="21"/>
        </w:rPr>
      </w:pPr>
      <w:r>
        <w:rPr>
          <w:rFonts w:ascii="宋体"/>
          <w:sz w:val="21"/>
        </w:rPr>
      </w:r>
      <w:r/>
    </w:p>
    <w:p>
      <w:pPr>
        <w:jc w:val="both"/>
        <w:spacing w:after="0" w:line="240" w:lineRule="auto"/>
        <w:widowControl w:val="off"/>
        <w:rPr>
          <w:rFonts w:ascii="宋体"/>
          <w:sz w:val="21"/>
        </w:rPr>
      </w:pPr>
      <w:r>
        <w:rPr>
          <w:rFonts w:ascii="宋体"/>
          <w:sz w:val="21"/>
        </w:rPr>
      </w:r>
      <w:r/>
    </w:p>
    <w:p>
      <w:pPr>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p>
    <w:p>
      <w:pPr>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p>
    <w:p>
      <w:pPr>
        <w:jc w:val="center"/>
        <w:spacing w:after="0" w:line="360" w:lineRule="auto"/>
        <w:widowControl w:val="off"/>
        <w:rPr>
          <w:b/>
          <w:sz w:val="30"/>
          <w:szCs w:val="30"/>
        </w:rPr>
      </w:pPr>
      <w:r>
        <w:rPr>
          <w:rFonts w:hint="eastAsia"/>
          <w:b/>
          <w:sz w:val="30"/>
          <w:szCs w:val="30"/>
        </w:rPr>
        <w:t xml:space="preserve">法人授权书</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p>
    <w:p>
      <w:pPr>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sz w:val="24"/>
          <w:szCs w:val="24"/>
          <w:u w:val="single"/>
        </w:rPr>
      </w:pPr>
      <w:r>
        <w:rPr>
          <w:sz w:val="24"/>
          <w:szCs w:val="24"/>
          <w:u w:val="single"/>
        </w:rPr>
      </w:r>
      <w:r/>
    </w:p>
    <w:p>
      <w:pPr>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w:t>
      </w:r>
      <w:r>
        <w:rPr>
          <w:rFonts w:hint="eastAsia"/>
          <w:b/>
          <w:bCs/>
          <w:sz w:val="24"/>
          <w:szCs w:val="24"/>
          <w:u w:val="single"/>
        </w:rPr>
        <w:t xml:space="preserve">CA</w:t>
      </w:r>
      <w:r>
        <w:rPr>
          <w:rFonts w:hint="eastAsia"/>
          <w:b/>
          <w:bCs/>
          <w:sz w:val="24"/>
          <w:szCs w:val="24"/>
          <w:u w:val="single"/>
        </w:rPr>
        <w:t xml:space="preserve">电子公章）：</w:t>
      </w:r>
      <w:r>
        <w:rPr>
          <w:rFonts w:hint="eastAsia"/>
          <w:sz w:val="24"/>
          <w:szCs w:val="24"/>
        </w:rPr>
        <w:t xml:space="preserve">_________________________________</w:t>
      </w:r>
      <w:r/>
    </w:p>
    <w:p>
      <w:pPr>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p>
    <w:p>
      <w:pPr>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32" w:name="_Hlt26671380"/>
      <w:r/>
      <w:bookmarkStart w:id="133" w:name="_Hlt26955070"/>
      <w:r/>
      <w:bookmarkStart w:id="134" w:name="_格式3__银行出具的资信证明"/>
      <w:r/>
      <w:bookmarkEnd w:id="132"/>
      <w:r/>
      <w:bookmarkEnd w:id="133"/>
      <w:r/>
      <w:bookmarkEnd w:id="134"/>
      <w:r>
        <w:rPr>
          <w:rFonts w:hint="eastAsia"/>
          <w:sz w:val="24"/>
          <w:szCs w:val="24"/>
          <w:u w:val="single"/>
        </w:rPr>
        <w:t xml:space="preserve">                                         </w:t>
      </w:r>
      <w:r/>
    </w:p>
    <w:p>
      <w:pPr>
        <w:ind w:firstLine="420"/>
        <w:jc w:val="both"/>
        <w:spacing w:after="0" w:line="240" w:lineRule="auto"/>
        <w:widowControl w:val="off"/>
        <w:rPr>
          <w:iCs/>
          <w:sz w:val="24"/>
          <w:szCs w:val="24"/>
          <w:u w:val="single"/>
        </w:rPr>
      </w:pPr>
      <w:r>
        <w:rPr>
          <w:iCs/>
          <w:sz w:val="24"/>
          <w:szCs w:val="24"/>
          <w:u w:val="single"/>
        </w:rPr>
      </w:r>
      <w:r/>
    </w:p>
    <w:p>
      <w:pPr>
        <w:ind w:firstLine="420"/>
        <w:jc w:val="both"/>
        <w:spacing w:after="0" w:line="240" w:lineRule="auto"/>
        <w:widowControl w:val="off"/>
        <w:rPr>
          <w:iCs/>
          <w:sz w:val="21"/>
        </w:rPr>
      </w:pPr>
      <w:r>
        <w:rPr>
          <w:iCs/>
          <w:sz w:val="21"/>
        </w:rPr>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w:t>
      </w:r>
      <w:r>
        <w:rPr>
          <w:rFonts w:hint="eastAsia"/>
          <w:color w:val="000000"/>
          <w:sz w:val="32"/>
          <w:szCs w:val="32"/>
        </w:rPr>
        <w:t xml:space="preserve">被授权人身份证复印件（扫描上传</w:t>
      </w:r>
      <w:bookmarkStart w:id="135" w:name="_Hlk219361877"/>
      <w:r>
        <w:rPr>
          <w:rFonts w:hint="eastAsia"/>
          <w:color w:val="000000"/>
          <w:sz w:val="32"/>
          <w:szCs w:val="32"/>
        </w:rPr>
        <w:t xml:space="preserve">、</w:t>
      </w:r>
      <w:r>
        <w:rPr>
          <w:rFonts w:hint="eastAsia"/>
          <w:color w:val="000000"/>
          <w:sz w:val="32"/>
          <w:szCs w:val="32"/>
        </w:rPr>
        <w:t xml:space="preserve">CA</w:t>
      </w:r>
      <w:r>
        <w:rPr>
          <w:rFonts w:hint="eastAsia"/>
          <w:color w:val="000000"/>
          <w:sz w:val="32"/>
          <w:szCs w:val="32"/>
        </w:rPr>
        <w:t xml:space="preserve">电子公章</w:t>
      </w:r>
      <w:bookmarkEnd w:id="135"/>
      <w:r>
        <w:rPr>
          <w:rFonts w:hint="eastAsia"/>
          <w:color w:val="000000"/>
          <w:sz w:val="32"/>
          <w:szCs w:val="32"/>
        </w:rPr>
        <w:t xml:space="preserve">）：</w:t>
      </w:r>
      <w:r/>
    </w:p>
    <w:p>
      <w:pPr>
        <w:ind w:firstLine="420"/>
        <w:rPr>
          <w:color w:val="000000"/>
          <w:sz w:val="32"/>
          <w:szCs w:val="32"/>
        </w:rPr>
      </w:pPr>
      <w:r>
        <w:rPr>
          <w:color w:val="000000"/>
          <w:sz w:val="32"/>
          <w:szCs w:val="32"/>
        </w:rPr>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w:t>
      </w:r>
      <w:r>
        <w:rPr>
          <w:rFonts w:hint="eastAsia"/>
          <w:bCs/>
          <w:color w:val="000000"/>
          <w:sz w:val="32"/>
          <w:szCs w:val="32"/>
        </w:rPr>
        <w:t xml:space="preserve">近三个月内任意一个月由授权单位为被授权人缴纳社保的证明材料</w:t>
      </w:r>
      <w:r>
        <w:rPr>
          <w:rFonts w:hint="eastAsia"/>
          <w:color w:val="000000"/>
          <w:sz w:val="32"/>
          <w:szCs w:val="32"/>
        </w:rPr>
        <w:t xml:space="preserve">（扫描上传、</w:t>
      </w:r>
      <w:r>
        <w:rPr>
          <w:rFonts w:hint="eastAsia"/>
          <w:color w:val="000000"/>
          <w:sz w:val="32"/>
          <w:szCs w:val="32"/>
        </w:rPr>
        <w:t xml:space="preserve">CA</w:t>
      </w:r>
      <w:r>
        <w:rPr>
          <w:rFonts w:hint="eastAsia"/>
          <w:color w:val="000000"/>
          <w:sz w:val="32"/>
          <w:szCs w:val="32"/>
        </w:rPr>
        <w:t xml:space="preserve">电子公章）</w:t>
      </w:r>
      <w:r>
        <w:rPr>
          <w:rFonts w:hint="eastAsia"/>
          <w:bCs/>
          <w:color w:val="000000"/>
          <w:sz w:val="32"/>
          <w:szCs w:val="32"/>
        </w:rPr>
        <w:t xml:space="preserve">：</w:t>
      </w:r>
      <w:r/>
    </w:p>
    <w:p>
      <w:pPr>
        <w:ind w:firstLine="420"/>
        <w:jc w:val="both"/>
        <w:spacing w:after="0" w:line="240" w:lineRule="auto"/>
        <w:widowControl w:val="off"/>
        <w:rPr>
          <w:b/>
          <w:sz w:val="32"/>
          <w:szCs w:val="32"/>
        </w:rPr>
      </w:pPr>
      <w:r>
        <w:rPr>
          <w:b/>
          <w:sz w:val="32"/>
          <w:szCs w:val="32"/>
        </w:rPr>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jc w:val="center"/>
        <w:spacing w:after="0" w:line="240" w:lineRule="auto"/>
        <w:widowControl w:val="off"/>
        <w:rPr>
          <w:b/>
          <w:sz w:val="32"/>
          <w:szCs w:val="32"/>
        </w:rPr>
      </w:pPr>
      <w:r>
        <w:rPr>
          <w:rFonts w:hint="eastAsia"/>
          <w:b/>
          <w:sz w:val="32"/>
          <w:szCs w:val="32"/>
        </w:rPr>
        <w:t xml:space="preserve">投标函格式</w:t>
      </w:r>
      <w:r/>
    </w:p>
    <w:p>
      <w:pPr>
        <w:spacing w:after="0" w:line="420" w:lineRule="exact"/>
        <w:widowControl w:val="off"/>
        <w:rPr>
          <w:rFonts w:ascii="宋体" w:hAnsi="Arial"/>
          <w:sz w:val="24"/>
        </w:rPr>
      </w:pPr>
      <w:r>
        <w:rPr>
          <w:rFonts w:hint="eastAsia" w:ascii="宋体" w:hAnsi="Arial"/>
          <w:sz w:val="24"/>
        </w:rPr>
        <w:t xml:space="preserve">致：南京小旸树招标代理有限公司</w:t>
      </w:r>
      <w:r/>
    </w:p>
    <w:p>
      <w:pPr>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sz w:val="24"/>
        </w:rPr>
      </w:pPr>
      <w:r>
        <w:rPr>
          <w:rFonts w:hint="eastAsia" w:ascii="宋体" w:hAnsi="Arial"/>
          <w:sz w:val="24"/>
        </w:rPr>
        <w:t xml:space="preserve">据此函，__________（被授权人）</w:t>
      </w:r>
      <w:r>
        <w:rPr>
          <w:rFonts w:hint="eastAsia" w:ascii="宋体" w:hAnsi="Arial"/>
          <w:sz w:val="24"/>
        </w:rPr>
        <w:t xml:space="preserve">兹宣布</w:t>
      </w:r>
      <w:r>
        <w:rPr>
          <w:rFonts w:hint="eastAsia" w:ascii="宋体" w:hAnsi="Arial"/>
          <w:sz w:val="24"/>
        </w:rPr>
        <w:t xml:space="preserve">同意如下：</w:t>
      </w:r>
      <w:r/>
    </w:p>
    <w:p>
      <w:pPr>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p>
    <w:p>
      <w:pPr>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p>
    <w:p>
      <w:pPr>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p>
    <w:p>
      <w:pPr>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p>
    <w:p>
      <w:pPr>
        <w:ind w:left="440" w:firstLine="480"/>
        <w:spacing w:after="0" w:line="420" w:lineRule="exact"/>
        <w:widowControl w:val="off"/>
        <w:rPr>
          <w:rFonts w:ascii="宋体" w:hAnsi="Arial"/>
          <w:sz w:val="24"/>
        </w:rPr>
      </w:pPr>
      <w:r>
        <w:rPr>
          <w:rFonts w:hint="eastAsia" w:ascii="宋体" w:hAnsi="Arial"/>
          <w:sz w:val="24"/>
        </w:rPr>
        <w:t xml:space="preserve">地          址：</w:t>
      </w:r>
      <w:r/>
    </w:p>
    <w:p>
      <w:pPr>
        <w:ind w:left="440" w:firstLine="480"/>
        <w:spacing w:after="0" w:line="420" w:lineRule="exact"/>
        <w:widowControl w:val="off"/>
        <w:rPr>
          <w:rFonts w:ascii="宋体" w:hAnsi="Arial"/>
          <w:sz w:val="24"/>
        </w:rPr>
      </w:pPr>
      <w:r>
        <w:rPr>
          <w:rFonts w:hint="eastAsia" w:ascii="宋体" w:hAnsi="Arial"/>
          <w:sz w:val="24"/>
        </w:rPr>
        <w:t xml:space="preserve">邮</w:t>
      </w:r>
      <w:r>
        <w:rPr>
          <w:rFonts w:hint="eastAsia" w:ascii="宋体" w:hAnsi="Arial"/>
          <w:sz w:val="24"/>
        </w:rPr>
        <w:t xml:space="preserve">          编：</w:t>
      </w:r>
      <w:r/>
    </w:p>
    <w:p>
      <w:pPr>
        <w:ind w:left="440" w:firstLine="480"/>
        <w:spacing w:after="0" w:line="420" w:lineRule="exact"/>
        <w:widowControl w:val="off"/>
        <w:rPr>
          <w:rFonts w:ascii="宋体" w:hAnsi="Arial"/>
          <w:sz w:val="24"/>
        </w:rPr>
      </w:pPr>
      <w:r>
        <w:rPr>
          <w:rFonts w:hint="eastAsia" w:ascii="宋体" w:hAnsi="Arial"/>
          <w:sz w:val="24"/>
        </w:rPr>
        <w:t xml:space="preserve">电          话：</w:t>
      </w:r>
      <w:r/>
    </w:p>
    <w:p>
      <w:pPr>
        <w:ind w:left="440" w:firstLine="480"/>
        <w:spacing w:after="0" w:line="420" w:lineRule="exact"/>
        <w:widowControl w:val="off"/>
        <w:rPr>
          <w:rFonts w:ascii="宋体" w:hAnsi="Arial"/>
          <w:sz w:val="24"/>
        </w:rPr>
      </w:pPr>
      <w:r>
        <w:rPr>
          <w:rFonts w:hint="eastAsia" w:ascii="宋体" w:hAnsi="Arial"/>
          <w:sz w:val="24"/>
        </w:rPr>
        <w:t xml:space="preserve">传          真：</w:t>
      </w:r>
      <w:r/>
    </w:p>
    <w:p>
      <w:pPr>
        <w:ind w:left="440" w:firstLine="480"/>
        <w:spacing w:after="0" w:line="420" w:lineRule="exact"/>
        <w:widowControl w:val="off"/>
        <w:rPr>
          <w:rFonts w:ascii="宋体" w:hAnsi="Arial"/>
          <w:sz w:val="24"/>
        </w:rPr>
      </w:pPr>
      <w:r>
        <w:rPr>
          <w:rFonts w:hint="eastAsia" w:ascii="宋体" w:hAnsi="Arial"/>
          <w:sz w:val="24"/>
        </w:rPr>
        <w:t xml:space="preserve">投标人开户行：</w:t>
      </w:r>
      <w:r/>
    </w:p>
    <w:p>
      <w:pPr>
        <w:ind w:left="440" w:firstLine="480"/>
        <w:spacing w:after="0" w:line="420" w:lineRule="exact"/>
        <w:widowControl w:val="off"/>
        <w:rPr>
          <w:rFonts w:ascii="宋体" w:hAnsi="Arial"/>
          <w:sz w:val="24"/>
        </w:rPr>
      </w:pPr>
      <w:r>
        <w:rPr>
          <w:rFonts w:hint="eastAsia" w:ascii="宋体" w:hAnsi="Arial"/>
          <w:sz w:val="24"/>
        </w:rPr>
        <w:t xml:space="preserve">账</w:t>
      </w:r>
      <w:r>
        <w:rPr>
          <w:rFonts w:hint="eastAsia" w:ascii="宋体" w:hAnsi="Arial"/>
          <w:sz w:val="24"/>
        </w:rPr>
        <w:t xml:space="preserve">          户： </w:t>
      </w:r>
      <w:r/>
    </w:p>
    <w:p>
      <w:pPr>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p>
    <w:p>
      <w:pPr>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p>
    <w:p>
      <w:pPr>
        <w:jc w:val="both"/>
        <w:spacing w:after="0" w:line="460" w:lineRule="exact"/>
        <w:widowControl w:val="off"/>
        <w:rPr>
          <w:rFonts w:ascii="宋体"/>
          <w:bCs/>
          <w:sz w:val="24"/>
        </w:rPr>
      </w:pPr>
      <w:r>
        <w:rPr>
          <w:rFonts w:ascii="宋体"/>
          <w:bCs/>
          <w:sz w:val="24"/>
        </w:rPr>
      </w:r>
      <w:r/>
    </w:p>
    <w:p>
      <w:pPr>
        <w:jc w:val="center"/>
        <w:spacing w:after="0" w:line="240" w:lineRule="auto"/>
        <w:widowControl w:val="off"/>
        <w:rPr>
          <w:b/>
          <w:sz w:val="32"/>
          <w:szCs w:val="32"/>
        </w:rPr>
      </w:pPr>
      <w:r>
        <w:rPr>
          <w:b/>
          <w:sz w:val="32"/>
          <w:szCs w:val="32"/>
        </w:rPr>
      </w:r>
      <w:r/>
    </w:p>
    <w:p>
      <w:pPr>
        <w:jc w:val="center"/>
        <w:spacing w:after="0" w:line="240" w:lineRule="auto"/>
        <w:widowControl w:val="off"/>
        <w:rPr>
          <w:b/>
          <w:sz w:val="32"/>
          <w:szCs w:val="32"/>
        </w:rPr>
      </w:pPr>
      <w:r>
        <w:rPr>
          <w:b/>
          <w:sz w:val="32"/>
          <w:szCs w:val="32"/>
        </w:rPr>
      </w:r>
      <w:r/>
    </w:p>
    <w:p>
      <w:pPr>
        <w:shd w:val="nil" w:color="auto"/>
        <w:rPr>
          <w:rFonts w:hint="eastAsia" w:ascii="宋体" w:hAnsi="宋体"/>
          <w:b/>
          <w:bCs/>
          <w:sz w:val="28"/>
          <w:szCs w:val="28"/>
        </w:rPr>
      </w:pPr>
      <w:r>
        <w:rPr>
          <w:rFonts w:hint="eastAsia" w:ascii="宋体" w:hAnsi="宋体"/>
          <w:b/>
          <w:sz w:val="28"/>
          <w:szCs w:val="28"/>
          <w:highlight w:val="none"/>
        </w:rPr>
        <w:br w:type="page" w:clear="all"/>
      </w:r>
      <w:r>
        <w:rPr>
          <w:rFonts w:hint="eastAsia" w:ascii="宋体" w:hAnsi="宋体"/>
          <w:b/>
          <w:sz w:val="28"/>
          <w:szCs w:val="28"/>
          <w:highlight w:val="none"/>
        </w:rPr>
      </w:r>
      <w:r/>
    </w:p>
    <w:p>
      <w:pPr>
        <w:ind w:firstLine="562"/>
        <w:jc w:val="both"/>
        <w:spacing w:after="0" w:line="240" w:lineRule="auto"/>
        <w:widowControl w:val="off"/>
        <w:rPr>
          <w:rFonts w:hint="eastAsia" w:ascii="宋体" w:hAnsi="宋体"/>
          <w:b/>
          <w:bCs/>
          <w:sz w:val="28"/>
          <w:szCs w:val="28"/>
          <w:highlight w:val="none"/>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jc w:val="center"/>
        <w:rPr>
          <w:rFonts w:hint="eastAsia" w:ascii="宋体" w:hAnsi="宋体" w:cs="宋体"/>
          <w:b/>
          <w:bCs/>
          <w:sz w:val="48"/>
          <w:szCs w:val="48"/>
        </w:rPr>
      </w:pPr>
      <w:r/>
      <w:bookmarkStart w:id="136" w:name="_Toc192946476"/>
      <w:r>
        <w:rPr>
          <w:rFonts w:ascii="宋体" w:hAnsi="宋体" w:cs="宋体"/>
          <w:b/>
          <w:bCs/>
          <w:sz w:val="48"/>
          <w:szCs w:val="48"/>
        </w:rPr>
        <w:t xml:space="preserve">开标一览表</w:t>
      </w:r>
      <w:bookmarkEnd w:id="136"/>
      <w:r/>
      <w:r/>
    </w:p>
    <w:p>
      <w:pPr>
        <w:ind w:firstLine="480"/>
        <w:jc w:val="both"/>
        <w:spacing w:after="0" w:line="240" w:lineRule="auto"/>
        <w:widowControl w:val="off"/>
        <w:rPr>
          <w:rFonts w:hint="eastAsia" w:ascii="宋体" w:hAnsi="宋体"/>
          <w:color w:val="000000"/>
          <w:sz w:val="24"/>
          <w:szCs w:val="24"/>
        </w:rPr>
      </w:pPr>
      <w:r/>
      <w:bookmarkStart w:id="137"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886"/>
      </w:tblGrid>
      <w:tr>
        <w:trPr>
          <w:cantSplit/>
          <w:trHeight w:val="725"/>
        </w:trPr>
        <w:tc>
          <w:tcPr>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p>
        </w:tc>
      </w:tr>
      <w:tr>
        <w:trPr>
          <w:cantSplit/>
          <w:trHeight w:val="612"/>
        </w:trPr>
        <w:tc>
          <w:tcPr>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37"/>
      <w:r>
        <w:rPr>
          <w:rFonts w:hint="eastAsia" w:ascii="宋体" w:hAnsi="宋体"/>
          <w:color w:val="000000"/>
          <w:sz w:val="24"/>
          <w:szCs w:val="24"/>
        </w:rPr>
        <w:t xml:space="preserve">日</w:t>
      </w:r>
      <w:r/>
    </w:p>
    <w:p>
      <w:pPr>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4</w:t>
      </w:r>
      <w:r>
        <w:rPr>
          <w:rFonts w:ascii="宋体" w:hAnsi="宋体"/>
          <w:b/>
          <w:sz w:val="28"/>
          <w:szCs w:val="28"/>
        </w:rPr>
        <w:t xml:space="preserve">.</w:t>
      </w:r>
      <w:r>
        <w:rPr>
          <w:rFonts w:hint="eastAsia" w:ascii="宋体" w:hAnsi="宋体"/>
          <w:color w:val="000000"/>
          <w:sz w:val="24"/>
          <w:szCs w:val="24"/>
        </w:rPr>
        <w:t xml:space="preserve"> </w:t>
      </w:r>
      <w:r>
        <w:rPr>
          <w:rFonts w:hint="eastAsia" w:ascii="宋体" w:hAnsi="宋体"/>
          <w:b/>
          <w:sz w:val="28"/>
          <w:szCs w:val="28"/>
        </w:rPr>
        <w:t xml:space="preserve">不予分包转包承诺函（格式自拟，内容需满足采购文件要求，原件并</w:t>
      </w:r>
      <w:bookmarkStart w:id="138" w:name="_Hlk190782954"/>
      <w:r>
        <w:rPr>
          <w:rFonts w:hint="eastAsia" w:ascii="宋体" w:hAnsi="宋体"/>
          <w:b/>
          <w:sz w:val="28"/>
          <w:szCs w:val="28"/>
        </w:rPr>
        <w:t xml:space="preserve">加盖CA电子公章</w:t>
      </w:r>
      <w:bookmarkEnd w:id="138"/>
      <w:r>
        <w:rPr>
          <w:rFonts w:hint="eastAsia" w:ascii="宋体" w:hAnsi="宋体"/>
          <w:b/>
          <w:sz w:val="28"/>
          <w:szCs w:val="28"/>
        </w:rPr>
        <w:t xml:space="preserve">）</w:t>
      </w:r>
      <w:r/>
    </w:p>
    <w:p>
      <w:pPr>
        <w:ind w:firstLine="492"/>
        <w:jc w:val="both"/>
        <w:spacing w:after="0" w:line="460" w:lineRule="exact"/>
        <w:widowControl w:val="off"/>
        <w:rPr>
          <w:rFonts w:hint="eastAsia" w:ascii="宋体" w:hAnsi="宋体"/>
          <w:b/>
          <w:sz w:val="28"/>
          <w:szCs w:val="28"/>
        </w:rPr>
      </w:pPr>
      <w:r/>
      <w:bookmarkStart w:id="139" w:name="_Hlk99436655"/>
      <w:r>
        <w:rPr>
          <w:rFonts w:hint="eastAsia" w:ascii="宋体" w:hAnsi="宋体"/>
          <w:b/>
          <w:sz w:val="28"/>
          <w:szCs w:val="28"/>
        </w:rPr>
        <w:t xml:space="preserve">…（自行添加内容）</w:t>
      </w:r>
      <w:bookmarkEnd w:id="139"/>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w:t>
      </w:r>
      <w:r>
        <w:rPr>
          <w:rFonts w:ascii="宋体" w:hAnsi="宋体"/>
          <w:b/>
          <w:sz w:val="28"/>
          <w:szCs w:val="28"/>
        </w:rPr>
        <w:t xml:space="preserve">.</w:t>
      </w:r>
      <w:r>
        <w:rPr>
          <w:rFonts w:hint="eastAsia" w:ascii="宋体" w:hAnsi="宋体"/>
          <w:b/>
          <w:sz w:val="28"/>
          <w:szCs w:val="28"/>
        </w:rPr>
        <w:t xml:space="preserve">保密承诺函（格式自拟，内容需满足采购文件要求，原件并加盖CA电子公章）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6.成果归属要求书面承诺函（格式自拟，内容需满足采购文件要求，原件并加盖CA电子公章）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p>
    <w:p>
      <w:pPr>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p>
    <w:p>
      <w:pPr>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p>
    <w:p>
      <w:pPr>
        <w:jc w:val="center"/>
        <w:spacing w:after="0" w:line="240" w:lineRule="auto"/>
        <w:widowControl w:val="off"/>
        <w:rPr>
          <w:sz w:val="21"/>
          <w:szCs w:val="24"/>
        </w:rPr>
      </w:pPr>
      <w:r>
        <w:rPr>
          <w:rFonts w:hint="eastAsia"/>
          <w:b/>
          <w:bCs/>
          <w:sz w:val="32"/>
          <w:szCs w:val="40"/>
        </w:rPr>
        <w:t xml:space="preserve">中小企业声明函（服务）</w:t>
      </w:r>
      <w:r/>
    </w:p>
    <w:p>
      <w:pPr>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jc w:val="both"/>
        <w:spacing w:after="0" w:line="240" w:lineRule="auto"/>
        <w:widowControl w:val="off"/>
        <w:rPr>
          <w:sz w:val="18"/>
          <w:szCs w:val="21"/>
        </w:rPr>
      </w:pPr>
      <w:r>
        <w:rPr>
          <w:rFonts w:hint="eastAsia"/>
          <w:sz w:val="18"/>
          <w:szCs w:val="21"/>
        </w:rPr>
        <w:t xml:space="preserve">从业人员、营业收入、资产总额填报上一年度数据，无上</w:t>
      </w:r>
      <w:r>
        <w:rPr>
          <w:rFonts w:hint="eastAsia"/>
          <w:sz w:val="18"/>
          <w:szCs w:val="21"/>
        </w:rPr>
        <w:t xml:space="preserve">一</w:t>
      </w:r>
      <w:r>
        <w:rPr>
          <w:rFonts w:hint="eastAsia"/>
          <w:sz w:val="18"/>
          <w:szCs w:val="21"/>
        </w:rPr>
        <w:t xml:space="preserve">年度数据的新成立企业可不填报。</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2"/>
                        <a:stretch/>
                      </pic:blipFill>
                      <pic:spPr bwMode="auto">
                        <a:xfrm>
                          <a:off x="0" y="0"/>
                          <a:ext cx="5274310" cy="81153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2"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w:t>
      </w:r>
      <w:r>
        <w:rPr>
          <w:rFonts w:hint="eastAsia" w:ascii="宋体" w:hAnsi="宋体"/>
          <w:sz w:val="24"/>
          <w:szCs w:val="24"/>
        </w:rPr>
        <w:t xml:space="preserve">声明函将随</w:t>
      </w:r>
      <w:r>
        <w:rPr>
          <w:rFonts w:hint="eastAsia" w:ascii="宋体" w:hAnsi="宋体"/>
          <w:sz w:val="24"/>
          <w:szCs w:val="24"/>
        </w:rPr>
        <w:t xml:space="preserve">中标结果同时公告，接受社会监督）。</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ascii="宋体" w:hAnsi="宋体"/>
          <w:sz w:val="24"/>
          <w:szCs w:val="24"/>
        </w:rPr>
      </w:r>
      <w:r/>
    </w:p>
    <w:p>
      <w:pPr>
        <w:shd w:val="nil" w:color="auto"/>
        <w:rPr>
          <w:rFonts w:hint="eastAsia" w:ascii="黑体" w:hAnsi="黑体" w:eastAsia="黑体"/>
          <w:b/>
          <w:bCs/>
          <w:color w:val="4bacc6"/>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ind w:firstLine="420"/>
        <w:jc w:val="both"/>
        <w:spacing w:after="0" w:line="24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2、《残疾人福利性单位声明函》（格式如下，请按要求填写，原件并加盖CA电子公章）</w:t>
      </w:r>
      <w:r/>
    </w:p>
    <w:p>
      <w:pPr>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jc w:val="both"/>
        <w:spacing w:after="0" w:line="240" w:lineRule="auto"/>
        <w:widowControl w:val="off"/>
        <w:rPr>
          <w:sz w:val="21"/>
          <w:szCs w:val="21"/>
        </w:rPr>
      </w:pPr>
      <w:r>
        <w:rPr>
          <w:sz w:val="21"/>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shd w:val="nil" w:color="auto"/>
        <w:rPr>
          <w:rFonts w:hint="eastAsia" w:ascii="宋体" w:hAnsi="宋体"/>
          <w:b/>
          <w:bCs/>
          <w:sz w:val="24"/>
          <w:szCs w:val="24"/>
        </w:rPr>
      </w:pPr>
      <w:r>
        <w:rPr>
          <w:rFonts w:hint="eastAsia"/>
          <w:b/>
          <w:sz w:val="30"/>
          <w:szCs w:val="30"/>
          <w:highlight w:val="none"/>
        </w:rPr>
        <w:br w:type="page" w:clear="all"/>
      </w:r>
      <w:r>
        <w:rPr>
          <w:rFonts w:hint="eastAsia"/>
          <w:b/>
          <w:sz w:val="30"/>
          <w:szCs w:val="30"/>
          <w:highlight w:val="none"/>
        </w:rPr>
      </w:r>
      <w:r/>
    </w:p>
    <w:p>
      <w:pPr>
        <w:ind w:firstLine="602"/>
        <w:jc w:val="both"/>
        <w:spacing w:before="50" w:after="50" w:line="240" w:lineRule="auto"/>
        <w:widowControl w:val="off"/>
        <w:rPr>
          <w:rFonts w:hint="eastAsia"/>
          <w:b/>
          <w:bCs/>
          <w:sz w:val="30"/>
          <w:szCs w:val="30"/>
          <w:highlight w:val="none"/>
        </w:rPr>
      </w:pPr>
      <w:r>
        <w:rPr>
          <w:b/>
          <w:sz w:val="30"/>
          <w:szCs w:val="30"/>
        </w:rPr>
        <w:t xml:space="preserve">3</w:t>
      </w:r>
      <w:r>
        <w:rPr>
          <w:rFonts w:hint="eastAsia"/>
          <w:b/>
          <w:sz w:val="30"/>
          <w:szCs w:val="30"/>
        </w:rPr>
        <w:t xml:space="preserve">、其他非实质性资信证明文件（如有）</w:t>
      </w:r>
      <w:r/>
    </w:p>
    <w:p>
      <w:pPr>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shd w:val="nil" w:color="auto"/>
        <w:rPr>
          <w:rFonts w:hint="eastAsia" w:ascii="黑体" w:hAnsi="黑体" w:eastAsia="黑体"/>
          <w:b/>
          <w:bCs/>
          <w:sz w:val="32"/>
          <w:szCs w:val="32"/>
        </w:rPr>
      </w:pPr>
      <w:r>
        <w:rPr>
          <w:rFonts w:hint="eastAsia"/>
          <w:b/>
          <w:sz w:val="32"/>
          <w:szCs w:val="32"/>
          <w:highlight w:val="none"/>
        </w:rPr>
        <w:br w:type="page" w:clear="all"/>
      </w:r>
      <w:r>
        <w:rPr>
          <w:rFonts w:hint="eastAsia"/>
          <w:b/>
          <w:sz w:val="32"/>
          <w:szCs w:val="32"/>
          <w:highlight w:val="none"/>
        </w:rPr>
      </w:r>
      <w:r/>
    </w:p>
    <w:p>
      <w:pPr>
        <w:jc w:val="center"/>
        <w:spacing w:line="360" w:lineRule="auto"/>
        <w:rPr>
          <w:rFonts w:hint="eastAsia"/>
          <w:b/>
          <w:bCs/>
          <w:sz w:val="32"/>
          <w:szCs w:val="32"/>
          <w:highlight w:val="none"/>
        </w:rPr>
      </w:pPr>
      <w:r>
        <w:rPr>
          <w:rFonts w:hint="eastAsia"/>
          <w:b/>
          <w:sz w:val="32"/>
          <w:szCs w:val="32"/>
        </w:rPr>
        <w:t xml:space="preserve">四、投入人员一览表</w:t>
      </w:r>
      <w:r/>
    </w:p>
    <w:p>
      <w:pPr>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tbl>
      <w:tblPr>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85"/>
        <w:gridCol w:w="1134"/>
        <w:gridCol w:w="829"/>
        <w:gridCol w:w="1087"/>
        <w:gridCol w:w="978"/>
        <w:gridCol w:w="1125"/>
        <w:gridCol w:w="1516"/>
        <w:gridCol w:w="819"/>
      </w:tblGrid>
      <w:tr>
        <w:trPr>
          <w:jc w:val="center"/>
          <w:trHeight w:val="1107"/>
        </w:trPr>
        <w:tc>
          <w:tcPr>
            <w:tcW w:w="88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shd w:val="nil" w:color="auto"/>
        <w:rPr>
          <w:rFonts w:hint="eastAsia" w:hAnsi="宋体" w:eastAsia="幼圆" w:cs="Arial"/>
          <w:b/>
          <w:bCs/>
          <w:sz w:val="32"/>
          <w:szCs w:val="32"/>
        </w:rPr>
      </w:pPr>
      <w:r>
        <w:rPr>
          <w:rFonts w:hint="eastAsia"/>
          <w:b/>
          <w:sz w:val="32"/>
          <w:szCs w:val="32"/>
          <w:highlight w:val="none"/>
        </w:rPr>
        <w:br w:type="page" w:clear="all"/>
      </w:r>
      <w:r>
        <w:rPr>
          <w:rFonts w:hint="eastAsia"/>
          <w:b/>
          <w:sz w:val="32"/>
          <w:szCs w:val="32"/>
          <w:highlight w:val="none"/>
        </w:rPr>
      </w:r>
      <w:r/>
    </w:p>
    <w:p>
      <w:pPr>
        <w:jc w:val="center"/>
        <w:spacing w:after="0" w:line="240" w:lineRule="auto"/>
        <w:widowControl w:val="off"/>
        <w:rPr>
          <w:rFonts w:hint="eastAsia"/>
          <w:b/>
          <w:bCs/>
          <w:sz w:val="32"/>
          <w:szCs w:val="32"/>
          <w:highlight w:val="none"/>
        </w:rPr>
      </w:pPr>
      <w:r>
        <w:rPr>
          <w:rFonts w:hint="eastAsia"/>
          <w:b/>
          <w:sz w:val="32"/>
          <w:szCs w:val="32"/>
        </w:rPr>
        <w:t xml:space="preserve">五、技术（服务）条款响应及偏离表</w:t>
      </w:r>
      <w:r/>
    </w:p>
    <w:p>
      <w:pPr>
        <w:jc w:val="both"/>
        <w:spacing w:after="0" w:line="240" w:lineRule="auto"/>
        <w:widowControl w:val="off"/>
        <w:rPr>
          <w:sz w:val="28"/>
          <w:szCs w:val="28"/>
        </w:rPr>
      </w:pPr>
      <w:r>
        <w:rPr>
          <w:rFonts w:hint="eastAsia"/>
          <w:sz w:val="28"/>
          <w:szCs w:val="28"/>
        </w:rPr>
        <w:t xml:space="preserve">项目名称：</w:t>
      </w:r>
      <w:r>
        <w:rPr>
          <w:rFonts w:hint="eastAsia"/>
          <w:sz w:val="28"/>
          <w:szCs w:val="28"/>
        </w:rPr>
        <w:t xml:space="preserve"> </w:t>
      </w:r>
      <w:r>
        <w:rPr>
          <w:sz w:val="28"/>
          <w:szCs w:val="28"/>
        </w:rPr>
        <w:t xml:space="preserve">                                      </w:t>
      </w:r>
      <w:r/>
    </w:p>
    <w:p>
      <w:pPr>
        <w:jc w:val="both"/>
        <w:spacing w:after="0" w:line="240" w:lineRule="auto"/>
        <w:widowControl w:val="off"/>
        <w:rPr>
          <w:sz w:val="28"/>
          <w:szCs w:val="28"/>
        </w:rPr>
      </w:pPr>
      <w:r>
        <w:rPr>
          <w:rFonts w:hint="eastAsia"/>
          <w:sz w:val="28"/>
          <w:szCs w:val="28"/>
        </w:rPr>
        <w:t xml:space="preserve">项目编号：</w:t>
      </w:r>
      <w:r/>
    </w:p>
    <w:p>
      <w:pPr>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
                <w:sz w:val="24"/>
                <w:lang w:bidi="en-US"/>
              </w:rPr>
              <w:t xml:space="preserve">（如无页码可不填写）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w:t>
      </w:r>
      <w:r>
        <w:rPr>
          <w:rFonts w:hint="eastAsia" w:ascii="宋体" w:hAnsi="宋体"/>
          <w:sz w:val="24"/>
          <w:szCs w:val="24"/>
          <w:lang w:val="zh-CN"/>
        </w:rPr>
        <w:t xml:space="preserve">作出</w:t>
      </w:r>
      <w:r>
        <w:rPr>
          <w:rFonts w:hint="eastAsia" w:ascii="宋体" w:hAnsi="宋体"/>
          <w:sz w:val="24"/>
          <w:szCs w:val="24"/>
          <w:lang w:val="zh-CN"/>
        </w:rPr>
        <w:t xml:space="preserve">应答并提供必要的证明材料或实施方案。</w:t>
      </w:r>
      <w:r/>
    </w:p>
    <w:p>
      <w:pPr>
        <w:rPr>
          <w:rFonts w:ascii="宋体"/>
          <w:color w:val="ff0000"/>
          <w:sz w:val="24"/>
          <w:szCs w:val="24"/>
        </w:rPr>
      </w:pPr>
      <w:r>
        <w:rPr>
          <w:rFonts w:ascii="宋体"/>
          <w:color w:val="ff0000"/>
          <w:sz w:val="24"/>
          <w:szCs w:val="24"/>
        </w:rPr>
      </w:r>
      <w:r/>
    </w:p>
    <w:p>
      <w:pPr>
        <w:rPr>
          <w:rFonts w:ascii="宋体"/>
          <w:sz w:val="24"/>
          <w:szCs w:val="24"/>
        </w:rPr>
      </w:pPr>
      <w:r>
        <w:rPr>
          <w:rFonts w:hint="eastAsia" w:ascii="宋体"/>
          <w:sz w:val="24"/>
          <w:szCs w:val="24"/>
        </w:rPr>
        <w:t xml:space="preserve">说明：如果行数不够，请自行增加。</w:t>
      </w:r>
      <w:r/>
    </w:p>
    <w:p>
      <w:pPr>
        <w:rPr>
          <w:rFonts w:ascii="宋体"/>
          <w:sz w:val="24"/>
          <w:szCs w:val="24"/>
        </w:rPr>
      </w:pPr>
      <w:r>
        <w:rPr>
          <w:rFonts w:hint="eastAsia" w:ascii="宋体"/>
          <w:sz w:val="24"/>
          <w:szCs w:val="24"/>
        </w:rPr>
        <w:t xml:space="preserve">                                       </w:t>
      </w:r>
      <w:r/>
    </w:p>
    <w:p>
      <w:pPr>
        <w:ind w:firstLine="3640"/>
        <w:rPr>
          <w:rFonts w:ascii="宋体"/>
          <w:sz w:val="28"/>
          <w:szCs w:val="28"/>
        </w:rPr>
      </w:pPr>
      <w:r>
        <w:rPr>
          <w:rFonts w:hint="eastAsia" w:ascii="宋体"/>
          <w:sz w:val="28"/>
          <w:szCs w:val="28"/>
        </w:rPr>
        <w:t xml:space="preserve">供应商名称(加盖CA电子公章)：</w:t>
      </w:r>
      <w:r/>
    </w:p>
    <w:p>
      <w:pPr>
        <w:ind w:firstLine="5600"/>
        <w:rPr>
          <w:rFonts w:ascii="宋体"/>
          <w:sz w:val="28"/>
          <w:szCs w:val="28"/>
        </w:rPr>
      </w:pPr>
      <w:r>
        <w:rPr>
          <w:rFonts w:hint="eastAsia" w:ascii="宋体"/>
          <w:sz w:val="28"/>
          <w:szCs w:val="28"/>
        </w:rPr>
        <w:t xml:space="preserve">日期：</w:t>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shd w:val="nil" w:color="auto"/>
        <w:rPr>
          <w:b/>
          <w:bCs/>
          <w:sz w:val="32"/>
          <w:szCs w:val="32"/>
        </w:rPr>
      </w:pPr>
      <w:r>
        <w:rPr>
          <w:rFonts w:hint="eastAsia"/>
          <w:b/>
          <w:sz w:val="32"/>
          <w:szCs w:val="32"/>
          <w:highlight w:val="none"/>
        </w:rPr>
        <w:br w:type="page" w:clear="all"/>
      </w:r>
      <w:r>
        <w:rPr>
          <w:rFonts w:hint="eastAsia"/>
          <w:b/>
          <w:sz w:val="32"/>
          <w:szCs w:val="32"/>
          <w:highlight w:val="none"/>
        </w:rPr>
      </w:r>
      <w:r/>
    </w:p>
    <w:p>
      <w:pPr>
        <w:jc w:val="center"/>
        <w:spacing w:after="0" w:line="480" w:lineRule="auto"/>
        <w:widowControl w:val="off"/>
        <w:rPr>
          <w:rFonts w:hint="eastAsia"/>
          <w:b/>
          <w:bCs/>
          <w:sz w:val="32"/>
          <w:szCs w:val="32"/>
          <w:highlight w:val="none"/>
        </w:rPr>
      </w:pPr>
      <w:r>
        <w:rPr>
          <w:rFonts w:hint="eastAsia"/>
          <w:b/>
          <w:sz w:val="32"/>
          <w:szCs w:val="32"/>
        </w:rPr>
        <w:t xml:space="preserve">六、商务条款响应及偏离表</w:t>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rPr>
          <w:sz w:val="24"/>
          <w:szCs w:val="24"/>
        </w:rPr>
      </w:pPr>
      <w:r>
        <w:rPr>
          <w:rFonts w:hint="eastAsia"/>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
                <w:sz w:val="24"/>
                <w:lang w:bidi="en-US"/>
              </w:rPr>
              <w:t xml:space="preserve">（如无页码可不填写）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ascii="仿宋_GB2312" w:hAnsi="仿宋_GB2312" w:eastAsia="仿宋_GB2312"/>
                <w:sz w:val="24"/>
                <w:szCs w:val="20"/>
              </w:rPr>
            </w:pPr>
            <w:r>
              <w:rPr>
                <w:rFonts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w:t>
      </w:r>
      <w:r>
        <w:rPr>
          <w:rFonts w:hint="eastAsia" w:ascii="宋体" w:hAnsi="宋体"/>
          <w:sz w:val="24"/>
          <w:szCs w:val="24"/>
          <w:lang w:val="zh-CN"/>
        </w:rPr>
        <w:t xml:space="preserve">作出</w:t>
      </w:r>
      <w:r>
        <w:rPr>
          <w:rFonts w:hint="eastAsia" w:ascii="宋体" w:hAnsi="宋体"/>
          <w:sz w:val="24"/>
          <w:szCs w:val="24"/>
          <w:lang w:val="zh-CN"/>
        </w:rPr>
        <w:t xml:space="preserve">应答并提供必要的证明材料或实施方案。</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ind w:right="1320"/>
        <w:jc w:val="right"/>
        <w:spacing w:after="0" w:line="360" w:lineRule="auto"/>
        <w:widowControl w:val="off"/>
        <w:rPr>
          <w:sz w:val="28"/>
          <w:szCs w:val="28"/>
        </w:rPr>
      </w:pPr>
      <w:r/>
      <w:bookmarkStart w:id="140" w:name="_Hlk190783066"/>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w:t>
      </w:r>
      <w:r>
        <w:rPr>
          <w:rFonts w:hint="eastAsia" w:ascii="宋体"/>
          <w:sz w:val="28"/>
          <w:szCs w:val="28"/>
          <w:lang w:val="zh-CN"/>
        </w:rPr>
        <w:t xml:space="preserve">：</w:t>
      </w:r>
      <w:bookmarkEnd w:id="140"/>
      <w:r>
        <w:rPr>
          <w:sz w:val="28"/>
          <w:szCs w:val="28"/>
          <w:lang w:val="zh-CN"/>
        </w:rPr>
        <w:t xml:space="preserve">                    </w:t>
      </w:r>
      <w:r/>
    </w:p>
    <w:p>
      <w:pPr>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七、业绩一览表</w:t>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rPr>
          <w:rFonts w:hint="eastAsia" w:ascii="黑体" w:hAnsi="黑体" w:eastAsia="黑体"/>
          <w:b/>
          <w:color w:val="000000"/>
          <w:sz w:val="32"/>
          <w:szCs w:val="32"/>
        </w:rPr>
      </w:pPr>
      <w:r>
        <w:rPr>
          <w:rFonts w:hint="eastAsia"/>
          <w:sz w:val="24"/>
          <w:szCs w:val="24"/>
        </w:rPr>
        <w:t xml:space="preserve">采购包号：</w:t>
      </w:r>
      <w:r/>
    </w:p>
    <w:tbl>
      <w:tblPr>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业主名称</w:t>
            </w:r>
            <w:r/>
          </w:p>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shd w:val="nil" w:color="auto"/>
        <w:rPr>
          <w:sz w:val="21"/>
          <w:szCs w:val="21"/>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r>
      <w:r/>
    </w:p>
    <w:p>
      <w:pPr>
        <w:jc w:val="center"/>
        <w:spacing w:after="0" w:line="240" w:lineRule="auto"/>
        <w:widowControl w:val="off"/>
        <w:rPr>
          <w:rFonts w:hint="eastAsia" w:ascii="黑体" w:hAnsi="黑体" w:eastAsia="黑体"/>
          <w:b/>
          <w:bCs/>
          <w:color w:val="000000"/>
          <w:sz w:val="32"/>
          <w:szCs w:val="32"/>
          <w:highlight w:val="none"/>
        </w:rPr>
      </w:pPr>
      <w:r>
        <w:rPr>
          <w:rFonts w:hint="eastAsia" w:ascii="黑体" w:hAnsi="黑体" w:eastAsia="黑体"/>
          <w:b/>
          <w:color w:val="000000"/>
          <w:sz w:val="32"/>
          <w:szCs w:val="32"/>
        </w:rPr>
        <w:t xml:space="preserve">八、项目需求响应方案</w:t>
      </w:r>
      <w:r/>
    </w:p>
    <w:p>
      <w:pPr>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p>
      <w:pPr>
        <w:spacing w:after="0" w:line="440" w:lineRule="exact"/>
        <w:widowControl w:val="off"/>
        <w:rPr>
          <w:rFonts w:ascii="宋体"/>
          <w:b/>
          <w:bCs/>
          <w:sz w:val="32"/>
          <w:szCs w:val="32"/>
        </w:rPr>
      </w:pPr>
      <w:r>
        <w:rPr>
          <w:rFonts w:ascii="宋体"/>
          <w:b/>
          <w:bCs/>
          <w:sz w:val="32"/>
          <w:szCs w:val="32"/>
        </w:rPr>
      </w:r>
      <w:r/>
    </w:p>
    <w:p>
      <w:pPr>
        <w:jc w:val="center"/>
        <w:spacing w:after="0" w:line="240" w:lineRule="auto"/>
        <w:widowControl w:val="off"/>
        <w:rPr>
          <w:rFonts w:ascii="宋体"/>
          <w:b/>
          <w:bCs/>
          <w:sz w:val="32"/>
          <w:szCs w:val="32"/>
        </w:rPr>
      </w:pPr>
      <w:r>
        <w:rPr>
          <w:rFonts w:ascii="宋体"/>
          <w:b/>
          <w:bCs/>
          <w:sz w:val="32"/>
          <w:szCs w:val="32"/>
        </w:rPr>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 w:type="continuationNotice" w:id="1">
    <w:p>
      <w:pPr>
        <w:spacing w:after="0" w:line="240" w:lineRule="auto"/>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Arial Unicode MS">
    <w:panose1 w:val="020B0604020202020204"/>
  </w:font>
  <w:font w:name="方正小标宋_GBK">
    <w:panose1 w:val="020B0503020202020204"/>
  </w:font>
  <w:font w:name="Tahoma">
    <w:panose1 w:val="020B0604030504040204"/>
  </w:font>
  <w:font w:name="Arail">
    <w:panose1 w:val="020B0503020202020204"/>
  </w:font>
  <w:font w:name="KNLe">
    <w:panose1 w:val="020B0503020202020204"/>
  </w:font>
  <w:font w:name="仿宋">
    <w:panose1 w:val="02010609060101010101"/>
  </w:font>
  <w:font w:name="等线">
    <w:panose1 w:val="02010600030101010101"/>
  </w:font>
  <w:font w:name="黑体">
    <w:panose1 w:val="02010609060101010101"/>
  </w:font>
  <w:font w:name="幼圆">
    <w:panose1 w:val="02010509060101010101"/>
  </w:font>
  <w:font w:name="Verdana">
    <w:panose1 w:val="020B0604030504040204"/>
  </w:font>
  <w:font w:name="仿宋_GB2312">
    <w:panose1 w:val="02010609060101010101"/>
  </w:font>
  <w:font w:name="Courier New">
    <w:panose1 w:val="02070309020205020404"/>
  </w:font>
  <w:font w:name="Calibri">
    <w:panose1 w:val="020F0502020204030204"/>
  </w:font>
  <w:font w:name="微软雅黑">
    <w:panose1 w:val="020B0503020204020204"/>
  </w:font>
  <w:font w:name="Consolas">
    <w:panose1 w:val="020B0609020204030204"/>
  </w:font>
  <w:font w:name="楷体_GB2312">
    <w:panose1 w:val="02010609060101010101"/>
  </w:font>
  <w:font w:name="方正黑体_GBK">
    <w:panose1 w:val="020B0503020202020204"/>
  </w:font>
  <w:font w:name="FZSSK--GBK1-0">
    <w:panose1 w:val="020B0503020202020204"/>
  </w:font>
  <w:font w:name="方正仿宋_GBK">
    <w:panose1 w:val="020B0503020202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instrText xml:space="preserve">PAGE   \* MERGEFORMAT</w:instrText>
    </w:r>
    <w:r>
      <w:fldChar w:fldCharType="separate"/>
    </w:r>
    <w:r>
      <w:rPr>
        <w:lang w:val="zh-CN"/>
      </w:rPr>
      <w:t xml:space="preserve">60</w:t>
    </w:r>
    <w:r>
      <w:fldChar w:fldCharType="end"/>
    </w:r>
    <w:r/>
  </w:p>
  <w:p>
    <w:pPr>
      <w:pStyle w:val="1074"/>
    </w:pPr>
    <w:r>
      <w:rPr>
        <w:rFonts w:hint="eastAsia"/>
      </w:rPr>
      <w:t xml:space="preserve">南京小旸树招标代理有限公司</w:t>
    </w:r>
    <w:r>
      <w:rPr>
        <w:rFonts w:hint="eastAsia"/>
      </w:rPr>
      <w:t xml:space="preserve">                                        </w:t>
    </w:r>
    <w:r>
      <w:t xml:space="preserve">NJXYS-2026136G</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type="continuationNotice" w:id="1">
    <w:p>
      <w:pPr>
        <w:spacing w:after="0" w:line="240" w:lineRule="auto"/>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6" w:hanging="756"/>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pStyle w:val="1163"/>
      <w:isLgl w:val="false"/>
      <w:suff w:val="tab"/>
      <w:lvlText w:val="%6."/>
      <w:lvlJc w:val="right"/>
      <w:pPr>
        <w:ind w:left="2520" w:hanging="420"/>
      </w:pPr>
    </w:lvl>
    <w:lvl w:ilvl="6">
      <w:start w:val="1"/>
      <w:numFmt w:val="decimal"/>
      <w:pStyle w:val="1164"/>
      <w:isLgl w:val="false"/>
      <w:suff w:val="tab"/>
      <w:lvlText w:val="%7."/>
      <w:lvlJc w:val="left"/>
      <w:pPr>
        <w:ind w:left="2940" w:hanging="420"/>
      </w:pPr>
    </w:lvl>
    <w:lvl w:ilvl="7">
      <w:start w:val="1"/>
      <w:numFmt w:val="lowerLetter"/>
      <w:pStyle w:val="1166"/>
      <w:isLgl w:val="false"/>
      <w:suff w:val="tab"/>
      <w:lvlText w:val="%8)"/>
      <w:lvlJc w:val="left"/>
      <w:pPr>
        <w:ind w:left="3360" w:hanging="420"/>
      </w:pPr>
    </w:lvl>
    <w:lvl w:ilvl="8">
      <w:start w:val="1"/>
      <w:numFmt w:val="lowerRoman"/>
      <w:pStyle w:val="1168"/>
      <w:isLgl w:val="false"/>
      <w:suff w:val="tab"/>
      <w:lvlText w:val="%9."/>
      <w:lvlJc w:val="right"/>
      <w:pPr>
        <w:ind w:left="3780" w:hanging="420"/>
      </w:p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30"/>
      <w:isLgl w:val="false"/>
      <w:suff w:val="tab"/>
      <w:lvlText w:val="%1"/>
      <w:lvlJc w:val="left"/>
      <w:pPr>
        <w:ind w:left="425" w:hanging="425"/>
      </w:pPr>
      <w:rPr>
        <w:rFonts w:hint="eastAsia" w:ascii="Arial Unicode MS" w:hAnsi="Arial Unicode MS" w:eastAsia="微软雅黑"/>
        <w:b/>
        <w:bCs/>
        <w:i w:val="0"/>
        <w:iCs w:val="0"/>
      </w:rPr>
    </w:lvl>
    <w:lvl w:ilvl="1">
      <w:start w:val="1"/>
      <w:numFmt w:val="decimal"/>
      <w:isLgl/>
      <w:suff w:val="tab"/>
      <w:lvlText w:val="%1.%2"/>
      <w:lvlJc w:val="left"/>
      <w:pPr>
        <w:ind w:left="425" w:hanging="425"/>
      </w:pPr>
      <w:rPr>
        <w:rFonts w:hint="eastAsia" w:ascii="Arial Unicode MS" w:hAnsi="Arial Unicode MS" w:eastAsia="微软雅黑"/>
        <w:b/>
        <w:bCs/>
        <w:i w:val="0"/>
        <w:iCs w:val="0"/>
      </w:rPr>
    </w:lvl>
    <w:lvl w:ilvl="2">
      <w:start w:val="1"/>
      <w:numFmt w:val="decimal"/>
      <w:isLgl/>
      <w:suff w:val="tab"/>
      <w:lvlText w:val="%1.%2.%3"/>
      <w:lvlJc w:val="left"/>
      <w:pPr>
        <w:ind w:left="425" w:hanging="425"/>
      </w:pPr>
      <w:rPr>
        <w:rFonts w:hint="eastAsia" w:ascii="Arial Unicode MS" w:hAnsi="Arial Unicode MS" w:eastAsia="微软雅黑"/>
        <w:b/>
        <w:bCs/>
        <w:i w:val="0"/>
        <w:iCs w:val="0"/>
      </w:rPr>
    </w:lvl>
    <w:lvl w:ilvl="3">
      <w:start w:val="1"/>
      <w:numFmt w:val="decimal"/>
      <w:isLgl/>
      <w:suff w:val="tab"/>
      <w:lvlText w:val="%1.%2.%3.%4"/>
      <w:lvlJc w:val="left"/>
      <w:pPr>
        <w:ind w:left="425" w:hanging="425"/>
      </w:pPr>
      <w:rPr>
        <w:rFonts w:hint="eastAsia" w:ascii="Arial Unicode MS" w:hAnsi="Arial Unicode MS" w:eastAsia="微软雅黑"/>
        <w:b/>
        <w:bCs/>
        <w:i w:val="0"/>
        <w:iCs w:val="0"/>
      </w:rPr>
    </w:lvl>
    <w:lvl w:ilvl="4">
      <w:start w:val="1"/>
      <w:numFmt w:val="decimal"/>
      <w:isLgl/>
      <w:suff w:val="tab"/>
      <w:lvlText w:val="%1.%2.%3.%4.%5"/>
      <w:lvlJc w:val="left"/>
      <w:pPr>
        <w:ind w:left="425" w:hanging="425"/>
      </w:pPr>
      <w:rPr>
        <w:rFonts w:hint="eastAsia" w:ascii="Arial Unicode MS" w:hAnsi="Arial Unicode MS" w:eastAsia="微软雅黑"/>
        <w:b/>
        <w:bCs/>
        <w:i w:val="0"/>
        <w:iCs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92"/>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1132"/>
      <w:isLgl w:val="false"/>
      <w:suff w:val="nothing"/>
      <w:lvlText w:val="%1.%2　"/>
      <w:lvlJc w:val="left"/>
      <w:pPr>
        <w:ind w:left="54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2730" w:firstLine="0"/>
      </w:pPr>
      <w:rPr>
        <w:rFonts w:hint="eastAsia" w:ascii="黑体" w:hAnsi="Times New Roman" w:eastAsia="黑体"/>
        <w:b w:val="0"/>
        <w:i w:val="0"/>
        <w:sz w:val="21"/>
      </w:rPr>
    </w:lvl>
    <w:lvl w:ilvl="3">
      <w:start w:val="1"/>
      <w:numFmt w:val="decimal"/>
      <w:isLgl w:val="false"/>
      <w:suff w:val="nothing"/>
      <w:lvlText w:val="%1.%2.%3.%4　"/>
      <w:lvlJc w:val="left"/>
      <w:pPr>
        <w:ind w:left="735"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num" w:pos="4351" w:leader="none"/>
        </w:tabs>
      </w:pPr>
      <w:rPr>
        <w:rFonts w:hint="eastAsia"/>
      </w:rPr>
    </w:lvl>
    <w:lvl w:ilvl="8">
      <w:start w:val="1"/>
      <w:numFmt w:val="decimal"/>
      <w:isLgl w:val="false"/>
      <w:suff w:val="tab"/>
      <w:lvlText w:val="%1.%2.%3.%4.%5.%6.%7.%8.%9"/>
      <w:lvlJc w:val="left"/>
      <w:pPr>
        <w:ind w:left="4677" w:hanging="1700"/>
        <w:tabs>
          <w:tab w:val="num" w:pos="4777" w:leader="none"/>
        </w:tabs>
      </w:pPr>
      <w:rPr>
        <w:rFonts w:hint="eastAsia"/>
      </w:rPr>
    </w:lvl>
  </w:abstractNum>
  <w:abstractNum w:abstractNumId="5">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141"/>
      <w:isLgl w:val="false"/>
      <w:suff w:val="tab"/>
      <w:lvlText w:val="%1."/>
      <w:lvlJc w:val="left"/>
      <w:pPr>
        <w:ind w:left="720" w:hanging="720"/>
        <w:tabs>
          <w:tab w:val="num" w:pos="720" w:leader="none"/>
        </w:tabs>
      </w:pPr>
    </w:lvl>
    <w:lvl w:ilvl="1">
      <w:start w:val="1"/>
      <w:numFmt w:val="decimal"/>
      <w:isLgl w:val="false"/>
      <w:suff w:val="tab"/>
      <w:lvlText w:val="%2."/>
      <w:lvlJc w:val="left"/>
      <w:pPr>
        <w:ind w:left="1440" w:hanging="720"/>
        <w:tabs>
          <w:tab w:val="num" w:pos="1440" w:leader="none"/>
        </w:tabs>
      </w:pPr>
    </w:lvl>
    <w:lvl w:ilvl="2">
      <w:start w:val="1"/>
      <w:numFmt w:val="decimal"/>
      <w:isLgl w:val="false"/>
      <w:suff w:val="tab"/>
      <w:lvlText w:val="%3."/>
      <w:lvlJc w:val="left"/>
      <w:pPr>
        <w:ind w:left="2160" w:hanging="720"/>
        <w:tabs>
          <w:tab w:val="num" w:pos="2160" w:leader="none"/>
        </w:tabs>
      </w:pPr>
    </w:lvl>
    <w:lvl w:ilvl="3">
      <w:start w:val="1"/>
      <w:numFmt w:val="decimal"/>
      <w:isLgl w:val="false"/>
      <w:suff w:val="tab"/>
      <w:lvlText w:val="%4."/>
      <w:lvlJc w:val="left"/>
      <w:pPr>
        <w:ind w:left="2880" w:hanging="720"/>
        <w:tabs>
          <w:tab w:val="num" w:pos="2880" w:leader="none"/>
        </w:tabs>
      </w:pPr>
    </w:lvl>
    <w:lvl w:ilvl="4">
      <w:start w:val="1"/>
      <w:numFmt w:val="decimal"/>
      <w:isLgl w:val="false"/>
      <w:suff w:val="tab"/>
      <w:lvlText w:val="%5."/>
      <w:lvlJc w:val="left"/>
      <w:pPr>
        <w:ind w:left="3600" w:hanging="720"/>
        <w:tabs>
          <w:tab w:val="num" w:pos="3600" w:leader="none"/>
        </w:tabs>
      </w:pPr>
    </w:lvl>
    <w:lvl w:ilvl="5">
      <w:start w:val="1"/>
      <w:numFmt w:val="decimal"/>
      <w:isLgl w:val="false"/>
      <w:suff w:val="tab"/>
      <w:lvlText w:val="%6."/>
      <w:lvlJc w:val="left"/>
      <w:pPr>
        <w:ind w:left="4320" w:hanging="720"/>
        <w:tabs>
          <w:tab w:val="num" w:pos="4320" w:leader="none"/>
        </w:tabs>
      </w:pPr>
    </w:lvl>
    <w:lvl w:ilvl="6">
      <w:start w:val="1"/>
      <w:numFmt w:val="decimal"/>
      <w:isLgl w:val="false"/>
      <w:suff w:val="tab"/>
      <w:lvlText w:val="%7."/>
      <w:lvlJc w:val="left"/>
      <w:pPr>
        <w:ind w:left="5040" w:hanging="720"/>
        <w:tabs>
          <w:tab w:val="num" w:pos="5040" w:leader="none"/>
        </w:tabs>
      </w:pPr>
    </w:lvl>
    <w:lvl w:ilvl="7">
      <w:start w:val="1"/>
      <w:numFmt w:val="decimal"/>
      <w:isLgl w:val="false"/>
      <w:suff w:val="tab"/>
      <w:lvlText w:val="%8."/>
      <w:lvlJc w:val="left"/>
      <w:pPr>
        <w:ind w:left="5760" w:hanging="720"/>
        <w:tabs>
          <w:tab w:val="num" w:pos="5760" w:leader="none"/>
        </w:tabs>
      </w:pPr>
    </w:lvl>
    <w:lvl w:ilvl="8">
      <w:start w:val="1"/>
      <w:numFmt w:val="decimal"/>
      <w:isLgl w:val="false"/>
      <w:suff w:val="tab"/>
      <w:lvlText w:val="%9."/>
      <w:lvlJc w:val="left"/>
      <w:pPr>
        <w:ind w:left="6480" w:hanging="720"/>
        <w:tabs>
          <w:tab w:val="num" w:pos="6480" w:leader="none"/>
        </w:tabs>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0"/>
  </w:num>
  <w:num w:numId="4">
    <w:abstractNumId w:val="2"/>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52"/>
    <w:link w:val="743"/>
    <w:uiPriority w:val="9"/>
    <w:rPr>
      <w:rFonts w:ascii="Arial" w:hAnsi="Arial" w:eastAsia="Arial" w:cs="Arial"/>
      <w:sz w:val="40"/>
      <w:szCs w:val="40"/>
    </w:rPr>
  </w:style>
  <w:style w:type="character" w:styleId="709">
    <w:name w:val="Heading 2 Char"/>
    <w:basedOn w:val="752"/>
    <w:link w:val="744"/>
    <w:uiPriority w:val="9"/>
    <w:rPr>
      <w:rFonts w:ascii="Arial" w:hAnsi="Arial" w:eastAsia="Arial" w:cs="Arial"/>
      <w:sz w:val="34"/>
    </w:rPr>
  </w:style>
  <w:style w:type="character" w:styleId="710">
    <w:name w:val="Heading 3 Char"/>
    <w:basedOn w:val="752"/>
    <w:link w:val="745"/>
    <w:uiPriority w:val="9"/>
    <w:rPr>
      <w:rFonts w:ascii="Arial" w:hAnsi="Arial" w:eastAsia="Arial" w:cs="Arial"/>
      <w:sz w:val="30"/>
      <w:szCs w:val="30"/>
    </w:rPr>
  </w:style>
  <w:style w:type="character" w:styleId="711">
    <w:name w:val="Heading 5 Char"/>
    <w:basedOn w:val="752"/>
    <w:link w:val="747"/>
    <w:uiPriority w:val="9"/>
    <w:rPr>
      <w:rFonts w:ascii="Arial" w:hAnsi="Arial" w:eastAsia="Arial" w:cs="Arial"/>
      <w:b/>
      <w:bCs/>
      <w:sz w:val="24"/>
      <w:szCs w:val="24"/>
    </w:rPr>
  </w:style>
  <w:style w:type="character" w:styleId="712">
    <w:name w:val="Heading 6 Char"/>
    <w:basedOn w:val="752"/>
    <w:link w:val="748"/>
    <w:uiPriority w:val="9"/>
    <w:rPr>
      <w:rFonts w:ascii="Arial" w:hAnsi="Arial" w:eastAsia="Arial" w:cs="Arial"/>
      <w:b/>
      <w:bCs/>
      <w:sz w:val="22"/>
      <w:szCs w:val="22"/>
    </w:rPr>
  </w:style>
  <w:style w:type="character" w:styleId="713">
    <w:name w:val="Heading 7 Char"/>
    <w:basedOn w:val="752"/>
    <w:link w:val="749"/>
    <w:uiPriority w:val="9"/>
    <w:rPr>
      <w:rFonts w:ascii="Arial" w:hAnsi="Arial" w:eastAsia="Arial" w:cs="Arial"/>
      <w:b/>
      <w:bCs/>
      <w:i/>
      <w:iCs/>
      <w:sz w:val="22"/>
      <w:szCs w:val="22"/>
    </w:rPr>
  </w:style>
  <w:style w:type="character" w:styleId="714">
    <w:name w:val="Heading 8 Char"/>
    <w:basedOn w:val="752"/>
    <w:link w:val="750"/>
    <w:uiPriority w:val="9"/>
    <w:rPr>
      <w:rFonts w:ascii="Arial" w:hAnsi="Arial" w:eastAsia="Arial" w:cs="Arial"/>
      <w:i/>
      <w:iCs/>
      <w:sz w:val="22"/>
      <w:szCs w:val="22"/>
    </w:rPr>
  </w:style>
  <w:style w:type="character" w:styleId="715">
    <w:name w:val="Heading 9 Char"/>
    <w:basedOn w:val="752"/>
    <w:link w:val="751"/>
    <w:uiPriority w:val="9"/>
    <w:rPr>
      <w:rFonts w:ascii="Arial" w:hAnsi="Arial" w:eastAsia="Arial" w:cs="Arial"/>
      <w:i/>
      <w:iCs/>
      <w:sz w:val="21"/>
      <w:szCs w:val="21"/>
    </w:rPr>
  </w:style>
  <w:style w:type="character" w:styleId="716">
    <w:name w:val="Title Char"/>
    <w:basedOn w:val="752"/>
    <w:link w:val="1039"/>
    <w:uiPriority w:val="10"/>
    <w:rPr>
      <w:sz w:val="48"/>
      <w:szCs w:val="48"/>
    </w:rPr>
  </w:style>
  <w:style w:type="character" w:styleId="717">
    <w:name w:val="Subtitle Char"/>
    <w:basedOn w:val="752"/>
    <w:link w:val="1040"/>
    <w:uiPriority w:val="11"/>
    <w:rPr>
      <w:sz w:val="24"/>
      <w:szCs w:val="24"/>
    </w:rPr>
  </w:style>
  <w:style w:type="character" w:styleId="718">
    <w:name w:val="Quote Char"/>
    <w:link w:val="1143"/>
    <w:uiPriority w:val="29"/>
    <w:rPr>
      <w:i/>
    </w:rPr>
  </w:style>
  <w:style w:type="character" w:styleId="719">
    <w:name w:val="Intense Quote Char"/>
    <w:link w:val="1147"/>
    <w:uiPriority w:val="30"/>
    <w:rPr>
      <w:i/>
    </w:rPr>
  </w:style>
  <w:style w:type="character" w:styleId="720">
    <w:name w:val="Header Char"/>
    <w:basedOn w:val="752"/>
    <w:link w:val="1077"/>
    <w:uiPriority w:val="99"/>
  </w:style>
  <w:style w:type="character" w:styleId="721">
    <w:name w:val="Footer Char"/>
    <w:basedOn w:val="752"/>
    <w:link w:val="1074"/>
    <w:uiPriority w:val="99"/>
  </w:style>
  <w:style w:type="table" w:styleId="722">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default="1">
    <w:name w:val="Normal"/>
    <w:qFormat/>
    <w:pPr>
      <w:spacing w:after="200" w:line="276" w:lineRule="auto"/>
    </w:pPr>
    <w:rPr>
      <w:sz w:val="22"/>
      <w:szCs w:val="22"/>
    </w:rPr>
  </w:style>
  <w:style w:type="paragraph" w:styleId="743">
    <w:name w:val="Heading 1"/>
    <w:basedOn w:val="742"/>
    <w:next w:val="742"/>
    <w:link w:val="851"/>
    <w:uiPriority w:val="99"/>
    <w:qFormat/>
    <w:pPr>
      <w:keepLines/>
      <w:keepNext/>
      <w:spacing w:before="480" w:after="0"/>
      <w:outlineLvl w:val="0"/>
    </w:pPr>
    <w:rPr>
      <w:rFonts w:ascii="Cambria" w:hAnsi="Cambria"/>
      <w:b/>
      <w:bCs/>
      <w:color w:val="366091"/>
      <w:sz w:val="28"/>
      <w:szCs w:val="28"/>
    </w:rPr>
  </w:style>
  <w:style w:type="paragraph" w:styleId="744">
    <w:name w:val="Heading 2"/>
    <w:basedOn w:val="742"/>
    <w:next w:val="742"/>
    <w:link w:val="805"/>
    <w:qFormat/>
    <w:pPr>
      <w:keepLines/>
      <w:keepNext/>
      <w:spacing w:before="200" w:after="0"/>
      <w:outlineLvl w:val="1"/>
    </w:pPr>
    <w:rPr>
      <w:rFonts w:ascii="Cambria" w:hAnsi="Cambria"/>
      <w:b/>
      <w:bCs/>
      <w:color w:val="4f81bd"/>
      <w:sz w:val="26"/>
      <w:szCs w:val="26"/>
    </w:rPr>
  </w:style>
  <w:style w:type="paragraph" w:styleId="745">
    <w:name w:val="Heading 3"/>
    <w:basedOn w:val="742"/>
    <w:next w:val="742"/>
    <w:link w:val="893"/>
    <w:qFormat/>
    <w:pPr>
      <w:keepLines/>
      <w:keepNext/>
      <w:spacing w:before="200" w:after="0"/>
      <w:outlineLvl w:val="2"/>
    </w:pPr>
    <w:rPr>
      <w:rFonts w:ascii="Cambria" w:hAnsi="Cambria"/>
      <w:b/>
      <w:bCs/>
      <w:color w:val="4f81bd"/>
      <w:sz w:val="20"/>
      <w:szCs w:val="20"/>
    </w:rPr>
  </w:style>
  <w:style w:type="paragraph" w:styleId="746">
    <w:name w:val="Heading 4"/>
    <w:basedOn w:val="742"/>
    <w:next w:val="742"/>
    <w:link w:val="860"/>
    <w:qFormat/>
    <w:pPr>
      <w:keepLines/>
      <w:keepNext/>
      <w:spacing w:before="200" w:after="0"/>
      <w:outlineLvl w:val="3"/>
    </w:pPr>
    <w:rPr>
      <w:rFonts w:ascii="Cambria" w:hAnsi="Cambria"/>
      <w:b/>
      <w:bCs/>
      <w:i/>
      <w:iCs/>
      <w:color w:val="4f81bd"/>
      <w:sz w:val="20"/>
      <w:szCs w:val="20"/>
    </w:rPr>
  </w:style>
  <w:style w:type="paragraph" w:styleId="747">
    <w:name w:val="Heading 5"/>
    <w:basedOn w:val="742"/>
    <w:next w:val="742"/>
    <w:link w:val="902"/>
    <w:qFormat/>
    <w:pPr>
      <w:keepLines/>
      <w:keepNext/>
      <w:spacing w:before="200" w:after="0"/>
      <w:outlineLvl w:val="4"/>
    </w:pPr>
    <w:rPr>
      <w:rFonts w:ascii="Cambria" w:hAnsi="Cambria"/>
      <w:color w:val="244061"/>
      <w:sz w:val="20"/>
      <w:szCs w:val="20"/>
    </w:rPr>
  </w:style>
  <w:style w:type="paragraph" w:styleId="748">
    <w:name w:val="Heading 6"/>
    <w:basedOn w:val="742"/>
    <w:next w:val="742"/>
    <w:link w:val="890"/>
    <w:uiPriority w:val="99"/>
    <w:qFormat/>
    <w:pPr>
      <w:keepLines/>
      <w:keepNext/>
      <w:spacing w:before="200" w:after="0"/>
      <w:outlineLvl w:val="5"/>
    </w:pPr>
    <w:rPr>
      <w:rFonts w:ascii="Cambria" w:hAnsi="Cambria"/>
      <w:i/>
      <w:iCs/>
      <w:color w:val="244061"/>
      <w:sz w:val="20"/>
      <w:szCs w:val="20"/>
    </w:rPr>
  </w:style>
  <w:style w:type="paragraph" w:styleId="749">
    <w:name w:val="Heading 7"/>
    <w:basedOn w:val="742"/>
    <w:next w:val="742"/>
    <w:link w:val="865"/>
    <w:uiPriority w:val="99"/>
    <w:qFormat/>
    <w:pPr>
      <w:keepLines/>
      <w:keepNext/>
      <w:spacing w:before="200" w:after="0"/>
      <w:outlineLvl w:val="6"/>
    </w:pPr>
    <w:rPr>
      <w:rFonts w:ascii="Cambria" w:hAnsi="Cambria"/>
      <w:i/>
      <w:iCs/>
      <w:color w:val="3f3f3f"/>
      <w:sz w:val="20"/>
      <w:szCs w:val="20"/>
    </w:rPr>
  </w:style>
  <w:style w:type="paragraph" w:styleId="750">
    <w:name w:val="Heading 8"/>
    <w:basedOn w:val="742"/>
    <w:next w:val="742"/>
    <w:link w:val="858"/>
    <w:qFormat/>
    <w:pPr>
      <w:keepLines/>
      <w:keepNext/>
      <w:spacing w:before="200" w:after="0"/>
      <w:outlineLvl w:val="7"/>
    </w:pPr>
    <w:rPr>
      <w:rFonts w:ascii="Cambria" w:hAnsi="Cambria"/>
      <w:color w:val="4f81bd"/>
      <w:sz w:val="20"/>
      <w:szCs w:val="20"/>
    </w:rPr>
  </w:style>
  <w:style w:type="paragraph" w:styleId="751">
    <w:name w:val="Heading 9"/>
    <w:basedOn w:val="742"/>
    <w:next w:val="742"/>
    <w:link w:val="808"/>
    <w:uiPriority w:val="99"/>
    <w:qFormat/>
    <w:pPr>
      <w:keepLines/>
      <w:keepNext/>
      <w:spacing w:before="200" w:after="0"/>
      <w:outlineLvl w:val="8"/>
    </w:pPr>
    <w:rPr>
      <w:rFonts w:ascii="Cambria" w:hAnsi="Cambria"/>
      <w:i/>
      <w:iCs/>
      <w:color w:val="3f3f3f"/>
      <w:sz w:val="20"/>
      <w:szCs w:val="20"/>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character" w:styleId="755">
    <w:name w:val="Strong"/>
    <w:qFormat/>
    <w:rPr>
      <w:b/>
      <w:bCs/>
    </w:rPr>
  </w:style>
  <w:style w:type="character" w:styleId="756">
    <w:name w:val="HTML Variable"/>
    <w:qFormat/>
    <w:rPr>
      <w:rFonts w:ascii="Times New Roman" w:hAnsi="Times New Roman" w:eastAsia="宋体" w:cs="Times New Roman"/>
    </w:rPr>
  </w:style>
  <w:style w:type="character" w:styleId="757">
    <w:name w:val="endnote reference"/>
    <w:uiPriority w:val="99"/>
    <w:unhideWhenUsed/>
    <w:rPr>
      <w:vertAlign w:val="superscript"/>
    </w:rPr>
  </w:style>
  <w:style w:type="character" w:styleId="758">
    <w:name w:val="Hyperlink"/>
    <w:qFormat/>
    <w:rPr>
      <w:color w:val="0000ff"/>
      <w:u w:val="single"/>
    </w:rPr>
  </w:style>
  <w:style w:type="character" w:styleId="759">
    <w:name w:val="page number"/>
    <w:qFormat/>
  </w:style>
  <w:style w:type="character" w:styleId="760">
    <w:name w:val="HTML Code"/>
    <w:unhideWhenUsed/>
    <w:qFormat/>
    <w:rPr>
      <w:rFonts w:hint="default" w:ascii="Consolas" w:hAnsi="Consolas" w:eastAsia="Consolas" w:cs="Consolas"/>
      <w:color w:val="c7254e"/>
      <w:sz w:val="21"/>
      <w:szCs w:val="21"/>
      <w:shd w:val="clear" w:color="auto" w:fill="f9f2f4"/>
    </w:rPr>
  </w:style>
  <w:style w:type="character" w:styleId="761">
    <w:name w:val="FollowedHyperlink"/>
    <w:qFormat/>
    <w:rPr>
      <w:color w:val="800080"/>
      <w:u w:val="single"/>
    </w:rPr>
  </w:style>
  <w:style w:type="character" w:styleId="762">
    <w:name w:val="annotation reference"/>
    <w:qFormat/>
    <w:rPr>
      <w:sz w:val="21"/>
      <w:szCs w:val="21"/>
    </w:rPr>
  </w:style>
  <w:style w:type="character" w:styleId="763">
    <w:name w:val="Emphasis"/>
    <w:qFormat/>
    <w:rPr>
      <w:i/>
      <w:iCs/>
    </w:rPr>
  </w:style>
  <w:style w:type="character" w:styleId="764">
    <w:name w:val="HTML Definition"/>
    <w:unhideWhenUsed/>
    <w:qFormat/>
    <w:rPr>
      <w:rFonts w:ascii="Times New Roman" w:hAnsi="Times New Roman" w:eastAsia="宋体" w:cs="Times New Roman"/>
      <w:i/>
      <w:iCs/>
    </w:rPr>
  </w:style>
  <w:style w:type="character" w:styleId="765">
    <w:name w:val="HTML Cite"/>
    <w:qFormat/>
    <w:rPr>
      <w:rFonts w:ascii="Times New Roman" w:hAnsi="Times New Roman" w:eastAsia="宋体" w:cs="Times New Roman"/>
      <w:color w:val="008000"/>
    </w:rPr>
  </w:style>
  <w:style w:type="character" w:styleId="766">
    <w:name w:val="footnote reference"/>
    <w:uiPriority w:val="99"/>
    <w:unhideWhenUsed/>
    <w:rPr>
      <w:vertAlign w:val="superscript"/>
    </w:rPr>
  </w:style>
  <w:style w:type="character" w:styleId="767">
    <w:name w:val="HTML Keyboard"/>
    <w:unhideWhenUsed/>
    <w:qFormat/>
    <w:rPr>
      <w:rFonts w:hint="default" w:ascii="Consolas" w:hAnsi="Consolas" w:eastAsia="Consolas" w:cs="Consolas"/>
      <w:color w:val="ffffff"/>
      <w:sz w:val="21"/>
      <w:szCs w:val="21"/>
      <w:shd w:val="clear" w:color="auto" w:fill="333333"/>
    </w:rPr>
  </w:style>
  <w:style w:type="character" w:styleId="768">
    <w:name w:val="HTML Sample"/>
    <w:unhideWhenUsed/>
    <w:qFormat/>
    <w:rPr>
      <w:rFonts w:ascii="Consolas" w:hAnsi="Consolas" w:eastAsia="Consolas" w:cs="Consolas"/>
      <w:sz w:val="21"/>
      <w:szCs w:val="21"/>
    </w:rPr>
  </w:style>
  <w:style w:type="character" w:styleId="769" w:customStyle="1">
    <w:name w:val="正文文本缩进 字符1"/>
    <w:uiPriority w:val="99"/>
    <w:qFormat/>
    <w:rPr>
      <w:rFonts w:ascii="Calibri" w:hAnsi="Calibri" w:eastAsia="宋体" w:cs="Calibri"/>
      <w:szCs w:val="21"/>
    </w:rPr>
  </w:style>
  <w:style w:type="character" w:styleId="770" w:customStyle="1">
    <w:name w:val="正文文本缩进 2 字符1"/>
    <w:uiPriority w:val="99"/>
    <w:qFormat/>
    <w:rPr>
      <w:rFonts w:ascii="宋体" w:hAnsi="Calibri" w:eastAsia="宋体" w:cs="宋体"/>
      <w:sz w:val="20"/>
      <w:szCs w:val="20"/>
    </w:rPr>
  </w:style>
  <w:style w:type="character" w:styleId="771" w:customStyle="1">
    <w:name w:val="引用 Char"/>
    <w:link w:val="1084"/>
    <w:uiPriority w:val="99"/>
    <w:qFormat/>
    <w:rPr>
      <w:i/>
      <w:iCs/>
      <w:color w:val="000000"/>
    </w:rPr>
  </w:style>
  <w:style w:type="character" w:styleId="772" w:customStyle="1">
    <w:name w:val="标题 2 Char_0"/>
    <w:link w:val="1149"/>
    <w:uiPriority w:val="99"/>
    <w:qFormat/>
    <w:rPr>
      <w:rFonts w:ascii="Cambria" w:hAnsi="Cambria"/>
      <w:b/>
      <w:bCs/>
      <w:sz w:val="32"/>
      <w:szCs w:val="32"/>
    </w:rPr>
  </w:style>
  <w:style w:type="character" w:styleId="773" w:customStyle="1">
    <w:name w:val="标题 8 字符1"/>
    <w:qFormat/>
    <w:rPr>
      <w:rFonts w:ascii="Cambria" w:hAnsi="Cambria" w:eastAsia="宋体" w:cs="Cambria"/>
      <w:sz w:val="24"/>
      <w:szCs w:val="24"/>
    </w:rPr>
  </w:style>
  <w:style w:type="character" w:styleId="774" w:customStyle="1">
    <w:name w:val="页眉 字符1"/>
    <w:link w:val="1077"/>
    <w:uiPriority w:val="99"/>
    <w:qFormat/>
    <w:rPr>
      <w:sz w:val="18"/>
      <w:szCs w:val="18"/>
    </w:rPr>
  </w:style>
  <w:style w:type="character" w:styleId="775" w:customStyle="1">
    <w:name w:val="日期 字符1"/>
    <w:uiPriority w:val="99"/>
    <w:qFormat/>
    <w:rPr>
      <w:rFonts w:ascii="Calibri" w:hAnsi="Calibri" w:eastAsia="宋体" w:cs="Calibri"/>
      <w:szCs w:val="21"/>
    </w:rPr>
  </w:style>
  <w:style w:type="character" w:styleId="776" w:customStyle="1">
    <w:name w:val="标题 7 字符1"/>
    <w:uiPriority w:val="99"/>
    <w:qFormat/>
    <w:rPr>
      <w:rFonts w:ascii="Calibri" w:hAnsi="Calibri" w:eastAsia="宋体" w:cs="Calibri"/>
      <w:b/>
      <w:bCs/>
      <w:sz w:val="24"/>
      <w:szCs w:val="24"/>
    </w:rPr>
  </w:style>
  <w:style w:type="character" w:styleId="777" w:customStyle="1">
    <w:name w:val="批注主题 字符"/>
    <w:link w:val="1060"/>
    <w:uiPriority w:val="99"/>
    <w:qFormat/>
    <w:rPr>
      <w:rFonts w:ascii="Times New Roman" w:hAnsi="Times New Roman" w:eastAsia="宋体" w:cs="Times New Roman"/>
      <w:b/>
      <w:bCs/>
      <w:sz w:val="21"/>
      <w:szCs w:val="21"/>
    </w:rPr>
  </w:style>
  <w:style w:type="character" w:styleId="778" w:customStyle="1">
    <w:name w:val="标题 9 字符1"/>
    <w:uiPriority w:val="99"/>
    <w:qFormat/>
    <w:rPr>
      <w:rFonts w:ascii="Cambria" w:hAnsi="Cambria" w:eastAsia="宋体" w:cs="Cambria"/>
      <w:szCs w:val="21"/>
    </w:rPr>
  </w:style>
  <w:style w:type="character" w:styleId="779" w:customStyle="1">
    <w:name w:val="正文文本缩进 字符"/>
    <w:link w:val="1053"/>
    <w:uiPriority w:val="99"/>
    <w:qFormat/>
    <w:rPr>
      <w:rFonts w:ascii="楷体_GB2312" w:hAnsi="Times New Roman" w:eastAsia="楷体_GB2312" w:cs="Times New Roman"/>
      <w:sz w:val="32"/>
      <w:szCs w:val="32"/>
    </w:rPr>
  </w:style>
  <w:style w:type="character" w:styleId="780" w:customStyle="1">
    <w:name w:val="正文文本 3 字符1"/>
    <w:uiPriority w:val="99"/>
    <w:qFormat/>
    <w:rPr>
      <w:rFonts w:ascii="宋体" w:hAnsi="Calibri" w:eastAsia="宋体" w:cs="宋体"/>
      <w:sz w:val="24"/>
      <w:szCs w:val="24"/>
    </w:rPr>
  </w:style>
  <w:style w:type="character" w:styleId="781" w:customStyle="1">
    <w:name w:val="页脚 字符"/>
    <w:qFormat/>
    <w:rPr>
      <w:sz w:val="18"/>
      <w:szCs w:val="18"/>
    </w:rPr>
  </w:style>
  <w:style w:type="character" w:styleId="782" w:customStyle="1">
    <w:name w:val="prev2"/>
    <w:rPr>
      <w:rFonts w:ascii="微软雅黑" w:hAnsi="微软雅黑" w:eastAsia="微软雅黑" w:cs="微软雅黑"/>
      <w:sz w:val="21"/>
      <w:szCs w:val="21"/>
    </w:rPr>
  </w:style>
  <w:style w:type="character" w:styleId="783" w:customStyle="1">
    <w:name w:val="明显引用 Char"/>
    <w:link w:val="1086"/>
    <w:uiPriority w:val="99"/>
    <w:qFormat/>
    <w:rPr>
      <w:b/>
      <w:bCs/>
      <w:i/>
      <w:iCs/>
      <w:color w:val="4f81bd"/>
    </w:rPr>
  </w:style>
  <w:style w:type="character" w:styleId="784" w:customStyle="1">
    <w:name w:val="副标题 字符1"/>
    <w:uiPriority w:val="99"/>
    <w:qFormat/>
    <w:rPr>
      <w:rFonts w:ascii="Cambria" w:hAnsi="Cambria" w:eastAsia="宋体" w:cs="Cambria"/>
      <w:b/>
      <w:bCs/>
      <w:sz w:val="32"/>
      <w:szCs w:val="32"/>
    </w:rPr>
  </w:style>
  <w:style w:type="character" w:styleId="785" w:customStyle="1">
    <w:name w:val="页眉 字符"/>
    <w:qFormat/>
    <w:rPr>
      <w:sz w:val="18"/>
      <w:szCs w:val="18"/>
    </w:rPr>
  </w:style>
  <w:style w:type="character" w:styleId="786" w:customStyle="1">
    <w:name w:val="页眉 Char"/>
    <w:qFormat/>
    <w:rPr>
      <w:rFonts w:cs="Calibri"/>
      <w:sz w:val="18"/>
      <w:szCs w:val="18"/>
    </w:rPr>
  </w:style>
  <w:style w:type="character" w:styleId="787" w:customStyle="1">
    <w:name w:val="明显参考1"/>
    <w:uiPriority w:val="99"/>
    <w:qFormat/>
    <w:rPr>
      <w:b/>
      <w:bCs/>
      <w:smallCaps/>
      <w:color w:val="c0504d"/>
      <w:spacing w:val="5"/>
      <w:u w:val="single"/>
    </w:rPr>
  </w:style>
  <w:style w:type="character" w:styleId="788" w:customStyle="1">
    <w:name w:val="font31"/>
    <w:qFormat/>
    <w:rPr>
      <w:rFonts w:ascii="宋体" w:hAnsi="宋体" w:eastAsia="宋体" w:cs="宋体"/>
      <w:color w:val="000000"/>
      <w:sz w:val="20"/>
      <w:szCs w:val="20"/>
      <w:u w:val="none"/>
    </w:rPr>
  </w:style>
  <w:style w:type="character" w:styleId="789" w:customStyle="1">
    <w:name w:val="批注主题 字符1"/>
    <w:uiPriority w:val="99"/>
    <w:qFormat/>
    <w:rPr>
      <w:rFonts w:ascii="Calibri" w:hAnsi="Calibri" w:eastAsia="宋体" w:cs="Calibri"/>
      <w:b/>
      <w:bCs/>
      <w:szCs w:val="21"/>
    </w:rPr>
  </w:style>
  <w:style w:type="character" w:styleId="790" w:customStyle="1">
    <w:name w:val="纯文本 Char"/>
    <w:qFormat/>
    <w:rPr>
      <w:rFonts w:ascii="宋体" w:hAnsi="Courier New" w:eastAsia="宋体" w:cs="Courier New"/>
      <w:sz w:val="21"/>
      <w:szCs w:val="21"/>
    </w:rPr>
  </w:style>
  <w:style w:type="character" w:styleId="791" w:customStyle="1">
    <w:name w:val="批注文字 Char1"/>
    <w:uiPriority w:val="99"/>
    <w:qFormat/>
    <w:rPr>
      <w:rFonts w:ascii="Calibri" w:hAnsi="Calibri" w:eastAsia="宋体" w:cs="Calibri"/>
    </w:rPr>
  </w:style>
  <w:style w:type="character" w:styleId="792" w:customStyle="1">
    <w:name w:val="标题 5 字符1"/>
    <w:qFormat/>
    <w:rPr>
      <w:rFonts w:ascii="Calibri" w:hAnsi="Calibri" w:eastAsia="宋体" w:cs="Calibri"/>
      <w:b/>
      <w:bCs/>
      <w:sz w:val="28"/>
      <w:szCs w:val="28"/>
    </w:rPr>
  </w:style>
  <w:style w:type="character" w:styleId="793" w:customStyle="1">
    <w:name w:val="正文文本首行缩进 字符"/>
    <w:link w:val="1078"/>
    <w:qFormat/>
    <w:rPr>
      <w:rFonts w:ascii="仿宋_GB2312" w:hAnsi="Times New Roman" w:eastAsia="仿宋_GB2312" w:cs="Times New Roman"/>
      <w:sz w:val="30"/>
      <w:szCs w:val="30"/>
    </w:rPr>
  </w:style>
  <w:style w:type="character" w:styleId="794" w:customStyle="1">
    <w:name w:val="ant-typography-ellipsis-single-line"/>
    <w:qFormat/>
    <w:rPr>
      <w:rFonts w:ascii="Times New Roman" w:hAnsi="Times New Roman" w:eastAsia="宋体" w:cs="Times New Roman"/>
    </w:rPr>
  </w:style>
  <w:style w:type="character" w:styleId="795" w:customStyle="1">
    <w:name w:val="普通正文 Char"/>
    <w:link w:val="1081"/>
    <w:qFormat/>
    <w:rPr>
      <w:rFonts w:ascii="Arial" w:hAnsi="Arial"/>
      <w:sz w:val="24"/>
      <w:szCs w:val="24"/>
    </w:rPr>
  </w:style>
  <w:style w:type="character" w:styleId="796" w:customStyle="1">
    <w:name w:val="textcontents"/>
    <w:uiPriority w:val="99"/>
    <w:qFormat/>
    <w:rPr>
      <w:rFonts w:ascii="Times New Roman" w:hAnsi="Times New Roman" w:eastAsia="宋体" w:cs="Times New Roman"/>
    </w:rPr>
  </w:style>
  <w:style w:type="character" w:styleId="797" w:customStyle="1">
    <w:name w:val="批注主题 Char2"/>
    <w:uiPriority w:val="99"/>
    <w:qFormat/>
    <w:rPr>
      <w:rFonts w:ascii="Times New Roman" w:hAnsi="Times New Roman" w:eastAsia="宋体" w:cs="Times New Roman"/>
      <w:b/>
      <w:bCs/>
      <w:sz w:val="21"/>
      <w:szCs w:val="21"/>
    </w:rPr>
  </w:style>
  <w:style w:type="character" w:styleId="798" w:customStyle="1">
    <w:name w:val="as_fail"/>
    <w:qFormat/>
    <w:rPr>
      <w:rFonts w:ascii="Times New Roman" w:hAnsi="Times New Roman" w:eastAsia="宋体" w:cs="Times New Roman"/>
    </w:rPr>
  </w:style>
  <w:style w:type="character" w:styleId="799" w:customStyle="1">
    <w:name w:val="fbc_ico3"/>
    <w:qFormat/>
    <w:rPr>
      <w:rFonts w:ascii="Times New Roman" w:hAnsi="Times New Roman" w:eastAsia="宋体" w:cs="Times New Roman"/>
    </w:rPr>
  </w:style>
  <w:style w:type="character" w:styleId="800" w:customStyle="1">
    <w:name w:val="Endnote Text Char"/>
    <w:uiPriority w:val="99"/>
    <w:rPr>
      <w:sz w:val="20"/>
    </w:rPr>
  </w:style>
  <w:style w:type="character" w:styleId="801" w:customStyle="1">
    <w:name w:val="ant-transfer-list-search-action"/>
    <w:qFormat/>
    <w:rPr>
      <w:rFonts w:ascii="Times New Roman" w:hAnsi="Times New Roman" w:eastAsia="宋体" w:cs="Times New Roman"/>
    </w:rPr>
  </w:style>
  <w:style w:type="character" w:styleId="802" w:customStyle="1">
    <w:name w:val="已访问的超链接1"/>
    <w:rPr>
      <w:rFonts w:hint="eastAsia" w:ascii="微软雅黑" w:hAnsi="微软雅黑" w:eastAsia="微软雅黑" w:cs="微软雅黑"/>
      <w:color w:val="02396f"/>
      <w:u w:val="single"/>
    </w:rPr>
  </w:style>
  <w:style w:type="character" w:styleId="803" w:customStyle="1">
    <w:name w:val="副标题 Char1"/>
    <w:uiPriority w:val="99"/>
    <w:qFormat/>
    <w:rPr>
      <w:rFonts w:ascii="Cambria" w:hAnsi="Cambria" w:eastAsia="宋体" w:cs="Cambria"/>
      <w:b/>
      <w:bCs/>
      <w:sz w:val="32"/>
      <w:szCs w:val="32"/>
    </w:rPr>
  </w:style>
  <w:style w:type="character" w:styleId="804" w:customStyle="1">
    <w:name w:val="页码1"/>
  </w:style>
  <w:style w:type="character" w:styleId="805" w:customStyle="1">
    <w:name w:val="标题 2 字符"/>
    <w:link w:val="744"/>
    <w:qFormat/>
    <w:rPr>
      <w:rFonts w:ascii="Cambria" w:hAnsi="Cambria" w:eastAsia="宋体" w:cs="Times New Roman"/>
      <w:b/>
      <w:bCs/>
      <w:color w:val="4f81bd"/>
      <w:sz w:val="26"/>
      <w:szCs w:val="26"/>
    </w:rPr>
  </w:style>
  <w:style w:type="character" w:styleId="806" w:customStyle="1">
    <w:name w:val="ant-radio+*"/>
    <w:qFormat/>
    <w:rPr>
      <w:rFonts w:ascii="Times New Roman" w:hAnsi="Times New Roman" w:eastAsia="宋体" w:cs="Times New Roman"/>
    </w:rPr>
  </w:style>
  <w:style w:type="character" w:styleId="807" w:customStyle="1">
    <w:name w:val="要点1"/>
    <w:qFormat/>
    <w:rPr>
      <w:b/>
      <w:bCs/>
    </w:rPr>
  </w:style>
  <w:style w:type="character" w:styleId="808" w:customStyle="1">
    <w:name w:val="标题 9 字符"/>
    <w:link w:val="751"/>
    <w:uiPriority w:val="99"/>
    <w:qFormat/>
    <w:rPr>
      <w:rFonts w:ascii="Cambria" w:hAnsi="Cambria" w:eastAsia="宋体" w:cs="Times New Roman"/>
      <w:i/>
      <w:iCs/>
      <w:color w:val="3f3f3f"/>
      <w:sz w:val="20"/>
      <w:szCs w:val="20"/>
    </w:rPr>
  </w:style>
  <w:style w:type="character" w:styleId="809" w:customStyle="1">
    <w:name w:val="超链接_0"/>
    <w:uiPriority w:val="99"/>
    <w:qFormat/>
    <w:rPr>
      <w:rFonts w:ascii="Calibri" w:hAnsi="Calibri" w:eastAsia="宋体" w:cs="Calibri"/>
      <w:color w:val="0000ff"/>
      <w:u w:val="single"/>
    </w:rPr>
  </w:style>
  <w:style w:type="character" w:styleId="810" w:customStyle="1">
    <w:name w:val="正文缩进 Char"/>
    <w:link w:val="1137"/>
    <w:qFormat/>
    <w:rPr>
      <w:rFonts w:cs="Calibri"/>
      <w:b/>
      <w:bCs/>
      <w:sz w:val="24"/>
      <w:szCs w:val="24"/>
    </w:rPr>
  </w:style>
  <w:style w:type="character" w:styleId="811" w:customStyle="1">
    <w:name w:val="文档结构图 Char2"/>
    <w:uiPriority w:val="99"/>
    <w:semiHidden/>
    <w:qFormat/>
    <w:rPr>
      <w:rFonts w:ascii="宋体" w:hAnsi="Calibri" w:eastAsia="宋体" w:cs="宋体"/>
      <w:sz w:val="18"/>
      <w:szCs w:val="18"/>
    </w:rPr>
  </w:style>
  <w:style w:type="character" w:styleId="812" w:customStyle="1">
    <w:name w:val="next"/>
    <w:rPr>
      <w:rFonts w:hint="eastAsia" w:ascii="微软雅黑" w:hAnsi="微软雅黑" w:eastAsia="微软雅黑" w:cs="微软雅黑"/>
      <w:sz w:val="21"/>
      <w:szCs w:val="21"/>
    </w:rPr>
  </w:style>
  <w:style w:type="character" w:styleId="813" w:customStyle="1">
    <w:name w:val="明显引用 Char1"/>
    <w:uiPriority w:val="99"/>
    <w:qFormat/>
    <w:rPr>
      <w:rFonts w:ascii="Times New Roman" w:hAnsi="Times New Roman" w:eastAsia="宋体" w:cs="Times New Roman"/>
      <w:b/>
      <w:bCs/>
      <w:i/>
      <w:iCs/>
      <w:color w:val="4f81bd"/>
      <w:sz w:val="21"/>
      <w:szCs w:val="21"/>
    </w:rPr>
  </w:style>
  <w:style w:type="character" w:styleId="814">
    <w:name w:val="Intense Emphasis"/>
    <w:uiPriority w:val="21"/>
    <w:qFormat/>
    <w:rPr>
      <w:i/>
      <w:iCs/>
      <w:color w:val="0f4761"/>
    </w:rPr>
  </w:style>
  <w:style w:type="character" w:styleId="815" w:customStyle="1">
    <w:name w:val="ant-tree-switcher"/>
    <w:qFormat/>
    <w:rPr>
      <w:rFonts w:ascii="Times New Roman" w:hAnsi="Times New Roman" w:eastAsia="宋体" w:cs="Times New Roman"/>
    </w:rPr>
  </w:style>
  <w:style w:type="character" w:styleId="816" w:customStyle="1">
    <w:name w:val="标题 3 字符1"/>
    <w:qFormat/>
    <w:rPr>
      <w:rFonts w:ascii="Calibri" w:hAnsi="Calibri" w:eastAsia="宋体" w:cs="Calibri"/>
      <w:b/>
      <w:bCs/>
      <w:sz w:val="32"/>
      <w:szCs w:val="32"/>
    </w:rPr>
  </w:style>
  <w:style w:type="character" w:styleId="817" w:customStyle="1">
    <w:name w:val="日期 字符"/>
    <w:link w:val="1061"/>
    <w:uiPriority w:val="99"/>
    <w:qFormat/>
    <w:rPr>
      <w:rFonts w:ascii="Times New Roman" w:hAnsi="Times New Roman" w:eastAsia="宋体" w:cs="Times New Roman"/>
      <w:sz w:val="24"/>
      <w:szCs w:val="24"/>
    </w:rPr>
  </w:style>
  <w:style w:type="character" w:styleId="818" w:customStyle="1">
    <w:name w:val="morelink-item"/>
    <w:qFormat/>
    <w:rPr>
      <w:rFonts w:ascii="Times New Roman" w:hAnsi="Times New Roman" w:eastAsia="宋体" w:cs="Times New Roman"/>
    </w:rPr>
  </w:style>
  <w:style w:type="character" w:styleId="819" w:customStyle="1">
    <w:name w:val="cfdate"/>
    <w:rPr>
      <w:color w:val="333333"/>
      <w:sz w:val="18"/>
      <w:szCs w:val="18"/>
    </w:rPr>
  </w:style>
  <w:style w:type="character" w:styleId="820" w:customStyle="1">
    <w:name w:val="脚注文本 字符"/>
    <w:link w:val="1055"/>
    <w:uiPriority w:val="99"/>
    <w:rPr>
      <w:rFonts w:ascii="Times New Roman" w:hAnsi="Times New Roman"/>
      <w:sz w:val="18"/>
    </w:rPr>
  </w:style>
  <w:style w:type="character" w:styleId="821" w:customStyle="1">
    <w:name w:val="t-tree-expanded"/>
    <w:qFormat/>
    <w:rPr>
      <w:rFonts w:ascii="Times New Roman" w:hAnsi="Times New Roman" w:eastAsia="宋体" w:cs="Times New Roman"/>
    </w:rPr>
  </w:style>
  <w:style w:type="character" w:styleId="822" w:customStyle="1">
    <w:name w:val="redfilenumber"/>
    <w:rPr>
      <w:color w:val="ba2636"/>
      <w:sz w:val="18"/>
      <w:szCs w:val="18"/>
    </w:rPr>
  </w:style>
  <w:style w:type="character" w:styleId="823" w:customStyle="1">
    <w:name w:val="正文缩进 字符1"/>
    <w:link w:val="1063"/>
    <w:qFormat/>
    <w:rPr>
      <w:sz w:val="21"/>
    </w:rPr>
  </w:style>
  <w:style w:type="character" w:styleId="824" w:customStyle="1">
    <w:name w:val="t-render-object-error"/>
    <w:qFormat/>
    <w:rPr>
      <w:rFonts w:ascii="Times New Roman" w:hAnsi="Times New Roman" w:eastAsia="宋体" w:cs="Times New Roman"/>
      <w:b/>
      <w:i/>
      <w:color w:val="ff0000"/>
    </w:rPr>
  </w:style>
  <w:style w:type="character" w:styleId="825" w:customStyle="1">
    <w:name w:val="宏文本 字符"/>
    <w:qFormat/>
    <w:rPr>
      <w:rFonts w:ascii="Courier New" w:hAnsi="Courier New" w:cs="Courier New"/>
      <w:sz w:val="24"/>
      <w:szCs w:val="24"/>
    </w:rPr>
  </w:style>
  <w:style w:type="character" w:styleId="826" w:customStyle="1">
    <w:name w:val="正文文本缩进 2 字符"/>
    <w:link w:val="1041"/>
    <w:uiPriority w:val="99"/>
    <w:qFormat/>
    <w:rPr>
      <w:rFonts w:ascii="Arial" w:hAnsi="Arial" w:eastAsia="仿宋_GB2312" w:cs="Arial"/>
      <w:sz w:val="32"/>
      <w:szCs w:val="32"/>
    </w:rPr>
  </w:style>
  <w:style w:type="character" w:styleId="827" w:customStyle="1">
    <w:name w:val="日期 Char1"/>
    <w:uiPriority w:val="99"/>
    <w:qFormat/>
    <w:rPr>
      <w:rFonts w:ascii="Calibri" w:hAnsi="Calibri" w:eastAsia="宋体" w:cs="Calibri"/>
    </w:rPr>
  </w:style>
  <w:style w:type="character" w:styleId="828" w:customStyle="1">
    <w:name w:val="宏文本 字符2"/>
    <w:link w:val="1070"/>
    <w:qFormat/>
    <w:rPr>
      <w:rFonts w:ascii="Courier New" w:hAnsi="Courier New" w:cs="Calibri"/>
    </w:rPr>
  </w:style>
  <w:style w:type="character" w:styleId="829" w:customStyle="1">
    <w:name w:val="正文文本 3 字符"/>
    <w:link w:val="1064"/>
    <w:uiPriority w:val="99"/>
    <w:qFormat/>
    <w:rPr>
      <w:rFonts w:ascii="仿宋_GB2312" w:hAnsi="Arial" w:eastAsia="仿宋_GB2312" w:cs="Times New Roman"/>
      <w:sz w:val="32"/>
      <w:szCs w:val="32"/>
    </w:rPr>
  </w:style>
  <w:style w:type="character" w:styleId="830" w:customStyle="1">
    <w:name w:val="表格文字 字符"/>
    <w:link w:val="1221"/>
    <w:uiPriority w:val="99"/>
    <w:qFormat/>
    <w:rPr>
      <w:sz w:val="22"/>
    </w:rPr>
  </w:style>
  <w:style w:type="character" w:styleId="831" w:customStyle="1">
    <w:name w:val="标题 1 字符2"/>
    <w:uiPriority w:val="99"/>
    <w:qFormat/>
    <w:rPr>
      <w:rFonts w:ascii="Times New Roman" w:hAnsi="Times New Roman" w:eastAsia="宋体" w:cs="Calibri"/>
      <w:b/>
      <w:bCs/>
      <w:sz w:val="32"/>
      <w:szCs w:val="32"/>
    </w:rPr>
  </w:style>
  <w:style w:type="character" w:styleId="832" w:customStyle="1">
    <w:name w:val="页脚 字符1"/>
    <w:link w:val="1074"/>
    <w:qFormat/>
    <w:rPr>
      <w:sz w:val="18"/>
      <w:szCs w:val="18"/>
    </w:rPr>
  </w:style>
  <w:style w:type="character" w:styleId="833" w:customStyle="1">
    <w:name w:val="sidecatalog-index1"/>
    <w:qFormat/>
    <w:rPr>
      <w:rFonts w:ascii="Arial" w:hAnsi="Arial" w:eastAsia="宋体" w:cs="Arial"/>
      <w:b/>
      <w:color w:val="999999"/>
      <w:sz w:val="21"/>
      <w:szCs w:val="21"/>
    </w:rPr>
  </w:style>
  <w:style w:type="character" w:styleId="834" w:customStyle="1">
    <w:name w:val="qxdate"/>
    <w:rPr>
      <w:color w:val="333333"/>
      <w:sz w:val="18"/>
      <w:szCs w:val="18"/>
    </w:rPr>
  </w:style>
  <w:style w:type="character" w:styleId="835" w:customStyle="1">
    <w:name w:val="批注文字 字符"/>
    <w:link w:val="1049"/>
    <w:qFormat/>
    <w:rPr>
      <w:rFonts w:ascii="Times New Roman" w:hAnsi="Times New Roman" w:eastAsia="宋体" w:cs="Times New Roman"/>
      <w:sz w:val="21"/>
      <w:szCs w:val="21"/>
    </w:rPr>
  </w:style>
  <w:style w:type="character" w:styleId="836" w:customStyle="1">
    <w:name w:val="polysemyred"/>
    <w:qFormat/>
    <w:rPr>
      <w:rFonts w:ascii="Times New Roman" w:hAnsi="Times New Roman" w:eastAsia="宋体" w:cs="Times New Roman"/>
      <w:color w:val="ff6666"/>
      <w:sz w:val="18"/>
      <w:szCs w:val="18"/>
    </w:rPr>
  </w:style>
  <w:style w:type="character" w:styleId="837" w:customStyle="1">
    <w:name w:val="Table Sub Section Char"/>
    <w:link w:val="1088"/>
    <w:qFormat/>
    <w:rPr>
      <w:rFonts w:ascii="Arial" w:hAnsi="Arial" w:eastAsia="宋体" w:cs="Times New Roman"/>
      <w:b/>
      <w:color w:val="0f0f0f"/>
      <w:sz w:val="20"/>
      <w:szCs w:val="20"/>
      <w:lang w:eastAsia="en-US"/>
    </w:rPr>
  </w:style>
  <w:style w:type="character" w:styleId="838" w:customStyle="1">
    <w:name w:val="标题 字符1"/>
    <w:uiPriority w:val="99"/>
    <w:qFormat/>
    <w:rPr>
      <w:rFonts w:ascii="Arial" w:hAnsi="Arial" w:eastAsia="宋体" w:cs="Arial"/>
      <w:b/>
      <w:bCs/>
      <w:sz w:val="32"/>
      <w:szCs w:val="32"/>
    </w:rPr>
  </w:style>
  <w:style w:type="character" w:styleId="839" w:customStyle="1">
    <w:name w:val="默认段落字体1"/>
    <w:semiHidden/>
  </w:style>
  <w:style w:type="character" w:styleId="840" w:customStyle="1">
    <w:name w:val="书籍标题1"/>
    <w:uiPriority w:val="99"/>
    <w:qFormat/>
    <w:rPr>
      <w:b/>
      <w:bCs/>
      <w:smallCaps/>
      <w:spacing w:val="5"/>
    </w:rPr>
  </w:style>
  <w:style w:type="character" w:styleId="841" w:customStyle="1">
    <w:name w:val="正文文本 字符1"/>
    <w:qFormat/>
    <w:rPr>
      <w:rFonts w:ascii="Calibri" w:hAnsi="Calibri" w:eastAsia="幼圆" w:cs="Calibri"/>
      <w:b/>
      <w:bCs/>
      <w:sz w:val="44"/>
      <w:szCs w:val="44"/>
    </w:rPr>
  </w:style>
  <w:style w:type="character" w:styleId="842" w:customStyle="1">
    <w:name w:val="不明显强调1"/>
    <w:uiPriority w:val="99"/>
    <w:qFormat/>
    <w:rPr>
      <w:i/>
      <w:iCs/>
      <w:color w:val="7e7e7e"/>
    </w:rPr>
  </w:style>
  <w:style w:type="character" w:styleId="843" w:customStyle="1">
    <w:name w:val="批注框文本 字符1"/>
    <w:qFormat/>
    <w:rPr>
      <w:rFonts w:ascii="Calibri" w:hAnsi="Calibri" w:eastAsia="宋体" w:cs="Calibri"/>
      <w:sz w:val="18"/>
      <w:szCs w:val="18"/>
    </w:rPr>
  </w:style>
  <w:style w:type="character" w:styleId="844" w:customStyle="1">
    <w:name w:val="无间隔 Char"/>
    <w:link w:val="1083"/>
    <w:uiPriority w:val="1"/>
    <w:qFormat/>
    <w:rPr>
      <w:sz w:val="22"/>
      <w:szCs w:val="22"/>
      <w:lang w:val="en-US" w:eastAsia="zh-CN" w:bidi="ar-SA"/>
    </w:rPr>
  </w:style>
  <w:style w:type="character" w:styleId="845" w:customStyle="1">
    <w:name w:val="正文文本缩进 3 字符1"/>
    <w:uiPriority w:val="99"/>
    <w:qFormat/>
    <w:rPr>
      <w:rFonts w:ascii="Calibri" w:hAnsi="Calibri" w:eastAsia="宋体" w:cs="Calibri"/>
      <w:sz w:val="16"/>
      <w:szCs w:val="16"/>
    </w:rPr>
  </w:style>
  <w:style w:type="character" w:styleId="846" w:customStyle="1">
    <w:name w:val="不明显参考1"/>
    <w:uiPriority w:val="99"/>
    <w:qFormat/>
    <w:rPr>
      <w:smallCaps/>
      <w:color w:val="c0504d"/>
      <w:u w:val="single"/>
    </w:rPr>
  </w:style>
  <w:style w:type="character" w:styleId="847" w:customStyle="1">
    <w:name w:val="页脚 Char2"/>
    <w:qFormat/>
    <w:rPr>
      <w:rFonts w:cs="Calibri"/>
      <w:sz w:val="18"/>
      <w:szCs w:val="18"/>
    </w:rPr>
  </w:style>
  <w:style w:type="character" w:styleId="848" w:customStyle="1">
    <w:name w:val="fontstyle01"/>
    <w:qFormat/>
    <w:rPr>
      <w:rFonts w:hint="default" w:ascii="FZSSK--GBK1-0" w:hAnsi="FZSSK--GBK1-0"/>
      <w:color w:val="242021"/>
      <w:sz w:val="24"/>
      <w:szCs w:val="24"/>
    </w:rPr>
  </w:style>
  <w:style w:type="character" w:styleId="849" w:customStyle="1">
    <w:name w:val="font161"/>
    <w:uiPriority w:val="99"/>
    <w:qFormat/>
    <w:rPr>
      <w:rFonts w:ascii="Times New Roman" w:hAnsi="Times New Roman" w:eastAsia="宋体" w:cs="Times New Roman"/>
      <w:b/>
      <w:bCs/>
      <w:sz w:val="32"/>
      <w:szCs w:val="32"/>
    </w:rPr>
  </w:style>
  <w:style w:type="character" w:styleId="850" w:customStyle="1">
    <w:name w:val="redfilefwwh"/>
    <w:rPr>
      <w:color w:val="ba2636"/>
      <w:sz w:val="18"/>
      <w:szCs w:val="18"/>
    </w:rPr>
  </w:style>
  <w:style w:type="character" w:styleId="851" w:customStyle="1">
    <w:name w:val="标题 1 字符"/>
    <w:link w:val="743"/>
    <w:qFormat/>
    <w:rPr>
      <w:rFonts w:ascii="Cambria" w:hAnsi="Cambria" w:eastAsia="宋体" w:cs="Times New Roman"/>
      <w:b/>
      <w:bCs/>
      <w:color w:val="366091"/>
      <w:sz w:val="28"/>
      <w:szCs w:val="28"/>
    </w:rPr>
  </w:style>
  <w:style w:type="character" w:styleId="852" w:customStyle="1">
    <w:name w:val="zcf_title"/>
    <w:qFormat/>
    <w:rPr>
      <w:rFonts w:ascii="Times New Roman" w:hAnsi="Times New Roman" w:eastAsia="宋体" w:cs="Times New Roman"/>
      <w:color w:val="f25618"/>
      <w:sz w:val="36"/>
      <w:szCs w:val="36"/>
      <w:shd w:val="clear" w:color="auto" w:fill="ffffff"/>
    </w:rPr>
  </w:style>
  <w:style w:type="character" w:styleId="853" w:customStyle="1">
    <w:name w:val="引用 字符"/>
    <w:link w:val="1143"/>
    <w:uiPriority w:val="29"/>
    <w:rPr>
      <w:rFonts w:ascii="Times New Roman" w:hAnsi="Times New Roman"/>
      <w:i/>
    </w:rPr>
  </w:style>
  <w:style w:type="character" w:styleId="854" w:customStyle="1">
    <w:name w:val="ant-transfer-list-search-action2"/>
    <w:qFormat/>
    <w:rPr>
      <w:rFonts w:ascii="Times New Roman" w:hAnsi="Times New Roman" w:eastAsia="宋体" w:cs="Times New Roman"/>
    </w:rPr>
  </w:style>
  <w:style w:type="character" w:styleId="855" w:customStyle="1">
    <w:name w:val="明显引用 字符"/>
    <w:link w:val="1147"/>
    <w:uiPriority w:val="30"/>
    <w:qFormat/>
    <w:rPr>
      <w:rFonts w:ascii="Times New Roman" w:hAnsi="Times New Roman"/>
      <w:i/>
      <w:shd w:val="clear" w:color="auto" w:fill="f2f2f2"/>
    </w:rPr>
  </w:style>
  <w:style w:type="character" w:styleId="856" w:customStyle="1">
    <w:name w:val="font01"/>
    <w:qFormat/>
    <w:rPr>
      <w:rFonts w:hint="eastAsia" w:ascii="宋体" w:hAnsi="宋体" w:eastAsia="宋体" w:cs="宋体"/>
      <w:b/>
      <w:color w:val="000000"/>
      <w:sz w:val="21"/>
      <w:szCs w:val="21"/>
      <w:u w:val="none"/>
    </w:rPr>
  </w:style>
  <w:style w:type="character" w:styleId="857" w:customStyle="1">
    <w:name w:val="批注引用1"/>
    <w:semiHidden/>
    <w:rPr>
      <w:sz w:val="21"/>
      <w:szCs w:val="21"/>
    </w:rPr>
  </w:style>
  <w:style w:type="character" w:styleId="858" w:customStyle="1">
    <w:name w:val="标题 8 字符"/>
    <w:link w:val="750"/>
    <w:uiPriority w:val="99"/>
    <w:qFormat/>
    <w:rPr>
      <w:rFonts w:ascii="Cambria" w:hAnsi="Cambria" w:eastAsia="宋体" w:cs="Times New Roman"/>
      <w:color w:val="4f81bd"/>
      <w:sz w:val="20"/>
      <w:szCs w:val="20"/>
    </w:rPr>
  </w:style>
  <w:style w:type="character" w:styleId="859" w:customStyle="1">
    <w:name w:val="超链接1"/>
    <w:rPr>
      <w:rFonts w:hint="eastAsia" w:ascii="微软雅黑" w:hAnsi="微软雅黑" w:eastAsia="微软雅黑" w:cs="微软雅黑"/>
      <w:color w:val="02396f"/>
      <w:u w:val="single"/>
    </w:rPr>
  </w:style>
  <w:style w:type="character" w:styleId="860" w:customStyle="1">
    <w:name w:val="标题 4 字符"/>
    <w:link w:val="746"/>
    <w:uiPriority w:val="99"/>
    <w:qFormat/>
    <w:rPr>
      <w:rFonts w:ascii="Cambria" w:hAnsi="Cambria" w:eastAsia="宋体" w:cs="Times New Roman"/>
      <w:b/>
      <w:bCs/>
      <w:i/>
      <w:iCs/>
      <w:color w:val="4f81bd"/>
    </w:rPr>
  </w:style>
  <w:style w:type="character" w:styleId="861" w:customStyle="1">
    <w:name w:val="label10"/>
    <w:qFormat/>
    <w:rPr>
      <w:rFonts w:ascii="Times New Roman" w:hAnsi="Times New Roman" w:eastAsia="宋体" w:cs="Times New Roman"/>
      <w:color w:val="1cc09f"/>
      <w:shd w:val="clear" w:color="auto" w:fill="ffffff"/>
    </w:rPr>
  </w:style>
  <w:style w:type="character" w:styleId="862" w:customStyle="1">
    <w:name w:val="二级目录 Char"/>
    <w:link w:val="1087"/>
    <w:qFormat/>
    <w:rPr>
      <w:b/>
      <w:sz w:val="30"/>
      <w:szCs w:val="28"/>
      <w:lang w:val="en-US" w:eastAsia="zh-CN" w:bidi="ar-SA"/>
    </w:rPr>
  </w:style>
  <w:style w:type="character" w:styleId="863" w:customStyle="1">
    <w:name w:val="引用 Char2"/>
    <w:uiPriority w:val="99"/>
    <w:qFormat/>
    <w:rPr>
      <w:rFonts w:ascii="Times New Roman" w:hAnsi="Times New Roman" w:eastAsia="宋体" w:cs="Times New Roman"/>
      <w:i/>
      <w:iCs/>
      <w:color w:val="000000"/>
      <w:sz w:val="24"/>
      <w:szCs w:val="24"/>
    </w:rPr>
  </w:style>
  <w:style w:type="character" w:styleId="864" w:customStyle="1">
    <w:name w:val="font21"/>
    <w:qFormat/>
    <w:rPr>
      <w:rFonts w:hint="eastAsia" w:ascii="微软雅黑" w:hAnsi="微软雅黑" w:eastAsia="微软雅黑" w:cs="微软雅黑"/>
      <w:i w:val="0"/>
      <w:iCs w:val="0"/>
      <w:color w:val="000000"/>
      <w:sz w:val="18"/>
      <w:szCs w:val="18"/>
      <w:u w:val="none"/>
    </w:rPr>
  </w:style>
  <w:style w:type="character" w:styleId="865" w:customStyle="1">
    <w:name w:val="标题 7 字符"/>
    <w:link w:val="749"/>
    <w:uiPriority w:val="99"/>
    <w:qFormat/>
    <w:rPr>
      <w:rFonts w:ascii="Cambria" w:hAnsi="Cambria" w:eastAsia="宋体" w:cs="Times New Roman"/>
      <w:i/>
      <w:iCs/>
      <w:color w:val="3f3f3f"/>
    </w:rPr>
  </w:style>
  <w:style w:type="character" w:styleId="866" w:customStyle="1">
    <w:name w:val="副标题 Char2"/>
    <w:uiPriority w:val="99"/>
    <w:qFormat/>
    <w:rPr>
      <w:rFonts w:ascii="Cambria" w:hAnsi="Cambria" w:eastAsia="宋体" w:cs="Cambria"/>
      <w:b/>
      <w:bCs/>
      <w:sz w:val="32"/>
      <w:szCs w:val="32"/>
    </w:rPr>
  </w:style>
  <w:style w:type="character" w:styleId="867" w:customStyle="1">
    <w:name w:val="gjfg"/>
  </w:style>
  <w:style w:type="character" w:styleId="868" w:customStyle="1">
    <w:name w:val="正文文本 字符"/>
    <w:link w:val="1059"/>
    <w:qFormat/>
    <w:rPr>
      <w:rFonts w:ascii="楷体_GB2312" w:hAnsi="Arial" w:eastAsia="楷体_GB2312" w:cs="Times New Roman"/>
      <w:sz w:val="28"/>
      <w:szCs w:val="28"/>
    </w:rPr>
  </w:style>
  <w:style w:type="character" w:styleId="869" w:customStyle="1">
    <w:name w:val="正文文本缩进 3 Char1"/>
    <w:uiPriority w:val="99"/>
    <w:semiHidden/>
    <w:qFormat/>
    <w:rPr>
      <w:rFonts w:ascii="Times New Roman" w:hAnsi="Times New Roman" w:eastAsia="宋体" w:cs="Times New Roman"/>
      <w:sz w:val="16"/>
      <w:szCs w:val="16"/>
    </w:rPr>
  </w:style>
  <w:style w:type="character" w:styleId="870" w:customStyle="1">
    <w:name w:val="标题 6 字符1"/>
    <w:uiPriority w:val="99"/>
    <w:qFormat/>
    <w:rPr>
      <w:rFonts w:ascii="Cambria" w:hAnsi="Cambria" w:eastAsia="宋体" w:cs="Cambria"/>
      <w:b/>
      <w:bCs/>
      <w:sz w:val="24"/>
      <w:szCs w:val="24"/>
    </w:rPr>
  </w:style>
  <w:style w:type="character" w:styleId="871" w:customStyle="1">
    <w:name w:val="批注框文本 字符"/>
    <w:link w:val="1056"/>
    <w:qFormat/>
    <w:rPr>
      <w:sz w:val="18"/>
      <w:szCs w:val="18"/>
    </w:rPr>
  </w:style>
  <w:style w:type="character" w:styleId="872" w:customStyle="1">
    <w:name w:val="未处理的提及1"/>
    <w:uiPriority w:val="99"/>
    <w:unhideWhenUsed/>
    <w:qFormat/>
    <w:rPr>
      <w:rFonts w:ascii="Times New Roman" w:hAnsi="Times New Roman" w:eastAsia="宋体" w:cs="Times New Roman"/>
      <w:color w:val="605e5c"/>
      <w:shd w:val="clear" w:color="auto" w:fill="e1dfdd"/>
    </w:rPr>
  </w:style>
  <w:style w:type="character" w:styleId="873" w:customStyle="1">
    <w:name w:val="标题 2 字符1"/>
    <w:qFormat/>
    <w:rPr>
      <w:rFonts w:ascii="Cambria" w:hAnsi="Cambria" w:eastAsia="宋体" w:cs="Cambria"/>
      <w:b/>
      <w:bCs/>
      <w:sz w:val="32"/>
      <w:szCs w:val="32"/>
    </w:rPr>
  </w:style>
  <w:style w:type="character" w:styleId="874" w:customStyle="1">
    <w:name w:val="纯文本 字符"/>
    <w:link w:val="1075"/>
    <w:qFormat/>
    <w:rPr>
      <w:rFonts w:ascii="宋体" w:hAnsi="Courier New" w:eastAsia="宋体" w:cs="Times New Roman"/>
      <w:sz w:val="21"/>
      <w:szCs w:val="21"/>
    </w:rPr>
  </w:style>
  <w:style w:type="character" w:styleId="875" w:customStyle="1">
    <w:name w:val="font5 Char"/>
    <w:qFormat/>
    <w:rPr>
      <w:rFonts w:ascii="宋体" w:hAnsi="宋体" w:eastAsia="宋体"/>
      <w:sz w:val="28"/>
      <w:szCs w:val="28"/>
      <w:lang w:val="en-US" w:eastAsia="zh-CN" w:bidi="ar-SA"/>
    </w:rPr>
  </w:style>
  <w:style w:type="character" w:styleId="876" w:customStyle="1">
    <w:name w:val="明显引用 字符1"/>
    <w:uiPriority w:val="30"/>
    <w:qFormat/>
    <w:rPr>
      <w:i/>
      <w:iCs/>
      <w:color w:val="2d53a0"/>
    </w:rPr>
  </w:style>
  <w:style w:type="character" w:styleId="877" w:customStyle="1">
    <w:name w:val="尾注文本 字符"/>
    <w:link w:val="1051"/>
    <w:uiPriority w:val="99"/>
    <w:rPr>
      <w:rFonts w:ascii="Times New Roman" w:hAnsi="Times New Roman"/>
    </w:rPr>
  </w:style>
  <w:style w:type="character" w:styleId="878" w:customStyle="1">
    <w:name w:val="ant-tree-iconele10"/>
    <w:qFormat/>
    <w:rPr>
      <w:rFonts w:ascii="Times New Roman" w:hAnsi="Times New Roman" w:eastAsia="宋体" w:cs="Times New Roman"/>
    </w:rPr>
  </w:style>
  <w:style w:type="character" w:styleId="879" w:customStyle="1">
    <w:name w:val="批注文字 字符1"/>
    <w:qFormat/>
    <w:rPr>
      <w:rFonts w:ascii="Calibri" w:hAnsi="Calibri" w:eastAsia="宋体" w:cs="Calibri"/>
      <w:szCs w:val="21"/>
    </w:rPr>
  </w:style>
  <w:style w:type="character" w:styleId="880" w:customStyle="1">
    <w:name w:val="正文文本首行缩进 2 字符"/>
    <w:link w:val="1066"/>
    <w:uiPriority w:val="99"/>
    <w:qFormat/>
    <w:rPr>
      <w:rFonts w:ascii="宋体" w:hAnsi="宋体" w:eastAsia="宋体" w:cs="Times New Roman"/>
      <w:sz w:val="21"/>
      <w:szCs w:val="20"/>
    </w:rPr>
  </w:style>
  <w:style w:type="character" w:styleId="881" w:customStyle="1">
    <w:name w:val="标题5 Char Char"/>
    <w:link w:val="1222"/>
    <w:uiPriority w:val="99"/>
    <w:qFormat/>
    <w:rPr>
      <w:rFonts w:ascii="Arial" w:hAnsi="Arial"/>
    </w:rPr>
  </w:style>
  <w:style w:type="character" w:styleId="882" w:customStyle="1">
    <w:name w:val="标题 4 字符1"/>
    <w:qFormat/>
    <w:rPr>
      <w:rFonts w:ascii="Cambria" w:hAnsi="Cambria" w:eastAsia="宋体" w:cs="Cambria"/>
      <w:b/>
      <w:bCs/>
      <w:sz w:val="28"/>
      <w:szCs w:val="28"/>
    </w:rPr>
  </w:style>
  <w:style w:type="character" w:styleId="883" w:customStyle="1">
    <w:name w:val="正文文本缩进 3 字符"/>
    <w:link w:val="1045"/>
    <w:uiPriority w:val="99"/>
    <w:qFormat/>
    <w:rPr>
      <w:rFonts w:ascii="Arial" w:hAnsi="Arial" w:eastAsia="仿宋_GB2312" w:cs="Arial"/>
      <w:color w:val="ffff00"/>
      <w:sz w:val="32"/>
      <w:szCs w:val="32"/>
    </w:rPr>
  </w:style>
  <w:style w:type="character" w:styleId="884" w:customStyle="1">
    <w:name w:val="标题 字符"/>
    <w:link w:val="1039"/>
    <w:uiPriority w:val="99"/>
    <w:qFormat/>
    <w:rPr>
      <w:rFonts w:ascii="Cambria" w:hAnsi="Cambria" w:eastAsia="宋体" w:cs="Times New Roman"/>
      <w:color w:val="17365d"/>
      <w:spacing w:val="5"/>
      <w:sz w:val="52"/>
      <w:szCs w:val="52"/>
    </w:rPr>
  </w:style>
  <w:style w:type="character" w:styleId="885" w:customStyle="1">
    <w:name w:val="明显强调1"/>
    <w:uiPriority w:val="99"/>
    <w:qFormat/>
    <w:rPr>
      <w:b/>
      <w:bCs/>
      <w:i/>
      <w:iCs/>
      <w:color w:val="4f81bd"/>
    </w:rPr>
  </w:style>
  <w:style w:type="character" w:styleId="886" w:customStyle="1">
    <w:name w:val="font81"/>
    <w:rPr>
      <w:rFonts w:hint="default" w:ascii="Times New Roman" w:hAnsi="Times New Roman" w:cs="Times New Roman"/>
      <w:color w:val="ff0000"/>
      <w:sz w:val="24"/>
      <w:szCs w:val="24"/>
      <w:u w:val="none"/>
    </w:rPr>
  </w:style>
  <w:style w:type="character" w:styleId="887" w:customStyle="1">
    <w:name w:val="Caption Char"/>
    <w:uiPriority w:val="99"/>
    <w:qFormat/>
  </w:style>
  <w:style w:type="character" w:styleId="888" w:customStyle="1">
    <w:name w:val="引用 字符1"/>
    <w:uiPriority w:val="29"/>
    <w:qFormat/>
    <w:rPr>
      <w:i/>
      <w:iCs/>
      <w:color w:val="404040"/>
    </w:rPr>
  </w:style>
  <w:style w:type="character" w:styleId="889" w:customStyle="1">
    <w:name w:val="next1"/>
    <w:rPr>
      <w:color w:val="888888"/>
    </w:rPr>
  </w:style>
  <w:style w:type="character" w:styleId="890" w:customStyle="1">
    <w:name w:val="标题 6 字符"/>
    <w:link w:val="748"/>
    <w:uiPriority w:val="99"/>
    <w:qFormat/>
    <w:rPr>
      <w:rFonts w:ascii="Cambria" w:hAnsi="Cambria" w:eastAsia="宋体" w:cs="Times New Roman"/>
      <w:i/>
      <w:iCs/>
      <w:color w:val="244061"/>
    </w:rPr>
  </w:style>
  <w:style w:type="character" w:styleId="891" w:customStyle="1">
    <w:name w:val="标题 1 Char_0"/>
    <w:link w:val="1218"/>
    <w:uiPriority w:val="99"/>
    <w:qFormat/>
    <w:rPr>
      <w:b/>
      <w:bCs/>
      <w:sz w:val="44"/>
      <w:szCs w:val="44"/>
    </w:rPr>
  </w:style>
  <w:style w:type="character" w:styleId="892" w:customStyle="1">
    <w:name w:val="HTML 预设格式 字符"/>
    <w:uiPriority w:val="99"/>
    <w:semiHidden/>
    <w:qFormat/>
    <w:rPr>
      <w:rFonts w:ascii="Courier New" w:hAnsi="Courier New" w:cs="Courier New"/>
    </w:rPr>
  </w:style>
  <w:style w:type="character" w:styleId="893" w:customStyle="1">
    <w:name w:val="标题 3 字符"/>
    <w:link w:val="745"/>
    <w:qFormat/>
    <w:rPr>
      <w:rFonts w:ascii="Cambria" w:hAnsi="Cambria" w:eastAsia="宋体" w:cs="Times New Roman"/>
      <w:b/>
      <w:bCs/>
      <w:color w:val="4f81bd"/>
    </w:rPr>
  </w:style>
  <w:style w:type="character" w:styleId="894" w:customStyle="1">
    <w:name w:val="标题 Char1"/>
    <w:uiPriority w:val="99"/>
    <w:qFormat/>
    <w:rPr>
      <w:rFonts w:ascii="Cambria" w:hAnsi="Cambria" w:eastAsia="宋体" w:cs="Cambria"/>
      <w:b/>
      <w:bCs/>
      <w:sz w:val="32"/>
      <w:szCs w:val="32"/>
    </w:rPr>
  </w:style>
  <w:style w:type="character" w:styleId="895" w:customStyle="1">
    <w:name w:val="副标题 字符"/>
    <w:link w:val="1040"/>
    <w:uiPriority w:val="99"/>
    <w:qFormat/>
    <w:rPr>
      <w:rFonts w:ascii="Cambria" w:hAnsi="Cambria" w:eastAsia="宋体" w:cs="Times New Roman"/>
      <w:i/>
      <w:iCs/>
      <w:color w:val="4f81bd"/>
      <w:spacing w:val="15"/>
      <w:sz w:val="24"/>
      <w:szCs w:val="24"/>
    </w:rPr>
  </w:style>
  <w:style w:type="character" w:styleId="896" w:customStyle="1">
    <w:name w:val="qcode_title"/>
    <w:qFormat/>
    <w:rPr>
      <w:rFonts w:ascii="微软雅黑" w:hAnsi="微软雅黑" w:eastAsia="微软雅黑" w:cs="微软雅黑"/>
      <w:color w:val="666666"/>
      <w:sz w:val="18"/>
      <w:szCs w:val="18"/>
    </w:rPr>
  </w:style>
  <w:style w:type="character" w:styleId="897" w:customStyle="1">
    <w:name w:val="displayarti"/>
    <w:rPr>
      <w:color w:val="ffffff"/>
      <w:shd w:val="clear" w:color="auto" w:fill="a00000"/>
    </w:rPr>
  </w:style>
  <w:style w:type="character" w:styleId="898" w:customStyle="1">
    <w:name w:val="文档结构图 字符"/>
    <w:link w:val="1076"/>
    <w:uiPriority w:val="99"/>
    <w:qFormat/>
    <w:rPr>
      <w:rFonts w:ascii="Times New Roman" w:hAnsi="Times New Roman" w:eastAsia="宋体" w:cs="Times New Roman"/>
      <w:sz w:val="21"/>
      <w:szCs w:val="21"/>
      <w:shd w:val="clear" w:color="auto" w:fill="000080"/>
    </w:rPr>
  </w:style>
  <w:style w:type="character" w:styleId="899" w:customStyle="1">
    <w:name w:val="polysemyexp"/>
    <w:qFormat/>
    <w:rPr>
      <w:rFonts w:ascii="Times New Roman" w:hAnsi="Times New Roman" w:eastAsia="宋体" w:cs="Times New Roman"/>
      <w:color w:val="aaaaaa"/>
      <w:sz w:val="18"/>
      <w:szCs w:val="18"/>
    </w:rPr>
  </w:style>
  <w:style w:type="character" w:styleId="900" w:customStyle="1">
    <w:name w:val="正文文本 2 字符"/>
    <w:link w:val="1050"/>
    <w:qFormat/>
    <w:rPr>
      <w:rFonts w:ascii="楷体_GB2312" w:hAnsi="Times New Roman" w:eastAsia="楷体_GB2312" w:cs="Times New Roman"/>
      <w:sz w:val="28"/>
      <w:szCs w:val="28"/>
    </w:rPr>
  </w:style>
  <w:style w:type="character" w:styleId="901" w:customStyle="1">
    <w:name w:val="标题 1 Char1"/>
    <w:uiPriority w:val="99"/>
    <w:qFormat/>
    <w:rPr>
      <w:rFonts w:ascii="Times New Roman" w:hAnsi="Times New Roman" w:eastAsia="宋体" w:cs="Times New Roman"/>
      <w:b/>
      <w:bCs/>
      <w:sz w:val="44"/>
      <w:szCs w:val="44"/>
    </w:rPr>
  </w:style>
  <w:style w:type="character" w:styleId="902" w:customStyle="1">
    <w:name w:val="标题 5 字符"/>
    <w:link w:val="747"/>
    <w:uiPriority w:val="99"/>
    <w:qFormat/>
    <w:rPr>
      <w:rFonts w:ascii="Cambria" w:hAnsi="Cambria" w:eastAsia="宋体" w:cs="Times New Roman"/>
      <w:color w:val="244061"/>
    </w:rPr>
  </w:style>
  <w:style w:type="character" w:styleId="903" w:customStyle="1">
    <w:name w:val="HTML 预设格式 字符1"/>
    <w:link w:val="1068"/>
    <w:uiPriority w:val="99"/>
    <w:qFormat/>
    <w:rPr>
      <w:rFonts w:ascii="宋体" w:hAnsi="宋体" w:cs="宋体"/>
      <w:sz w:val="24"/>
      <w:szCs w:val="24"/>
    </w:rPr>
  </w:style>
  <w:style w:type="character" w:styleId="904" w:customStyle="1">
    <w:name w:val="font41"/>
    <w:qFormat/>
    <w:rPr>
      <w:rFonts w:hint="eastAsia" w:ascii="宋体" w:hAnsi="宋体" w:eastAsia="宋体" w:cs="宋体"/>
      <w:color w:val="000000"/>
      <w:sz w:val="21"/>
      <w:szCs w:val="21"/>
      <w:u w:val="none"/>
    </w:rPr>
  </w:style>
  <w:style w:type="character" w:styleId="905">
    <w:name w:val="Unresolved Mention"/>
    <w:uiPriority w:val="99"/>
    <w:unhideWhenUsed/>
    <w:rPr>
      <w:color w:val="605e5c"/>
      <w:shd w:val="clear" w:color="auto" w:fill="e1dfdd"/>
    </w:rPr>
  </w:style>
  <w:style w:type="character" w:styleId="906" w:customStyle="1">
    <w:name w:val="ant-typography-ellipsis-single-line2"/>
    <w:qFormat/>
    <w:rPr>
      <w:rFonts w:ascii="Times New Roman" w:hAnsi="Times New Roman" w:eastAsia="宋体" w:cs="Times New Roman"/>
    </w:rPr>
  </w:style>
  <w:style w:type="character" w:styleId="907" w:customStyle="1">
    <w:name w:val="Footnote Text Char"/>
    <w:uiPriority w:val="99"/>
    <w:rPr>
      <w:sz w:val="18"/>
    </w:rPr>
  </w:style>
  <w:style w:type="character" w:styleId="908" w:customStyle="1">
    <w:name w:val="文档结构图 字符1"/>
    <w:uiPriority w:val="99"/>
    <w:qFormat/>
    <w:rPr>
      <w:rFonts w:ascii="宋体" w:hAnsi="Calibri" w:eastAsia="宋体" w:cs="宋体"/>
      <w:sz w:val="18"/>
      <w:szCs w:val="18"/>
    </w:rPr>
  </w:style>
  <w:style w:type="character" w:styleId="909" w:customStyle="1">
    <w:name w:val="列出段落 Char"/>
    <w:link w:val="1082"/>
    <w:uiPriority w:val="99"/>
    <w:qFormat/>
    <w:rPr>
      <w:rFonts w:ascii="Calibri" w:hAnsi="Calibri"/>
      <w:sz w:val="24"/>
      <w:szCs w:val="24"/>
      <w:lang w:eastAsia="en-US" w:bidi="en-US"/>
    </w:rPr>
  </w:style>
  <w:style w:type="character" w:styleId="910" w:customStyle="1">
    <w:name w:val="last-child"/>
    <w:qFormat/>
    <w:rPr>
      <w:rFonts w:ascii="Times New Roman" w:hAnsi="Times New Roman" w:eastAsia="宋体" w:cs="Times New Roman"/>
    </w:rPr>
  </w:style>
  <w:style w:type="character" w:styleId="911" w:customStyle="1">
    <w:name w:val="正文缩进 字符"/>
    <w:qFormat/>
    <w:rPr>
      <w:sz w:val="21"/>
      <w:szCs w:val="21"/>
    </w:rPr>
  </w:style>
  <w:style w:type="character" w:styleId="912" w:customStyle="1">
    <w:name w:val="正文首行缩进 2 Char"/>
    <w:link w:val="1125"/>
    <w:rPr>
      <w:rFonts w:ascii="等线" w:hAnsi="等线" w:eastAsia="等线"/>
      <w:sz w:val="21"/>
      <w:szCs w:val="22"/>
    </w:rPr>
  </w:style>
  <w:style w:type="character" w:styleId="913" w:customStyle="1">
    <w:name w:val="纯文本 字符1"/>
    <w:qFormat/>
    <w:rPr>
      <w:rFonts w:ascii="Ari" w:hAnsi="Calibri" w:eastAsia="宋体" w:cs="Ari"/>
      <w:sz w:val="20"/>
      <w:szCs w:val="20"/>
    </w:rPr>
  </w:style>
  <w:style w:type="character" w:styleId="914" w:customStyle="1">
    <w:name w:val="明显引用 Char4"/>
    <w:uiPriority w:val="30"/>
    <w:qFormat/>
    <w:rPr>
      <w:b/>
      <w:bCs/>
      <w:i/>
      <w:iCs/>
      <w:color w:val="4f81bd"/>
    </w:rPr>
  </w:style>
  <w:style w:type="character" w:styleId="915" w:customStyle="1">
    <w:name w:val="rvts11"/>
    <w:uiPriority w:val="99"/>
    <w:qFormat/>
    <w:rPr>
      <w:rFonts w:ascii="KNLe" w:hAnsi="KNLe" w:eastAsia="宋体" w:cs="KNLe"/>
      <w:sz w:val="24"/>
      <w:szCs w:val="24"/>
      <w:u w:val="single"/>
    </w:rPr>
  </w:style>
  <w:style w:type="character" w:styleId="916" w:customStyle="1">
    <w:name w:val="明显参考2"/>
    <w:uiPriority w:val="32"/>
    <w:qFormat/>
    <w:rPr>
      <w:rFonts w:ascii="Calibri" w:hAnsi="Calibri" w:eastAsia="宋体" w:cs="Times New Roman"/>
      <w:b/>
      <w:bCs/>
      <w:smallCaps/>
      <w:color w:val="2d53a0"/>
      <w:spacing w:val="5"/>
    </w:rPr>
  </w:style>
  <w:style w:type="character" w:styleId="917" w:customStyle="1">
    <w:name w:val="批注框文本 Char3"/>
    <w:uiPriority w:val="99"/>
    <w:semiHidden/>
    <w:qFormat/>
    <w:rPr>
      <w:sz w:val="18"/>
      <w:szCs w:val="18"/>
    </w:rPr>
  </w:style>
  <w:style w:type="character" w:styleId="918" w:customStyle="1">
    <w:name w:val="ant-tree-iconele12"/>
    <w:qFormat/>
    <w:rPr>
      <w:rFonts w:ascii="Times New Roman" w:hAnsi="Times New Roman" w:eastAsia="宋体" w:cs="Times New Roman"/>
    </w:rPr>
  </w:style>
  <w:style w:type="character" w:styleId="919" w:customStyle="1">
    <w:name w:val="ant-tree-iconele"/>
    <w:qFormat/>
    <w:rPr>
      <w:rFonts w:ascii="Times New Roman" w:hAnsi="Times New Roman" w:eastAsia="宋体" w:cs="Times New Roman"/>
    </w:rPr>
  </w:style>
  <w:style w:type="character" w:styleId="920" w:customStyle="1">
    <w:name w:val="引用 Char4"/>
    <w:uiPriority w:val="29"/>
    <w:qFormat/>
    <w:rPr>
      <w:i/>
      <w:iCs/>
      <w:color w:val="000000"/>
    </w:rPr>
  </w:style>
  <w:style w:type="character" w:styleId="921" w:customStyle="1">
    <w:name w:val="hover15"/>
    <w:qFormat/>
    <w:rPr>
      <w:rFonts w:ascii="Times New Roman" w:hAnsi="Times New Roman" w:eastAsia="宋体" w:cs="Times New Roman"/>
      <w:color w:val="ffffff"/>
      <w:shd w:val="clear" w:color="auto" w:fill="00c1b3"/>
    </w:rPr>
  </w:style>
  <w:style w:type="character" w:styleId="922" w:customStyle="1">
    <w:name w:val="line"/>
    <w:qFormat/>
    <w:rPr>
      <w:rFonts w:ascii="Times New Roman" w:hAnsi="Times New Roman" w:eastAsia="宋体" w:cs="Times New Roman"/>
    </w:rPr>
  </w:style>
  <w:style w:type="character" w:styleId="923" w:customStyle="1">
    <w:name w:val="font11"/>
    <w:qFormat/>
    <w:rPr>
      <w:rFonts w:ascii="宋体" w:hAnsi="宋体" w:eastAsia="宋体" w:cs="宋体"/>
      <w:color w:val="000000"/>
      <w:sz w:val="20"/>
      <w:szCs w:val="20"/>
      <w:u w:val="none"/>
    </w:rPr>
  </w:style>
  <w:style w:type="character" w:styleId="924" w:customStyle="1">
    <w:name w:val="font71"/>
    <w:rPr>
      <w:rFonts w:hint="eastAsia" w:ascii="方正仿宋_GBK" w:hAnsi="方正仿宋_GBK" w:eastAsia="方正仿宋_GBK" w:cs="方正仿宋_GBK"/>
      <w:color w:val="ff0000"/>
      <w:sz w:val="24"/>
      <w:szCs w:val="24"/>
      <w:u w:val="none"/>
    </w:rPr>
  </w:style>
  <w:style w:type="character" w:styleId="925" w:customStyle="1">
    <w:name w:val="current"/>
    <w:qFormat/>
    <w:rPr>
      <w:rFonts w:ascii="Times New Roman" w:hAnsi="Times New Roman" w:eastAsia="宋体" w:cs="Times New Roman"/>
      <w:color w:val="ffffff"/>
      <w:sz w:val="27"/>
      <w:szCs w:val="27"/>
      <w:u w:val="none"/>
      <w:shd w:val="clear" w:color="auto" w:fill="809fff"/>
    </w:rPr>
  </w:style>
  <w:style w:type="character" w:styleId="926" w:customStyle="1">
    <w:name w:val="bds_more"/>
    <w:qFormat/>
    <w:rPr>
      <w:rFonts w:ascii="宋体" w:hAnsi="宋体" w:eastAsia="宋体" w:cs="宋体"/>
    </w:rPr>
  </w:style>
  <w:style w:type="character" w:styleId="927" w:customStyle="1">
    <w:name w:val="hover17"/>
    <w:qFormat/>
    <w:rPr>
      <w:rFonts w:ascii="Times New Roman" w:hAnsi="Times New Roman" w:eastAsia="宋体" w:cs="Times New Roman"/>
      <w:sz w:val="16"/>
      <w:szCs w:val="16"/>
    </w:rPr>
  </w:style>
  <w:style w:type="character" w:styleId="928" w:customStyle="1">
    <w:name w:val="fontstrikethrough"/>
    <w:qFormat/>
    <w:rPr>
      <w:rFonts w:ascii="Times New Roman" w:hAnsi="Times New Roman" w:eastAsia="宋体" w:cs="Times New Roman"/>
      <w:strike/>
    </w:rPr>
  </w:style>
  <w:style w:type="character" w:styleId="929" w:customStyle="1">
    <w:name w:val="明显强调2"/>
    <w:uiPriority w:val="21"/>
    <w:qFormat/>
    <w:rPr>
      <w:rFonts w:ascii="Calibri" w:hAnsi="Calibri" w:eastAsia="宋体" w:cs="Times New Roman"/>
      <w:i/>
      <w:iCs/>
      <w:color w:val="2d53a0"/>
    </w:rPr>
  </w:style>
  <w:style w:type="character" w:styleId="930" w:customStyle="1">
    <w:name w:val="ant-tree-switcher7"/>
    <w:qFormat/>
    <w:rPr>
      <w:rFonts w:ascii="Times New Roman" w:hAnsi="Times New Roman" w:eastAsia="宋体" w:cs="Times New Roman"/>
    </w:rPr>
  </w:style>
  <w:style w:type="character" w:styleId="931" w:customStyle="1">
    <w:name w:val="t-ajax-wait"/>
    <w:qFormat/>
    <w:rPr>
      <w:rFonts w:ascii="Times New Roman" w:hAnsi="Times New Roman" w:eastAsia="宋体" w:cs="Times New Roman"/>
    </w:rPr>
  </w:style>
  <w:style w:type="character" w:styleId="932" w:customStyle="1">
    <w:name w:val="wech"/>
    <w:qFormat/>
    <w:rPr>
      <w:rFonts w:ascii="Times New Roman" w:hAnsi="Times New Roman" w:eastAsia="宋体" w:cs="Times New Roman"/>
    </w:rPr>
  </w:style>
  <w:style w:type="character" w:styleId="933" w:customStyle="1">
    <w:name w:val="ant-typography-ellipsis-single-line1"/>
    <w:qFormat/>
    <w:rPr>
      <w:rFonts w:ascii="Times New Roman" w:hAnsi="Times New Roman" w:eastAsia="宋体" w:cs="Times New Roman"/>
    </w:rPr>
  </w:style>
  <w:style w:type="character" w:styleId="934" w:customStyle="1">
    <w:name w:val="批注文字 Char2"/>
    <w:uiPriority w:val="99"/>
    <w:qFormat/>
    <w:rPr>
      <w:rFonts w:ascii="Times New Roman" w:hAnsi="Times New Roman" w:eastAsia="宋体" w:cs="Times New Roman"/>
      <w:sz w:val="21"/>
      <w:szCs w:val="21"/>
    </w:rPr>
  </w:style>
  <w:style w:type="character" w:styleId="935" w:customStyle="1">
    <w:name w:val="页脚 Char1"/>
    <w:uiPriority w:val="99"/>
    <w:semiHidden/>
    <w:qFormat/>
    <w:rPr>
      <w:rFonts w:ascii="Calibri" w:hAnsi="Calibri" w:eastAsia="宋体" w:cs="Calibri"/>
      <w:sz w:val="18"/>
      <w:szCs w:val="18"/>
    </w:rPr>
  </w:style>
  <w:style w:type="character" w:styleId="936" w:customStyle="1">
    <w:name w:val="line1"/>
    <w:qFormat/>
    <w:rPr>
      <w:rFonts w:ascii="Times New Roman" w:hAnsi="Times New Roman" w:eastAsia="宋体" w:cs="Times New Roman"/>
    </w:rPr>
  </w:style>
  <w:style w:type="character" w:styleId="937" w:customStyle="1">
    <w:name w:val="bookmark"/>
    <w:uiPriority w:val="99"/>
    <w:qFormat/>
    <w:rPr>
      <w:rFonts w:ascii="Times New Roman" w:hAnsi="Times New Roman" w:eastAsia="宋体" w:cs="Times New Roman"/>
    </w:rPr>
  </w:style>
  <w:style w:type="character" w:styleId="938" w:customStyle="1">
    <w:name w:val="正文文本 Char2"/>
    <w:uiPriority w:val="99"/>
    <w:semiHidden/>
    <w:qFormat/>
    <w:rPr>
      <w:rFonts w:ascii="Calibri" w:hAnsi="Calibri" w:eastAsia="宋体" w:cs="Calibri"/>
    </w:rPr>
  </w:style>
  <w:style w:type="character" w:styleId="939" w:customStyle="1">
    <w:name w:val="sidecatalog-dot1"/>
    <w:qFormat/>
    <w:rPr>
      <w:rFonts w:ascii="Times New Roman" w:hAnsi="Times New Roman" w:eastAsia="宋体" w:cs="Times New Roman"/>
    </w:rPr>
  </w:style>
  <w:style w:type="character" w:styleId="940" w:customStyle="1">
    <w:name w:val="label1"/>
    <w:qFormat/>
    <w:rPr>
      <w:rFonts w:ascii="Times New Roman" w:hAnsi="Times New Roman" w:eastAsia="宋体" w:cs="Times New Roman"/>
      <w:color w:val="1c84c6"/>
      <w:shd w:val="clear" w:color="auto" w:fill="ffffff"/>
    </w:rPr>
  </w:style>
  <w:style w:type="character" w:styleId="941" w:customStyle="1">
    <w:name w:val="fbc_ico4"/>
    <w:qFormat/>
    <w:rPr>
      <w:rFonts w:ascii="Times New Roman" w:hAnsi="Times New Roman" w:eastAsia="宋体" w:cs="Times New Roman"/>
    </w:rPr>
  </w:style>
  <w:style w:type="character" w:styleId="942" w:customStyle="1">
    <w:name w:val="Char Char1"/>
    <w:qFormat/>
    <w:rPr>
      <w:rFonts w:ascii="Times New Roman" w:hAnsi="Times New Roman" w:eastAsia="宋体" w:cs="Times New Roman"/>
      <w:sz w:val="18"/>
      <w:szCs w:val="18"/>
    </w:rPr>
  </w:style>
  <w:style w:type="character" w:styleId="943" w:customStyle="1">
    <w:name w:val="ant-tree-switcher5"/>
    <w:qFormat/>
    <w:rPr>
      <w:rFonts w:ascii="Times New Roman" w:hAnsi="Times New Roman" w:eastAsia="宋体" w:cs="Times New Roman"/>
    </w:rPr>
  </w:style>
  <w:style w:type="character" w:styleId="944" w:customStyle="1">
    <w:name w:val="正文文本 Char1"/>
    <w:uiPriority w:val="99"/>
    <w:qFormat/>
    <w:rPr>
      <w:rFonts w:ascii="Calibri" w:hAnsi="Calibri" w:eastAsia="宋体" w:cs="Calibri"/>
    </w:rPr>
  </w:style>
  <w:style w:type="character" w:styleId="945" w:customStyle="1">
    <w:name w:val="ant-tree-iconele11"/>
    <w:qFormat/>
    <w:rPr>
      <w:rFonts w:ascii="Times New Roman" w:hAnsi="Times New Roman" w:eastAsia="宋体" w:cs="Times New Roman"/>
    </w:rPr>
  </w:style>
  <w:style w:type="character" w:styleId="946" w:customStyle="1">
    <w:name w:val="ant-typography-ellipsis-single-line3"/>
    <w:qFormat/>
    <w:rPr>
      <w:rFonts w:ascii="Times New Roman" w:hAnsi="Times New Roman" w:eastAsia="宋体" w:cs="Times New Roman"/>
    </w:rPr>
  </w:style>
  <w:style w:type="character" w:styleId="947" w:customStyle="1">
    <w:name w:val="ant-typography-ellipsis1"/>
    <w:qFormat/>
    <w:rPr>
      <w:rFonts w:ascii="Times New Roman" w:hAnsi="Times New Roman" w:eastAsia="宋体" w:cs="Times New Roman"/>
    </w:rPr>
  </w:style>
  <w:style w:type="character" w:styleId="948" w:customStyle="1">
    <w:name w:val="label11"/>
    <w:qFormat/>
    <w:rPr>
      <w:rFonts w:ascii="Times New Roman" w:hAnsi="Times New Roman" w:eastAsia="宋体" w:cs="Times New Roman"/>
      <w:color w:val="1c84c6"/>
      <w:shd w:val="clear" w:color="auto" w:fill="ffffff"/>
    </w:rPr>
  </w:style>
  <w:style w:type="character" w:styleId="949" w:customStyle="1">
    <w:name w:val="sidecatalog-dot"/>
    <w:qFormat/>
    <w:rPr>
      <w:rFonts w:ascii="Times New Roman" w:hAnsi="Times New Roman" w:eastAsia="宋体" w:cs="Times New Roman"/>
    </w:rPr>
  </w:style>
  <w:style w:type="character" w:styleId="950" w:customStyle="1">
    <w:name w:val="t-exception-class-name"/>
    <w:qFormat/>
    <w:rPr>
      <w:rFonts w:ascii="Times New Roman" w:hAnsi="Times New Roman" w:eastAsia="宋体" w:cs="Times New Roman"/>
      <w:b/>
      <w:color w:val="0000ff"/>
      <w:sz w:val="24"/>
      <w:szCs w:val="24"/>
      <w:shd w:val="clear" w:color="auto" w:fill="e1e1e1"/>
    </w:rPr>
  </w:style>
  <w:style w:type="character" w:styleId="951" w:customStyle="1">
    <w:name w:val="标题 Char2"/>
    <w:uiPriority w:val="99"/>
    <w:qFormat/>
    <w:rPr>
      <w:rFonts w:ascii="Cambria" w:hAnsi="Cambria" w:eastAsia="宋体" w:cs="Cambria"/>
      <w:b/>
      <w:bCs/>
      <w:sz w:val="32"/>
      <w:szCs w:val="32"/>
    </w:rPr>
  </w:style>
  <w:style w:type="character" w:styleId="952" w:customStyle="1">
    <w:name w:val="批注主题 Char1"/>
    <w:uiPriority w:val="99"/>
    <w:qFormat/>
    <w:rPr>
      <w:rFonts w:ascii="Times New Roman" w:hAnsi="Times New Roman" w:eastAsia="宋体" w:cs="Times New Roman"/>
      <w:b/>
      <w:bCs/>
      <w:sz w:val="22"/>
      <w:szCs w:val="22"/>
    </w:rPr>
  </w:style>
  <w:style w:type="character" w:styleId="953" w:customStyle="1">
    <w:name w:val="fontborder"/>
    <w:qFormat/>
    <w:rPr>
      <w:rFonts w:ascii="Times New Roman" w:hAnsi="Times New Roman" w:eastAsia="宋体" w:cs="Times New Roman"/>
    </w:rPr>
  </w:style>
  <w:style w:type="character" w:styleId="954" w:customStyle="1">
    <w:name w:val="bds_nopic1"/>
    <w:qFormat/>
    <w:rPr>
      <w:rFonts w:ascii="Times New Roman" w:hAnsi="Times New Roman" w:eastAsia="宋体" w:cs="Times New Roman"/>
    </w:rPr>
  </w:style>
  <w:style w:type="character" w:styleId="955" w:customStyle="1">
    <w:name w:val="标题 3 Char_0"/>
    <w:link w:val="1139"/>
    <w:uiPriority w:val="99"/>
    <w:qFormat/>
    <w:rPr>
      <w:b/>
      <w:bCs/>
      <w:sz w:val="32"/>
      <w:szCs w:val="32"/>
    </w:rPr>
  </w:style>
  <w:style w:type="character" w:styleId="956" w:customStyle="1">
    <w:name w:val="文档结构图 Char1"/>
    <w:uiPriority w:val="99"/>
    <w:qFormat/>
    <w:rPr>
      <w:rFonts w:ascii="宋体" w:hAnsi="Calibri" w:eastAsia="宋体" w:cs="宋体"/>
      <w:sz w:val="18"/>
      <w:szCs w:val="18"/>
    </w:rPr>
  </w:style>
  <w:style w:type="character" w:styleId="957" w:customStyle="1">
    <w:name w:val="页眉 Char2"/>
    <w:qFormat/>
    <w:rPr>
      <w:rFonts w:ascii="Times New Roman" w:hAnsi="Times New Roman" w:eastAsia="宋体" w:cs="Times New Roman"/>
      <w:sz w:val="18"/>
      <w:szCs w:val="18"/>
    </w:rPr>
  </w:style>
  <w:style w:type="character" w:styleId="958" w:customStyle="1">
    <w:name w:val="sort"/>
    <w:qFormat/>
    <w:rPr>
      <w:rFonts w:ascii="Times New Roman" w:hAnsi="Times New Roman" w:eastAsia="宋体" w:cs="Times New Roman"/>
    </w:rPr>
  </w:style>
  <w:style w:type="character" w:styleId="959" w:customStyle="1">
    <w:name w:val="标题 5 Char_0"/>
    <w:link w:val="1224"/>
    <w:uiPriority w:val="99"/>
    <w:qFormat/>
    <w:rPr>
      <w:b/>
      <w:bCs/>
      <w:sz w:val="28"/>
      <w:szCs w:val="28"/>
    </w:rPr>
  </w:style>
  <w:style w:type="character" w:styleId="960" w:customStyle="1">
    <w:name w:val="批注框文本 Char1"/>
    <w:uiPriority w:val="99"/>
    <w:qFormat/>
    <w:rPr>
      <w:rFonts w:ascii="Times New Roman" w:hAnsi="Times New Roman" w:eastAsia="宋体" w:cs="Times New Roman"/>
      <w:sz w:val="18"/>
      <w:szCs w:val="18"/>
    </w:rPr>
  </w:style>
  <w:style w:type="character" w:styleId="961" w:customStyle="1">
    <w:name w:val="fbc_ico1"/>
    <w:qFormat/>
    <w:rPr>
      <w:rFonts w:ascii="Times New Roman" w:hAnsi="Times New Roman" w:eastAsia="宋体" w:cs="Times New Roman"/>
    </w:rPr>
  </w:style>
  <w:style w:type="character" w:styleId="962" w:customStyle="1">
    <w:name w:val="plus"/>
    <w:qFormat/>
    <w:rPr>
      <w:rFonts w:ascii="Times New Roman" w:hAnsi="Times New Roman" w:eastAsia="宋体" w:cs="Times New Roman"/>
      <w:b/>
      <w:vanish/>
      <w:color w:val="1f8def"/>
      <w:sz w:val="24"/>
      <w:szCs w:val="24"/>
    </w:rPr>
  </w:style>
  <w:style w:type="character" w:styleId="963" w:customStyle="1">
    <w:name w:val="t-tree-icon"/>
    <w:qFormat/>
    <w:rPr>
      <w:rFonts w:ascii="Times New Roman" w:hAnsi="Times New Roman" w:eastAsia="宋体" w:cs="Times New Roman"/>
    </w:rPr>
  </w:style>
  <w:style w:type="character" w:styleId="964" w:customStyle="1">
    <w:name w:val="二级条标题 Char"/>
    <w:link w:val="1142"/>
    <w:qFormat/>
    <w:rPr>
      <w:rFonts w:ascii="黑体" w:eastAsia="黑体"/>
      <w:szCs w:val="21"/>
    </w:rPr>
  </w:style>
  <w:style w:type="character" w:styleId="965" w:customStyle="1">
    <w:name w:val="标题4 Char Char"/>
    <w:link w:val="1188"/>
    <w:uiPriority w:val="99"/>
    <w:qFormat/>
    <w:rPr>
      <w:rFonts w:ascii="Arial" w:hAnsi="Arial"/>
    </w:rPr>
  </w:style>
  <w:style w:type="character" w:styleId="966" w:customStyle="1">
    <w:name w:val="hover24"/>
    <w:qFormat/>
    <w:rPr>
      <w:rFonts w:ascii="Times New Roman" w:hAnsi="Times New Roman" w:eastAsia="宋体" w:cs="Times New Roman"/>
    </w:rPr>
  </w:style>
  <w:style w:type="character" w:styleId="967" w:customStyle="1">
    <w:name w:val="zc_bg"/>
    <w:qFormat/>
    <w:rPr>
      <w:rFonts w:ascii="Times New Roman" w:hAnsi="Times New Roman" w:eastAsia="宋体" w:cs="Times New Roman"/>
    </w:rPr>
  </w:style>
  <w:style w:type="character" w:styleId="968" w:customStyle="1">
    <w:name w:val="t-exception-stack-controls"/>
    <w:qFormat/>
    <w:rPr>
      <w:rFonts w:ascii="Times New Roman" w:hAnsi="Times New Roman" w:eastAsia="宋体" w:cs="Times New Roman"/>
    </w:rPr>
  </w:style>
  <w:style w:type="character" w:styleId="969" w:customStyle="1">
    <w:name w:val="bds_nopic2"/>
    <w:qFormat/>
    <w:rPr>
      <w:rFonts w:ascii="Times New Roman" w:hAnsi="Times New Roman" w:eastAsia="宋体" w:cs="Times New Roman"/>
    </w:rPr>
  </w:style>
  <w:style w:type="character" w:styleId="970" w:customStyle="1">
    <w:name w:val="lemmatitleh1"/>
    <w:qFormat/>
    <w:rPr>
      <w:rFonts w:ascii="Times New Roman" w:hAnsi="Times New Roman" w:eastAsia="宋体" w:cs="Times New Roman"/>
    </w:rPr>
  </w:style>
  <w:style w:type="character" w:styleId="971" w:customStyle="1">
    <w:name w:val="qcode_img"/>
    <w:qFormat/>
    <w:rPr>
      <w:rFonts w:ascii="Times New Roman" w:hAnsi="Times New Roman" w:eastAsia="宋体" w:cs="Times New Roman"/>
    </w:rPr>
  </w:style>
  <w:style w:type="character" w:styleId="972" w:customStyle="1">
    <w:name w:val="hover86"/>
    <w:qFormat/>
    <w:rPr>
      <w:rFonts w:ascii="Times New Roman" w:hAnsi="Times New Roman" w:eastAsia="宋体" w:cs="Times New Roman"/>
    </w:rPr>
  </w:style>
  <w:style w:type="character" w:styleId="973" w:customStyle="1">
    <w:name w:val="hover13"/>
    <w:qFormat/>
    <w:rPr>
      <w:rFonts w:ascii="Times New Roman" w:hAnsi="Times New Roman" w:eastAsia="宋体" w:cs="Times New Roman"/>
      <w:color w:val="ffffff"/>
      <w:shd w:val="clear" w:color="auto" w:fill="00c1b3"/>
    </w:rPr>
  </w:style>
  <w:style w:type="character" w:styleId="974" w:customStyle="1">
    <w:name w:val="label12"/>
    <w:qFormat/>
    <w:rPr>
      <w:rFonts w:ascii="Times New Roman" w:hAnsi="Times New Roman" w:eastAsia="宋体" w:cs="Times New Roman"/>
    </w:rPr>
  </w:style>
  <w:style w:type="character" w:styleId="975" w:customStyle="1">
    <w:name w:val="hover12"/>
    <w:qFormat/>
    <w:rPr>
      <w:rFonts w:ascii="Times New Roman" w:hAnsi="Times New Roman" w:eastAsia="宋体" w:cs="Times New Roman"/>
      <w:color w:val="ffffff"/>
      <w:shd w:val="clear" w:color="auto" w:fill="00c1b3"/>
    </w:rPr>
  </w:style>
  <w:style w:type="character" w:styleId="976" w:customStyle="1">
    <w:name w:val="ant-tree-switcher8"/>
    <w:qFormat/>
    <w:rPr>
      <w:rFonts w:ascii="Times New Roman" w:hAnsi="Times New Roman" w:eastAsia="宋体" w:cs="Times New Roman"/>
    </w:rPr>
  </w:style>
  <w:style w:type="character" w:styleId="977" w:customStyle="1">
    <w:name w:val="一级条标题 Char"/>
    <w:link w:val="1132"/>
    <w:qFormat/>
    <w:rPr>
      <w:rFonts w:ascii="黑体" w:eastAsia="黑体" w:cs="Calibri"/>
      <w:sz w:val="21"/>
      <w:szCs w:val="21"/>
    </w:rPr>
  </w:style>
  <w:style w:type="character" w:styleId="978" w:customStyle="1">
    <w:name w:val="hover84"/>
    <w:qFormat/>
    <w:rPr>
      <w:rFonts w:ascii="Times New Roman" w:hAnsi="Times New Roman" w:eastAsia="宋体" w:cs="Times New Roman"/>
    </w:rPr>
  </w:style>
  <w:style w:type="character" w:styleId="979" w:customStyle="1">
    <w:name w:val="hover16"/>
    <w:qFormat/>
    <w:rPr>
      <w:rFonts w:ascii="Times New Roman" w:hAnsi="Times New Roman" w:eastAsia="宋体" w:cs="Times New Roman"/>
      <w:color w:val="ffffff"/>
      <w:shd w:val="clear" w:color="auto" w:fill="00c1b3"/>
    </w:rPr>
  </w:style>
  <w:style w:type="character" w:styleId="980" w:customStyle="1">
    <w:name w:val="font91"/>
    <w:qFormat/>
    <w:rPr>
      <w:rFonts w:hint="default" w:ascii="Times New Roman" w:hAnsi="Times New Roman" w:cs="Times New Roman"/>
      <w:color w:val="000000"/>
      <w:sz w:val="24"/>
      <w:szCs w:val="24"/>
      <w:u w:val="none"/>
    </w:rPr>
  </w:style>
  <w:style w:type="character" w:styleId="981" w:customStyle="1">
    <w:name w:val="desc12"/>
    <w:qFormat/>
    <w:rPr>
      <w:rFonts w:ascii="Times New Roman" w:hAnsi="Times New Roman" w:eastAsia="宋体" w:cs="Times New Roman"/>
      <w:color w:val="000000"/>
      <w:sz w:val="18"/>
      <w:szCs w:val="18"/>
    </w:rPr>
  </w:style>
  <w:style w:type="character" w:styleId="982" w:customStyle="1">
    <w:name w:val="sort1"/>
    <w:qFormat/>
    <w:rPr>
      <w:rFonts w:ascii="Times New Roman" w:hAnsi="Times New Roman" w:eastAsia="宋体" w:cs="Times New Roman"/>
      <w:color w:val="ffffff"/>
    </w:rPr>
  </w:style>
  <w:style w:type="character" w:styleId="983" w:customStyle="1">
    <w:name w:val="明显引用 Char2"/>
    <w:uiPriority w:val="99"/>
    <w:qFormat/>
    <w:rPr>
      <w:rFonts w:ascii="Times New Roman" w:hAnsi="Times New Roman" w:eastAsia="宋体" w:cs="Times New Roman"/>
      <w:b/>
      <w:bCs/>
      <w:i/>
      <w:iCs/>
      <w:color w:val="4f81bd"/>
      <w:sz w:val="24"/>
      <w:szCs w:val="24"/>
    </w:rPr>
  </w:style>
  <w:style w:type="character" w:styleId="984" w:customStyle="1">
    <w:name w:val="标题 4 Char1"/>
    <w:qFormat/>
    <w:rPr>
      <w:rFonts w:ascii="Cambria" w:hAnsi="Cambria" w:eastAsia="宋体" w:cs="Cambria"/>
      <w:b/>
      <w:bCs/>
      <w:sz w:val="28"/>
      <w:szCs w:val="28"/>
      <w:lang w:val="en-US" w:eastAsia="zh-CN" w:bidi="ar-SA"/>
    </w:rPr>
  </w:style>
  <w:style w:type="character" w:styleId="985" w:customStyle="1">
    <w:name w:val="ant-typography-ellipsis"/>
    <w:qFormat/>
    <w:rPr>
      <w:rFonts w:ascii="Times New Roman" w:hAnsi="Times New Roman" w:eastAsia="宋体" w:cs="Times New Roman"/>
    </w:rPr>
  </w:style>
  <w:style w:type="character" w:styleId="986" w:customStyle="1">
    <w:name w:val="bds_more2"/>
    <w:qFormat/>
    <w:rPr>
      <w:rFonts w:ascii="Times New Roman" w:hAnsi="Times New Roman" w:eastAsia="宋体" w:cs="Times New Roman"/>
    </w:rPr>
  </w:style>
  <w:style w:type="character" w:styleId="987" w:customStyle="1">
    <w:name w:val="标题 4 Char_0"/>
    <w:link w:val="1226"/>
    <w:uiPriority w:val="99"/>
    <w:qFormat/>
    <w:rPr>
      <w:rFonts w:ascii="Arial" w:hAnsi="Arial" w:eastAsia="黑体"/>
      <w:b/>
      <w:bCs/>
      <w:sz w:val="28"/>
      <w:szCs w:val="28"/>
    </w:rPr>
  </w:style>
  <w:style w:type="character" w:styleId="988" w:customStyle="1">
    <w:name w:val="宏文本 Char1"/>
    <w:uiPriority w:val="99"/>
    <w:semiHidden/>
    <w:qFormat/>
    <w:rPr>
      <w:rFonts w:ascii="Courier New" w:hAnsi="Courier New" w:eastAsia="宋体" w:cs="Courier New"/>
      <w:sz w:val="24"/>
      <w:szCs w:val="24"/>
    </w:rPr>
  </w:style>
  <w:style w:type="character" w:styleId="989" w:customStyle="1">
    <w:name w:val="hover18"/>
    <w:qFormat/>
    <w:rPr>
      <w:rFonts w:ascii="Times New Roman" w:hAnsi="Times New Roman" w:eastAsia="宋体" w:cs="Times New Roman"/>
      <w:color w:val="ffffff"/>
      <w:shd w:val="clear" w:color="auto" w:fill="00c1b3"/>
    </w:rPr>
  </w:style>
  <w:style w:type="character" w:styleId="990" w:customStyle="1">
    <w:name w:val="label13"/>
    <w:qFormat/>
    <w:rPr>
      <w:rFonts w:ascii="Times New Roman" w:hAnsi="Times New Roman" w:eastAsia="宋体" w:cs="Times New Roman"/>
    </w:rPr>
  </w:style>
  <w:style w:type="character" w:styleId="991" w:customStyle="1">
    <w:name w:val="font61"/>
    <w:qFormat/>
    <w:rPr>
      <w:rFonts w:hint="eastAsia" w:ascii="宋体" w:hAnsi="宋体" w:eastAsia="宋体" w:cs="宋体"/>
      <w:color w:val="000000"/>
      <w:sz w:val="24"/>
      <w:szCs w:val="24"/>
      <w:u w:val="none"/>
    </w:rPr>
  </w:style>
  <w:style w:type="character" w:styleId="992" w:customStyle="1">
    <w:name w:val="批注框文本 Char2"/>
    <w:uiPriority w:val="99"/>
    <w:semiHidden/>
    <w:qFormat/>
    <w:rPr>
      <w:rFonts w:ascii="Calibri" w:hAnsi="Calibri" w:eastAsia="宋体" w:cs="Calibri"/>
      <w:sz w:val="18"/>
      <w:szCs w:val="18"/>
    </w:rPr>
  </w:style>
  <w:style w:type="character" w:styleId="993" w:customStyle="1">
    <w:name w:val="标题 1 字符1"/>
    <w:uiPriority w:val="99"/>
    <w:qFormat/>
    <w:rPr>
      <w:rFonts w:ascii="Times New Roman" w:hAnsi="Times New Roman" w:eastAsia="宋体" w:cs="Times New Roman"/>
      <w:b/>
      <w:bCs/>
      <w:sz w:val="32"/>
      <w:szCs w:val="32"/>
    </w:rPr>
  </w:style>
  <w:style w:type="character" w:styleId="994" w:customStyle="1">
    <w:name w:val="16"/>
    <w:qFormat/>
    <w:rPr>
      <w:rFonts w:hint="eastAsia" w:ascii="宋体" w:hAnsi="宋体" w:eastAsia="宋体" w:cs="Times New Roman"/>
      <w:color w:val="000000"/>
      <w:sz w:val="21"/>
      <w:szCs w:val="21"/>
    </w:rPr>
  </w:style>
  <w:style w:type="character" w:styleId="995" w:customStyle="1">
    <w:name w:val="fbc_ico2"/>
    <w:qFormat/>
    <w:rPr>
      <w:rFonts w:ascii="Times New Roman" w:hAnsi="Times New Roman" w:eastAsia="宋体" w:cs="Times New Roman"/>
    </w:rPr>
  </w:style>
  <w:style w:type="character" w:styleId="996" w:customStyle="1">
    <w:name w:val="批注文字 Char3"/>
    <w:uiPriority w:val="99"/>
    <w:semiHidden/>
    <w:qFormat/>
  </w:style>
  <w:style w:type="character" w:styleId="997" w:customStyle="1">
    <w:name w:val="页眉 Char1"/>
    <w:uiPriority w:val="99"/>
    <w:semiHidden/>
    <w:qFormat/>
    <w:rPr>
      <w:rFonts w:ascii="Calibri" w:hAnsi="Calibri" w:eastAsia="宋体" w:cs="Calibri"/>
      <w:sz w:val="18"/>
      <w:szCs w:val="18"/>
    </w:rPr>
  </w:style>
  <w:style w:type="character" w:styleId="998" w:customStyle="1">
    <w:name w:val="NormalCharacter"/>
    <w:semiHidden/>
    <w:qFormat/>
    <w:rPr>
      <w:rFonts w:ascii="Times New Roman" w:hAnsi="Times New Roman" w:eastAsia="宋体" w:cs="Times New Roman"/>
    </w:rPr>
  </w:style>
  <w:style w:type="character" w:styleId="999" w:customStyle="1">
    <w:name w:val="sidecatalog-index2"/>
    <w:qFormat/>
    <w:rPr>
      <w:rFonts w:ascii="Arail" w:hAnsi="Arail" w:eastAsia="宋体" w:cs="Arail"/>
      <w:color w:val="999999"/>
      <w:sz w:val="21"/>
      <w:szCs w:val="21"/>
    </w:rPr>
  </w:style>
  <w:style w:type="character" w:styleId="1000" w:customStyle="1">
    <w:name w:val="正文文本 Char_0"/>
    <w:link w:val="1209"/>
    <w:uiPriority w:val="99"/>
    <w:qFormat/>
    <w:rPr>
      <w:sz w:val="24"/>
      <w:szCs w:val="24"/>
    </w:rPr>
  </w:style>
  <w:style w:type="character" w:styleId="1001" w:customStyle="1">
    <w:name w:val="first-child"/>
    <w:qFormat/>
    <w:rPr>
      <w:rFonts w:ascii="Times New Roman" w:hAnsi="Times New Roman" w:eastAsia="宋体" w:cs="Times New Roman"/>
      <w:color w:val="ffffff"/>
    </w:rPr>
  </w:style>
  <w:style w:type="character" w:styleId="1002" w:customStyle="1">
    <w:name w:val="副标题 Char3"/>
    <w:uiPriority w:val="11"/>
    <w:qFormat/>
    <w:rPr>
      <w:rFonts w:ascii="Cambria" w:hAnsi="Cambria" w:eastAsia="宋体" w:cs="Times New Roman"/>
      <w:b/>
      <w:bCs/>
      <w:sz w:val="32"/>
      <w:szCs w:val="32"/>
    </w:rPr>
  </w:style>
  <w:style w:type="character" w:styleId="1003" w:customStyle="1">
    <w:name w:val="引用 Char1"/>
    <w:uiPriority w:val="99"/>
    <w:qFormat/>
    <w:rPr>
      <w:rFonts w:ascii="Times New Roman" w:hAnsi="Times New Roman" w:eastAsia="宋体" w:cs="Times New Roman"/>
      <w:i/>
      <w:iCs/>
      <w:color w:val="000000"/>
      <w:sz w:val="21"/>
      <w:szCs w:val="21"/>
    </w:rPr>
  </w:style>
  <w:style w:type="character" w:styleId="1004" w:customStyle="1">
    <w:name w:val="正文文本缩进 2 Char1"/>
    <w:uiPriority w:val="99"/>
    <w:semiHidden/>
    <w:qFormat/>
  </w:style>
  <w:style w:type="character" w:styleId="1005" w:customStyle="1">
    <w:name w:val="font51"/>
    <w:qFormat/>
    <w:rPr>
      <w:rFonts w:hint="eastAsia" w:ascii="方正仿宋_GBK" w:hAnsi="方正仿宋_GBK" w:eastAsia="方正仿宋_GBK" w:cs="方正仿宋_GBK"/>
      <w:color w:val="ff0000"/>
      <w:sz w:val="24"/>
      <w:szCs w:val="24"/>
      <w:u w:val="none"/>
    </w:rPr>
  </w:style>
  <w:style w:type="character" w:styleId="1006" w:customStyle="1">
    <w:name w:val="宏文本 Char2"/>
    <w:uiPriority w:val="99"/>
    <w:semiHidden/>
    <w:qFormat/>
    <w:rPr>
      <w:rFonts w:ascii="Courier New" w:hAnsi="Courier New" w:eastAsia="宋体" w:cs="Courier New"/>
      <w:sz w:val="24"/>
      <w:szCs w:val="24"/>
    </w:rPr>
  </w:style>
  <w:style w:type="character" w:styleId="1007" w:customStyle="1">
    <w:name w:val="hover22"/>
    <w:qFormat/>
    <w:rPr>
      <w:rFonts w:ascii="Times New Roman" w:hAnsi="Times New Roman" w:eastAsia="宋体" w:cs="Times New Roman"/>
    </w:rPr>
  </w:style>
  <w:style w:type="character" w:styleId="1008" w:customStyle="1">
    <w:name w:val="HTML 预设格式 Char1"/>
    <w:uiPriority w:val="99"/>
    <w:semiHidden/>
    <w:qFormat/>
    <w:rPr>
      <w:rFonts w:ascii="Courier New" w:hAnsi="Courier New" w:cs="Courier New"/>
      <w:sz w:val="20"/>
      <w:szCs w:val="20"/>
    </w:rPr>
  </w:style>
  <w:style w:type="character" w:styleId="1009" w:customStyle="1">
    <w:name w:val="hover23"/>
    <w:qFormat/>
    <w:rPr>
      <w:rFonts w:ascii="Times New Roman" w:hAnsi="Times New Roman" w:eastAsia="宋体" w:cs="Times New Roman"/>
    </w:rPr>
  </w:style>
  <w:style w:type="character" w:styleId="1010" w:customStyle="1">
    <w:name w:val="日期 Char3"/>
    <w:uiPriority w:val="99"/>
    <w:semiHidden/>
    <w:qFormat/>
  </w:style>
  <w:style w:type="character" w:styleId="1011" w:customStyle="1">
    <w:name w:val="bds_more1"/>
    <w:qFormat/>
    <w:rPr>
      <w:rFonts w:ascii="Times New Roman" w:hAnsi="Times New Roman" w:eastAsia="宋体" w:cs="Times New Roman"/>
    </w:rPr>
  </w:style>
  <w:style w:type="character" w:styleId="1012" w:customStyle="1">
    <w:name w:val="批注主题 Char3"/>
    <w:uiPriority w:val="99"/>
    <w:semiHidden/>
    <w:qFormat/>
    <w:rPr>
      <w:b/>
      <w:bCs/>
    </w:rPr>
  </w:style>
  <w:style w:type="character" w:styleId="1013" w:customStyle="1">
    <w:name w:val="未处理的提及3"/>
    <w:uiPriority w:val="99"/>
    <w:unhideWhenUsed/>
    <w:qFormat/>
    <w:rPr>
      <w:rFonts w:ascii="Times New Roman" w:hAnsi="Times New Roman" w:eastAsia="宋体" w:cs="Times New Roman"/>
      <w:color w:val="605e5c"/>
      <w:shd w:val="clear" w:color="auto" w:fill="e1dfdd"/>
    </w:rPr>
  </w:style>
  <w:style w:type="character" w:styleId="1014" w:customStyle="1">
    <w:name w:val="标题 Char3"/>
    <w:uiPriority w:val="10"/>
    <w:qFormat/>
    <w:rPr>
      <w:rFonts w:ascii="Cambria" w:hAnsi="Cambria" w:eastAsia="宋体" w:cs="Times New Roman"/>
      <w:b/>
      <w:bCs/>
      <w:sz w:val="32"/>
      <w:szCs w:val="32"/>
    </w:rPr>
  </w:style>
  <w:style w:type="character" w:styleId="1015" w:customStyle="1">
    <w:name w:val="bds_nopic"/>
    <w:qFormat/>
    <w:rPr>
      <w:rFonts w:ascii="Times New Roman" w:hAnsi="Times New Roman" w:eastAsia="宋体" w:cs="Times New Roman"/>
    </w:rPr>
  </w:style>
  <w:style w:type="character" w:styleId="1016" w:customStyle="1">
    <w:name w:val="15"/>
    <w:qFormat/>
    <w:rPr>
      <w:rFonts w:hint="default" w:ascii="Times New Roman" w:hAnsi="Times New Roman" w:eastAsia="宋体" w:cs="Times New Roman"/>
    </w:rPr>
  </w:style>
  <w:style w:type="character" w:styleId="1017" w:customStyle="1">
    <w:name w:val="label"/>
    <w:qFormat/>
    <w:rPr>
      <w:rFonts w:ascii="Times New Roman" w:hAnsi="Times New Roman" w:eastAsia="宋体" w:cs="Times New Roman"/>
    </w:rPr>
  </w:style>
  <w:style w:type="character" w:styleId="1018" w:customStyle="1">
    <w:name w:val="正文文本 3 Char2"/>
    <w:uiPriority w:val="99"/>
    <w:semiHidden/>
    <w:qFormat/>
    <w:rPr>
      <w:sz w:val="16"/>
      <w:szCs w:val="16"/>
    </w:rPr>
  </w:style>
  <w:style w:type="character" w:styleId="1019" w:customStyle="1">
    <w:name w:val="label3"/>
    <w:qFormat/>
    <w:rPr>
      <w:rFonts w:ascii="Times New Roman" w:hAnsi="Times New Roman" w:eastAsia="宋体" w:cs="Times New Roman"/>
    </w:rPr>
  </w:style>
  <w:style w:type="character" w:styleId="1020" w:customStyle="1">
    <w:name w:val="正文文本缩进 Char1"/>
    <w:uiPriority w:val="99"/>
    <w:semiHidden/>
    <w:qFormat/>
  </w:style>
  <w:style w:type="character" w:styleId="1021" w:customStyle="1">
    <w:name w:val="ant-tree-switcher6"/>
    <w:qFormat/>
    <w:rPr>
      <w:rFonts w:ascii="Times New Roman" w:hAnsi="Times New Roman" w:eastAsia="宋体" w:cs="Times New Roman"/>
    </w:rPr>
  </w:style>
  <w:style w:type="character" w:styleId="1022" w:customStyle="1">
    <w:name w:val="正文首行缩进 2 Char1"/>
    <w:uiPriority w:val="99"/>
    <w:semiHidden/>
    <w:qFormat/>
  </w:style>
  <w:style w:type="character" w:styleId="1023" w:customStyle="1">
    <w:name w:val="宏文本 字符1"/>
    <w:uiPriority w:val="99"/>
    <w:semiHidden/>
    <w:qFormat/>
    <w:rPr>
      <w:rFonts w:ascii="Courier New" w:hAnsi="Courier New" w:eastAsia="宋体" w:cs="Courier New"/>
      <w:sz w:val="24"/>
      <w:szCs w:val="24"/>
    </w:rPr>
  </w:style>
  <w:style w:type="character" w:styleId="1024" w:customStyle="1">
    <w:name w:val="纯文本 Char1"/>
    <w:uiPriority w:val="99"/>
    <w:semiHidden/>
    <w:qFormat/>
    <w:rPr>
      <w:rFonts w:ascii="宋体" w:hAnsi="Courier New" w:eastAsia="宋体" w:cs="Courier New"/>
      <w:szCs w:val="21"/>
    </w:rPr>
  </w:style>
  <w:style w:type="character" w:styleId="1025" w:customStyle="1">
    <w:name w:val="zcf_title_ext"/>
    <w:qFormat/>
    <w:rPr>
      <w:rFonts w:ascii="Times New Roman" w:hAnsi="Times New Roman" w:eastAsia="宋体" w:cs="Times New Roman"/>
      <w:color w:val="999999"/>
    </w:rPr>
  </w:style>
  <w:style w:type="character" w:styleId="1026" w:customStyle="1">
    <w:name w:val="正文文本缩进 3 Char2"/>
    <w:uiPriority w:val="99"/>
    <w:semiHidden/>
    <w:qFormat/>
    <w:rPr>
      <w:sz w:val="16"/>
      <w:szCs w:val="16"/>
    </w:rPr>
  </w:style>
  <w:style w:type="character" w:styleId="1027" w:customStyle="1">
    <w:name w:val="Heading 4 Char"/>
    <w:uiPriority w:val="99"/>
    <w:semiHidden/>
    <w:qFormat/>
    <w:rPr>
      <w:rFonts w:ascii="Cambria" w:hAnsi="Cambria" w:eastAsia="宋体" w:cs="Times New Roman"/>
      <w:b/>
      <w:bCs/>
      <w:sz w:val="28"/>
      <w:szCs w:val="28"/>
      <w:lang w:val="en-US" w:eastAsia="zh-CN" w:bidi="ar-SA"/>
    </w:rPr>
  </w:style>
  <w:style w:type="character" w:styleId="1028" w:customStyle="1">
    <w:name w:val="文档结构图 Char3"/>
    <w:uiPriority w:val="99"/>
    <w:semiHidden/>
    <w:qFormat/>
    <w:rPr>
      <w:rFonts w:ascii="宋体" w:eastAsia="宋体"/>
      <w:sz w:val="18"/>
      <w:szCs w:val="18"/>
    </w:rPr>
  </w:style>
  <w:style w:type="character" w:styleId="1029" w:customStyle="1">
    <w:name w:val="hcc_logo"/>
    <w:qFormat/>
    <w:rPr>
      <w:rFonts w:ascii="Times New Roman" w:hAnsi="Times New Roman" w:eastAsia="宋体" w:cs="Times New Roman"/>
    </w:rPr>
  </w:style>
  <w:style w:type="character" w:styleId="1030" w:customStyle="1">
    <w:name w:val="正文文本 Char3"/>
    <w:uiPriority w:val="99"/>
    <w:semiHidden/>
    <w:qFormat/>
  </w:style>
  <w:style w:type="character" w:styleId="1031" w:customStyle="1">
    <w:name w:val="正文文本 3 Char1"/>
    <w:uiPriority w:val="99"/>
    <w:semiHidden/>
    <w:qFormat/>
    <w:rPr>
      <w:rFonts w:ascii="Times New Roman" w:hAnsi="Times New Roman" w:eastAsia="宋体" w:cs="Times New Roman"/>
      <w:sz w:val="16"/>
      <w:szCs w:val="16"/>
    </w:rPr>
  </w:style>
  <w:style w:type="character" w:styleId="1032" w:customStyle="1">
    <w:name w:val="label2"/>
    <w:qFormat/>
    <w:rPr>
      <w:rFonts w:ascii="Times New Roman" w:hAnsi="Times New Roman" w:eastAsia="宋体" w:cs="Times New Roman"/>
      <w:color w:val="1cc09f"/>
      <w:shd w:val="clear" w:color="auto" w:fill="ffffff"/>
    </w:rPr>
  </w:style>
  <w:style w:type="character" w:styleId="1033" w:customStyle="1">
    <w:name w:val="标题 1 Char"/>
    <w:uiPriority w:val="9"/>
    <w:qFormat/>
    <w:rPr>
      <w:rFonts w:ascii="Times New Roman" w:hAnsi="Times New Roman" w:eastAsia="宋体" w:cs="Times New Roman"/>
      <w:b/>
      <w:bCs/>
      <w:sz w:val="44"/>
      <w:szCs w:val="44"/>
    </w:rPr>
  </w:style>
  <w:style w:type="character" w:styleId="1034" w:customStyle="1">
    <w:name w:val="页脚 Char"/>
    <w:uiPriority w:val="99"/>
    <w:qFormat/>
    <w:rPr>
      <w:rFonts w:ascii="Calibri" w:hAnsi="Calibri" w:eastAsia="宋体" w:cs="Times New Roman"/>
      <w:sz w:val="18"/>
      <w:szCs w:val="18"/>
    </w:rPr>
  </w:style>
  <w:style w:type="character" w:styleId="1035" w:customStyle="1">
    <w:name w:val="日期 Char2"/>
    <w:uiPriority w:val="99"/>
    <w:semiHidden/>
    <w:qFormat/>
    <w:rPr>
      <w:rFonts w:ascii="Calibri" w:hAnsi="Calibri" w:eastAsia="宋体" w:cs="Calibri"/>
    </w:rPr>
  </w:style>
  <w:style w:type="character" w:styleId="1036" w:customStyle="1">
    <w:name w:val="未处理的提及2"/>
    <w:uiPriority w:val="99"/>
    <w:unhideWhenUsed/>
    <w:qFormat/>
    <w:rPr>
      <w:rFonts w:ascii="Times New Roman" w:hAnsi="Times New Roman" w:eastAsia="宋体" w:cs="Times New Roman"/>
      <w:color w:val="605e5c"/>
      <w:shd w:val="clear" w:color="auto" w:fill="e1dfdd"/>
    </w:rPr>
  </w:style>
  <w:style w:type="character" w:styleId="1037" w:customStyle="1">
    <w:name w:val="hover85"/>
    <w:qFormat/>
    <w:rPr>
      <w:rFonts w:ascii="Times New Roman" w:hAnsi="Times New Roman" w:eastAsia="宋体" w:cs="Times New Roman"/>
    </w:rPr>
  </w:style>
  <w:style w:type="character" w:styleId="1038" w:customStyle="1">
    <w:name w:val="hover14"/>
    <w:qFormat/>
    <w:rPr>
      <w:rFonts w:ascii="Times New Roman" w:hAnsi="Times New Roman" w:eastAsia="宋体" w:cs="Times New Roman"/>
      <w:sz w:val="16"/>
      <w:szCs w:val="16"/>
    </w:rPr>
  </w:style>
  <w:style w:type="paragraph" w:styleId="1039">
    <w:name w:val="Title"/>
    <w:basedOn w:val="742"/>
    <w:next w:val="742"/>
    <w:link w:val="884"/>
    <w:uiPriority w:val="99"/>
    <w:qFormat/>
    <w:pPr>
      <w:contextualSpacing/>
      <w:spacing w:after="300" w:line="240" w:lineRule="auto"/>
      <w:pBdr>
        <w:bottom w:val="single" w:color="4F81BD" w:sz="8" w:space="4"/>
      </w:pBdr>
    </w:pPr>
    <w:rPr>
      <w:rFonts w:ascii="Cambria" w:hAnsi="Cambria"/>
      <w:color w:val="17365d"/>
      <w:spacing w:val="5"/>
      <w:sz w:val="52"/>
      <w:szCs w:val="52"/>
    </w:rPr>
  </w:style>
  <w:style w:type="paragraph" w:styleId="1040">
    <w:name w:val="Subtitle"/>
    <w:basedOn w:val="742"/>
    <w:next w:val="742"/>
    <w:link w:val="895"/>
    <w:uiPriority w:val="99"/>
    <w:qFormat/>
    <w:rPr>
      <w:rFonts w:ascii="Cambria" w:hAnsi="Cambria"/>
      <w:i/>
      <w:iCs/>
      <w:color w:val="4f81bd"/>
      <w:spacing w:val="15"/>
      <w:sz w:val="24"/>
      <w:szCs w:val="24"/>
    </w:rPr>
  </w:style>
  <w:style w:type="paragraph" w:styleId="1041">
    <w:name w:val="Body Text Indent 2"/>
    <w:basedOn w:val="742"/>
    <w:link w:val="826"/>
    <w:uiPriority w:val="99"/>
    <w:qFormat/>
    <w:pPr>
      <w:ind w:left="630" w:firstLine="645"/>
      <w:jc w:val="both"/>
      <w:spacing w:after="0" w:line="240" w:lineRule="auto"/>
      <w:widowControl w:val="off"/>
    </w:pPr>
    <w:rPr>
      <w:rFonts w:ascii="Arial" w:hAnsi="Arial" w:eastAsia="仿宋_GB2312"/>
      <w:sz w:val="32"/>
      <w:szCs w:val="32"/>
    </w:rPr>
  </w:style>
  <w:style w:type="paragraph" w:styleId="1042">
    <w:name w:val="Caption"/>
    <w:basedOn w:val="742"/>
    <w:next w:val="742"/>
    <w:qFormat/>
    <w:pPr>
      <w:spacing w:line="240" w:lineRule="auto"/>
    </w:pPr>
    <w:rPr>
      <w:b/>
      <w:bCs/>
      <w:color w:val="4f81bd"/>
      <w:sz w:val="18"/>
      <w:szCs w:val="18"/>
    </w:rPr>
  </w:style>
  <w:style w:type="paragraph" w:styleId="1043">
    <w:name w:val="index 1"/>
    <w:basedOn w:val="742"/>
    <w:next w:val="742"/>
    <w:qFormat/>
    <w:pPr>
      <w:jc w:val="both"/>
      <w:spacing w:after="0" w:line="240" w:lineRule="atLeast"/>
      <w:widowControl w:val="off"/>
    </w:pPr>
    <w:rPr>
      <w:b/>
      <w:bCs/>
      <w:sz w:val="21"/>
      <w:szCs w:val="21"/>
    </w:rPr>
  </w:style>
  <w:style w:type="paragraph" w:styleId="1044">
    <w:name w:val="toc 9"/>
    <w:basedOn w:val="742"/>
    <w:next w:val="742"/>
    <w:uiPriority w:val="39"/>
    <w:unhideWhenUsed/>
    <w:pPr>
      <w:ind w:left="2268"/>
      <w:spacing w:after="57" w:line="240" w:lineRule="auto"/>
    </w:pPr>
    <w:rPr>
      <w:sz w:val="20"/>
      <w:szCs w:val="20"/>
    </w:rPr>
  </w:style>
  <w:style w:type="paragraph" w:styleId="1045">
    <w:name w:val="Body Text Indent 3"/>
    <w:basedOn w:val="742"/>
    <w:link w:val="883"/>
    <w:uiPriority w:val="99"/>
    <w:qFormat/>
    <w:pPr>
      <w:ind w:left="645" w:firstLine="645"/>
      <w:jc w:val="both"/>
      <w:spacing w:after="0" w:line="240" w:lineRule="auto"/>
      <w:widowControl w:val="off"/>
    </w:pPr>
    <w:rPr>
      <w:rFonts w:ascii="Arial" w:hAnsi="Arial" w:eastAsia="仿宋_GB2312"/>
      <w:color w:val="ffff00"/>
      <w:sz w:val="32"/>
      <w:szCs w:val="32"/>
    </w:rPr>
  </w:style>
  <w:style w:type="paragraph" w:styleId="1046">
    <w:name w:val="List"/>
    <w:basedOn w:val="742"/>
    <w:qFormat/>
    <w:pPr>
      <w:ind w:left="200" w:hanging="200"/>
      <w:jc w:val="both"/>
      <w:spacing w:after="0" w:line="240" w:lineRule="auto"/>
      <w:widowControl w:val="off"/>
    </w:pPr>
    <w:rPr>
      <w:sz w:val="21"/>
      <w:szCs w:val="21"/>
    </w:rPr>
  </w:style>
  <w:style w:type="paragraph" w:styleId="1047">
    <w:name w:val="toc 5"/>
    <w:basedOn w:val="742"/>
    <w:next w:val="742"/>
    <w:uiPriority w:val="39"/>
    <w:unhideWhenUsed/>
    <w:pPr>
      <w:ind w:left="1134"/>
      <w:spacing w:after="57" w:line="240" w:lineRule="auto"/>
    </w:pPr>
    <w:rPr>
      <w:sz w:val="20"/>
      <w:szCs w:val="20"/>
    </w:rPr>
  </w:style>
  <w:style w:type="paragraph" w:styleId="1048">
    <w:name w:val="Block Text"/>
    <w:basedOn w:val="742"/>
    <w:uiPriority w:val="99"/>
    <w:unhideWhenUsed/>
    <w:qFormat/>
    <w:pPr>
      <w:ind w:left="1440" w:right="1440"/>
      <w:jc w:val="both"/>
      <w:spacing w:after="120" w:line="278" w:lineRule="auto"/>
      <w:widowControl w:val="off"/>
    </w:pPr>
    <w:rPr>
      <w:rFonts w:cs="Calibri"/>
      <w:sz w:val="21"/>
      <w:szCs w:val="21"/>
    </w:rPr>
  </w:style>
  <w:style w:type="paragraph" w:styleId="1049">
    <w:name w:val="annotation text"/>
    <w:basedOn w:val="742"/>
    <w:link w:val="835"/>
    <w:qFormat/>
    <w:pPr>
      <w:spacing w:after="0" w:line="240" w:lineRule="auto"/>
      <w:widowControl w:val="off"/>
    </w:pPr>
    <w:rPr>
      <w:sz w:val="21"/>
      <w:szCs w:val="21"/>
    </w:rPr>
  </w:style>
  <w:style w:type="paragraph" w:styleId="1050">
    <w:name w:val="Body Text 2"/>
    <w:basedOn w:val="742"/>
    <w:link w:val="900"/>
    <w:qFormat/>
    <w:pPr>
      <w:jc w:val="center"/>
      <w:spacing w:after="0" w:line="240" w:lineRule="auto"/>
    </w:pPr>
    <w:rPr>
      <w:rFonts w:ascii="楷体_GB2312" w:eastAsia="楷体_GB2312"/>
      <w:sz w:val="28"/>
      <w:szCs w:val="28"/>
    </w:rPr>
  </w:style>
  <w:style w:type="paragraph" w:styleId="1051">
    <w:name w:val="endnote text"/>
    <w:basedOn w:val="742"/>
    <w:link w:val="877"/>
    <w:uiPriority w:val="99"/>
    <w:unhideWhenUsed/>
    <w:pPr>
      <w:spacing w:after="0" w:line="240" w:lineRule="auto"/>
    </w:pPr>
    <w:rPr>
      <w:sz w:val="20"/>
      <w:szCs w:val="20"/>
    </w:rPr>
  </w:style>
  <w:style w:type="paragraph" w:styleId="1052">
    <w:name w:val="index 4"/>
    <w:basedOn w:val="742"/>
    <w:next w:val="742"/>
    <w:unhideWhenUsed/>
    <w:qFormat/>
    <w:pPr>
      <w:ind w:left="600"/>
    </w:pPr>
  </w:style>
  <w:style w:type="paragraph" w:styleId="1053">
    <w:name w:val="Body Text Indent"/>
    <w:basedOn w:val="742"/>
    <w:link w:val="779"/>
    <w:uiPriority w:val="99"/>
    <w:qFormat/>
    <w:pPr>
      <w:ind w:firstLine="645"/>
      <w:jc w:val="both"/>
      <w:spacing w:after="0" w:line="240" w:lineRule="auto"/>
      <w:widowControl w:val="off"/>
    </w:pPr>
    <w:rPr>
      <w:rFonts w:ascii="楷体_GB2312" w:eastAsia="楷体_GB2312"/>
      <w:sz w:val="32"/>
      <w:szCs w:val="32"/>
    </w:rPr>
  </w:style>
  <w:style w:type="paragraph" w:styleId="1054">
    <w:name w:val="toc 2"/>
    <w:basedOn w:val="742"/>
    <w:next w:val="742"/>
    <w:uiPriority w:val="39"/>
    <w:qFormat/>
    <w:pPr>
      <w:ind w:left="210"/>
      <w:spacing w:after="0" w:line="240" w:lineRule="auto"/>
      <w:widowControl w:val="off"/>
    </w:pPr>
    <w:rPr>
      <w:smallCaps/>
      <w:sz w:val="21"/>
      <w:szCs w:val="24"/>
    </w:rPr>
  </w:style>
  <w:style w:type="paragraph" w:styleId="1055">
    <w:name w:val="footnote text"/>
    <w:basedOn w:val="742"/>
    <w:link w:val="820"/>
    <w:uiPriority w:val="99"/>
    <w:unhideWhenUsed/>
    <w:qFormat/>
    <w:pPr>
      <w:spacing w:after="40" w:line="240" w:lineRule="auto"/>
    </w:pPr>
    <w:rPr>
      <w:sz w:val="18"/>
      <w:szCs w:val="20"/>
    </w:rPr>
  </w:style>
  <w:style w:type="paragraph" w:styleId="1056">
    <w:name w:val="Balloon Text"/>
    <w:basedOn w:val="742"/>
    <w:link w:val="871"/>
    <w:unhideWhenUsed/>
    <w:qFormat/>
    <w:pPr>
      <w:jc w:val="both"/>
      <w:spacing w:after="0" w:line="240" w:lineRule="auto"/>
      <w:widowControl w:val="off"/>
    </w:pPr>
    <w:rPr>
      <w:sz w:val="18"/>
      <w:szCs w:val="18"/>
    </w:rPr>
  </w:style>
  <w:style w:type="paragraph" w:styleId="1057">
    <w:name w:val="toc 3"/>
    <w:basedOn w:val="742"/>
    <w:next w:val="742"/>
    <w:uiPriority w:val="39"/>
    <w:qFormat/>
    <w:pPr>
      <w:ind w:left="420"/>
      <w:spacing w:after="0" w:line="240" w:lineRule="auto"/>
      <w:widowControl w:val="off"/>
    </w:pPr>
    <w:rPr>
      <w:i/>
      <w:iCs/>
      <w:sz w:val="21"/>
      <w:szCs w:val="24"/>
    </w:rPr>
  </w:style>
  <w:style w:type="paragraph" w:styleId="1058">
    <w:name w:val="List 2"/>
    <w:basedOn w:val="742"/>
    <w:qFormat/>
    <w:pPr>
      <w:ind w:left="100" w:hanging="200"/>
      <w:jc w:val="both"/>
      <w:spacing w:after="0" w:line="240" w:lineRule="auto"/>
      <w:widowControl w:val="off"/>
    </w:pPr>
    <w:rPr>
      <w:sz w:val="21"/>
      <w:szCs w:val="21"/>
    </w:rPr>
  </w:style>
  <w:style w:type="paragraph" w:styleId="1059">
    <w:name w:val="Body Text"/>
    <w:basedOn w:val="742"/>
    <w:link w:val="868"/>
    <w:qFormat/>
    <w:pPr>
      <w:jc w:val="both"/>
      <w:spacing w:after="0" w:line="240" w:lineRule="auto"/>
      <w:widowControl w:val="off"/>
    </w:pPr>
    <w:rPr>
      <w:rFonts w:ascii="楷体_GB2312" w:hAnsi="Arial" w:eastAsia="楷体_GB2312"/>
      <w:sz w:val="28"/>
      <w:szCs w:val="28"/>
    </w:rPr>
  </w:style>
  <w:style w:type="paragraph" w:styleId="1060">
    <w:name w:val="annotation subject"/>
    <w:basedOn w:val="1049"/>
    <w:next w:val="1049"/>
    <w:link w:val="777"/>
    <w:uiPriority w:val="99"/>
    <w:qFormat/>
    <w:rPr>
      <w:b/>
      <w:bCs/>
    </w:rPr>
  </w:style>
  <w:style w:type="paragraph" w:styleId="1061">
    <w:name w:val="Date"/>
    <w:basedOn w:val="742"/>
    <w:next w:val="742"/>
    <w:link w:val="817"/>
    <w:uiPriority w:val="99"/>
    <w:qFormat/>
    <w:pPr>
      <w:jc w:val="both"/>
      <w:spacing w:after="0" w:line="240" w:lineRule="auto"/>
      <w:widowControl w:val="off"/>
    </w:pPr>
    <w:rPr>
      <w:sz w:val="24"/>
      <w:szCs w:val="24"/>
    </w:rPr>
  </w:style>
  <w:style w:type="paragraph" w:styleId="1062">
    <w:name w:val="toc 8"/>
    <w:basedOn w:val="742"/>
    <w:next w:val="742"/>
    <w:uiPriority w:val="39"/>
    <w:unhideWhenUsed/>
    <w:pPr>
      <w:ind w:left="1984"/>
      <w:spacing w:after="57" w:line="240" w:lineRule="auto"/>
    </w:pPr>
    <w:rPr>
      <w:sz w:val="20"/>
      <w:szCs w:val="20"/>
    </w:rPr>
  </w:style>
  <w:style w:type="paragraph" w:styleId="1063">
    <w:name w:val="Normal Indent"/>
    <w:basedOn w:val="742"/>
    <w:link w:val="823"/>
    <w:unhideWhenUsed/>
    <w:qFormat/>
    <w:pPr>
      <w:ind w:firstLine="420"/>
      <w:jc w:val="both"/>
      <w:spacing w:after="0" w:line="240" w:lineRule="auto"/>
      <w:widowControl w:val="off"/>
    </w:pPr>
    <w:rPr>
      <w:sz w:val="21"/>
      <w:szCs w:val="20"/>
    </w:rPr>
  </w:style>
  <w:style w:type="paragraph" w:styleId="1064">
    <w:name w:val="Body Text 3"/>
    <w:basedOn w:val="742"/>
    <w:link w:val="829"/>
    <w:uiPriority w:val="99"/>
    <w:qFormat/>
    <w:pPr>
      <w:jc w:val="both"/>
      <w:spacing w:after="0" w:line="240" w:lineRule="auto"/>
      <w:widowControl w:val="off"/>
    </w:pPr>
    <w:rPr>
      <w:rFonts w:ascii="仿宋_GB2312" w:hAnsi="Arial" w:eastAsia="仿宋_GB2312"/>
      <w:sz w:val="32"/>
      <w:szCs w:val="32"/>
    </w:rPr>
  </w:style>
  <w:style w:type="paragraph" w:styleId="1065">
    <w:name w:val="envelope return"/>
    <w:basedOn w:val="742"/>
    <w:qFormat/>
    <w:pPr>
      <w:jc w:val="both"/>
      <w:spacing w:after="160" w:line="278" w:lineRule="auto"/>
      <w:widowControl w:val="off"/>
    </w:pPr>
    <w:rPr>
      <w:rFonts w:ascii="Arial" w:hAnsi="Arial" w:cs="Calibri"/>
      <w:sz w:val="21"/>
      <w:szCs w:val="21"/>
    </w:rPr>
  </w:style>
  <w:style w:type="paragraph" w:styleId="1066">
    <w:name w:val="Body Text First Indent 2"/>
    <w:basedOn w:val="1053"/>
    <w:link w:val="880"/>
    <w:qFormat/>
    <w:pPr>
      <w:ind w:firstLine="420"/>
      <w:spacing w:line="360" w:lineRule="auto"/>
    </w:pPr>
    <w:rPr>
      <w:rFonts w:ascii="宋体" w:hAnsi="宋体" w:eastAsia="宋体"/>
      <w:sz w:val="21"/>
      <w:szCs w:val="20"/>
    </w:rPr>
  </w:style>
  <w:style w:type="paragraph" w:styleId="1067">
    <w:name w:val="table of figures"/>
    <w:basedOn w:val="742"/>
    <w:next w:val="742"/>
    <w:uiPriority w:val="99"/>
    <w:qFormat/>
    <w:pPr>
      <w:ind w:left="840" w:hanging="420"/>
      <w:jc w:val="both"/>
      <w:spacing w:after="0" w:line="240" w:lineRule="auto"/>
      <w:widowControl w:val="off"/>
    </w:pPr>
    <w:rPr>
      <w:sz w:val="21"/>
      <w:szCs w:val="21"/>
    </w:rPr>
  </w:style>
  <w:style w:type="paragraph" w:styleId="1068">
    <w:name w:val="HTML Preformatted"/>
    <w:basedOn w:val="742"/>
    <w:link w:val="903"/>
    <w:uiPriority w:val="99"/>
    <w:qFormat/>
    <w:pPr>
      <w:spacing w:after="160" w:line="278"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1069">
    <w:name w:val="toc 7"/>
    <w:basedOn w:val="742"/>
    <w:next w:val="742"/>
    <w:uiPriority w:val="39"/>
    <w:unhideWhenUsed/>
    <w:pPr>
      <w:ind w:left="1701"/>
      <w:spacing w:after="57" w:line="240" w:lineRule="auto"/>
    </w:pPr>
    <w:rPr>
      <w:sz w:val="20"/>
      <w:szCs w:val="20"/>
    </w:rPr>
  </w:style>
  <w:style w:type="paragraph" w:styleId="1070">
    <w:name w:val="macro"/>
    <w:link w:val="828"/>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rPr>
  </w:style>
  <w:style w:type="paragraph" w:styleId="1071">
    <w:name w:val="Normal (Web)"/>
    <w:basedOn w:val="742"/>
    <w:uiPriority w:val="99"/>
    <w:qFormat/>
    <w:pPr>
      <w:spacing w:before="100" w:beforeAutospacing="1" w:after="100" w:afterAutospacing="1" w:line="240" w:lineRule="auto"/>
    </w:pPr>
    <w:rPr>
      <w:rFonts w:ascii="宋体" w:hAnsi="宋体" w:cs="宋体"/>
      <w:sz w:val="24"/>
      <w:szCs w:val="24"/>
    </w:rPr>
  </w:style>
  <w:style w:type="paragraph" w:styleId="1072">
    <w:name w:val="toc 6"/>
    <w:basedOn w:val="742"/>
    <w:next w:val="742"/>
    <w:uiPriority w:val="39"/>
    <w:unhideWhenUsed/>
    <w:pPr>
      <w:ind w:left="1417"/>
      <w:spacing w:after="57" w:line="240" w:lineRule="auto"/>
    </w:pPr>
    <w:rPr>
      <w:sz w:val="20"/>
      <w:szCs w:val="20"/>
    </w:rPr>
  </w:style>
  <w:style w:type="paragraph" w:styleId="1073">
    <w:name w:val="toc 1"/>
    <w:basedOn w:val="742"/>
    <w:next w:val="742"/>
    <w:uiPriority w:val="39"/>
    <w:qFormat/>
    <w:pPr>
      <w:spacing w:before="120" w:after="120" w:line="360" w:lineRule="auto"/>
      <w:widowControl w:val="off"/>
      <w:tabs>
        <w:tab w:val="right" w:pos="8720" w:leader="dot"/>
      </w:tabs>
    </w:pPr>
    <w:rPr>
      <w:rFonts w:ascii="宋体" w:hAnsi="宋体"/>
      <w:caps/>
      <w:sz w:val="28"/>
      <w:szCs w:val="28"/>
    </w:rPr>
  </w:style>
  <w:style w:type="paragraph" w:styleId="1074">
    <w:name w:val="Footer"/>
    <w:basedOn w:val="742"/>
    <w:link w:val="832"/>
    <w:unhideWhenUsed/>
    <w:qFormat/>
    <w:pPr>
      <w:spacing w:line="240" w:lineRule="auto"/>
      <w:tabs>
        <w:tab w:val="center" w:pos="4153" w:leader="none"/>
        <w:tab w:val="right" w:pos="8306" w:leader="none"/>
      </w:tabs>
    </w:pPr>
    <w:rPr>
      <w:sz w:val="18"/>
      <w:szCs w:val="18"/>
    </w:rPr>
  </w:style>
  <w:style w:type="paragraph" w:styleId="1075">
    <w:name w:val="Plain Text"/>
    <w:basedOn w:val="742"/>
    <w:link w:val="874"/>
    <w:qFormat/>
    <w:pPr>
      <w:jc w:val="both"/>
      <w:spacing w:after="0" w:line="240" w:lineRule="auto"/>
      <w:widowControl w:val="off"/>
    </w:pPr>
    <w:rPr>
      <w:rFonts w:ascii="宋体" w:hAnsi="Courier New"/>
      <w:sz w:val="21"/>
      <w:szCs w:val="21"/>
    </w:rPr>
  </w:style>
  <w:style w:type="paragraph" w:styleId="1076">
    <w:name w:val="Document Map"/>
    <w:basedOn w:val="742"/>
    <w:link w:val="898"/>
    <w:uiPriority w:val="99"/>
    <w:qFormat/>
    <w:pPr>
      <w:jc w:val="both"/>
      <w:spacing w:after="0" w:line="240" w:lineRule="auto"/>
      <w:shd w:val="clear" w:color="auto" w:fill="000080"/>
      <w:widowControl w:val="off"/>
    </w:pPr>
    <w:rPr>
      <w:sz w:val="21"/>
      <w:szCs w:val="21"/>
    </w:rPr>
  </w:style>
  <w:style w:type="paragraph" w:styleId="1077">
    <w:name w:val="Header"/>
    <w:basedOn w:val="742"/>
    <w:link w:val="774"/>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1078">
    <w:name w:val="Body Text First Indent"/>
    <w:basedOn w:val="742"/>
    <w:link w:val="793"/>
    <w:qFormat/>
    <w:pPr>
      <w:ind w:firstLine="200"/>
      <w:jc w:val="both"/>
      <w:spacing w:after="0" w:line="360" w:lineRule="auto"/>
      <w:widowControl w:val="off"/>
    </w:pPr>
    <w:rPr>
      <w:rFonts w:ascii="仿宋_GB2312" w:eastAsia="仿宋_GB2312"/>
      <w:sz w:val="30"/>
      <w:szCs w:val="30"/>
    </w:rPr>
  </w:style>
  <w:style w:type="paragraph" w:styleId="1079">
    <w:name w:val="toc 4"/>
    <w:basedOn w:val="742"/>
    <w:next w:val="742"/>
    <w:uiPriority w:val="39"/>
    <w:unhideWhenUsed/>
    <w:pPr>
      <w:ind w:left="850"/>
      <w:spacing w:after="57" w:line="240" w:lineRule="auto"/>
    </w:pPr>
    <w:rPr>
      <w:sz w:val="20"/>
      <w:szCs w:val="20"/>
    </w:rPr>
  </w:style>
  <w:style w:type="paragraph" w:styleId="1080">
    <w:name w:val="List 3"/>
    <w:basedOn w:val="742"/>
    <w:qFormat/>
    <w:pPr>
      <w:ind w:left="100" w:hanging="200"/>
      <w:jc w:val="both"/>
      <w:spacing w:after="0" w:line="240" w:lineRule="auto"/>
      <w:widowControl w:val="off"/>
    </w:pPr>
    <w:rPr>
      <w:sz w:val="21"/>
      <w:szCs w:val="21"/>
    </w:rPr>
  </w:style>
  <w:style w:type="paragraph" w:styleId="1081" w:customStyle="1">
    <w:name w:val="普通正文"/>
    <w:basedOn w:val="742"/>
    <w:link w:val="795"/>
    <w:uiPriority w:val="99"/>
    <w:qFormat/>
    <w:pPr>
      <w:ind w:firstLine="480"/>
      <w:spacing w:before="120" w:after="120" w:line="360" w:lineRule="auto"/>
      <w:widowControl w:val="off"/>
    </w:pPr>
    <w:rPr>
      <w:rFonts w:ascii="Arial" w:hAnsi="Arial"/>
      <w:sz w:val="24"/>
      <w:szCs w:val="24"/>
    </w:rPr>
  </w:style>
  <w:style w:type="paragraph" w:styleId="1082" w:customStyle="1">
    <w:name w:val="列出段落1"/>
    <w:basedOn w:val="742"/>
    <w:link w:val="909"/>
    <w:uiPriority w:val="99"/>
    <w:qFormat/>
    <w:pPr>
      <w:contextualSpacing/>
      <w:ind w:left="720"/>
    </w:pPr>
    <w:rPr>
      <w:sz w:val="24"/>
      <w:szCs w:val="24"/>
      <w:lang w:eastAsia="en-US" w:bidi="en-US"/>
    </w:rPr>
  </w:style>
  <w:style w:type="paragraph" w:styleId="1083" w:customStyle="1">
    <w:name w:val="无间隔1"/>
    <w:link w:val="844"/>
    <w:uiPriority w:val="99"/>
    <w:qFormat/>
    <w:rPr>
      <w:sz w:val="22"/>
      <w:szCs w:val="22"/>
    </w:rPr>
  </w:style>
  <w:style w:type="paragraph" w:styleId="1084" w:customStyle="1">
    <w:name w:val="引用1"/>
    <w:basedOn w:val="742"/>
    <w:next w:val="742"/>
    <w:link w:val="771"/>
    <w:uiPriority w:val="99"/>
    <w:qFormat/>
    <w:rPr>
      <w:i/>
      <w:iCs/>
      <w:color w:val="000000"/>
      <w:sz w:val="20"/>
      <w:szCs w:val="20"/>
    </w:rPr>
  </w:style>
  <w:style w:type="paragraph" w:styleId="1085" w:customStyle="1">
    <w:name w:val="图标"/>
    <w:basedOn w:val="742"/>
    <w:next w:val="742"/>
    <w:qFormat/>
    <w:pPr>
      <w:ind w:left="840" w:hanging="420"/>
      <w:jc w:val="center"/>
      <w:spacing w:before="120" w:after="120" w:line="320" w:lineRule="atLeast"/>
      <w:widowControl w:val="off"/>
      <w:tabs>
        <w:tab w:val="left" w:pos="567" w:leader="none"/>
        <w:tab w:val="left" w:pos="840" w:leader="none"/>
      </w:tabs>
    </w:pPr>
    <w:rPr>
      <w:rFonts w:eastAsia="仿宋_GB2312"/>
      <w:sz w:val="24"/>
      <w:szCs w:val="20"/>
    </w:rPr>
  </w:style>
  <w:style w:type="paragraph" w:styleId="1086" w:customStyle="1">
    <w:name w:val="明显引用1"/>
    <w:basedOn w:val="742"/>
    <w:next w:val="742"/>
    <w:link w:val="783"/>
    <w:uiPriority w:val="99"/>
    <w:qFormat/>
    <w:pPr>
      <w:ind w:left="936" w:right="936"/>
      <w:spacing w:before="200" w:after="280"/>
      <w:pBdr>
        <w:bottom w:val="single" w:color="4F81BD" w:sz="4" w:space="4"/>
      </w:pBdr>
    </w:pPr>
    <w:rPr>
      <w:b/>
      <w:bCs/>
      <w:i/>
      <w:iCs/>
      <w:color w:val="4f81bd"/>
      <w:sz w:val="20"/>
      <w:szCs w:val="20"/>
    </w:rPr>
  </w:style>
  <w:style w:type="paragraph" w:styleId="1087" w:customStyle="1">
    <w:name w:val="二级目录"/>
    <w:next w:val="742"/>
    <w:link w:val="862"/>
    <w:qFormat/>
    <w:pPr>
      <w:ind w:left="907" w:hanging="907"/>
      <w:tabs>
        <w:tab w:val="left" w:pos="907" w:leader="none"/>
        <w:tab w:val="left" w:pos="1145" w:leader="none"/>
      </w:tabs>
      <w:outlineLvl w:val="1"/>
    </w:pPr>
    <w:rPr>
      <w:b/>
      <w:sz w:val="30"/>
      <w:szCs w:val="28"/>
    </w:rPr>
  </w:style>
  <w:style w:type="paragraph" w:styleId="1088" w:customStyle="1">
    <w:name w:val="Table Sub Section"/>
    <w:basedOn w:val="742"/>
    <w:link w:val="837"/>
    <w:qFormat/>
    <w:pPr>
      <w:keepNext/>
      <w:spacing w:before="160" w:after="160"/>
    </w:pPr>
    <w:rPr>
      <w:rFonts w:ascii="Arial" w:hAnsi="Arial"/>
      <w:b/>
      <w:color w:val="0f0f0f"/>
      <w:sz w:val="20"/>
      <w:szCs w:val="20"/>
      <w:lang w:eastAsia="en-US"/>
    </w:rPr>
  </w:style>
  <w:style w:type="paragraph" w:styleId="1089" w:customStyle="1">
    <w:name w:val="4"/>
    <w:basedOn w:val="742"/>
    <w:next w:val="1045"/>
    <w:qFormat/>
    <w:pPr>
      <w:ind w:firstLine="420"/>
      <w:jc w:val="both"/>
      <w:spacing w:after="0" w:line="360" w:lineRule="auto"/>
      <w:widowControl w:val="off"/>
    </w:pPr>
    <w:rPr>
      <w:color w:val="ff0000"/>
      <w:sz w:val="24"/>
      <w:szCs w:val="24"/>
    </w:rPr>
  </w:style>
  <w:style w:type="paragraph" w:styleId="1090" w:customStyle="1">
    <w:name w:val="列出段落21"/>
    <w:basedOn w:val="742"/>
    <w:qFormat/>
    <w:pPr>
      <w:ind w:firstLine="420"/>
      <w:jc w:val="both"/>
      <w:spacing w:after="0" w:line="240" w:lineRule="auto"/>
      <w:widowControl w:val="off"/>
    </w:pPr>
    <w:rPr>
      <w:rFonts w:ascii="Calibri" w:hAnsi="Calibri"/>
      <w:sz w:val="21"/>
    </w:rPr>
  </w:style>
  <w:style w:type="paragraph" w:styleId="1091" w:customStyle="1">
    <w:name w:val="table_lines"/>
    <w:basedOn w:val="742"/>
    <w:qFormat/>
    <w:pPr>
      <w:spacing w:after="0" w:line="240" w:lineRule="auto"/>
    </w:pPr>
    <w:rPr>
      <w:sz w:val="20"/>
      <w:szCs w:val="20"/>
      <w:lang w:val="de-DE" w:eastAsia="de-DE"/>
    </w:rPr>
  </w:style>
  <w:style w:type="paragraph" w:styleId="1092" w:customStyle="1">
    <w:name w:val="font7"/>
    <w:basedOn w:val="742"/>
    <w:qFormat/>
    <w:pPr>
      <w:spacing w:before="100" w:beforeAutospacing="1" w:after="100" w:afterAutospacing="1" w:line="240" w:lineRule="auto"/>
    </w:pPr>
    <w:rPr>
      <w:rFonts w:hint="eastAsia" w:ascii="宋体" w:hAnsi="宋体"/>
      <w:sz w:val="18"/>
      <w:szCs w:val="18"/>
    </w:rPr>
  </w:style>
  <w:style w:type="paragraph" w:styleId="1093" w:customStyle="1">
    <w:name w:val="xl24"/>
    <w:basedOn w:val="742"/>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1094" w:customStyle="1">
    <w:name w:val="列出段落2"/>
    <w:basedOn w:val="742"/>
    <w:uiPriority w:val="99"/>
    <w:qFormat/>
    <w:pPr>
      <w:contextualSpacing/>
      <w:ind w:left="720"/>
    </w:pPr>
  </w:style>
  <w:style w:type="paragraph" w:styleId="1095" w:customStyle="1">
    <w:name w:val="xl30"/>
    <w:basedOn w:val="742"/>
    <w:qFormat/>
    <w:pPr>
      <w:jc w:val="center"/>
      <w:spacing w:before="100" w:beforeAutospacing="1" w:after="100" w:afterAutospacing="1" w:line="240" w:lineRule="auto"/>
    </w:pPr>
    <w:rPr>
      <w:rFonts w:ascii="宋体" w:hAnsi="宋体"/>
      <w:b/>
      <w:bCs/>
      <w:sz w:val="36"/>
      <w:szCs w:val="36"/>
    </w:rPr>
  </w:style>
  <w:style w:type="paragraph" w:styleId="1096" w:customStyle="1">
    <w:name w:val="xl27"/>
    <w:basedOn w:val="742"/>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1097" w:customStyle="1">
    <w:name w:val="Char"/>
    <w:basedOn w:val="1076"/>
    <w:qFormat/>
    <w:rPr>
      <w:rFonts w:ascii="Tahoma" w:hAnsi="Tahoma"/>
      <w:sz w:val="24"/>
      <w:szCs w:val="24"/>
    </w:rPr>
  </w:style>
  <w:style w:type="paragraph" w:styleId="1098" w:customStyle="1">
    <w:name w:val="font6"/>
    <w:basedOn w:val="742"/>
    <w:qFormat/>
    <w:pPr>
      <w:spacing w:before="100" w:beforeAutospacing="1" w:after="100" w:afterAutospacing="1" w:line="240" w:lineRule="auto"/>
    </w:pPr>
    <w:rPr>
      <w:rFonts w:hint="eastAsia" w:ascii="宋体" w:hAnsi="宋体"/>
      <w:sz w:val="28"/>
      <w:szCs w:val="28"/>
      <w:u w:val="single"/>
    </w:rPr>
  </w:style>
  <w:style w:type="paragraph" w:styleId="1099" w:customStyle="1">
    <w:name w:val="table_1stline"/>
    <w:basedOn w:val="742"/>
    <w:qFormat/>
    <w:pPr>
      <w:spacing w:before="120" w:after="0" w:line="240" w:lineRule="auto"/>
    </w:pPr>
    <w:rPr>
      <w:bCs/>
      <w:sz w:val="20"/>
      <w:szCs w:val="20"/>
      <w:lang w:val="de-DE" w:eastAsia="de-DE"/>
    </w:rPr>
  </w:style>
  <w:style w:type="paragraph" w:styleId="1100" w:customStyle="1">
    <w:name w:val="font5"/>
    <w:basedOn w:val="742"/>
    <w:qFormat/>
    <w:pPr>
      <w:spacing w:before="100" w:beforeAutospacing="1" w:after="100" w:afterAutospacing="1" w:line="240" w:lineRule="auto"/>
    </w:pPr>
    <w:rPr>
      <w:rFonts w:hint="eastAsia" w:ascii="宋体" w:hAnsi="宋体"/>
      <w:sz w:val="28"/>
      <w:szCs w:val="28"/>
    </w:rPr>
  </w:style>
  <w:style w:type="paragraph" w:styleId="1101" w:customStyle="1">
    <w:name w:val="Char Char Char Char Char Char Char Char"/>
    <w:basedOn w:val="742"/>
    <w:qFormat/>
    <w:pPr>
      <w:spacing w:after="160" w:line="240" w:lineRule="exact"/>
    </w:pPr>
    <w:rPr>
      <w:rFonts w:ascii="Verdana" w:hAnsi="Verdana"/>
      <w:sz w:val="20"/>
      <w:szCs w:val="20"/>
      <w:lang w:eastAsia="en-US"/>
    </w:rPr>
  </w:style>
  <w:style w:type="paragraph" w:styleId="1102" w:customStyle="1">
    <w:name w:val="TOC 标题1"/>
    <w:basedOn w:val="743"/>
    <w:next w:val="742"/>
    <w:uiPriority w:val="99"/>
    <w:unhideWhenUsed/>
    <w:qFormat/>
    <w:pPr>
      <w:outlineLvl w:val="9"/>
    </w:pPr>
  </w:style>
  <w:style w:type="paragraph" w:styleId="1103" w:customStyle="1">
    <w:name w:val="xl29"/>
    <w:basedOn w:val="742"/>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1104" w:customStyle="1">
    <w:name w:val="Char Char Char Char"/>
    <w:basedOn w:val="1076"/>
    <w:qFormat/>
    <w:pPr>
      <w:spacing w:line="360" w:lineRule="auto"/>
    </w:pPr>
    <w:rPr>
      <w:rFonts w:ascii="Tahoma" w:hAnsi="Tahoma"/>
      <w:sz w:val="24"/>
      <w:szCs w:val="24"/>
    </w:rPr>
  </w:style>
  <w:style w:type="paragraph" w:styleId="1105">
    <w:name w:val="List Paragraph"/>
    <w:basedOn w:val="742"/>
    <w:uiPriority w:val="34"/>
    <w:qFormat/>
    <w:pPr>
      <w:ind w:firstLine="420"/>
    </w:pPr>
  </w:style>
  <w:style w:type="paragraph" w:styleId="1106" w:customStyle="1">
    <w:name w:val="修订1"/>
    <w:uiPriority w:val="99"/>
    <w:qFormat/>
    <w:rPr>
      <w:sz w:val="22"/>
      <w:szCs w:val="22"/>
    </w:rPr>
  </w:style>
  <w:style w:type="paragraph" w:styleId="1107" w:customStyle="1">
    <w:name w:val="普通 (Web)"/>
    <w:basedOn w:val="742"/>
    <w:qFormat/>
    <w:pPr>
      <w:spacing w:before="100" w:beforeAutospacing="1" w:after="100" w:afterAutospacing="1" w:line="240" w:lineRule="auto"/>
    </w:pPr>
    <w:rPr>
      <w:rFonts w:ascii="宋体" w:hAnsi="宋体"/>
      <w:sz w:val="24"/>
      <w:szCs w:val="24"/>
    </w:rPr>
  </w:style>
  <w:style w:type="paragraph" w:styleId="1108" w:customStyle="1">
    <w:name w:val="标题3"/>
    <w:basedOn w:val="742"/>
    <w:next w:val="742"/>
    <w:qFormat/>
    <w:pPr>
      <w:ind w:firstLine="624"/>
      <w:jc w:val="both"/>
      <w:spacing w:after="0" w:line="590" w:lineRule="atLeast"/>
      <w:widowControl w:val="off"/>
    </w:pPr>
    <w:rPr>
      <w:rFonts w:ascii="方正黑体_GBK" w:eastAsia="方正黑体_GBK"/>
      <w:sz w:val="32"/>
      <w:szCs w:val="32"/>
    </w:rPr>
  </w:style>
  <w:style w:type="paragraph" w:styleId="1109" w:customStyle="1">
    <w:name w:val="标题1"/>
    <w:basedOn w:val="742"/>
    <w:next w:val="742"/>
    <w:qFormat/>
    <w:pPr>
      <w:jc w:val="center"/>
      <w:spacing w:after="0" w:line="700" w:lineRule="atLeast"/>
      <w:widowControl w:val="off"/>
      <w:tabs>
        <w:tab w:val="left" w:pos="9193" w:leader="none"/>
        <w:tab w:val="left" w:pos="9827" w:leader="none"/>
      </w:tabs>
    </w:pPr>
    <w:rPr>
      <w:rFonts w:ascii="方正小标宋_GBK" w:eastAsia="方正小标宋_GBK"/>
      <w:sz w:val="44"/>
      <w:szCs w:val="20"/>
    </w:rPr>
  </w:style>
  <w:style w:type="paragraph" w:styleId="1110" w:customStyle="1">
    <w:name w:val="样式2"/>
    <w:basedOn w:val="742"/>
    <w:qFormat/>
    <w:pPr>
      <w:jc w:val="center"/>
      <w:spacing w:after="0" w:line="240" w:lineRule="auto"/>
      <w:widowControl w:val="off"/>
    </w:pPr>
    <w:rPr>
      <w:rFonts w:ascii="Calibri" w:hAnsi="Calibri"/>
      <w:b/>
      <w:sz w:val="44"/>
      <w:szCs w:val="44"/>
    </w:rPr>
  </w:style>
  <w:style w:type="paragraph" w:styleId="1111" w:customStyle="1">
    <w:name w:val="附录1"/>
    <w:qFormat/>
    <w:pPr>
      <w:ind w:left="907" w:hanging="907"/>
      <w:spacing w:before="240" w:line="600" w:lineRule="atLeast"/>
      <w:tabs>
        <w:tab w:val="left" w:pos="907" w:leader="none"/>
      </w:tabs>
    </w:pPr>
    <w:rPr>
      <w:b/>
      <w:i/>
      <w:sz w:val="28"/>
    </w:rPr>
  </w:style>
  <w:style w:type="paragraph" w:styleId="1112" w:customStyle="1">
    <w:name w:val="样式1"/>
    <w:basedOn w:val="742"/>
    <w:qFormat/>
    <w:pPr>
      <w:ind w:left="709" w:hanging="709"/>
      <w:jc w:val="both"/>
      <w:spacing w:after="0" w:line="240" w:lineRule="auto"/>
      <w:widowControl w:val="off"/>
      <w:tabs>
        <w:tab w:val="left" w:pos="709" w:leader="none"/>
      </w:tabs>
    </w:pPr>
    <w:rPr>
      <w:rFonts w:ascii="宋体" w:hAnsi="宋体"/>
      <w:sz w:val="21"/>
      <w:szCs w:val="21"/>
    </w:rPr>
  </w:style>
  <w:style w:type="paragraph" w:styleId="1113" w:customStyle="1">
    <w:name w:val="Body Text(ch)"/>
    <w:basedOn w:val="742"/>
    <w:next w:val="1059"/>
    <w:qFormat/>
    <w:pPr>
      <w:jc w:val="both"/>
      <w:spacing w:after="120" w:line="240" w:lineRule="auto"/>
      <w:widowControl w:val="off"/>
    </w:pPr>
    <w:rPr>
      <w:rFonts w:ascii="宋体" w:hAnsi="Arial"/>
      <w:bCs/>
      <w:iCs/>
      <w:sz w:val="21"/>
      <w:szCs w:val="24"/>
    </w:rPr>
  </w:style>
  <w:style w:type="paragraph" w:styleId="1114" w:customStyle="1">
    <w:name w:val="段"/>
    <w:qFormat/>
    <w:pPr>
      <w:ind w:firstLine="420"/>
      <w:jc w:val="both"/>
      <w:spacing w:after="160" w:line="278" w:lineRule="auto"/>
      <w:tabs>
        <w:tab w:val="center" w:pos="4201" w:leader="none"/>
        <w:tab w:val="right" w:pos="9298" w:leader="dot"/>
      </w:tabs>
    </w:pPr>
    <w:rPr>
      <w:rFonts w:ascii="宋体" w:cs="Calibri"/>
      <w:sz w:val="21"/>
      <w:szCs w:val="21"/>
    </w:rPr>
  </w:style>
  <w:style w:type="paragraph" w:styleId="1115" w:customStyle="1">
    <w:name w:val="彩色列表 - 强调文字颜色 11"/>
    <w:basedOn w:val="742"/>
    <w:qFormat/>
    <w:pPr>
      <w:contextualSpacing/>
      <w:ind w:left="720"/>
      <w:spacing w:before="100" w:after="100"/>
    </w:pPr>
    <w:rPr>
      <w:rFonts w:ascii="Arial" w:hAnsi="Arial" w:cs="Arial"/>
      <w:color w:val="0f0f0f"/>
      <w:sz w:val="20"/>
      <w:szCs w:val="20"/>
      <w:lang w:eastAsia="en-US"/>
    </w:rPr>
  </w:style>
  <w:style w:type="paragraph" w:styleId="1116" w:customStyle="1">
    <w:name w:val="xl25"/>
    <w:basedOn w:val="742"/>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1117" w:customStyle="1">
    <w:name w:val="样式 标题 2 + Times New Roman 四号 非加粗 段前: 5 磅 段后: 0 磅 行距: 固定值 20..._0"/>
    <w:basedOn w:val="742"/>
    <w:uiPriority w:val="99"/>
    <w:qFormat/>
    <w:pPr>
      <w:keepLines/>
      <w:keepNext/>
      <w:spacing w:before="100" w:after="160" w:line="360" w:lineRule="auto"/>
      <w:widowControl w:val="off"/>
      <w:outlineLvl w:val="1"/>
    </w:pPr>
    <w:rPr>
      <w:rFonts w:cs="Calibri"/>
      <w:sz w:val="28"/>
      <w:szCs w:val="28"/>
    </w:rPr>
  </w:style>
  <w:style w:type="paragraph" w:styleId="1118" w:customStyle="1">
    <w:name w:val="样式 标题 3 + (中文) 黑体 小四 非加粗 段前: 7.8 磅 段后: 0 磅 行距: 固定值 20 磅"/>
    <w:basedOn w:val="745"/>
    <w:next w:val="742"/>
    <w:uiPriority w:val="99"/>
    <w:qFormat/>
    <w:pPr>
      <w:spacing w:before="0" w:line="400" w:lineRule="exact"/>
      <w:widowControl w:val="off"/>
    </w:pPr>
    <w:rPr>
      <w:rFonts w:ascii="Calibri" w:hAnsi="Calibri" w:eastAsia="黑体" w:cs="Calibri"/>
      <w:b w:val="0"/>
      <w:bCs w:val="0"/>
      <w:color w:val="auto"/>
      <w:sz w:val="24"/>
      <w:szCs w:val="24"/>
    </w:rPr>
  </w:style>
  <w:style w:type="paragraph" w:styleId="1119" w:customStyle="1">
    <w:name w:val="正文文本 31"/>
    <w:basedOn w:val="742"/>
    <w:pPr>
      <w:spacing w:after="0" w:line="240" w:lineRule="auto"/>
    </w:pPr>
    <w:rPr>
      <w:rFonts w:ascii="仿宋_GB2312" w:hAnsi="Arial" w:eastAsia="仿宋_GB2312"/>
      <w:sz w:val="32"/>
      <w:szCs w:val="32"/>
    </w:rPr>
  </w:style>
  <w:style w:type="paragraph" w:styleId="1120" w:customStyle="1">
    <w:name w:val="xl26"/>
    <w:basedOn w:val="742"/>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1" w:customStyle="1">
    <w:name w:val="表格"/>
    <w:basedOn w:val="742"/>
    <w:uiPriority w:val="99"/>
    <w:qFormat/>
    <w:pPr>
      <w:jc w:val="center"/>
      <w:spacing w:after="160" w:line="278" w:lineRule="auto"/>
      <w:widowControl w:val="off"/>
    </w:pPr>
    <w:rPr>
      <w:rFonts w:ascii="华文细黑" w:hAnsi="华文细黑" w:cs="华文细黑"/>
      <w:sz w:val="21"/>
      <w:szCs w:val="21"/>
    </w:rPr>
  </w:style>
  <w:style w:type="paragraph" w:styleId="1122" w:customStyle="1">
    <w:name w:val="正文1"/>
    <w:uiPriority w:val="99"/>
    <w:qFormat/>
    <w:pPr>
      <w:spacing w:after="200" w:line="276" w:lineRule="auto"/>
    </w:pPr>
    <w:rPr>
      <w:sz w:val="22"/>
      <w:szCs w:val="22"/>
      <w:lang w:eastAsia="en-US"/>
    </w:rPr>
  </w:style>
  <w:style w:type="paragraph" w:styleId="1123" w:customStyle="1">
    <w:name w:val="xl28"/>
    <w:basedOn w:val="742"/>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1124" w:customStyle="1">
    <w:name w:val="章标题"/>
    <w:next w:val="742"/>
    <w:qFormat/>
    <w:pPr>
      <w:jc w:val="both"/>
      <w:spacing w:after="160" w:line="278" w:lineRule="auto"/>
      <w:outlineLvl w:val="1"/>
    </w:pPr>
    <w:rPr>
      <w:rFonts w:ascii="黑体" w:eastAsia="黑体" w:cs="Calibri"/>
      <w:sz w:val="21"/>
    </w:rPr>
  </w:style>
  <w:style w:type="paragraph" w:styleId="1125" w:customStyle="1">
    <w:name w:val="_Style 38"/>
    <w:basedOn w:val="742"/>
    <w:next w:val="1105"/>
    <w:link w:val="912"/>
    <w:qFormat/>
    <w:pPr>
      <w:ind w:firstLine="420"/>
      <w:jc w:val="both"/>
      <w:spacing w:after="160" w:line="278" w:lineRule="auto"/>
      <w:widowControl w:val="off"/>
    </w:pPr>
    <w:rPr>
      <w:rFonts w:ascii="等线" w:hAnsi="等线" w:eastAsia="等线"/>
      <w:sz w:val="21"/>
    </w:rPr>
  </w:style>
  <w:style w:type="paragraph" w:styleId="1126" w:customStyle="1">
    <w:name w:val="目录 81"/>
    <w:basedOn w:val="742"/>
    <w:next w:val="742"/>
    <w:semiHidden/>
    <w:pPr>
      <w:ind w:left="1470"/>
      <w:spacing w:after="0" w:line="240" w:lineRule="auto"/>
    </w:pPr>
    <w:rPr>
      <w:sz w:val="20"/>
      <w:szCs w:val="20"/>
    </w:rPr>
  </w:style>
  <w:style w:type="paragraph" w:styleId="1127" w:customStyle="1">
    <w:name w:val="Char Char Char Char Char Char Char Char Char Char"/>
    <w:basedOn w:val="742"/>
    <w:qFormat/>
    <w:pPr>
      <w:jc w:val="both"/>
      <w:spacing w:after="0" w:line="360" w:lineRule="auto"/>
      <w:widowControl w:val="off"/>
    </w:pPr>
    <w:rPr>
      <w:sz w:val="24"/>
      <w:szCs w:val="20"/>
    </w:rPr>
  </w:style>
  <w:style w:type="paragraph" w:styleId="1128" w:customStyle="1">
    <w:name w:val="trs_editor"/>
    <w:basedOn w:val="742"/>
    <w:uiPriority w:val="99"/>
    <w:qFormat/>
    <w:pPr>
      <w:spacing w:before="100" w:beforeAutospacing="1" w:after="100" w:afterAutospacing="1" w:line="278" w:lineRule="auto"/>
    </w:pPr>
    <w:rPr>
      <w:rFonts w:ascii="宋体" w:hAnsi="宋体" w:cs="宋体"/>
      <w:sz w:val="24"/>
      <w:szCs w:val="24"/>
    </w:rPr>
  </w:style>
  <w:style w:type="paragraph" w:styleId="1129" w:customStyle="1">
    <w:name w:val="日期1"/>
    <w:basedOn w:val="742"/>
    <w:next w:val="742"/>
    <w:pPr>
      <w:spacing w:after="0" w:line="240" w:lineRule="auto"/>
    </w:pPr>
    <w:rPr>
      <w:sz w:val="24"/>
      <w:szCs w:val="24"/>
    </w:rPr>
  </w:style>
  <w:style w:type="paragraph" w:styleId="1130" w:customStyle="1">
    <w:name w:val="纯文本1"/>
    <w:basedOn w:val="742"/>
    <w:qFormat/>
    <w:pPr>
      <w:jc w:val="both"/>
      <w:spacing w:after="0" w:line="240" w:lineRule="auto"/>
      <w:widowControl w:val="off"/>
    </w:pPr>
    <w:rPr>
      <w:rFonts w:ascii="宋体" w:hAnsi="Courier New" w:eastAsia="楷体_GB2312"/>
      <w:sz w:val="28"/>
      <w:szCs w:val="20"/>
    </w:rPr>
  </w:style>
  <w:style w:type="paragraph" w:styleId="1131" w:customStyle="1">
    <w:name w:val="四级条标题"/>
    <w:basedOn w:val="1148"/>
    <w:next w:val="742"/>
    <w:qFormat/>
    <w:pPr>
      <w:numPr>
        <w:ilvl w:val="4"/>
      </w:numPr>
      <w:ind w:left="1080" w:hanging="1080"/>
      <w:tabs>
        <w:tab w:val="left" w:pos="1080" w:leader="none"/>
      </w:tabs>
      <w:outlineLvl w:val="5"/>
    </w:pPr>
  </w:style>
  <w:style w:type="paragraph" w:styleId="1132" w:customStyle="1">
    <w:name w:val="一级条标题"/>
    <w:next w:val="742"/>
    <w:link w:val="977"/>
    <w:qFormat/>
    <w:pPr>
      <w:numPr>
        <w:ilvl w:val="1"/>
        <w:numId w:val="1"/>
      </w:numPr>
      <w:spacing w:after="160" w:line="278" w:lineRule="auto"/>
      <w:outlineLvl w:val="2"/>
    </w:pPr>
    <w:rPr>
      <w:rFonts w:ascii="黑体" w:eastAsia="黑体" w:cs="Calibri"/>
      <w:sz w:val="21"/>
      <w:szCs w:val="21"/>
    </w:rPr>
  </w:style>
  <w:style w:type="paragraph" w:styleId="1133">
    <w:name w:val="Revision"/>
    <w:uiPriority w:val="99"/>
    <w:unhideWhenUsed/>
    <w:rPr>
      <w:sz w:val="22"/>
      <w:szCs w:val="22"/>
    </w:rPr>
  </w:style>
  <w:style w:type="paragraph" w:styleId="1134" w:customStyle="1">
    <w:name w:val="List Paragraph1"/>
    <w:basedOn w:val="742"/>
    <w:uiPriority w:val="99"/>
    <w:qFormat/>
    <w:pPr>
      <w:ind w:firstLine="420"/>
      <w:jc w:val="both"/>
      <w:spacing w:after="0" w:line="240" w:lineRule="auto"/>
      <w:widowControl w:val="off"/>
    </w:pPr>
    <w:rPr>
      <w:rFonts w:cs="Calibri"/>
      <w:sz w:val="21"/>
      <w:szCs w:val="21"/>
    </w:rPr>
  </w:style>
  <w:style w:type="paragraph" w:styleId="1135" w:customStyle="1">
    <w:name w:val="正文_3"/>
    <w:uiPriority w:val="99"/>
    <w:qFormat/>
    <w:pPr>
      <w:jc w:val="both"/>
      <w:spacing w:after="160" w:line="278" w:lineRule="auto"/>
      <w:widowControl w:val="off"/>
    </w:pPr>
    <w:rPr>
      <w:rFonts w:cs="Calibri"/>
      <w:sz w:val="21"/>
      <w:szCs w:val="21"/>
    </w:rPr>
  </w:style>
  <w:style w:type="paragraph" w:styleId="1136" w:customStyle="1">
    <w:name w:val="目录 41"/>
    <w:basedOn w:val="742"/>
    <w:next w:val="742"/>
    <w:semiHidden/>
    <w:pPr>
      <w:ind w:left="630"/>
      <w:spacing w:after="0" w:line="240" w:lineRule="auto"/>
    </w:pPr>
    <w:rPr>
      <w:sz w:val="20"/>
      <w:szCs w:val="20"/>
    </w:rPr>
  </w:style>
  <w:style w:type="paragraph" w:styleId="1137" w:customStyle="1">
    <w:name w:val="正文缩进1"/>
    <w:basedOn w:val="742"/>
    <w:link w:val="810"/>
    <w:qFormat/>
    <w:pPr>
      <w:ind w:firstLine="420"/>
      <w:jc w:val="both"/>
      <w:spacing w:after="0" w:line="240" w:lineRule="auto"/>
      <w:widowControl w:val="off"/>
    </w:pPr>
    <w:rPr>
      <w:b/>
      <w:bCs/>
      <w:sz w:val="24"/>
      <w:szCs w:val="24"/>
    </w:rPr>
  </w:style>
  <w:style w:type="paragraph" w:styleId="1138" w:customStyle="1">
    <w:name w:val="p0"/>
    <w:basedOn w:val="742"/>
    <w:uiPriority w:val="99"/>
    <w:qFormat/>
    <w:pPr>
      <w:spacing w:after="160" w:line="278" w:lineRule="auto"/>
    </w:pPr>
    <w:rPr>
      <w:rFonts w:cs="Calibri"/>
      <w:b/>
      <w:bCs/>
      <w:sz w:val="24"/>
      <w:szCs w:val="24"/>
    </w:rPr>
  </w:style>
  <w:style w:type="paragraph" w:styleId="1139" w:customStyle="1">
    <w:name w:val="标题 3_0"/>
    <w:basedOn w:val="1220"/>
    <w:next w:val="1220"/>
    <w:link w:val="955"/>
    <w:uiPriority w:val="99"/>
    <w:qFormat/>
    <w:pPr>
      <w:keepLines/>
      <w:keepNext/>
      <w:spacing w:before="260" w:after="260" w:line="416" w:lineRule="auto"/>
      <w:outlineLvl w:val="2"/>
    </w:pPr>
    <w:rPr>
      <w:rFonts w:cs="Times New Roman"/>
      <w:b/>
      <w:bCs/>
      <w:sz w:val="32"/>
      <w:szCs w:val="32"/>
    </w:rPr>
  </w:style>
  <w:style w:type="paragraph" w:styleId="1140">
    <w:name w:val="No Spacing"/>
    <w:basedOn w:val="742"/>
    <w:uiPriority w:val="99"/>
    <w:qFormat/>
    <w:pPr>
      <w:spacing w:after="0" w:line="240" w:lineRule="auto"/>
    </w:pPr>
    <w:rPr>
      <w:sz w:val="20"/>
      <w:szCs w:val="20"/>
    </w:rPr>
  </w:style>
  <w:style w:type="paragraph" w:styleId="1141" w:customStyle="1">
    <w:name w:val="正文表标题"/>
    <w:next w:val="742"/>
    <w:qFormat/>
    <w:pPr>
      <w:numPr>
        <w:numId w:val="2"/>
      </w:numPr>
      <w:jc w:val="center"/>
      <w:spacing w:after="160" w:line="278" w:lineRule="auto"/>
      <w:tabs>
        <w:tab w:val="left" w:pos="720" w:leader="none"/>
      </w:tabs>
    </w:pPr>
    <w:rPr>
      <w:rFonts w:ascii="黑体" w:eastAsia="黑体" w:cs="Calibri"/>
      <w:sz w:val="21"/>
    </w:rPr>
  </w:style>
  <w:style w:type="paragraph" w:styleId="1142" w:customStyle="1">
    <w:name w:val="二级条标题"/>
    <w:basedOn w:val="1132"/>
    <w:next w:val="742"/>
    <w:link w:val="964"/>
    <w:qFormat/>
    <w:pPr>
      <w:numPr>
        <w:ilvl w:val="0"/>
        <w:numId w:val="0"/>
      </w:numPr>
      <w:ind w:left="420" w:hanging="975"/>
      <w:spacing w:before="50" w:after="50"/>
      <w:tabs>
        <w:tab w:val="left" w:pos="360" w:leader="none"/>
        <w:tab w:val="left" w:pos="720" w:leader="none"/>
        <w:tab w:val="left" w:pos="975" w:leader="none"/>
      </w:tabs>
      <w:outlineLvl w:val="3"/>
    </w:pPr>
    <w:rPr>
      <w:rFonts w:cs="Times New Roman"/>
      <w:sz w:val="20"/>
    </w:rPr>
  </w:style>
  <w:style w:type="paragraph" w:styleId="1143">
    <w:name w:val="Quote"/>
    <w:basedOn w:val="742"/>
    <w:next w:val="742"/>
    <w:link w:val="853"/>
    <w:uiPriority w:val="29"/>
    <w:qFormat/>
    <w:pPr>
      <w:ind w:left="720" w:right="720"/>
      <w:spacing w:after="0" w:line="240" w:lineRule="auto"/>
    </w:pPr>
    <w:rPr>
      <w:i/>
      <w:sz w:val="20"/>
      <w:szCs w:val="20"/>
    </w:rPr>
  </w:style>
  <w:style w:type="paragraph" w:styleId="1144" w:customStyle="1">
    <w:name w:val="星非-小"/>
    <w:basedOn w:val="742"/>
    <w:qFormat/>
    <w:pPr>
      <w:ind w:left="830" w:hanging="534"/>
      <w:spacing w:after="160" w:line="480" w:lineRule="exact"/>
      <w:widowControl w:val="off"/>
    </w:pPr>
    <w:rPr>
      <w:rFonts w:ascii="仿宋_GB2312" w:hAnsi="仿宋_GB2312" w:eastAsia="仿宋_GB2312" w:cs="宋体"/>
      <w:sz w:val="28"/>
      <w:szCs w:val="20"/>
    </w:rPr>
  </w:style>
  <w:style w:type="paragraph" w:styleId="1145" w:customStyle="1">
    <w:name w:val="Char Char Char Char Char Char Char Char"/>
    <w:basedOn w:val="742"/>
    <w:pPr>
      <w:spacing w:after="160" w:line="240" w:lineRule="exact"/>
    </w:pPr>
    <w:rPr>
      <w:rFonts w:ascii="Verdana" w:hAnsi="Verdana"/>
      <w:sz w:val="20"/>
      <w:szCs w:val="20"/>
      <w:lang w:eastAsia="en-US"/>
    </w:rPr>
  </w:style>
  <w:style w:type="paragraph" w:styleId="1146" w:customStyle="1">
    <w:name w:val="批注框文本1"/>
    <w:basedOn w:val="742"/>
    <w:semiHidden/>
    <w:pPr>
      <w:spacing w:after="0" w:line="240" w:lineRule="auto"/>
    </w:pPr>
    <w:rPr>
      <w:sz w:val="18"/>
      <w:szCs w:val="18"/>
    </w:rPr>
  </w:style>
  <w:style w:type="paragraph" w:styleId="1147">
    <w:name w:val="Intense Quote"/>
    <w:basedOn w:val="742"/>
    <w:next w:val="742"/>
    <w:link w:val="855"/>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paragraph" w:styleId="1148" w:customStyle="1">
    <w:name w:val="三级条标题"/>
    <w:basedOn w:val="1142"/>
    <w:next w:val="742"/>
    <w:qFormat/>
    <w:pPr>
      <w:numPr>
        <w:ilvl w:val="3"/>
      </w:numPr>
      <w:ind w:left="975" w:hanging="975"/>
      <w:outlineLvl w:val="4"/>
    </w:pPr>
  </w:style>
  <w:style w:type="paragraph" w:styleId="1149" w:customStyle="1">
    <w:name w:val="标题 2_0"/>
    <w:basedOn w:val="1220"/>
    <w:next w:val="1220"/>
    <w:link w:val="772"/>
    <w:uiPriority w:val="99"/>
    <w:qFormat/>
    <w:pPr>
      <w:keepLines/>
      <w:keepNext/>
      <w:spacing w:before="260" w:after="260" w:line="416" w:lineRule="auto"/>
      <w:outlineLvl w:val="1"/>
    </w:pPr>
    <w:rPr>
      <w:rFonts w:ascii="Cambria" w:hAnsi="Cambria" w:cs="Times New Roman"/>
      <w:b/>
      <w:bCs/>
      <w:sz w:val="32"/>
      <w:szCs w:val="32"/>
    </w:rPr>
  </w:style>
  <w:style w:type="paragraph" w:styleId="1150" w:customStyle="1">
    <w:name w:val="TOC 标题2"/>
    <w:uiPriority w:val="39"/>
    <w:unhideWhenUsed/>
  </w:style>
  <w:style w:type="paragraph" w:styleId="1151" w:customStyle="1">
    <w:name w:val="列表1"/>
    <w:basedOn w:val="742"/>
    <w:pPr>
      <w:ind w:left="200" w:hanging="200"/>
      <w:spacing w:after="0" w:line="240" w:lineRule="auto"/>
    </w:pPr>
    <w:rPr>
      <w:sz w:val="20"/>
      <w:szCs w:val="20"/>
    </w:rPr>
  </w:style>
  <w:style w:type="paragraph" w:styleId="1152" w:customStyle="1">
    <w:name w:val="标题 11"/>
    <w:basedOn w:val="742"/>
    <w:next w:val="742"/>
    <w:uiPriority w:val="99"/>
    <w:qFormat/>
    <w:pPr>
      <w:jc w:val="center"/>
      <w:keepNext/>
      <w:spacing w:after="0" w:line="240" w:lineRule="auto"/>
      <w:outlineLvl w:val="0"/>
    </w:pPr>
    <w:rPr>
      <w:rFonts w:ascii="楷体_GB2312" w:eastAsia="楷体_GB2312"/>
      <w:sz w:val="28"/>
      <w:szCs w:val="28"/>
    </w:rPr>
  </w:style>
  <w:style w:type="paragraph" w:styleId="1153" w:customStyle="1">
    <w:name w:val="标题 21"/>
    <w:basedOn w:val="742"/>
    <w:next w:val="1137"/>
    <w:uiPriority w:val="1"/>
    <w:qFormat/>
    <w:pPr>
      <w:jc w:val="center"/>
      <w:keepLines/>
      <w:keepNext/>
      <w:spacing w:before="260" w:after="260" w:line="416" w:lineRule="auto"/>
      <w:outlineLvl w:val="1"/>
    </w:pPr>
    <w:rPr>
      <w:rFonts w:ascii="Arial" w:hAnsi="Arial" w:eastAsia="幼圆" w:cs="Arial"/>
      <w:b/>
      <w:bCs/>
      <w:sz w:val="44"/>
      <w:szCs w:val="44"/>
    </w:rPr>
  </w:style>
  <w:style w:type="paragraph" w:styleId="1154" w:customStyle="1">
    <w:name w:val="格式３"/>
    <w:basedOn w:val="742"/>
    <w:uiPriority w:val="99"/>
    <w:qFormat/>
    <w:pPr>
      <w:ind w:left="600" w:hanging="600"/>
      <w:spacing w:after="160" w:line="420" w:lineRule="exact"/>
      <w:widowControl w:val="off"/>
    </w:pPr>
    <w:rPr>
      <w:rFonts w:ascii="宋体" w:hAnsi="宋体" w:cs="宋体"/>
      <w:color w:val="000000"/>
      <w:sz w:val="24"/>
      <w:szCs w:val="24"/>
    </w:rPr>
  </w:style>
  <w:style w:type="paragraph" w:styleId="1155" w:customStyle="1">
    <w:name w:val="标题 31"/>
    <w:basedOn w:val="742"/>
    <w:next w:val="1137"/>
    <w:qFormat/>
    <w:pPr>
      <w:keepLines/>
      <w:keepNext/>
      <w:spacing w:before="260" w:after="260" w:line="416" w:lineRule="auto"/>
      <w:outlineLvl w:val="2"/>
    </w:pPr>
    <w:rPr>
      <w:b/>
      <w:bCs/>
      <w:sz w:val="32"/>
      <w:szCs w:val="32"/>
    </w:rPr>
  </w:style>
  <w:style w:type="paragraph" w:styleId="1156" w:customStyle="1">
    <w:name w:val="Normal_1"/>
    <w:qFormat/>
    <w:pPr>
      <w:spacing w:after="160" w:line="560" w:lineRule="exact"/>
    </w:pPr>
    <w:rPr>
      <w:sz w:val="24"/>
      <w:szCs w:val="24"/>
    </w:rPr>
  </w:style>
  <w:style w:type="paragraph" w:styleId="1157" w:customStyle="1">
    <w:name w:val="标题 41"/>
    <w:basedOn w:val="742"/>
    <w:next w:val="1137"/>
    <w:qFormat/>
    <w:pPr>
      <w:keepLines/>
      <w:keepNext/>
      <w:spacing w:before="280" w:after="290" w:line="376" w:lineRule="auto"/>
      <w:outlineLvl w:val="3"/>
    </w:pPr>
    <w:rPr>
      <w:rFonts w:ascii="Arial" w:hAnsi="Arial" w:eastAsia="黑体" w:cs="Arial"/>
      <w:b/>
      <w:bCs/>
      <w:sz w:val="28"/>
      <w:szCs w:val="28"/>
    </w:rPr>
  </w:style>
  <w:style w:type="paragraph" w:styleId="1158" w:customStyle="1">
    <w:name w:val="正文2"/>
    <w:uiPriority w:val="99"/>
    <w:qFormat/>
    <w:pPr>
      <w:spacing w:after="160" w:line="278" w:lineRule="auto"/>
    </w:pPr>
    <w:rPr>
      <w:rFonts w:eastAsia="微软雅黑" w:cs="Calibri"/>
      <w:sz w:val="24"/>
      <w:szCs w:val="24"/>
    </w:rPr>
  </w:style>
  <w:style w:type="paragraph" w:styleId="1159" w:customStyle="1">
    <w:name w:val="正文文本 21"/>
    <w:basedOn w:val="742"/>
    <w:pPr>
      <w:jc w:val="center"/>
      <w:spacing w:after="0" w:line="240" w:lineRule="auto"/>
    </w:pPr>
    <w:rPr>
      <w:rFonts w:ascii="楷体_GB2312" w:eastAsia="楷体_GB2312"/>
      <w:sz w:val="28"/>
      <w:szCs w:val="28"/>
    </w:rPr>
  </w:style>
  <w:style w:type="paragraph" w:styleId="1160" w:customStyle="1">
    <w:name w:val="标题 51"/>
    <w:basedOn w:val="742"/>
    <w:next w:val="1137"/>
    <w:qFormat/>
    <w:pPr>
      <w:keepNext/>
      <w:spacing w:after="0" w:line="240" w:lineRule="auto"/>
      <w:outlineLvl w:val="4"/>
    </w:pPr>
    <w:rPr>
      <w:rFonts w:ascii="宋体"/>
      <w:color w:val="000000"/>
      <w:sz w:val="28"/>
      <w:szCs w:val="28"/>
    </w:rPr>
  </w:style>
  <w:style w:type="paragraph" w:styleId="1161" w:customStyle="1">
    <w:name w:val="_Style 234"/>
    <w:basedOn w:val="742"/>
    <w:next w:val="742"/>
    <w:qFormat/>
    <w:pPr>
      <w:jc w:val="center"/>
      <w:spacing w:after="160" w:line="278" w:lineRule="auto"/>
      <w:widowControl w:val="off"/>
      <w:pBdr>
        <w:bottom w:val="single" w:color="auto" w:sz="6" w:space="1"/>
      </w:pBdr>
    </w:pPr>
    <w:rPr>
      <w:rFonts w:ascii="Arial" w:cs="Calibri"/>
      <w:vanish/>
      <w:sz w:val="16"/>
      <w:szCs w:val="21"/>
    </w:rPr>
  </w:style>
  <w:style w:type="paragraph" w:styleId="1162" w:customStyle="1">
    <w:name w:val="批注主题1"/>
    <w:basedOn w:val="1178"/>
    <w:next w:val="1178"/>
    <w:semiHidden/>
    <w:rPr>
      <w:b/>
      <w:bCs/>
    </w:rPr>
  </w:style>
  <w:style w:type="paragraph" w:styleId="1163" w:customStyle="1">
    <w:name w:val="标题 61"/>
    <w:basedOn w:val="742"/>
    <w:next w:val="742"/>
    <w:qFormat/>
    <w:pPr>
      <w:numPr>
        <w:ilvl w:val="5"/>
        <w:numId w:val="3"/>
      </w:numPr>
      <w:keepLines/>
      <w:keepNext/>
      <w:spacing w:before="240" w:after="64" w:line="320" w:lineRule="auto"/>
      <w:outlineLvl w:val="5"/>
    </w:pPr>
    <w:rPr>
      <w:rFonts w:ascii="Arial" w:hAnsi="Arial" w:eastAsia="黑体"/>
      <w:b/>
      <w:bCs/>
      <w:sz w:val="24"/>
      <w:szCs w:val="24"/>
    </w:rPr>
  </w:style>
  <w:style w:type="paragraph" w:styleId="1164" w:customStyle="1">
    <w:name w:val="标题 71"/>
    <w:basedOn w:val="742"/>
    <w:next w:val="742"/>
    <w:qFormat/>
    <w:pPr>
      <w:numPr>
        <w:ilvl w:val="6"/>
        <w:numId w:val="3"/>
      </w:numPr>
      <w:keepLines/>
      <w:keepNext/>
      <w:spacing w:before="240" w:after="64" w:line="320" w:lineRule="auto"/>
      <w:outlineLvl w:val="6"/>
    </w:pPr>
    <w:rPr>
      <w:b/>
      <w:bCs/>
      <w:sz w:val="24"/>
      <w:szCs w:val="24"/>
    </w:rPr>
  </w:style>
  <w:style w:type="paragraph" w:styleId="1165" w:customStyle="1">
    <w:name w:val="paragraphindent"/>
    <w:basedOn w:val="742"/>
    <w:qFormat/>
    <w:pPr>
      <w:ind w:firstLine="480"/>
      <w:spacing w:before="100" w:beforeAutospacing="1" w:after="100" w:afterAutospacing="1" w:line="278" w:lineRule="auto"/>
    </w:pPr>
    <w:rPr>
      <w:rFonts w:ascii="宋体" w:hAnsi="宋体" w:cs="宋体"/>
      <w:sz w:val="24"/>
      <w:szCs w:val="24"/>
    </w:rPr>
  </w:style>
  <w:style w:type="paragraph" w:styleId="1166" w:customStyle="1">
    <w:name w:val="标题 81"/>
    <w:basedOn w:val="742"/>
    <w:next w:val="742"/>
    <w:qFormat/>
    <w:pPr>
      <w:numPr>
        <w:ilvl w:val="7"/>
        <w:numId w:val="3"/>
      </w:numPr>
      <w:keepLines/>
      <w:keepNext/>
      <w:spacing w:before="240" w:after="64" w:line="320" w:lineRule="auto"/>
      <w:outlineLvl w:val="7"/>
    </w:pPr>
    <w:rPr>
      <w:rFonts w:ascii="Arial" w:hAnsi="Arial" w:eastAsia="黑体"/>
      <w:sz w:val="24"/>
      <w:szCs w:val="24"/>
    </w:rPr>
  </w:style>
  <w:style w:type="paragraph" w:styleId="1167" w:customStyle="1">
    <w:name w:val="列出段落3"/>
    <w:basedOn w:val="742"/>
    <w:uiPriority w:val="99"/>
    <w:qFormat/>
    <w:pPr>
      <w:ind w:firstLine="420"/>
      <w:spacing w:line="278" w:lineRule="auto"/>
    </w:pPr>
    <w:rPr>
      <w:rFonts w:ascii="Tahoma" w:hAnsi="Tahoma" w:eastAsia="微软雅黑" w:cs="Tahoma"/>
    </w:rPr>
  </w:style>
  <w:style w:type="paragraph" w:styleId="1168" w:customStyle="1">
    <w:name w:val="标题 91"/>
    <w:basedOn w:val="742"/>
    <w:next w:val="742"/>
    <w:qFormat/>
    <w:pPr>
      <w:numPr>
        <w:ilvl w:val="8"/>
        <w:numId w:val="3"/>
      </w:numPr>
      <w:keepLines/>
      <w:keepNext/>
      <w:spacing w:before="240" w:after="64" w:line="320" w:lineRule="auto"/>
      <w:outlineLvl w:val="8"/>
    </w:pPr>
    <w:rPr>
      <w:rFonts w:ascii="Arial" w:hAnsi="Arial" w:eastAsia="黑体"/>
      <w:sz w:val="20"/>
      <w:szCs w:val="20"/>
    </w:rPr>
  </w:style>
  <w:style w:type="paragraph" w:styleId="1169" w:customStyle="1">
    <w:name w:val="正文文本1"/>
    <w:basedOn w:val="742"/>
    <w:pPr>
      <w:spacing w:after="0" w:line="240" w:lineRule="auto"/>
    </w:pPr>
    <w:rPr>
      <w:rFonts w:ascii="楷体_GB2312" w:hAnsi="Arial" w:eastAsia="楷体_GB2312"/>
      <w:sz w:val="28"/>
      <w:szCs w:val="28"/>
    </w:rPr>
  </w:style>
  <w:style w:type="paragraph" w:styleId="1170" w:customStyle="1">
    <w:name w:val="文章正文"/>
    <w:basedOn w:val="742"/>
    <w:uiPriority w:val="99"/>
    <w:qFormat/>
    <w:pPr>
      <w:ind w:firstLine="480"/>
      <w:spacing w:after="160" w:line="360" w:lineRule="auto"/>
      <w:widowControl w:val="off"/>
    </w:pPr>
    <w:rPr>
      <w:rFonts w:ascii="仿宋_GB2312" w:hAnsi="宋体" w:eastAsia="仿宋_GB2312" w:cs="仿宋_GB2312"/>
      <w:color w:val="ff0000"/>
      <w:sz w:val="24"/>
      <w:szCs w:val="24"/>
    </w:rPr>
  </w:style>
  <w:style w:type="paragraph" w:styleId="1171" w:customStyle="1">
    <w:name w:val="3方案格式3"/>
    <w:basedOn w:val="1228"/>
    <w:uiPriority w:val="99"/>
    <w:qFormat/>
    <w:pPr>
      <w:numPr>
        <w:ilvl w:val="2"/>
      </w:numPr>
      <w:outlineLvl w:val="2"/>
    </w:pPr>
    <w:rPr>
      <w:sz w:val="32"/>
      <w:szCs w:val="32"/>
    </w:rPr>
  </w:style>
  <w:style w:type="paragraph" w:styleId="1172" w:customStyle="1">
    <w:name w:val="列表 31"/>
    <w:basedOn w:val="742"/>
    <w:pPr>
      <w:ind w:left="100" w:hanging="200"/>
      <w:spacing w:after="0" w:line="240" w:lineRule="auto"/>
    </w:pPr>
    <w:rPr>
      <w:sz w:val="20"/>
      <w:szCs w:val="20"/>
    </w:rPr>
  </w:style>
  <w:style w:type="paragraph" w:styleId="1173" w:customStyle="1">
    <w:name w:val="目录 11"/>
    <w:basedOn w:val="742"/>
    <w:next w:val="742"/>
    <w:semiHidden/>
    <w:pPr>
      <w:spacing w:before="120" w:after="120" w:line="400" w:lineRule="exact"/>
      <w:tabs>
        <w:tab w:val="right" w:pos="8720" w:leader="dot"/>
      </w:tabs>
    </w:pPr>
    <w:rPr>
      <w:rFonts w:ascii="宋体" w:hAnsi="宋体"/>
      <w:caps/>
      <w:sz w:val="24"/>
      <w:szCs w:val="24"/>
    </w:rPr>
  </w:style>
  <w:style w:type="paragraph" w:styleId="1174" w:customStyle="1">
    <w:name w:val="目录 71"/>
    <w:basedOn w:val="742"/>
    <w:next w:val="742"/>
    <w:semiHidden/>
    <w:pPr>
      <w:ind w:left="1260"/>
      <w:spacing w:after="0" w:line="240" w:lineRule="auto"/>
    </w:pPr>
    <w:rPr>
      <w:sz w:val="20"/>
      <w:szCs w:val="20"/>
    </w:rPr>
  </w:style>
  <w:style w:type="paragraph" w:styleId="1175" w:customStyle="1">
    <w:name w:val="1"/>
    <w:basedOn w:val="742"/>
    <w:next w:val="742"/>
    <w:uiPriority w:val="99"/>
    <w:qFormat/>
    <w:pPr>
      <w:spacing w:after="160" w:line="278" w:lineRule="auto"/>
      <w:widowControl w:val="off"/>
    </w:pPr>
    <w:rPr>
      <w:rFonts w:ascii="Calibri" w:hAnsi="Calibri" w:cs="Calibri"/>
      <w:sz w:val="21"/>
      <w:szCs w:val="21"/>
    </w:rPr>
  </w:style>
  <w:style w:type="paragraph" w:styleId="1176" w:customStyle="1">
    <w:name w:val="文档结构图1"/>
    <w:basedOn w:val="742"/>
    <w:semiHidden/>
    <w:pPr>
      <w:spacing w:after="0" w:line="240" w:lineRule="auto"/>
      <w:shd w:val="clear" w:color="auto" w:fill="000080"/>
    </w:pPr>
    <w:rPr>
      <w:sz w:val="20"/>
      <w:szCs w:val="20"/>
    </w:rPr>
  </w:style>
  <w:style w:type="paragraph" w:styleId="1177" w:customStyle="1">
    <w:name w:val="Blockquote"/>
    <w:basedOn w:val="742"/>
    <w:uiPriority w:val="99"/>
    <w:qFormat/>
    <w:pPr>
      <w:ind w:left="360" w:right="360"/>
      <w:spacing w:before="100" w:after="100" w:line="278" w:lineRule="auto"/>
      <w:widowControl w:val="off"/>
    </w:pPr>
    <w:rPr>
      <w:rFonts w:ascii="Calibri" w:hAnsi="Calibri" w:cs="Calibri"/>
      <w:sz w:val="24"/>
      <w:szCs w:val="24"/>
    </w:rPr>
  </w:style>
  <w:style w:type="paragraph" w:styleId="1178" w:customStyle="1">
    <w:name w:val="批注文字1"/>
    <w:basedOn w:val="742"/>
    <w:semiHidden/>
    <w:pPr>
      <w:spacing w:after="0" w:line="240" w:lineRule="auto"/>
    </w:pPr>
    <w:rPr>
      <w:sz w:val="20"/>
      <w:szCs w:val="20"/>
    </w:rPr>
  </w:style>
  <w:style w:type="paragraph" w:styleId="1179" w:customStyle="1">
    <w:name w:val="Char Char Char Char"/>
    <w:basedOn w:val="1176"/>
    <w:pPr>
      <w:spacing w:line="360" w:lineRule="auto"/>
    </w:pPr>
    <w:rPr>
      <w:rFonts w:ascii="Tahoma" w:hAnsi="Tahoma"/>
      <w:sz w:val="24"/>
      <w:szCs w:val="24"/>
    </w:rPr>
  </w:style>
  <w:style w:type="paragraph" w:styleId="1180" w:customStyle="1">
    <w:name w:val="正文文本缩进1"/>
    <w:basedOn w:val="742"/>
    <w:pPr>
      <w:ind w:firstLine="645"/>
      <w:spacing w:after="0" w:line="240" w:lineRule="auto"/>
    </w:pPr>
    <w:rPr>
      <w:rFonts w:ascii="楷体_GB2312" w:eastAsia="楷体_GB2312"/>
      <w:sz w:val="32"/>
      <w:szCs w:val="32"/>
    </w:rPr>
  </w:style>
  <w:style w:type="paragraph" w:styleId="1181" w:customStyle="1">
    <w:name w:val="列表 21"/>
    <w:basedOn w:val="742"/>
    <w:pPr>
      <w:ind w:left="100" w:hanging="200"/>
      <w:spacing w:after="0" w:line="240" w:lineRule="auto"/>
    </w:pPr>
    <w:rPr>
      <w:sz w:val="20"/>
      <w:szCs w:val="20"/>
    </w:rPr>
  </w:style>
  <w:style w:type="paragraph" w:styleId="1182" w:customStyle="1">
    <w:name w:val="Char"/>
    <w:basedOn w:val="1176"/>
    <w:rPr>
      <w:rFonts w:ascii="Tahoma" w:hAnsi="Tahoma"/>
      <w:sz w:val="24"/>
      <w:szCs w:val="24"/>
    </w:rPr>
  </w:style>
  <w:style w:type="paragraph" w:styleId="1183" w:customStyle="1">
    <w:name w:val="索引 41"/>
    <w:basedOn w:val="742"/>
    <w:next w:val="742"/>
    <w:uiPriority w:val="99"/>
    <w:unhideWhenUsed/>
    <w:qFormat/>
    <w:pPr>
      <w:ind w:left="600"/>
      <w:spacing w:after="0" w:line="240" w:lineRule="auto"/>
    </w:pPr>
    <w:rPr>
      <w:sz w:val="20"/>
      <w:szCs w:val="20"/>
    </w:rPr>
  </w:style>
  <w:style w:type="paragraph" w:styleId="1184" w:customStyle="1">
    <w:name w:val="正文空2字"/>
    <w:basedOn w:val="742"/>
    <w:uiPriority w:val="99"/>
    <w:qFormat/>
    <w:pPr>
      <w:ind w:firstLine="200"/>
      <w:spacing w:after="160" w:line="360" w:lineRule="auto"/>
      <w:widowControl w:val="off"/>
    </w:pPr>
    <w:rPr>
      <w:rFonts w:cs="Calibri"/>
      <w:sz w:val="24"/>
      <w:szCs w:val="24"/>
    </w:rPr>
  </w:style>
  <w:style w:type="paragraph" w:styleId="1185" w:customStyle="1">
    <w:name w:val="修订2"/>
    <w:uiPriority w:val="99"/>
    <w:semiHidden/>
    <w:qFormat/>
    <w:pPr>
      <w:spacing w:after="160" w:line="278" w:lineRule="auto"/>
    </w:pPr>
    <w:rPr>
      <w:rFonts w:cs="Calibri"/>
      <w:sz w:val="21"/>
      <w:szCs w:val="21"/>
    </w:rPr>
  </w:style>
  <w:style w:type="paragraph" w:styleId="1186" w:customStyle="1">
    <w:name w:val="目录 61"/>
    <w:basedOn w:val="742"/>
    <w:next w:val="742"/>
    <w:semiHidden/>
    <w:pPr>
      <w:ind w:left="1050"/>
      <w:spacing w:after="0" w:line="240" w:lineRule="auto"/>
    </w:pPr>
    <w:rPr>
      <w:sz w:val="20"/>
      <w:szCs w:val="20"/>
    </w:rPr>
  </w:style>
  <w:style w:type="paragraph" w:styleId="1187" w:customStyle="1">
    <w:name w:val="目录 51"/>
    <w:basedOn w:val="742"/>
    <w:next w:val="742"/>
    <w:semiHidden/>
    <w:pPr>
      <w:ind w:left="840"/>
      <w:spacing w:after="0" w:line="240" w:lineRule="auto"/>
    </w:pPr>
    <w:rPr>
      <w:sz w:val="20"/>
      <w:szCs w:val="20"/>
    </w:rPr>
  </w:style>
  <w:style w:type="paragraph" w:styleId="1188" w:customStyle="1">
    <w:name w:val="标题4"/>
    <w:basedOn w:val="744"/>
    <w:next w:val="1052"/>
    <w:link w:val="965"/>
    <w:uiPriority w:val="99"/>
    <w:qFormat/>
    <w:pPr>
      <w:spacing w:before="260" w:after="260" w:line="413" w:lineRule="auto"/>
      <w:widowControl w:val="off"/>
    </w:pPr>
    <w:rPr>
      <w:rFonts w:ascii="Arial" w:hAnsi="Arial"/>
      <w:b w:val="0"/>
      <w:bCs w:val="0"/>
      <w:color w:val="auto"/>
      <w:sz w:val="20"/>
      <w:szCs w:val="20"/>
    </w:rPr>
  </w:style>
  <w:style w:type="paragraph" w:styleId="1189" w:customStyle="1">
    <w:name w:val="目录 31"/>
    <w:basedOn w:val="742"/>
    <w:next w:val="742"/>
    <w:semiHidden/>
    <w:pPr>
      <w:ind w:left="420"/>
      <w:spacing w:after="0" w:line="240" w:lineRule="auto"/>
    </w:pPr>
    <w:rPr>
      <w:i/>
      <w:iCs/>
      <w:sz w:val="20"/>
      <w:szCs w:val="24"/>
    </w:rPr>
  </w:style>
  <w:style w:type="paragraph" w:styleId="1190" w:customStyle="1">
    <w:name w:val="正文11"/>
    <w:uiPriority w:val="99"/>
    <w:qFormat/>
    <w:pPr>
      <w:spacing w:after="160" w:line="278" w:lineRule="auto"/>
    </w:pPr>
    <w:rPr>
      <w:rFonts w:ascii="Calibri" w:hAnsi="Calibri" w:cs="Calibri"/>
      <w:sz w:val="24"/>
      <w:szCs w:val="24"/>
    </w:rPr>
  </w:style>
  <w:style w:type="paragraph" w:styleId="1191" w:customStyle="1">
    <w:name w:val="正文文本缩进 21"/>
    <w:basedOn w:val="742"/>
    <w:pPr>
      <w:ind w:left="630" w:firstLine="645"/>
      <w:spacing w:after="0" w:line="240" w:lineRule="auto"/>
    </w:pPr>
    <w:rPr>
      <w:rFonts w:ascii="Arial" w:hAnsi="Arial" w:eastAsia="仿宋_GB2312" w:cs="Arial"/>
      <w:sz w:val="32"/>
      <w:szCs w:val="32"/>
    </w:rPr>
  </w:style>
  <w:style w:type="paragraph" w:styleId="1192" w:customStyle="1">
    <w:name w:val="表号"/>
    <w:basedOn w:val="1223"/>
    <w:qFormat/>
    <w:pPr>
      <w:numPr>
        <w:numId w:val="1"/>
      </w:numPr>
      <w:jc w:val="center"/>
      <w:tabs>
        <w:tab w:val="left" w:pos="0" w:leader="none"/>
      </w:tabs>
    </w:pPr>
  </w:style>
  <w:style w:type="paragraph" w:styleId="1193" w:customStyle="1">
    <w:name w:val="样式 正文格式 + 首行缩进:  2 字符"/>
    <w:basedOn w:val="742"/>
    <w:qFormat/>
    <w:pPr>
      <w:ind w:firstLine="200"/>
      <w:spacing w:after="160" w:line="400" w:lineRule="atLeast"/>
      <w:widowControl w:val="off"/>
    </w:pPr>
    <w:rPr>
      <w:rFonts w:ascii="宋体" w:hAnsi="宋体" w:cs="宋体"/>
      <w:sz w:val="24"/>
    </w:rPr>
  </w:style>
  <w:style w:type="paragraph" w:styleId="1194" w:customStyle="1">
    <w:name w:val="页脚1"/>
    <w:basedOn w:val="742"/>
    <w:pPr>
      <w:spacing w:after="0" w:line="240" w:lineRule="auto"/>
      <w:tabs>
        <w:tab w:val="center" w:pos="4153" w:leader="none"/>
        <w:tab w:val="right" w:pos="8306" w:leader="none"/>
      </w:tabs>
    </w:pPr>
    <w:rPr>
      <w:sz w:val="18"/>
      <w:szCs w:val="18"/>
    </w:rPr>
  </w:style>
  <w:style w:type="paragraph" w:styleId="1195" w:customStyle="1">
    <w:name w:val="_Style 235"/>
    <w:basedOn w:val="742"/>
    <w:next w:val="742"/>
    <w:qFormat/>
    <w:pPr>
      <w:jc w:val="center"/>
      <w:spacing w:after="160" w:line="278" w:lineRule="auto"/>
      <w:widowControl w:val="off"/>
      <w:pBdr>
        <w:top w:val="single" w:color="auto" w:sz="6" w:space="1"/>
      </w:pBdr>
    </w:pPr>
    <w:rPr>
      <w:rFonts w:ascii="Arial" w:cs="Calibri"/>
      <w:vanish/>
      <w:sz w:val="16"/>
      <w:szCs w:val="21"/>
    </w:rPr>
  </w:style>
  <w:style w:type="paragraph" w:styleId="1196" w:customStyle="1">
    <w:name w:val="五级条标题"/>
    <w:basedOn w:val="1131"/>
    <w:next w:val="742"/>
    <w:qFormat/>
    <w:pPr>
      <w:numPr>
        <w:ilvl w:val="5"/>
      </w:numPr>
      <w:ind w:left="1080" w:hanging="1080"/>
      <w:outlineLvl w:val="6"/>
    </w:pPr>
  </w:style>
  <w:style w:type="paragraph" w:styleId="1197" w:customStyle="1">
    <w:name w:val="页眉1"/>
    <w:basedOn w:val="742"/>
    <w:pPr>
      <w:jc w:val="center"/>
      <w:spacing w:after="0" w:line="240" w:lineRule="auto"/>
      <w:tabs>
        <w:tab w:val="center" w:pos="4153" w:leader="none"/>
        <w:tab w:val="right" w:pos="8306" w:leader="none"/>
      </w:tabs>
      <w:pBdr>
        <w:bottom w:val="single" w:color="000000" w:sz="6" w:space="1"/>
      </w:pBdr>
    </w:pPr>
    <w:rPr>
      <w:sz w:val="18"/>
      <w:szCs w:val="18"/>
    </w:rPr>
  </w:style>
  <w:style w:type="paragraph" w:styleId="1198" w:customStyle="1">
    <w:name w:val="Table Paragraph"/>
    <w:basedOn w:val="742"/>
    <w:uiPriority w:val="1"/>
    <w:qFormat/>
    <w:pPr>
      <w:jc w:val="center"/>
      <w:spacing w:after="160" w:line="278" w:lineRule="auto"/>
      <w:widowControl w:val="off"/>
    </w:pPr>
    <w:rPr>
      <w:rFonts w:cs="Calibri"/>
      <w:sz w:val="21"/>
      <w:szCs w:val="21"/>
    </w:rPr>
  </w:style>
  <w:style w:type="paragraph" w:styleId="1199" w:customStyle="1">
    <w:name w:val="正文文本缩进 31"/>
    <w:basedOn w:val="742"/>
    <w:pPr>
      <w:ind w:left="645" w:firstLine="645"/>
      <w:spacing w:after="0" w:line="240" w:lineRule="auto"/>
    </w:pPr>
    <w:rPr>
      <w:rFonts w:ascii="Arial" w:hAnsi="Arial" w:eastAsia="仿宋_GB2312" w:cs="Arial"/>
      <w:color w:val="ffff00"/>
      <w:sz w:val="32"/>
      <w:szCs w:val="32"/>
    </w:rPr>
  </w:style>
  <w:style w:type="paragraph" w:styleId="1200" w:customStyle="1">
    <w:name w:val="图表目录1"/>
    <w:basedOn w:val="742"/>
    <w:next w:val="742"/>
    <w:semiHidden/>
    <w:pPr>
      <w:ind w:left="840" w:hanging="420"/>
      <w:spacing w:after="0" w:line="240" w:lineRule="auto"/>
    </w:pPr>
    <w:rPr>
      <w:sz w:val="20"/>
      <w:szCs w:val="20"/>
    </w:rPr>
  </w:style>
  <w:style w:type="paragraph" w:styleId="1201" w:customStyle="1">
    <w:name w:val="目录 21"/>
    <w:basedOn w:val="742"/>
    <w:next w:val="742"/>
    <w:semiHidden/>
    <w:pPr>
      <w:ind w:left="210"/>
      <w:spacing w:after="0" w:line="240" w:lineRule="auto"/>
    </w:pPr>
    <w:rPr>
      <w:smallCaps/>
      <w:sz w:val="20"/>
      <w:szCs w:val="24"/>
    </w:rPr>
  </w:style>
  <w:style w:type="paragraph" w:styleId="1202" w:customStyle="1">
    <w:name w:val="目录 3_0"/>
    <w:basedOn w:val="1220"/>
    <w:next w:val="1220"/>
    <w:uiPriority w:val="99"/>
    <w:qFormat/>
    <w:pPr>
      <w:ind w:left="840"/>
    </w:pPr>
    <w:rPr>
      <w:rFonts w:ascii="Calibri" w:hAnsi="Calibri"/>
    </w:rPr>
  </w:style>
  <w:style w:type="paragraph" w:styleId="1203" w:customStyle="1">
    <w:name w:val="1方案格式1"/>
    <w:basedOn w:val="743"/>
    <w:uiPriority w:val="99"/>
    <w:qFormat/>
    <w:pPr>
      <w:jc w:val="center"/>
      <w:spacing w:before="340" w:after="330" w:line="360" w:lineRule="auto"/>
      <w:widowControl w:val="off"/>
      <w:tabs>
        <w:tab w:val="left" w:pos="360" w:leader="none"/>
      </w:tabs>
    </w:pPr>
    <w:rPr>
      <w:rFonts w:ascii="Times New Roman" w:hAnsi="Times New Roman" w:eastAsia="微软雅黑" w:cs="Calibri"/>
      <w:color w:val="auto"/>
      <w:sz w:val="48"/>
      <w:szCs w:val="48"/>
    </w:rPr>
  </w:style>
  <w:style w:type="paragraph" w:styleId="1204" w:customStyle="1">
    <w:name w:val="目录 91"/>
    <w:basedOn w:val="742"/>
    <w:next w:val="742"/>
    <w:semiHidden/>
    <w:pPr>
      <w:ind w:left="1680"/>
      <w:spacing w:after="0" w:line="240" w:lineRule="auto"/>
    </w:pPr>
    <w:rPr>
      <w:sz w:val="20"/>
      <w:szCs w:val="20"/>
    </w:rPr>
  </w:style>
  <w:style w:type="paragraph" w:styleId="1205" w:customStyle="1">
    <w:name w:val="普通(网站)1"/>
    <w:basedOn w:val="742"/>
    <w:uiPriority w:val="99"/>
    <w:pPr>
      <w:spacing w:before="100" w:beforeAutospacing="1" w:after="100" w:afterAutospacing="1" w:line="240" w:lineRule="auto"/>
    </w:pPr>
    <w:rPr>
      <w:rFonts w:ascii="宋体" w:hAnsi="宋体" w:cs="宋体"/>
      <w:sz w:val="24"/>
      <w:szCs w:val="24"/>
    </w:rPr>
  </w:style>
  <w:style w:type="paragraph" w:styleId="1206" w:customStyle="1">
    <w:name w:val="目录 5_0"/>
    <w:basedOn w:val="1220"/>
    <w:next w:val="1220"/>
    <w:uiPriority w:val="99"/>
    <w:qFormat/>
    <w:pPr>
      <w:ind w:left="1680"/>
    </w:pPr>
    <w:rPr>
      <w:rFonts w:ascii="Calibri" w:hAnsi="Calibri"/>
    </w:rPr>
  </w:style>
  <w:style w:type="paragraph" w:styleId="1207" w:customStyle="1">
    <w:name w:val="索引 11"/>
    <w:basedOn w:val="742"/>
    <w:next w:val="742"/>
    <w:semiHidden/>
    <w:pPr>
      <w:spacing w:after="0" w:line="240" w:lineRule="atLeast"/>
    </w:pPr>
    <w:rPr>
      <w:b/>
      <w:bCs/>
      <w:sz w:val="20"/>
      <w:szCs w:val="20"/>
    </w:rPr>
  </w:style>
  <w:style w:type="paragraph" w:styleId="1208" w:customStyle="1">
    <w:name w:val="正文 + 行距: 固定值 20 磅"/>
    <w:basedOn w:val="742"/>
    <w:uiPriority w:val="99"/>
    <w:qFormat/>
    <w:pPr>
      <w:ind w:firstLine="716"/>
      <w:spacing w:after="160" w:line="400" w:lineRule="exact"/>
      <w:widowControl w:val="off"/>
    </w:pPr>
    <w:rPr>
      <w:rFonts w:ascii="Calibri" w:hAnsi="Calibri" w:cs="Calibri"/>
      <w:sz w:val="21"/>
      <w:szCs w:val="21"/>
    </w:rPr>
  </w:style>
  <w:style w:type="paragraph" w:styleId="1209" w:customStyle="1">
    <w:name w:val="正文文本_0"/>
    <w:basedOn w:val="1220"/>
    <w:link w:val="1000"/>
    <w:uiPriority w:val="99"/>
    <w:qFormat/>
    <w:pPr>
      <w:spacing w:after="120"/>
    </w:pPr>
    <w:rPr>
      <w:rFonts w:cs="Times New Roman"/>
      <w:sz w:val="24"/>
      <w:szCs w:val="24"/>
    </w:rPr>
  </w:style>
  <w:style w:type="paragraph" w:styleId="1210" w:customStyle="1">
    <w:name w:val="正文首行缩进1"/>
    <w:basedOn w:val="742"/>
    <w:pPr>
      <w:ind w:firstLine="200"/>
      <w:spacing w:after="0" w:line="360" w:lineRule="auto"/>
    </w:pPr>
    <w:rPr>
      <w:rFonts w:ascii="仿宋_GB2312" w:eastAsia="仿宋_GB2312"/>
      <w:sz w:val="30"/>
      <w:szCs w:val="30"/>
    </w:rPr>
  </w:style>
  <w:style w:type="paragraph" w:styleId="1211" w:customStyle="1">
    <w:name w:val="正文_段"/>
    <w:basedOn w:val="742"/>
    <w:qFormat/>
    <w:pPr>
      <w:ind w:firstLine="480"/>
      <w:spacing w:after="160" w:line="360" w:lineRule="auto"/>
      <w:widowControl w:val="off"/>
    </w:pPr>
    <w:rPr>
      <w:rFonts w:ascii="宋体" w:hAnsi="Calibri" w:cs="宋体"/>
      <w:color w:val="000000"/>
      <w:sz w:val="24"/>
      <w:szCs w:val="21"/>
    </w:rPr>
  </w:style>
  <w:style w:type="paragraph" w:styleId="1212" w:customStyle="1">
    <w:name w:val="正文首行缩进 21"/>
    <w:basedOn w:val="1180"/>
    <w:pPr>
      <w:ind w:firstLine="420"/>
      <w:spacing w:line="360" w:lineRule="auto"/>
    </w:pPr>
    <w:rPr>
      <w:rFonts w:ascii="宋体" w:hAnsi="宋体" w:eastAsia="宋体"/>
      <w:sz w:val="21"/>
      <w:szCs w:val="20"/>
    </w:rPr>
  </w:style>
  <w:style w:type="paragraph" w:styleId="1213" w:customStyle="1">
    <w:name w:val="Default"/>
    <w:qFormat/>
    <w:pPr>
      <w:spacing w:after="160" w:line="278" w:lineRule="auto"/>
      <w:widowControl w:val="off"/>
    </w:pPr>
    <w:rPr>
      <w:rFonts w:ascii="宋体" w:cs="宋体"/>
      <w:color w:val="000000"/>
      <w:sz w:val="24"/>
      <w:szCs w:val="24"/>
    </w:rPr>
  </w:style>
  <w:style w:type="paragraph" w:styleId="1214" w:customStyle="1">
    <w:name w:val="列出段落"/>
    <w:basedOn w:val="742"/>
    <w:qFormat/>
    <w:pPr>
      <w:contextualSpacing/>
      <w:ind w:left="720"/>
      <w:spacing w:after="0" w:line="240" w:lineRule="auto"/>
    </w:pPr>
    <w:rPr>
      <w:sz w:val="24"/>
      <w:szCs w:val="24"/>
      <w:lang w:eastAsia="en-US" w:bidi="en-US"/>
    </w:rPr>
  </w:style>
  <w:style w:type="paragraph" w:styleId="1215" w:customStyle="1">
    <w:name w:val="Char Char Char Char Char Char Char Char Char Char"/>
    <w:basedOn w:val="742"/>
    <w:pPr>
      <w:spacing w:after="0" w:line="360" w:lineRule="auto"/>
    </w:pPr>
    <w:rPr>
      <w:sz w:val="24"/>
      <w:szCs w:val="20"/>
    </w:rPr>
  </w:style>
  <w:style w:type="paragraph" w:styleId="1216" w:customStyle="1">
    <w:name w:val="首行缩进"/>
    <w:basedOn w:val="742"/>
    <w:qFormat/>
    <w:pPr>
      <w:ind w:firstLine="420"/>
      <w:spacing w:after="0" w:line="360" w:lineRule="auto"/>
    </w:pPr>
    <w:rPr>
      <w:sz w:val="20"/>
      <w:szCs w:val="20"/>
    </w:rPr>
  </w:style>
  <w:style w:type="paragraph" w:styleId="1217" w:customStyle="1">
    <w:name w:val="_Style 67"/>
    <w:basedOn w:val="742"/>
    <w:next w:val="742"/>
    <w:uiPriority w:val="34"/>
    <w:qFormat/>
    <w:pPr>
      <w:ind w:firstLine="420"/>
      <w:spacing w:after="160" w:line="360" w:lineRule="auto"/>
    </w:pPr>
    <w:rPr>
      <w:rFonts w:ascii="Calibri" w:hAnsi="Calibri" w:eastAsia="微软雅黑" w:cs="Calibri"/>
      <w:sz w:val="24"/>
    </w:rPr>
  </w:style>
  <w:style w:type="paragraph" w:styleId="1218" w:customStyle="1">
    <w:name w:val="标题 1_0"/>
    <w:basedOn w:val="1220"/>
    <w:next w:val="1220"/>
    <w:link w:val="891"/>
    <w:uiPriority w:val="99"/>
    <w:qFormat/>
    <w:pPr>
      <w:keepLines/>
      <w:keepNext/>
      <w:spacing w:before="340" w:after="330" w:line="578" w:lineRule="auto"/>
      <w:outlineLvl w:val="0"/>
    </w:pPr>
    <w:rPr>
      <w:rFonts w:cs="Times New Roman"/>
      <w:b/>
      <w:bCs/>
      <w:sz w:val="44"/>
      <w:szCs w:val="44"/>
    </w:rPr>
  </w:style>
  <w:style w:type="paragraph" w:styleId="1219" w:customStyle="1">
    <w:name w:val="正文_0_0_0"/>
    <w:uiPriority w:val="99"/>
    <w:qFormat/>
    <w:pPr>
      <w:jc w:val="both"/>
      <w:spacing w:after="160" w:line="278" w:lineRule="auto"/>
      <w:widowControl w:val="off"/>
    </w:pPr>
    <w:rPr>
      <w:rFonts w:cs="Calibri"/>
    </w:rPr>
  </w:style>
  <w:style w:type="paragraph" w:styleId="1220" w:customStyle="1">
    <w:name w:val="正文_0"/>
    <w:uiPriority w:val="99"/>
    <w:qFormat/>
    <w:pPr>
      <w:jc w:val="both"/>
      <w:spacing w:after="160" w:line="278" w:lineRule="auto"/>
      <w:widowControl w:val="off"/>
    </w:pPr>
    <w:rPr>
      <w:rFonts w:cs="Calibri"/>
      <w:sz w:val="21"/>
      <w:szCs w:val="21"/>
    </w:rPr>
  </w:style>
  <w:style w:type="paragraph" w:styleId="1221" w:customStyle="1">
    <w:name w:val="表格文字"/>
    <w:basedOn w:val="742"/>
    <w:link w:val="830"/>
    <w:uiPriority w:val="99"/>
    <w:qFormat/>
    <w:pPr>
      <w:spacing w:after="160" w:line="420" w:lineRule="atLeast"/>
      <w:widowControl w:val="off"/>
    </w:pPr>
    <w:rPr>
      <w:szCs w:val="20"/>
    </w:rPr>
  </w:style>
  <w:style w:type="paragraph" w:styleId="1222" w:customStyle="1">
    <w:name w:val="标题5"/>
    <w:basedOn w:val="745"/>
    <w:link w:val="881"/>
    <w:uiPriority w:val="99"/>
    <w:qFormat/>
    <w:pPr>
      <w:spacing w:before="260" w:after="260" w:line="413" w:lineRule="auto"/>
      <w:widowControl w:val="off"/>
    </w:pPr>
    <w:rPr>
      <w:rFonts w:ascii="Arial" w:hAnsi="Arial"/>
      <w:b w:val="0"/>
      <w:bCs w:val="0"/>
      <w:color w:val="auto"/>
    </w:rPr>
  </w:style>
  <w:style w:type="paragraph" w:styleId="1223" w:customStyle="1">
    <w:name w:val="正文格式"/>
    <w:basedOn w:val="742"/>
    <w:qFormat/>
    <w:pPr>
      <w:ind w:firstLine="482"/>
      <w:spacing w:after="160" w:line="360" w:lineRule="auto"/>
      <w:widowControl w:val="off"/>
    </w:pPr>
    <w:rPr>
      <w:rFonts w:ascii="Calibri" w:hAnsi="Calibri" w:cs="Calibri"/>
      <w:sz w:val="24"/>
      <w:szCs w:val="24"/>
    </w:rPr>
  </w:style>
  <w:style w:type="paragraph" w:styleId="1224" w:customStyle="1">
    <w:name w:val="标题 5_0"/>
    <w:basedOn w:val="1220"/>
    <w:next w:val="1220"/>
    <w:link w:val="959"/>
    <w:uiPriority w:val="99"/>
    <w:qFormat/>
    <w:pPr>
      <w:keepLines/>
      <w:keepNext/>
      <w:spacing w:before="280" w:after="290" w:line="372" w:lineRule="auto"/>
      <w:outlineLvl w:val="4"/>
    </w:pPr>
    <w:rPr>
      <w:rFonts w:cs="Times New Roman"/>
      <w:b/>
      <w:bCs/>
      <w:sz w:val="28"/>
      <w:szCs w:val="28"/>
    </w:rPr>
  </w:style>
  <w:style w:type="paragraph" w:styleId="1225" w:customStyle="1">
    <w:name w:val="flNote"/>
    <w:basedOn w:val="742"/>
    <w:uiPriority w:val="99"/>
    <w:qFormat/>
    <w:pPr>
      <w:jc w:val="center"/>
      <w:spacing w:before="320" w:after="160" w:line="360" w:lineRule="atLeast"/>
      <w:widowControl w:val="off"/>
    </w:pPr>
    <w:rPr>
      <w:rFonts w:ascii="Arial" w:hAnsi="Calibri" w:eastAsia="黑体" w:cs="Arial"/>
      <w:sz w:val="30"/>
      <w:szCs w:val="30"/>
    </w:rPr>
  </w:style>
  <w:style w:type="paragraph" w:styleId="1226" w:customStyle="1">
    <w:name w:val="标题 4_0"/>
    <w:basedOn w:val="1220"/>
    <w:next w:val="1220"/>
    <w:link w:val="987"/>
    <w:uiPriority w:val="99"/>
    <w:qFormat/>
    <w:pPr>
      <w:keepLines/>
      <w:keepNext/>
      <w:spacing w:before="280" w:after="290" w:line="376" w:lineRule="auto"/>
      <w:outlineLvl w:val="3"/>
    </w:pPr>
    <w:rPr>
      <w:rFonts w:ascii="Arial" w:hAnsi="Arial" w:eastAsia="黑体" w:cs="Times New Roman"/>
      <w:b/>
      <w:bCs/>
      <w:sz w:val="28"/>
      <w:szCs w:val="28"/>
    </w:rPr>
  </w:style>
  <w:style w:type="paragraph" w:styleId="1227" w:customStyle="1">
    <w:name w:val="Blockquote_0"/>
    <w:basedOn w:val="1220"/>
    <w:uiPriority w:val="99"/>
    <w:qFormat/>
    <w:pPr>
      <w:ind w:left="360" w:right="360"/>
      <w:jc w:val="left"/>
      <w:spacing w:before="100" w:after="100"/>
    </w:pPr>
    <w:rPr>
      <w:rFonts w:ascii="Calibri" w:hAnsi="Calibri"/>
      <w:sz w:val="24"/>
      <w:szCs w:val="24"/>
    </w:rPr>
  </w:style>
  <w:style w:type="paragraph" w:styleId="1228" w:customStyle="1">
    <w:name w:val="2方案格式2"/>
    <w:basedOn w:val="1203"/>
    <w:uiPriority w:val="99"/>
    <w:qFormat/>
    <w:pPr>
      <w:numPr>
        <w:ilvl w:val="1"/>
      </w:numPr>
      <w:spacing w:before="50" w:after="50" w:line="240" w:lineRule="auto"/>
      <w:outlineLvl w:val="1"/>
    </w:pPr>
    <w:rPr>
      <w:sz w:val="44"/>
      <w:szCs w:val="44"/>
    </w:rPr>
  </w:style>
  <w:style w:type="paragraph" w:styleId="1229" w:customStyle="1">
    <w:name w:val="纯文本2"/>
    <w:basedOn w:val="742"/>
    <w:uiPriority w:val="99"/>
    <w:qFormat/>
    <w:pPr>
      <w:spacing w:after="160" w:line="278" w:lineRule="auto"/>
      <w:widowControl w:val="off"/>
    </w:pPr>
    <w:rPr>
      <w:rFonts w:ascii="宋体" w:hAnsi="宋体" w:cs="宋体"/>
      <w:sz w:val="24"/>
      <w:szCs w:val="24"/>
    </w:rPr>
  </w:style>
  <w:style w:type="paragraph" w:styleId="1230" w:customStyle="1">
    <w:name w:val="并列项-点"/>
    <w:basedOn w:val="742"/>
    <w:qFormat/>
    <w:pPr>
      <w:numPr>
        <w:numId w:val="4"/>
      </w:numPr>
      <w:spacing w:after="160" w:line="360" w:lineRule="auto"/>
      <w:widowControl w:val="off"/>
      <w:tabs>
        <w:tab w:val="left" w:pos="851" w:leader="none"/>
        <w:tab w:val="left" w:pos="3054" w:leader="none"/>
      </w:tabs>
    </w:pPr>
    <w:rPr>
      <w:rFonts w:ascii="Calibri" w:hAnsi="Calibri" w:cs="Calibri"/>
      <w:sz w:val="24"/>
      <w:szCs w:val="24"/>
    </w:rPr>
  </w:style>
  <w:style w:type="paragraph" w:styleId="1231" w:customStyle="1">
    <w:name w:val="6'"/>
    <w:basedOn w:val="742"/>
    <w:uiPriority w:val="99"/>
    <w:qFormat/>
    <w:pPr>
      <w:jc w:val="center"/>
      <w:spacing w:after="160" w:line="320" w:lineRule="exact"/>
      <w:widowControl w:val="off"/>
    </w:pPr>
    <w:rPr>
      <w:rFonts w:ascii="Calibri" w:hAnsi="Calibri" w:cs="Calibri"/>
      <w:spacing w:val="20"/>
      <w:sz w:val="21"/>
      <w:szCs w:val="21"/>
    </w:rPr>
  </w:style>
  <w:style w:type="paragraph" w:styleId="1232" w:customStyle="1">
    <w:name w:val="absatz4"/>
    <w:basedOn w:val="742"/>
    <w:qFormat/>
    <w:pPr>
      <w:ind w:left="2268" w:hanging="2268"/>
      <w:spacing w:after="160" w:line="256" w:lineRule="auto"/>
      <w:tabs>
        <w:tab w:val="left" w:pos="709" w:leader="none"/>
        <w:tab w:val="left" w:pos="2268" w:leader="none"/>
        <w:tab w:val="right" w:pos="10206" w:leader="none"/>
      </w:tabs>
    </w:pPr>
    <w:rPr>
      <w:rFonts w:ascii="Calibri" w:hAnsi="Calibri" w:cs="Calibri"/>
      <w:sz w:val="24"/>
      <w:szCs w:val="20"/>
      <w:lang w:val="en-GB" w:eastAsia="es-ES"/>
    </w:rPr>
  </w:style>
  <w:style w:type="paragraph" w:styleId="1233" w:customStyle="1">
    <w:name w:val="Char Char Char Char Char Char Char"/>
    <w:basedOn w:val="742"/>
    <w:uiPriority w:val="99"/>
    <w:qFormat/>
    <w:pPr>
      <w:spacing w:after="160" w:line="360" w:lineRule="auto"/>
      <w:widowControl w:val="off"/>
    </w:pPr>
    <w:rPr>
      <w:rFonts w:cs="Calibri"/>
      <w:sz w:val="24"/>
      <w:szCs w:val="24"/>
    </w:rPr>
  </w:style>
  <w:style w:type="paragraph" w:styleId="1234" w:customStyle="1">
    <w:name w:val="空半行"/>
    <w:basedOn w:val="742"/>
    <w:uiPriority w:val="99"/>
    <w:qFormat/>
    <w:pPr>
      <w:spacing w:after="160" w:line="120" w:lineRule="exact"/>
      <w:widowControl w:val="off"/>
    </w:pPr>
    <w:rPr>
      <w:rFonts w:ascii="Calibri" w:hAnsi="Calibri" w:eastAsia="仿宋_GB2312" w:cs="Calibri"/>
      <w:color w:val="ffffff"/>
      <w:sz w:val="30"/>
      <w:szCs w:val="30"/>
    </w:rPr>
  </w:style>
  <w:style w:type="paragraph" w:styleId="1235" w:customStyle="1">
    <w:name w:val="Char Char2 Char Char Char Char Char Char Char Char"/>
    <w:basedOn w:val="742"/>
    <w:qFormat/>
    <w:pPr>
      <w:spacing w:after="160" w:line="278" w:lineRule="auto"/>
      <w:widowControl w:val="off"/>
    </w:pPr>
    <w:rPr>
      <w:rFonts w:ascii="Tahoma" w:hAnsi="Tahoma" w:cs="Calibri"/>
      <w:sz w:val="24"/>
      <w:szCs w:val="20"/>
    </w:rPr>
  </w:style>
  <w:style w:type="paragraph" w:styleId="1236" w:customStyle="1">
    <w:name w:val="文档正文"/>
    <w:basedOn w:val="742"/>
    <w:uiPriority w:val="99"/>
    <w:qFormat/>
    <w:pPr>
      <w:ind w:firstLine="567"/>
      <w:spacing w:after="160" w:line="480" w:lineRule="atLeast"/>
      <w:widowControl w:val="off"/>
    </w:pPr>
    <w:rPr>
      <w:rFonts w:ascii="Ari" w:eastAsia="Times New Roman" w:cs="Ari"/>
      <w:sz w:val="28"/>
      <w:szCs w:val="28"/>
    </w:rPr>
  </w:style>
  <w:style w:type="paragraph" w:styleId="1237" w:customStyle="1">
    <w:name w:val="_Style 34"/>
    <w:next w:val="742"/>
    <w:uiPriority w:val="99"/>
    <w:qFormat/>
    <w:pPr>
      <w:jc w:val="both"/>
      <w:spacing w:after="160" w:line="278" w:lineRule="auto"/>
      <w:widowControl w:val="off"/>
    </w:pPr>
    <w:rPr>
      <w:rFonts w:cs="Calibri"/>
      <w:sz w:val="21"/>
      <w:szCs w:val="21"/>
    </w:rPr>
  </w:style>
  <w:style w:type="paragraph" w:styleId="1238" w:customStyle="1">
    <w:name w:val="标题2"/>
    <w:basedOn w:val="744"/>
    <w:next w:val="1059"/>
    <w:uiPriority w:val="99"/>
    <w:qFormat/>
    <w:pPr>
      <w:numPr>
        <w:ilvl w:val="1"/>
      </w:numPr>
      <w:spacing w:before="156" w:after="156" w:line="360" w:lineRule="auto"/>
      <w:widowControl w:val="off"/>
    </w:pPr>
    <w:rPr>
      <w:rFonts w:cs="Cambria"/>
      <w:color w:val="auto"/>
      <w:sz w:val="24"/>
      <w:szCs w:val="24"/>
    </w:rPr>
  </w:style>
  <w:style w:type="paragraph" w:styleId="1239" w:customStyle="1">
    <w:name w:val="op_mapdots_left"/>
    <w:basedOn w:val="742"/>
    <w:uiPriority w:val="99"/>
    <w:qFormat/>
    <w:pPr>
      <w:spacing w:before="100" w:beforeAutospacing="1" w:after="100" w:afterAutospacing="1" w:line="278" w:lineRule="auto"/>
    </w:pPr>
    <w:rPr>
      <w:rFonts w:ascii="宋体" w:hAnsi="宋体" w:cs="宋体"/>
      <w:sz w:val="24"/>
      <w:szCs w:val="24"/>
    </w:rPr>
  </w:style>
  <w:style w:type="paragraph" w:styleId="1240" w:customStyle="1">
    <w:name w:val="样式 标题 1 + 黑体 三号 非加粗 居中 段前: 6 磅 段后: 6 磅 行距: 固定值 20 磅"/>
    <w:basedOn w:val="743"/>
    <w:uiPriority w:val="99"/>
    <w:qFormat/>
    <w:pPr>
      <w:jc w:val="center"/>
      <w:spacing w:before="120" w:after="120" w:line="400" w:lineRule="exact"/>
      <w:widowControl w:val="off"/>
    </w:pPr>
    <w:rPr>
      <w:rFonts w:ascii="黑体" w:hAnsi="黑体" w:eastAsia="黑体" w:cs="黑体"/>
      <w:b w:val="0"/>
      <w:bCs w:val="0"/>
      <w:color w:val="auto"/>
      <w:sz w:val="32"/>
      <w:szCs w:val="32"/>
    </w:rPr>
  </w:style>
  <w:style w:type="paragraph" w:styleId="1241" w:customStyle="1">
    <w:name w:val="样式 标题 2 + Times New Roman 四号 非加粗 段前: 5 磅 段后: 0 磅 行距: 固定值 20..."/>
    <w:basedOn w:val="744"/>
    <w:uiPriority w:val="99"/>
    <w:qFormat/>
    <w:pPr>
      <w:spacing w:before="100" w:line="400" w:lineRule="exact"/>
      <w:widowControl w:val="off"/>
    </w:pPr>
    <w:rPr>
      <w:rFonts w:ascii="Times New Roman" w:hAnsi="Times New Roman" w:eastAsia="黑体"/>
      <w:b w:val="0"/>
      <w:bCs w:val="0"/>
      <w:color w:val="auto"/>
      <w:sz w:val="28"/>
      <w:szCs w:val="28"/>
    </w:rPr>
  </w:style>
  <w:style w:type="paragraph" w:styleId="1242" w:customStyle="1">
    <w:name w:val="列出段落11"/>
    <w:basedOn w:val="742"/>
    <w:uiPriority w:val="99"/>
    <w:qFormat/>
    <w:pPr>
      <w:ind w:left="720"/>
      <w:spacing w:after="160" w:line="278" w:lineRule="auto"/>
    </w:pPr>
    <w:rPr>
      <w:rFonts w:ascii="Arial" w:hAnsi="Arial" w:eastAsia="黑体" w:cs="Arial"/>
      <w:sz w:val="24"/>
      <w:szCs w:val="24"/>
      <w:lang w:eastAsia="en-US"/>
    </w:rPr>
  </w:style>
  <w:style w:type="paragraph" w:styleId="1243" w:customStyle="1">
    <w:name w:val="目录 4_0"/>
    <w:basedOn w:val="1220"/>
    <w:next w:val="1220"/>
    <w:uiPriority w:val="99"/>
    <w:qFormat/>
    <w:pPr>
      <w:ind w:left="1260"/>
    </w:pPr>
    <w:rPr>
      <w:rFonts w:ascii="Calibri" w:hAnsi="Calibri"/>
    </w:rPr>
  </w:style>
  <w:style w:type="paragraph" w:styleId="1244" w:customStyle="1">
    <w:name w:val="txt"/>
    <w:basedOn w:val="742"/>
    <w:uiPriority w:val="99"/>
    <w:qFormat/>
    <w:pPr>
      <w:spacing w:before="100" w:beforeAutospacing="1" w:after="100" w:afterAutospacing="1" w:line="278" w:lineRule="auto"/>
    </w:pPr>
    <w:rPr>
      <w:rFonts w:ascii="宋体" w:hAnsi="宋体" w:cs="宋体"/>
      <w:sz w:val="24"/>
      <w:szCs w:val="24"/>
    </w:rPr>
  </w:style>
  <w:style w:type="paragraph" w:styleId="1245" w:customStyle="1">
    <w:name w:val="_Style 36"/>
    <w:next w:val="742"/>
    <w:uiPriority w:val="99"/>
    <w:qFormat/>
    <w:pPr>
      <w:jc w:val="both"/>
      <w:spacing w:after="160" w:line="278" w:lineRule="auto"/>
      <w:widowControl w:val="off"/>
    </w:pPr>
    <w:rPr>
      <w:rFonts w:cs="Calibri"/>
      <w:sz w:val="21"/>
      <w:szCs w:val="21"/>
    </w:rPr>
  </w:style>
  <w:style w:type="table" w:styleId="1246">
    <w:name w:val="Table Grid"/>
    <w:basedOn w:val="753"/>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7" w:customStyle="1">
    <w:name w:val="网格型9"/>
    <w:basedOn w:val="75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8" w:customStyle="1">
    <w:name w:val="网格型3"/>
    <w:basedOn w:val="7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9" w:customStyle="1">
    <w:name w:val="网格型10"/>
    <w:basedOn w:val="7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0" w:customStyle="1">
    <w:name w:val="网格型2"/>
    <w:basedOn w:val="753"/>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1" w:customStyle="1">
    <w:name w:val="网格型1"/>
    <w:basedOn w:val="753"/>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2" w:customStyle="1">
    <w:name w:val="网格型11"/>
    <w:basedOn w:val="753"/>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3" w:customStyle="1">
    <w:name w:val="网格型51"/>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4" w:customStyle="1">
    <w:name w:val="网格型7"/>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5" w:customStyle="1">
    <w:name w:val="网格型21"/>
    <w:basedOn w:val="753"/>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6" w:customStyle="1">
    <w:name w:val="网格型12"/>
    <w:basedOn w:val="7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7" w:customStyle="1">
    <w:name w:val="网格型4"/>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8" w:customStyle="1">
    <w:name w:val="网格型5"/>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9" w:customStyle="1">
    <w:name w:val="网格型6"/>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0" w:customStyle="1">
    <w:name w:val="网格型8"/>
    <w:basedOn w:val="7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1" w:customStyle="1">
    <w:name w:val="网格型13"/>
    <w:basedOn w:val="7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2" w:customStyle="1">
    <w:name w:val="网格型14"/>
    <w:basedOn w:val="7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3" w:customStyle="1">
    <w:name w:val="网格型15"/>
    <w:basedOn w:val="7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4" w:customStyle="1">
    <w:name w:val="网格型16"/>
    <w:basedOn w:val="7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5" w:customStyle="1">
    <w:name w:val="网格型17"/>
    <w:basedOn w:val="7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6" w:customStyle="1">
    <w:name w:val="网格型18"/>
    <w:basedOn w:val="753"/>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7" w:customStyle="1">
    <w:name w:val="网格型19"/>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8" w:customStyle="1">
    <w:name w:val="网格型91"/>
    <w:basedOn w:val="753"/>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9" w:customStyle="1">
    <w:name w:val="网格型20"/>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0" w:customStyle="1">
    <w:name w:val="Table Grid Ligh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271"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272"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73" w:customStyle="1">
    <w:name w:val="无格式表格 31"/>
    <w:uiPriority w:val="99"/>
    <w:tblPr>
      <w:tblCellMar>
        <w:left w:w="0" w:type="dxa"/>
        <w:top w:w="0" w:type="dxa"/>
        <w:right w:w="0" w:type="dxa"/>
        <w:bottom w:w="0" w:type="dxa"/>
      </w:tblCellMar>
    </w:tblPr>
  </w:style>
  <w:style w:type="table" w:styleId="1274" w:customStyle="1">
    <w:name w:val="无格式表格 41"/>
    <w:uiPriority w:val="99"/>
    <w:tblPr>
      <w:tblCellMar>
        <w:left w:w="0" w:type="dxa"/>
        <w:top w:w="0" w:type="dxa"/>
        <w:right w:w="0" w:type="dxa"/>
        <w:bottom w:w="0" w:type="dxa"/>
      </w:tblCellMar>
    </w:tblPr>
  </w:style>
  <w:style w:type="table" w:styleId="1275" w:customStyle="1">
    <w:name w:val="无格式表格 51"/>
    <w:uiPriority w:val="99"/>
    <w:tblPr>
      <w:tblCellMar>
        <w:left w:w="0" w:type="dxa"/>
        <w:top w:w="0" w:type="dxa"/>
        <w:right w:w="0" w:type="dxa"/>
        <w:bottom w:w="0" w:type="dxa"/>
      </w:tblCellMar>
    </w:tblPr>
  </w:style>
  <w:style w:type="table" w:styleId="1276"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1277" w:customStyle="1">
    <w:name w:val="Grid Table 1 Light - Accent 1"/>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1278" w:customStyle="1">
    <w:name w:val="Grid Table 1 Light - Accent 2"/>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1279"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80"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1" w:customStyle="1">
    <w:name w:val="Grid Table 1 Light - Accent 5"/>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282"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83" w:customStyle="1">
    <w:name w:val="网格表 21"/>
    <w:uiPriority w:val="99"/>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128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1285" w:customStyle="1">
    <w:name w:val="Grid Table 2 - Accent 2"/>
    <w:uiPriority w:val="99"/>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286" w:customStyle="1">
    <w:name w:val="Grid Table 2 - Accent 3"/>
    <w:uiPriority w:val="99"/>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287"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8"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9"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0"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1291" w:customStyle="1">
    <w:name w:val="Grid Table 3 - Accent 1"/>
    <w:uiPriority w:val="99"/>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1292" w:customStyle="1">
    <w:name w:val="Grid Table 3 - Accent 2"/>
    <w:uiPriority w:val="99"/>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293" w:customStyle="1">
    <w:name w:val="Grid Table 3 - Accent 3"/>
    <w:uiPriority w:val="99"/>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294"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6"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7" w:customStyle="1">
    <w:name w:val="网格表 41"/>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1298"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9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1300"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01"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02"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03"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0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style>
  <w:style w:type="table" w:styleId="1305"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style>
  <w:style w:type="table" w:styleId="1306"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1307"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style>
  <w:style w:type="table" w:styleId="1308"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1309"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1310"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style>
  <w:style w:type="table" w:styleId="1311" w:customStyle="1">
    <w:name w:val="网格表 6 彩色1"/>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312"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1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314" w:customStyle="1">
    <w:name w:val="Grid Table 6 Colorful - Accent 3"/>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315"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6"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17"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18" w:customStyle="1">
    <w:name w:val="Lined - Accent"/>
    <w:uiPriority w:val="99"/>
    <w:rPr>
      <w:color w:val="404040"/>
    </w:rPr>
    <w:tblPr>
      <w:tblCellMar>
        <w:left w:w="0" w:type="dxa"/>
        <w:top w:w="0" w:type="dxa"/>
        <w:right w:w="0" w:type="dxa"/>
        <w:bottom w:w="0" w:type="dxa"/>
      </w:tblCellMar>
    </w:tblPr>
  </w:style>
  <w:style w:type="table" w:styleId="1319" w:customStyle="1">
    <w:name w:val="网格表 7 彩色1"/>
    <w:uiPriority w:val="99"/>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320" w:customStyle="1">
    <w:name w:val="Lined - Accent 1"/>
    <w:uiPriority w:val="99"/>
    <w:rPr>
      <w:color w:val="404040"/>
    </w:rPr>
    <w:tblPr>
      <w:tblCellMar>
        <w:left w:w="0" w:type="dxa"/>
        <w:top w:w="0" w:type="dxa"/>
        <w:right w:w="0" w:type="dxa"/>
        <w:bottom w:w="0" w:type="dxa"/>
      </w:tblCellMar>
    </w:tblPr>
  </w:style>
  <w:style w:type="table" w:styleId="1321"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22" w:customStyle="1">
    <w:name w:val="Lined - Accent 2"/>
    <w:uiPriority w:val="99"/>
    <w:rPr>
      <w:color w:val="404040"/>
    </w:rPr>
    <w:tblPr>
      <w:tblCellMar>
        <w:left w:w="0" w:type="dxa"/>
        <w:top w:w="0" w:type="dxa"/>
        <w:right w:w="0" w:type="dxa"/>
        <w:bottom w:w="0" w:type="dxa"/>
      </w:tblCellMar>
    </w:tblPr>
  </w:style>
  <w:style w:type="table" w:styleId="1323" w:customStyle="1">
    <w:name w:val="Grid Table 7 Colorful - Accent 2"/>
    <w:uiPriority w:val="99"/>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324" w:customStyle="1">
    <w:name w:val="Lined - Accent 3"/>
    <w:uiPriority w:val="99"/>
    <w:rPr>
      <w:color w:val="404040"/>
    </w:rPr>
    <w:tblPr>
      <w:tblCellMar>
        <w:left w:w="0" w:type="dxa"/>
        <w:top w:w="0" w:type="dxa"/>
        <w:right w:w="0" w:type="dxa"/>
        <w:bottom w:w="0" w:type="dxa"/>
      </w:tblCellMar>
    </w:tblPr>
  </w:style>
  <w:style w:type="table" w:styleId="1325" w:customStyle="1">
    <w:name w:val="Grid Table 7 Colorful - Accent 3"/>
    <w:uiPriority w:val="99"/>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326" w:customStyle="1">
    <w:name w:val="Lined - Accent 4"/>
    <w:uiPriority w:val="99"/>
    <w:rPr>
      <w:color w:val="404040"/>
    </w:rPr>
    <w:tblPr>
      <w:tblCellMar>
        <w:left w:w="0" w:type="dxa"/>
        <w:top w:w="0" w:type="dxa"/>
        <w:right w:w="0" w:type="dxa"/>
        <w:bottom w:w="0" w:type="dxa"/>
      </w:tblCellMar>
    </w:tblPr>
  </w:style>
  <w:style w:type="table" w:styleId="1327"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8" w:customStyle="1">
    <w:name w:val="Lined - Accent 5"/>
    <w:uiPriority w:val="99"/>
    <w:rPr>
      <w:color w:val="404040"/>
    </w:rPr>
    <w:tblPr>
      <w:tblCellMar>
        <w:left w:w="0" w:type="dxa"/>
        <w:top w:w="0" w:type="dxa"/>
        <w:right w:w="0" w:type="dxa"/>
        <w:bottom w:w="0" w:type="dxa"/>
      </w:tblCellMar>
    </w:tblPr>
  </w:style>
  <w:style w:type="table" w:styleId="1329"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30" w:customStyle="1">
    <w:name w:val="Lined - Accent 6"/>
    <w:uiPriority w:val="99"/>
    <w:rPr>
      <w:color w:val="404040"/>
    </w:rPr>
    <w:tblPr>
      <w:tblCellMar>
        <w:left w:w="0" w:type="dxa"/>
        <w:top w:w="0" w:type="dxa"/>
        <w:right w:w="0" w:type="dxa"/>
        <w:bottom w:w="0" w:type="dxa"/>
      </w:tblCellMar>
    </w:tblPr>
  </w:style>
  <w:style w:type="table" w:styleId="1331"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32" w:customStyle="1">
    <w:name w:val="Bordered &amp; Lined - Accen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1333" w:customStyle="1">
    <w:name w:val="清单表 1 浅色1"/>
    <w:uiPriority w:val="99"/>
    <w:tblPr>
      <w:tblCellMar>
        <w:left w:w="0" w:type="dxa"/>
        <w:top w:w="0" w:type="dxa"/>
        <w:right w:w="0" w:type="dxa"/>
        <w:bottom w:w="0" w:type="dxa"/>
      </w:tblCellMar>
    </w:tblPr>
  </w:style>
  <w:style w:type="table" w:styleId="1334" w:customStyle="1">
    <w:name w:val="Bordered &amp; Lined - Accent 1"/>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1335" w:customStyle="1">
    <w:name w:val="List Table 1 Light - Accent 1"/>
    <w:uiPriority w:val="99"/>
    <w:tblPr>
      <w:tblCellMar>
        <w:left w:w="0" w:type="dxa"/>
        <w:top w:w="0" w:type="dxa"/>
        <w:right w:w="0" w:type="dxa"/>
        <w:bottom w:w="0" w:type="dxa"/>
      </w:tblCellMar>
    </w:tblPr>
  </w:style>
  <w:style w:type="table" w:styleId="1336" w:customStyle="1">
    <w:name w:val="Bordered &amp; Lined - Accent 2"/>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1337" w:customStyle="1">
    <w:name w:val="List Table 1 Light - Accent 2"/>
    <w:uiPriority w:val="99"/>
    <w:tblPr>
      <w:tblCellMar>
        <w:left w:w="0" w:type="dxa"/>
        <w:top w:w="0" w:type="dxa"/>
        <w:right w:w="0" w:type="dxa"/>
        <w:bottom w:w="0" w:type="dxa"/>
      </w:tblCellMar>
    </w:tblPr>
  </w:style>
  <w:style w:type="table" w:styleId="1338" w:customStyle="1">
    <w:name w:val="Bordered &amp; Lined - Accent 3"/>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1339" w:customStyle="1">
    <w:name w:val="List Table 1 Light - Accent 3"/>
    <w:uiPriority w:val="99"/>
    <w:tblPr>
      <w:tblCellMar>
        <w:left w:w="0" w:type="dxa"/>
        <w:top w:w="0" w:type="dxa"/>
        <w:right w:w="0" w:type="dxa"/>
        <w:bottom w:w="0" w:type="dxa"/>
      </w:tblCellMar>
    </w:tblPr>
  </w:style>
  <w:style w:type="table" w:styleId="1340"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41" w:customStyle="1">
    <w:name w:val="List Table 1 Light - Accent 4"/>
    <w:uiPriority w:val="99"/>
    <w:qFormat/>
    <w:tblPr>
      <w:tblCellMar>
        <w:left w:w="0" w:type="dxa"/>
        <w:top w:w="0" w:type="dxa"/>
        <w:right w:w="0" w:type="dxa"/>
        <w:bottom w:w="0" w:type="dxa"/>
      </w:tblCellMar>
    </w:tblPr>
  </w:style>
  <w:style w:type="table" w:styleId="1342"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43" w:customStyle="1">
    <w:name w:val="List Table 1 Light - Accent 5"/>
    <w:uiPriority w:val="99"/>
    <w:tblPr>
      <w:tblCellMar>
        <w:left w:w="0" w:type="dxa"/>
        <w:top w:w="0" w:type="dxa"/>
        <w:right w:w="0" w:type="dxa"/>
        <w:bottom w:w="0" w:type="dxa"/>
      </w:tblCellMar>
    </w:tblPr>
  </w:style>
  <w:style w:type="table" w:styleId="1344"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45" w:customStyle="1">
    <w:name w:val="List Table 1 Light - Accent 6"/>
    <w:uiPriority w:val="99"/>
    <w:qFormat/>
    <w:tblPr>
      <w:tblCellMar>
        <w:left w:w="0" w:type="dxa"/>
        <w:top w:w="0" w:type="dxa"/>
        <w:right w:w="0" w:type="dxa"/>
        <w:bottom w:w="0" w:type="dxa"/>
      </w:tblCellMar>
    </w:tblPr>
  </w:style>
  <w:style w:type="table" w:styleId="1346" w:customStyle="1">
    <w:name w:val="Bordered"/>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1347" w:customStyle="1">
    <w:name w:val="清单表 21"/>
    <w:uiPriority w:val="99"/>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1348" w:customStyle="1">
    <w:name w:val="Bordered - Accent 1"/>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1349"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50" w:customStyle="1">
    <w:name w:val="Bordered - Accent 2"/>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1351" w:customStyle="1">
    <w:name w:val="List Table 2 - Accent 2"/>
    <w:uiPriority w:val="99"/>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1352"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53"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54"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55"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56" w:customStyle="1">
    <w:name w:val="Bordered - Accent 5"/>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357"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58"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59"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60" w:customStyle="1">
    <w:name w:val="普通表格1"/>
    <w:semiHidden/>
    <w:tblPr>
      <w:tblCellMar>
        <w:left w:w="0" w:type="dxa"/>
        <w:top w:w="0" w:type="dxa"/>
        <w:right w:w="0" w:type="dxa"/>
        <w:bottom w:w="0" w:type="dxa"/>
      </w:tblCellMar>
    </w:tblPr>
  </w:style>
  <w:style w:type="table" w:styleId="1361"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62" w:customStyle="1">
    <w:name w:val="网格型110"/>
    <w:basedOn w:val="1360"/>
    <w:qFormat/>
    <w:pPr>
      <w:jc w:val="both"/>
      <w:widowControl w:val="off"/>
    </w:pPr>
    <w:tblPr/>
  </w:style>
  <w:style w:type="table" w:styleId="1363"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64" w:customStyle="1">
    <w:name w:val="网格型92"/>
    <w:basedOn w:val="753"/>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5" w:customStyle="1">
    <w:name w:val="List Table 3 - Accent 2"/>
    <w:uiPriority w:val="99"/>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1366" w:customStyle="1">
    <w:name w:val="网格型22"/>
    <w:basedOn w:val="753"/>
    <w:uiPriority w:val="39"/>
    <w:qFormat/>
    <w:pPr>
      <w:spacing w:after="160" w:line="278" w:lineRule="auto"/>
    </w:pPr>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7" w:customStyle="1">
    <w:name w:val="List Table 3 - Accent 3"/>
    <w:uiPriority w:val="99"/>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1368" w:customStyle="1">
    <w:name w:val="Table Normal"/>
    <w:uiPriority w:val="2"/>
    <w:unhideWhenUsed/>
    <w:qFormat/>
    <w:pPr>
      <w:spacing w:after="160" w:line="278" w:lineRule="auto"/>
    </w:pPr>
    <w:rPr>
      <w:rFonts w:ascii="Calibri" w:hAnsi="Calibri" w:cs="Calibri"/>
    </w:rPr>
    <w:tblPr>
      <w:tblCellMar>
        <w:left w:w="0" w:type="dxa"/>
        <w:top w:w="0" w:type="dxa"/>
        <w:right w:w="0" w:type="dxa"/>
        <w:bottom w:w="0" w:type="dxa"/>
      </w:tblCellMar>
    </w:tblPr>
  </w:style>
  <w:style w:type="table" w:styleId="13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70" w:customStyle="1">
    <w:name w:val="网格型111"/>
    <w:basedOn w:val="753"/>
    <w:qFormat/>
    <w:pPr>
      <w:spacing w:after="160" w:line="278" w:lineRule="auto"/>
    </w:pPr>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71"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72" w:customStyle="1">
    <w:name w:val="Table Normal1"/>
    <w:uiPriority w:val="2"/>
    <w:unhideWhenUsed/>
    <w:qFormat/>
    <w:pPr>
      <w:spacing w:after="160" w:line="278" w:lineRule="auto"/>
    </w:pPr>
    <w:rPr>
      <w:rFonts w:ascii="Calibri" w:hAnsi="Calibri" w:cs="Calibri"/>
    </w:rPr>
    <w:tblPr>
      <w:tblCellMar>
        <w:left w:w="0" w:type="dxa"/>
        <w:top w:w="0" w:type="dxa"/>
        <w:right w:w="0" w:type="dxa"/>
        <w:bottom w:w="0" w:type="dxa"/>
      </w:tblCellMar>
    </w:tblPr>
  </w:style>
  <w:style w:type="table" w:styleId="1373"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74" w:customStyle="1">
    <w:name w:val="Table Normal2"/>
    <w:uiPriority w:val="2"/>
    <w:unhideWhenUsed/>
    <w:qFormat/>
    <w:pPr>
      <w:spacing w:after="160" w:line="278" w:lineRule="auto"/>
    </w:pPr>
    <w:rPr>
      <w:rFonts w:ascii="Calibri" w:hAnsi="Calibri" w:cs="Calibri"/>
    </w:rPr>
    <w:tblPr>
      <w:tblCellMar>
        <w:left w:w="0" w:type="dxa"/>
        <w:top w:w="0" w:type="dxa"/>
        <w:right w:w="0" w:type="dxa"/>
        <w:bottom w:w="0" w:type="dxa"/>
      </w:tblCellMar>
    </w:tblPr>
  </w:style>
  <w:style w:type="table" w:styleId="137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76"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77" w:customStyle="1">
    <w:name w:val="List Table 4 - Accent 2"/>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1378"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7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8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81"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82" w:customStyle="1">
    <w:name w:val="清单表 5 深色1"/>
    <w:uiPriority w:val="99"/>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style>
  <w:style w:type="table" w:styleId="1383"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1384" w:customStyle="1">
    <w:name w:val="List Table 5 Dark - Accent 2"/>
    <w:uiPriority w:val="99"/>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style>
  <w:style w:type="table" w:styleId="1385" w:customStyle="1">
    <w:name w:val="List Table 5 Dark - Accent 3"/>
    <w:uiPriority w:val="99"/>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style>
  <w:style w:type="table" w:styleId="1386"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1387"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1388"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1389" w:customStyle="1">
    <w:name w:val="清单表 6 彩色1"/>
    <w:uiPriority w:val="99"/>
    <w:tblPr>
      <w:tblBorders>
        <w:top w:val="single" w:color="7E7E7E" w:sz="4" w:space="0"/>
        <w:bottom w:val="single" w:color="7E7E7E" w:sz="4" w:space="0"/>
      </w:tblBorders>
      <w:tblCellMar>
        <w:left w:w="0" w:type="dxa"/>
        <w:top w:w="0" w:type="dxa"/>
        <w:right w:w="0" w:type="dxa"/>
        <w:bottom w:w="0" w:type="dxa"/>
      </w:tblCellMar>
    </w:tblPr>
  </w:style>
  <w:style w:type="table" w:styleId="1390"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391" w:customStyle="1">
    <w:name w:val="List Table 6 Colorful - Accent 2"/>
    <w:uiPriority w:val="99"/>
    <w:tblPr>
      <w:tblBorders>
        <w:top w:val="single" w:color="D99795" w:sz="4" w:space="0"/>
        <w:bottom w:val="single" w:color="D99795" w:sz="4" w:space="0"/>
      </w:tblBorders>
      <w:tblCellMar>
        <w:left w:w="0" w:type="dxa"/>
        <w:top w:w="0" w:type="dxa"/>
        <w:right w:w="0" w:type="dxa"/>
        <w:bottom w:w="0" w:type="dxa"/>
      </w:tblCellMar>
    </w:tblPr>
  </w:style>
  <w:style w:type="table" w:styleId="1392" w:customStyle="1">
    <w:name w:val="List Table 6 Colorful - Accent 3"/>
    <w:uiPriority w:val="99"/>
    <w:tblPr>
      <w:tblBorders>
        <w:top w:val="single" w:color="C3D69C" w:sz="4" w:space="0"/>
        <w:bottom w:val="single" w:color="C3D69C" w:sz="4" w:space="0"/>
      </w:tblBorders>
      <w:tblCellMar>
        <w:left w:w="0" w:type="dxa"/>
        <w:top w:w="0" w:type="dxa"/>
        <w:right w:w="0" w:type="dxa"/>
        <w:bottom w:w="0" w:type="dxa"/>
      </w:tblCellMar>
    </w:tblPr>
  </w:style>
  <w:style w:type="table" w:styleId="1393"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394"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395"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396" w:customStyle="1">
    <w:name w:val="清单表 7 彩色1"/>
    <w:uiPriority w:val="99"/>
    <w:tblPr>
      <w:tblBorders>
        <w:right w:val="single" w:color="7E7E7E" w:sz="4" w:space="0"/>
      </w:tblBorders>
      <w:tblCellMar>
        <w:left w:w="0" w:type="dxa"/>
        <w:top w:w="0" w:type="dxa"/>
        <w:right w:w="0" w:type="dxa"/>
        <w:bottom w:w="0" w:type="dxa"/>
      </w:tblCellMar>
    </w:tblPr>
  </w:style>
  <w:style w:type="table" w:styleId="1397"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398" w:customStyle="1">
    <w:name w:val="List Table 7 Colorful - Accent 2"/>
    <w:uiPriority w:val="99"/>
    <w:tblPr>
      <w:tblBorders>
        <w:right w:val="single" w:color="D99795" w:sz="4" w:space="0"/>
      </w:tblBorders>
      <w:tblCellMar>
        <w:left w:w="0" w:type="dxa"/>
        <w:top w:w="0" w:type="dxa"/>
        <w:right w:w="0" w:type="dxa"/>
        <w:bottom w:w="0" w:type="dxa"/>
      </w:tblCellMar>
    </w:tblPr>
  </w:style>
  <w:style w:type="table" w:styleId="1399" w:customStyle="1">
    <w:name w:val="List Table 7 Colorful - Accent 3"/>
    <w:uiPriority w:val="99"/>
    <w:tblPr>
      <w:tblBorders>
        <w:right w:val="single" w:color="C3D69C" w:sz="4" w:space="0"/>
      </w:tblBorders>
      <w:tblCellMar>
        <w:left w:w="0" w:type="dxa"/>
        <w:top w:w="0" w:type="dxa"/>
        <w:right w:w="0" w:type="dxa"/>
        <w:bottom w:w="0" w:type="dxa"/>
      </w:tblCellMar>
    </w:tblPr>
  </w:style>
  <w:style w:type="table" w:styleId="1400"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40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402" w:customStyle="1">
    <w:name w:val="List Table 7 Colorful - Accent 6"/>
    <w:uiPriority w:val="99"/>
    <w:tblPr>
      <w:tblBorders>
        <w:right w:val="single" w:color="FAC090" w:sz="4" w:space="0"/>
      </w:tblBorders>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吉慧婷</cp:lastModifiedBy>
  <cp:revision>10</cp:revision>
  <dcterms:created xsi:type="dcterms:W3CDTF">2026-06-03T03:22:00Z</dcterms:created>
  <dcterms:modified xsi:type="dcterms:W3CDTF">2026-06-03T07:50:36Z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34BCB416E8EF4CDEA1B2120973F1B821_13</vt:lpwstr>
  </property>
  <property fmtid="{D5CDD505-2E9C-101B-9397-08002B2CF9AE}" pid="4" name="KSOTemplateDocerSaveRecord">
    <vt:lpwstr>eyJoZGlkIjoiNjdiNWZmZWQwYmYxMDgzYTlhNjAwZTA1NTc2MjAwMWMiLCJ1c2VySWQiOiIxMDA5MTA3NjQ4In0=</vt:lpwstr>
  </property>
</Properties>
</file>