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hint="default" w:ascii="Times New Roman" w:hAnsi="Times New Roman" w:eastAsia="黑体"/>
          <w:b/>
          <w:bCs/>
          <w:color w:val="auto"/>
          <w:sz w:val="84"/>
          <w:highlight w:val="none"/>
          <w:lang w:val="en-US" w:eastAsia="zh-CN"/>
        </w:rPr>
      </w:pPr>
      <w:r>
        <w:rPr>
          <w:rFonts w:hint="default" w:ascii="Times New Roman" w:hAnsi="Times New Roman" w:eastAsia="黑体"/>
          <w:b/>
          <w:bCs/>
          <w:color w:val="auto"/>
          <w:sz w:val="84"/>
          <w:highlight w:val="none"/>
          <w:lang w:val="en-US" w:eastAsia="zh-CN"/>
        </w:rPr>
      </w:r>
      <w:r/>
    </w:p>
    <w:p>
      <w:pPr>
        <w:pStyle w:val="105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053"/>
        <w:jc w:val="both"/>
        <w:rPr>
          <w:rFonts w:hint="eastAsia" w:ascii="Times New Roman" w:hAnsi="Times New Roman" w:eastAsia="宋体"/>
          <w:b/>
          <w:bCs/>
          <w:color w:val="auto"/>
          <w:sz w:val="32"/>
          <w:highlight w:val="none"/>
          <w:lang w:eastAsia="zh-CN"/>
        </w:rPr>
      </w:pPr>
      <w:r>
        <w:rPr>
          <w:rFonts w:hint="eastAsia"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2026-2029年宿豫区道路环卫保洁市场化服务项目</w:t>
      </w:r>
      <w:r/>
    </w:p>
    <w:p>
      <w:pPr>
        <w:ind w:left="-2100" w:firstLine="2570"/>
        <w:spacing w:line="360" w:lineRule="auto"/>
        <w:rPr>
          <w:rFonts w:hint="default" w:eastAsia="宋体"/>
          <w:b/>
          <w:color w:val="auto"/>
          <w:sz w:val="30"/>
          <w:szCs w:val="30"/>
          <w:highlight w:val="non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SZC-321311-HCCG-G2026-0024</w:t>
      </w:r>
      <w:r/>
    </w:p>
    <w:p>
      <w:pPr>
        <w:ind w:left="-420" w:firstLine="1656"/>
        <w:jc w:val="both"/>
        <w:spacing w:line="360" w:lineRule="auto"/>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本项目非专门面向中小企业）</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default"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                                                                                                                        </w:t>
      </w:r>
      <w:r>
        <w:rPr>
          <w:rFonts w:hint="eastAsia" w:ascii="Times New Roman" w:hAnsi="Times New Roman"/>
          <w:color w:val="auto"/>
          <w:highlight w:val="none"/>
          <w:lang w:val="en-US" w:eastAsia="zh-CN"/>
        </w:rPr>
        <w:t xml:space="preserve">                                                                                                                                                                                                                                                                </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宿迁市宿豫区城市管理局</w:t>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江苏鸿成工程项目管理有限公司</w:t>
      </w:r>
      <w:r/>
    </w:p>
    <w:p>
      <w:pPr>
        <w:pStyle w:val="1053"/>
        <w:ind w:firstLine="3373"/>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rPr>
        <w:t xml:space="preserve">202</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月</w:t>
      </w:r>
      <w:r/>
    </w:p>
    <w:p>
      <w:pPr>
        <w:pStyle w:val="105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05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262"/>
        <w:jc w:val="both"/>
        <w:rPr>
          <w:rFonts w:hint="eastAsia"/>
          <w:color w:val="auto"/>
          <w:highlight w:val="none"/>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523127445"/>
      <w:r/>
      <w:bookmarkStart w:id="2" w:name="_Toc479757206"/>
      <w:r/>
      <w:bookmarkStart w:id="3" w:name="_Toc20823272"/>
      <w:r/>
      <w:bookmarkStart w:id="4" w:name="_Toc16938516"/>
      <w:r/>
      <w:bookmarkStart w:id="5" w:name="_Toc513029200"/>
      <w:r/>
      <w:r/>
    </w:p>
    <w:p>
      <w:pPr>
        <w:pStyle w:val="1053"/>
        <w:ind w:firstLine="1262"/>
        <w:jc w:val="both"/>
        <w:rPr>
          <w:rFonts w:ascii="Times New Roman" w:hAnsi="Times New Roman"/>
          <w:b/>
          <w:bCs/>
          <w:color w:val="auto"/>
          <w:sz w:val="44"/>
          <w:szCs w:val="44"/>
          <w:highlight w:val="none"/>
        </w:rPr>
      </w:pPr>
      <w:r>
        <w:rPr>
          <w:rFonts w:hint="eastAsia"/>
          <w:color w:val="auto"/>
          <w:highlight w:val="none"/>
        </w:rPr>
        <w:t xml:space="preserve">                    </w:t>
      </w:r>
      <w:r>
        <w:rPr>
          <w:rFonts w:ascii="Times New Roman" w:hAnsi="Times New Roman"/>
          <w:b/>
          <w:bCs/>
          <w:color w:val="auto"/>
          <w:sz w:val="44"/>
          <w:szCs w:val="44"/>
          <w:highlight w:val="none"/>
        </w:rPr>
        <w:t xml:space="preserve">目</w:t>
      </w:r>
      <w:r>
        <w:rPr>
          <w:rFonts w:hint="eastAsia" w:ascii="Times New Roman" w:hAnsi="Times New Roman"/>
          <w:b/>
          <w:bCs/>
          <w:color w:val="auto"/>
          <w:sz w:val="44"/>
          <w:szCs w:val="44"/>
          <w:highlight w:val="none"/>
          <w:lang w:val="en-US" w:eastAsia="zh-CN"/>
        </w:rPr>
        <w:t xml:space="preserve">  </w:t>
      </w:r>
      <w:r>
        <w:rPr>
          <w:rFonts w:ascii="Times New Roman" w:hAnsi="Times New Roman"/>
          <w:b/>
          <w:bCs/>
          <w:color w:val="auto"/>
          <w:sz w:val="44"/>
          <w:szCs w:val="44"/>
          <w:highlight w:val="none"/>
        </w:rPr>
        <w:t xml:space="preserve">录</w:t>
      </w:r>
      <w:r/>
    </w:p>
    <w:p>
      <w:pPr>
        <w:pStyle w:val="791"/>
        <w:tabs>
          <w:tab w:val="right" w:pos="8532" w:leader="dot"/>
        </w:tabs>
        <w:rPr>
          <w:color w:val="auto"/>
          <w:highlight w:val="none"/>
        </w:rPr>
      </w:pPr>
      <w:r>
        <w:rPr>
          <w:color w:val="auto"/>
          <w:highlight w:val="none"/>
        </w:rPr>
        <w:fldChar w:fldCharType="begin"/>
      </w:r>
      <w:r>
        <w:rPr>
          <w:color w:val="auto"/>
          <w:highlight w:val="none"/>
        </w:rPr>
        <w:instrText xml:space="preserve">TOC \o "1-3" \h \z \u</w:instrText>
      </w:r>
      <w:r>
        <w:rPr>
          <w:color w:val="auto"/>
          <w:highlight w:val="none"/>
        </w:rPr>
        <w:fldChar w:fldCharType="separate"/>
      </w:r>
      <w:r>
        <w:rPr>
          <w:color w:val="auto"/>
          <w:highlight w:val="none"/>
        </w:rPr>
        <w:fldChar w:fldCharType="begin"/>
      </w:r>
      <w:r>
        <w:rPr>
          <w:color w:val="auto"/>
          <w:highlight w:val="none"/>
        </w:rPr>
        <w:instrText xml:space="preserve"> HYPERLINK \l _Toc20746 </w:instrText>
      </w:r>
      <w:r>
        <w:rPr>
          <w:color w:val="auto"/>
          <w:highlight w:val="none"/>
        </w:rPr>
        <w:fldChar w:fldCharType="separate"/>
      </w:r>
      <w:r>
        <w:rPr>
          <w:rFonts w:hint="eastAsia" w:ascii="Times New Roman"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_Toc20746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_Toc26456 </w:instrText>
      </w:r>
      <w:r>
        <w:rPr>
          <w:rFonts w:ascii="宋体" w:hAnsi="宋体"/>
          <w:color w:val="auto"/>
          <w:szCs w:val="24"/>
          <w:highlight w:val="none"/>
        </w:rPr>
        <w:fldChar w:fldCharType="separate"/>
      </w:r>
      <w:r>
        <w:rPr>
          <w:rFonts w:hint="eastAsia"/>
          <w:color w:val="auto"/>
          <w:szCs w:val="30"/>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_Toc26456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_Toc24612 </w:instrText>
      </w:r>
      <w:r>
        <w:rPr>
          <w:rFonts w:ascii="宋体" w:hAnsi="宋体"/>
          <w:color w:val="auto"/>
          <w:szCs w:val="24"/>
          <w:highlight w:val="none"/>
        </w:rPr>
        <w:fldChar w:fldCharType="separate"/>
      </w:r>
      <w:r>
        <w:rPr>
          <w:rFonts w:hint="eastAsia"/>
          <w:color w:val="auto"/>
          <w:szCs w:val="30"/>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_Toc24612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_Toc4812 </w:instrText>
      </w:r>
      <w:r>
        <w:rPr>
          <w:rFonts w:ascii="宋体" w:hAnsi="宋体"/>
          <w:color w:val="auto"/>
          <w:szCs w:val="24"/>
          <w:highlight w:val="none"/>
        </w:rPr>
        <w:fldChar w:fldCharType="separate"/>
      </w:r>
      <w:r>
        <w:rPr>
          <w:rFonts w:hint="eastAsia"/>
          <w:color w:val="auto"/>
          <w:szCs w:val="30"/>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_Toc4812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_Toc29468 </w:instrText>
      </w:r>
      <w:r>
        <w:rPr>
          <w:rFonts w:ascii="宋体" w:hAnsi="宋体"/>
          <w:color w:val="auto"/>
          <w:szCs w:val="24"/>
          <w:highlight w:val="none"/>
        </w:rPr>
        <w:fldChar w:fldCharType="separate"/>
      </w:r>
      <w:r>
        <w:rPr>
          <w:rFonts w:hint="eastAsia"/>
          <w:color w:val="auto"/>
          <w:szCs w:val="30"/>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_Toc29468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_Toc15106 </w:instrText>
      </w:r>
      <w:r>
        <w:rPr>
          <w:rFonts w:ascii="宋体" w:hAnsi="宋体"/>
          <w:color w:val="auto"/>
          <w:szCs w:val="24"/>
          <w:highlight w:val="none"/>
        </w:rPr>
        <w:fldChar w:fldCharType="separate"/>
      </w:r>
      <w:r>
        <w:rPr>
          <w:rFonts w:hint="eastAsia"/>
          <w:color w:val="auto"/>
          <w:szCs w:val="30"/>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_Toc15106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_Toc29629 </w:instrText>
      </w:r>
      <w:r>
        <w:rPr>
          <w:rFonts w:ascii="宋体" w:hAnsi="宋体"/>
          <w:color w:val="auto"/>
          <w:szCs w:val="24"/>
          <w:highlight w:val="none"/>
        </w:rPr>
        <w:fldChar w:fldCharType="separate"/>
      </w:r>
      <w:r>
        <w:rPr>
          <w:rFonts w:hint="eastAsia"/>
          <w:color w:val="auto"/>
          <w:szCs w:val="30"/>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_Toc29629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_Toc30578 </w:instrText>
      </w:r>
      <w:r>
        <w:rPr>
          <w:rFonts w:ascii="宋体" w:hAnsi="宋体"/>
          <w:color w:val="auto"/>
          <w:szCs w:val="24"/>
          <w:highlight w:val="none"/>
        </w:rPr>
        <w:fldChar w:fldCharType="separate"/>
      </w:r>
      <w:r>
        <w:rPr>
          <w:rFonts w:hint="eastAsia"/>
          <w:color w:val="auto"/>
          <w:highlight w:val="none"/>
        </w:rPr>
        <w:t xml:space="preserve">七、</w:t>
      </w:r>
      <w:r>
        <w:rPr>
          <w:rFonts w:hint="eastAsia"/>
          <w:color w:val="auto"/>
          <w:szCs w:val="30"/>
          <w:highlight w:val="none"/>
        </w:rPr>
        <w:t xml:space="preserve">本次招标联系方式</w:t>
      </w:r>
      <w:r>
        <w:rPr>
          <w:color w:val="auto"/>
          <w:highlight w:val="none"/>
        </w:rPr>
        <w:tab/>
      </w:r>
      <w:r>
        <w:rPr>
          <w:color w:val="auto"/>
          <w:highlight w:val="none"/>
        </w:rPr>
        <w:fldChar w:fldCharType="begin"/>
      </w:r>
      <w:r>
        <w:rPr>
          <w:color w:val="auto"/>
          <w:highlight w:val="none"/>
        </w:rPr>
        <w:instrText xml:space="preserve"> PAGEREF _Toc30578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_Toc1299 </w:instrText>
      </w:r>
      <w:r>
        <w:rPr>
          <w:rFonts w:ascii="宋体" w:hAnsi="宋体"/>
          <w:color w:val="auto"/>
          <w:szCs w:val="24"/>
          <w:highlight w:val="none"/>
        </w:rPr>
        <w:fldChar w:fldCharType="separate"/>
      </w:r>
      <w:r>
        <w:rPr>
          <w:rFonts w:hint="eastAsia"/>
          <w:color w:val="auto"/>
          <w:szCs w:val="30"/>
          <w:highlight w:val="none"/>
        </w:rPr>
        <w:t xml:space="preserve">八、其他</w:t>
      </w:r>
      <w:r>
        <w:rPr>
          <w:color w:val="auto"/>
          <w:highlight w:val="none"/>
        </w:rPr>
        <w:tab/>
      </w:r>
      <w:r>
        <w:rPr>
          <w:color w:val="auto"/>
          <w:highlight w:val="none"/>
        </w:rPr>
        <w:fldChar w:fldCharType="begin"/>
      </w:r>
      <w:r>
        <w:rPr>
          <w:color w:val="auto"/>
          <w:highlight w:val="none"/>
        </w:rPr>
        <w:instrText xml:space="preserve"> PAGEREF _Toc1299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_Toc27300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_Toc27300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_Toc17539 </w:instrText>
      </w:r>
      <w:r>
        <w:rPr>
          <w:rFonts w:ascii="宋体" w:hAnsi="宋体"/>
          <w:color w:val="auto"/>
          <w:szCs w:val="24"/>
          <w:highlight w:val="none"/>
        </w:rPr>
        <w:fldChar w:fldCharType="separate"/>
      </w:r>
      <w:r>
        <w:rPr>
          <w:rFonts w:hint="eastAsia"/>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_Toc17539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_Toc13665 </w:instrText>
      </w:r>
      <w:r>
        <w:rPr>
          <w:rFonts w:ascii="宋体" w:hAnsi="宋体"/>
          <w:color w:val="auto"/>
          <w:szCs w:val="24"/>
          <w:highlight w:val="none"/>
        </w:rPr>
        <w:fldChar w:fldCharType="separate"/>
      </w:r>
      <w:r>
        <w:rPr>
          <w:rFonts w:hint="eastAsia"/>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_Toc13665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_Toc19654 </w:instrText>
      </w:r>
      <w:r>
        <w:rPr>
          <w:rFonts w:ascii="宋体" w:hAnsi="宋体"/>
          <w:color w:val="auto"/>
          <w:szCs w:val="24"/>
          <w:highlight w:val="none"/>
        </w:rPr>
        <w:fldChar w:fldCharType="separate"/>
      </w:r>
      <w:r>
        <w:rPr>
          <w:rFonts w:hint="eastAsia"/>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_Toc19654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_Toc22598 </w:instrText>
      </w:r>
      <w:r>
        <w:rPr>
          <w:rFonts w:ascii="宋体" w:hAnsi="宋体"/>
          <w:color w:val="auto"/>
          <w:szCs w:val="24"/>
          <w:highlight w:val="none"/>
        </w:rPr>
        <w:fldChar w:fldCharType="separate"/>
      </w:r>
      <w:r>
        <w:rPr>
          <w:rFonts w:hint="eastAsia"/>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_Toc22598 \h </w:instrText>
      </w:r>
      <w:r>
        <w:rPr>
          <w:color w:val="auto"/>
          <w:highlight w:val="none"/>
        </w:rPr>
        <w:fldChar w:fldCharType="separate"/>
      </w:r>
      <w:r>
        <w:rPr>
          <w:color w:val="auto"/>
          <w:highlight w:val="none"/>
        </w:rPr>
        <w:t xml:space="preserve">10</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_Toc20905 </w:instrText>
      </w:r>
      <w:r>
        <w:rPr>
          <w:rFonts w:ascii="宋体" w:hAnsi="宋体"/>
          <w:color w:val="auto"/>
          <w:szCs w:val="24"/>
          <w:highlight w:val="none"/>
        </w:rPr>
        <w:fldChar w:fldCharType="separate"/>
      </w:r>
      <w:r>
        <w:rPr>
          <w:rFonts w:hint="eastAsia"/>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_Toc20905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_Toc7948 </w:instrText>
      </w:r>
      <w:r>
        <w:rPr>
          <w:rFonts w:ascii="宋体" w:hAnsi="宋体"/>
          <w:color w:val="auto"/>
          <w:szCs w:val="24"/>
          <w:highlight w:val="none"/>
        </w:rPr>
        <w:fldChar w:fldCharType="separate"/>
      </w:r>
      <w:r>
        <w:rPr>
          <w:rFonts w:hint="eastAsia"/>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_Toc7948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_Toc8881 </w:instrText>
      </w:r>
      <w:r>
        <w:rPr>
          <w:rFonts w:ascii="宋体" w:hAnsi="宋体"/>
          <w:color w:val="auto"/>
          <w:szCs w:val="24"/>
          <w:highlight w:val="none"/>
        </w:rPr>
        <w:fldChar w:fldCharType="separate"/>
      </w:r>
      <w:r>
        <w:rPr>
          <w:rFonts w:hint="eastAsia"/>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_Toc8881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_Toc19207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第三章  </w:t>
      </w:r>
      <w:r>
        <w:rPr>
          <w:rFonts w:hint="eastAsia" w:ascii="Times New Roman" w:eastAsia="黑体"/>
          <w:color w:val="auto"/>
          <w:szCs w:val="44"/>
          <w:highlight w:val="none"/>
          <w:lang w:val="en-US" w:eastAsia="zh-CN"/>
        </w:rPr>
        <w:t xml:space="preserve">合同文本</w:t>
      </w:r>
      <w:r>
        <w:rPr>
          <w:color w:val="auto"/>
          <w:highlight w:val="none"/>
        </w:rPr>
        <w:tab/>
      </w:r>
      <w:r>
        <w:rPr>
          <w:color w:val="auto"/>
          <w:highlight w:val="none"/>
        </w:rPr>
        <w:fldChar w:fldCharType="begin"/>
      </w:r>
      <w:r>
        <w:rPr>
          <w:color w:val="auto"/>
          <w:highlight w:val="none"/>
        </w:rPr>
        <w:instrText xml:space="preserve"> PAGEREF _Toc19207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_Toc5153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第四章 采购需求</w:t>
      </w:r>
      <w:r>
        <w:rPr>
          <w:color w:val="auto"/>
          <w:highlight w:val="none"/>
        </w:rPr>
        <w:tab/>
      </w:r>
      <w:r>
        <w:rPr>
          <w:color w:val="auto"/>
          <w:highlight w:val="none"/>
        </w:rPr>
        <w:fldChar w:fldCharType="begin"/>
      </w:r>
      <w:r>
        <w:rPr>
          <w:color w:val="auto"/>
          <w:highlight w:val="none"/>
        </w:rPr>
        <w:instrText xml:space="preserve"> PAGEREF _Toc5153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_Toc7852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_Toc7852 \h </w:instrText>
      </w:r>
      <w:r>
        <w:rPr>
          <w:color w:val="auto"/>
          <w:highlight w:val="none"/>
        </w:rPr>
        <w:fldChar w:fldCharType="separate"/>
      </w:r>
      <w:r>
        <w:rPr>
          <w:color w:val="auto"/>
          <w:highlight w:val="none"/>
        </w:rPr>
        <w:t xml:space="preserve">72</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_Toc2293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_Toc2293 \h </w:instrText>
      </w:r>
      <w:r>
        <w:rPr>
          <w:color w:val="auto"/>
          <w:highlight w:val="none"/>
        </w:rPr>
        <w:fldChar w:fldCharType="separate"/>
      </w:r>
      <w:r>
        <w:rPr>
          <w:color w:val="auto"/>
          <w:highlight w:val="none"/>
        </w:rPr>
        <w:t xml:space="preserve">78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_Toc14866 </w:instrText>
      </w:r>
      <w:r>
        <w:rPr>
          <w:rFonts w:ascii="宋体" w:hAnsi="宋体"/>
          <w:color w:val="auto"/>
          <w:szCs w:val="24"/>
          <w:highlight w:val="none"/>
        </w:rPr>
        <w:fldChar w:fldCharType="separate"/>
      </w:r>
      <w:r>
        <w:rPr>
          <w:rFonts w:hint="eastAsia"/>
          <w:color w:val="auto"/>
          <w:highlight w:val="none"/>
        </w:rPr>
        <w:t xml:space="preserve">一、投标声明及承诺函</w:t>
      </w:r>
      <w:r>
        <w:rPr>
          <w:color w:val="auto"/>
          <w:highlight w:val="none"/>
        </w:rPr>
        <w:tab/>
      </w:r>
      <w:r>
        <w:rPr>
          <w:color w:val="auto"/>
          <w:highlight w:val="none"/>
        </w:rPr>
        <w:fldChar w:fldCharType="begin"/>
      </w:r>
      <w:r>
        <w:rPr>
          <w:color w:val="auto"/>
          <w:highlight w:val="none"/>
        </w:rPr>
        <w:instrText xml:space="preserve"> PAGEREF _Toc14866 \h </w:instrText>
      </w:r>
      <w:r>
        <w:rPr>
          <w:color w:val="auto"/>
          <w:highlight w:val="none"/>
        </w:rPr>
        <w:fldChar w:fldCharType="separate"/>
      </w:r>
      <w:r>
        <w:rPr>
          <w:color w:val="auto"/>
          <w:highlight w:val="none"/>
        </w:rPr>
        <w:t xml:space="preserve">80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_Toc28096 </w:instrText>
      </w:r>
      <w:r>
        <w:rPr>
          <w:rFonts w:ascii="宋体" w:hAnsi="宋体"/>
          <w:color w:val="auto"/>
          <w:szCs w:val="24"/>
          <w:highlight w:val="none"/>
        </w:rPr>
        <w:fldChar w:fldCharType="separate"/>
      </w:r>
      <w:r>
        <w:rPr>
          <w:rFonts w:hint="eastAsia"/>
          <w:color w:val="auto"/>
          <w:highlight w:val="none"/>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_Toc28096 \h </w:instrText>
      </w:r>
      <w:r>
        <w:rPr>
          <w:color w:val="auto"/>
          <w:highlight w:val="none"/>
        </w:rPr>
        <w:fldChar w:fldCharType="separate"/>
      </w:r>
      <w:r>
        <w:rPr>
          <w:color w:val="auto"/>
          <w:highlight w:val="none"/>
        </w:rPr>
        <w:t xml:space="preserve">81</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_Toc30935 </w:instrText>
      </w:r>
      <w:r>
        <w:rPr>
          <w:rFonts w:ascii="宋体" w:hAnsi="宋体"/>
          <w:color w:val="auto"/>
          <w:szCs w:val="24"/>
          <w:highlight w:val="none"/>
        </w:rPr>
        <w:fldChar w:fldCharType="separate"/>
      </w:r>
      <w:r>
        <w:rPr>
          <w:rFonts w:hint="eastAsia"/>
          <w:color w:val="auto"/>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_Toc30935 \h </w:instrText>
      </w:r>
      <w:r>
        <w:rPr>
          <w:color w:val="auto"/>
          <w:highlight w:val="none"/>
        </w:rPr>
        <w:fldChar w:fldCharType="separate"/>
      </w:r>
      <w:r>
        <w:rPr>
          <w:color w:val="auto"/>
          <w:highlight w:val="none"/>
        </w:rPr>
        <w:t xml:space="preserve">82</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_Toc13215 </w:instrText>
      </w:r>
      <w:r>
        <w:rPr>
          <w:rFonts w:ascii="宋体" w:hAnsi="宋体"/>
          <w:color w:val="auto"/>
          <w:szCs w:val="24"/>
          <w:highlight w:val="none"/>
        </w:rPr>
        <w:fldChar w:fldCharType="separate"/>
      </w:r>
      <w:r>
        <w:rPr>
          <w:rFonts w:hint="eastAsia"/>
          <w:color w:val="auto"/>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_Toc13215 \h </w:instrText>
      </w:r>
      <w:r>
        <w:rPr>
          <w:color w:val="auto"/>
          <w:highlight w:val="none"/>
        </w:rPr>
        <w:fldChar w:fldCharType="separate"/>
      </w:r>
      <w:r>
        <w:rPr>
          <w:color w:val="auto"/>
          <w:highlight w:val="none"/>
        </w:rPr>
        <w:t xml:space="preserve">83</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_Toc17357 </w:instrText>
      </w:r>
      <w:r>
        <w:rPr>
          <w:rFonts w:ascii="宋体" w:hAnsi="宋体"/>
          <w:color w:val="auto"/>
          <w:szCs w:val="24"/>
          <w:highlight w:val="none"/>
        </w:rPr>
        <w:fldChar w:fldCharType="separate"/>
      </w:r>
      <w:r>
        <w:rPr>
          <w:rFonts w:hint="eastAsia"/>
          <w:color w:val="auto"/>
          <w:highlight w:val="none"/>
        </w:rPr>
        <w:t xml:space="preserve">五、开标一览表</w:t>
      </w:r>
      <w:r>
        <w:rPr>
          <w:color w:val="auto"/>
          <w:highlight w:val="none"/>
        </w:rPr>
        <w:tab/>
      </w:r>
      <w:r>
        <w:rPr>
          <w:color w:val="auto"/>
          <w:highlight w:val="none"/>
        </w:rPr>
        <w:fldChar w:fldCharType="begin"/>
      </w:r>
      <w:r>
        <w:rPr>
          <w:color w:val="auto"/>
          <w:highlight w:val="none"/>
        </w:rPr>
        <w:instrText xml:space="preserve"> PAGEREF _Toc17357 \h </w:instrText>
      </w:r>
      <w:r>
        <w:rPr>
          <w:color w:val="auto"/>
          <w:highlight w:val="none"/>
        </w:rPr>
        <w:fldChar w:fldCharType="separate"/>
      </w:r>
      <w:r>
        <w:rPr>
          <w:color w:val="auto"/>
          <w:highlight w:val="none"/>
        </w:rPr>
        <w:t xml:space="preserve">84</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_Toc5021 </w:instrText>
      </w:r>
      <w:r>
        <w:rPr>
          <w:rFonts w:ascii="宋体" w:hAnsi="宋体"/>
          <w:color w:val="auto"/>
          <w:szCs w:val="24"/>
          <w:highlight w:val="none"/>
        </w:rPr>
        <w:fldChar w:fldCharType="separate"/>
      </w:r>
      <w:r>
        <w:rPr>
          <w:rFonts w:hint="eastAsia"/>
          <w:color w:val="auto"/>
          <w:highlight w:val="none"/>
        </w:rPr>
        <w:t xml:space="preserve">六、投标报价明细表</w:t>
      </w:r>
      <w:r>
        <w:rPr>
          <w:color w:val="auto"/>
          <w:highlight w:val="none"/>
        </w:rPr>
        <w:tab/>
      </w:r>
      <w:r>
        <w:rPr>
          <w:color w:val="auto"/>
          <w:highlight w:val="none"/>
        </w:rPr>
        <w:fldChar w:fldCharType="begin"/>
      </w:r>
      <w:r>
        <w:rPr>
          <w:color w:val="auto"/>
          <w:highlight w:val="none"/>
        </w:rPr>
        <w:instrText xml:space="preserve"> PAGEREF _Toc5021 \h </w:instrText>
      </w:r>
      <w:r>
        <w:rPr>
          <w:color w:val="auto"/>
          <w:highlight w:val="none"/>
        </w:rPr>
        <w:fldChar w:fldCharType="separate"/>
      </w:r>
      <w:r>
        <w:rPr>
          <w:color w:val="auto"/>
          <w:highlight w:val="none"/>
        </w:rPr>
        <w:t xml:space="preserve">85</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_Toc7508 </w:instrText>
      </w:r>
      <w:r>
        <w:rPr>
          <w:rFonts w:ascii="宋体" w:hAnsi="宋体"/>
          <w:color w:val="auto"/>
          <w:szCs w:val="24"/>
          <w:highlight w:val="none"/>
        </w:rPr>
        <w:fldChar w:fldCharType="separate"/>
      </w:r>
      <w:r>
        <w:rPr>
          <w:rFonts w:hint="eastAsia"/>
          <w:color w:val="auto"/>
          <w:highlight w:val="none"/>
        </w:rPr>
        <w:t xml:space="preserve">七、中小企业声明函（服务）</w:t>
      </w:r>
      <w:r>
        <w:rPr>
          <w:color w:val="auto"/>
          <w:highlight w:val="none"/>
        </w:rPr>
        <w:tab/>
      </w:r>
      <w:r>
        <w:rPr>
          <w:color w:val="auto"/>
          <w:highlight w:val="none"/>
        </w:rPr>
        <w:fldChar w:fldCharType="begin"/>
      </w:r>
      <w:r>
        <w:rPr>
          <w:color w:val="auto"/>
          <w:highlight w:val="none"/>
        </w:rPr>
        <w:instrText xml:space="preserve"> PAGEREF _Toc7508 \h </w:instrText>
      </w:r>
      <w:r>
        <w:rPr>
          <w:color w:val="auto"/>
          <w:highlight w:val="none"/>
        </w:rPr>
        <w:fldChar w:fldCharType="separate"/>
      </w:r>
      <w:r>
        <w:rPr>
          <w:color w:val="auto"/>
          <w:highlight w:val="none"/>
        </w:rPr>
        <w:t xml:space="preserve">86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_Toc26157 </w:instrText>
      </w:r>
      <w:r>
        <w:rPr>
          <w:rFonts w:ascii="宋体" w:hAnsi="宋体"/>
          <w:color w:val="auto"/>
          <w:szCs w:val="24"/>
          <w:highlight w:val="none"/>
        </w:rPr>
        <w:fldChar w:fldCharType="separate"/>
      </w:r>
      <w:r>
        <w:rPr>
          <w:rFonts w:hint="eastAsia" w:eastAsia="黑体"/>
          <w:color w:val="auto"/>
          <w:szCs w:val="32"/>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_Toc26157 \h </w:instrText>
      </w:r>
      <w:r>
        <w:rPr>
          <w:color w:val="auto"/>
          <w:highlight w:val="none"/>
        </w:rPr>
        <w:fldChar w:fldCharType="separate"/>
      </w:r>
      <w:r>
        <w:rPr>
          <w:color w:val="auto"/>
          <w:highlight w:val="none"/>
        </w:rPr>
        <w:t xml:space="preserve">87</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_Toc9556 </w:instrText>
      </w:r>
      <w:r>
        <w:rPr>
          <w:rFonts w:ascii="宋体" w:hAnsi="宋体"/>
          <w:color w:val="auto"/>
          <w:szCs w:val="24"/>
          <w:highlight w:val="none"/>
        </w:rPr>
        <w:fldChar w:fldCharType="separate"/>
      </w:r>
      <w:r>
        <w:rPr>
          <w:rFonts w:hint="eastAsia"/>
          <w:color w:val="auto"/>
          <w:highlight w:val="none"/>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_Toc9556 \h </w:instrText>
      </w:r>
      <w:r>
        <w:rPr>
          <w:color w:val="auto"/>
          <w:highlight w:val="none"/>
        </w:rPr>
        <w:fldChar w:fldCharType="separate"/>
      </w:r>
      <w:r>
        <w:rPr>
          <w:color w:val="auto"/>
          <w:highlight w:val="none"/>
        </w:rPr>
        <w:t xml:space="preserve">88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_Toc30650 </w:instrText>
      </w:r>
      <w:r>
        <w:rPr>
          <w:rFonts w:ascii="宋体" w:hAnsi="宋体"/>
          <w:color w:val="auto"/>
          <w:szCs w:val="24"/>
          <w:highlight w:val="none"/>
        </w:rPr>
        <w:fldChar w:fldCharType="separate"/>
      </w:r>
      <w:r>
        <w:rPr>
          <w:rFonts w:hint="eastAsia"/>
          <w:color w:val="auto"/>
          <w:highlight w:val="none"/>
        </w:rPr>
        <w:t xml:space="preserve">九、</w:t>
      </w:r>
      <w:r>
        <w:rPr>
          <w:color w:val="auto"/>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_Toc30650 \h </w:instrText>
      </w:r>
      <w:r>
        <w:rPr>
          <w:color w:val="auto"/>
          <w:highlight w:val="none"/>
        </w:rPr>
        <w:fldChar w:fldCharType="separate"/>
      </w:r>
      <w:r>
        <w:rPr>
          <w:color w:val="auto"/>
          <w:highlight w:val="none"/>
        </w:rPr>
        <w:t xml:space="preserve">89</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_Toc31278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_Toc31278 \h </w:instrText>
      </w:r>
      <w:r>
        <w:rPr>
          <w:color w:val="auto"/>
          <w:highlight w:val="none"/>
        </w:rPr>
        <w:fldChar w:fldCharType="separate"/>
      </w:r>
      <w:r>
        <w:rPr>
          <w:color w:val="auto"/>
          <w:highlight w:val="none"/>
        </w:rPr>
        <w:t xml:space="preserve">90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_Toc19023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_Toc19023 \h </w:instrText>
      </w:r>
      <w:r>
        <w:rPr>
          <w:color w:val="auto"/>
          <w:highlight w:val="none"/>
        </w:rPr>
        <w:fldChar w:fldCharType="separate"/>
      </w:r>
      <w:r>
        <w:rPr>
          <w:color w:val="auto"/>
          <w:highlight w:val="none"/>
        </w:rPr>
        <w:t xml:space="preserve">91</w:t>
      </w:r>
      <w:r>
        <w:rPr>
          <w:color w:val="auto"/>
          <w:highlight w:val="none"/>
        </w:rPr>
        <w:fldChar w:fldCharType="end"/>
      </w:r>
      <w:r>
        <w:rPr>
          <w:rFonts w:ascii="宋体" w:hAnsi="宋体"/>
          <w:color w:val="auto"/>
          <w:szCs w:val="24"/>
          <w:highlight w:val="none"/>
        </w:rPr>
        <w:fldChar w:fldCharType="end"/>
      </w:r>
      <w:r/>
    </w:p>
    <w:p>
      <w:pPr>
        <w:jc w:val="center"/>
        <w:spacing w:line="480" w:lineRule="auto"/>
        <w:rPr>
          <w:rFonts w:hint="eastAsia"/>
          <w:color w:val="auto"/>
          <w:highlight w:val="none"/>
        </w:rPr>
        <w:outlineLvl w:val="0"/>
      </w:pPr>
      <w:r>
        <w:rPr>
          <w:rFonts w:ascii="宋体" w:hAnsi="宋体"/>
          <w:color w:val="auto"/>
          <w:szCs w:val="24"/>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bookmarkEnd w:id="0"/>
      <w:r/>
    </w:p>
    <w:p>
      <w:pPr>
        <w:pStyle w:val="960"/>
        <w:rPr>
          <w:rFonts w:hint="eastAsia" w:ascii="Times New Roman" w:eastAsia="黑体"/>
          <w:color w:val="auto"/>
          <w:sz w:val="44"/>
          <w:szCs w:val="44"/>
          <w:highlight w:val="none"/>
        </w:rPr>
      </w:pPr>
      <w:r/>
      <w:bookmarkStart w:id="6" w:name="_Toc20746"/>
      <w:r>
        <w:rPr>
          <w:rFonts w:hint="eastAsia" w:ascii="Times New Roman" w:eastAsia="黑体"/>
          <w:color w:val="auto"/>
          <w:sz w:val="44"/>
          <w:szCs w:val="44"/>
          <w:highlight w:val="none"/>
        </w:rPr>
        <w:t xml:space="preserve">第一章  投标邀请</w:t>
      </w:r>
      <w:bookmarkEnd w:id="6"/>
      <w:r/>
      <w:r/>
    </w:p>
    <w:p>
      <w:pPr>
        <w:ind w:firstLine="480"/>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］就［</w:t>
      </w:r>
      <w:r>
        <w:rPr>
          <w:rFonts w:hint="eastAsia"/>
          <w:color w:val="auto"/>
          <w:sz w:val="24"/>
          <w:szCs w:val="24"/>
          <w:highlight w:val="none"/>
          <w:lang w:eastAsia="zh-CN"/>
        </w:rPr>
        <w:t xml:space="preserve">2026-2029年宿豫区道路环卫保洁市场化服务项目</w:t>
      </w:r>
      <w:r>
        <w:rPr>
          <w:rFonts w:hint="eastAsia"/>
          <w:color w:val="auto"/>
          <w:sz w:val="24"/>
          <w:szCs w:val="24"/>
          <w:highlight w:val="none"/>
        </w:rPr>
        <w:t xml:space="preserve">］（［SZC-321311-HCCG-G2026-0024］）进行公开招标采购，欢迎符合条件的投标人投标。</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lang w:eastAsia="zh-CN"/>
        </w:rPr>
        <w:t xml:space="preserve">2026-2029年宿豫区道路环卫保洁市场化服务项目</w:t>
      </w:r>
      <w:r>
        <w:rPr>
          <w:rFonts w:hint="eastAsia"/>
          <w:color w:val="auto"/>
          <w:sz w:val="24"/>
          <w:szCs w:val="24"/>
          <w:highlight w:val="none"/>
        </w:rPr>
        <w:t xml:space="preserve">的潜在投标人可在</w:t>
      </w:r>
      <w:r>
        <w:rPr>
          <w:rFonts w:hint="eastAsia"/>
          <w:color w:val="auto"/>
          <w:sz w:val="24"/>
          <w:szCs w:val="24"/>
          <w:highlight w:val="none"/>
          <w:u w:val="single"/>
        </w:rPr>
        <w:t xml:space="preserve">“宿迁市政府采购网”自行免费下载</w:t>
      </w:r>
      <w:r>
        <w:rPr>
          <w:rFonts w:hint="eastAsia"/>
          <w:color w:val="auto"/>
          <w:sz w:val="24"/>
          <w:szCs w:val="24"/>
          <w:highlight w:val="none"/>
        </w:rPr>
        <w:t xml:space="preserve">招标文件，并于</w:t>
      </w:r>
      <w:r>
        <w:rPr>
          <w:rFonts w:hint="eastAsia"/>
          <w:color w:val="auto"/>
          <w:sz w:val="24"/>
          <w:szCs w:val="24"/>
          <w:highlight w:val="none"/>
          <w:u w:val="single"/>
        </w:rPr>
        <w:t xml:space="preserve">202</w:t>
      </w:r>
      <w:r>
        <w:rPr>
          <w:rFonts w:hint="eastAsia"/>
          <w:color w:val="auto"/>
          <w:sz w:val="24"/>
          <w:szCs w:val="24"/>
          <w:highlight w:val="none"/>
          <w:u w:val="single"/>
          <w:lang w:val="en-US" w:eastAsia="zh-CN"/>
        </w:rPr>
        <w:t xml:space="preserve">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06</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24</w:t>
      </w:r>
      <w:r>
        <w:rPr>
          <w:rFonts w:hint="eastAsia"/>
          <w:bCs/>
          <w:color w:val="auto"/>
          <w:sz w:val="24"/>
          <w:szCs w:val="24"/>
          <w:highlight w:val="none"/>
          <w:u w:val="single"/>
        </w:rPr>
        <w:t xml:space="preserve">日09点</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0分（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 </w:t>
      </w:r>
      <w:r/>
    </w:p>
    <w:p>
      <w:pPr>
        <w:pStyle w:val="962"/>
        <w:ind w:firstLine="467"/>
        <w:spacing w:before="0" w:after="0" w:line="560" w:lineRule="exact"/>
        <w:rPr>
          <w:color w:val="auto"/>
          <w:sz w:val="30"/>
          <w:szCs w:val="30"/>
          <w:highlight w:val="none"/>
        </w:rPr>
      </w:pPr>
      <w:r/>
      <w:bookmarkStart w:id="7" w:name="_Toc38985263"/>
      <w:r/>
      <w:bookmarkStart w:id="8" w:name="_Toc35393790"/>
      <w:r/>
      <w:bookmarkStart w:id="9" w:name="_Toc28359002"/>
      <w:r/>
      <w:bookmarkStart w:id="10" w:name="_Toc26456"/>
      <w:r/>
      <w:bookmarkStart w:id="11" w:name="_Toc158281540"/>
      <w:r/>
      <w:bookmarkStart w:id="12" w:name="_Toc35393621"/>
      <w:r/>
      <w:bookmarkStart w:id="13" w:name="_Toc28359079"/>
      <w:r/>
      <w:bookmarkStart w:id="14" w:name="_Hlk24379207"/>
      <w:r>
        <w:rPr>
          <w:rFonts w:hint="eastAsia"/>
          <w:color w:val="auto"/>
          <w:sz w:val="30"/>
          <w:szCs w:val="30"/>
          <w:highlight w:val="none"/>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1.项目编号：SZC-321311-HCCG-G2026-0024</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4"/>
      <w:r>
        <w:rPr>
          <w:rFonts w:hint="eastAsia"/>
          <w:color w:val="auto"/>
          <w:sz w:val="24"/>
          <w:szCs w:val="24"/>
          <w:highlight w:val="none"/>
          <w:lang w:eastAsia="zh-CN"/>
        </w:rPr>
        <w:t xml:space="preserve">2026-2029年宿豫区道路环卫保洁市场化服务项目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3.预算金额：</w:t>
      </w:r>
      <w:r>
        <w:rPr>
          <w:rFonts w:hint="eastAsia"/>
          <w:color w:val="auto"/>
          <w:sz w:val="24"/>
          <w:szCs w:val="24"/>
          <w:highlight w:val="none"/>
          <w:lang w:val="en-US" w:eastAsia="zh-CN"/>
        </w:rPr>
        <w:t xml:space="preserve">10000</w:t>
      </w:r>
      <w:r>
        <w:rPr>
          <w:rFonts w:hint="eastAsia"/>
          <w:color w:val="auto"/>
          <w:sz w:val="24"/>
          <w:szCs w:val="24"/>
          <w:highlight w:val="none"/>
        </w:rPr>
        <w:t xml:space="preserve">万元</w:t>
      </w:r>
      <w:r/>
    </w:p>
    <w:p>
      <w:pPr>
        <w:ind w:firstLine="602"/>
        <w:spacing w:line="560" w:lineRule="exact"/>
        <w:rPr>
          <w:rFonts w:hint="eastAsia"/>
          <w:b/>
          <w:color w:val="auto"/>
          <w:sz w:val="24"/>
          <w:szCs w:val="24"/>
          <w:highlight w:val="none"/>
        </w:rPr>
      </w:pPr>
      <w:r>
        <w:rPr>
          <w:rFonts w:hint="eastAsia"/>
          <w:b/>
          <w:color w:val="auto"/>
          <w:sz w:val="24"/>
          <w:szCs w:val="24"/>
          <w:highlight w:val="none"/>
        </w:rPr>
        <w:t xml:space="preserve">4.本项目最高限价：</w:t>
      </w:r>
      <w:r>
        <w:rPr>
          <w:rFonts w:hint="eastAsia"/>
          <w:b/>
          <w:color w:val="auto"/>
          <w:sz w:val="24"/>
          <w:szCs w:val="24"/>
          <w:highlight w:val="none"/>
          <w:lang w:val="en-US" w:eastAsia="zh-CN"/>
        </w:rPr>
        <w:t xml:space="preserve">9600</w:t>
      </w:r>
      <w:r>
        <w:rPr>
          <w:rFonts w:hint="eastAsia"/>
          <w:b/>
          <w:color w:val="auto"/>
          <w:sz w:val="24"/>
          <w:szCs w:val="24"/>
          <w:highlight w:val="none"/>
        </w:rPr>
        <w:t xml:space="preserve">万元</w:t>
      </w:r>
      <w:r>
        <w:rPr>
          <w:rFonts w:hint="eastAsia"/>
          <w:b/>
          <w:color w:val="auto"/>
          <w:sz w:val="24"/>
          <w:szCs w:val="24"/>
          <w:highlight w:val="none"/>
          <w:lang w:eastAsia="zh-CN"/>
        </w:rPr>
        <w:t xml:space="preserve">，高于此限价作无效标处理</w:t>
      </w:r>
      <w:r>
        <w:rPr>
          <w:rFonts w:hint="eastAsia"/>
          <w:b/>
          <w:color w:val="auto"/>
          <w:sz w:val="24"/>
          <w:szCs w:val="24"/>
          <w:highlight w:val="none"/>
        </w:rPr>
        <w:t xml:space="preserve">。</w:t>
      </w:r>
      <w:r/>
    </w:p>
    <w:p>
      <w:pPr>
        <w:ind w:firstLine="600"/>
        <w:spacing w:line="560" w:lineRule="exact"/>
        <w:rPr>
          <w:color w:val="auto"/>
          <w:sz w:val="24"/>
          <w:szCs w:val="24"/>
          <w:highlight w:val="none"/>
        </w:rPr>
      </w:pPr>
      <w:r>
        <w:rPr>
          <w:rFonts w:hint="eastAsia"/>
          <w:color w:val="auto"/>
          <w:sz w:val="24"/>
          <w:szCs w:val="24"/>
          <w:highlight w:val="none"/>
        </w:rPr>
        <w:t xml:space="preserve">5.采购需求（简介）：</w:t>
      </w:r>
      <w:bookmarkStart w:id="15" w:name="EB08d11d6981c74f1abf64ad122e32ebee"/>
      <w:r>
        <w:rPr>
          <w:rFonts w:hint="eastAsia"/>
          <w:color w:val="auto"/>
          <w:sz w:val="24"/>
          <w:szCs w:val="24"/>
          <w:highlight w:val="none"/>
        </w:rPr>
        <w:t xml:space="preserve">针</w:t>
      </w:r>
      <w:bookmarkEnd w:id="15"/>
      <w:r>
        <w:rPr>
          <w:rFonts w:hint="eastAsia"/>
          <w:color w:val="auto"/>
          <w:sz w:val="24"/>
          <w:szCs w:val="24"/>
          <w:highlight w:val="none"/>
          <w:lang w:val="en-US" w:eastAsia="zh-CN"/>
        </w:rPr>
        <w:t xml:space="preserve">对</w:t>
      </w:r>
      <w:r>
        <w:rPr>
          <w:rFonts w:hint="eastAsia" w:ascii="宋体" w:hAnsi="宋体"/>
          <w:b w:val="0"/>
          <w:bCs/>
          <w:color w:val="auto"/>
          <w:sz w:val="24"/>
          <w:szCs w:val="24"/>
          <w:highlight w:val="none"/>
          <w:lang w:eastAsia="zh-CN"/>
        </w:rPr>
        <w:t xml:space="preserve">2026-2029年宿豫区道路环卫保洁市场化服务项目；主要内容包括：道路环卫保洁、中转站运维、</w:t>
      </w:r>
      <w:r>
        <w:rPr>
          <w:rFonts w:hint="eastAsia" w:ascii="宋体" w:hAnsi="宋体"/>
          <w:b w:val="0"/>
          <w:bCs/>
          <w:color w:val="auto"/>
          <w:sz w:val="24"/>
          <w:szCs w:val="24"/>
          <w:highlight w:val="none"/>
          <w:lang w:val="en-US" w:eastAsia="zh-CN"/>
        </w:rPr>
        <w:t xml:space="preserve">垃圾清运、</w:t>
      </w:r>
      <w:r>
        <w:rPr>
          <w:rFonts w:hint="eastAsia" w:ascii="宋体" w:hAnsi="宋体"/>
          <w:b w:val="0"/>
          <w:bCs/>
          <w:color w:val="auto"/>
          <w:sz w:val="24"/>
          <w:szCs w:val="24"/>
          <w:highlight w:val="none"/>
          <w:lang w:eastAsia="zh-CN"/>
        </w:rPr>
        <w:t xml:space="preserve">公厕管理、</w:t>
      </w:r>
      <w:r>
        <w:rPr>
          <w:rFonts w:hint="eastAsia" w:ascii="宋体" w:hAnsi="宋体"/>
          <w:b w:val="0"/>
          <w:bCs/>
          <w:color w:val="auto"/>
          <w:sz w:val="24"/>
          <w:szCs w:val="24"/>
          <w:highlight w:val="none"/>
          <w:lang w:val="en-US" w:eastAsia="zh-CN"/>
        </w:rPr>
        <w:t xml:space="preserve">水面清扫保洁等</w:t>
      </w:r>
      <w:r>
        <w:rPr>
          <w:rFonts w:hint="eastAsia" w:ascii="宋体" w:hAnsi="宋体"/>
          <w:b w:val="0"/>
          <w:bCs/>
          <w:color w:val="auto"/>
          <w:sz w:val="24"/>
          <w:szCs w:val="24"/>
          <w:highlight w:val="none"/>
          <w:lang w:eastAsia="zh-CN"/>
        </w:rPr>
        <w:t xml:space="preserve">。</w:t>
      </w:r>
      <w:r>
        <w:rPr>
          <w:rFonts w:hint="eastAsia" w:ascii="宋体" w:hAnsi="宋体" w:eastAsia="宋体" w:cs="宋体"/>
          <w:b w:val="0"/>
          <w:bCs/>
          <w:color w:val="auto"/>
          <w:sz w:val="24"/>
          <w:szCs w:val="22"/>
          <w:highlight w:val="none"/>
        </w:rPr>
        <w:t xml:space="preserve">详见招标文件第四部分采购需求。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6.合同履行期限：</w:t>
      </w:r>
      <w:bookmarkStart w:id="16" w:name="EBb920db3eebc44049b2d27a5203bb6f6d"/>
      <w:r>
        <w:rPr>
          <w:rFonts w:hint="eastAsia"/>
          <w:color w:val="auto"/>
          <w:sz w:val="24"/>
          <w:szCs w:val="24"/>
          <w:highlight w:val="none"/>
          <w:lang w:val="en-US" w:eastAsia="zh-CN"/>
        </w:rPr>
        <w:t xml:space="preserve">三</w:t>
      </w:r>
      <w:r>
        <w:rPr>
          <w:rFonts w:hint="eastAsia"/>
          <w:color w:val="auto"/>
          <w:sz w:val="24"/>
          <w:szCs w:val="24"/>
          <w:highlight w:val="none"/>
          <w:lang w:eastAsia="zh-CN"/>
        </w:rPr>
        <w:t xml:space="preserve">年，自合同签订之日起至项目完成</w:t>
      </w:r>
      <w:r>
        <w:rPr>
          <w:rFonts w:hint="eastAsia"/>
          <w:color w:val="auto"/>
          <w:sz w:val="24"/>
          <w:szCs w:val="24"/>
          <w:highlight w:val="none"/>
        </w:rPr>
        <w:t xml:space="preserve">。</w:t>
      </w:r>
      <w:bookmarkEnd w:id="16"/>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不接</w:t>
      </w:r>
      <w:r>
        <w:rPr>
          <w:rFonts w:hint="eastAsia"/>
          <w:color w:val="auto"/>
          <w:sz w:val="24"/>
          <w:szCs w:val="24"/>
          <w:highlight w:val="none"/>
          <w:u w:val="single"/>
          <w:lang w:eastAsia="zh-CN"/>
        </w:rPr>
        <w:t xml:space="preserve">受</w:t>
      </w:r>
      <w:r>
        <w:rPr>
          <w:rFonts w:hint="eastAsia"/>
          <w:color w:val="auto"/>
          <w:sz w:val="24"/>
          <w:szCs w:val="24"/>
          <w:highlight w:val="none"/>
        </w:rPr>
        <w:t xml:space="preserve">联合体投标。</w:t>
      </w:r>
      <w:r/>
    </w:p>
    <w:p>
      <w:pPr>
        <w:pStyle w:val="962"/>
        <w:ind w:firstLine="467"/>
        <w:spacing w:before="0" w:after="0" w:line="560" w:lineRule="exact"/>
        <w:rPr>
          <w:color w:val="auto"/>
          <w:sz w:val="30"/>
          <w:szCs w:val="30"/>
          <w:highlight w:val="none"/>
        </w:rPr>
      </w:pPr>
      <w:r/>
      <w:bookmarkStart w:id="17" w:name="_Toc28359003"/>
      <w:r/>
      <w:bookmarkStart w:id="18" w:name="_Toc158281541"/>
      <w:r/>
      <w:bookmarkStart w:id="19" w:name="_Toc35393791"/>
      <w:r/>
      <w:bookmarkStart w:id="20" w:name="_Toc35393622"/>
      <w:r/>
      <w:bookmarkStart w:id="21" w:name="_Toc24612"/>
      <w:r/>
      <w:bookmarkStart w:id="22" w:name="_Toc28359080"/>
      <w:r/>
      <w:bookmarkStart w:id="23" w:name="_Toc38985264"/>
      <w:r>
        <w:rPr>
          <w:rFonts w:hint="eastAsia"/>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600"/>
        <w:spacing w:line="560" w:lineRule="exact"/>
        <w:rPr>
          <w:rFonts w:hint="eastAsia"/>
          <w:color w:val="auto"/>
          <w:sz w:val="24"/>
          <w:szCs w:val="24"/>
          <w:highlight w:val="none"/>
        </w:rPr>
      </w:pPr>
      <w:r/>
      <w:bookmarkStart w:id="24" w:name="_Toc38985265"/>
      <w:r/>
      <w:bookmarkStart w:id="25" w:name="_Toc28359004"/>
      <w:r/>
      <w:bookmarkStart w:id="26" w:name="_Toc28359081"/>
      <w:r/>
      <w:bookmarkStart w:id="27" w:name="_Toc35393623"/>
      <w:r/>
      <w:bookmarkStart w:id="28" w:name="_Toc35393792"/>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3.落实政府采购政策需满足的资格要求：投标人提供的货物、工程或者服务符合规定情形的，对小微企业报价给予</w:t>
      </w:r>
      <w:r>
        <w:rPr>
          <w:rFonts w:hint="eastAsia"/>
          <w:color w:val="auto"/>
          <w:sz w:val="24"/>
          <w:szCs w:val="24"/>
          <w:highlight w:val="none"/>
          <w:lang w:val="en-US" w:eastAsia="zh-CN"/>
        </w:rPr>
        <w:t xml:space="preserve">15</w:t>
      </w:r>
      <w:r>
        <w:rPr>
          <w:rFonts w:hint="eastAsia"/>
          <w:color w:val="auto"/>
          <w:sz w:val="24"/>
          <w:szCs w:val="24"/>
          <w:highlight w:val="none"/>
        </w:rPr>
        <w:t xml:space="preserve">%（工程项目为5%）扣除，用扣除后的价格参加评审。</w:t>
      </w:r>
      <w:r/>
    </w:p>
    <w:p>
      <w:pPr>
        <w:ind w:firstLine="480"/>
        <w:spacing w:line="500" w:lineRule="exact"/>
        <w:rPr>
          <w:rFonts w:hint="eastAsia"/>
          <w:bCs/>
          <w:color w:val="auto"/>
          <w:sz w:val="24"/>
          <w:szCs w:val="24"/>
          <w:highlight w:val="none"/>
        </w:rPr>
      </w:pPr>
      <w:r>
        <w:rPr>
          <w:rFonts w:hint="eastAsia"/>
          <w:color w:val="auto"/>
          <w:sz w:val="24"/>
          <w:szCs w:val="24"/>
          <w:highlight w:val="none"/>
        </w:rPr>
        <w:t xml:space="preserve">（二）</w:t>
      </w:r>
      <w:r>
        <w:rPr>
          <w:rFonts w:hint="eastAsia"/>
          <w:b/>
          <w:color w:val="auto"/>
          <w:sz w:val="24"/>
          <w:szCs w:val="24"/>
          <w:highlight w:val="none"/>
        </w:rPr>
        <w:t xml:space="preserve">本项目的特定资格要求：</w:t>
      </w:r>
      <w:bookmarkStart w:id="29" w:name="_Toc158281542"/>
      <w:r>
        <w:rPr>
          <w:rFonts w:hint="eastAsia"/>
          <w:b/>
          <w:color w:val="auto"/>
          <w:sz w:val="24"/>
          <w:szCs w:val="24"/>
          <w:highlight w:val="none"/>
        </w:rPr>
        <w:t xml:space="preserve">无</w:t>
      </w:r>
      <w:r>
        <w:rPr>
          <w:rFonts w:hint="eastAsia"/>
          <w:bCs/>
          <w:color w:val="auto"/>
          <w:sz w:val="24"/>
          <w:szCs w:val="24"/>
          <w:highlight w:val="none"/>
        </w:rPr>
        <w:t xml:space="preserve">。</w:t>
      </w:r>
      <w:r/>
    </w:p>
    <w:p>
      <w:pPr>
        <w:pStyle w:val="962"/>
        <w:ind w:firstLine="467"/>
        <w:spacing w:before="0" w:after="0" w:line="560" w:lineRule="exact"/>
        <w:rPr>
          <w:color w:val="auto"/>
          <w:sz w:val="30"/>
          <w:szCs w:val="30"/>
          <w:highlight w:val="none"/>
        </w:rPr>
      </w:pPr>
      <w:r/>
      <w:bookmarkStart w:id="30" w:name="_Toc4812"/>
      <w:r>
        <w:rPr>
          <w:rFonts w:hint="eastAsia"/>
          <w:color w:val="auto"/>
          <w:sz w:val="30"/>
          <w:szCs w:val="30"/>
          <w:highlight w:val="none"/>
        </w:rPr>
        <w:t xml:space="preserve">三、获取招标文件</w:t>
      </w:r>
      <w:bookmarkEnd w:id="24"/>
      <w:r/>
      <w:bookmarkEnd w:id="25"/>
      <w:r/>
      <w:bookmarkEnd w:id="26"/>
      <w:r/>
      <w:bookmarkEnd w:id="27"/>
      <w:r/>
      <w:bookmarkEnd w:id="28"/>
      <w:r/>
      <w:bookmarkEnd w:id="29"/>
      <w:r/>
      <w:bookmarkEnd w:id="30"/>
      <w:r/>
      <w:r/>
    </w:p>
    <w:p>
      <w:pPr>
        <w:ind w:firstLine="600"/>
        <w:spacing w:line="560" w:lineRule="exact"/>
        <w:rPr>
          <w:rFonts w:hint="eastAsia"/>
          <w:color w:val="auto"/>
          <w:sz w:val="24"/>
          <w:szCs w:val="24"/>
          <w:highlight w:val="none"/>
        </w:rPr>
      </w:pPr>
      <w:r/>
      <w:bookmarkStart w:id="31" w:name="_Toc28359005"/>
      <w:r/>
      <w:bookmarkStart w:id="32" w:name="_Toc28359082"/>
      <w:r/>
      <w:bookmarkStart w:id="33" w:name="_Toc38985266"/>
      <w:r/>
      <w:bookmarkStart w:id="34" w:name="_Toc35393624"/>
      <w:r/>
      <w:bookmarkStart w:id="35" w:name="_Toc35393793"/>
      <w:r>
        <w:rPr>
          <w:rFonts w:hint="eastAsia"/>
          <w:color w:val="auto"/>
          <w:sz w:val="24"/>
          <w:szCs w:val="24"/>
          <w:highlight w:val="none"/>
        </w:rPr>
        <w:t xml:space="preserve">1.时间：202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3</w:t>
      </w:r>
      <w:r>
        <w:rPr>
          <w:rFonts w:hint="eastAsia"/>
          <w:color w:val="auto"/>
          <w:sz w:val="24"/>
          <w:szCs w:val="24"/>
          <w:highlight w:val="none"/>
        </w:rPr>
        <w:t xml:space="preserve">日至</w:t>
      </w:r>
      <w:bookmarkStart w:id="36" w:name="EB4a82fe30d91a48338ebb02b9012d939c"/>
      <w:r>
        <w:rPr>
          <w:rFonts w:hint="eastAsia"/>
          <w:color w:val="auto"/>
          <w:sz w:val="24"/>
          <w:szCs w:val="24"/>
          <w:highlight w:val="none"/>
        </w:rPr>
        <w:t xml:space="preserve">202</w:t>
      </w:r>
      <w:bookmarkEnd w:id="36"/>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17:30</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auto"/>
          <w:sz w:val="24"/>
          <w:szCs w:val="24"/>
          <w:highlight w:val="none"/>
        </w:rPr>
      </w:pPr>
      <w:r/>
      <w:bookmarkStart w:id="37" w:name="EB0c44ff4da61f4af989d119fe214be450"/>
      <w:r>
        <w:rPr>
          <w:rFonts w:hint="eastAsia"/>
          <w:color w:val="auto"/>
          <w:sz w:val="24"/>
          <w:szCs w:val="24"/>
          <w:highlight w:val="none"/>
        </w:rPr>
        <w:t xml:space="preserve">3.本项目共分一个包。投标人未按要求获取招标文件导致无法投标的，后果自负（其投标文件不予接受）。</w:t>
      </w:r>
      <w:bookmarkEnd w:id="37"/>
      <w:r/>
      <w:r/>
    </w:p>
    <w:p>
      <w:pPr>
        <w:pStyle w:val="962"/>
        <w:ind w:firstLine="467"/>
        <w:spacing w:before="0" w:after="0" w:line="560" w:lineRule="exact"/>
        <w:rPr>
          <w:color w:val="auto"/>
          <w:sz w:val="30"/>
          <w:szCs w:val="30"/>
          <w:highlight w:val="none"/>
        </w:rPr>
      </w:pPr>
      <w:r/>
      <w:bookmarkStart w:id="38" w:name="_Toc29468"/>
      <w:r/>
      <w:bookmarkStart w:id="39" w:name="_Toc158281543"/>
      <w:r>
        <w:rPr>
          <w:rFonts w:hint="eastAsia"/>
          <w:color w:val="auto"/>
          <w:sz w:val="30"/>
          <w:szCs w:val="30"/>
          <w:highlight w:val="none"/>
        </w:rPr>
        <w:t xml:space="preserve">四、提交投标文件</w:t>
      </w:r>
      <w:bookmarkEnd w:id="31"/>
      <w:r/>
      <w:bookmarkEnd w:id="32"/>
      <w:r>
        <w:rPr>
          <w:rFonts w:hint="eastAsia"/>
          <w:color w:val="auto"/>
          <w:sz w:val="30"/>
          <w:szCs w:val="30"/>
          <w:highlight w:val="none"/>
        </w:rPr>
        <w:t xml:space="preserve">截止时间、开标时间和地点</w:t>
      </w:r>
      <w:bookmarkEnd w:id="33"/>
      <w:r/>
      <w:bookmarkEnd w:id="34"/>
      <w:r/>
      <w:bookmarkEnd w:id="35"/>
      <w:r/>
      <w:bookmarkEnd w:id="38"/>
      <w:r/>
      <w:bookmarkEnd w:id="39"/>
      <w:r/>
      <w:r/>
    </w:p>
    <w:p>
      <w:pPr>
        <w:ind w:firstLine="600"/>
        <w:spacing w:line="560" w:lineRule="exact"/>
        <w:rPr>
          <w:color w:val="auto"/>
          <w:sz w:val="24"/>
          <w:szCs w:val="24"/>
          <w:highlight w:val="none"/>
        </w:rPr>
      </w:pPr>
      <w:r>
        <w:rPr>
          <w:rFonts w:hint="eastAsia"/>
          <w:color w:val="auto"/>
          <w:sz w:val="24"/>
          <w:szCs w:val="24"/>
          <w:highlight w:val="none"/>
        </w:rPr>
        <w:t xml:space="preserve">1.提交投标文件截止时间、开标时间：202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24</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点</w:t>
      </w:r>
      <w:r>
        <w:rPr>
          <w:rFonts w:hint="eastAsia"/>
          <w:color w:val="auto"/>
          <w:sz w:val="24"/>
          <w:szCs w:val="24"/>
          <w:highlight w:val="none"/>
          <w:lang w:val="en-US" w:eastAsia="zh-CN"/>
        </w:rPr>
        <w:t xml:space="preserve">3</w:t>
      </w:r>
      <w:r>
        <w:rPr>
          <w:rFonts w:hint="eastAsia"/>
          <w:color w:val="auto"/>
          <w:sz w:val="24"/>
          <w:szCs w:val="24"/>
          <w:highlight w:val="none"/>
        </w:rPr>
        <w:t xml:space="preserve">0分（北京时间）</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2.地点：“苏采云”政府采购交易系统网上开标大厅。</w:t>
      </w:r>
      <w:r/>
    </w:p>
    <w:p>
      <w:pPr>
        <w:pStyle w:val="962"/>
        <w:ind w:firstLine="467"/>
        <w:spacing w:before="0" w:after="0" w:line="560" w:lineRule="exact"/>
        <w:rPr>
          <w:color w:val="auto"/>
          <w:sz w:val="30"/>
          <w:szCs w:val="30"/>
          <w:highlight w:val="none"/>
        </w:rPr>
      </w:pPr>
      <w:r/>
      <w:bookmarkStart w:id="40" w:name="_Toc15106"/>
      <w:r/>
      <w:bookmarkStart w:id="41" w:name="_Toc38985267"/>
      <w:r/>
      <w:bookmarkStart w:id="42" w:name="_Toc35393625"/>
      <w:r/>
      <w:bookmarkStart w:id="43" w:name="_Toc28359084"/>
      <w:r/>
      <w:bookmarkStart w:id="44" w:name="_Toc28359007"/>
      <w:r/>
      <w:bookmarkStart w:id="45" w:name="_Toc158281544"/>
      <w:r/>
      <w:bookmarkStart w:id="46" w:name="_Toc35393794"/>
      <w:r>
        <w:rPr>
          <w:rFonts w:hint="eastAsia"/>
          <w:color w:val="auto"/>
          <w:sz w:val="30"/>
          <w:szCs w:val="30"/>
          <w:highlight w:val="none"/>
        </w:rPr>
        <w:t xml:space="preserve">五、公告期限</w:t>
      </w:r>
      <w:bookmarkEnd w:id="40"/>
      <w:r/>
      <w:bookmarkEnd w:id="41"/>
      <w:r/>
      <w:bookmarkEnd w:id="42"/>
      <w:r/>
      <w:bookmarkEnd w:id="43"/>
      <w:r/>
      <w:bookmarkEnd w:id="44"/>
      <w:r/>
      <w:bookmarkEnd w:id="45"/>
      <w:r/>
      <w:bookmarkEnd w:id="46"/>
      <w:r/>
      <w:r/>
    </w:p>
    <w:p>
      <w:pPr>
        <w:ind w:firstLine="600"/>
        <w:spacing w:line="560" w:lineRule="exact"/>
        <w:rPr>
          <w:color w:val="auto"/>
          <w:sz w:val="24"/>
          <w:szCs w:val="24"/>
          <w:highlight w:val="none"/>
        </w:rPr>
      </w:pPr>
      <w:r/>
      <w:bookmarkStart w:id="47" w:name="_Toc35393795"/>
      <w:r/>
      <w:bookmarkStart w:id="48" w:name="_Toc38985268"/>
      <w:r/>
      <w:bookmarkStart w:id="49" w:name="_Toc35393626"/>
      <w:r>
        <w:rPr>
          <w:rFonts w:hint="eastAsia"/>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962"/>
        <w:ind w:firstLine="467"/>
        <w:spacing w:before="0" w:after="0" w:line="560" w:lineRule="exact"/>
        <w:rPr>
          <w:color w:val="auto"/>
          <w:sz w:val="30"/>
          <w:szCs w:val="30"/>
          <w:highlight w:val="none"/>
        </w:rPr>
      </w:pPr>
      <w:r/>
      <w:bookmarkStart w:id="50" w:name="_Toc29629"/>
      <w:r/>
      <w:bookmarkStart w:id="51" w:name="_Toc158281545"/>
      <w:r>
        <w:rPr>
          <w:rFonts w:hint="eastAsia"/>
          <w:color w:val="auto"/>
          <w:sz w:val="30"/>
          <w:szCs w:val="30"/>
          <w:highlight w:val="none"/>
        </w:rPr>
        <w:t xml:space="preserve">六、其他补充事宜</w:t>
      </w:r>
      <w:bookmarkEnd w:id="47"/>
      <w:r/>
      <w:bookmarkEnd w:id="48"/>
      <w:r/>
      <w:bookmarkEnd w:id="49"/>
      <w:r/>
      <w:bookmarkEnd w:id="50"/>
      <w:r/>
      <w:bookmarkEnd w:id="51"/>
      <w:r/>
      <w:r/>
    </w:p>
    <w:p>
      <w:pPr>
        <w:ind w:firstLine="600"/>
        <w:spacing w:line="560" w:lineRule="exact"/>
        <w:rPr>
          <w:rFonts w:hint="eastAsia"/>
          <w:color w:val="auto"/>
          <w:sz w:val="24"/>
          <w:szCs w:val="24"/>
          <w:highlight w:val="none"/>
        </w:rPr>
      </w:pPr>
      <w:r/>
      <w:bookmarkStart w:id="52" w:name="EB64e1f522fd8c43fcb4d3ba471386b3e7"/>
      <w:r/>
      <w:bookmarkStart w:id="53" w:name="_Toc28359008"/>
      <w:r/>
      <w:bookmarkStart w:id="54" w:name="_Toc28359085"/>
      <w:r/>
      <w:bookmarkStart w:id="55" w:name="_Toc35393627"/>
      <w:r/>
      <w:bookmarkStart w:id="56" w:name="_Toc38985269"/>
      <w:r/>
      <w:bookmarkStart w:id="57" w:name="_Toc35393796"/>
      <w:r>
        <w:rPr>
          <w:rFonts w:hint="eastAsia"/>
          <w:color w:val="auto"/>
          <w:sz w:val="24"/>
          <w:highlight w:val="none"/>
        </w:rPr>
        <w:t xml:space="preserve">1</w:t>
      </w:r>
      <w:r>
        <w:rPr>
          <w:rFonts w:hint="eastAsia"/>
          <w:color w:val="auto"/>
          <w:sz w:val="24"/>
          <w:szCs w:val="24"/>
          <w:highlight w:val="none"/>
        </w:rPr>
        <w:t xml:space="preserve">.财政部门监督电话：0527-84465519。</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3.宿迁地区“苏采云”技术支持客服电话：0527-84225125、0519-86722806。</w:t>
      </w:r>
      <w:r/>
    </w:p>
    <w:p>
      <w:pPr>
        <w:ind w:firstLine="600"/>
        <w:spacing w:line="560" w:lineRule="exact"/>
        <w:rPr>
          <w:color w:val="auto"/>
          <w:sz w:val="24"/>
          <w:szCs w:val="24"/>
          <w:highlight w:val="none"/>
        </w:rPr>
      </w:pPr>
      <w:r>
        <w:rPr>
          <w:rFonts w:hint="eastAsia"/>
          <w:color w:val="auto"/>
          <w:sz w:val="24"/>
          <w:szCs w:val="24"/>
          <w:highlight w:val="none"/>
        </w:rPr>
        <w:t xml:space="preserve">4.如果投标人通过苏采云系统参与政府采购项目，相关操作手册详见链接：http://www.ccgp-jiangsu.gov.cn/jiangsu/zlxz/ee/ee3a4bc5a3454aa2b0d9312230633ce9.html</w:t>
      </w:r>
      <w:bookmarkEnd w:id="52"/>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5.现场勘察及答疑：本项目不组织集中勘察及答疑，投标人如对采购需求有疑问，请咨询采购单位联系人。 </w:t>
      </w:r>
      <w:r/>
    </w:p>
    <w:p>
      <w:pPr>
        <w:pStyle w:val="962"/>
        <w:ind w:firstLine="498"/>
        <w:spacing w:before="0" w:after="0" w:line="560" w:lineRule="exact"/>
        <w:rPr>
          <w:color w:val="auto"/>
          <w:highlight w:val="none"/>
        </w:rPr>
      </w:pPr>
      <w:r/>
      <w:bookmarkStart w:id="58" w:name="_Toc30578"/>
      <w:r/>
      <w:bookmarkStart w:id="59" w:name="_Toc158281546"/>
      <w:r>
        <w:rPr>
          <w:rFonts w:hint="eastAsia"/>
          <w:color w:val="auto"/>
          <w:highlight w:val="none"/>
        </w:rPr>
        <w:t xml:space="preserve">七、</w:t>
      </w:r>
      <w:r>
        <w:rPr>
          <w:rFonts w:hint="eastAsia"/>
          <w:color w:val="auto"/>
          <w:sz w:val="30"/>
          <w:szCs w:val="30"/>
          <w:highlight w:val="none"/>
        </w:rPr>
        <w:t xml:space="preserve">本次招标联系方式</w:t>
      </w:r>
      <w:bookmarkEnd w:id="53"/>
      <w:r/>
      <w:bookmarkEnd w:id="54"/>
      <w:r/>
      <w:bookmarkEnd w:id="55"/>
      <w:r/>
      <w:bookmarkEnd w:id="56"/>
      <w:r/>
      <w:bookmarkEnd w:id="57"/>
      <w:r/>
      <w:bookmarkEnd w:id="58"/>
      <w:r/>
      <w:bookmarkEnd w:id="59"/>
      <w:r/>
      <w:r/>
    </w:p>
    <w:p>
      <w:pPr>
        <w:ind w:firstLine="480"/>
        <w:spacing w:line="500" w:lineRule="exact"/>
        <w:rPr>
          <w:rFonts w:hint="eastAsia" w:ascii="方正仿宋_GBK" w:hAnsi="方正仿宋_GBK" w:cs="方正仿宋_GBK"/>
          <w:color w:val="auto"/>
          <w:sz w:val="24"/>
          <w:highlight w:val="none"/>
          <w:lang w:bidi="ar"/>
        </w:rPr>
      </w:pPr>
      <w:r/>
      <w:bookmarkStart w:id="60" w:name="_Toc158281547"/>
      <w:r>
        <w:rPr>
          <w:rFonts w:hint="eastAsia" w:ascii="方正仿宋_GBK" w:hAnsi="方正仿宋_GBK" w:cs="方正仿宋_GBK"/>
          <w:color w:val="auto"/>
          <w:sz w:val="24"/>
          <w:highlight w:val="none"/>
          <w:lang w:bidi="ar"/>
        </w:rPr>
        <w:t xml:space="preserve">1.采购人信息</w:t>
      </w:r>
      <w:r/>
    </w:p>
    <w:p>
      <w:pPr>
        <w:ind w:firstLine="480"/>
        <w:spacing w:line="500" w:lineRule="exact"/>
        <w:rPr>
          <w:rFonts w:hint="eastAsia" w:ascii="方正仿宋_GBK" w:hAnsi="方正仿宋_GBK" w:eastAsia="宋体" w:cs="方正仿宋_GBK"/>
          <w:color w:val="auto"/>
          <w:sz w:val="24"/>
          <w:highlight w:val="none"/>
          <w:lang w:eastAsia="zh-CN" w:bidi="ar"/>
        </w:rPr>
      </w:pPr>
      <w:r>
        <w:rPr>
          <w:rFonts w:hint="eastAsia" w:ascii="方正仿宋_GBK" w:hAnsi="方正仿宋_GBK" w:cs="方正仿宋_GBK"/>
          <w:color w:val="auto"/>
          <w:sz w:val="24"/>
          <w:highlight w:val="none"/>
          <w:lang w:bidi="ar"/>
        </w:rPr>
        <w:t xml:space="preserve">名称：</w:t>
      </w:r>
      <w:r>
        <w:rPr>
          <w:rFonts w:hint="eastAsia" w:ascii="方正仿宋_GBK" w:hAnsi="方正仿宋_GBK" w:cs="方正仿宋_GBK"/>
          <w:color w:val="auto"/>
          <w:sz w:val="24"/>
          <w:highlight w:val="none"/>
          <w:lang w:eastAsia="zh-CN" w:bidi="ar"/>
        </w:rPr>
        <w:t xml:space="preserve">宿迁市宿豫区城市管理局</w:t>
      </w:r>
      <w:r/>
    </w:p>
    <w:p>
      <w:pPr>
        <w:ind w:firstLine="480"/>
        <w:spacing w:line="500" w:lineRule="exact"/>
        <w:rPr>
          <w:rFonts w:hint="default" w:ascii="方正仿宋_GBK" w:hAnsi="方正仿宋_GBK" w:cs="方正仿宋_GBK"/>
          <w:color w:val="auto"/>
          <w:sz w:val="24"/>
          <w:highlight w:val="none"/>
          <w:lang w:val="en-US" w:bidi="ar"/>
        </w:rPr>
      </w:pPr>
      <w:r>
        <w:rPr>
          <w:rFonts w:hint="eastAsia" w:ascii="方正仿宋_GBK" w:hAnsi="方正仿宋_GBK" w:cs="方正仿宋_GBK"/>
          <w:color w:val="auto"/>
          <w:sz w:val="24"/>
          <w:highlight w:val="none"/>
          <w:lang w:bidi="ar"/>
        </w:rPr>
        <w:t xml:space="preserve">地址：</w:t>
      </w:r>
      <w:r>
        <w:rPr>
          <w:rFonts w:hint="eastAsia" w:ascii="方正仿宋_GBK" w:hAnsi="方正仿宋_GBK" w:cs="方正仿宋_GBK"/>
          <w:color w:val="auto"/>
          <w:sz w:val="24"/>
          <w:highlight w:val="none"/>
          <w:lang w:eastAsia="zh-CN" w:bidi="ar"/>
        </w:rPr>
        <w:t xml:space="preserve">宿迁市宿豫区</w:t>
      </w:r>
      <w:r>
        <w:rPr>
          <w:rFonts w:hint="eastAsia" w:ascii="方正仿宋_GBK" w:hAnsi="方正仿宋_GBK" w:cs="方正仿宋_GBK"/>
          <w:color w:val="auto"/>
          <w:sz w:val="24"/>
          <w:highlight w:val="none"/>
          <w:lang w:val="en-US" w:eastAsia="zh-CN" w:bidi="ar"/>
        </w:rPr>
        <w:t xml:space="preserve">湘江路30号</w:t>
      </w:r>
      <w:r/>
    </w:p>
    <w:p>
      <w:pPr>
        <w:ind w:firstLine="480"/>
        <w:spacing w:line="500" w:lineRule="exact"/>
        <w:rPr>
          <w:rFonts w:hint="eastAsia" w:ascii="方正仿宋_GBK" w:hAnsi="方正仿宋_GBK" w:cs="方正仿宋_GBK"/>
          <w:color w:val="auto"/>
          <w:sz w:val="24"/>
          <w:highlight w:val="none"/>
          <w:lang w:val="en-US" w:eastAsia="zh-CN" w:bidi="ar"/>
        </w:rPr>
      </w:pPr>
      <w:r>
        <w:rPr>
          <w:rFonts w:hint="eastAsia" w:ascii="方正仿宋_GBK" w:hAnsi="方正仿宋_GBK" w:cs="方正仿宋_GBK"/>
          <w:color w:val="auto"/>
          <w:sz w:val="24"/>
          <w:highlight w:val="none"/>
          <w:lang w:bidi="ar"/>
        </w:rPr>
        <w:t xml:space="preserve">联系人：</w:t>
      </w:r>
      <w:r>
        <w:rPr>
          <w:rFonts w:hint="eastAsia" w:ascii="方正仿宋_GBK" w:hAnsi="方正仿宋_GBK" w:cs="方正仿宋_GBK"/>
          <w:color w:val="auto"/>
          <w:sz w:val="24"/>
          <w:highlight w:val="none"/>
          <w:lang w:val="en-US" w:eastAsia="zh-CN" w:bidi="ar"/>
        </w:rPr>
        <w:t xml:space="preserve">高群</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84468852</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2.采购代理机构信息</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名称：江苏鸿成工程项目管理有限公司</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地址：宿豫区金融财富中心C座14楼</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81238009</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3.项目联系方式</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项目联系人：魏晓娜</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电话：15996788237</w:t>
      </w:r>
      <w:r/>
    </w:p>
    <w:p>
      <w:pPr>
        <w:pStyle w:val="962"/>
        <w:ind w:firstLine="467"/>
        <w:spacing w:before="0" w:after="0" w:line="560" w:lineRule="exact"/>
        <w:rPr>
          <w:color w:val="auto"/>
          <w:sz w:val="30"/>
          <w:szCs w:val="30"/>
          <w:highlight w:val="none"/>
        </w:rPr>
      </w:pPr>
      <w:r/>
      <w:bookmarkStart w:id="61" w:name="_Toc1299"/>
      <w:r>
        <w:rPr>
          <w:rFonts w:hint="eastAsia"/>
          <w:color w:val="auto"/>
          <w:sz w:val="30"/>
          <w:szCs w:val="30"/>
          <w:highlight w:val="none"/>
        </w:rPr>
        <w:t xml:space="preserve">八、其他</w:t>
      </w:r>
      <w:bookmarkEnd w:id="60"/>
      <w:r/>
      <w:bookmarkEnd w:id="61"/>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960"/>
        <w:rPr>
          <w:rFonts w:hint="eastAsia" w:ascii="Times New Roman" w:eastAsia="黑体"/>
          <w:b/>
          <w:bCs/>
          <w:color w:val="auto"/>
          <w:highlight w:val="none"/>
        </w:rPr>
      </w:pPr>
      <w:r/>
      <w:bookmarkStart w:id="62" w:name="_Toc120614211"/>
      <w:r>
        <w:rPr>
          <w:rFonts w:hint="eastAsia" w:ascii="Times New Roman" w:eastAsia="黑体"/>
          <w:color w:val="auto"/>
          <w:highlight w:val="none"/>
        </w:rPr>
        <w:br w:type="page" w:clear="all"/>
      </w:r>
      <w:bookmarkStart w:id="63" w:name="_Toc27300"/>
      <w:r>
        <w:rPr>
          <w:rFonts w:hint="eastAsia" w:ascii="Times New Roman" w:eastAsia="黑体"/>
          <w:color w:val="auto"/>
          <w:sz w:val="44"/>
          <w:szCs w:val="44"/>
          <w:highlight w:val="none"/>
        </w:rPr>
        <w:t xml:space="preserve">第二章  </w:t>
      </w:r>
      <w:bookmarkEnd w:id="1"/>
      <w:r/>
      <w:bookmarkEnd w:id="2"/>
      <w:r/>
      <w:bookmarkEnd w:id="3"/>
      <w:r/>
      <w:bookmarkEnd w:id="4"/>
      <w:r/>
      <w:bookmarkEnd w:id="5"/>
      <w:r/>
      <w:bookmarkEnd w:id="62"/>
      <w:r/>
      <w:bookmarkStart w:id="64" w:name="_Toc120614213"/>
      <w:r/>
      <w:bookmarkStart w:id="65" w:name="_Toc16938518"/>
      <w:r/>
      <w:bookmarkStart w:id="66" w:name="_Toc20823274"/>
      <w:r/>
      <w:bookmarkStart w:id="67" w:name="_Toc513029202"/>
      <w:r>
        <w:rPr>
          <w:rFonts w:hint="eastAsia" w:ascii="Times New Roman" w:eastAsia="黑体"/>
          <w:color w:val="auto"/>
          <w:sz w:val="44"/>
          <w:szCs w:val="44"/>
          <w:highlight w:val="none"/>
        </w:rPr>
        <w:t xml:space="preserve">投标人须知</w:t>
      </w:r>
      <w:bookmarkEnd w:id="63"/>
      <w:r/>
      <w:bookmarkEnd w:id="64"/>
      <w:r/>
      <w:bookmarkEnd w:id="65"/>
      <w:r/>
      <w:bookmarkEnd w:id="66"/>
      <w:r/>
      <w:bookmarkEnd w:id="67"/>
      <w:r/>
      <w:r/>
    </w:p>
    <w:p>
      <w:pPr>
        <w:pStyle w:val="962"/>
        <w:ind w:firstLine="498"/>
        <w:spacing w:before="0" w:after="0" w:line="560" w:lineRule="exact"/>
        <w:rPr>
          <w:rFonts w:hint="eastAsia"/>
          <w:color w:val="auto"/>
          <w:highlight w:val="none"/>
        </w:rPr>
      </w:pPr>
      <w:r/>
      <w:bookmarkStart w:id="68" w:name="_Toc513029203"/>
      <w:r/>
      <w:bookmarkStart w:id="69" w:name="_Toc16938519"/>
      <w:r/>
      <w:bookmarkStart w:id="70" w:name="_Toc20823275"/>
      <w:r/>
      <w:bookmarkStart w:id="71" w:name="_Toc158281549"/>
      <w:r/>
      <w:bookmarkStart w:id="72" w:name="_Toc17539"/>
      <w:r/>
      <w:bookmarkStart w:id="73" w:name="_Toc120614214"/>
      <w:r>
        <w:rPr>
          <w:rFonts w:hint="eastAsia"/>
          <w:color w:val="auto"/>
          <w:highlight w:val="none"/>
        </w:rPr>
        <w:t xml:space="preserve">一、总则</w:t>
      </w:r>
      <w:bookmarkEnd w:id="68"/>
      <w:r/>
      <w:bookmarkEnd w:id="69"/>
      <w:r/>
      <w:bookmarkEnd w:id="70"/>
      <w:r/>
      <w:bookmarkEnd w:id="71"/>
      <w:r/>
      <w:bookmarkEnd w:id="72"/>
      <w:r/>
      <w:bookmarkEnd w:id="73"/>
      <w:r/>
      <w:r/>
    </w:p>
    <w:p>
      <w:pPr>
        <w:pStyle w:val="963"/>
        <w:ind w:firstLine="420"/>
        <w:spacing w:before="0" w:after="0" w:line="560" w:lineRule="exact"/>
        <w:rPr>
          <w:rFonts w:hint="eastAsia" w:ascii="Times New Roman" w:hAnsi="Times New Roman"/>
          <w:b w:val="0"/>
          <w:bCs w:val="0"/>
          <w:color w:val="auto"/>
          <w:highlight w:val="none"/>
        </w:rPr>
      </w:pPr>
      <w:r/>
      <w:bookmarkStart w:id="74" w:name="_Hlt16619475"/>
      <w:r/>
      <w:bookmarkEnd w:id="74"/>
      <w:r/>
      <w:bookmarkStart w:id="75" w:name="_Toc458694821"/>
      <w:r/>
      <w:bookmarkStart w:id="76" w:name="_Toc20823276"/>
      <w:r/>
      <w:bookmarkStart w:id="77" w:name="_Toc513029204"/>
      <w:r/>
      <w:bookmarkStart w:id="78" w:name="_Toc16938520"/>
      <w:r>
        <w:rPr>
          <w:rFonts w:hint="eastAsia" w:ascii="Times New Roman" w:hAnsi="Times New Roman"/>
          <w:b w:val="0"/>
          <w:bCs w:val="0"/>
          <w:color w:val="auto"/>
          <w:highlight w:val="none"/>
        </w:rPr>
        <w:t xml:space="preserve">1</w:t>
      </w:r>
      <w:bookmarkEnd w:id="75"/>
      <w:r>
        <w:rPr>
          <w:rFonts w:hint="eastAsia" w:ascii="Times New Roman" w:hAnsi="Times New Roman"/>
          <w:b w:val="0"/>
          <w:bCs w:val="0"/>
          <w:color w:val="auto"/>
          <w:highlight w:val="none"/>
        </w:rPr>
        <w:t xml:space="preserve">、招标方式</w:t>
      </w:r>
      <w:bookmarkEnd w:id="76"/>
      <w:r/>
      <w:bookmarkEnd w:id="77"/>
      <w:r/>
      <w:bookmarkEnd w:id="78"/>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963"/>
        <w:ind w:firstLine="420"/>
        <w:spacing w:before="0" w:after="0" w:line="560" w:lineRule="exact"/>
        <w:rPr>
          <w:rFonts w:hint="eastAsia" w:ascii="Times New Roman" w:hAnsi="Times New Roman"/>
          <w:b w:val="0"/>
          <w:bCs w:val="0"/>
          <w:color w:val="auto"/>
          <w:highlight w:val="none"/>
        </w:rPr>
      </w:pPr>
      <w:r/>
      <w:bookmarkStart w:id="79" w:name="_Toc16938521"/>
      <w:r/>
      <w:bookmarkStart w:id="80" w:name="_Toc20823277"/>
      <w:r/>
      <w:bookmarkStart w:id="81" w:name="_Toc513029205"/>
      <w:r>
        <w:rPr>
          <w:rFonts w:hint="eastAsia" w:ascii="Times New Roman" w:hAnsi="Times New Roman"/>
          <w:b w:val="0"/>
          <w:bCs w:val="0"/>
          <w:color w:val="auto"/>
          <w:highlight w:val="none"/>
        </w:rPr>
        <w:t xml:space="preserve">2、合格的投标人</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963"/>
        <w:ind w:firstLine="420"/>
        <w:spacing w:before="0" w:after="0" w:line="560" w:lineRule="exact"/>
        <w:rPr>
          <w:rFonts w:hint="eastAsia" w:ascii="Times New Roman" w:hAnsi="Times New Roman"/>
          <w:b w:val="0"/>
          <w:bCs w:val="0"/>
          <w:color w:val="auto"/>
          <w:highlight w:val="none"/>
        </w:rPr>
      </w:pPr>
      <w:r/>
      <w:bookmarkStart w:id="82" w:name="_Toc20823278"/>
      <w:r/>
      <w:bookmarkStart w:id="83" w:name="_Toc513029206"/>
      <w:r/>
      <w:bookmarkStart w:id="84" w:name="_Toc16938522"/>
      <w:r>
        <w:rPr>
          <w:rFonts w:hint="eastAsia" w:ascii="Times New Roman" w:hAnsi="Times New Roman"/>
          <w:b w:val="0"/>
          <w:bCs w:val="0"/>
          <w:color w:val="auto"/>
          <w:highlight w:val="none"/>
        </w:rPr>
        <w:t xml:space="preserve">3、适用法律</w:t>
      </w:r>
      <w:bookmarkEnd w:id="82"/>
      <w:r/>
      <w:bookmarkEnd w:id="83"/>
      <w:r/>
      <w:bookmarkEnd w:id="84"/>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963"/>
        <w:ind w:firstLine="420"/>
        <w:spacing w:before="0" w:after="0" w:line="560" w:lineRule="exact"/>
        <w:rPr>
          <w:rFonts w:hint="eastAsia" w:ascii="Times New Roman" w:hAnsi="Times New Roman"/>
          <w:b w:val="0"/>
          <w:bCs w:val="0"/>
          <w:color w:val="auto"/>
          <w:highlight w:val="none"/>
        </w:rPr>
      </w:pPr>
      <w:r/>
      <w:bookmarkStart w:id="85" w:name="_Toc16938523"/>
      <w:r/>
      <w:bookmarkStart w:id="86" w:name="_Toc513029207"/>
      <w:r/>
      <w:bookmarkStart w:id="87" w:name="_Toc20823279"/>
      <w:r/>
      <w:bookmarkStart w:id="88" w:name="_Toc462564067"/>
      <w:r>
        <w:rPr>
          <w:rFonts w:hint="eastAsia" w:ascii="Times New Roman" w:hAnsi="Times New Roman"/>
          <w:b w:val="0"/>
          <w:bCs w:val="0"/>
          <w:color w:val="auto"/>
          <w:highlight w:val="none"/>
        </w:rPr>
        <w:t xml:space="preserve">4、投标费用</w:t>
      </w:r>
      <w:bookmarkEnd w:id="85"/>
      <w:r/>
      <w:bookmarkEnd w:id="86"/>
      <w:r/>
      <w:bookmarkEnd w:id="87"/>
      <w:r/>
      <w:bookmarkEnd w:id="88"/>
      <w:r/>
      <w:r/>
    </w:p>
    <w:p>
      <w:pPr>
        <w:ind w:firstLine="480"/>
        <w:spacing w:line="560" w:lineRule="exact"/>
        <w:rPr>
          <w:rFonts w:hint="eastAsia"/>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u w:val="single"/>
          <w:lang w:eastAsia="zh-CN"/>
        </w:rPr>
        <w:t xml:space="preserve">江苏鸿成工程项目管理有限公司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（2）</w:t>
      </w:r>
      <w:r>
        <w:rPr>
          <w:rFonts w:hint="eastAsia"/>
          <w:color w:val="auto"/>
          <w:sz w:val="24"/>
          <w:highlight w:val="none"/>
        </w:rPr>
        <w:t xml:space="preserve">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（1）无需支付；</w:t>
      </w:r>
      <w:r/>
    </w:p>
    <w:p>
      <w:pPr>
        <w:ind w:firstLine="480"/>
        <w:spacing w:line="560" w:lineRule="exact"/>
        <w:rPr>
          <w:color w:val="auto"/>
          <w:sz w:val="24"/>
          <w:highlight w:val="none"/>
          <w:lang w:val="zh-CN"/>
        </w:rPr>
      </w:pPr>
      <w:r>
        <w:rPr>
          <w:rFonts w:hint="eastAsia"/>
          <w:color w:val="auto"/>
          <w:sz w:val="24"/>
          <w:highlight w:val="none"/>
          <w:lang w:val="zh-CN"/>
        </w:rPr>
        <w:t xml:space="preserve">（2）具体方式及标准为：</w:t>
      </w:r>
      <w:r>
        <w:rPr>
          <w:rFonts w:hint="eastAsia"/>
          <w:color w:val="auto"/>
          <w:sz w:val="24"/>
          <w:highlight w:val="none"/>
          <w:lang w:val="en-US" w:eastAsia="zh-CN"/>
        </w:rPr>
        <w:t xml:space="preserve">由采购人支付，</w:t>
      </w:r>
      <w:r>
        <w:rPr>
          <w:rFonts w:hint="eastAsia"/>
          <w:color w:val="auto"/>
          <w:sz w:val="24"/>
          <w:highlight w:val="none"/>
          <w:lang w:val="zh-CN"/>
        </w:rPr>
        <w:t xml:space="preserve">按苏招协【</w:t>
      </w:r>
      <w:r>
        <w:rPr>
          <w:rFonts w:hint="eastAsia"/>
          <w:color w:val="auto"/>
          <w:sz w:val="24"/>
          <w:highlight w:val="none"/>
        </w:rPr>
        <w:t xml:space="preserve">2022</w:t>
      </w:r>
      <w:r>
        <w:rPr>
          <w:rFonts w:hint="eastAsia"/>
          <w:color w:val="auto"/>
          <w:sz w:val="24"/>
          <w:highlight w:val="none"/>
          <w:lang w:val="zh-CN"/>
        </w:rPr>
        <w:t xml:space="preserve">】</w:t>
      </w:r>
      <w:r>
        <w:rPr>
          <w:rFonts w:hint="eastAsia"/>
          <w:color w:val="auto"/>
          <w:sz w:val="24"/>
          <w:highlight w:val="none"/>
        </w:rPr>
        <w:t xml:space="preserve">002号</w:t>
      </w:r>
      <w:r>
        <w:rPr>
          <w:rFonts w:hint="eastAsia"/>
          <w:color w:val="auto"/>
          <w:sz w:val="24"/>
          <w:highlight w:val="none"/>
          <w:lang w:val="zh-CN"/>
        </w:rPr>
        <w:t xml:space="preserve">文件规定标准</w:t>
      </w:r>
      <w:r>
        <w:rPr>
          <w:rFonts w:hint="eastAsia"/>
          <w:color w:val="auto"/>
          <w:sz w:val="24"/>
          <w:highlight w:val="none"/>
          <w:lang w:val="en-US" w:eastAsia="zh-CN"/>
        </w:rPr>
        <w:t xml:space="preserve">56.85%</w:t>
      </w:r>
      <w:r>
        <w:rPr>
          <w:rFonts w:hint="eastAsia"/>
          <w:color w:val="auto"/>
          <w:sz w:val="24"/>
          <w:highlight w:val="none"/>
          <w:lang w:val="zh-CN"/>
        </w:rPr>
        <w:t xml:space="preserve">向采购代理机构支付代理服务费、评审费。支付方式可以通过转账或数字人民币等方式。</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5、招标文件的约束力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962"/>
        <w:ind w:firstLine="321"/>
        <w:spacing w:before="0" w:after="0" w:line="560" w:lineRule="exact"/>
        <w:rPr>
          <w:rFonts w:hint="eastAsia"/>
          <w:color w:val="auto"/>
          <w:highlight w:val="none"/>
        </w:rPr>
      </w:pPr>
      <w:r/>
      <w:bookmarkStart w:id="89" w:name="_Toc16938525"/>
      <w:r/>
      <w:bookmarkStart w:id="90" w:name="_Toc158281550"/>
      <w:r/>
      <w:bookmarkStart w:id="91" w:name="_Toc120614215"/>
      <w:r/>
      <w:bookmarkStart w:id="92" w:name="_Toc13665"/>
      <w:r/>
      <w:bookmarkStart w:id="93" w:name="_Toc513029209"/>
      <w:r/>
      <w:bookmarkStart w:id="94" w:name="_Toc20823281"/>
      <w:r>
        <w:rPr>
          <w:rFonts w:hint="eastAsia"/>
          <w:color w:val="auto"/>
          <w:highlight w:val="none"/>
        </w:rPr>
        <w:t xml:space="preserve">二、招标文件</w:t>
      </w:r>
      <w:bookmarkEnd w:id="89"/>
      <w:r/>
      <w:bookmarkEnd w:id="90"/>
      <w:r/>
      <w:bookmarkEnd w:id="91"/>
      <w:r/>
      <w:bookmarkEnd w:id="92"/>
      <w:r/>
      <w:bookmarkEnd w:id="93"/>
      <w:r/>
      <w:bookmarkEnd w:id="94"/>
      <w:r/>
      <w:r/>
    </w:p>
    <w:p>
      <w:pPr>
        <w:pStyle w:val="963"/>
        <w:ind w:firstLine="420"/>
        <w:spacing w:before="0" w:after="0" w:line="560" w:lineRule="exact"/>
        <w:rPr>
          <w:rFonts w:hint="eastAsia" w:ascii="Times New Roman" w:hAnsi="Times New Roman"/>
          <w:b w:val="0"/>
          <w:bCs w:val="0"/>
          <w:color w:val="auto"/>
          <w:highlight w:val="none"/>
        </w:rPr>
      </w:pPr>
      <w:r/>
      <w:bookmarkStart w:id="95" w:name="_Toc513029210"/>
      <w:r/>
      <w:bookmarkStart w:id="96" w:name="_Toc16938526"/>
      <w:r/>
      <w:bookmarkStart w:id="97" w:name="_Toc20823282"/>
      <w:r>
        <w:rPr>
          <w:rFonts w:hint="eastAsia" w:ascii="Times New Roman" w:hAnsi="Times New Roman"/>
          <w:b w:val="0"/>
          <w:bCs w:val="0"/>
          <w:color w:val="auto"/>
          <w:highlight w:val="none"/>
        </w:rPr>
        <w:t xml:space="preserve">6、招标文件构成</w:t>
      </w:r>
      <w:bookmarkEnd w:id="95"/>
      <w:r/>
      <w:bookmarkEnd w:id="96"/>
      <w:r/>
      <w:bookmarkEnd w:id="97"/>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（2）投标人须知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3"/>
        <w:ind w:firstLine="560"/>
        <w:spacing w:before="0" w:after="0" w:line="560" w:lineRule="exact"/>
        <w:rPr>
          <w:rFonts w:hint="eastAsia" w:ascii="Times New Roman" w:hAnsi="Times New Roman"/>
          <w:b w:val="0"/>
          <w:bCs w:val="0"/>
          <w:color w:val="auto"/>
          <w:highlight w:val="none"/>
        </w:rPr>
      </w:pPr>
      <w:r/>
      <w:bookmarkStart w:id="98" w:name="_Toc462564070"/>
      <w:r/>
      <w:bookmarkStart w:id="99" w:name="_Toc20823283"/>
      <w:r/>
      <w:bookmarkStart w:id="100" w:name="_Toc513029211"/>
      <w:r/>
      <w:bookmarkStart w:id="101" w:name="_Toc16938527"/>
      <w:r>
        <w:rPr>
          <w:rFonts w:hint="eastAsia" w:ascii="Times New Roman" w:hAnsi="Times New Roman"/>
          <w:b w:val="0"/>
          <w:bCs w:val="0"/>
          <w:color w:val="auto"/>
          <w:highlight w:val="none"/>
        </w:rPr>
        <w:t xml:space="preserve">7、招标文件的澄清</w:t>
      </w:r>
      <w:bookmarkEnd w:id="98"/>
      <w:r/>
      <w:bookmarkEnd w:id="99"/>
      <w:r/>
      <w:bookmarkEnd w:id="100"/>
      <w:r/>
      <w:bookmarkEnd w:id="101"/>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highlight w:val="none"/>
        </w:rPr>
        <w:t xml:space="preserve">十日</w:t>
      </w:r>
      <w:r>
        <w:rPr>
          <w:rFonts w:hint="eastAsia"/>
          <w:color w:val="auto"/>
          <w:sz w:val="24"/>
          <w:highlight w:val="none"/>
        </w:rPr>
        <w:t xml:space="preserve">前按招标公告中的通讯地址，以书面形式通知采购代理机构。</w:t>
      </w:r>
      <w:r/>
    </w:p>
    <w:p>
      <w:pPr>
        <w:pStyle w:val="963"/>
        <w:ind w:firstLine="560"/>
        <w:spacing w:before="0" w:after="0" w:line="560" w:lineRule="exact"/>
        <w:rPr>
          <w:rFonts w:hint="eastAsia" w:ascii="Times New Roman" w:hAnsi="Times New Roman"/>
          <w:b w:val="0"/>
          <w:bCs w:val="0"/>
          <w:color w:val="auto"/>
          <w:highlight w:val="none"/>
        </w:rPr>
      </w:pPr>
      <w:r/>
      <w:bookmarkStart w:id="102" w:name="_Toc16938528"/>
      <w:r/>
      <w:bookmarkStart w:id="103" w:name="_Toc20823284"/>
      <w:r/>
      <w:bookmarkStart w:id="104" w:name="_Toc462564071"/>
      <w:r/>
      <w:bookmarkStart w:id="105" w:name="_Toc513029212"/>
      <w:r>
        <w:rPr>
          <w:rFonts w:hint="eastAsia" w:ascii="Times New Roman" w:hAnsi="Times New Roman"/>
          <w:b w:val="0"/>
          <w:bCs w:val="0"/>
          <w:color w:val="auto"/>
          <w:highlight w:val="none"/>
        </w:rPr>
        <w:t xml:space="preserve">8、招标文件的修改</w:t>
      </w:r>
      <w:bookmarkEnd w:id="102"/>
      <w:r/>
      <w:bookmarkEnd w:id="103"/>
      <w:r/>
      <w:bookmarkEnd w:id="104"/>
      <w:r/>
      <w:bookmarkEnd w:id="105"/>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w:t>
      </w:r>
      <w:r>
        <w:rPr>
          <w:rFonts w:hint="eastAsia"/>
          <w:bCs/>
          <w:color w:val="auto"/>
          <w:sz w:val="24"/>
          <w:highlight w:val="none"/>
          <w:lang w:eastAsia="zh-CN"/>
        </w:rPr>
        <w:t xml:space="preserve">间之</w:t>
      </w:r>
      <w:r>
        <w:rPr>
          <w:rFonts w:hint="eastAsia"/>
          <w:bCs/>
          <w:color w:val="auto"/>
          <w:sz w:val="24"/>
          <w:highlight w:val="none"/>
        </w:rPr>
        <w:t xml:space="preserve">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62"/>
        <w:ind w:firstLine="482"/>
        <w:spacing w:before="0" w:after="0" w:line="560" w:lineRule="exact"/>
        <w:rPr>
          <w:rFonts w:hint="eastAsia"/>
          <w:color w:val="auto"/>
          <w:highlight w:val="none"/>
        </w:rPr>
      </w:pPr>
      <w:r/>
      <w:bookmarkStart w:id="106" w:name="_Toc462564072"/>
      <w:r/>
      <w:bookmarkStart w:id="107" w:name="_Toc16938529"/>
      <w:r/>
      <w:bookmarkStart w:id="108" w:name="_Toc120614216"/>
      <w:r/>
      <w:bookmarkStart w:id="109" w:name="_Toc19654"/>
      <w:r/>
      <w:bookmarkStart w:id="110" w:name="_Toc20823285"/>
      <w:r/>
      <w:bookmarkStart w:id="111" w:name="_Toc158281551"/>
      <w:r/>
      <w:bookmarkStart w:id="112" w:name="_Toc513029213"/>
      <w:r>
        <w:rPr>
          <w:rFonts w:hint="eastAsia"/>
          <w:color w:val="auto"/>
          <w:highlight w:val="none"/>
        </w:rPr>
        <w:t xml:space="preserve">三、投标文件的编制</w:t>
      </w:r>
      <w:bookmarkEnd w:id="106"/>
      <w:r/>
      <w:bookmarkEnd w:id="107"/>
      <w:r/>
      <w:bookmarkEnd w:id="108"/>
      <w:r/>
      <w:bookmarkEnd w:id="109"/>
      <w:r/>
      <w:bookmarkEnd w:id="110"/>
      <w:r/>
      <w:bookmarkEnd w:id="111"/>
      <w:r/>
      <w:bookmarkEnd w:id="112"/>
      <w:r/>
      <w:r/>
    </w:p>
    <w:p>
      <w:pPr>
        <w:pStyle w:val="963"/>
        <w:ind w:firstLine="560"/>
        <w:spacing w:before="0" w:after="0" w:line="560" w:lineRule="exact"/>
        <w:rPr>
          <w:rFonts w:hint="eastAsia" w:ascii="Times New Roman" w:hAnsi="Times New Roman"/>
          <w:bCs w:val="0"/>
          <w:color w:val="auto"/>
          <w:highlight w:val="none"/>
        </w:rPr>
      </w:pPr>
      <w:r/>
      <w:bookmarkStart w:id="113" w:name="_Toc513029214"/>
      <w:r/>
      <w:bookmarkStart w:id="114" w:name="_Toc20823286"/>
      <w:r/>
      <w:bookmarkStart w:id="115" w:name="_Toc462564073"/>
      <w:r/>
      <w:bookmarkStart w:id="116" w:name="_Toc16938530"/>
      <w:r>
        <w:rPr>
          <w:rFonts w:hint="eastAsia" w:ascii="Times New Roman" w:hAnsi="Times New Roman"/>
          <w:b w:val="0"/>
          <w:bCs w:val="0"/>
          <w:color w:val="auto"/>
          <w:highlight w:val="none"/>
        </w:rPr>
        <w:t xml:space="preserve">9、投标文件的语言及度量衡单位</w:t>
      </w:r>
      <w:bookmarkEnd w:id="113"/>
      <w:r/>
      <w:bookmarkEnd w:id="114"/>
      <w:r/>
      <w:bookmarkEnd w:id="115"/>
      <w:r/>
      <w:bookmarkEnd w:id="116"/>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963"/>
        <w:ind w:firstLine="420"/>
        <w:spacing w:before="0" w:after="0" w:line="560" w:lineRule="exact"/>
        <w:rPr>
          <w:rFonts w:hint="eastAsia" w:ascii="Times New Roman" w:hAnsi="Times New Roman"/>
          <w:b w:val="0"/>
          <w:bCs w:val="0"/>
          <w:color w:val="auto"/>
          <w:highlight w:val="none"/>
        </w:rPr>
      </w:pPr>
      <w:r/>
      <w:bookmarkStart w:id="117" w:name="_Toc513029215"/>
      <w:r/>
      <w:bookmarkStart w:id="118" w:name="_Toc462564074"/>
      <w:r/>
      <w:bookmarkStart w:id="119" w:name="_Toc16938531"/>
      <w:r/>
      <w:bookmarkStart w:id="120" w:name="_Toc20823287"/>
      <w:r>
        <w:rPr>
          <w:rFonts w:hint="eastAsia" w:ascii="Times New Roman" w:hAnsi="Times New Roman"/>
          <w:b w:val="0"/>
          <w:bCs w:val="0"/>
          <w:color w:val="auto"/>
          <w:highlight w:val="none"/>
        </w:rPr>
        <w:t xml:space="preserve">10、投标文件构成</w:t>
      </w:r>
      <w:bookmarkEnd w:id="117"/>
      <w:r/>
      <w:bookmarkEnd w:id="118"/>
      <w:r/>
      <w:bookmarkEnd w:id="119"/>
      <w:r/>
      <w:bookmarkEnd w:id="120"/>
      <w:r/>
      <w:r/>
    </w:p>
    <w:p>
      <w:pPr>
        <w:ind w:firstLine="480"/>
        <w:spacing w:line="560" w:lineRule="exact"/>
        <w:rPr>
          <w:rFonts w:hint="eastAsia"/>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w:t>
      </w:r>
      <w:r>
        <w:rPr>
          <w:rFonts w:hint="eastAsia"/>
          <w:bCs/>
          <w:color w:val="auto"/>
          <w:sz w:val="24"/>
          <w:highlight w:val="none"/>
          <w:lang w:eastAsia="zh-CN"/>
        </w:rPr>
        <w:t xml:space="preserve">投标文件</w:t>
      </w:r>
      <w:r>
        <w:rPr>
          <w:rFonts w:hint="eastAsia"/>
          <w:bCs/>
          <w:color w:val="auto"/>
          <w:sz w:val="24"/>
          <w:highlight w:val="none"/>
        </w:rPr>
        <w:t xml:space="preserve">（即电子投标）。</w:t>
      </w:r>
      <w:r>
        <w:rPr>
          <w:rFonts w:hint="eastAsia"/>
          <w:bCs/>
          <w:color w:val="auto"/>
          <w:sz w:val="24"/>
          <w:highlight w:val="none"/>
          <w:lang w:eastAsia="zh-CN"/>
        </w:rPr>
        <w:t xml:space="preserve">投标文件</w:t>
      </w:r>
      <w:r>
        <w:rPr>
          <w:rFonts w:hint="eastAsia"/>
          <w:bCs/>
          <w:color w:val="auto"/>
          <w:sz w:val="24"/>
          <w:highlight w:val="none"/>
        </w:rPr>
        <w:t xml:space="preserve">使用政府采购客户端工具制作并通过“苏采云”系统提交，未进行</w:t>
      </w:r>
      <w:r>
        <w:rPr>
          <w:rFonts w:hint="eastAsia"/>
          <w:bCs/>
          <w:color w:val="auto"/>
          <w:sz w:val="24"/>
          <w:highlight w:val="none"/>
          <w:lang w:eastAsia="zh-CN"/>
        </w:rPr>
        <w:t xml:space="preserve">投标文件</w:t>
      </w:r>
      <w:r>
        <w:rPr>
          <w:rFonts w:hint="eastAsia"/>
          <w:bCs/>
          <w:color w:val="auto"/>
          <w:sz w:val="24"/>
          <w:highlight w:val="none"/>
        </w:rPr>
        <w:t xml:space="preserve">提交并解密的投标人，按照无效响应处理(因“苏采云”系统导致解密失败的除外)。</w:t>
      </w:r>
      <w:r/>
    </w:p>
    <w:p>
      <w:pPr>
        <w:ind w:firstLine="480"/>
        <w:spacing w:line="560" w:lineRule="exact"/>
        <w:rPr>
          <w:rFonts w:hint="eastAsia"/>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10.6中标后按相关要求提供与电子投标文件一致的纸质打印投标文件2份。 </w:t>
      </w:r>
      <w:r/>
    </w:p>
    <w:p>
      <w:pPr>
        <w:ind w:firstLine="480"/>
        <w:spacing w:line="560" w:lineRule="exact"/>
        <w:rPr>
          <w:bCs/>
          <w:color w:val="auto"/>
          <w:sz w:val="24"/>
          <w:highlight w:val="none"/>
        </w:rPr>
      </w:pPr>
      <w:r/>
      <w:bookmarkStart w:id="121" w:name="EBc50e2bb832bb43068403b10c1cce6141"/>
      <w:r>
        <w:rPr>
          <w:rFonts w:hint="eastAsia"/>
          <w:bCs/>
          <w:color w:val="auto"/>
          <w:sz w:val="24"/>
          <w:highlight w:val="none"/>
        </w:rPr>
        <w:t xml:space="preserve">注：（1）投标文件构成资料为非中文时应提供中文译版；（2）招标文件要求提供证书证件等</w:t>
      </w:r>
      <w:r>
        <w:rPr>
          <w:rFonts w:hint="eastAsia"/>
          <w:bCs/>
          <w:color w:val="auto"/>
          <w:sz w:val="24"/>
          <w:highlight w:val="none"/>
          <w:lang w:eastAsia="zh-CN"/>
        </w:rPr>
        <w:t xml:space="preserve">原件扫描件</w:t>
      </w:r>
      <w:r>
        <w:rPr>
          <w:rFonts w:hint="eastAsia"/>
          <w:bCs/>
          <w:color w:val="auto"/>
          <w:sz w:val="24"/>
          <w:highlight w:val="none"/>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1"/>
      <w:r/>
      <w:r/>
    </w:p>
    <w:p>
      <w:pPr>
        <w:pStyle w:val="963"/>
        <w:ind w:firstLine="420"/>
        <w:spacing w:before="0" w:after="0" w:line="560" w:lineRule="exact"/>
        <w:rPr>
          <w:rFonts w:hint="eastAsia" w:ascii="Times New Roman" w:hAnsi="Times New Roman"/>
          <w:b w:val="0"/>
          <w:bCs w:val="0"/>
          <w:color w:val="auto"/>
          <w:highlight w:val="none"/>
        </w:rPr>
      </w:pPr>
      <w:r/>
      <w:bookmarkStart w:id="122" w:name="_Hlt26954838"/>
      <w:r/>
      <w:bookmarkEnd w:id="122"/>
      <w:r/>
      <w:bookmarkStart w:id="123" w:name="_Hlt26668975"/>
      <w:r/>
      <w:bookmarkEnd w:id="123"/>
      <w:r/>
      <w:bookmarkStart w:id="124" w:name="_Hlt26670360"/>
      <w:r/>
      <w:bookmarkEnd w:id="124"/>
      <w:r/>
      <w:bookmarkStart w:id="125" w:name="_Toc513029216"/>
      <w:r/>
      <w:bookmarkStart w:id="126" w:name="_Toc14577357"/>
      <w:r/>
      <w:bookmarkStart w:id="127" w:name="_Toc513029219"/>
      <w:r/>
      <w:bookmarkStart w:id="128" w:name="_Toc49090507"/>
      <w:r/>
      <w:bookmarkStart w:id="129" w:name="_Toc14577354"/>
      <w:r/>
      <w:bookmarkStart w:id="130" w:name="_Toc49090509"/>
      <w:r>
        <w:rPr>
          <w:rFonts w:hint="eastAsia" w:ascii="Times New Roman" w:hAnsi="Times New Roman"/>
          <w:b w:val="0"/>
          <w:bCs w:val="0"/>
          <w:color w:val="auto"/>
          <w:highlight w:val="none"/>
        </w:rPr>
        <w:t xml:space="preserve">11、证明投标人及投标标的符合招标文件规定的文件</w:t>
      </w:r>
      <w:bookmarkEnd w:id="125"/>
      <w:r/>
      <w:bookmarkEnd w:id="126"/>
      <w:r/>
      <w:bookmarkEnd w:id="127"/>
      <w:r/>
      <w:bookmarkEnd w:id="128"/>
      <w:r/>
      <w:bookmarkEnd w:id="129"/>
      <w:r/>
      <w:bookmarkEnd w:id="130"/>
      <w:r/>
      <w:r/>
    </w:p>
    <w:p>
      <w:pPr>
        <w:spacing w:line="560" w:lineRule="exact"/>
        <w:rPr>
          <w:rFonts w:hint="eastAsia"/>
          <w:color w:val="auto"/>
          <w:sz w:val="24"/>
          <w:szCs w:val="24"/>
          <w:highlight w:val="none"/>
        </w:rPr>
      </w:pPr>
      <w:r/>
      <w:bookmarkStart w:id="131" w:name="_Toc14577355"/>
      <w:r/>
      <w:bookmarkStart w:id="132"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31"/>
      <w:r/>
      <w:bookmarkStart w:id="133" w:name="_Hlt26670373"/>
      <w:r/>
      <w:bookmarkEnd w:id="133"/>
      <w:r>
        <w:rPr>
          <w:rFonts w:hint="eastAsia" w:ascii="Times New Roman" w:hAnsi="Times New Roman"/>
          <w:b w:val="0"/>
          <w:bCs w:val="0"/>
          <w:color w:val="auto"/>
          <w:highlight w:val="none"/>
        </w:rPr>
        <w:t xml:space="preserve">表</w:t>
      </w:r>
      <w:bookmarkEnd w:id="132"/>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134" w:name="_Hlt26954840"/>
      <w:r/>
      <w:bookmarkEnd w:id="134"/>
      <w:r>
        <w:rPr>
          <w:rFonts w:hint="eastAsia"/>
          <w:color w:val="auto"/>
          <w:sz w:val="24"/>
          <w:highlight w:val="none"/>
        </w:rPr>
        <w:t xml:space="preserve">标人应按照招标文件规定格式填报投标分项报价表</w:t>
      </w:r>
      <w:bookmarkStart w:id="135" w:name="_Hlt26670399"/>
      <w:r/>
      <w:bookmarkEnd w:id="135"/>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pStyle w:val="963"/>
        <w:ind w:firstLine="420"/>
        <w:spacing w:before="0" w:after="0" w:line="560" w:lineRule="exact"/>
        <w:rPr>
          <w:rFonts w:hint="eastAsia" w:ascii="Times New Roman" w:hAnsi="Times New Roman" w:eastAsia="宋体"/>
          <w:b w:val="0"/>
          <w:color w:val="auto"/>
          <w:sz w:val="24"/>
          <w:szCs w:val="21"/>
          <w:highlight w:val="none"/>
        </w:rPr>
      </w:pPr>
      <w:r>
        <w:rPr>
          <w:rFonts w:hint="eastAsia" w:ascii="Times New Roman" w:hAnsi="Times New Roman" w:eastAsia="宋体"/>
          <w:b w:val="0"/>
          <w:color w:val="auto"/>
          <w:sz w:val="24"/>
          <w:szCs w:val="21"/>
          <w:highlight w:val="none"/>
        </w:rPr>
        <w:t xml:space="preserve">12.3本项目不接受备选的投标方案或有选择的报价，只允许有一个报价。投标报价内容包括：</w:t>
      </w:r>
      <w:bookmarkStart w:id="136" w:name="_Hlt26670425"/>
      <w:r/>
      <w:bookmarkEnd w:id="136"/>
      <w:r/>
      <w:bookmarkStart w:id="137" w:name="_Hlt26954731"/>
      <w:r/>
      <w:bookmarkEnd w:id="137"/>
      <w:r/>
      <w:bookmarkStart w:id="138" w:name="_Hlt26954848"/>
      <w:r/>
      <w:bookmarkEnd w:id="138"/>
      <w:r/>
      <w:bookmarkStart w:id="139" w:name="_Hlt26668983"/>
      <w:r/>
      <w:bookmarkEnd w:id="139"/>
      <w:r/>
      <w:bookmarkStart w:id="140" w:name="_Hlt26954844"/>
      <w:r/>
      <w:bookmarkEnd w:id="140"/>
      <w:r/>
      <w:bookmarkStart w:id="141" w:name="_Hlt26954846"/>
      <w:r/>
      <w:bookmarkEnd w:id="141"/>
      <w:r/>
      <w:bookmarkStart w:id="142" w:name="_Hlt26670403"/>
      <w:r/>
      <w:bookmarkEnd w:id="142"/>
      <w:r/>
      <w:bookmarkStart w:id="143" w:name="_Hlt26954842"/>
      <w:r/>
      <w:bookmarkEnd w:id="143"/>
      <w:r/>
      <w:bookmarkStart w:id="144" w:name="_Hlt26670486"/>
      <w:r/>
      <w:bookmarkEnd w:id="144"/>
      <w:r/>
      <w:bookmarkStart w:id="145" w:name="_Hlt26670482"/>
      <w:r/>
      <w:bookmarkEnd w:id="145"/>
      <w:r>
        <w:rPr>
          <w:rFonts w:hint="eastAsia" w:ascii="Times New Roman" w:hAnsi="Times New Roman" w:eastAsia="宋体"/>
          <w:b w:val="0"/>
          <w:color w:val="auto"/>
          <w:sz w:val="24"/>
          <w:szCs w:val="21"/>
          <w:highlight w:val="none"/>
        </w:rPr>
        <w:t xml:space="preserve">服务本身的费用以及在提供服务过程中涉及到的其他一切费用。</w:t>
      </w:r>
      <w:r/>
    </w:p>
    <w:p>
      <w:pPr>
        <w:pStyle w:val="963"/>
        <w:ind w:firstLine="420"/>
        <w:spacing w:before="0" w:after="0" w:line="560" w:lineRule="exact"/>
        <w:rPr>
          <w:rFonts w:hint="eastAsia"/>
          <w:b w:val="0"/>
          <w:bCs w:val="0"/>
          <w:color w:val="auto"/>
          <w:highlight w:val="none"/>
        </w:rPr>
      </w:pPr>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46" w:name="_Toc14577359"/>
      <w:r/>
      <w:bookmarkStart w:id="147" w:name="_Toc49090510"/>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46"/>
      <w:r/>
      <w:bookmarkEnd w:id="147"/>
      <w:r/>
      <w:r/>
    </w:p>
    <w:p>
      <w:pPr>
        <w:pStyle w:val="963"/>
        <w:ind w:firstLine="420"/>
        <w:spacing w:before="0" w:after="0" w:line="560" w:lineRule="exact"/>
        <w:rPr>
          <w:rFonts w:hint="eastAsia" w:ascii="Times New Roman" w:hAnsi="Times New Roman"/>
          <w:b w:val="0"/>
          <w:bCs w:val="0"/>
          <w:color w:val="auto"/>
          <w:highlight w:val="none"/>
        </w:rPr>
      </w:pPr>
      <w:r/>
      <w:bookmarkStart w:id="148" w:name="_Hlt26954734"/>
      <w:r/>
      <w:bookmarkEnd w:id="148"/>
      <w:r/>
      <w:bookmarkStart w:id="149" w:name="_Hlt26954850"/>
      <w:r/>
      <w:bookmarkEnd w:id="149"/>
      <w:r/>
      <w:bookmarkStart w:id="150" w:name="_Hlt26670489"/>
      <w:r/>
      <w:bookmarkEnd w:id="150"/>
      <w:r/>
      <w:bookmarkStart w:id="151" w:name="_Toc49090511"/>
      <w:r/>
      <w:bookmarkStart w:id="152" w:name="_Toc14577360"/>
      <w:r>
        <w:rPr>
          <w:rFonts w:hint="eastAsia" w:ascii="Times New Roman" w:hAnsi="Times New Roman"/>
          <w:b w:val="0"/>
          <w:bCs w:val="0"/>
          <w:color w:val="auto"/>
          <w:highlight w:val="none"/>
        </w:rPr>
        <w:t xml:space="preserve">15、投标有效期</w:t>
      </w:r>
      <w:bookmarkEnd w:id="151"/>
      <w:r/>
      <w:bookmarkEnd w:id="152"/>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962"/>
        <w:ind w:firstLine="482"/>
        <w:spacing w:before="0" w:after="0" w:line="560" w:lineRule="exact"/>
        <w:rPr>
          <w:rFonts w:hint="eastAsia"/>
          <w:color w:val="auto"/>
          <w:highlight w:val="none"/>
        </w:rPr>
      </w:pPr>
      <w:r/>
      <w:bookmarkStart w:id="153" w:name="_Hlt26954739"/>
      <w:r/>
      <w:bookmarkEnd w:id="153"/>
      <w:r/>
      <w:bookmarkStart w:id="154" w:name="_Hlt26954852"/>
      <w:r/>
      <w:bookmarkEnd w:id="154"/>
      <w:r/>
      <w:bookmarkStart w:id="155" w:name="_Toc22598"/>
      <w:r/>
      <w:bookmarkStart w:id="156" w:name="_Toc513029224"/>
      <w:r/>
      <w:bookmarkStart w:id="157" w:name="_Toc20823296"/>
      <w:r/>
      <w:bookmarkStart w:id="158" w:name="_Toc16938540"/>
      <w:r/>
      <w:bookmarkStart w:id="159" w:name="_Toc158281552"/>
      <w:r/>
      <w:bookmarkStart w:id="160" w:name="_Toc120614217"/>
      <w:r>
        <w:rPr>
          <w:rFonts w:hint="eastAsia"/>
          <w:color w:val="auto"/>
          <w:highlight w:val="none"/>
        </w:rPr>
        <w:t xml:space="preserve">四、投标文件的递交</w:t>
      </w:r>
      <w:bookmarkEnd w:id="155"/>
      <w:r/>
      <w:bookmarkEnd w:id="156"/>
      <w:r/>
      <w:bookmarkEnd w:id="157"/>
      <w:r/>
      <w:bookmarkEnd w:id="158"/>
      <w:r/>
      <w:bookmarkEnd w:id="159"/>
      <w:r/>
      <w:bookmarkEnd w:id="160"/>
      <w:r/>
      <w:r/>
    </w:p>
    <w:p>
      <w:pPr>
        <w:pStyle w:val="963"/>
        <w:ind w:firstLine="560"/>
        <w:spacing w:before="0" w:after="0" w:line="560" w:lineRule="exact"/>
        <w:rPr>
          <w:rFonts w:hint="eastAsia" w:ascii="Times New Roman" w:hAnsi="Times New Roman"/>
          <w:b w:val="0"/>
          <w:bCs w:val="0"/>
          <w:color w:val="auto"/>
          <w:highlight w:val="none"/>
        </w:rPr>
      </w:pPr>
      <w:r/>
      <w:bookmarkStart w:id="161" w:name="_Toc462564084"/>
      <w:r/>
      <w:bookmarkStart w:id="162" w:name="_Toc20823297"/>
      <w:r/>
      <w:bookmarkStart w:id="163" w:name="_Toc16938541"/>
      <w:r/>
      <w:bookmarkStart w:id="164" w:name="_Toc513029225"/>
      <w:r>
        <w:rPr>
          <w:rFonts w:hint="eastAsia" w:ascii="Times New Roman" w:hAnsi="Times New Roman"/>
          <w:b w:val="0"/>
          <w:bCs w:val="0"/>
          <w:color w:val="auto"/>
          <w:highlight w:val="none"/>
        </w:rPr>
        <w:t xml:space="preserve">17、投标文件</w:t>
      </w:r>
      <w:bookmarkEnd w:id="161"/>
      <w:r/>
      <w:bookmarkEnd w:id="162"/>
      <w:r/>
      <w:bookmarkEnd w:id="163"/>
      <w:r/>
      <w:bookmarkEnd w:id="164"/>
      <w:r>
        <w:rPr>
          <w:rFonts w:hint="eastAsia" w:ascii="Times New Roman" w:hAnsi="Times New Roman"/>
          <w:b w:val="0"/>
          <w:bCs w:val="0"/>
          <w:color w:val="auto"/>
          <w:highlight w:val="none"/>
        </w:rPr>
        <w:t xml:space="preserve">的递交</w:t>
      </w:r>
      <w:r/>
    </w:p>
    <w:p>
      <w:pPr>
        <w:ind w:firstLine="480"/>
        <w:jc w:val="left"/>
        <w:spacing w:line="560" w:lineRule="exact"/>
        <w:rPr>
          <w:rFonts w:hint="eastAsia"/>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65" w:name="_Toc20823298"/>
      <w:r/>
      <w:bookmarkStart w:id="166" w:name="_Toc513029226"/>
      <w:r/>
      <w:bookmarkStart w:id="167" w:name="_Toc16938542"/>
      <w:r/>
      <w:r/>
    </w:p>
    <w:p>
      <w:pPr>
        <w:ind w:firstLine="480"/>
        <w:jc w:val="left"/>
        <w:spacing w:line="560" w:lineRule="exact"/>
        <w:rPr>
          <w:rFonts w:hint="eastAsia"/>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963"/>
        <w:ind w:firstLine="420"/>
        <w:spacing w:before="0" w:after="0" w:line="560" w:lineRule="exact"/>
        <w:rPr>
          <w:rFonts w:hint="eastAsia" w:ascii="Times New Roman" w:hAnsi="Times New Roman" w:cs="Arial"/>
          <w:b w:val="0"/>
          <w:bCs w:val="0"/>
          <w:color w:val="auto"/>
          <w:highlight w:val="none"/>
        </w:rPr>
      </w:pPr>
      <w:r>
        <w:rPr>
          <w:rFonts w:hint="eastAsia" w:ascii="Times New Roman" w:hAnsi="Times New Roman" w:cs="Arial"/>
          <w:b w:val="0"/>
          <w:bCs w:val="0"/>
          <w:color w:val="auto"/>
          <w:highlight w:val="none"/>
        </w:rPr>
        <w:t xml:space="preserve">18、投标截止</w:t>
      </w:r>
      <w:bookmarkEnd w:id="165"/>
      <w:r/>
      <w:bookmarkEnd w:id="166"/>
      <w:r/>
      <w:bookmarkEnd w:id="167"/>
      <w:r>
        <w:rPr>
          <w:rFonts w:hint="eastAsia" w:ascii="Times New Roman" w:hAnsi="Times New Roman" w:cs="Arial"/>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963"/>
        <w:ind w:firstLine="420"/>
        <w:spacing w:before="0" w:after="0" w:line="560" w:lineRule="exact"/>
        <w:rPr>
          <w:rFonts w:hint="eastAsia" w:ascii="Times New Roman" w:hAnsi="Times New Roman"/>
          <w:b w:val="0"/>
          <w:bCs w:val="0"/>
          <w:color w:val="auto"/>
          <w:highlight w:val="none"/>
        </w:rPr>
      </w:pPr>
      <w:r/>
      <w:bookmarkStart w:id="168" w:name="_Toc16938543"/>
      <w:r/>
      <w:bookmarkStart w:id="169" w:name="_Toc513029227"/>
      <w:r/>
      <w:bookmarkStart w:id="170" w:name="_Toc20823299"/>
      <w:r>
        <w:rPr>
          <w:rFonts w:hint="eastAsia" w:ascii="Times New Roman" w:hAnsi="Times New Roman"/>
          <w:b w:val="0"/>
          <w:bCs w:val="0"/>
          <w:color w:val="auto"/>
          <w:highlight w:val="none"/>
        </w:rPr>
        <w:t xml:space="preserve">19、投标文件</w:t>
      </w:r>
      <w:bookmarkEnd w:id="168"/>
      <w:r/>
      <w:bookmarkEnd w:id="169"/>
      <w:r/>
      <w:bookmarkEnd w:id="170"/>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963"/>
        <w:ind w:firstLine="420"/>
        <w:spacing w:before="0" w:after="0" w:line="560" w:lineRule="exact"/>
        <w:rPr>
          <w:rFonts w:hint="eastAsia" w:ascii="Times New Roman" w:hAnsi="Times New Roman"/>
          <w:b w:val="0"/>
          <w:bCs w:val="0"/>
          <w:color w:val="auto"/>
          <w:highlight w:val="none"/>
        </w:rPr>
      </w:pPr>
      <w:r/>
      <w:bookmarkStart w:id="171" w:name="_Toc16938544"/>
      <w:r/>
      <w:bookmarkStart w:id="172" w:name="_Toc513029228"/>
      <w:r/>
      <w:bookmarkStart w:id="173" w:name="_Toc20823300"/>
      <w:r>
        <w:rPr>
          <w:rFonts w:hint="eastAsia" w:ascii="Times New Roman" w:hAnsi="Times New Roman"/>
          <w:b w:val="0"/>
          <w:bCs w:val="0"/>
          <w:color w:val="auto"/>
          <w:highlight w:val="none"/>
        </w:rPr>
        <w:t xml:space="preserve">20、投标文件的撤回和修改</w:t>
      </w:r>
      <w:bookmarkEnd w:id="171"/>
      <w:r/>
      <w:bookmarkEnd w:id="172"/>
      <w:r/>
      <w:bookmarkEnd w:id="173"/>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962"/>
        <w:ind w:firstLine="482"/>
        <w:spacing w:before="0" w:after="0" w:line="560" w:lineRule="exact"/>
        <w:rPr>
          <w:rFonts w:hint="eastAsia"/>
          <w:color w:val="auto"/>
          <w:highlight w:val="none"/>
        </w:rPr>
      </w:pPr>
      <w:r/>
      <w:bookmarkStart w:id="174" w:name="_Toc120614218"/>
      <w:r/>
      <w:bookmarkStart w:id="175" w:name="_Toc16938545"/>
      <w:r/>
      <w:bookmarkStart w:id="176" w:name="_Toc158281553"/>
      <w:r/>
      <w:bookmarkStart w:id="177" w:name="_Toc20905"/>
      <w:r/>
      <w:bookmarkStart w:id="178" w:name="_Toc513029229"/>
      <w:r/>
      <w:bookmarkStart w:id="179" w:name="_Toc20823301"/>
      <w:r>
        <w:rPr>
          <w:rFonts w:hint="eastAsia"/>
          <w:color w:val="auto"/>
          <w:highlight w:val="none"/>
        </w:rPr>
        <w:t xml:space="preserve">五、开标与评标</w:t>
      </w:r>
      <w:bookmarkEnd w:id="174"/>
      <w:r/>
      <w:bookmarkEnd w:id="175"/>
      <w:r/>
      <w:bookmarkEnd w:id="176"/>
      <w:r/>
      <w:bookmarkEnd w:id="177"/>
      <w:r/>
      <w:bookmarkEnd w:id="178"/>
      <w:r/>
      <w:bookmarkEnd w:id="179"/>
      <w:r/>
      <w:r/>
    </w:p>
    <w:p>
      <w:pPr>
        <w:pStyle w:val="963"/>
        <w:ind w:firstLine="420"/>
        <w:spacing w:before="0" w:after="0" w:line="560" w:lineRule="exact"/>
        <w:rPr>
          <w:rFonts w:hint="eastAsia" w:ascii="Times New Roman" w:hAnsi="Times New Roman"/>
          <w:b w:val="0"/>
          <w:bCs w:val="0"/>
          <w:color w:val="auto"/>
          <w:highlight w:val="none"/>
        </w:rPr>
      </w:pPr>
      <w:r/>
      <w:bookmarkStart w:id="180" w:name="_Toc513029230"/>
      <w:r/>
      <w:bookmarkStart w:id="181" w:name="_Toc16938546"/>
      <w:r/>
      <w:bookmarkStart w:id="182" w:name="_Toc20823302"/>
      <w:r>
        <w:rPr>
          <w:rFonts w:hint="eastAsia" w:ascii="Times New Roman" w:hAnsi="Times New Roman"/>
          <w:b w:val="0"/>
          <w:bCs w:val="0"/>
          <w:color w:val="auto"/>
          <w:highlight w:val="none"/>
        </w:rPr>
        <w:t xml:space="preserve">21、开标</w:t>
      </w:r>
      <w:bookmarkEnd w:id="180"/>
      <w:r/>
      <w:bookmarkEnd w:id="181"/>
      <w:r/>
      <w:bookmarkEnd w:id="182"/>
      <w:r/>
      <w:r/>
    </w:p>
    <w:p>
      <w:pPr>
        <w:pStyle w:val="1085"/>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。投标人应当按照《“苏采云”系统投标人操作手册》规定，参加开标活动和在“苏采云”系统规定的时间内对投标文件进行解密。</w:t>
      </w:r>
      <w:r/>
    </w:p>
    <w:p>
      <w:pPr>
        <w:pStyle w:val="1085"/>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63"/>
        <w:ind w:firstLine="420"/>
        <w:spacing w:before="0" w:after="0" w:line="560" w:lineRule="exact"/>
        <w:rPr>
          <w:rFonts w:hint="eastAsia" w:ascii="Times New Roman" w:hAnsi="Times New Roman"/>
          <w:b w:val="0"/>
          <w:bCs w:val="0"/>
          <w:color w:val="auto"/>
          <w:highlight w:val="none"/>
        </w:rPr>
      </w:pPr>
      <w:r/>
      <w:bookmarkStart w:id="183" w:name="_Toc513029231"/>
      <w:r/>
      <w:bookmarkStart w:id="184" w:name="_Toc16938547"/>
      <w:r/>
      <w:bookmarkStart w:id="185" w:name="_Toc20823303"/>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开标后，采购代理机构将立即组织评委会（以下简称评委会）进行评标。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22.3评委会独立工作，负责评审所有投标文件并确定中标候选人。</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83"/>
      <w:r/>
      <w:bookmarkEnd w:id="184"/>
      <w:r/>
      <w:bookmarkEnd w:id="185"/>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63"/>
        <w:ind w:firstLine="420"/>
        <w:spacing w:before="0" w:after="0" w:line="560" w:lineRule="exact"/>
        <w:rPr>
          <w:rFonts w:hint="eastAsia" w:ascii="Times New Roman" w:hAnsi="Times New Roman"/>
          <w:b w:val="0"/>
          <w:bCs w:val="0"/>
          <w:color w:val="auto"/>
          <w:highlight w:val="none"/>
        </w:rPr>
      </w:pPr>
      <w:r/>
      <w:bookmarkStart w:id="186" w:name="_Toc16938548"/>
      <w:r/>
      <w:bookmarkStart w:id="187" w:name="_Toc513029232"/>
      <w:r/>
      <w:bookmarkStart w:id="188" w:name="_Toc20823304"/>
      <w:r>
        <w:rPr>
          <w:rFonts w:hint="eastAsia" w:ascii="Times New Roman" w:hAnsi="Times New Roman"/>
          <w:b w:val="0"/>
          <w:bCs w:val="0"/>
          <w:color w:val="auto"/>
          <w:highlight w:val="none"/>
        </w:rPr>
        <w:t xml:space="preserve">24、投标文件的澄清</w:t>
      </w:r>
      <w:bookmarkEnd w:id="186"/>
      <w:r/>
      <w:bookmarkEnd w:id="187"/>
      <w:r/>
      <w:bookmarkEnd w:id="188"/>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85"/>
        <w:ind w:firstLine="422"/>
        <w:spacing w:line="560" w:lineRule="exact"/>
        <w:rPr>
          <w:rFonts w:hint="eastAsia"/>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接到评委会澄清、说明和补正要求的投标人如未按规定</w:t>
      </w:r>
      <w:r>
        <w:rPr>
          <w:rFonts w:hint="eastAsia"/>
          <w:color w:val="auto"/>
          <w:sz w:val="24"/>
          <w:szCs w:val="24"/>
          <w:highlight w:val="none"/>
          <w:lang w:eastAsia="zh-CN"/>
        </w:rPr>
        <w:t xml:space="preserve">作出</w:t>
      </w:r>
      <w:r>
        <w:rPr>
          <w:rFonts w:hint="eastAsia"/>
          <w:color w:val="auto"/>
          <w:sz w:val="24"/>
          <w:szCs w:val="24"/>
          <w:highlight w:val="none"/>
        </w:rPr>
        <w:t xml:space="preserve">澄清、说明和补正，其风险由投标人自行承担。</w:t>
      </w:r>
      <w:r/>
    </w:p>
    <w:p>
      <w:pPr>
        <w:pStyle w:val="963"/>
        <w:ind w:firstLine="420"/>
        <w:spacing w:before="0" w:after="0" w:line="560" w:lineRule="exact"/>
        <w:rPr>
          <w:rFonts w:hint="eastAsia" w:ascii="Times New Roman" w:hAnsi="Times New Roman"/>
          <w:b w:val="0"/>
          <w:bCs w:val="0"/>
          <w:color w:val="auto"/>
          <w:highlight w:val="none"/>
        </w:rPr>
      </w:pPr>
      <w:r/>
      <w:bookmarkStart w:id="189" w:name="_Toc20823305"/>
      <w:r/>
      <w:bookmarkStart w:id="190" w:name="_Toc16938549"/>
      <w:r/>
      <w:bookmarkStart w:id="191" w:name="_Toc513029233"/>
      <w:r>
        <w:rPr>
          <w:rFonts w:hint="eastAsia" w:ascii="Times New Roman" w:hAnsi="Times New Roman"/>
          <w:b w:val="0"/>
          <w:bCs w:val="0"/>
          <w:color w:val="auto"/>
          <w:highlight w:val="none"/>
        </w:rPr>
        <w:t xml:space="preserve">25、对投标文件的初审</w:t>
      </w:r>
      <w:bookmarkEnd w:id="189"/>
      <w:r/>
      <w:bookmarkEnd w:id="190"/>
      <w:r/>
      <w:bookmarkEnd w:id="191"/>
      <w:r/>
      <w:r/>
    </w:p>
    <w:p>
      <w:pPr>
        <w:ind w:firstLine="480"/>
        <w:spacing w:line="560" w:lineRule="exact"/>
        <w:rPr>
          <w:rFonts w:hint="eastAsia"/>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rFonts w:hint="eastAsia"/>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w:t>
      </w:r>
      <w:r>
        <w:rPr>
          <w:rFonts w:hint="eastAsia"/>
          <w:color w:val="auto"/>
          <w:sz w:val="24"/>
          <w:highlight w:val="none"/>
          <w:lang w:eastAsia="zh-CN"/>
        </w:rPr>
        <w:t xml:space="preserve">不符</w:t>
      </w:r>
      <w:r>
        <w:rPr>
          <w:rFonts w:hint="eastAsia"/>
          <w:color w:val="auto"/>
          <w:sz w:val="24"/>
          <w:highlight w:val="none"/>
        </w:rPr>
        <w:t xml:space="preserve">合要求的偏离或保留而使其投标成为实质性响应的投标。</w:t>
      </w:r>
      <w:r/>
    </w:p>
    <w:p>
      <w:pPr>
        <w:ind w:firstLine="480"/>
        <w:spacing w:line="560" w:lineRule="exact"/>
        <w:rPr>
          <w:rFonts w:hint="eastAsia"/>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rFonts w:hint="eastAsia"/>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color w:val="auto"/>
          <w:sz w:val="24"/>
          <w:highlight w:val="none"/>
        </w:rPr>
      </w:pPr>
      <w:r/>
      <w:bookmarkStart w:id="192" w:name="_Toc513029234"/>
      <w:r/>
      <w:bookmarkStart w:id="193" w:name="_Toc16938550"/>
      <w:r/>
      <w:bookmarkStart w:id="194" w:name="_Toc20823306"/>
      <w:r>
        <w:rPr>
          <w:rFonts w:hint="eastAsia"/>
          <w:color w:val="auto"/>
          <w:sz w:val="24"/>
          <w:highlight w:val="none"/>
        </w:rPr>
        <w:t xml:space="preserve">25.6投标人在开、评标全过程中应随时保持系统在线，及时在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92"/>
      <w:r/>
      <w:bookmarkEnd w:id="193"/>
      <w:r/>
      <w:bookmarkEnd w:id="194"/>
      <w:r>
        <w:rPr>
          <w:rFonts w:hint="eastAsia" w:ascii="Times New Roman" w:hAnsi="Times New Roman"/>
          <w:b w:val="0"/>
          <w:bCs w:val="0"/>
          <w:color w:val="auto"/>
          <w:highlight w:val="none"/>
        </w:rPr>
        <w:t xml:space="preserve">无效投标条款和废标条款</w:t>
      </w:r>
      <w:r/>
    </w:p>
    <w:p>
      <w:pPr>
        <w:ind w:firstLine="480"/>
        <w:spacing w:line="560" w:lineRule="exact"/>
        <w:rPr>
          <w:rFonts w:hint="eastAsia"/>
          <w:bCs/>
          <w:color w:val="auto"/>
          <w:sz w:val="24"/>
          <w:highlight w:val="none"/>
        </w:rPr>
      </w:pPr>
      <w:r/>
      <w:bookmarkStart w:id="195" w:name="_Toc16938551"/>
      <w:r/>
      <w:bookmarkStart w:id="196" w:name="_Toc513029235"/>
      <w:r/>
      <w:bookmarkStart w:id="197" w:name="_Toc20823307"/>
      <w:r>
        <w:rPr>
          <w:rFonts w:hint="eastAsia"/>
          <w:bCs/>
          <w:color w:val="auto"/>
          <w:sz w:val="24"/>
          <w:highlight w:val="none"/>
        </w:rPr>
        <w:t xml:space="preserve">26.1无效投标条款</w:t>
      </w:r>
      <w:r/>
    </w:p>
    <w:p>
      <w:pPr>
        <w:ind w:firstLine="420"/>
        <w:spacing w:line="560" w:lineRule="exact"/>
        <w:rPr>
          <w:rFonts w:hint="eastAsia"/>
          <w:color w:val="auto"/>
          <w:sz w:val="24"/>
          <w:highlight w:val="none"/>
        </w:rPr>
      </w:pPr>
      <w:r>
        <w:rPr>
          <w:rFonts w:hint="eastAsia"/>
          <w:color w:val="auto"/>
          <w:sz w:val="24"/>
          <w:highlight w:val="none"/>
        </w:rPr>
        <w:t xml:space="preserve">26.1.1 投标人在“苏采云”系统规定的时间内未成功解密电子投标文件的。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26.1.2 投标人未按照招标文件要求上传电子投标文件的。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26.1.3同一投标人提交两个（含两个）以上不同的投标报价的。</w:t>
      </w:r>
      <w:r/>
    </w:p>
    <w:p>
      <w:pPr>
        <w:ind w:firstLine="420"/>
        <w:spacing w:line="560" w:lineRule="exact"/>
        <w:rPr>
          <w:rFonts w:hint="eastAsia"/>
          <w:color w:val="auto"/>
          <w:sz w:val="24"/>
          <w:highlight w:val="none"/>
        </w:rPr>
      </w:pPr>
      <w:r>
        <w:rPr>
          <w:rFonts w:hint="eastAsia"/>
          <w:color w:val="auto"/>
          <w:sz w:val="24"/>
          <w:highlight w:val="none"/>
        </w:rPr>
        <w:t xml:space="preserve">26.1.4投标人不具备招标文件中规定资格要求的。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default"/>
          <w:bCs/>
          <w:color w:val="auto"/>
          <w:sz w:val="24"/>
          <w:highlight w:val="none"/>
          <w:lang w:val="en-US" w:eastAsia="zh-CN"/>
        </w:rPr>
      </w:pPr>
      <w:r>
        <w:rPr>
          <w:rFonts w:hint="eastAsia"/>
          <w:bCs/>
          <w:color w:val="auto"/>
          <w:sz w:val="24"/>
          <w:highlight w:val="none"/>
        </w:rPr>
        <w:t xml:space="preserve"> 26.1.7不符合招标文件中规定的实质性要求和条件的（本招标文件中加★项为实质性要求和条件）。</w:t>
      </w:r>
      <w:r/>
    </w:p>
    <w:p>
      <w:pPr>
        <w:ind w:firstLine="480"/>
        <w:spacing w:line="560" w:lineRule="exact"/>
        <w:rPr>
          <w:rFonts w:hint="eastAsia"/>
          <w:bCs/>
          <w:color w:val="auto"/>
          <w:sz w:val="24"/>
          <w:highlight w:val="none"/>
        </w:rPr>
      </w:pPr>
      <w:r>
        <w:rPr>
          <w:rFonts w:hint="eastAsia"/>
          <w:bCs/>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rFonts w:hint="eastAsia"/>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26.2.1符合专业条件的投标人或者对招标文件作实质响应的投标人不足三家的。</w:t>
      </w:r>
      <w:r/>
    </w:p>
    <w:p>
      <w:pPr>
        <w:ind w:left="479"/>
        <w:spacing w:line="560" w:lineRule="exact"/>
        <w:rPr>
          <w:rFonts w:hint="eastAsia"/>
          <w:bCs/>
          <w:color w:val="auto"/>
          <w:sz w:val="24"/>
          <w:highlight w:val="none"/>
        </w:rPr>
      </w:pPr>
      <w:r>
        <w:rPr>
          <w:rFonts w:hint="eastAsia"/>
          <w:bCs/>
          <w:color w:val="auto"/>
          <w:sz w:val="24"/>
          <w:highlight w:val="none"/>
        </w:rPr>
        <w:t xml:space="preserve">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rFonts w:hint="eastAsia"/>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962"/>
        <w:ind w:firstLine="482"/>
        <w:spacing w:before="0" w:after="0" w:line="560" w:lineRule="exact"/>
        <w:rPr>
          <w:rFonts w:hint="eastAsia"/>
          <w:color w:val="auto"/>
          <w:highlight w:val="none"/>
        </w:rPr>
      </w:pPr>
      <w:r/>
      <w:bookmarkStart w:id="198" w:name="_Toc7948"/>
      <w:r/>
      <w:bookmarkStart w:id="199" w:name="_Toc158281554"/>
      <w:r/>
      <w:bookmarkStart w:id="200" w:name="_Toc120614219"/>
      <w:r>
        <w:rPr>
          <w:rFonts w:hint="eastAsia"/>
          <w:color w:val="auto"/>
          <w:highlight w:val="none"/>
        </w:rPr>
        <w:t xml:space="preserve">六、</w:t>
      </w:r>
      <w:bookmarkEnd w:id="195"/>
      <w:r/>
      <w:bookmarkEnd w:id="196"/>
      <w:r/>
      <w:bookmarkEnd w:id="197"/>
      <w:r>
        <w:rPr>
          <w:rFonts w:hint="eastAsia"/>
          <w:color w:val="auto"/>
          <w:highlight w:val="none"/>
        </w:rPr>
        <w:t xml:space="preserve">定标</w:t>
      </w:r>
      <w:bookmarkEnd w:id="198"/>
      <w:r/>
      <w:bookmarkEnd w:id="199"/>
      <w:r/>
      <w:bookmarkEnd w:id="200"/>
      <w:r/>
      <w:r/>
    </w:p>
    <w:p>
      <w:pPr>
        <w:pStyle w:val="963"/>
        <w:ind w:firstLine="420"/>
        <w:spacing w:before="0" w:after="0" w:line="560" w:lineRule="exact"/>
        <w:rPr>
          <w:rFonts w:hint="eastAsia" w:ascii="Times New Roman" w:hAnsi="Times New Roman"/>
          <w:b w:val="0"/>
          <w:bCs w:val="0"/>
          <w:color w:val="auto"/>
          <w:highlight w:val="none"/>
        </w:rPr>
      </w:pPr>
      <w:r/>
      <w:bookmarkStart w:id="201" w:name="_Toc513029238"/>
      <w:r/>
      <w:bookmarkStart w:id="202" w:name="_Toc16938554"/>
      <w:r/>
      <w:bookmarkStart w:id="203" w:name="_Toc20823310"/>
      <w:r>
        <w:rPr>
          <w:rFonts w:hint="eastAsia" w:ascii="Times New Roman" w:hAnsi="Times New Roman"/>
          <w:b w:val="0"/>
          <w:bCs w:val="0"/>
          <w:color w:val="auto"/>
          <w:highlight w:val="none"/>
        </w:rPr>
        <w:t xml:space="preserve">27、</w:t>
      </w:r>
      <w:bookmarkEnd w:id="201"/>
      <w:r>
        <w:rPr>
          <w:rFonts w:hint="eastAsia" w:ascii="Times New Roman" w:hAnsi="Times New Roman"/>
          <w:b w:val="0"/>
          <w:bCs w:val="0"/>
          <w:color w:val="auto"/>
          <w:highlight w:val="none"/>
        </w:rPr>
        <w:t xml:space="preserve">确定</w:t>
      </w:r>
      <w:bookmarkEnd w:id="202"/>
      <w:r/>
      <w:bookmarkEnd w:id="203"/>
      <w:r>
        <w:rPr>
          <w:rFonts w:hint="eastAsia" w:ascii="Times New Roman" w:hAnsi="Times New Roman"/>
          <w:b w:val="0"/>
          <w:bCs w:val="0"/>
          <w:color w:val="auto"/>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lang w:val="en-US" w:eastAsia="zh-CN"/>
        </w:rPr>
        <w:t xml:space="preserve">1</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204"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28、质疑处理</w:t>
      </w:r>
      <w:bookmarkEnd w:id="204"/>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联系部门：</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                 </w:t>
      </w:r>
      <w:r/>
    </w:p>
    <w:p>
      <w:pPr>
        <w:ind w:firstLine="480"/>
        <w:spacing w:line="500" w:lineRule="exact"/>
        <w:rPr>
          <w:rFonts w:hint="default"/>
          <w:color w:val="auto"/>
          <w:sz w:val="24"/>
          <w:szCs w:val="24"/>
          <w:highlight w:val="none"/>
          <w:lang w:val="en-US" w:eastAsia="zh-CN"/>
        </w:rPr>
      </w:pPr>
      <w:r>
        <w:rPr>
          <w:rFonts w:hint="eastAsia"/>
          <w:color w:val="auto"/>
          <w:sz w:val="24"/>
          <w:szCs w:val="24"/>
          <w:highlight w:val="none"/>
        </w:rPr>
        <w:t xml:space="preserve">联系电话：</w:t>
      </w:r>
      <w:bookmarkStart w:id="205" w:name="EB5b41b423f63941cebdd46b3e34fcab34"/>
      <w:r>
        <w:rPr>
          <w:rFonts w:hint="eastAsia"/>
          <w:color w:val="auto"/>
          <w:sz w:val="24"/>
          <w:szCs w:val="24"/>
          <w:highlight w:val="none"/>
        </w:rPr>
        <w:t xml:space="preserve">0527</w:t>
      </w:r>
      <w:r>
        <w:rPr>
          <w:rFonts w:hint="eastAsia"/>
          <w:color w:val="auto"/>
          <w:sz w:val="24"/>
          <w:szCs w:val="24"/>
          <w:highlight w:val="none"/>
          <w:lang w:val="en-US" w:eastAsia="zh-CN"/>
        </w:rPr>
        <w:t xml:space="preserve">-</w:t>
      </w:r>
      <w:r>
        <w:rPr>
          <w:rFonts w:hint="eastAsia"/>
          <w:color w:val="auto"/>
          <w:sz w:val="24"/>
          <w:szCs w:val="24"/>
          <w:highlight w:val="none"/>
        </w:rPr>
        <w:t xml:space="preserve">84468852/</w:t>
      </w:r>
      <w:bookmarkEnd w:id="205"/>
      <w:r>
        <w:rPr>
          <w:rFonts w:hint="eastAsia"/>
          <w:color w:val="auto"/>
          <w:sz w:val="24"/>
          <w:szCs w:val="24"/>
          <w:highlight w:val="none"/>
          <w:lang w:val="en-US" w:eastAsia="zh-CN"/>
        </w:rPr>
        <w:t xml:space="preserve">0527-81238009</w:t>
      </w:r>
      <w:r/>
    </w:p>
    <w:p>
      <w:pPr>
        <w:ind w:firstLine="480"/>
        <w:spacing w:line="560" w:lineRule="exact"/>
        <w:rPr>
          <w:color w:val="auto"/>
          <w:sz w:val="24"/>
          <w:szCs w:val="24"/>
          <w:highlight w:val="none"/>
        </w:rPr>
      </w:pPr>
      <w:r>
        <w:rPr>
          <w:rFonts w:hint="eastAsia"/>
          <w:color w:val="auto"/>
          <w:sz w:val="24"/>
          <w:szCs w:val="24"/>
          <w:highlight w:val="none"/>
        </w:rPr>
        <w:t xml:space="preserve">通讯地址：宿迁市宿豫区</w:t>
      </w:r>
      <w:r>
        <w:rPr>
          <w:rFonts w:hint="eastAsia"/>
          <w:color w:val="auto"/>
          <w:sz w:val="24"/>
          <w:szCs w:val="24"/>
          <w:highlight w:val="none"/>
          <w:lang w:val="en-US" w:eastAsia="zh-CN"/>
        </w:rPr>
        <w:t xml:space="preserve">湘江路30号</w:t>
      </w:r>
      <w:r>
        <w:rPr>
          <w:rFonts w:hint="eastAsia"/>
          <w:color w:val="auto"/>
          <w:sz w:val="24"/>
          <w:szCs w:val="24"/>
          <w:highlight w:val="none"/>
        </w:rPr>
        <w:t xml:space="preserve">、宿豫区金融财富中心C座14楼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质疑投标人对采购人、采购代理机构的答复不满意，或者采购人、采购代理机构未在规定时间内作出答复的，可以在答复期满后15个工作日内向同级财政部门提起投诉。</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w:t>
      </w:r>
      <w:r>
        <w:rPr>
          <w:rFonts w:hint="eastAsia"/>
          <w:b/>
          <w:color w:val="auto"/>
          <w:sz w:val="24"/>
          <w:szCs w:val="24"/>
          <w:highlight w:val="none"/>
        </w:rPr>
        <w:t xml:space="preserve"> </w:t>
      </w:r>
      <w:r>
        <w:rPr>
          <w:rFonts w:hint="eastAsia"/>
          <w:color w:val="auto"/>
          <w:sz w:val="24"/>
          <w:szCs w:val="24"/>
          <w:highlight w:val="none"/>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2"/>
        <w:spacing w:before="0" w:after="0" w:line="560" w:lineRule="exact"/>
        <w:rPr>
          <w:rFonts w:hint="eastAsia"/>
          <w:color w:val="auto"/>
          <w:highlight w:val="none"/>
        </w:rPr>
      </w:pPr>
      <w:r/>
      <w:bookmarkStart w:id="206" w:name="_Toc513029236"/>
      <w:r/>
      <w:bookmarkStart w:id="207" w:name="_Toc8881"/>
      <w:r/>
      <w:bookmarkStart w:id="208" w:name="_Toc120614220"/>
      <w:r/>
      <w:bookmarkStart w:id="209" w:name="_Toc158281555"/>
      <w:r/>
      <w:bookmarkStart w:id="210" w:name="_Toc16938552"/>
      <w:r/>
      <w:bookmarkStart w:id="211" w:name="_Toc20823308"/>
      <w:r>
        <w:rPr>
          <w:rFonts w:hint="eastAsia"/>
          <w:color w:val="auto"/>
          <w:highlight w:val="none"/>
        </w:rPr>
        <w:t xml:space="preserve">七、授予合同</w:t>
      </w:r>
      <w:bookmarkEnd w:id="206"/>
      <w:r/>
      <w:bookmarkEnd w:id="207"/>
      <w:r/>
      <w:bookmarkEnd w:id="208"/>
      <w:r/>
      <w:bookmarkEnd w:id="209"/>
      <w:r/>
      <w:bookmarkEnd w:id="210"/>
      <w:r/>
      <w:bookmarkEnd w:id="211"/>
      <w:r/>
      <w:r/>
    </w:p>
    <w:p>
      <w:pPr>
        <w:pStyle w:val="963"/>
        <w:ind w:firstLine="600"/>
        <w:spacing w:before="0" w:after="0" w:line="560" w:lineRule="exact"/>
        <w:rPr>
          <w:rFonts w:hint="eastAsia" w:ascii="Times New Roman" w:hAnsi="Times New Roman"/>
          <w:b w:val="0"/>
          <w:color w:val="auto"/>
          <w:sz w:val="30"/>
          <w:szCs w:val="30"/>
          <w:highlight w:val="none"/>
        </w:rPr>
      </w:pPr>
      <w:r/>
      <w:bookmarkStart w:id="212" w:name="_Toc16938553"/>
      <w:r/>
      <w:bookmarkStart w:id="213" w:name="_Toc513029237"/>
      <w:r/>
      <w:bookmarkStart w:id="214" w:name="_Toc20823309"/>
      <w:r>
        <w:rPr>
          <w:rFonts w:hint="eastAsia" w:ascii="Times New Roman" w:hAnsi="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w:t>
      </w:r>
      <w:r>
        <w:rPr>
          <w:rFonts w:hint="eastAsia"/>
          <w:b/>
          <w:color w:val="auto"/>
          <w:sz w:val="24"/>
          <w:szCs w:val="24"/>
          <w:highlight w:val="none"/>
        </w:rPr>
        <w:t xml:space="preserve"> </w:t>
      </w:r>
      <w:r>
        <w:rPr>
          <w:rFonts w:hint="eastAsia"/>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48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rPr>
        <w:t xml:space="preserve">30.5履约保证金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按照以下第（2） 方式确定履约保证收取方式。</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(1)不收取履约保证金。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(2)本项目收取履约保证</w:t>
      </w:r>
      <w:r>
        <w:rPr>
          <w:rFonts w:hint="eastAsia"/>
          <w:color w:val="auto"/>
          <w:sz w:val="24"/>
          <w:szCs w:val="24"/>
          <w:highlight w:val="none"/>
          <w:lang w:val="en-US" w:eastAsia="zh-CN"/>
        </w:rPr>
        <w:t xml:space="preserve">金</w:t>
      </w:r>
      <w:r>
        <w:rPr>
          <w:rFonts w:hint="eastAsia"/>
          <w:color w:val="auto"/>
          <w:sz w:val="24"/>
          <w:szCs w:val="24"/>
          <w:highlight w:val="none"/>
          <w:lang w:val="zh-CN"/>
        </w:rPr>
        <w:t xml:space="preserve">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w:t>
      </w:r>
      <w:r>
        <w:rPr>
          <w:rFonts w:hint="eastAsia"/>
          <w:color w:val="auto"/>
          <w:sz w:val="24"/>
          <w:szCs w:val="24"/>
          <w:highlight w:val="none"/>
          <w:lang w:val="en-US" w:eastAsia="zh-CN"/>
        </w:rPr>
        <w:t xml:space="preserve">人民币</w:t>
      </w:r>
      <w:r>
        <w:rPr>
          <w:rFonts w:hint="eastAsia"/>
          <w:color w:val="auto"/>
          <w:sz w:val="24"/>
          <w:szCs w:val="24"/>
          <w:highlight w:val="none"/>
          <w:lang w:val="zh-CN"/>
        </w:rPr>
        <w:t xml:space="preserve">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履约保证金退还的条件：</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货物类项目，项目验收合格，出具验收报告及履约保证金收据申请退付；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履约保证金退还时间：采购单位收到投标人退付申请后5个工作日内退还；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逾期退还履约保证金的违约责任：除应当退还履约保证金外，还应当按中国人民银行同期贷款</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2"/>
      <w:r/>
      <w:bookmarkEnd w:id="213"/>
      <w:r/>
      <w:bookmarkEnd w:id="214"/>
      <w:r/>
      <w:r/>
    </w:p>
    <w:p>
      <w:pPr>
        <w:pStyle w:val="963"/>
        <w:ind w:firstLine="600"/>
        <w:spacing w:before="0" w:after="0" w:line="560" w:lineRule="exact"/>
        <w:rPr>
          <w:rFonts w:ascii="Times New Roman" w:hAnsi="Times New Roman"/>
          <w:b w:val="0"/>
          <w:color w:val="auto"/>
          <w:sz w:val="30"/>
          <w:szCs w:val="30"/>
          <w:highlight w:val="none"/>
        </w:rPr>
      </w:pPr>
      <w:r/>
      <w:bookmarkStart w:id="215" w:name="_Toc20823314"/>
      <w:r/>
      <w:bookmarkStart w:id="216" w:name="_Toc479757207"/>
      <w:r/>
      <w:bookmarkStart w:id="217" w:name="_Toc513029242"/>
      <w:r/>
      <w:bookmarkStart w:id="218" w:name="_Toc16938558"/>
      <w:r/>
      <w:bookmarkStart w:id="219" w:name="_Toc120614221"/>
      <w:r>
        <w:rPr>
          <w:rFonts w:hint="eastAsia" w:ascii="Times New Roman" w:hAnsi="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63"/>
        <w:ind w:firstLine="602"/>
        <w:spacing w:before="0" w:after="0" w:line="560" w:lineRule="exac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 xml:space="preserve">33、验收及付款</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auto"/>
          <w:sz w:val="24"/>
          <w:highlight w:val="none"/>
        </w:rPr>
      </w:pPr>
      <w:r>
        <w:rPr>
          <w:rFonts w:hint="eastAsia"/>
          <w:bCs/>
          <w:color w:val="auto"/>
          <w:sz w:val="24"/>
          <w:highlight w:val="none"/>
          <w:lang w:val="zh-CN"/>
        </w:rPr>
        <w:t xml:space="preserve">33.2</w:t>
      </w:r>
      <w:r>
        <w:rPr>
          <w:rFonts w:hint="eastAsia"/>
          <w:bCs/>
          <w:color w:val="auto"/>
          <w:sz w:val="24"/>
          <w:highlight w:val="none"/>
        </w:rPr>
        <w:t xml:space="preserve">对于实际使用人和甲方分离项目，甲方邀请实际使用人参与验收，实际使用人意见决定验收结果。</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auto"/>
          <w:sz w:val="24"/>
          <w:highlight w:val="none"/>
        </w:rPr>
      </w:pPr>
      <w:r>
        <w:rPr>
          <w:rFonts w:hint="eastAsia"/>
          <w:b/>
          <w:color w:val="auto"/>
          <w:sz w:val="24"/>
          <w:highlight w:val="none"/>
        </w:rPr>
        <w:t xml:space="preserve">付款</w:t>
      </w:r>
      <w:r/>
    </w:p>
    <w:p>
      <w:pPr>
        <w:ind w:firstLine="482"/>
        <w:spacing w:line="560" w:lineRule="exact"/>
        <w:rPr>
          <w:rFonts w:hint="eastAsia"/>
          <w:bCs/>
          <w:color w:val="auto"/>
          <w:sz w:val="24"/>
          <w:highlight w:val="none"/>
        </w:rPr>
      </w:pPr>
      <w:r/>
      <w:bookmarkStart w:id="220" w:name="EBec7f529f50594afd871ea9378869e456"/>
      <w:r>
        <w:rPr>
          <w:rFonts w:hint="eastAsia"/>
          <w:bCs/>
          <w:color w:val="auto"/>
          <w:sz w:val="24"/>
          <w:highlight w:val="none"/>
        </w:rPr>
        <w:t xml:space="preserve">按照</w:t>
      </w:r>
      <w:r>
        <w:rPr>
          <w:rFonts w:hint="eastAsia"/>
          <w:bCs/>
          <w:color w:val="auto"/>
          <w:sz w:val="24"/>
          <w:highlight w:val="none"/>
          <w:u w:val="single"/>
        </w:rPr>
        <w:t xml:space="preserve">服务类</w:t>
      </w:r>
      <w:r>
        <w:rPr>
          <w:rFonts w:hint="eastAsia"/>
          <w:bCs/>
          <w:color w:val="auto"/>
          <w:sz w:val="24"/>
          <w:highlight w:val="none"/>
        </w:rPr>
        <w:t xml:space="preserve">确定的付款方式，采购人及时办理付款手续。对于满足合同约定支付条件的，自收到发票后10个工作日内将资金支付到合同约定的投标人账户或投标人数字人民币账户。</w:t>
      </w:r>
      <w:bookmarkEnd w:id="220"/>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（1）货物类项目</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 </w:t>
      </w:r>
      <w:r/>
    </w:p>
    <w:p>
      <w:pPr>
        <w:ind w:firstLine="482"/>
        <w:spacing w:line="5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进度款：</w:t>
      </w:r>
      <w:bookmarkStart w:id="221" w:name="EBf1f8b954f7504a2cb44cef25707c76a6"/>
      <w:r/>
      <w:bookmarkEnd w:id="221"/>
      <w:r>
        <w:rPr>
          <w:rFonts w:hint="eastAsia" w:ascii="宋体" w:hAnsi="宋体" w:cs="宋体"/>
          <w:bCs/>
          <w:color w:val="auto"/>
          <w:sz w:val="24"/>
          <w:highlight w:val="none"/>
          <w:u w:val="single"/>
        </w:rPr>
        <w:t xml:space="preserve">  /  。</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bookmarkStart w:id="222" w:name="EBe373fd05aa034cc3a1a41aadf8509e01"/>
      <w:r>
        <w:rPr>
          <w:rFonts w:hint="eastAsia"/>
          <w:bCs/>
          <w:color w:val="auto"/>
          <w:sz w:val="24"/>
          <w:highlight w:val="none"/>
          <w:u w:val="single"/>
        </w:rPr>
        <w:t xml:space="preserve">10%</w:t>
      </w:r>
      <w:bookmarkEnd w:id="222"/>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color w:val="auto"/>
          <w:highlight w:val="none"/>
        </w:rPr>
      </w:pPr>
      <w:r>
        <w:rPr>
          <w:rFonts w:hint="eastAsia" w:ascii="Times New Roman" w:hAnsi="Times New Roman" w:eastAsia="宋体" w:cs="Times New Roman"/>
          <w:bCs/>
          <w:color w:val="auto"/>
          <w:sz w:val="24"/>
          <w:highlight w:val="none"/>
          <w:lang w:val="en-US" w:eastAsia="zh-CN"/>
        </w:rPr>
        <w:t xml:space="preserve">进度款：本项目服务费用采取按季度支付的方式，前面季度的付款从预付款中抵扣，扣完为止。乙方考核分值实行月度百分制，所扣分数与甲方支付服务费金额挂钩。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numPr>
          <w:ilvl w:val="0"/>
          <w:numId w:val="5"/>
        </w:num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工程类项目</w:t>
      </w:r>
      <w:r/>
    </w:p>
    <w:p>
      <w:pPr>
        <w:ind w:firstLine="482"/>
        <w:spacing w:line="5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w:t>
      </w:r>
      <w:r>
        <w:rPr>
          <w:rFonts w:hint="eastAsia" w:ascii="宋体" w:hAnsi="宋体" w:cs="宋体"/>
          <w:color w:val="auto"/>
          <w:sz w:val="24"/>
          <w:highlight w:val="none"/>
        </w:rPr>
        <w:t xml:space="preserve"> </w:t>
      </w:r>
      <w:r/>
    </w:p>
    <w:p>
      <w:pPr>
        <w:ind w:firstLine="482"/>
        <w:spacing w:line="56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进度款：</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2"/>
        <w:spacing w:line="560" w:lineRule="exact"/>
        <w:rPr>
          <w:rFonts w:hint="eastAsia"/>
          <w:b/>
          <w:color w:val="auto"/>
          <w:sz w:val="24"/>
          <w:highlight w:val="none"/>
        </w:rPr>
      </w:pPr>
      <w:r>
        <w:rPr>
          <w:rFonts w:hint="eastAsia"/>
          <w:b/>
          <w:color w:val="auto"/>
          <w:sz w:val="24"/>
          <w:highlight w:val="none"/>
        </w:rPr>
        <w:t xml:space="preserve">注：在签订合同时，中标人明确表示无需预付款或者主动要求降低预付款比例的金额，采购人可不适用预付款规定。</w:t>
      </w:r>
      <w:r/>
    </w:p>
    <w:p>
      <w:pPr>
        <w:pStyle w:val="960"/>
        <w:rPr>
          <w:rFonts w:hint="eastAsia" w:ascii="Times New Roman" w:eastAsia="黑体"/>
          <w:color w:val="auto"/>
          <w:sz w:val="44"/>
          <w:szCs w:val="44"/>
          <w:highlight w:val="none"/>
        </w:rPr>
      </w:pPr>
      <w:r>
        <w:rPr>
          <w:rFonts w:hint="eastAsia" w:ascii="Times New Roman" w:eastAsia="黑体"/>
          <w:bCs/>
          <w:color w:val="auto"/>
          <w:sz w:val="44"/>
          <w:highlight w:val="none"/>
        </w:rPr>
        <w:br w:type="page" w:clear="all"/>
      </w:r>
      <w:r>
        <w:rPr>
          <w:rFonts w:hint="eastAsia" w:ascii="Times New Roman" w:eastAsia="黑体"/>
          <w:color w:val="auto"/>
          <w:sz w:val="44"/>
          <w:szCs w:val="44"/>
          <w:highlight w:val="none"/>
          <w:lang w:val="en-US" w:eastAsia="zh-CN"/>
        </w:rPr>
        <w:t xml:space="preserve"> </w:t>
      </w:r>
      <w:bookmarkStart w:id="223" w:name="_Toc19207"/>
      <w:r>
        <w:rPr>
          <w:rFonts w:hint="eastAsia" w:ascii="Times New Roman" w:eastAsia="黑体"/>
          <w:color w:val="auto"/>
          <w:sz w:val="44"/>
          <w:szCs w:val="44"/>
          <w:highlight w:val="none"/>
        </w:rPr>
        <w:t xml:space="preserve">第三章  </w:t>
      </w:r>
      <w:bookmarkEnd w:id="215"/>
      <w:r/>
      <w:bookmarkEnd w:id="216"/>
      <w:r/>
      <w:bookmarkEnd w:id="217"/>
      <w:r/>
      <w:bookmarkEnd w:id="218"/>
      <w:r/>
      <w:bookmarkEnd w:id="219"/>
      <w:r/>
      <w:bookmarkStart w:id="224" w:name="_Hlt16619350"/>
      <w:r/>
      <w:bookmarkStart w:id="225" w:name="_Toc16938590"/>
      <w:r/>
      <w:bookmarkStart w:id="226" w:name="_Toc120614244"/>
      <w:r/>
      <w:bookmarkStart w:id="227" w:name="_Toc20823346"/>
      <w:r/>
      <w:bookmarkStart w:id="228" w:name="_Toc462564139"/>
      <w:r/>
      <w:bookmarkStart w:id="229" w:name="_Toc479757211"/>
      <w:r>
        <w:rPr>
          <w:rFonts w:hint="eastAsia" w:ascii="Times New Roman" w:eastAsia="黑体"/>
          <w:color w:val="auto"/>
          <w:sz w:val="44"/>
          <w:szCs w:val="44"/>
          <w:highlight w:val="none"/>
          <w:lang w:val="en-US" w:eastAsia="zh-CN"/>
        </w:rPr>
        <w:t xml:space="preserve">合同文本</w:t>
      </w:r>
      <w:bookmarkEnd w:id="223"/>
      <w:r/>
      <w:r/>
    </w:p>
    <w:p>
      <w:pPr>
        <w:rPr>
          <w:rFonts w:hint="eastAsia"/>
          <w:color w:val="auto"/>
          <w:highlight w:val="none"/>
        </w:rPr>
      </w:pPr>
      <w:r>
        <w:rPr>
          <w:rFonts w:hint="eastAsia"/>
          <w:color w:val="auto"/>
          <w:highlight w:val="none"/>
        </w:rPr>
      </w:r>
      <w:r/>
    </w:p>
    <w:p>
      <w:pPr>
        <w:jc w:val="both"/>
        <w:spacing w:after="0" w:line="440" w:lineRule="atLeast"/>
        <w:rPr>
          <w:rFonts w:hint="eastAsia" w:ascii="仿宋" w:hAnsi="仿宋" w:eastAsia="仿宋"/>
          <w:b/>
          <w:color w:val="auto"/>
          <w:sz w:val="28"/>
          <w:szCs w:val="28"/>
          <w:highlight w:val="none"/>
          <w:lang w:eastAsia="zh-CN"/>
        </w:rPr>
      </w:pPr>
      <w:r>
        <w:rPr>
          <w:rFonts w:hint="eastAsia" w:ascii="仿宋" w:hAnsi="仿宋" w:eastAsia="仿宋"/>
          <w:color w:val="auto"/>
          <w:sz w:val="32"/>
          <w:szCs w:val="22"/>
          <w:highlight w:val="none"/>
        </w:rPr>
        <w:t xml:space="preserve">合同编号：</w:t>
      </w:r>
      <w:r>
        <w:rPr>
          <w:rFonts w:hint="eastAsia" w:ascii="仿宋" w:hAnsi="仿宋" w:eastAsia="仿宋"/>
          <w:color w:val="auto"/>
          <w:sz w:val="32"/>
          <w:szCs w:val="22"/>
          <w:highlight w:val="none"/>
          <w:lang w:eastAsia="zh-CN"/>
        </w:rPr>
        <w:t xml:space="preserve">JSZC-321302-JSRB-G2026-0002</w:t>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52"/>
          <w:szCs w:val="52"/>
          <w:highlight w:val="none"/>
        </w:rPr>
      </w:pPr>
      <w:r>
        <w:rPr>
          <w:rFonts w:ascii="仿宋" w:hAnsi="仿宋" w:eastAsia="仿宋"/>
          <w:b/>
          <w:color w:val="auto"/>
          <w:sz w:val="52"/>
          <w:szCs w:val="52"/>
          <w:highlight w:val="none"/>
        </w:rPr>
        <w:t xml:space="preserve">政府采购合同</w:t>
      </w:r>
      <w:r/>
    </w:p>
    <w:p>
      <w:pPr>
        <w:jc w:val="center"/>
        <w:spacing w:after="0" w:line="440" w:lineRule="atLeast"/>
        <w:rPr>
          <w:rFonts w:hint="eastAsia" w:ascii="仿宋" w:hAnsi="仿宋" w:eastAsia="仿宋"/>
          <w:b/>
          <w:color w:val="auto"/>
          <w:sz w:val="44"/>
          <w:szCs w:val="52"/>
          <w:highlight w:val="none"/>
        </w:rPr>
      </w:pPr>
      <w:r>
        <w:rPr>
          <w:rFonts w:hint="eastAsia" w:ascii="仿宋" w:hAnsi="仿宋" w:eastAsia="仿宋"/>
          <w:b/>
          <w:color w:val="auto"/>
          <w:sz w:val="44"/>
          <w:szCs w:val="52"/>
          <w:highlight w:val="none"/>
        </w:rPr>
        <w:t xml:space="preserve">（服务类）</w:t>
      </w:r>
      <w:r/>
    </w:p>
    <w:p>
      <w:pPr>
        <w:pStyle w:val="1092"/>
        <w:ind w:firstLine="210"/>
        <w:rPr>
          <w:color w:val="auto"/>
          <w:highlight w:val="none"/>
        </w:rPr>
      </w:pPr>
      <w:r>
        <w:rPr>
          <w:color w:val="auto"/>
          <w:highlight w:val="none"/>
        </w:rPr>
      </w:r>
      <w:r/>
    </w:p>
    <w:p>
      <w:pPr>
        <w:pStyle w:val="1140"/>
        <w:jc w:val="both"/>
        <w:rPr>
          <w:rFonts w:ascii="楷体" w:hAnsi="楷体" w:eastAsia="楷体"/>
          <w:color w:val="auto"/>
          <w:szCs w:val="24"/>
          <w:highlight w:val="none"/>
        </w:rPr>
      </w:pPr>
      <w:r/>
      <w:bookmarkStart w:id="230" w:name="_Toc331685783"/>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项目名称：</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甲方：</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乙方：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签订地点：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签订日期：   年  月  日</w:t>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bookmarkEnd w:id="230"/>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采购单位</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全称</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w:t>
      </w:r>
      <w:r>
        <w:rPr>
          <w:rFonts w:hint="eastAsia" w:ascii="宋体" w:hAnsi="宋体" w:eastAsia="宋体" w:cs="宋体"/>
          <w:b/>
          <w:bCs w:val="0"/>
          <w:color w:val="auto"/>
          <w:sz w:val="24"/>
          <w:szCs w:val="22"/>
          <w:highlight w:val="none"/>
          <w:u w:val="single"/>
        </w:rPr>
        <w:t xml:space="preserve">                           </w:t>
      </w:r>
      <w:r>
        <w:rPr>
          <w:rFonts w:hint="eastAsia" w:ascii="宋体" w:hAnsi="宋体" w:eastAsia="宋体" w:cs="宋体"/>
          <w:b/>
          <w:bCs w:val="0"/>
          <w:color w:val="auto"/>
          <w:sz w:val="24"/>
          <w:szCs w:val="22"/>
          <w:highlight w:val="none"/>
          <w:u w:val="single"/>
          <w:lang w:eastAsia="zh-CN"/>
        </w:rPr>
        <w:t xml:space="preserve">（</w:t>
      </w:r>
      <w:r>
        <w:rPr>
          <w:rFonts w:hint="eastAsia" w:ascii="宋体" w:hAnsi="宋体" w:eastAsia="宋体" w:cs="宋体"/>
          <w:b/>
          <w:bCs w:val="0"/>
          <w:color w:val="auto"/>
          <w:sz w:val="24"/>
          <w:szCs w:val="22"/>
          <w:highlight w:val="none"/>
        </w:rPr>
        <w:t xml:space="preserve">简称甲方</w:t>
      </w:r>
      <w:r>
        <w:rPr>
          <w:rFonts w:hint="eastAsia" w:ascii="宋体" w:hAnsi="宋体" w:eastAsia="宋体" w:cs="宋体"/>
          <w:b/>
          <w:bCs w:val="0"/>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中标单位（全称）：</w:t>
      </w:r>
      <w:r>
        <w:rPr>
          <w:rFonts w:hint="eastAsia" w:ascii="宋体" w:hAnsi="宋体" w:eastAsia="宋体" w:cs="宋体"/>
          <w:b/>
          <w:bCs w:val="0"/>
          <w:color w:val="auto"/>
          <w:sz w:val="24"/>
          <w:szCs w:val="22"/>
          <w:highlight w:val="none"/>
          <w:u w:val="single"/>
          <w:lang w:val="en-US" w:eastAsia="zh-CN"/>
        </w:rPr>
        <w:t xml:space="preserve">                         </w:t>
      </w:r>
      <w:r>
        <w:rPr>
          <w:rFonts w:hint="eastAsia" w:ascii="宋体" w:hAnsi="宋体" w:eastAsia="宋体" w:cs="宋体"/>
          <w:b/>
          <w:bCs w:val="0"/>
          <w:color w:val="auto"/>
          <w:sz w:val="24"/>
          <w:szCs w:val="22"/>
          <w:highlight w:val="none"/>
        </w:rPr>
        <w:t xml:space="preserve">（简称乙方）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依据《中华人民共和国民法典</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中华人民共和国政府采购法》及与项目行业有关的法律法规，甲、乙双方就（项目名称）项目协商一致，签订本合同。</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第一条 项目基本情况</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eastAsia="zh-CN"/>
        </w:rPr>
        <w:t xml:space="preserve">2026-2029年宿豫区道路环卫保洁市场化服务项目，主要内容包括：道路环卫保洁、中转站运维、</w:t>
      </w:r>
      <w:r>
        <w:rPr>
          <w:rFonts w:hint="eastAsia" w:ascii="宋体" w:hAnsi="宋体" w:eastAsia="宋体" w:cs="宋体"/>
          <w:b w:val="0"/>
          <w:bCs/>
          <w:color w:val="auto"/>
          <w:sz w:val="24"/>
          <w:szCs w:val="22"/>
          <w:highlight w:val="none"/>
          <w:lang w:val="en-US" w:eastAsia="zh-CN"/>
        </w:rPr>
        <w:t xml:space="preserve">垃圾清运、</w:t>
      </w:r>
      <w:r>
        <w:rPr>
          <w:rFonts w:hint="eastAsia" w:ascii="宋体" w:hAnsi="宋体" w:eastAsia="宋体" w:cs="宋体"/>
          <w:b w:val="0"/>
          <w:bCs/>
          <w:color w:val="auto"/>
          <w:sz w:val="24"/>
          <w:szCs w:val="22"/>
          <w:highlight w:val="none"/>
          <w:lang w:eastAsia="zh-CN"/>
        </w:rPr>
        <w:t xml:space="preserve">公厕管理、</w:t>
      </w:r>
      <w:r>
        <w:rPr>
          <w:rFonts w:hint="eastAsia" w:ascii="宋体" w:hAnsi="宋体" w:eastAsia="宋体" w:cs="宋体"/>
          <w:b w:val="0"/>
          <w:bCs/>
          <w:color w:val="auto"/>
          <w:sz w:val="24"/>
          <w:szCs w:val="22"/>
          <w:highlight w:val="none"/>
          <w:lang w:val="en-US" w:eastAsia="zh-CN"/>
        </w:rPr>
        <w:t xml:space="preserve">水面清扫保洁等。</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第二条 合同期限</w:t>
      </w:r>
      <w:r/>
    </w:p>
    <w:p>
      <w:pPr>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合同履行期限：三年</w:t>
      </w:r>
      <w:r>
        <w:rPr>
          <w:rFonts w:hint="eastAsia" w:ascii="宋体" w:hAnsi="宋体" w:cs="宋体"/>
          <w:b w:val="0"/>
          <w:bCs/>
          <w:color w:val="auto"/>
          <w:sz w:val="24"/>
          <w:szCs w:val="22"/>
          <w:highlight w:val="none"/>
          <w:lang w:eastAsia="zh-CN"/>
        </w:rPr>
        <w:t xml:space="preserve">，</w:t>
      </w:r>
      <w:r>
        <w:rPr>
          <w:rFonts w:hint="eastAsia"/>
          <w:color w:val="auto"/>
          <w:sz w:val="24"/>
          <w:szCs w:val="24"/>
          <w:highlight w:val="none"/>
          <w:lang w:eastAsia="zh-CN"/>
        </w:rPr>
        <w:t xml:space="preserve">自合同签订之日起至项目完成</w:t>
      </w:r>
      <w:r>
        <w:rPr>
          <w:rFonts w:hint="eastAsia"/>
          <w:color w:val="auto"/>
          <w:sz w:val="24"/>
          <w:szCs w:val="24"/>
          <w:highlight w:val="none"/>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第三条 服务费用及支付方式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甲方支付乙方总服务费为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含税金额大写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人民币：</w:t>
      </w:r>
      <w:r>
        <w:rPr>
          <w:rFonts w:hint="eastAsia" w:ascii="宋体" w:hAnsi="宋体" w:eastAsia="宋体" w:cs="宋体"/>
          <w:b w:val="0"/>
          <w:bCs/>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含税金额小写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strike w:val="0"/>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付款支付的方式和时间：本项目服务费用采取按季度支付的方式，合同签订后，收到供应商发票后</w:t>
      </w:r>
      <w:r>
        <w:rPr>
          <w:rFonts w:hint="eastAsia" w:ascii="宋体" w:hAnsi="宋体" w:eastAsia="宋体" w:cs="宋体"/>
          <w:b w:val="0"/>
          <w:bCs/>
          <w:color w:val="auto"/>
          <w:sz w:val="24"/>
          <w:szCs w:val="22"/>
          <w:highlight w:val="none"/>
          <w:lang w:val="en-US" w:eastAsia="zh-CN"/>
        </w:rPr>
        <w:t xml:space="preserve">10个工作</w:t>
      </w:r>
      <w:r>
        <w:rPr>
          <w:rFonts w:hint="eastAsia" w:ascii="宋体" w:hAnsi="宋体" w:eastAsia="宋体" w:cs="宋体"/>
          <w:b w:val="0"/>
          <w:bCs/>
          <w:color w:val="auto"/>
          <w:sz w:val="24"/>
          <w:szCs w:val="22"/>
          <w:highlight w:val="none"/>
        </w:rPr>
        <w:t xml:space="preserve">日内支付合同价款的10%的预付款，前面季度的付款从预付款中抵扣，扣完为止。</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注：在签订合同时，供应商明确表示无需预付款或者主动要求降低预付款比例的，采购人可不适用前述预付款规定</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第四条 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本项目收取履约保证金应在采购合同签订前提交，履约保证金的金额：按采购合同总价的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%)计取。除银行电汇、网上银行、数字人民币外，供应商还可选用银行保函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履约保证金退还的条件：按以下第（2）种方式实行：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（1）货物类项目，项目验收合格，出具验收报告及履约保证金收据申请退付；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（2）服务类项目，项目履约期满评价合格，出具履约评价报告及履约保证金收据申请退付；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（3）工程类项目，项目完工验收合格，出具验收报告或完工证明及履约保证金收据申请退付；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履约保证金退还时间：采购单位收到供应商退付申请后 5 个工作日内退还；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履约保证金不予退还情形：除不可抗力外，供应商不履行与采购人订立的采购合同的，履约保证金不予退还，给采购人造成的损失超过履约保证金数额的，还应当对超过部分予以赔偿；采购合同约定的其他情形。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第五条 知识产权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应保证所提供的服务或其任何一部分均不会侵犯任何第三方的专利权、商标权或著作权；如导致甲方被追索的，由乙方承担最终赔偿责任（包括但不限于第三人对甲方的全部索赔金额、甲方因此支出的诉讼费、律师费、仲裁费等费用）。</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第六条 无产权瑕疵条款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乙方保证所提供服务的所有设备所有权完全属于乙方且无任何抵押、查封等产权瑕疵。如有产权瑕疵的，视为乙方违约。乙方应负担由此而产生的相关损失或向甲方缴纳合同价 2%的违约金。</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第七条 考核严格按照《20</w:t>
      </w:r>
      <w:r>
        <w:rPr>
          <w:rFonts w:hint="eastAsia" w:ascii="宋体" w:hAnsi="宋体" w:eastAsia="宋体" w:cs="宋体"/>
          <w:b/>
          <w:bCs w:val="0"/>
          <w:color w:val="auto"/>
          <w:sz w:val="24"/>
          <w:szCs w:val="22"/>
          <w:highlight w:val="none"/>
          <w:lang w:val="en-US" w:eastAsia="zh-CN"/>
        </w:rPr>
        <w:t xml:space="preserve">26</w:t>
      </w:r>
      <w:r>
        <w:rPr>
          <w:rFonts w:hint="eastAsia" w:ascii="宋体" w:hAnsi="宋体" w:eastAsia="宋体" w:cs="宋体"/>
          <w:b/>
          <w:bCs w:val="0"/>
          <w:color w:val="auto"/>
          <w:sz w:val="24"/>
          <w:szCs w:val="22"/>
          <w:highlight w:val="none"/>
        </w:rPr>
        <w:t xml:space="preserve">年宿豫区道路环卫保洁市场化服务项目考核细则》进行，考核采用100分考核奖罚制。详见招标文件第四部分采购需求。</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第八条 甲方的权利与义务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甲方有权对合同规定范围内乙方的服务行为进行监督和检查，拥有监管权。甲方有权对不符合本合同约定的部分下达整改通知书，并要求乙方限期整改，乙方应按照甲方要求及时整改到位。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甲方对乙方提供的服务进行考核，并根据考核成绩与乙方结算服务费。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负责检查监督乙方管理工作的实施及制度的执行情况。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在合同期内，甲方须按合同约定支付乙方的实际应付服务费。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在服务期间，甲方为保障乙方运营服务提供必要的协调及政策支持。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国家法律、法规所规定由甲方承担的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第九条 乙方的权利与义务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对本合同约定的服务范围内的项目享有管理权及服务义务。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根据本合同的规定向甲方收取相关服务费用，并有权在本项目管理范围内管理及合理使用。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及时向甲方通告本项目服务范围内有关服务的重大事项，及时配合处理投诉。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接受项目行业管理部门及政府有关部门的指导，接受甲方的督查考核。</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及时做好本项目的数据统计、宣传展示、培训等工作。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负责对投放的设施、设备的维护管理，确保正常运转。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7.</w:t>
      </w:r>
      <w:r>
        <w:rPr>
          <w:rFonts w:hint="eastAsia" w:ascii="宋体" w:hAnsi="宋体" w:eastAsia="宋体" w:cs="宋体"/>
          <w:b w:val="0"/>
          <w:bCs/>
          <w:color w:val="auto"/>
          <w:sz w:val="24"/>
          <w:szCs w:val="22"/>
          <w:highlight w:val="none"/>
        </w:rPr>
        <w:t xml:space="preserve">将本项目的竞标材料、组织框架、人员花名册、安全责任书、设备设施投放及运行、管理人员资质证书等复印件送甲方备案，并及时报送考核资料。</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8.</w:t>
      </w:r>
      <w:r>
        <w:rPr>
          <w:rFonts w:hint="eastAsia" w:ascii="宋体" w:hAnsi="宋体" w:eastAsia="宋体" w:cs="宋体"/>
          <w:b w:val="0"/>
          <w:bCs/>
          <w:color w:val="auto"/>
          <w:sz w:val="24"/>
          <w:szCs w:val="22"/>
          <w:highlight w:val="none"/>
        </w:rPr>
        <w:t xml:space="preserve">国家法律、法规所规定由乙方承担的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第十条 环卫员工安置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原单位聘用的环卫人员，中标人须在同等情况下优先录用，自聘用之日起，与原单位劳动关系依法终止，中标人需与其依法签订新《劳动合同》或《劳务协议》，并按合同/协议约定依法管理。</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第十一条 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（1）根据本协议规定期限，运营期满。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（2）双方就提前终止本协议经协商达成协议。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（3）因发生不可抗力而导致本经营协议已无法履行或无履行必要。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提前终止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（1）由甲方提出的下述任一条款，如果因乙方自身原因所致，如果有允许的期限而在该期限内未能得到纠正，即构成乙方违约事件，甲方有权发出终止协议通知。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1）乙方未经甲方书面同意转让特许权、项目设施或本协议及其任何部分，或乙方已经事实上不能或不再运营项目；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2）未经甲方事先书面同意，乙方连续七十二小时或任一运营年累计三百小时，无故中止运营整个项目，经甲方警告后三日内仍未恢复运营；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3）乙方未履行本协议的义务构成实质性违约，并且在收到甲方要求说明其违约，并予以补救的书面通知后六十日内仍未能补救该实质性违约；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（2）由乙方提出的下述任一条款，如果不是由于不可抗力或乙方违约所致，如果有允许的期限而在该期限内未能得到纠正，即构成甲方违约事件，乙方有权发出终止意向通知：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1）甲方或其指定机构由于与其他部门机构调整、合并或被撤销，且无相应的部门及其指定机构能够承继本协议约定的权利和义务，从而实 质上使乙方在本协议下的权利受到严重不利影响；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2）甲方非依本协议所约定的情况擅自撤销了本协议项下的特许权，或将特许权给乙方以外的公司或经济实体；</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3）甲方未履行本协议的义务构成实质性违约；并且在收到乙方要求说明其违约，并予以补救的书面通知后六十日内仍未能补救该实质性违约。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 因不可抗力导致的终止，任一方有权向对方发出终止通知。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非因乙方责任导致的此协议终止，所涉及的环卫资产、设备等相关的固定资产，经第三方评估公司评估其价值，由甲、乙双方认可，由本项目的承受方接收，所涉及款项在移交日后三十天内汇入乙方指定账户。</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终止意向通知和终止通知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1）任</w:t>
      </w:r>
      <w:r>
        <w:rPr>
          <w:rFonts w:hint="eastAsia" w:ascii="宋体" w:hAnsi="宋体" w:eastAsia="宋体" w:cs="宋体"/>
          <w:b w:val="0"/>
          <w:bCs/>
          <w:color w:val="auto"/>
          <w:sz w:val="24"/>
          <w:szCs w:val="22"/>
          <w:highlight w:val="none"/>
          <w:lang w:eastAsia="zh-CN"/>
        </w:rPr>
        <w:t xml:space="preserve">何一</w:t>
      </w:r>
      <w:r>
        <w:rPr>
          <w:rFonts w:hint="eastAsia" w:ascii="宋体" w:hAnsi="宋体" w:eastAsia="宋体" w:cs="宋体"/>
          <w:b w:val="0"/>
          <w:bCs/>
          <w:color w:val="auto"/>
          <w:sz w:val="24"/>
          <w:szCs w:val="22"/>
          <w:highlight w:val="none"/>
        </w:rPr>
        <w:t xml:space="preserve">方发出的任何终止意向通知，应表述引起发出该通知的乙方违约事件或甲方违约事件的合理详细情况。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2）在终止意向通知发出后，双方应在二十日之内或双方同意的更长时间内（下称“协商期”）协商避免本协议终止的措施</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3）如果双方就将要采取的措施达成一致意见，或双方在协商期内纠正了违约事件，终止意向通知自动失效。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1）在协商期届满之时，除非：</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A．双方另外达成一致；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B．导致发出终止意向通知的乙方违约事件，或甲方违约事件得到纠正；</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2）发出终止意向通知的一方，可以向另一方发出终止本协议的终止通知，另一方收到终止通知之日起，本协议终止。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3）任一方有权根据第十一条向对方发出终止通知，另一方收到终止通知之日起，本协议终止。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终止的一般后果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（1）继续履行由任何一方发出终止意向通知起至提前终止日，双方应继续履行采购合同下的权利和义务。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（2）其他</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1）本协议终止后，双方在本协议下的权利和义务相应终止。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2）本协议的终止不影响协议中争议解决条款和任何在采购合同终止后仍然有效的其他条款。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因乙方责任导致提前终止后的移交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范围自提前移交日起，甲方或其指定机构应立即自行承担费用负责项目的运行和维护，乙方应于提前移交日向甲方或其指定机构移交项目所有权利和权益。该等权利和权益移交时应保持终止通知发出时的状态。 若发生提前终止，而乙方与融资银行之间的贷款协议仍然有效，则乙方应确保在提前移交日之后六十日内，解除项目存在的任何其他债务、留置权、质押权、抵押权、优先权和其他担保权益及第三方权益，并向甲方提交相关的书面证明文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（2）提前移交程序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①乙方应于提前移交日后，立即向甲方或指定机构移交项目的占有权、 控制权和运营权。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②自提前移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日起，双方应立即组成移交委员会。</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③提前移交日后三日内，移交委员会应组织有关专家对项目设施进行移交前检测，并尽可能地完整记录项目在当时的运营状态及相关技术数据，并形成“提前移交报告 ”；该报告应不迟于提前移交日后十五个工作日内完成。</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④乙方应确保移交委员会和专家组能够为上述检查、记录和制作提前移交报告之目的自由进入项目设施现场。</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⑤提前移交报告作为“实际终止日”后十二个月的缺陷责任认定的依据，对双方均具有约束力。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（3）补偿金的支付和移交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①甲方或其指定机构和乙方应于本协议提前终止后三十（30） 日内确定终止补偿金额，双方在确定终止补偿金额后三十（30）日内支付终止补偿金额。乙方对项目的所有权和所有权益中不需要办理过户或其他法定手续的部分，即全部转给甲方或其指定机构。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②乙方应与甲方或其指定机构办理为移交项目的所有权和所有权益的其他部分所必需的产权过户或其他法定手续，移交全部完成之日即为“实际终止日 ”。</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经营协议期满移交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（1）移交小组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1）移交日为项目合作期结束后的第一个月 15 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2）项目合作期届满九个月前，甲方和乙方应成立移交小组，在双方同意的时间举行会谈并商定项目设施移交的详尽程序、缺陷修改计划以及移交范围的详细清单。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（2）移交范围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甲方合理要求物品与资料，如乙方雇佣的雇员名单，包括每个雇员的资格、职位、收入和福利等的详细资料等。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（3）移交责任</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（4）移交效力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1）自移交日起，乙方在本经营协议项下的权利即行终止，乙方无权取得自移交日起的服务费。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日起，所有项目设施的所有权和其他相关权益均转移给甲方或其指定的机构。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日起，由甲方或其指定的机构全面负责项目设施的管理和运维。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4）双方在本经营协议项下未履行完毕的其他权利和义务应当继续履行。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5）双方于移交日之前发生及未付的债务不得移交。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通知乙方后，有权将该物品予以提存，乙方承担搬移、运输和保管的合理费用和风险。</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第十二条 不可抗力事件处理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运营期间，如发生法律规定的不可抗力，导致完全或部分阻碍一方履行其在本协议的义务，根据不可抗力的影响，应全部或部分免除双方在本经营协</w:t>
      </w:r>
      <w:r>
        <w:rPr>
          <w:rFonts w:hint="eastAsia" w:ascii="宋体" w:hAnsi="宋体" w:eastAsia="宋体" w:cs="宋体"/>
          <w:b w:val="0"/>
          <w:bCs/>
          <w:color w:val="auto"/>
          <w:sz w:val="24"/>
          <w:szCs w:val="22"/>
          <w:highlight w:val="none"/>
          <w:lang w:eastAsia="zh-CN"/>
        </w:rPr>
        <w:t xml:space="preserve">议中</w:t>
      </w:r>
      <w:r>
        <w:rPr>
          <w:rFonts w:hint="eastAsia" w:ascii="宋体" w:hAnsi="宋体" w:eastAsia="宋体" w:cs="宋体"/>
          <w:b w:val="0"/>
          <w:bCs/>
          <w:color w:val="auto"/>
          <w:sz w:val="24"/>
          <w:szCs w:val="22"/>
          <w:highlight w:val="none"/>
        </w:rPr>
        <w:t xml:space="preserve">约定的相应义务。不可抗力包括：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（1）自然灾害（包括但不限于地震、洪水、水灾、台风、雷击等）。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（2）由于适用法律的变更或任何</w:t>
      </w:r>
      <w:r>
        <w:rPr>
          <w:rFonts w:hint="eastAsia" w:ascii="宋体" w:hAnsi="宋体" w:eastAsia="宋体" w:cs="宋体"/>
          <w:b w:val="0"/>
          <w:bCs/>
          <w:color w:val="auto"/>
          <w:sz w:val="24"/>
          <w:szCs w:val="22"/>
          <w:highlight w:val="none"/>
          <w:lang w:eastAsia="zh-CN"/>
        </w:rPr>
        <w:t xml:space="preserve">适用</w:t>
      </w:r>
      <w:r>
        <w:rPr>
          <w:rFonts w:hint="eastAsia" w:ascii="宋体" w:hAnsi="宋体" w:eastAsia="宋体" w:cs="宋体"/>
          <w:b w:val="0"/>
          <w:bCs/>
          <w:color w:val="auto"/>
          <w:sz w:val="24"/>
          <w:szCs w:val="22"/>
          <w:highlight w:val="none"/>
        </w:rPr>
        <w:t xml:space="preserve">的后继法规的颁布导致本协议的履行不再合法。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（3）国家政策性调整。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（4）双方一致认可的属于不可抗力的事件。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（5）除双方另有约定外，双方应各自承担由于不可抗力事件的发生对其造成的损失。</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（6）遭受不可抗力影响的一方在不可抗力的影响消除之后应尽快恢复履行本经营协议规定的义务。</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第十三条 违约责任</w:t>
      </w:r>
      <w:r/>
    </w:p>
    <w:p>
      <w:pPr>
        <w:pStyle w:val="1091"/>
        <w:ind w:firstLine="480"/>
        <w:spacing w:line="560" w:lineRule="exact"/>
        <w:rPr>
          <w:rFonts w:hint="eastAsia" w:ascii="宋体" w:hAnsi="宋体" w:eastAsia="宋体" w:cs="宋体"/>
          <w:b w:val="0"/>
          <w:bCs/>
          <w:color w:val="auto"/>
          <w:sz w:val="24"/>
          <w:szCs w:val="22"/>
          <w:highlight w:val="none"/>
          <w:lang w:eastAsia="zh-CN"/>
        </w:rPr>
      </w:pPr>
      <w:r>
        <w:rPr>
          <w:rFonts w:hint="eastAsia" w:ascii="宋体" w:hAnsi="宋体" w:eastAsia="宋体" w:cs="宋体"/>
          <w:b w:val="0"/>
          <w:bCs/>
          <w:color w:val="auto"/>
          <w:sz w:val="24"/>
          <w:szCs w:val="22"/>
          <w:highlight w:val="none"/>
          <w:lang w:val="en-US" w:eastAsia="zh-CN"/>
        </w:rPr>
        <w:t xml:space="preserve">1.</w:t>
      </w:r>
      <w:r>
        <w:rPr>
          <w:rFonts w:hint="eastAsia" w:ascii="宋体" w:hAnsi="宋体" w:eastAsia="宋体" w:cs="宋体"/>
          <w:b w:val="0"/>
          <w:bCs/>
          <w:color w:val="auto"/>
          <w:sz w:val="24"/>
          <w:szCs w:val="22"/>
          <w:highlight w:val="none"/>
          <w:lang w:eastAsia="zh-CN"/>
        </w:rPr>
        <w:t xml:space="preserve">乙方在</w:t>
      </w:r>
      <w:r>
        <w:rPr>
          <w:rFonts w:hint="eastAsia" w:ascii="宋体" w:hAnsi="宋体" w:eastAsia="宋体" w:cs="宋体"/>
          <w:b w:val="0"/>
          <w:bCs/>
          <w:color w:val="auto"/>
          <w:sz w:val="24"/>
          <w:szCs w:val="22"/>
          <w:highlight w:val="none"/>
          <w:lang w:val="en-US" w:eastAsia="zh-CN"/>
        </w:rPr>
        <w:t xml:space="preserve">项目所在地</w:t>
      </w:r>
      <w:r>
        <w:rPr>
          <w:rFonts w:hint="eastAsia" w:ascii="宋体" w:hAnsi="宋体" w:eastAsia="宋体" w:cs="宋体"/>
          <w:b w:val="0"/>
          <w:bCs/>
          <w:color w:val="auto"/>
          <w:sz w:val="24"/>
          <w:szCs w:val="22"/>
          <w:highlight w:val="none"/>
          <w:lang w:eastAsia="zh-CN"/>
        </w:rPr>
        <w:t xml:space="preserve">设立固定办公场所</w:t>
      </w:r>
      <w:r>
        <w:rPr>
          <w:rFonts w:hint="eastAsia" w:ascii="宋体" w:hAnsi="宋体" w:eastAsia="宋体" w:cs="宋体"/>
          <w:b w:val="0"/>
          <w:bCs/>
          <w:color w:val="auto"/>
          <w:sz w:val="24"/>
          <w:szCs w:val="22"/>
          <w:highlight w:val="none"/>
          <w:lang w:val="en-US" w:eastAsia="zh-CN"/>
        </w:rPr>
        <w:t xml:space="preserve">一处</w:t>
      </w:r>
      <w:r>
        <w:rPr>
          <w:rFonts w:hint="eastAsia" w:ascii="宋体" w:hAnsi="宋体" w:eastAsia="宋体" w:cs="宋体"/>
          <w:b w:val="0"/>
          <w:bCs/>
          <w:color w:val="auto"/>
          <w:sz w:val="24"/>
          <w:szCs w:val="22"/>
          <w:highlight w:val="none"/>
          <w:lang w:eastAsia="zh-CN"/>
        </w:rPr>
        <w:t xml:space="preserve">，用于本项目的人员办公，负责日常沟通、应急响应、问题协调</w:t>
      </w:r>
      <w:r>
        <w:rPr>
          <w:rFonts w:hint="eastAsia" w:ascii="宋体" w:hAnsi="宋体" w:eastAsia="宋体" w:cs="宋体"/>
          <w:b w:val="0"/>
          <w:bCs/>
          <w:color w:val="auto"/>
          <w:sz w:val="24"/>
          <w:szCs w:val="22"/>
          <w:highlight w:val="none"/>
          <w:lang w:val="en-US" w:eastAsia="zh-CN"/>
        </w:rPr>
        <w:t xml:space="preserve">等；另提供设施设备物料堆放仓库、满足</w:t>
      </w:r>
      <w:r>
        <w:rPr>
          <w:rFonts w:hint="eastAsia" w:ascii="宋体" w:hAnsi="宋体" w:eastAsia="宋体" w:cs="宋体"/>
          <w:b w:val="0"/>
          <w:bCs/>
          <w:color w:val="auto"/>
          <w:sz w:val="24"/>
          <w:szCs w:val="22"/>
          <w:highlight w:val="none"/>
          <w:lang w:eastAsia="zh-CN"/>
        </w:rPr>
        <w:t xml:space="preserve">车辆集中</w:t>
      </w:r>
      <w:r>
        <w:rPr>
          <w:rFonts w:hint="eastAsia" w:ascii="宋体" w:hAnsi="宋体" w:eastAsia="宋体" w:cs="宋体"/>
          <w:b w:val="0"/>
          <w:bCs/>
          <w:color w:val="auto"/>
          <w:sz w:val="24"/>
          <w:szCs w:val="22"/>
          <w:highlight w:val="none"/>
          <w:lang w:val="en-US" w:eastAsia="zh-CN"/>
        </w:rPr>
        <w:t xml:space="preserve">停放所需的停车场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lang w:val="en-US" w:eastAsia="zh-CN"/>
        </w:rPr>
        <w:t xml:space="preserve">融雪点等各不少于两处，便于管理及开展工作。</w:t>
      </w:r>
      <w:r>
        <w:rPr>
          <w:rFonts w:hint="eastAsia" w:ascii="宋体" w:hAnsi="宋体" w:eastAsia="宋体" w:cs="宋体"/>
          <w:b w:val="0"/>
          <w:bCs/>
          <w:color w:val="auto"/>
          <w:sz w:val="24"/>
          <w:szCs w:val="22"/>
          <w:highlight w:val="none"/>
          <w:lang w:eastAsia="zh-CN"/>
        </w:rPr>
        <w:t xml:space="preserve">（办公场所可以是投标人自有场地、租赁场地或与本地合法机构合作设立的服务点）。甲方将于中标后1</w:t>
      </w: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日内对乙方的办公场所设立，公司开户，服务团队组建、拟投入的车辆、人员等相关事项进行现场核实及初步验收。乙方未按要求完成的，甲方有权要求其5日内整改完毕，逾期未完成的，乙方自愿扣除当月服务费的50%作为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w:t>
      </w:r>
      <w:r>
        <w:rPr>
          <w:rFonts w:hint="eastAsia" w:ascii="宋体" w:hAnsi="宋体" w:eastAsia="宋体" w:cs="宋体"/>
          <w:b w:val="0"/>
          <w:bCs/>
          <w:color w:val="auto"/>
          <w:sz w:val="24"/>
          <w:szCs w:val="22"/>
          <w:highlight w:val="none"/>
        </w:rPr>
        <w:t xml:space="preserve">运营期间，乙方必须加强安全管理工作，如若发生安全事故，乙方自行承担一切责任及后果，如导致甲方损失的，乙方应赔偿甲方全部损失。乙方出现严重安全事故的（导致一人及以上死亡或 2 人以上重伤的），除乙方应承担全部责任及损失外，甲方还有权立即解除合同、不予支付未付费用，且乙方需向甲方支付相当于服务费（中标价）5%的违约金。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3.</w:t>
      </w:r>
      <w:r>
        <w:rPr>
          <w:rFonts w:hint="eastAsia" w:ascii="宋体" w:hAnsi="宋体" w:eastAsia="宋体" w:cs="宋体"/>
          <w:b w:val="0"/>
          <w:bCs/>
          <w:color w:val="auto"/>
          <w:sz w:val="24"/>
          <w:szCs w:val="22"/>
          <w:highlight w:val="none"/>
        </w:rPr>
        <w:t xml:space="preserve">中标后乙方保证不实质或形式转包，否则甲方有权解除本合同并没收履约保证金，并取消中标资格。</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4.</w:t>
      </w:r>
      <w:r>
        <w:rPr>
          <w:rFonts w:hint="eastAsia" w:ascii="宋体" w:hAnsi="宋体" w:eastAsia="宋体" w:cs="宋体"/>
          <w:b w:val="0"/>
          <w:bCs/>
          <w:color w:val="auto"/>
          <w:sz w:val="24"/>
          <w:szCs w:val="22"/>
          <w:highlight w:val="none"/>
        </w:rPr>
        <w:t xml:space="preserve">在重大活动</w:t>
      </w:r>
      <w:r>
        <w:rPr>
          <w:rFonts w:hint="eastAsia" w:ascii="宋体" w:hAnsi="宋体" w:eastAsia="宋体" w:cs="宋体"/>
          <w:b w:val="0"/>
          <w:bCs/>
          <w:color w:val="auto"/>
          <w:sz w:val="24"/>
          <w:szCs w:val="22"/>
          <w:highlight w:val="none"/>
          <w:lang w:eastAsia="zh-CN"/>
        </w:rPr>
        <w:t xml:space="preserve">及应急保障</w:t>
      </w:r>
      <w:r>
        <w:rPr>
          <w:rFonts w:hint="eastAsia" w:ascii="宋体" w:hAnsi="宋体" w:eastAsia="宋体" w:cs="宋体"/>
          <w:b w:val="0"/>
          <w:bCs/>
          <w:color w:val="auto"/>
          <w:sz w:val="24"/>
          <w:szCs w:val="22"/>
          <w:highlight w:val="none"/>
        </w:rPr>
        <w:t xml:space="preserve">期间</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如乙方服务质量不符合要求的，乙方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10万元/次</w:t>
      </w:r>
      <w:r>
        <w:rPr>
          <w:rFonts w:hint="eastAsia" w:ascii="宋体" w:hAnsi="宋体" w:eastAsia="宋体" w:cs="宋体"/>
          <w:b w:val="0"/>
          <w:bCs/>
          <w:color w:val="auto"/>
          <w:sz w:val="24"/>
          <w:szCs w:val="22"/>
          <w:highlight w:val="none"/>
        </w:rPr>
        <w:t xml:space="preserve">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除合同另有约定外，当乙方的服务质量不符合要求时，甲方有权要求乙方在限期内进行整改，乙方若无正当理由未在甲方限期内整改到位的，甲方根据严重程度</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向甲方支付1000～50000 元的违约金，且甲方有权委托第三方进行处理，由此产生的费用由乙方承担。如承包期内乙方发生三次及以上质量问题且不及时整改的，甲方有权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6</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本合同约定的乙方需向甲方支付的违约金如不足以弥补甲方因乙方违约所受损失的，则乙方应当继续赔偿直至甲方免受损失。对于乙方需向甲方支付的违约金、损失赔偿金，甲方有权从履约保证金或应付款中直接扣除，不足以扣除的，乙方应立即支付；但如甲方未从履约保证金或应付款中扣除乙方应付的违约金、损失赔偿金的，不代表甲方放弃任何索赔权利，甲方仍有权主张。</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val="en-US" w:eastAsia="zh-CN"/>
        </w:rPr>
        <w:t xml:space="preserve">7.服务期内，每年的11月1日至来年的3月1日，乙方应按要求提供足量的应急车辆（其中应急扫雪车4辆，应急铲车2辆，应急融雪车4辆），未按时配备或配备不全的，</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500元/天/辆的</w:t>
      </w:r>
      <w:r>
        <w:rPr>
          <w:rFonts w:hint="eastAsia" w:ascii="宋体" w:hAnsi="宋体" w:eastAsia="宋体" w:cs="宋体"/>
          <w:b w:val="0"/>
          <w:bCs/>
          <w:color w:val="auto"/>
          <w:sz w:val="24"/>
          <w:szCs w:val="22"/>
          <w:highlight w:val="none"/>
        </w:rPr>
        <w:t xml:space="preserve">违约金</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第十四条 争议解决方式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甲乙双方应通过友好协商，解决在履行本合同中所发生的或与本合同有关的一切争议。如果协商仍得不到解决，任何一方均可按《中华人民共和国民法典》规定向</w:t>
      </w:r>
      <w:r>
        <w:rPr>
          <w:rFonts w:hint="eastAsia" w:ascii="宋体" w:hAnsi="宋体" w:eastAsia="宋体" w:cs="宋体"/>
          <w:b w:val="0"/>
          <w:bCs/>
          <w:color w:val="auto"/>
          <w:sz w:val="24"/>
          <w:szCs w:val="22"/>
          <w:highlight w:val="none"/>
          <w:lang w:eastAsia="zh-CN"/>
        </w:rPr>
        <w:t xml:space="preserve">项目</w:t>
      </w:r>
      <w:r>
        <w:rPr>
          <w:rFonts w:hint="eastAsia" w:ascii="宋体" w:hAnsi="宋体" w:eastAsia="宋体" w:cs="宋体"/>
          <w:b w:val="0"/>
          <w:bCs/>
          <w:color w:val="auto"/>
          <w:sz w:val="24"/>
          <w:szCs w:val="22"/>
          <w:highlight w:val="none"/>
        </w:rPr>
        <w:t xml:space="preserve">所在地人民法院提起诉讼。</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第十五条 合同生效与终止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15.1 本合同自双方签字盖章后生效。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15.2 本合同一式拾份，双方各执肆份，其他分送相关部门。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15.3 本合同所有附件和后续经双方签章确认的补充合同，均为本合同的组成部分。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tbl>
      <w:tblPr>
        <w:tblStyle w:val="1079"/>
        <w:tblW w:w="6819"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37"/>
        <w:gridCol w:w="2482"/>
      </w:tblGrid>
      <w:tr>
        <w:trPr>
          <w:jc w:val="center"/>
          <w:trHeight w:val="317"/>
        </w:trPr>
        <w:tc>
          <w:tcPr>
            <w:tcW w:w="4337" w:type="dxa"/>
            <w:vAlign w:val="top"/>
            <w:textDirection w:val="lrTb"/>
            <w:noWrap w:val="false"/>
          </w:tcPr>
          <w:p>
            <w:pPr>
              <w:ind w:left="30"/>
              <w:spacing w:line="218"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甲方（盖章</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line="218"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乙方（盖章</w:t>
            </w:r>
            <w:r>
              <w:rPr>
                <w:rFonts w:ascii="宋体" w:hAnsi="宋体" w:eastAsia="宋体" w:cs="宋体"/>
                <w:color w:val="auto"/>
                <w:spacing w:val="-62"/>
                <w:sz w:val="24"/>
                <w:szCs w:val="24"/>
                <w:highlight w:val="none"/>
              </w:rPr>
              <w:t xml:space="preserve">）：</w:t>
            </w:r>
            <w:r/>
          </w:p>
        </w:tc>
      </w:tr>
      <w:tr>
        <w:trPr>
          <w:jc w:val="center"/>
          <w:trHeight w:val="423"/>
        </w:trPr>
        <w:tc>
          <w:tcPr>
            <w:tcW w:w="4337"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r>
      <w:tr>
        <w:trPr>
          <w:jc w:val="center"/>
          <w:trHeight w:val="422"/>
        </w:trPr>
        <w:tc>
          <w:tcPr>
            <w:tcW w:w="4337" w:type="dxa"/>
            <w:vAlign w:val="top"/>
            <w:textDirection w:val="lrTb"/>
            <w:noWrap w:val="false"/>
          </w:tcPr>
          <w:p>
            <w:pPr>
              <w:ind w:left="1"/>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r>
      <w:tr>
        <w:trPr>
          <w:jc w:val="center"/>
          <w:trHeight w:val="319"/>
        </w:trPr>
        <w:tc>
          <w:tcPr>
            <w:tcW w:w="4337" w:type="dxa"/>
            <w:vAlign w:val="top"/>
            <w:textDirection w:val="lrTb"/>
            <w:noWrap w:val="false"/>
          </w:tcPr>
          <w:p>
            <w:pPr>
              <w:ind w:firstLine="444"/>
              <w:spacing w:before="115" w:line="176"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年</w:t>
            </w:r>
            <w:r>
              <w:rPr>
                <w:rFonts w:ascii="宋体" w:hAnsi="宋体" w:eastAsia="宋体" w:cs="宋体"/>
                <w:color w:val="auto"/>
                <w:spacing w:val="5"/>
                <w:sz w:val="24"/>
                <w:szCs w:val="24"/>
                <w:highlight w:val="none"/>
              </w:rPr>
              <w:t xml:space="preserve">   </w:t>
            </w:r>
            <w:r>
              <w:rPr>
                <w:rFonts w:ascii="宋体" w:hAnsi="宋体" w:eastAsia="宋体" w:cs="宋体"/>
                <w:color w:val="auto"/>
                <w:spacing w:val="-9"/>
                <w:sz w:val="24"/>
                <w:szCs w:val="24"/>
                <w:highlight w:val="none"/>
              </w:rPr>
              <w:t xml:space="preserve">月</w:t>
            </w:r>
            <w:r>
              <w:rPr>
                <w:rFonts w:ascii="宋体" w:hAnsi="宋体" w:eastAsia="宋体" w:cs="宋体"/>
                <w:color w:val="auto"/>
                <w:spacing w:val="17"/>
                <w:sz w:val="24"/>
                <w:szCs w:val="24"/>
                <w:highlight w:val="none"/>
              </w:rPr>
              <w:t xml:space="preserve">   </w:t>
            </w:r>
            <w:r>
              <w:rPr>
                <w:rFonts w:ascii="宋体" w:hAnsi="宋体" w:eastAsia="宋体" w:cs="宋体"/>
                <w:color w:val="auto"/>
                <w:spacing w:val="-9"/>
                <w:sz w:val="24"/>
                <w:szCs w:val="24"/>
                <w:highlight w:val="none"/>
              </w:rPr>
              <w:t xml:space="preserve">日</w:t>
            </w:r>
            <w:r/>
          </w:p>
        </w:tc>
        <w:tc>
          <w:tcPr>
            <w:tcW w:w="2482" w:type="dxa"/>
            <w:vAlign w:val="top"/>
            <w:textDirection w:val="lrTb"/>
            <w:noWrap w:val="false"/>
          </w:tcPr>
          <w:p>
            <w:pPr>
              <w:ind w:firstLine="376"/>
              <w:jc w:val="both"/>
              <w:spacing w:before="115" w:line="176" w:lineRule="auto"/>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 xml:space="preserve">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26"/>
                <w:sz w:val="24"/>
                <w:szCs w:val="24"/>
                <w:highlight w:val="none"/>
              </w:rPr>
              <w:t xml:space="preserve">月</w:t>
            </w:r>
            <w:r>
              <w:rPr>
                <w:rFonts w:ascii="宋体" w:hAnsi="宋体" w:eastAsia="宋体" w:cs="宋体"/>
                <w:color w:val="auto"/>
                <w:spacing w:val="18"/>
                <w:sz w:val="24"/>
                <w:szCs w:val="24"/>
                <w:highlight w:val="none"/>
              </w:rPr>
              <w:t xml:space="preserve">   </w:t>
            </w:r>
            <w:r>
              <w:rPr>
                <w:rFonts w:ascii="宋体" w:hAnsi="宋体" w:eastAsia="宋体" w:cs="宋体"/>
                <w:color w:val="auto"/>
                <w:spacing w:val="-26"/>
                <w:sz w:val="24"/>
                <w:szCs w:val="24"/>
                <w:highlight w:val="none"/>
              </w:rPr>
              <w:t xml:space="preserve">日</w:t>
            </w:r>
            <w:r/>
          </w:p>
        </w:tc>
      </w:tr>
    </w:tbl>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color w:val="auto"/>
          <w:highlight w:val="none"/>
        </w:rPr>
      </w:pPr>
      <w:r>
        <w:rPr>
          <w:rFonts w:hint="eastAsia"/>
          <w:color w:val="auto"/>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960"/>
        <w:rPr>
          <w:rFonts w:hint="eastAsia" w:ascii="Times New Roman" w:eastAsia="黑体"/>
          <w:color w:val="auto"/>
          <w:sz w:val="44"/>
          <w:szCs w:val="44"/>
          <w:highlight w:val="none"/>
          <w:lang w:val="en-US" w:eastAsia="zh-CN"/>
        </w:rPr>
      </w:pPr>
      <w:r/>
      <w:bookmarkStart w:id="231" w:name="_Toc5153"/>
      <w:r>
        <w:rPr>
          <w:rFonts w:hint="eastAsia" w:ascii="Times New Roman" w:eastAsia="黑体"/>
          <w:color w:val="auto"/>
          <w:sz w:val="44"/>
          <w:szCs w:val="44"/>
          <w:highlight w:val="none"/>
          <w:lang w:val="en-US" w:eastAsia="zh-CN"/>
        </w:rPr>
        <w:t xml:space="preserve">第</w:t>
      </w:r>
      <w:bookmarkEnd w:id="224"/>
      <w:r>
        <w:rPr>
          <w:rFonts w:hint="eastAsia" w:ascii="Times New Roman" w:eastAsia="黑体"/>
          <w:color w:val="auto"/>
          <w:sz w:val="44"/>
          <w:szCs w:val="44"/>
          <w:highlight w:val="none"/>
          <w:lang w:val="en-US" w:eastAsia="zh-CN"/>
        </w:rPr>
        <w:t xml:space="preserve">四章 采购需求</w:t>
      </w:r>
      <w:bookmarkEnd w:id="225"/>
      <w:r/>
      <w:bookmarkEnd w:id="226"/>
      <w:r/>
      <w:bookmarkEnd w:id="227"/>
      <w:r/>
      <w:bookmarkEnd w:id="231"/>
      <w:r/>
      <w:r/>
    </w:p>
    <w:p>
      <w:pPr>
        <w:ind w:firstLine="420"/>
        <w:jc w:val="left"/>
        <w:spacing w:line="360" w:lineRule="auto"/>
        <w:rPr>
          <w:rFonts w:hint="eastAsia" w:ascii="宋体" w:hAnsi="宋体" w:cs="仿宋"/>
          <w:color w:val="auto"/>
          <w:szCs w:val="21"/>
          <w:highlight w:val="none"/>
        </w:rPr>
      </w:pPr>
      <w:r/>
      <w:bookmarkStart w:id="232" w:name="EB9808651db01c4c9e8a9e9b446004ffc2"/>
      <w:r/>
      <w:bookmarkStart w:id="233" w:name="EB7816f6fdbc96408ea7b735c177a21493"/>
      <w:r/>
      <w:bookmarkStart w:id="234" w:name="_Toc49090575"/>
      <w:r/>
      <w:bookmarkStart w:id="235" w:name="_Toc120614281"/>
      <w:r/>
      <w:bookmarkStart w:id="236" w:name="_Toc26554093"/>
      <w:r>
        <w:rPr>
          <w:rFonts w:hint="eastAsia" w:ascii="宋体" w:hAnsi="宋体" w:cs="仿宋"/>
          <w:color w:val="auto"/>
          <w:szCs w:val="21"/>
          <w:highlight w:val="none"/>
        </w:rPr>
        <w:t xml:space="preserve">项目属性：服务类项目</w:t>
      </w:r>
      <w:r/>
    </w:p>
    <w:p>
      <w:pPr>
        <w:ind w:firstLine="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本项目采购标的对应的中小企业划分标准所属行业：其他未列明行业。</w:t>
      </w:r>
      <w:r/>
    </w:p>
    <w:p>
      <w:pPr>
        <w:ind w:firstLine="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本项目不接受进口产品。</w:t>
      </w:r>
      <w:bookmarkEnd w:id="232"/>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一、项目概况</w:t>
      </w:r>
      <w:r/>
    </w:p>
    <w:p>
      <w:pPr>
        <w:ind w:firstLine="420"/>
        <w:jc w:val="left"/>
        <w:spacing w:line="360" w:lineRule="auto"/>
        <w:rPr>
          <w:rFonts w:hint="eastAsia" w:ascii="仿宋_GB2312" w:eastAsia="仿宋_GB2312"/>
          <w:color w:val="auto"/>
          <w:szCs w:val="21"/>
          <w:highlight w:val="none"/>
        </w:rPr>
      </w:pPr>
      <w:r>
        <w:rPr>
          <w:rFonts w:hint="eastAsia" w:ascii="宋体" w:hAnsi="宋体" w:cs="·ÂËÎ"/>
          <w:color w:val="auto"/>
          <w:szCs w:val="21"/>
          <w:highlight w:val="none"/>
          <w:lang w:val="en-US" w:eastAsia="zh-CN"/>
        </w:rPr>
        <w:t xml:space="preserve">（一）</w:t>
      </w:r>
      <w:r>
        <w:rPr>
          <w:rFonts w:hint="eastAsia" w:ascii="宋体" w:hAnsi="宋体" w:cs="仿宋"/>
          <w:color w:val="auto"/>
          <w:szCs w:val="21"/>
          <w:highlight w:val="none"/>
        </w:rPr>
        <w:t xml:space="preserve">宿迁市宿豫区城市管理局</w:t>
      </w:r>
      <w:r>
        <w:rPr>
          <w:rFonts w:hint="eastAsia" w:ascii="宋体" w:hAnsi="宋体" w:cs="仿宋"/>
          <w:color w:val="auto"/>
          <w:szCs w:val="21"/>
          <w:highlight w:val="none"/>
          <w:lang w:eastAsia="zh-CN"/>
        </w:rPr>
        <w:t xml:space="preserve">拟</w:t>
      </w:r>
      <w:r>
        <w:rPr>
          <w:rFonts w:hint="eastAsia" w:ascii="宋体" w:hAnsi="宋体" w:cs="仿宋"/>
          <w:color w:val="auto"/>
          <w:szCs w:val="21"/>
          <w:highlight w:val="none"/>
        </w:rPr>
        <w:t xml:space="preserve">对2026</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2029年宿豫区道路环卫保洁市场化服务项目进行招标采购，保洁范围</w:t>
      </w:r>
      <w:r>
        <w:rPr>
          <w:rFonts w:hint="eastAsia" w:ascii="宋体" w:hAnsi="宋体" w:cs="仿宋"/>
          <w:color w:val="auto"/>
          <w:szCs w:val="21"/>
          <w:highlight w:val="none"/>
          <w:lang w:val="en-US" w:eastAsia="zh-CN"/>
        </w:rPr>
        <w:t xml:space="preserve">包括高新区、张家港园区、电商园区、豫新街道（部分）和顺河街道（部分），具体详见表一-表九</w:t>
      </w:r>
      <w:r>
        <w:rPr>
          <w:rFonts w:hint="eastAsia" w:ascii="仿宋_GB2312" w:eastAsia="仿宋_GB2312"/>
          <w:color w:val="auto"/>
          <w:szCs w:val="21"/>
          <w:highlight w:val="none"/>
        </w:rPr>
        <w:t xml:space="preserve">：</w:t>
      </w:r>
      <w:r/>
    </w:p>
    <w:p>
      <w:pPr>
        <w:ind w:firstLine="361"/>
        <w:jc w:val="left"/>
        <w:spacing w:line="360" w:lineRule="auto"/>
        <w:rPr>
          <w:rFonts w:hint="default"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表一 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表二 高新区道路保洁表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表三 豫新街道道路保洁表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表四 电商园区道路保洁表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表五 顺河街道道路保洁表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表六 张家港园区道路保洁统计表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表七 财政道路保洁表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表八 管护河道汇总表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表九 公厕、中转站、公园</w:t>
      </w:r>
      <w:r/>
    </w:p>
    <w:p>
      <w:pPr>
        <w:jc w:val="center"/>
        <w:spacing w:line="360" w:lineRule="auto"/>
        <w:rPr>
          <w:rFonts w:hint="eastAsia" w:ascii="宋体" w:hAnsi="宋体" w:cs="宋体"/>
          <w:b/>
          <w:color w:val="auto"/>
          <w:sz w:val="28"/>
          <w:szCs w:val="28"/>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color w:val="auto"/>
          <w:sz w:val="28"/>
          <w:szCs w:val="28"/>
          <w:highlight w:val="none"/>
          <w:lang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2"/>
        <w:jc w:val="center"/>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表一 2026-2029年道路等级面积汇总（平方米）</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521"/>
        <w:gridCol w:w="1669"/>
        <w:gridCol w:w="1669"/>
        <w:gridCol w:w="1521"/>
        <w:gridCol w:w="1955"/>
        <w:gridCol w:w="1677"/>
        <w:gridCol w:w="1677"/>
        <w:gridCol w:w="817"/>
      </w:tblGrid>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河道岸坡</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231680.13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816763.8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124652.32</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915700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242217.31</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50735.25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49455.26</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342407.82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99907.03</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电商园区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355718.75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143673.11</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52347.54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551739.4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92328.2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顺河</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133763.45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45113.54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178876.99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71598.27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55437.25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308155.02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132480.58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11352.15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817952.58</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496984.44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1280047.48</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1199089.99</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282920.81</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3128023.11</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1878991.47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8"/>
        <w:gridCol w:w="2717"/>
        <w:gridCol w:w="1951"/>
        <w:gridCol w:w="1166"/>
        <w:gridCol w:w="1026"/>
        <w:gridCol w:w="1026"/>
        <w:gridCol w:w="1026"/>
        <w:gridCol w:w="1271"/>
        <w:gridCol w:w="1843"/>
        <w:gridCol w:w="1007"/>
        <w:gridCol w:w="563"/>
      </w:tblGrid>
      <w:tr>
        <w:trPr>
          <w:trHeight w:val="78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表二  高新区道路保洁表</w:t>
            </w:r>
            <w:r/>
          </w:p>
        </w:tc>
      </w:tr>
      <w:tr>
        <w:trPr>
          <w:trHeight w:val="600"/>
        </w:trPr>
        <w:tc>
          <w:tcPr>
            <w:tcBorders>
              <w:top w:val="single" w:color="000000" w:sz="4" w:space="0"/>
              <w:left w:val="single" w:color="000000" w:sz="4" w:space="0"/>
              <w:bottom w:val="single" w:color="000000" w:sz="4" w:space="0"/>
              <w:right w:val="single" w:color="000000" w:sz="4" w:space="0"/>
            </w:tcBorders>
            <w:tcW w:w="20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6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9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203" w:type="pct"/>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95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94"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三号桥底</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绿林小区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57237.87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29897.00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87134.87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26952.48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101981.20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58970.56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27651.47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188603.23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106055.89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103462.06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22377.03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6493.00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132332.09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88434.20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61516.88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35223.35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18867.34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115607.57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28248.76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66758.05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28164.73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26204.21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121126.99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32490.51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53253.89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27251.19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80505.08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85108.26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41405.06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17330.84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14112.40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72848.30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78973.54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17030.84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6696.02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6321.20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30048.06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3820.77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51547.78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洋北大桥北首</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60757.00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管委会北侧道路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大厦东路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11535.44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钱塘江路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6593.37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6204.24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6836.05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19633.66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6916.61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5908.74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嵩山路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11505.00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欧江路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8514.55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香山路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47956.61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雁荡山路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45673.10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47858.97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南山路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国邦石油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1906.00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力引公司</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6000.00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运河油库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4043.20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运河风光路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经一路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11967.00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水厂道路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京杭大道至豫源供水公司</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78565.00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何塘小区北侧</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11474.00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武夷山路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8373.30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162.63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8535.93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22469.11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富春江路与北京路交叉口公园及荒地</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30196.59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七号桥底公园</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75164.79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22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826484.26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232114.96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114497.03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表三  豫新街道道路保洁表</w:t>
      </w:r>
      <w:r/>
    </w:p>
    <w:tbl>
      <w:tblPr>
        <w:tblStyle w:val="77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3"/>
        <w:gridCol w:w="30"/>
        <w:gridCol w:w="1981"/>
        <w:gridCol w:w="1321"/>
        <w:gridCol w:w="5"/>
        <w:gridCol w:w="1542"/>
        <w:gridCol w:w="66"/>
        <w:gridCol w:w="1143"/>
        <w:gridCol w:w="321"/>
        <w:gridCol w:w="784"/>
        <w:gridCol w:w="543"/>
        <w:gridCol w:w="668"/>
        <w:gridCol w:w="659"/>
        <w:gridCol w:w="889"/>
        <w:gridCol w:w="588"/>
        <w:gridCol w:w="1622"/>
        <w:gridCol w:w="478"/>
        <w:gridCol w:w="495"/>
        <w:gridCol w:w="397"/>
      </w:tblGrid>
      <w:tr>
        <w:trPr>
          <w:trHeight w:val="285"/>
        </w:trPr>
        <w:tc>
          <w:tcPr>
            <w:tcBorders>
              <w:top w:val="single" w:color="000000" w:sz="4" w:space="0"/>
              <w:left w:val="single" w:color="000000" w:sz="4" w:space="0"/>
              <w:bottom w:val="single" w:color="000000" w:sz="4" w:space="0"/>
              <w:right w:val="single" w:color="000000" w:sz="4" w:space="0"/>
            </w:tcBorders>
            <w:tcW w:w="224"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24"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17019.41</w:t>
            </w:r>
            <w:r/>
          </w:p>
        </w:tc>
        <w:tc>
          <w:tcPr>
            <w:gridSpan w:val="2"/>
            <w:tcBorders>
              <w:top w:val="none" w:color="000000" w:sz="4" w:space="0"/>
              <w:left w:val="none" w:color="000000" w:sz="4" w:space="0"/>
              <w:bottom w:val="none" w:color="000000" w:sz="4" w:space="0"/>
              <w:right w:val="none" w:color="000000" w:sz="4" w:space="0"/>
            </w:tcBorders>
            <w:tcW w:w="469" w:type="pct"/>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301.08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17320.49</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34679.63</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2号桥底</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43330.40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29201.10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10353.96</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82885.46</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29892.75</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S324</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72957.38</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46386.53</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17110.89</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136454.80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35996.79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银杏大道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7594.61</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23643.59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二干渠堤顶路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13211.60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037乡道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井头三道闸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11044.00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28444.26</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2194.82</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8453.17</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39092.25</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宿豫大道（西侧）</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1760.19</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4609.25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1749.48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8118.91</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2141.12</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7"/>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222047.55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82391.70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37968.58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342407.82</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gridSpan w:val="1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表四  电商园区道路保洁表</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0"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4764.44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12740.66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17505.10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32185.75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33462.00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19214.00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15286.00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67962.00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9397.00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2130.86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南外北路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3338.73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3100.85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1815.59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8255.17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3639.30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67608.00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22713.00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90321.00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2681.00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西湖东路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47211.13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13017.86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12175.28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72404.27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9906.26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46619.54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10018.67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12814.01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69452.22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7008.39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57496.89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13103.55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11648.32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82248.76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8635.31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沱江路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8841.12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4553.51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13394.63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顺河西路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1844.04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1336.65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3180.69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1609.71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1852.43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1394.49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3246.92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1673.86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45328.15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15158.69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15224.27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75711.11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5438.76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项王东路（北侧）</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6"/>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340638.56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89902.06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121198.78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551739.40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92328.20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1"/>
        <w:gridCol w:w="2115"/>
        <w:gridCol w:w="1176"/>
        <w:gridCol w:w="1182"/>
        <w:gridCol w:w="1182"/>
        <w:gridCol w:w="1182"/>
        <w:gridCol w:w="1182"/>
        <w:gridCol w:w="1653"/>
        <w:gridCol w:w="2359"/>
        <w:gridCol w:w="1432"/>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tabs>
                <w:tab w:val="left" w:pos="5862" w:leader="none"/>
                <w:tab w:val="center" w:pos="7038" w:leader="none"/>
              </w:tabs>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表五  </w:t>
            </w: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顺河街道道路保洁表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2513.83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9304.68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11818.51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29714.39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49506.04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21772.93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8441.17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79720.14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16839.25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鸭绿江路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6857.26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项王东路（南侧）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玉泉山路东延段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曹张南路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15523.43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6335.30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7927.84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29786.57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6951.62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汉江路南延段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7132.33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3147.41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2471.07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12750.81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3213.75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98455.59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52084.32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28337.08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178876.99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71598.27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42"/>
        <w:gridCol w:w="884"/>
        <w:gridCol w:w="1103"/>
        <w:gridCol w:w="1244"/>
        <w:gridCol w:w="1244"/>
        <w:gridCol w:w="1244"/>
        <w:gridCol w:w="1738"/>
        <w:gridCol w:w="2480"/>
        <w:gridCol w:w="1488"/>
        <w:gridCol w:w="761"/>
      </w:tblGrid>
      <w:tr>
        <w:trPr>
          <w:trHeight w:val="5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5692"/>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表六  张家港园区道路保洁统计表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2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21967.01</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20031.69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20297.65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20124.88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龙虎山路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17275.98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10464.7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63684.11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993"/>
        <w:gridCol w:w="1330"/>
        <w:gridCol w:w="1392"/>
        <w:gridCol w:w="1219"/>
        <w:gridCol w:w="1219"/>
        <w:gridCol w:w="1219"/>
        <w:gridCol w:w="1556"/>
        <w:gridCol w:w="2222"/>
        <w:gridCol w:w="1355"/>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表七  财政道路保洁表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4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七号桥东首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131630.42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32933.42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9593.65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174157.49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205375.24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35854.51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13634.63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576.74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50065.88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12418.95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92605.99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67989.00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66292.06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226887.05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169939.60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老宿泗路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42587.70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25060.10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21205.50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88853.30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28127.10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梨园湾</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81784.47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44982.84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12310.47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139077.78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36424.18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宿沭线X104</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42576.01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17091.30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59667.31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15526.05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1937.21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1214.88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3152.09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7770.37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11051.74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3838.96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1254.73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16145.43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5397.45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16417.85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7477.31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5317.73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29212.89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7948.24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宿豫大道（东侧）</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1760.19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4609.25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1749.48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8118.91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2141.12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7302.74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2954.82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4156.83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14414.39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1928.73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4896.67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3303.39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8200.06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3987.41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470405.50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225089.90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122457.19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817952.58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496984.44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602"/>
        <w:gridCol w:w="1865"/>
        <w:gridCol w:w="1871"/>
        <w:gridCol w:w="2140"/>
        <w:gridCol w:w="2140"/>
        <w:gridCol w:w="2140"/>
        <w:gridCol w:w="1478"/>
      </w:tblGrid>
      <w:tr>
        <w:trPr>
          <w:trHeight w:val="72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表八 管护河道汇总表</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序号</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河道名称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岸坡面积（㎡）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合计面积（㎡）</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金沙江河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(南)何塘引河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83600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高新区</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(北)北京路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(西)金沙江路</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嘉陵江河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黑龙江河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177600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(东)漓江路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泰山河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电商园区</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六塘河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(西)十三孔闸</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豫新街道 </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阿里山河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(西)中运河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(东)江山大道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宿泗路边沟</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财政</w:t>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221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1001601.19</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326420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default" w:ascii="宋体" w:hAnsi="宋体" w:cs="仿宋"/>
          <w:color w:val="auto"/>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表九公厕、中转站、公园</w:t>
      </w:r>
      <w:r/>
    </w:p>
    <w:tbl>
      <w:tblPr>
        <w:tblStyle w:val="77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3717"/>
        <w:gridCol w:w="6215"/>
        <w:gridCol w:w="1412"/>
        <w:gridCol w:w="1795"/>
      </w:tblGrid>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具体地址</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油坊六组公厕(1)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油坊六组漓江路西侧</w:t>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按座报价</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油坊六组公厕(2)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何塘垃圾中转站大厦东路东侧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下相街道公厕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下相街道便民服务中心东侧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兴隆客运站公厕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陆庄路与漓江路交汇处西南侧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富春江路与昆仑山路交汇处东北侧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高新区管委会公厕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十八湾大道公厕1</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十八湾大道公厕2</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富春江路中转站</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富春江路与昆仑山路交汇处</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单独报价</w:t>
            </w:r>
            <w:r/>
          </w:p>
        </w:tc>
      </w:tr>
    </w:tbl>
    <w:p>
      <w:pPr>
        <w:ind w:firstLine="360"/>
        <w:jc w:val="left"/>
        <w:spacing w:line="360" w:lineRule="auto"/>
        <w:rPr>
          <w:rFonts w:hint="eastAsia" w:ascii="宋体" w:hAnsi="宋体" w:eastAsia="宋体" w:cs="宋体"/>
          <w:color w:val="auto"/>
          <w:sz w:val="18"/>
          <w:szCs w:val="18"/>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18"/>
          <w:szCs w:val="18"/>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2"/>
        <w:jc w:val="left"/>
        <w:spacing w:line="360" w:lineRule="auto"/>
        <w:rPr>
          <w:rFonts w:ascii="宋体" w:hAnsi="宋体" w:cs="仿宋"/>
          <w:b/>
          <w:color w:val="auto"/>
          <w:szCs w:val="21"/>
          <w:highlight w:val="none"/>
        </w:rPr>
      </w:pPr>
      <w:r>
        <w:rPr>
          <w:rFonts w:hint="eastAsia" w:ascii="宋体" w:hAnsi="宋体" w:cs="仿宋"/>
          <w:b/>
          <w:color w:val="auto"/>
          <w:szCs w:val="21"/>
          <w:highlight w:val="none"/>
        </w:rPr>
        <w:t xml:space="preserve">沟渠和绿地采用动态保洁的方式。</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cs="仿宋"/>
          <w:color w:val="auto"/>
          <w:szCs w:val="21"/>
          <w:highlight w:val="none"/>
          <w:lang w:eastAsia="zh-CN"/>
        </w:rPr>
        <w:t xml:space="preserve">（二）</w:t>
      </w:r>
      <w:r>
        <w:rPr>
          <w:rFonts w:hint="eastAsia" w:ascii="宋体" w:hAnsi="宋体" w:cs="仿宋"/>
          <w:color w:val="auto"/>
          <w:szCs w:val="21"/>
          <w:highlight w:val="none"/>
        </w:rPr>
        <w:t xml:space="preserve">付款方式：</w:t>
      </w:r>
      <w:r>
        <w:rPr>
          <w:rFonts w:hint="eastAsia" w:ascii="宋体" w:hAnsi="宋体" w:eastAsia="宋体" w:cs="仿宋"/>
          <w:color w:val="auto"/>
          <w:szCs w:val="21"/>
          <w:highlight w:val="none"/>
          <w:lang w:val="en-US" w:eastAsia="zh-CN"/>
        </w:rPr>
        <w:t xml:space="preserve">进度款：本项目服务费用采取按季度支付的方式，合同签订后，收到供应商发票后</w:t>
      </w:r>
      <w:r>
        <w:rPr>
          <w:rFonts w:hint="eastAsia" w:ascii="宋体" w:hAnsi="宋体" w:cs="仿宋"/>
          <w:color w:val="auto"/>
          <w:szCs w:val="21"/>
          <w:highlight w:val="none"/>
          <w:lang w:val="en-US" w:eastAsia="zh-CN"/>
        </w:rPr>
        <w:t xml:space="preserve">10个工作</w:t>
      </w:r>
      <w:r>
        <w:rPr>
          <w:rFonts w:hint="eastAsia" w:ascii="宋体" w:hAnsi="宋体" w:eastAsia="宋体" w:cs="仿宋"/>
          <w:color w:val="auto"/>
          <w:szCs w:val="21"/>
          <w:highlight w:val="none"/>
          <w:lang w:val="en-US" w:eastAsia="zh-CN"/>
        </w:rPr>
        <w:t xml:space="preserve">日内支付合同价款的10%的预付款，前面季度的付款从预付款中抵扣，扣完为止。乙方考核分值实行月度百分制，所扣分数与甲方支付服务费金额挂钩。</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eastAsia="宋体" w:cs="仿宋"/>
          <w:color w:val="auto"/>
          <w:szCs w:val="21"/>
          <w:highlight w:val="none"/>
          <w:lang w:val="en-US" w:eastAsia="zh-CN"/>
        </w:rPr>
        <w:t xml:space="preserve">合同签订后按照项目考核细则对中标方任务完成情况进行考核，</w:t>
      </w:r>
      <w:r>
        <w:rPr>
          <w:rFonts w:hint="eastAsia" w:ascii="宋体" w:hAnsi="宋体" w:eastAsia="宋体" w:cs="仿宋"/>
          <w:color w:val="auto"/>
          <w:szCs w:val="21"/>
          <w:highlight w:val="none"/>
        </w:rPr>
        <w:t xml:space="preserve">当作业质量的月综合考评得分达到90(含90分)以上时，则不扣减当月服务费;当作业质量的月综合考评得分低于90分时，每低</w:t>
      </w:r>
      <w:r>
        <w:rPr>
          <w:rFonts w:hint="eastAsia" w:ascii="宋体" w:hAnsi="宋体" w:cs="仿宋"/>
          <w:color w:val="auto"/>
          <w:szCs w:val="21"/>
          <w:highlight w:val="none"/>
          <w:lang w:val="en-US" w:eastAsia="zh-CN"/>
        </w:rPr>
        <w:t xml:space="preserve">0.</w:t>
      </w:r>
      <w:r>
        <w:rPr>
          <w:rFonts w:hint="eastAsia" w:ascii="宋体" w:hAnsi="宋体" w:eastAsia="宋体" w:cs="仿宋"/>
          <w:color w:val="auto"/>
          <w:szCs w:val="21"/>
          <w:highlight w:val="none"/>
        </w:rPr>
        <w:t xml:space="preserve">1分扣</w:t>
      </w:r>
      <w:r>
        <w:rPr>
          <w:rFonts w:hint="eastAsia" w:ascii="宋体" w:hAnsi="宋体" w:cs="仿宋"/>
          <w:color w:val="auto"/>
          <w:szCs w:val="21"/>
          <w:highlight w:val="none"/>
          <w:lang w:val="en-US" w:eastAsia="zh-CN"/>
        </w:rPr>
        <w:t xml:space="preserve">3000</w:t>
      </w:r>
      <w:r>
        <w:rPr>
          <w:rFonts w:hint="eastAsia" w:ascii="宋体" w:hAnsi="宋体" w:eastAsia="宋体" w:cs="仿宋"/>
          <w:color w:val="auto"/>
          <w:szCs w:val="21"/>
          <w:highlight w:val="none"/>
        </w:rPr>
        <w:t xml:space="preserve">元，一年内一次得分低于60分(不含60分)的，扣除年中标总额的</w:t>
      </w:r>
      <w:r>
        <w:rPr>
          <w:rFonts w:hint="eastAsia" w:ascii="宋体" w:hAnsi="宋体" w:cs="仿宋"/>
          <w:color w:val="auto"/>
          <w:szCs w:val="21"/>
          <w:highlight w:val="none"/>
          <w:lang w:val="en-US" w:eastAsia="zh-CN"/>
        </w:rPr>
        <w:t xml:space="preserve">2</w:t>
      </w:r>
      <w:r>
        <w:rPr>
          <w:rFonts w:hint="eastAsia" w:ascii="宋体" w:hAnsi="宋体" w:eastAsia="宋体" w:cs="仿宋"/>
          <w:color w:val="auto"/>
          <w:szCs w:val="21"/>
          <w:highlight w:val="none"/>
        </w:rPr>
        <w:t xml:space="preserve">0%;连续</w:t>
      </w:r>
      <w:r>
        <w:rPr>
          <w:rFonts w:hint="eastAsia" w:ascii="宋体" w:hAnsi="宋体" w:eastAsia="宋体" w:cs="仿宋"/>
          <w:color w:val="auto"/>
          <w:szCs w:val="21"/>
          <w:highlight w:val="none"/>
          <w:lang w:eastAsia="zh-CN"/>
        </w:rPr>
        <w:t xml:space="preserve">两次</w:t>
      </w:r>
      <w:r>
        <w:rPr>
          <w:rFonts w:hint="eastAsia" w:ascii="宋体" w:hAnsi="宋体" w:eastAsia="宋体" w:cs="仿宋"/>
          <w:color w:val="auto"/>
          <w:szCs w:val="21"/>
          <w:highlight w:val="none"/>
        </w:rPr>
        <w:t xml:space="preserve">得分低于60分的(不含60分)，进行约谈并扣除年中标总额的</w:t>
      </w:r>
      <w:r>
        <w:rPr>
          <w:rFonts w:hint="eastAsia" w:ascii="宋体" w:hAnsi="宋体" w:cs="仿宋"/>
          <w:color w:val="auto"/>
          <w:szCs w:val="21"/>
          <w:highlight w:val="none"/>
          <w:lang w:val="en-US" w:eastAsia="zh-CN"/>
        </w:rPr>
        <w:t xml:space="preserve">4</w:t>
      </w:r>
      <w:r>
        <w:rPr>
          <w:rFonts w:hint="eastAsia" w:ascii="宋体" w:hAnsi="宋体" w:eastAsia="宋体" w:cs="仿宋"/>
          <w:color w:val="auto"/>
          <w:szCs w:val="21"/>
          <w:highlight w:val="none"/>
        </w:rPr>
        <w:t xml:space="preserve">0%;连续三次得分低于60分的(不含60分)直接退场。</w:t>
      </w:r>
      <w:r/>
    </w:p>
    <w:p>
      <w:pPr>
        <w:ind w:firstLine="420"/>
        <w:jc w:val="left"/>
        <w:spacing w:line="360" w:lineRule="auto"/>
        <w:rPr>
          <w:rFonts w:ascii="宋体" w:hAnsi="宋体" w:cs="·ÂËÎ"/>
          <w:color w:val="auto"/>
          <w:szCs w:val="21"/>
          <w:highlight w:val="none"/>
        </w:rPr>
      </w:pP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lang w:val="en-US" w:eastAsia="zh-CN"/>
        </w:rPr>
        <w:t xml:space="preserve">三</w:t>
      </w: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rPr>
        <w:t xml:space="preserve">服务期限：3年。</w:t>
      </w:r>
      <w:r/>
    </w:p>
    <w:p>
      <w:pPr>
        <w:jc w:val="left"/>
        <w:spacing w:line="360" w:lineRule="auto"/>
        <w:rPr>
          <w:rFonts w:ascii="宋体" w:hAnsi="宋体" w:cs="仿宋"/>
          <w:color w:val="auto"/>
          <w:szCs w:val="21"/>
          <w:highlight w:val="none"/>
        </w:rPr>
      </w:pPr>
      <w:r>
        <w:rPr>
          <w:rFonts w:hint="eastAsia" w:ascii="宋体" w:hAnsi="宋体" w:cs="宋体"/>
          <w:b/>
          <w:color w:val="auto"/>
          <w:szCs w:val="21"/>
          <w:highlight w:val="none"/>
        </w:rPr>
        <w:t xml:space="preserve">二、技术要求</w:t>
      </w:r>
      <w:r/>
    </w:p>
    <w:p>
      <w:pPr>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（一）作业内容</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次干道、慢车道、辅道、人行道、道路内外绿化带、交通隔离护栏、公共广场及停车场、背街小巷、两米以下路灯、道路护栏、公交站点候车亭、指路牌、牛皮癣、小广告和公共广场、公共绿地、公园、沟渠河边（除责任区以外的区域）等清扫保洁，</w:t>
      </w:r>
      <w:r>
        <w:rPr>
          <w:rFonts w:hint="eastAsia" w:ascii="宋体" w:hAnsi="宋体" w:cs="仿宋"/>
          <w:color w:val="auto"/>
          <w:szCs w:val="21"/>
          <w:highlight w:val="none"/>
          <w:lang w:eastAsia="zh-CN"/>
        </w:rPr>
        <w:t xml:space="preserve">雨水箅子</w:t>
      </w:r>
      <w:r>
        <w:rPr>
          <w:rFonts w:hint="eastAsia" w:ascii="宋体" w:hAnsi="宋体" w:cs="仿宋"/>
          <w:color w:val="auto"/>
          <w:szCs w:val="21"/>
          <w:highlight w:val="none"/>
        </w:rPr>
        <w:t xml:space="preserve">垂直立面和雨水边沟等公共设施的清掏，区域内垃圾中转站运营管理和生活垃圾的清运。区域内道路绿化带、公园绿地（除责任区以外的区域）、河湖堤岸及水面的垃圾捡拾保洁工作。区域内公共厕所的维护和运营管理。区域内的防汛融雪、环卫应急抢险、重大活动环境服务特勤保障任务等。按照“墙到墙”或“红线到红线”的方式确定综合清扫保洁作业范围具体为：</w:t>
      </w:r>
      <w:r/>
    </w:p>
    <w:p>
      <w:pPr>
        <w:jc w:val="left"/>
        <w:spacing w:line="360" w:lineRule="auto"/>
        <w:rPr>
          <w:rFonts w:ascii="宋体" w:hAnsi="宋体" w:cs="仿宋"/>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rPr>
        <w:t xml:space="preserve">道路清扫保洁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①主次道路（含桥梁）“墙到墙”的清扫、清洗、保洁、洒水降尘；</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②道路“墙到墙”之间所有构筑物和构件乱张贴和乱涂写的清理和保洁；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③道路“墙到墙”范围内垃圾桶、果皮箱等垃圾收集容器的清掏和保洁；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④路名牌、指路牌、交通护栏等以及路灯杆、交通指示牌杆、路灯配电箱、公交站台等清洗保洁，以及牛皮癣等野广告清除，公共设施保洁（公交站台、灯杆擦拭、隔离带、防护栏保洁等）。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⑤道路清扫作业和沿途垃圾桶、果皮箱所产生的垃圾的分类、收集和清运；</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公厕运营维护围合区域内所有公厕有专人管理，做好日常保洁；</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垃圾中转站的运营管理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①所有中转站专人管理，做好日常保洁；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②中转站、中转设施设备维护保养、更新、改造等。</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 水面（除水利局负责的河道以外河道）；</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对于面积较大的水面，按实际需要配备打捞船对水面垃圾进行清理，面积较小的水面，可选用人工打捞船清理水面垃圾。水面保洁只对水面漂浮白色垃圾进行打捞，水草等水生植物仍由相关责任单位负责。对于水利局负责的河道水面以上的护坡，也纳入中标单位保洁</w:t>
      </w:r>
      <w:r>
        <w:rPr>
          <w:rFonts w:hint="eastAsia" w:ascii="宋体" w:hAnsi="宋体" w:cs="仿宋"/>
          <w:color w:val="auto"/>
          <w:szCs w:val="21"/>
          <w:highlight w:val="none"/>
          <w:lang w:eastAsia="zh-CN"/>
        </w:rPr>
        <w:t xml:space="preserve">范围</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E</w:t>
      </w:r>
      <w:r>
        <w:rPr>
          <w:rFonts w:ascii="宋体" w:hAnsi="宋体" w:cs="·ÂËÎ"/>
          <w:color w:val="auto"/>
          <w:szCs w:val="21"/>
          <w:highlight w:val="none"/>
        </w:rPr>
        <w:t xml:space="preserve">.</w:t>
      </w:r>
      <w:r>
        <w:rPr>
          <w:rFonts w:hint="eastAsia" w:ascii="宋体" w:hAnsi="宋体" w:cs="仿宋"/>
          <w:color w:val="auto"/>
          <w:szCs w:val="21"/>
          <w:highlight w:val="none"/>
        </w:rPr>
        <w:t xml:space="preserve">环卫车辆、配套设施设备的配置、更新与管理；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环卫机械化作业所需清扫、清洗、保洁、洒水、冲洗、降尘和垃圾清运车辆的配置（具有分类功能）、更新、维护和日常管理。（机械化清扫率≧</w:t>
      </w:r>
      <w:r>
        <w:rPr>
          <w:rFonts w:hint="eastAsia" w:ascii="宋体" w:hAnsi="宋体" w:cs="·ÂËÎ"/>
          <w:color w:val="auto"/>
          <w:szCs w:val="21"/>
          <w:highlight w:val="none"/>
        </w:rPr>
        <w:t xml:space="preserve">9</w:t>
      </w:r>
      <w:r>
        <w:rPr>
          <w:rFonts w:hint="eastAsia" w:ascii="宋体" w:hAnsi="宋体" w:cs="·ÂËÎ"/>
          <w:color w:val="auto"/>
          <w:szCs w:val="21"/>
          <w:highlight w:val="none"/>
          <w:lang w:val="en-US" w:eastAsia="zh-CN"/>
        </w:rPr>
        <w:t xml:space="preserve">7</w:t>
      </w:r>
      <w:r>
        <w:rPr>
          <w:rFonts w:ascii="宋体" w:hAnsi="宋体" w:cs="·ÂËÎ"/>
          <w:color w:val="auto"/>
          <w:szCs w:val="21"/>
          <w:highlight w:val="none"/>
        </w:rPr>
        <w:t xml:space="preserve">%</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F</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特殊环卫保障做好大风、强降雨、降雪等特殊天气，突发应急事件和大型检查、洪涝预防、路面降温降尘等环卫应急保障。</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（二）</w:t>
      </w:r>
      <w:r>
        <w:rPr>
          <w:rFonts w:hint="eastAsia" w:ascii="宋体" w:hAnsi="宋体" w:cs="仿宋"/>
          <w:color w:val="auto"/>
          <w:szCs w:val="21"/>
          <w:highlight w:val="none"/>
        </w:rPr>
        <w:t xml:space="preserve">作业标准</w:t>
      </w:r>
      <w:r/>
    </w:p>
    <w:p>
      <w:pPr>
        <w:ind w:firstLine="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且发包人对少数内容增加了发包人要求，中标人须遵照执行。</w:t>
      </w:r>
      <w:r/>
    </w:p>
    <w:p>
      <w:pPr>
        <w:jc w:val="both"/>
        <w:spacing w:line="360" w:lineRule="auto"/>
        <w:rPr>
          <w:rFonts w:ascii="宋体" w:hAnsi="宋体" w:cs="·ÂËÎ"/>
          <w:color w:val="auto"/>
          <w:szCs w:val="21"/>
          <w:highlight w:val="none"/>
        </w:rPr>
      </w:pPr>
      <w:r>
        <w:rPr>
          <w:rFonts w:hint="eastAsia" w:ascii="宋体" w:hAnsi="宋体" w:cs="·ÂËÎ"/>
          <w:color w:val="auto"/>
          <w:szCs w:val="21"/>
          <w:highlight w:val="none"/>
          <w:lang w:val="en-US" w:eastAsia="zh-CN"/>
        </w:rPr>
        <w:t xml:space="preserve">1.</w:t>
      </w:r>
      <w:r>
        <w:rPr>
          <w:rFonts w:hint="eastAsia" w:ascii="宋体" w:hAnsi="宋体" w:cs="·ÂËÎ"/>
          <w:color w:val="auto"/>
          <w:szCs w:val="21"/>
          <w:highlight w:val="none"/>
        </w:rPr>
        <w:t xml:space="preserve">城市道路环卫机械化作业等级划分标准</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6538"/>
      </w:tblGrid>
      <w:tr>
        <w:trPr/>
        <w:tc>
          <w:tcPr>
            <w:tcW w:w="2093" w:type="dxa"/>
            <w:vAlign w:val="top"/>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环卫机械化</w:t>
            </w:r>
            <w:r/>
          </w:p>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作业道路等级</w:t>
            </w:r>
            <w:r/>
          </w:p>
        </w:tc>
        <w:tc>
          <w:tcPr>
            <w:tcW w:w="6946"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划分条件</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一级道路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6</w:t>
            </w:r>
            <w:r>
              <w:rPr>
                <w:rFonts w:hint="eastAsia" w:ascii="宋体" w:hAnsi="宋体" w:cs="·ÂËÎ"/>
                <w:color w:val="auto"/>
                <w:szCs w:val="21"/>
                <w:highlight w:val="none"/>
              </w:rPr>
              <w:t xml:space="preserve">）城市高架路、快速通道等专供机动车快速通行的道路。</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二级道路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）城市主、次干路及其附近路段；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）商业网点较集中、占道路长度</w:t>
            </w:r>
            <w:r>
              <w:rPr>
                <w:rFonts w:hint="eastAsia" w:ascii="宋体" w:hAnsi="宋体" w:cs="·ÂËÎ"/>
                <w:color w:val="auto"/>
                <w:szCs w:val="21"/>
                <w:highlight w:val="none"/>
                <w:lang w:eastAsia="zh-CN"/>
              </w:rPr>
              <w:t xml:space="preserve">60%～70%</w:t>
            </w:r>
            <w:r>
              <w:rPr>
                <w:rFonts w:hint="eastAsia" w:ascii="宋体" w:hAnsi="宋体" w:cs="·ÂËÎ"/>
                <w:color w:val="auto"/>
                <w:szCs w:val="21"/>
                <w:highlight w:val="none"/>
              </w:rPr>
              <w:t xml:space="preserve">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）公共文化娱乐活动场所所在路段；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50</w:t>
            </w:r>
            <w:r>
              <w:rPr>
                <w:rFonts w:hint="eastAsia" w:ascii="宋体" w:hAnsi="宋体" w:cs="·ÂËÎ"/>
                <w:color w:val="auto"/>
                <w:szCs w:val="21"/>
                <w:highlight w:val="none"/>
              </w:rPr>
              <w:t xml:space="preserve">～</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）有固定公共交通线路的路段。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三级道路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）商业网点较少的路段；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）居民区和单位相间的路段；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）城郊结合部的主要交通路段；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）人流量、车流量一般的路段。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四级道路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）城郊结合部的支路；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）居住区街巷道路；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）人流量、车流量较少的路段。</w:t>
            </w:r>
            <w:r/>
          </w:p>
        </w:tc>
      </w:tr>
    </w:tbl>
    <w:p>
      <w:pPr>
        <w:jc w:val="both"/>
        <w:spacing w:line="360" w:lineRule="auto"/>
        <w:rPr>
          <w:rFonts w:ascii="楷体" w:hAnsi="楷体" w:eastAsia="楷体"/>
          <w:b/>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环卫作业保洁及相关标准要求</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810"/>
        <w:gridCol w:w="810"/>
        <w:gridCol w:w="810"/>
        <w:gridCol w:w="1031"/>
        <w:gridCol w:w="965"/>
        <w:gridCol w:w="862"/>
        <w:gridCol w:w="1704"/>
      </w:tblGrid>
      <w:tr>
        <w:trPr>
          <w:trHeight w:val="210"/>
        </w:trPr>
        <w:tc>
          <w:tcPr>
            <w:gridSpan w:val="8"/>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jc w:val="center"/>
              <w:spacing w:line="360" w:lineRule="auto"/>
              <w:rPr>
                <w:rFonts w:ascii="宋体" w:hAnsi="宋体" w:eastAsia="宋体" w:cs="·ÂËÎ"/>
                <w:color w:val="auto"/>
                <w:szCs w:val="21"/>
                <w:highlight w:val="none"/>
              </w:rPr>
            </w:pP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表1-1城市道路环卫机械化作业频次             </w:t>
            </w: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次/日</w:t>
            </w:r>
            <w:r/>
          </w:p>
        </w:tc>
      </w:tr>
      <w:tr>
        <w:trPr>
          <w:trHeight w:val="634"/>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环卫机械化作业道路等级</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机械清扫</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机械保洁</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机械洒水</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冲刷</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清洗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人工</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城市家具清洗及小广告清除</w:t>
            </w:r>
            <w:r/>
          </w:p>
        </w:tc>
      </w:tr>
      <w:tr>
        <w:trPr>
          <w:trHeight w:val="57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一级道路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≥16小时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r>
      <w:tr>
        <w:trPr>
          <w:trHeight w:val="58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二级道路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≥0.29</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≥14小时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三级道路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≥0.07</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5"/>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四级道路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根据实际需要</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bl>
    <w:p>
      <w:pPr>
        <w:jc w:val="left"/>
        <w:spacing w:line="360" w:lineRule="auto"/>
        <w:rPr>
          <w:rFonts w:ascii="宋体" w:hAnsi="宋体" w:cs="·ÂËÎ"/>
          <w:color w:val="auto"/>
          <w:szCs w:val="21"/>
          <w:highlight w:val="none"/>
        </w:rPr>
      </w:pPr>
      <w:r>
        <w:rPr>
          <w:rFonts w:ascii="宋体" w:hAnsi="宋体" w:cs="·ÂËÎ"/>
          <w:color w:val="auto"/>
          <w:szCs w:val="21"/>
          <w:highlight w:val="none"/>
        </w:rPr>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hint="eastAsia" w:ascii="宋体" w:hAnsi="宋体" w:cs="仿宋"/>
          <w:color w:val="auto"/>
          <w:szCs w:val="21"/>
          <w:highlight w:val="none"/>
        </w:rPr>
        <w:t xml:space="preserve">道路综合清扫保洁作业要求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道路综合清扫保洁作业要求包括：人工清扫保洁（含捡拾）、机械清扫保洁（含捡拾）、机械冲刷、机械清扫、机械清洗、机械压尘及保洁、牛皮癣、小广告（口香糖、乱张贴乱涂写）清除、果皮箱清掏、果皮箱清洗、道路内外绿化带内（含行道树树穴）的树叶与垃圾的清理、雨水口清掏等方面的要求。</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）人工清扫保洁作业要求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人行步道、辅路主要采用人工作业实施，作业频次按照作业质量等级要求和路面实地杂物污染程度执行。应采取压尘措施；不应甩段清扫；应到指定地点倾倒废弃物，不应扫入排水井或绿地内。</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）机械清扫保洁作业要求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扫刷应与地面呈接触状态，并应有喷雾压尘。刷盘倾斜角度、副发动机转速和除尘系统应符合车辆正常清扫作业时的性能要求。要求车速应≤</w:t>
      </w:r>
      <w:r>
        <w:rPr>
          <w:rFonts w:ascii="宋体" w:hAnsi="宋体" w:cs="·ÂËÎ"/>
          <w:color w:val="auto"/>
          <w:szCs w:val="21"/>
          <w:highlight w:val="none"/>
        </w:rPr>
        <w:t xml:space="preserve">15km/h</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）机械冲刷作业要求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车速应≤</w:t>
      </w:r>
      <w:r>
        <w:rPr>
          <w:rFonts w:ascii="宋体" w:hAnsi="宋体" w:cs="·ÂËÎ"/>
          <w:color w:val="auto"/>
          <w:szCs w:val="21"/>
          <w:highlight w:val="none"/>
        </w:rPr>
        <w:t xml:space="preserve">20km/h</w:t>
      </w:r>
      <w:r>
        <w:rPr>
          <w:rFonts w:hint="eastAsia" w:ascii="宋体" w:hAnsi="宋体" w:cs="仿宋"/>
          <w:color w:val="auto"/>
          <w:szCs w:val="21"/>
          <w:highlight w:val="none"/>
        </w:rPr>
        <w:t xml:space="preserve">。水压应≥</w:t>
      </w:r>
      <w:r>
        <w:rPr>
          <w:rFonts w:ascii="宋体" w:hAnsi="宋体" w:cs="·ÂËÎ"/>
          <w:color w:val="auto"/>
          <w:szCs w:val="21"/>
          <w:highlight w:val="none"/>
        </w:rPr>
        <w:t xml:space="preserve">300kPa</w:t>
      </w:r>
      <w:r>
        <w:rPr>
          <w:rFonts w:hint="eastAsia" w:ascii="宋体" w:hAnsi="宋体" w:cs="仿宋"/>
          <w:color w:val="auto"/>
          <w:szCs w:val="21"/>
          <w:highlight w:val="none"/>
        </w:rPr>
        <w:t xml:space="preserve">。双喷嘴出水撒布宽度应≤</w:t>
      </w:r>
      <w:r>
        <w:rPr>
          <w:rFonts w:ascii="宋体" w:hAnsi="宋体" w:cs="·ÂËÎ"/>
          <w:color w:val="auto"/>
          <w:szCs w:val="21"/>
          <w:highlight w:val="none"/>
        </w:rPr>
        <w:t xml:space="preserve">6m</w:t>
      </w:r>
      <w:r>
        <w:rPr>
          <w:rFonts w:hint="eastAsia" w:ascii="宋体" w:hAnsi="宋体" w:cs="仿宋"/>
          <w:color w:val="auto"/>
          <w:szCs w:val="21"/>
          <w:highlight w:val="none"/>
        </w:rPr>
        <w:t xml:space="preserve">。冲刷后废弃物距路牙应≤</w:t>
      </w:r>
      <w:r>
        <w:rPr>
          <w:rFonts w:ascii="宋体" w:hAnsi="宋体" w:cs="·ÂËÎ"/>
          <w:color w:val="auto"/>
          <w:szCs w:val="21"/>
          <w:highlight w:val="none"/>
        </w:rPr>
        <w:t xml:space="preserve">50cm</w:t>
      </w:r>
      <w:r>
        <w:rPr>
          <w:rFonts w:hint="eastAsia" w:ascii="宋体" w:hAnsi="宋体" w:cs="仿宋"/>
          <w:color w:val="auto"/>
          <w:szCs w:val="21"/>
          <w:highlight w:val="none"/>
        </w:rPr>
        <w:t xml:space="preserve">，水流冲到路牙后返水距路牙应≤</w:t>
      </w:r>
      <w:r>
        <w:rPr>
          <w:rFonts w:ascii="宋体" w:hAnsi="宋体" w:cs="·ÂËÎ"/>
          <w:color w:val="auto"/>
          <w:szCs w:val="21"/>
          <w:highlight w:val="none"/>
        </w:rPr>
        <w:t xml:space="preserve">20cm</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）机械压尘作业要求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作业时间为每日白天。每年</w:t>
      </w:r>
      <w:r>
        <w:rPr>
          <w:rFonts w:ascii="宋体" w:hAnsi="宋体" w:cs="·ÂËÎ"/>
          <w:color w:val="auto"/>
          <w:szCs w:val="21"/>
          <w:highlight w:val="none"/>
        </w:rPr>
        <w:t xml:space="preserve">4</w:t>
      </w:r>
      <w:r>
        <w:rPr>
          <w:rFonts w:hint="eastAsia" w:ascii="宋体" w:hAnsi="宋体" w:cs="仿宋"/>
          <w:color w:val="auto"/>
          <w:szCs w:val="21"/>
          <w:highlight w:val="none"/>
        </w:rPr>
        <w:t xml:space="preserve">月</w:t>
      </w:r>
      <w:r>
        <w:rPr>
          <w:rFonts w:ascii="宋体" w:hAnsi="宋体" w:cs="·ÂËÎ"/>
          <w:color w:val="auto"/>
          <w:szCs w:val="21"/>
          <w:highlight w:val="none"/>
        </w:rPr>
        <w:t xml:space="preserve">1</w:t>
      </w:r>
      <w:r>
        <w:rPr>
          <w:rFonts w:hint="eastAsia" w:ascii="宋体" w:hAnsi="宋体" w:cs="仿宋"/>
          <w:color w:val="auto"/>
          <w:szCs w:val="21"/>
          <w:highlight w:val="none"/>
        </w:rPr>
        <w:t xml:space="preserve">日至</w:t>
      </w:r>
      <w:r>
        <w:rPr>
          <w:rFonts w:ascii="宋体" w:hAnsi="宋体" w:cs="·ÂËÎ"/>
          <w:color w:val="auto"/>
          <w:szCs w:val="21"/>
          <w:highlight w:val="none"/>
        </w:rPr>
        <w:t xml:space="preserve">10</w:t>
      </w:r>
      <w:r>
        <w:rPr>
          <w:rFonts w:hint="eastAsia" w:ascii="宋体" w:hAnsi="宋体" w:cs="仿宋"/>
          <w:color w:val="auto"/>
          <w:szCs w:val="21"/>
          <w:highlight w:val="none"/>
        </w:rPr>
        <w:t xml:space="preserve">月</w:t>
      </w:r>
      <w:r>
        <w:rPr>
          <w:rFonts w:ascii="宋体" w:hAnsi="宋体" w:cs="·ÂËÎ"/>
          <w:color w:val="auto"/>
          <w:szCs w:val="21"/>
          <w:highlight w:val="none"/>
        </w:rPr>
        <w:t xml:space="preserve">31</w:t>
      </w:r>
      <w:r>
        <w:rPr>
          <w:rFonts w:hint="eastAsia" w:ascii="宋体" w:hAnsi="宋体" w:cs="仿宋"/>
          <w:color w:val="auto"/>
          <w:szCs w:val="21"/>
          <w:highlight w:val="none"/>
        </w:rPr>
        <w:t xml:space="preserve">日，每日</w:t>
      </w:r>
      <w:r>
        <w:rPr>
          <w:rFonts w:ascii="宋体" w:hAnsi="宋体" w:cs="·ÂËÎ"/>
          <w:color w:val="auto"/>
          <w:szCs w:val="21"/>
          <w:highlight w:val="none"/>
        </w:rPr>
        <w:t xml:space="preserve">10:00-14:00</w:t>
      </w:r>
      <w:r>
        <w:rPr>
          <w:rFonts w:hint="eastAsia" w:ascii="宋体" w:hAnsi="宋体" w:cs="仿宋"/>
          <w:color w:val="auto"/>
          <w:szCs w:val="21"/>
          <w:highlight w:val="none"/>
        </w:rPr>
        <w:t xml:space="preserve">，气温</w:t>
      </w:r>
      <w:r>
        <w:rPr>
          <w:rFonts w:ascii="宋体" w:hAnsi="宋体" w:cs="·ÂËÎ"/>
          <w:color w:val="auto"/>
          <w:szCs w:val="21"/>
          <w:highlight w:val="none"/>
        </w:rPr>
        <w:t xml:space="preserve">5</w:t>
      </w:r>
      <w:r>
        <w:rPr>
          <w:rFonts w:hint="eastAsia" w:ascii="宋体" w:hAnsi="宋体" w:cs="仿宋"/>
          <w:color w:val="auto"/>
          <w:szCs w:val="21"/>
          <w:highlight w:val="none"/>
        </w:rPr>
        <w:t xml:space="preserve">℃以上时进行作业，每日不少于</w:t>
      </w:r>
      <w:r>
        <w:rPr>
          <w:rFonts w:ascii="宋体" w:hAnsi="宋体" w:cs="·ÂËÎ"/>
          <w:color w:val="auto"/>
          <w:szCs w:val="21"/>
          <w:highlight w:val="none"/>
        </w:rPr>
        <w:t xml:space="preserve">2 </w:t>
      </w:r>
      <w:r>
        <w:rPr>
          <w:rFonts w:hint="eastAsia" w:ascii="宋体" w:hAnsi="宋体" w:cs="仿宋"/>
          <w:color w:val="auto"/>
          <w:szCs w:val="21"/>
          <w:highlight w:val="none"/>
        </w:rPr>
        <w:t xml:space="preserve">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）牛皮癣、小广告清除作业要求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作业时间为全天。主次干道、繁华商业街区、交通枢纽、旅游景区等重要区域污染严重等地每日循环清理，背街小巷每周巡回清除</w:t>
      </w:r>
      <w:r>
        <w:rPr>
          <w:rFonts w:hint="eastAsia" w:ascii="宋体" w:hAnsi="宋体" w:cs="仿宋"/>
          <w:color w:val="auto"/>
          <w:szCs w:val="21"/>
          <w:highlight w:val="none"/>
          <w:lang w:eastAsia="zh-CN"/>
        </w:rPr>
        <w:t xml:space="preserve">不少</w:t>
      </w:r>
      <w:r>
        <w:rPr>
          <w:rFonts w:hint="eastAsia" w:ascii="宋体" w:hAnsi="宋体" w:cs="仿宋"/>
          <w:color w:val="auto"/>
          <w:szCs w:val="21"/>
          <w:highlight w:val="none"/>
        </w:rPr>
        <w:t xml:space="preserve">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次。运用人工或</w:t>
      </w:r>
      <w:r>
        <w:rPr>
          <w:rFonts w:hint="eastAsia" w:ascii="宋体" w:hAnsi="宋体" w:cs="仿宋"/>
          <w:color w:val="auto"/>
          <w:szCs w:val="21"/>
          <w:highlight w:val="none"/>
          <w:lang w:eastAsia="zh-CN"/>
        </w:rPr>
        <w:t xml:space="preserve">机械</w:t>
      </w:r>
      <w:r>
        <w:rPr>
          <w:rFonts w:hint="eastAsia" w:ascii="宋体" w:hAnsi="宋体" w:cs="仿宋"/>
          <w:color w:val="auto"/>
          <w:szCs w:val="21"/>
          <w:highlight w:val="none"/>
        </w:rPr>
        <w:t xml:space="preserve">方式进行组合作业。清除后的牛皮癣、小广告放置至收集车（桶）内。作业后应将周边地面清扫干净。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）果皮箱清掏作业要求</w:t>
      </w:r>
      <w:r/>
    </w:p>
    <w:p>
      <w:pPr>
        <w:ind w:firstLine="525"/>
        <w:jc w:val="left"/>
        <w:spacing w:line="360" w:lineRule="auto"/>
        <w:rPr>
          <w:rFonts w:ascii="宋体" w:hAnsi="宋体" w:cs="·ÂËÎ"/>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二级质量等级的路段每日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30 -17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级质量等级的路段</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17:30</w:t>
      </w:r>
      <w:r>
        <w:rPr>
          <w:rFonts w:hint="eastAsia" w:ascii="宋体" w:hAnsi="宋体" w:cs="仿宋"/>
          <w:color w:val="auto"/>
          <w:szCs w:val="21"/>
          <w:highlight w:val="none"/>
        </w:rPr>
        <w:t xml:space="preserve">）进行。依据实际污染量确定清掏次数。果皮箱内废弃物达到</w:t>
      </w:r>
      <w:r>
        <w:rPr>
          <w:rFonts w:ascii="宋体" w:hAnsi="宋体" w:cs="·ÂËÎ"/>
          <w:color w:val="auto"/>
          <w:szCs w:val="21"/>
          <w:highlight w:val="none"/>
        </w:rPr>
        <w:t xml:space="preserve">2</w:t>
      </w:r>
      <w:r>
        <w:rPr>
          <w:rFonts w:hint="eastAsia" w:ascii="宋体" w:hAnsi="宋体" w:cs="仿宋"/>
          <w:color w:val="auto"/>
          <w:szCs w:val="21"/>
          <w:highlight w:val="none"/>
        </w:rPr>
        <w:t xml:space="preserve">／</w:t>
      </w:r>
      <w:r>
        <w:rPr>
          <w:rFonts w:ascii="宋体" w:hAnsi="宋体" w:cs="·ÂËÎ"/>
          <w:color w:val="auto"/>
          <w:szCs w:val="21"/>
          <w:highlight w:val="none"/>
        </w:rPr>
        <w:t xml:space="preserve">3 </w:t>
      </w:r>
      <w:r>
        <w:rPr>
          <w:rFonts w:hint="eastAsia" w:ascii="宋体" w:hAnsi="宋体" w:cs="仿宋"/>
          <w:color w:val="auto"/>
          <w:szCs w:val="21"/>
          <w:highlight w:val="none"/>
        </w:rPr>
        <w:t xml:space="preserve">容量时应及时清掏。作业后应将箱体周边地面清扫干净。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）果皮箱清洗作业要求</w:t>
      </w:r>
      <w:r/>
    </w:p>
    <w:p>
      <w:pPr>
        <w:ind w:firstLine="420"/>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依据实际污染程度确定清洗次数，符合各级环卫考核标准。消毒：每周不少于</w:t>
      </w:r>
      <w:r>
        <w:rPr>
          <w:rFonts w:ascii="宋体" w:hAnsi="宋体" w:cs="·ÂËÎ"/>
          <w:color w:val="auto"/>
          <w:szCs w:val="21"/>
          <w:highlight w:val="none"/>
        </w:rPr>
        <w:t xml:space="preserve">1</w:t>
      </w:r>
      <w:r>
        <w:rPr>
          <w:rFonts w:hint="eastAsia" w:ascii="宋体" w:hAnsi="宋体" w:cs="仿宋"/>
          <w:color w:val="auto"/>
          <w:szCs w:val="21"/>
          <w:highlight w:val="none"/>
        </w:rPr>
        <w:t xml:space="preserve">次。作业后箱体周边地面应清洁，不应湿滑。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）道路内外绿化带内（含行道树树穴）的树叶与垃圾的清理作业要求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二级道路每日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 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 30</w:t>
      </w:r>
      <w:r>
        <w:rPr>
          <w:rFonts w:hint="eastAsia" w:ascii="宋体" w:hAnsi="宋体" w:cs="仿宋"/>
          <w:color w:val="auto"/>
          <w:szCs w:val="21"/>
          <w:highlight w:val="none"/>
        </w:rPr>
        <w:t xml:space="preserve">）进行。依据污染量确定清掏次数。</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）雨水口清掏作业要求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清掏频次每月不少于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次。作业时应保障行人通行条件。</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10</w:t>
      </w:r>
      <w:r>
        <w:rPr>
          <w:rFonts w:hint="eastAsia" w:ascii="宋体" w:hAnsi="宋体" w:cs="仿宋"/>
          <w:color w:val="auto"/>
          <w:szCs w:val="21"/>
          <w:highlight w:val="none"/>
        </w:rPr>
        <w:t xml:space="preserve">）</w:t>
      </w:r>
      <w:r>
        <w:rPr>
          <w:rFonts w:ascii="宋体" w:hAnsi="宋体" w:cs="·ÂËÎ"/>
          <w:color w:val="auto"/>
          <w:szCs w:val="21"/>
          <w:highlight w:val="none"/>
        </w:rPr>
        <w:t xml:space="preserve">240 </w:t>
      </w:r>
      <w:r>
        <w:rPr>
          <w:rFonts w:hint="eastAsia" w:ascii="宋体" w:hAnsi="宋体" w:cs="仿宋"/>
          <w:color w:val="auto"/>
          <w:szCs w:val="21"/>
          <w:highlight w:val="none"/>
        </w:rPr>
        <w:t xml:space="preserve">升标准垃圾桶作业要求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生活垃圾桶实行日产日清，每日除按规定时间清运外，安排机动收集车辆上路，对满溢的垃圾桶进行巡回收集，并保持垃圾桶清洁。消毒：每周不少于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次。作业后箱体周边地面应清洁，不得存留污渍。</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（11）水面</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    对于面积较大的水面，按实际需要配备打捞船对水面垃圾进行清理，面积较小的水面，可选用人工打捞船清理水面垃圾。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12</w:t>
      </w:r>
      <w:r>
        <w:rPr>
          <w:rFonts w:hint="eastAsia" w:ascii="宋体" w:hAnsi="宋体" w:cs="仿宋"/>
          <w:color w:val="auto"/>
          <w:szCs w:val="21"/>
          <w:highlight w:val="none"/>
        </w:rPr>
        <w:t xml:space="preserve">）其他作业要求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机械作业应当避开交通高峰时段。重点地区、主要道路、繁华区域等，应根据实际情况适当延长作业时间。当遇小雨（含）以上天气时，应暂停机械压尘作业；当遇中雨（含）以上天气时，应暂停作业；当遇五级（含）以上大风天气时，暂停人工清扫、机械清扫、机械保洁和机械冲刷作业；当遇空气重污染天气时，应按照双方共同认可的城乡道路清扫保洁应急预案进行作业。</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4.</w:t>
      </w:r>
      <w:r>
        <w:rPr>
          <w:rFonts w:hint="eastAsia" w:ascii="宋体" w:hAnsi="宋体" w:cs="仿宋"/>
          <w:color w:val="auto"/>
          <w:szCs w:val="21"/>
          <w:highlight w:val="none"/>
        </w:rPr>
        <w:t xml:space="preserve">道路综合清扫保洁作业标准及道路作业质量等级划分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不同的清扫保洁作业区域（道路、背街小巷、公共场所、绿地、水面）作业难度和作业质量要求不同，根据所处区域重要程度、路面情况以及实际需求定义具体作业质量级别。根据双方确认的道路清扫保洁质量等级，确保质量要求达到双方约定的城乡道路清扫保洁质量和作业要求。</w:t>
      </w:r>
      <w:r/>
    </w:p>
    <w:p>
      <w:pPr>
        <w:jc w:val="left"/>
        <w:spacing w:line="360" w:lineRule="auto"/>
        <w:rPr>
          <w:rFonts w:hint="eastAsia" w:ascii="宋体" w:hAnsi="宋体" w:cs="·ÂËÎ"/>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级作业质量等级路段：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①</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②</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③</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④</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⑤</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eastAsia="宋体" w:cs="宋体"/>
          <w:color w:val="auto"/>
          <w:szCs w:val="21"/>
          <w:highlight w:val="none"/>
        </w:rPr>
        <w:t xml:space="preserve">⑥</w:t>
      </w:r>
      <w:r>
        <w:rPr>
          <w:rFonts w:hint="eastAsia" w:ascii="宋体" w:hAnsi="宋体" w:cs="·ÂËÎ"/>
          <w:color w:val="auto"/>
          <w:szCs w:val="21"/>
          <w:highlight w:val="none"/>
        </w:rPr>
        <w:t xml:space="preserve">城市高架路、快速通道等专供机动车快速通行的道路。</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二级作业质量等级路段：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①城乡次干路及其辅路；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②商业网点较集中、占道路长度</w:t>
      </w:r>
      <w:r>
        <w:rPr>
          <w:rFonts w:hint="eastAsia" w:ascii="宋体" w:hAnsi="宋体" w:cs="仿宋"/>
          <w:color w:val="auto"/>
          <w:szCs w:val="21"/>
          <w:highlight w:val="none"/>
          <w:lang w:eastAsia="zh-CN"/>
        </w:rPr>
        <w:t xml:space="preserve">60%～70%</w:t>
      </w:r>
      <w:r>
        <w:rPr>
          <w:rFonts w:hint="eastAsia" w:ascii="宋体" w:hAnsi="宋体" w:cs="仿宋"/>
          <w:color w:val="auto"/>
          <w:szCs w:val="21"/>
          <w:highlight w:val="none"/>
        </w:rPr>
        <w:t xml:space="preserve">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③公共文化娱乐活动场所所在路段；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④平均人流量为</w:t>
      </w:r>
      <w:r>
        <w:rPr>
          <w:rFonts w:ascii="宋体" w:hAnsi="宋体" w:cs="·ÂËÎ"/>
          <w:color w:val="auto"/>
          <w:szCs w:val="21"/>
          <w:highlight w:val="none"/>
        </w:rPr>
        <w:t xml:space="preserve">50</w:t>
      </w:r>
      <w:r>
        <w:rPr>
          <w:rFonts w:hint="eastAsia" w:ascii="宋体" w:hAnsi="宋体" w:cs="仿宋"/>
          <w:color w:val="auto"/>
          <w:szCs w:val="21"/>
          <w:highlight w:val="none"/>
        </w:rPr>
        <w:t xml:space="preserve">～</w:t>
      </w:r>
      <w:r>
        <w:rPr>
          <w:rFonts w:ascii="宋体" w:hAnsi="宋体" w:cs="·ÂËÎ"/>
          <w:color w:val="auto"/>
          <w:szCs w:val="21"/>
          <w:highlight w:val="none"/>
        </w:rPr>
        <w:t xml:space="preserve">100 </w:t>
      </w:r>
      <w:r>
        <w:rPr>
          <w:rFonts w:hint="eastAsia" w:ascii="宋体" w:hAnsi="宋体" w:cs="仿宋"/>
          <w:color w:val="auto"/>
          <w:szCs w:val="21"/>
          <w:highlight w:val="none"/>
        </w:rPr>
        <w:t xml:space="preserve">人次</w:t>
      </w:r>
      <w:r>
        <w:rPr>
          <w:rFonts w:ascii="宋体" w:hAnsi="宋体" w:cs="·ÂËÎ"/>
          <w:color w:val="auto"/>
          <w:szCs w:val="21"/>
          <w:highlight w:val="none"/>
        </w:rPr>
        <w:t xml:space="preserve">/</w:t>
      </w:r>
      <w:r>
        <w:rPr>
          <w:rFonts w:hint="eastAsia" w:ascii="宋体" w:hAnsi="宋体" w:cs="仿宋"/>
          <w:color w:val="auto"/>
          <w:szCs w:val="21"/>
          <w:highlight w:val="none"/>
        </w:rPr>
        <w:t xml:space="preserve">分钟的路段；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⑤有固定公共交通线路的路段。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三级作业质量等级路段：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①城市</w:t>
      </w:r>
      <w:r>
        <w:rPr>
          <w:rFonts w:hint="eastAsia" w:ascii="宋体" w:hAnsi="宋体" w:cs="仿宋"/>
          <w:color w:val="auto"/>
          <w:szCs w:val="21"/>
          <w:highlight w:val="none"/>
          <w:lang w:eastAsia="zh-CN"/>
        </w:rPr>
        <w:t xml:space="preserve">城乡接合部</w:t>
      </w:r>
      <w:r>
        <w:rPr>
          <w:rFonts w:hint="eastAsia" w:ascii="宋体" w:hAnsi="宋体" w:cs="仿宋"/>
          <w:color w:val="auto"/>
          <w:szCs w:val="21"/>
          <w:highlight w:val="none"/>
        </w:rPr>
        <w:t xml:space="preserve">道路及辅路，背街小巷；</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②商业网点较少的路段；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③社区、居民区和单位相间的路段；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四级作业质量等级路段：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①城郊结合部的支路；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②居住区街巷道路；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5.</w:t>
      </w:r>
      <w:r>
        <w:rPr>
          <w:rFonts w:hint="eastAsia" w:ascii="宋体" w:hAnsi="宋体" w:cs="仿宋"/>
          <w:color w:val="auto"/>
          <w:szCs w:val="21"/>
          <w:highlight w:val="none"/>
        </w:rPr>
        <w:t xml:space="preserve">道路作业质量等级作业标准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至</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级道路路面废弃物控制指标应符合表</w:t>
      </w: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ÂËÎ"/>
          <w:color w:val="auto"/>
          <w:szCs w:val="21"/>
          <w:highlight w:val="none"/>
          <w:lang w:val="en-US" w:eastAsia="zh-CN"/>
        </w:rPr>
        <w:t xml:space="preserve">2</w:t>
      </w:r>
      <w:r>
        <w:rPr>
          <w:rFonts w:hint="eastAsia" w:ascii="宋体" w:hAnsi="宋体" w:cs="仿宋"/>
          <w:color w:val="auto"/>
          <w:szCs w:val="21"/>
          <w:highlight w:val="none"/>
        </w:rPr>
        <w:t xml:space="preserve">规定。但在同一单位长度内，不得超过各单项废弃物总数的</w:t>
      </w:r>
      <w:r>
        <w:rPr>
          <w:rFonts w:ascii="宋体" w:hAnsi="宋体" w:cs="·ÂËÎ"/>
          <w:color w:val="auto"/>
          <w:szCs w:val="21"/>
          <w:highlight w:val="none"/>
        </w:rPr>
        <w:t xml:space="preserve">50%</w:t>
      </w:r>
      <w:r>
        <w:rPr>
          <w:rFonts w:hint="eastAsia" w:ascii="宋体" w:hAnsi="宋体" w:cs="仿宋"/>
          <w:color w:val="auto"/>
          <w:szCs w:val="21"/>
          <w:highlight w:val="none"/>
        </w:rPr>
        <w:t xml:space="preserve">。主次干道、人行道、路面、边沟、树池、绿化带等整洁，路面见本色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“墙到墙”之间应无积存垃圾、人畜粪便、砖头、石头、树叶、树枝和废弃物等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“墙到墙”之间所有构筑物和构件两米以下范围内(含路面)应无乱张贴和乱涂写等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路段上的砖头瓦块、垃圾堆、建筑垃圾、大件垃圾、滴洒漏污物等应及时组织清理。</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石边及人行道、树池杂草应及时清理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垃圾要倒入指定收集地点，不准随意倾倒，不得任意焚烧。辖区清扫保洁范围内与居委会、小区物业、单位等有交叉争议的地方、垃圾收集点、无主生活垃圾，服务单位必须清扫保洁、收集、清运，自行解决处理。各级道路的常态化作业，统一质量标准。</w:t>
      </w:r>
      <w:r/>
    </w:p>
    <w:p>
      <w:pPr>
        <w:ind w:firstLine="420"/>
        <w:jc w:val="center"/>
        <w:spacing w:line="360" w:lineRule="auto"/>
        <w:rPr>
          <w:rFonts w:hint="eastAsia" w:ascii="宋体" w:hAnsi="宋体" w:eastAsia="宋体" w:cs="仿宋"/>
          <w:color w:val="auto"/>
          <w:szCs w:val="21"/>
          <w:highlight w:val="none"/>
        </w:rPr>
      </w:pPr>
      <w:r>
        <w:rPr>
          <w:rFonts w:hint="eastAsia" w:ascii="宋体" w:hAnsi="宋体" w:eastAsia="宋体" w:cs="仿宋"/>
          <w:color w:val="auto"/>
          <w:szCs w:val="21"/>
          <w:highlight w:val="none"/>
        </w:rPr>
        <w:t xml:space="preserve">表</w:t>
      </w:r>
      <w:r>
        <w:rPr>
          <w:rFonts w:hint="eastAsia" w:ascii="宋体" w:hAnsi="宋体" w:eastAsia="宋体" w:cs="仿宋"/>
          <w:color w:val="auto"/>
          <w:szCs w:val="21"/>
          <w:highlight w:val="none"/>
          <w:lang w:val="en-US" w:eastAsia="zh-CN"/>
        </w:rPr>
        <w:t xml:space="preserve">1-2</w:t>
      </w:r>
      <w:r>
        <w:rPr>
          <w:rFonts w:hint="eastAsia" w:ascii="宋体" w:hAnsi="宋体" w:eastAsia="宋体" w:cs="仿宋"/>
          <w:color w:val="auto"/>
          <w:szCs w:val="21"/>
          <w:highlight w:val="none"/>
        </w:rPr>
        <w:t xml:space="preserve"> 路面废弃物控制指标</w:t>
      </w:r>
      <w:r/>
    </w:p>
    <w:tbl>
      <w:tblPr>
        <w:tblStyle w:val="779"/>
        <w:tblW w:w="8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236"/>
        <w:gridCol w:w="1236"/>
        <w:gridCol w:w="1236"/>
        <w:gridCol w:w="1236"/>
        <w:gridCol w:w="1656"/>
        <w:gridCol w:w="1509"/>
      </w:tblGrid>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保洁等级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果皮(片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纸屑、塑膜（片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烟蒂（个</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痰迹（处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污水（</w:t>
            </w:r>
            <w:r>
              <w:rPr>
                <w:rFonts w:ascii="宋体" w:hAnsi="宋体" w:eastAsia="宋体"/>
                <w:color w:val="auto"/>
                <w:sz w:val="21"/>
                <w:szCs w:val="21"/>
                <w:highlight w:val="none"/>
              </w:rPr>
              <w:t xml:space="preserve">m</w:t>
            </w:r>
            <w:r>
              <w:rPr>
                <w:rFonts w:ascii="宋体" w:hAnsi="宋体" w:eastAsia="宋体"/>
                <w:color w:val="auto"/>
                <w:sz w:val="21"/>
                <w:szCs w:val="21"/>
                <w:highlight w:val="none"/>
                <w:vertAlign w:val="superscript"/>
              </w:rPr>
              <w:t xml:space="preserve">2</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其他</w:t>
            </w:r>
            <w:r>
              <w:rPr>
                <w:rFonts w:hint="eastAsia" w:ascii="宋体" w:hAnsi="宋体" w:eastAsia="宋体"/>
                <w:color w:val="auto"/>
                <w:sz w:val="21"/>
                <w:szCs w:val="21"/>
                <w:highlight w:val="none"/>
              </w:rPr>
              <w:t xml:space="preserve">（处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r>
      <w:tr>
        <w:trPr/>
        <w:tc>
          <w:tcPr>
            <w:tcW w:w="68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一级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65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656" w:type="dxa"/>
            <w:vAlign w:val="center"/>
            <w:textDirection w:val="lrTb"/>
            <w:noWrap w:val="false"/>
          </w:tcPr>
          <w:p>
            <w:pPr>
              <w:pStyle w:val="1084"/>
              <w:ind w:left="0" w:firstLine="0"/>
              <w:jc w:val="center"/>
              <w:spacing w:line="480" w:lineRule="exact"/>
              <w:rPr>
                <w:rFonts w:hint="default"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0.5</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1.5</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2.0</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r>
    </w:tbl>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级道路清扫保洁质量要求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实行道路从墙根到墙根保洁，快慢车道、人行道(含匝道、绿化带、交通隔离栏等)、“墙到墙”区域达到“八无”、“六净”。“八无”即:无小广告、无堆积物、无砖头瓦块、无果皮纸屑、无塑料袋、无烟头积水、无积泥积尘、无人畜粪便呕吐物;“六净”即:雨水篦净、树池净、绿带及周边净、路沿石净、人行道净、车行道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）二级道路清扫保洁质量要求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小时巡回保洁，路面基本见本色、溅水清洁，符合路面废弃物控制指标，达到“五无</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四净”。“五无”即：无堆积物、无积泥积水积尘、无砖头瓦块、无果皮纸屑、无塑料袋；“四净”即：下水篦净、</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石净、人行道净、车行道净。落叶季节加强道路清扫，路面无明显落叶。非法宣传品每千米不超过 4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）三、四级道路清扫保洁质量要求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小时巡回保洁，符合路面废弃物控制指标，路面、地面基本无漏收垃圾，无积泥、积水、无堆积落叶，清扫垃圾及时收集干净，不得往道路两侧倾倒或直扫，也不得扫入河道或下水道。非法宣传品每千米不超过 8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清扫作业时严格按规定使用清扫保洁工具和设备，清扫工具、设备存放在隐蔽位置，不得影响市容。路段若遇突发情况，服务单位应设置路障安全警示标志，必须在半小时内组织人员进行清扫、清理、清运，并在 </w:t>
      </w:r>
      <w:r>
        <w:rPr>
          <w:rFonts w:hint="eastAsia" w:ascii="宋体" w:hAnsi="宋体" w:cs="仿宋"/>
          <w:color w:val="auto"/>
          <w:szCs w:val="21"/>
          <w:highlight w:val="none"/>
          <w:lang w:val="en-US" w:eastAsia="zh-CN"/>
        </w:rPr>
        <w:t xml:space="preserve">15</w:t>
      </w:r>
      <w:r>
        <w:rPr>
          <w:rFonts w:hint="eastAsia" w:ascii="宋体" w:hAnsi="宋体" w:cs="仿宋"/>
          <w:color w:val="auto"/>
          <w:szCs w:val="21"/>
          <w:highlight w:val="none"/>
        </w:rPr>
        <w:t xml:space="preserve">分钟内向市、区环卫主管部门报告。</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）果皮箱清掏质量要求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果皮箱等垃圾收集设施应定期进行清掏和清洗，发现破损及时更换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完好率应不低于98%</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箱周围地面应无</w:t>
      </w:r>
      <w:r>
        <w:rPr>
          <w:rFonts w:hint="eastAsia" w:ascii="宋体" w:hAnsi="宋体" w:cs="仿宋"/>
          <w:color w:val="auto"/>
          <w:szCs w:val="21"/>
          <w:highlight w:val="none"/>
          <w:lang w:eastAsia="zh-CN"/>
        </w:rPr>
        <w:t xml:space="preserve">抛洒</w:t>
      </w: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无</w:t>
      </w:r>
      <w:r>
        <w:rPr>
          <w:rFonts w:hint="eastAsia" w:ascii="宋体" w:hAnsi="宋体" w:cs="仿宋"/>
          <w:color w:val="auto"/>
          <w:szCs w:val="21"/>
          <w:highlight w:val="none"/>
        </w:rPr>
        <w:t xml:space="preserve">存留垃圾</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无满溢，无蚊蝇、无污水。一</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二级保洁道路设置的果皮箱每天清理两次以上，每天清洗一次；三级、四级保洁道路设置的果皮箱每天清理一次以上，每两天清洗一次。</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）交通护栏保洁质量要求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交通护栏等道路隔离设施应整洁，并定期清洗，无明显灰尘污物。道路隔离设施底部应无散落垃圾和明显尘土。</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级保洁区域交通护栏每天清洗</w:t>
      </w:r>
      <w:r>
        <w:rPr>
          <w:rFonts w:hint="eastAsia" w:ascii="宋体" w:hAnsi="宋体" w:cs="仿宋"/>
          <w:color w:val="auto"/>
          <w:szCs w:val="21"/>
          <w:highlight w:val="none"/>
          <w:lang w:val="en-US" w:eastAsia="zh-CN"/>
        </w:rPr>
        <w:t xml:space="preserve">1次</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w:t>
      </w:r>
      <w:r>
        <w:rPr>
          <w:rFonts w:hint="eastAsia" w:ascii="宋体" w:hAnsi="宋体" w:cs="仿宋"/>
          <w:color w:val="auto"/>
          <w:szCs w:val="21"/>
          <w:highlight w:val="none"/>
          <w:lang w:val="en-US" w:eastAsia="zh-CN"/>
        </w:rPr>
        <w:t xml:space="preserve">两天</w:t>
      </w:r>
      <w:r>
        <w:rPr>
          <w:rFonts w:hint="eastAsia" w:ascii="宋体" w:hAnsi="宋体" w:cs="仿宋"/>
          <w:color w:val="auto"/>
          <w:szCs w:val="21"/>
          <w:highlight w:val="none"/>
        </w:rPr>
        <w:t xml:space="preserve">清洗</w:t>
      </w:r>
      <w:r>
        <w:rPr>
          <w:rFonts w:hint="eastAsia" w:ascii="宋体" w:hAnsi="宋体" w:cs="仿宋"/>
          <w:color w:val="auto"/>
          <w:szCs w:val="21"/>
          <w:highlight w:val="none"/>
          <w:lang w:val="en-US" w:eastAsia="zh-CN"/>
        </w:rPr>
        <w:t xml:space="preserve">一次</w:t>
      </w:r>
      <w:r>
        <w:rPr>
          <w:rFonts w:hint="eastAsia" w:ascii="宋体" w:hAnsi="宋体" w:cs="仿宋"/>
          <w:color w:val="auto"/>
          <w:szCs w:val="21"/>
          <w:highlight w:val="none"/>
        </w:rPr>
        <w:t xml:space="preserve">。</w:t>
      </w:r>
      <w:r/>
    </w:p>
    <w:p>
      <w:pPr>
        <w:numPr>
          <w:ilvl w:val="0"/>
          <w:numId w:val="6"/>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绿化带保洁质量要求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绿地（带）、树池内无砖瓦石块，垃圾、杂物、无积水等。</w:t>
      </w:r>
      <w:r/>
    </w:p>
    <w:p>
      <w:pPr>
        <w:numPr>
          <w:ilvl w:val="0"/>
          <w:numId w:val="6"/>
        </w:numPr>
        <w:ind w:left="0" w:firstLine="0"/>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道路两侧路名牌、指路牌、交通护栏以及路灯杆、交通指示牌杆</w:t>
      </w:r>
      <w:r>
        <w:rPr>
          <w:rFonts w:hint="eastAsia" w:ascii="宋体" w:hAnsi="宋体" w:cs="仿宋"/>
          <w:color w:val="auto"/>
          <w:szCs w:val="21"/>
          <w:highlight w:val="none"/>
          <w:lang w:val="en-US" w:eastAsia="zh-CN"/>
        </w:rPr>
        <w:t xml:space="preserve">等质量要求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两米以下部分无污迹、积尘</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一级保洁道路两侧路名牌、指路牌、交通护栏以及路灯杆、交通指示牌杆等两米以下部分每天清理一次，每星期进行一次擦洗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区域每2天清理一次，每星期进行一次擦洗。</w:t>
      </w:r>
      <w:r/>
    </w:p>
    <w:p>
      <w:pPr>
        <w:numPr>
          <w:ilvl w:val="0"/>
          <w:numId w:val="7"/>
        </w:num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公交候车站</w:t>
      </w:r>
      <w:r>
        <w:rPr>
          <w:rFonts w:hint="eastAsia" w:ascii="宋体" w:hAnsi="宋体" w:cs="仿宋"/>
          <w:color w:val="auto"/>
          <w:szCs w:val="21"/>
          <w:highlight w:val="none"/>
          <w:lang w:val="en-US" w:eastAsia="zh-CN"/>
        </w:rPr>
        <w:t xml:space="preserve">质量要求</w:t>
      </w:r>
      <w:r/>
    </w:p>
    <w:p>
      <w:pPr>
        <w:numPr>
          <w:ilvl w:val="0"/>
          <w:numId w:val="0"/>
        </w:numPr>
        <w:ind w:firstLine="63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公交候车站应整洁，其保洁质量应与所在道路保洁质量标准相同</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一级保洁道路的相应设施应每天清理乱张贴、乱涂、乱画，每星期进行一次清洗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区域每2天清理一次，每星期进行一次清洗。</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)道路两侧及绿地内休闲椅、康体娱乐设施、雕塑等</w:t>
      </w:r>
      <w:r>
        <w:rPr>
          <w:rFonts w:hint="eastAsia" w:ascii="宋体" w:hAnsi="宋体" w:cs="仿宋"/>
          <w:color w:val="auto"/>
          <w:szCs w:val="21"/>
          <w:highlight w:val="none"/>
          <w:lang w:val="en-US" w:eastAsia="zh-CN"/>
        </w:rPr>
        <w:t xml:space="preserve">质量要求</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无积尘、无明显污迹</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应每周擦洗一次。</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11</w:t>
      </w:r>
      <w:r>
        <w:rPr>
          <w:rFonts w:hint="eastAsia" w:ascii="宋体" w:hAnsi="宋体" w:cs="仿宋"/>
          <w:color w:val="auto"/>
          <w:szCs w:val="21"/>
          <w:highlight w:val="none"/>
        </w:rPr>
        <w:t xml:space="preserve">)立交桥、高架桥等桥面的保洁质量</w:t>
      </w:r>
      <w:r>
        <w:rPr>
          <w:rFonts w:hint="eastAsia" w:ascii="宋体" w:hAnsi="宋体" w:cs="仿宋"/>
          <w:color w:val="auto"/>
          <w:szCs w:val="21"/>
          <w:highlight w:val="none"/>
          <w:lang w:val="en-US" w:eastAsia="zh-CN"/>
        </w:rPr>
        <w:t xml:space="preserve">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应与所连接的道路保洁质量标准相同。桥栏杆应干净、整洁，无乱张贴、乱涂写。</w:t>
      </w:r>
      <w:r/>
    </w:p>
    <w:p>
      <w:pPr>
        <w:numPr>
          <w:ilvl w:val="0"/>
          <w:numId w:val="8"/>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道路两侧喷泉、水幕、水池等质量</w:t>
      </w:r>
      <w:r>
        <w:rPr>
          <w:rFonts w:hint="eastAsia" w:ascii="宋体" w:hAnsi="宋体" w:cs="仿宋"/>
          <w:color w:val="auto"/>
          <w:szCs w:val="21"/>
          <w:highlight w:val="none"/>
          <w:lang w:val="en-US" w:eastAsia="zh-CN"/>
        </w:rPr>
        <w:t xml:space="preserve">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定期对道路两侧喷泉、水幕、水池等人工造景进行清理，确保水体及周边无垃圾、无污水积存。</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13</w:t>
      </w:r>
      <w:r>
        <w:rPr>
          <w:rFonts w:hint="eastAsia" w:ascii="宋体" w:hAnsi="宋体" w:cs="仿宋"/>
          <w:color w:val="auto"/>
          <w:szCs w:val="21"/>
          <w:highlight w:val="none"/>
        </w:rPr>
        <w:t xml:space="preserve">)道路隔音设施、桥梁墩柱等</w:t>
      </w:r>
      <w:r>
        <w:rPr>
          <w:rFonts w:hint="eastAsia" w:ascii="宋体" w:hAnsi="宋体" w:cs="仿宋"/>
          <w:color w:val="auto"/>
          <w:szCs w:val="21"/>
          <w:highlight w:val="none"/>
          <w:lang w:val="en-US" w:eastAsia="zh-CN"/>
        </w:rPr>
        <w:t xml:space="preserve">质量要求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道路隔音设施、桥梁墩柱等部位要不定期进行清洗，保证干净、整洁。</w:t>
      </w:r>
      <w:r/>
    </w:p>
    <w:p>
      <w:pPr>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垃圾收集清运系统作业质量标准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（1）垃圾的收集工作，应做到定时定点、日产日清，不得堆积、滞留污染城乡环境。</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）垃圾收集容器应定点设置，摆放整齐，方便投放。收集点及周围</w:t>
      </w:r>
      <w:r>
        <w:rPr>
          <w:rFonts w:ascii="宋体" w:hAnsi="宋体" w:cs="·ÂËÎ"/>
          <w:color w:val="auto"/>
          <w:szCs w:val="21"/>
          <w:highlight w:val="none"/>
        </w:rPr>
        <w:t xml:space="preserve">5m </w:t>
      </w:r>
      <w:r>
        <w:rPr>
          <w:rFonts w:hint="eastAsia" w:ascii="宋体" w:hAnsi="宋体" w:cs="仿宋"/>
          <w:color w:val="auto"/>
          <w:szCs w:val="21"/>
          <w:highlight w:val="none"/>
        </w:rPr>
        <w:t xml:space="preserve">内应整洁，无散落、存留垃圾和污水。</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）垃圾收集采取密闭方式。垃圾收集容器应无残缺、破损，封闭性好，外体干净。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（4）垃圾收集站（点）应定期喷洒消毒、灭蚊蝇，并无活鼠等。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5</w:t>
      </w:r>
      <w:r>
        <w:rPr>
          <w:rFonts w:hint="eastAsia" w:ascii="宋体" w:hAnsi="宋体" w:cs="仿宋"/>
          <w:color w:val="auto"/>
          <w:szCs w:val="21"/>
          <w:highlight w:val="none"/>
        </w:rPr>
        <w:t xml:space="preserve">）垃圾应按时清除，无积压，不腐烂发臭。</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6</w:t>
      </w:r>
      <w:r>
        <w:rPr>
          <w:rFonts w:hint="eastAsia" w:ascii="宋体" w:hAnsi="宋体" w:cs="仿宋"/>
          <w:color w:val="auto"/>
          <w:szCs w:val="21"/>
          <w:highlight w:val="none"/>
        </w:rPr>
        <w:t xml:space="preserve">）道路沿线的生活垃圾应每日清除，无堆积。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7</w:t>
      </w:r>
      <w:r>
        <w:rPr>
          <w:rFonts w:hint="eastAsia" w:ascii="宋体" w:hAnsi="宋体" w:cs="仿宋"/>
          <w:color w:val="auto"/>
          <w:szCs w:val="21"/>
          <w:highlight w:val="none"/>
        </w:rPr>
        <w:t xml:space="preserve">）收集搬运过程应无遗漏、无撒漏、无渗滤液滴漏。垃圾收集车向垃圾转运站运送垃圾的过程应覆盖密闭，实行“垃圾不落地”作业，避免造成二次污染。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8</w:t>
      </w:r>
      <w:r>
        <w:rPr>
          <w:rFonts w:hint="eastAsia" w:ascii="宋体" w:hAnsi="宋体" w:cs="仿宋"/>
          <w:color w:val="auto"/>
          <w:szCs w:val="21"/>
          <w:highlight w:val="none"/>
        </w:rPr>
        <w:t xml:space="preserve">）道路清扫的垃圾应及时收集和运输，</w:t>
      </w:r>
      <w:r>
        <w:rPr>
          <w:rFonts w:hint="eastAsia" w:ascii="宋体" w:hAnsi="宋体" w:cs="仿宋"/>
          <w:color w:val="auto"/>
          <w:szCs w:val="21"/>
          <w:highlight w:val="none"/>
          <w:lang w:eastAsia="zh-CN"/>
        </w:rPr>
        <w:t xml:space="preserve">不得</w:t>
      </w:r>
      <w:r>
        <w:rPr>
          <w:rFonts w:hint="eastAsia" w:ascii="宋体" w:hAnsi="宋体" w:cs="仿宋"/>
          <w:color w:val="auto"/>
          <w:szCs w:val="21"/>
          <w:highlight w:val="none"/>
        </w:rPr>
        <w:t xml:space="preserve">遗漏，不得堆放在路边。</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9</w:t>
      </w:r>
      <w:r>
        <w:rPr>
          <w:rFonts w:hint="eastAsia" w:ascii="宋体" w:hAnsi="宋体" w:cs="仿宋"/>
          <w:color w:val="auto"/>
          <w:szCs w:val="21"/>
          <w:highlight w:val="none"/>
        </w:rPr>
        <w:t xml:space="preserve">）作业区域内零散无主生活垃圾应及时收集和清运。</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7.</w:t>
      </w:r>
      <w:r>
        <w:rPr>
          <w:rFonts w:hint="eastAsia" w:ascii="宋体" w:hAnsi="宋体" w:cs="仿宋"/>
          <w:color w:val="auto"/>
          <w:szCs w:val="21"/>
          <w:highlight w:val="none"/>
        </w:rPr>
        <w:t xml:space="preserve">垃圾清运作业质量标准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）垃圾应采取密闭方式进行运输，禁止敞开式运送垃圾。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）在垃圾清运过程中无垃圾扬、撒、拖挂和污水滴漏。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）垃圾车应密闭，不得超高超载、挂包运输垃圾。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）垃圾压缩车应加装污水收集装置，在垃圾转运站作业时，应同时将污水箱的排污口打开，将污水排放干净，出站前再将排污水口关上，防止沿途洒漏。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）当日作业完成后，应将污水箱的污水排放干净，并对车辆进行清洗。</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）运输垃圾应尽量避开上下班高峰期。装卸垃圾符合作业要求，不得乱倒、乱卸、乱抛垃圾，在居民住宅附近装运垃圾时，应尽量避免扰民。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）垃圾运输车辆应车容整洁，车况良好，车牌号码完整，车门喷印清晰的单位名称，车顶无乱焊铁架等现象。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）垃圾装运量应以车辆的额定荷载和有效容积为限，不得超重、超高运输。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）车辆安全管理达到“四有一无”，即：有安全管理组织，有健全的安全管理制度；有完善的安全检查制度；有定期的安全培训制度；无安全事故发生。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（10）沿线道路应按标准设置（设置标准可由投标人自行勘查现场，根据现场实际情况确定，原则上不低于国家标准）垃圾分类收集容器和果壳箱，对于破损垃圾桶应及时更换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并做到日产日清。</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8.</w:t>
      </w:r>
      <w:r>
        <w:rPr>
          <w:rFonts w:hint="eastAsia" w:ascii="宋体" w:hAnsi="宋体" w:cs="仿宋"/>
          <w:color w:val="auto"/>
          <w:szCs w:val="21"/>
          <w:highlight w:val="none"/>
        </w:rPr>
        <w:t xml:space="preserve">中转站运营及设施设备的维护作业质量标准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（1）中转站改造维修或更换压缩设备，保证运营期内正常使用。</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（2）中转站专人管理，站内外干净整洁，工具摆放整齐有序，方圆 50 米内无垃圾散发的臭味。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（3）中转站管理要有应急机制以及协商处理措施，以防突发事件发生时可以有效解决，保证工作的正常运行。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（4）压缩箱等作业设备完好，定期维修保养，做到外观干净整洁无破损、脱漆、 锈蚀等现象，保障运转正常。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（5）站点有完善的管理制度和操作规范标志牌，并公布站点名称、人员姓名、 作业时间、投诉电话。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（6）室内通风良好，无明显臭味，墙壁、窗户应干净整洁，无积尘、蛛网等。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（7）应定期对压缩设备和站内进行喷洒消毒，站内基本无苍蝇、无活鼠等。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（8）保证垃圾转运站安全生产，确保站内设施设备的完好及人员人身安全。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（9）经常检查压缩箱密封构件，定期更换密封条，确保完好，不洒漏污水。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（10）有条件的中转站管理用房整洁整齐，有固定的办公座椅，及时做好进站垃圾的记录，根据垃圾处理场（厂）工作时间接纳的垃圾来源、种类、数量符合要求。 </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（11）中转作业完成以后，将地面、墙壁等清洗干净，做到站内外场地整洁，无撒落垃圾和堆积杂物，无积留污水。</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12</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站内垃圾</w:t>
      </w:r>
      <w:r>
        <w:rPr>
          <w:rFonts w:hint="eastAsia" w:ascii="宋体" w:hAnsi="宋体" w:cs="仿宋"/>
          <w:color w:val="auto"/>
          <w:szCs w:val="21"/>
          <w:highlight w:val="none"/>
        </w:rPr>
        <w:t xml:space="preserve">渗滤液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污水等</w:t>
      </w:r>
      <w:r>
        <w:rPr>
          <w:rFonts w:hint="eastAsia" w:ascii="宋体" w:hAnsi="宋体" w:cs="仿宋"/>
          <w:color w:val="auto"/>
          <w:szCs w:val="21"/>
          <w:highlight w:val="none"/>
        </w:rPr>
        <w:t xml:space="preserve">需及时进行专业化处置，严格遵循现行法律规章与环保管理规定执行。</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9.</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维护</w:t>
      </w:r>
      <w:r>
        <w:rPr>
          <w:rFonts w:hint="eastAsia" w:ascii="宋体" w:hAnsi="宋体" w:cs="仿宋"/>
          <w:color w:val="auto"/>
          <w:szCs w:val="21"/>
          <w:highlight w:val="none"/>
          <w:lang w:eastAsia="zh-CN"/>
        </w:rPr>
        <w:t xml:space="preserve">及服务要求</w:t>
      </w:r>
      <w:r>
        <w:rPr>
          <w:rFonts w:hint="eastAsia" w:ascii="宋体" w:hAnsi="宋体" w:cs="仿宋"/>
          <w:color w:val="auto"/>
          <w:szCs w:val="21"/>
          <w:highlight w:val="none"/>
        </w:rPr>
        <w:t xml:space="preserve">：</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A.</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(1)公厕内采光、照明和通风良好，无明显臭味。一类公共厕所内无臭味，二、三类公共厕所及流动公共厕所无明显臭味。</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(2)公厕内墙面、天花板、门窗和隔离板无积灰、污迹、蛛网，无乱涂、乱画，墙面光洁;公厕外墙面整洁。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(3)公厕内地面光洁，无积水。</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(4)蹲位整洁，大便槽两侧应无粪便污物，槽内无积粪，洁净见底。</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(5)小便槽(斗)无水锈、尿垢、垃圾，基本无臭;沟眼、管道保持畅通。(6)公厕内照明灯具、洗手器具、镜子、挂衣钩、烘手器、冲水设备无积灰、污物。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(7)公厕外环境整洁，无乱堆杂物。公厕四周3-5m范围内，应无垃圾、粪便、污水等污物。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(8)定期喷洒灭蚊蝇药物，有效控制蝇蛆</w:t>
      </w:r>
      <w:r>
        <w:rPr>
          <w:rFonts w:hint="eastAsia" w:ascii="宋体" w:hAnsi="宋体" w:cs="仿宋"/>
          <w:color w:val="auto"/>
          <w:szCs w:val="21"/>
          <w:highlight w:val="none"/>
          <w:lang w:eastAsia="zh-CN"/>
        </w:rPr>
        <w:t xml:space="preserve">滋生</w:t>
      </w:r>
      <w:r>
        <w:rPr>
          <w:rFonts w:hint="eastAsia" w:ascii="宋体" w:hAnsi="宋体" w:cs="仿宋"/>
          <w:color w:val="auto"/>
          <w:szCs w:val="21"/>
          <w:highlight w:val="none"/>
        </w:rPr>
        <w:t xml:space="preserve">，公共厕所内基本无蚊蝇等昆虫。</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(9)吸粪车清吸作业后，及时盖好井盖。化粪井周围整洁无粪迹。行车不遗洒，按指定地点倾卸、作业后搞好车辆卫生、保持车辆清洁。</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B.</w:t>
      </w:r>
      <w:r>
        <w:rPr>
          <w:rFonts w:hint="eastAsia" w:ascii="宋体" w:hAnsi="宋体" w:cs="仿宋"/>
          <w:color w:val="auto"/>
          <w:szCs w:val="21"/>
          <w:highlight w:val="none"/>
        </w:rPr>
        <w:t xml:space="preserve">公厕设施的维护标准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(1)公共厕所的通风、冲水、洗手、照明、除臭等设施及门板、便器完好，正常提供使用。</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(2)公共厕所的内外墙、天花板保持完好，无剥落，地面无破损。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(3)公厕管理间不得改变使用功能。</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(4)公厕标识牌整洁、规范，设置明显。</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val="en-US" w:eastAsia="zh-CN"/>
        </w:rPr>
        <w:t xml:space="preserve">C.</w:t>
      </w:r>
      <w:r>
        <w:rPr>
          <w:rFonts w:hint="eastAsia" w:ascii="宋体" w:hAnsi="宋体" w:cs="仿宋"/>
          <w:color w:val="auto"/>
          <w:szCs w:val="21"/>
          <w:highlight w:val="none"/>
          <w:lang w:eastAsia="zh-CN"/>
        </w:rPr>
        <w:t xml:space="preserve">服务要求：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(1)按《城市公共厕所设计标准》设置导向标志牌。管理守则、卫生质量标准和投诉电话悬挂于墙上醒目位置，便于市民监督。</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(2)公共厕所要24小时免费开放，有专人管理，管理人员应保持衣冠整齐，有明显所属单位标志;文明作业、礼貌服务。</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(3)保洁工具使用完毕应整齐存放在不显眼的位置或存放在工具房(箱)内；不得将保洁工具放在便器、洗手盆或楼梯。</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(4)供洗手用的水龙头不得用于保洁作业。</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(5)管理人员工作室、工作台保持整洁美观。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(6)不得占用或妨碍残疾人公共厕所的正常使用。</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(7)公厕每天应全面冲洗两次以上并随时保洁。</w:t>
      </w:r>
      <w:r/>
    </w:p>
    <w:p>
      <w:pPr>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10.千鸟园广场管理维护服务: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A.人员配备要求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人员数量:14名(其中管理人员1人，电工1人，保洁6人，保安6人)，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B.服务内容及范围</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主要负责区域内环境保洁(含水面)、安保、设备管理和控制、娱乐设施管理、游客引导、不文明行为劝导、广场舞管理、小摊小贩疏导、市政设施维护等工作。</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C.保安工作要点工作职责</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积极维护千鸟园广场秩序，制止不文明行为,保证做好广场的安全防范工作，认真做好防火、防盗、防治安灾害事故,发及时报告并协助处理;(2)协助公安机关对广场内发生的案件、违法事件进行现场看护,并及时向广场管理办公室报告,配合公安侦破案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(3)对突发事件的应急措施:</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1)维持现场秩序,疏导群众；</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2)在第一时间进行救死扶伤；</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3)及时向上级机关汇报情况；</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4)积极配合有关部门做好善后处理工作</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5)发生治安状况及时与辖区派出所联系</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6)根据上级通知，协助有关部门在广场举办社会公益活动</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7)服从命令，听从指挥，严守纪律,坚决完成任务。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D.执勤制度:</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(1)执勤时应着保安制服，挂牌上岗，着装整齐、整洁、无污损，制服、便服严禁混穿；</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(2)执勤时要做到勤巡、勤查，及时发现和制止群众矛盾以及不安安的因素，通过劝解和调解将矛盾处置在可控状态，若发生无法处理或处置的可疑情况或治安事件应及时上报或打110报警电话；</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(3)执勤时对违反管理规定的不文明现象要加强文明劝导，用词得当，不激化矛盾，不卑不亢，以理服人；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(4)严禁擅自离岗、脱岗，有事要请假。</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E.保洁工作要求：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（1）运营单位须配备工具：抹布、扫帚、拖把、铁刷、水桶、清洁剂、人力或电动垃圾清运车、垃圾桶、垃圾袋以及鸽粮等。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（2）道路保洁每日清扫 2 次，保洁时间不少于 3 小时，目视道路无垃圾、杂物，每 100 平方米无痰迹、烟头平均不超过 1 个，并应及时清扫；地面垃圾滞留时间不超过 1 小时；每周清洁 1 次户外灯具，保持灯具及杆无积灰。</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（3）公示栏、标志物、车辆（专用电瓶车）等公用物品保洁公用物品每两天擦拭一次，保持无污渍、无积灰，不损伤被清洁物。其它公用物品每天擦拭一次，保证擦拭后干净无灰尘、无污渍。</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（4）有关说明</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各投标单位按以上要求制定出具体的投标方案，达到的标准，提供的人力、物力，如日常保洁要按不同使用功能区域，提出每天（每周/月）日常保洁服务内容标准，如地面保洁要求，清扫、拖拭、吸尘次数，配置人员数量，墙面清洁高度，低值易耗品和保洁剂内容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2）甲方配合的工作：报价单位应在报价文件中说明，如果能中标，在服务过程中需由甲方配合的工作和需甲方提供的条件。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3）若中标单位在承包保洁服务管理期间，违反下列规定将被解除综合服务合同，并扣除履约保证金。以上的服务要求，保洁员每天要做好记录，现场经理每天要至少检查一次并做好记录。</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三、环卫车辆、配套设施设备的配置</w:t>
      </w:r>
      <w:r>
        <w:rPr>
          <w:rFonts w:hint="eastAsia" w:ascii="宋体" w:hAnsi="宋体" w:cs="宋体"/>
          <w:b/>
          <w:color w:val="auto"/>
          <w:szCs w:val="21"/>
          <w:highlight w:val="none"/>
          <w:lang w:val="en-US" w:eastAsia="zh-CN"/>
        </w:rPr>
        <w:t xml:space="preserve">及要求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（一）车辆配置及数量</w:t>
      </w:r>
      <w:r/>
    </w:p>
    <w:tbl>
      <w:tblPr>
        <w:tblStyle w:val="779"/>
        <w:tblW w:w="50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820"/>
        <w:gridCol w:w="5161"/>
        <w:gridCol w:w="511"/>
        <w:gridCol w:w="654"/>
      </w:tblGrid>
      <w:tr>
        <w:trPr>
          <w:trHeight w:val="567"/>
          <w:tblHeader/>
        </w:trPr>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d9e2f3" w:fill="d9e2f3"/>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车辆类型</w:t>
            </w:r>
            <w:r/>
          </w:p>
        </w:tc>
        <w:tc>
          <w:tcPr>
            <w:shd w:val="clear" w:color="d9e2f3" w:fill="d9e2f3"/>
            <w:tcBorders>
              <w:top w:val="single" w:color="000000" w:sz="4" w:space="0"/>
              <w:left w:val="single" w:color="000000" w:sz="4" w:space="0"/>
              <w:bottom w:val="single" w:color="000000" w:sz="4" w:space="0"/>
              <w:right w:val="single" w:color="000000" w:sz="4" w:space="0"/>
            </w:tcBorders>
            <w:tcW w:w="2980" w:type="pct"/>
            <w:vAlign w:val="center"/>
            <w:textDirection w:val="lrTb"/>
            <w:noWrap/>
          </w:tcPr>
          <w:p>
            <w:pPr>
              <w:jc w:val="center"/>
              <w:keepLines w:val="0"/>
              <w:keepNext w:val="0"/>
              <w:pageBreakBefore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最低技术参数要求</w:t>
            </w:r>
            <w:r/>
          </w:p>
        </w:tc>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d9e2f3" w:fill="d9e2f3"/>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115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总质量不小于3t清扫车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底盘配置：专用底盘；柴油发动机，功率≥85kW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箱体容积：垃圾箱≥1.8m³，清水箱≥0.8m³；</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标配左右双扫盘；最大清扫宽度：≥2.5m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清扫作业效率：≥18000㎡/h；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总质量不小于12t清扫车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底盘：专用底盘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柴油发动机，</w:t>
            </w:r>
            <w:r>
              <w:rPr>
                <w:rFonts w:hint="eastAsia" w:ascii="宋体" w:hAnsi="宋体" w:cs="宋体"/>
                <w:i w:val="0"/>
                <w:iCs w:val="0"/>
                <w:color w:val="auto"/>
                <w:sz w:val="20"/>
                <w:szCs w:val="20"/>
                <w:highlight w:val="none"/>
                <w:u w:val="none"/>
                <w:lang w:val="en-US" w:eastAsia="zh-CN" w:bidi="ar"/>
              </w:rPr>
              <w:t xml:space="preserve">功率</w:t>
            </w:r>
            <w:r>
              <w:rPr>
                <w:rFonts w:hint="default"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5</w:t>
            </w:r>
            <w:r>
              <w:rPr>
                <w:rFonts w:hint="default"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箱体：清水箱≥2.5m³，污水箱≥3.0m³</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w:t>
            </w:r>
            <w:r>
              <w:rPr>
                <w:rFonts w:hint="default" w:ascii="宋体" w:hAnsi="宋体" w:eastAsia="宋体" w:cs="宋体"/>
                <w:i w:val="0"/>
                <w:iCs w:val="0"/>
                <w:color w:val="auto"/>
                <w:sz w:val="20"/>
                <w:szCs w:val="20"/>
                <w:highlight w:val="none"/>
                <w:u w:val="none"/>
                <w:lang w:val="en-US" w:eastAsia="zh-CN" w:bidi="ar"/>
              </w:rPr>
              <w:t xml:space="preserve">，清扫宽度≥3.0m</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清扫效率≥25000㎡/h</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其中四辆应具备可应急加装使用雪滚。</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箱体容积：清水箱：≥4.0m³；污水箱：≥4.5m³；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清扫宽度：≥3.5m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清扫效率：≥35000㎡/h</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其中两辆应具备可应急加装使用雪铲。</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102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总质量不小于8t洒水车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底盘配置：专用底盘；</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功率≥110kW；</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作业系统：前冲、后洒、侧喷，洒水宽度≥12m</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辅助配置：配备专用洒水泵，具备吸水、洒水功能</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应具备应急使用的融雪功能。</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总质量不小于18t抑尘车（雾炮车）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柴油发动机，额定功率≥162kW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水箱有效容积：≥18m³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喷雾射程：≥80m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作业系统：含前冲、后洒、侧喷功能，适配市政道路扬尘治理需求</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总质量不小于7t护栏清洗车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清水箱有效容积：≥4.0m³；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底盘装置：专用底盘；发动机：≥110kW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高压系统：高压泵压力≥10MPa、流量≥40L/min；</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作业速度：1-10km/h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总质量不小于18t高压清洗车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w:t>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底盘装置：专用底盘；发动机功率≥13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高压系统（路面清洗）：压力≥12MPa，流量≥150L/min;</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清洗宽度≥3.0m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总质量不小于18t对接式垃圾车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发动机：功率≥</w:t>
            </w:r>
            <w:r>
              <w:rPr>
                <w:rFonts w:hint="eastAsia" w:ascii="宋体" w:hAnsi="宋体" w:cs="宋体"/>
                <w:i w:val="0"/>
                <w:iCs w:val="0"/>
                <w:color w:val="auto"/>
                <w:sz w:val="20"/>
                <w:szCs w:val="20"/>
                <w:highlight w:val="none"/>
                <w:u w:val="none"/>
                <w:lang w:val="en-US" w:eastAsia="zh-CN" w:bidi="ar"/>
              </w:rPr>
              <w:t xml:space="preserve">160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污水系统：≥0.8m³污水箱，全密封防滴漏</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70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总质量不小于18t压缩式垃圾车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压缩比：≥1:8（单次压缩可处理垃圾≥0.5 吨</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底盘装置：专用底盘；发动机：功率≥160kW</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总质量不小于18t吸污车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w:t>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功率≥220kW；</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吸气量：≥15m³/min，吸程≥6m；吸污管：≥8m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总质量不小于2t道路养护车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发动机功率≥90kW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有效容积：≥1.5m³（1500L）；</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大型撒布机（含底盘，10m³）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w:t>
            </w:r>
            <w:r>
              <w:rPr>
                <w:rFonts w:hint="eastAsia" w:ascii="宋体" w:hAnsi="宋体" w:cs="宋体"/>
                <w:i w:val="0"/>
                <w:iCs w:val="0"/>
                <w:color w:val="auto"/>
                <w:sz w:val="20"/>
                <w:szCs w:val="20"/>
                <w:highlight w:val="none"/>
                <w:u w:val="none"/>
                <w:lang w:val="en-US" w:eastAsia="zh-CN" w:bidi="ar"/>
              </w:rPr>
              <w:t xml:space="preserve">有效容积</w:t>
            </w:r>
            <w:r>
              <w:rPr>
                <w:rFonts w:hint="eastAsia" w:ascii="宋体" w:hAnsi="宋体" w:eastAsia="宋体" w:cs="宋体"/>
                <w:i w:val="0"/>
                <w:iCs w:val="0"/>
                <w:color w:val="auto"/>
                <w:sz w:val="20"/>
                <w:szCs w:val="20"/>
                <w:highlight w:val="none"/>
                <w:u w:val="none"/>
                <w:lang w:val="en-US" w:eastAsia="zh-CN" w:bidi="ar"/>
              </w:rPr>
              <w:t xml:space="preserve">：≥10m³，撒布宽2–12m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作业速度：15–40km/h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车载式小型撒布机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料箱：≥1.5m³，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撒布宽：2–8m；撒布量：10–60g/㎡</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电动三轮车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标准款</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1000W（带爬坡档）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载重：</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50km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电动打捞船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人工打捞船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智能扫地机器人(户外)</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中型智能扫地机器人（户外）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包含：</w:t>
            </w:r>
            <w:r>
              <w:rPr>
                <w:rFonts w:hint="eastAsia" w:ascii="宋体" w:hAnsi="宋体" w:eastAsia="宋体" w:cs="宋体"/>
                <w:i w:val="0"/>
                <w:iCs w:val="0"/>
                <w:color w:val="auto"/>
                <w:sz w:val="20"/>
                <w:szCs w:val="20"/>
                <w:highlight w:val="none"/>
                <w:u w:val="none"/>
                <w:lang w:val="en-US" w:eastAsia="zh-CN" w:bidi="ar"/>
              </w:rPr>
              <w:t xml:space="preserve">室外清扫机器人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自动充电工作站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云端管理账号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操作平板/遥控器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易损件套装（边刷、滤芯等）</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作业效率：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5000㎡/h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锂电8小时，支持自动回充、自动倾倒垃圾</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应急车辆配备（扫雪车）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中型扫雪车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总质量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18000kg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功率</w:t>
            </w:r>
            <w:r>
              <w:rPr>
                <w:rFonts w:hint="eastAsia" w:ascii="宋体" w:hAnsi="宋体" w:eastAsia="宋体" w:cs="宋体"/>
                <w:i w:val="0"/>
                <w:iCs w:val="0"/>
                <w:color w:val="auto"/>
                <w:sz w:val="20"/>
                <w:szCs w:val="20"/>
                <w:highlight w:val="none"/>
                <w:u w:val="none"/>
                <w:lang w:val="en-US" w:eastAsia="zh-CN" w:bidi="ar"/>
              </w:rPr>
              <w:t xml:space="preserve">：≥200kW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8m³</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应急车辆配备（铲车）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铲斗容量（m3）：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1.5</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倾翻载荷（kg）：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应急车辆配备（融雪车）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总质量不小于18000kg</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功率≥140kW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料仓容积：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撒布宽度：2–12m，撒布量：融雪剂5–150g/㎡可调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撒布盘：直径≥500mm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（二）</w:t>
      </w:r>
      <w:r>
        <w:rPr>
          <w:rFonts w:hint="default" w:ascii="宋体" w:hAnsi="宋体" w:cs="仿宋"/>
          <w:color w:val="auto"/>
          <w:szCs w:val="21"/>
          <w:highlight w:val="none"/>
          <w:lang w:val="en-US" w:eastAsia="zh-CN"/>
        </w:rPr>
        <w:t xml:space="preserve">投标人拟投入本项目的车辆须符合以下要求：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w:t>
      </w:r>
      <w:r>
        <w:rPr>
          <w:rFonts w:hint="default" w:ascii="宋体" w:hAnsi="宋体" w:cs="仿宋"/>
          <w:color w:val="auto"/>
          <w:szCs w:val="21"/>
          <w:highlight w:val="none"/>
          <w:lang w:val="en-US" w:eastAsia="zh-CN"/>
        </w:rPr>
        <w:t xml:space="preserve">、车辆来源要求</w:t>
      </w:r>
      <w:r/>
    </w:p>
    <w:p>
      <w:pPr>
        <w:jc w:val="left"/>
        <w:spacing w:line="360" w:lineRule="auto"/>
        <w:rPr>
          <w:rFonts w:hint="default" w:ascii="宋体" w:hAnsi="宋体" w:cs="仿宋"/>
          <w:b/>
          <w:bCs/>
          <w:color w:val="auto"/>
          <w:szCs w:val="21"/>
          <w:highlight w:val="none"/>
          <w:lang w:val="en-US" w:eastAsia="zh-CN"/>
        </w:rPr>
      </w:pPr>
      <w:r>
        <w:rPr>
          <w:rFonts w:hint="default" w:ascii="宋体" w:hAnsi="宋体" w:cs="仿宋"/>
          <w:color w:val="auto"/>
          <w:szCs w:val="21"/>
          <w:highlight w:val="none"/>
          <w:lang w:val="en-US" w:eastAsia="zh-CN"/>
        </w:rPr>
        <w:t xml:space="preserve">投标人提供的车辆应为自有购置车辆或租赁车辆。</w:t>
      </w:r>
      <w:r>
        <w:rPr>
          <w:rFonts w:hint="eastAsia" w:ascii="宋体" w:hAnsi="宋体" w:cs="仿宋"/>
          <w:b/>
          <w:bCs/>
          <w:color w:val="auto"/>
          <w:szCs w:val="21"/>
          <w:highlight w:val="none"/>
          <w:lang w:val="en-US" w:eastAsia="zh-CN"/>
        </w:rPr>
        <w:t xml:space="preserve">注：</w:t>
      </w:r>
      <w:r>
        <w:rPr>
          <w:rFonts w:hint="default" w:ascii="宋体" w:hAnsi="宋体" w:cs="仿宋"/>
          <w:b/>
          <w:bCs/>
          <w:color w:val="auto"/>
          <w:szCs w:val="21"/>
          <w:highlight w:val="none"/>
          <w:lang w:val="en-US" w:eastAsia="zh-CN"/>
        </w:rPr>
        <w:t xml:space="preserve">投标时投标文件中提供响应承诺函即可，承诺函格式自拟</w:t>
      </w:r>
      <w:r>
        <w:rPr>
          <w:rFonts w:hint="eastAsia" w:ascii="宋体" w:hAnsi="宋体" w:cs="仿宋"/>
          <w:b/>
          <w:bCs/>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w:t>
      </w:r>
      <w:r>
        <w:rPr>
          <w:rFonts w:hint="default" w:ascii="宋体" w:hAnsi="宋体" w:cs="仿宋"/>
          <w:color w:val="auto"/>
          <w:szCs w:val="21"/>
          <w:highlight w:val="none"/>
          <w:lang w:val="en-US" w:eastAsia="zh-CN"/>
        </w:rPr>
        <w:t xml:space="preserve">、车龄限制</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无论自有购置车辆或租赁车辆，其行驶证记载的初次上牌时间均不得超过四年（自本项目投标截止之日起倒推计算）。</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rPr>
          <w:rFonts w:hint="default" w:ascii="宋体" w:hAnsi="宋体" w:cs="仿宋"/>
          <w:color w:val="auto"/>
          <w:szCs w:val="21"/>
          <w:highlight w:val="none"/>
          <w:lang w:val="en-US" w:eastAsia="zh-CN"/>
        </w:rPr>
        <w:t xml:space="preserve">、证明材料</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自有购置车辆：提供车辆购买发票及行驶证；</w:t>
      </w:r>
      <w:r/>
    </w:p>
    <w:p>
      <w:pPr>
        <w:jc w:val="left"/>
        <w:spacing w:line="360" w:lineRule="auto"/>
        <w:rPr>
          <w:rFonts w:hint="eastAsia"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租赁车辆：提供租赁合同及行驶证。</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上述证明材料须真实、有效，且能够充分证明车辆权属关系及车龄符合前述要求。</w:t>
      </w:r>
      <w:r/>
    </w:p>
    <w:p>
      <w:pPr>
        <w:numPr>
          <w:ilvl w:val="0"/>
          <w:numId w:val="9"/>
        </w:num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其他注意事项：</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以上车辆为本项目基本配置，需满足道路保洁、垃圾转运等日常需求，做到日产日清，不能造成垃圾堆积。投标人应充分考虑项目基本日常需求，时刻配备垃圾转运车、垃圾压缩车等应急车辆，防止出现车辆故障导致无法及时清理垃圾。冬季还应该配备相关的雪铲、滚雪桶，撒布机等。</w:t>
      </w:r>
      <w:r/>
    </w:p>
    <w:p>
      <w:pPr>
        <w:jc w:val="left"/>
        <w:spacing w:line="360" w:lineRule="auto"/>
        <w:rPr>
          <w:rFonts w:hint="eastAsia" w:ascii="宋体" w:hAnsi="宋体" w:cs="仿宋"/>
          <w:color w:val="auto"/>
          <w:szCs w:val="21"/>
          <w:highlight w:val="none"/>
          <w:lang w:val="zh-CN" w:eastAsia="zh-CN"/>
        </w:rPr>
      </w:pPr>
      <w:r>
        <w:rPr>
          <w:rFonts w:hint="eastAsia" w:ascii="宋体" w:hAnsi="宋体" w:cs="仿宋"/>
          <w:color w:val="auto"/>
          <w:szCs w:val="21"/>
          <w:highlight w:val="none"/>
          <w:lang w:val="en-US" w:eastAsia="zh-CN"/>
        </w:rPr>
        <w:t xml:space="preserve">2、所有投入使用的大型环卫车辆设备须安装视频监控、北斗定位系统，具备实时定位、轨迹回放、异常报警功能，数据至少保存90天</w:t>
      </w:r>
      <w:r>
        <w:rPr>
          <w:rFonts w:hint="eastAsia" w:ascii="宋体" w:hAnsi="宋体" w:cs="仿宋"/>
          <w:color w:val="auto"/>
          <w:szCs w:val="21"/>
          <w:highlight w:val="none"/>
          <w:lang w:val="zh-CN" w:eastAsia="zh-CN"/>
        </w:rPr>
        <w:t xml:space="preserve">。</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3、如中标人拟投入本项目的车辆为新购置车辆，则拟投入的新能源车辆不低于新购置车辆总数的30%；如为租赁车辆的，则优先租赁新能源车辆。</w:t>
      </w:r>
      <w:r/>
    </w:p>
    <w:p>
      <w:pPr>
        <w:jc w:val="left"/>
        <w:spacing w:line="360" w:lineRule="auto"/>
        <w:rPr>
          <w:rFonts w:hint="default" w:ascii="宋体" w:hAnsi="宋体" w:cs="仿宋"/>
          <w:color w:val="auto"/>
          <w:szCs w:val="21"/>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
          <w:color w:val="auto"/>
          <w:szCs w:val="21"/>
          <w:highlight w:val="none"/>
          <w:lang w:val="en-US" w:eastAsia="zh-CN"/>
        </w:rPr>
        <w:t xml:space="preserve">4、投标人中标后，须自行配置巡逻车辆一台，专项用于本项目日常巡查、现场巡视及相关运维保障工作。</w:t>
      </w:r>
      <w:r/>
    </w:p>
    <w:p>
      <w:pPr>
        <w:jc w:val="left"/>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四、人员配置及安置要求</w:t>
      </w:r>
      <w:r/>
    </w:p>
    <w:tbl>
      <w:tblPr>
        <w:tblStyle w:val="77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43"/>
        <w:gridCol w:w="3658"/>
        <w:gridCol w:w="1633"/>
        <w:gridCol w:w="1428"/>
      </w:tblGrid>
      <w:tr>
        <w:trPr>
          <w:trHeight w:val="440"/>
        </w:trPr>
        <w:tc>
          <w:tcPr>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岗位体系</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  位</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  数</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434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副经理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财务</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人事内勤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仓库内勤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维修</w:t>
            </w:r>
            <w:r>
              <w:rPr>
                <w:rFonts w:hint="eastAsia" w:ascii="宋体" w:hAnsi="宋体" w:cs="宋体"/>
                <w:i w:val="0"/>
                <w:iCs w:val="0"/>
                <w:color w:val="auto"/>
                <w:sz w:val="21"/>
                <w:szCs w:val="21"/>
                <w:highlight w:val="none"/>
                <w:u w:val="none"/>
                <w:lang w:val="en-US" w:eastAsia="zh-CN" w:bidi="ar"/>
              </w:rPr>
              <w:t xml:space="preserve">工</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车队长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驾驶员机动岗</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中转站操作工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公厕管理员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河道保洁</w:t>
            </w:r>
            <w:r>
              <w:rPr>
                <w:rFonts w:hint="eastAsia" w:ascii="宋体" w:hAnsi="宋体" w:cs="宋体"/>
                <w:i w:val="0"/>
                <w:iCs w:val="0"/>
                <w:color w:val="auto"/>
                <w:sz w:val="21"/>
                <w:szCs w:val="21"/>
                <w:highlight w:val="none"/>
                <w:u w:val="none"/>
                <w:lang w:val="en-US" w:eastAsia="zh-CN" w:bidi="ar"/>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道路保洁员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rFonts w:hint="eastAsia" w:ascii="宋体" w:hAnsi="宋体" w:cs="宋体"/>
                <w:i w:val="0"/>
                <w:iCs w:val="0"/>
                <w:color w:val="auto"/>
                <w:sz w:val="21"/>
                <w:szCs w:val="21"/>
                <w:highlight w:val="none"/>
                <w:u w:val="none"/>
                <w:lang w:val="en-US" w:eastAsia="zh-CN" w:bidi="ar"/>
              </w:rPr>
              <w:t xml:space="preserve">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r>
            <w:r/>
          </w:p>
        </w:tc>
      </w:tr>
      <w:tr>
        <w:trPr>
          <w:trHeight w:val="400"/>
        </w:trPr>
        <w:tc>
          <w:tcPr>
            <w:tcBorders>
              <w:left w:val="single" w:color="000000" w:sz="4" w:space="0"/>
              <w:bottom w:val="single" w:color="000000" w:sz="4" w:space="0"/>
              <w:right w:val="single" w:color="000000" w:sz="4" w:space="0"/>
            </w:tcBorders>
            <w:tcW w:w="1333" w:type="pct"/>
            <w:vAlign w:val="center"/>
            <w:vMerge w:val="continue"/>
            <w:textDirection w:val="lrTb"/>
            <w:noWrap/>
          </w:tcPr>
          <w:p>
            <w:pPr>
              <w:ind w:firstLine="420"/>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保安、保洁</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tcBorders>
              <w:left w:val="single" w:color="000000" w:sz="4" w:space="0"/>
              <w:bottom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422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448</w:t>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以上人员数量为本项目最低配备要求，投标人可根据项目实际情况安排职务。</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环卫人员安置将采取并入企业，内部分流等方式予以安置。</w:t>
      </w:r>
      <w:r>
        <w:rPr>
          <w:rFonts w:hint="eastAsia" w:ascii="宋体" w:hAnsi="宋体" w:cs="仿宋"/>
          <w:color w:val="auto"/>
          <w:szCs w:val="21"/>
          <w:highlight w:val="none"/>
          <w:lang w:eastAsia="zh-CN"/>
        </w:rPr>
        <w:t xml:space="preserve">现有环卫人员</w:t>
      </w:r>
      <w:r>
        <w:rPr>
          <w:rFonts w:hint="eastAsia" w:ascii="宋体" w:hAnsi="宋体" w:cs="仿宋"/>
          <w:color w:val="auto"/>
          <w:szCs w:val="21"/>
          <w:highlight w:val="none"/>
          <w:lang w:val="en-US" w:eastAsia="zh-CN"/>
        </w:rPr>
        <w:t xml:space="preserve">共计395人。</w:t>
      </w:r>
      <w:r>
        <w:rPr>
          <w:rFonts w:hint="eastAsia" w:ascii="宋体" w:hAnsi="宋体" w:cs="仿宋"/>
          <w:color w:val="auto"/>
          <w:szCs w:val="21"/>
          <w:highlight w:val="none"/>
        </w:rPr>
        <w:t xml:space="preserve">具体安置办法如下：</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仿宋"/>
          <w:color w:val="auto"/>
          <w:szCs w:val="21"/>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w:t>
      </w:r>
      <w:r>
        <w:rPr>
          <w:rFonts w:hint="eastAsia" w:ascii="宋体" w:hAnsi="宋体" w:cs="仿宋"/>
          <w:color w:val="auto"/>
          <w:szCs w:val="21"/>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420"/>
        <w:jc w:val="left"/>
        <w:spacing w:line="360" w:lineRule="auto"/>
        <w:rPr>
          <w:rFonts w:hint="eastAsia"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ascii="宋体" w:hAnsi="宋体" w:cs="·ÂËÎ"/>
          <w:color w:val="auto"/>
          <w:szCs w:val="21"/>
          <w:highlight w:val="none"/>
        </w:rPr>
        <w:t xml:space="preserve">.</w:t>
      </w:r>
      <w:r>
        <w:rPr>
          <w:rFonts w:hint="eastAsia" w:ascii="宋体" w:hAnsi="宋体" w:cs="仿宋"/>
          <w:color w:val="auto"/>
          <w:szCs w:val="21"/>
          <w:highlight w:val="none"/>
        </w:rPr>
        <w:t xml:space="preserve">对已达到国家法定退休年龄的劳务用工人员，由中标公司全部接收，自接收之日起，与原单位雇用关系终止。中标公司每年必须为其购买意外伤害保险。</w:t>
      </w:r>
      <w:r/>
    </w:p>
    <w:p>
      <w:pPr>
        <w:ind w:firstLine="525"/>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工资待遇在现有基础上有所提高，且要按照“不低于宿迁最低工资标准的</w:t>
      </w:r>
      <w:r>
        <w:rPr>
          <w:rFonts w:ascii="宋体" w:hAnsi="宋体" w:cs="·ÂËÎ"/>
          <w:color w:val="auto"/>
          <w:szCs w:val="21"/>
          <w:highlight w:val="none"/>
        </w:rPr>
        <w:t xml:space="preserve">110%</w:t>
      </w:r>
      <w:r>
        <w:rPr>
          <w:rFonts w:hint="eastAsia" w:ascii="宋体" w:hAnsi="宋体" w:cs="仿宋"/>
          <w:color w:val="auto"/>
          <w:szCs w:val="21"/>
          <w:highlight w:val="none"/>
        </w:rPr>
        <w:t xml:space="preserve">建立工资正常增长机制”。一年内不得无故减员，确因机构改革增效减员的，必须按照国家法律政策妥善处置。</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五、项目到期移交</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六、项目实施方案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项目情况及服务要求的内容为基础，编制详细的服务管理整体方案；清扫保洁方案及垃圾收集、清运方案；应急保障机制；管理规章制度；进退场交接方案；运营车辆维护、管理方案；拟投入设备方案。</w:t>
      </w:r>
      <w:r/>
    </w:p>
    <w:p>
      <w:pPr>
        <w:numPr>
          <w:ilvl w:val="0"/>
          <w:numId w:val="10"/>
        </w:numPr>
        <w:ind w:firstLine="525"/>
        <w:jc w:val="left"/>
        <w:spacing w:line="360" w:lineRule="auto"/>
        <w:rPr>
          <w:rFonts w:hint="eastAsia" w:ascii="宋体" w:hAnsi="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整体</w:t>
      </w:r>
      <w:r>
        <w:rPr>
          <w:rFonts w:hint="eastAsia" w:ascii="宋体" w:hAnsi="宋体" w:cs="仿宋"/>
          <w:color w:val="auto"/>
          <w:szCs w:val="21"/>
          <w:highlight w:val="none"/>
          <w:lang w:val="en-US" w:eastAsia="zh-CN"/>
        </w:rPr>
        <w:t xml:space="preserve">项目分析</w:t>
      </w:r>
      <w:r/>
    </w:p>
    <w:p>
      <w:pPr>
        <w:numPr>
          <w:ilvl w:val="0"/>
          <w:numId w:val="0"/>
        </w:numPr>
        <w:ind w:firstLine="420"/>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针对本项目整体分析，管理模式，安全保障，管理理念、计划，总体模式及配套措施完整、细致等内容进行详尽描述。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2、清扫保洁方案及垃圾收集、清运方案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根据道路等级，从机械化作业时间、频次、机械化覆盖率及路面感官量化对方案进行细化，对本项目重难点分析及应对措施。</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3、垃圾</w:t>
      </w:r>
      <w:r>
        <w:rPr>
          <w:rFonts w:hint="eastAsia" w:ascii="宋体" w:hAnsi="宋体" w:cs="仿宋"/>
          <w:color w:val="auto"/>
          <w:szCs w:val="21"/>
          <w:highlight w:val="none"/>
          <w:lang w:val="en-US" w:eastAsia="zh-CN"/>
        </w:rPr>
        <w:t xml:space="preserve">中转站</w:t>
      </w:r>
      <w:r>
        <w:rPr>
          <w:rFonts w:hint="eastAsia" w:ascii="宋体" w:hAnsi="宋体" w:eastAsia="宋体" w:cs="仿宋"/>
          <w:color w:val="auto"/>
          <w:szCs w:val="21"/>
          <w:highlight w:val="none"/>
          <w:lang w:val="en-US" w:eastAsia="zh-CN"/>
        </w:rPr>
        <w:t xml:space="preserve">运营管理方案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4、公厕的运营管理</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5、应急保障机制</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6、管理规章制度</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对本项目人员培训与岗位管理制度、待遇绩效考核制度、档案管理制度等内容进行详尽描述。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7、进退场交接方案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针对本项目进退场交接过渡工作、保障措施、策划安排等内容进行详尽描述。</w:t>
      </w:r>
      <w:r/>
    </w:p>
    <w:p>
      <w:pPr>
        <w:numPr>
          <w:ilvl w:val="0"/>
          <w:numId w:val="11"/>
        </w:numPr>
        <w:ind w:firstLine="565"/>
        <w:jc w:val="left"/>
        <w:spacing w:line="360" w:lineRule="auto"/>
        <w:rPr>
          <w:rFonts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 xml:space="preserve">车辆、设施</w:t>
      </w:r>
      <w:r>
        <w:rPr>
          <w:rFonts w:ascii="宋体" w:hAnsi="宋体" w:eastAsia="宋体" w:cs="宋体"/>
          <w:color w:val="auto"/>
          <w:spacing w:val="8"/>
          <w:sz w:val="21"/>
          <w:szCs w:val="21"/>
          <w:highlight w:val="none"/>
        </w:rPr>
        <w:t xml:space="preserve">设备配置</w:t>
      </w:r>
      <w:r/>
    </w:p>
    <w:p>
      <w:pPr>
        <w:numPr>
          <w:ilvl w:val="0"/>
          <w:numId w:val="0"/>
        </w:numPr>
        <w:ind w:firstLine="648"/>
        <w:jc w:val="left"/>
        <w:spacing w:line="360" w:lineRule="auto"/>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车辆、设施设备配置及维护等</w:t>
      </w:r>
      <w:r>
        <w:rPr>
          <w:rFonts w:hint="eastAsia" w:ascii="宋体" w:hAnsi="宋体" w:eastAsia="宋体" w:cs="仿宋"/>
          <w:color w:val="auto"/>
          <w:szCs w:val="21"/>
          <w:highlight w:val="none"/>
          <w:lang w:val="en-US" w:eastAsia="zh-CN"/>
        </w:rPr>
        <w:t xml:space="preserve">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9、拟投入设备方案</w:t>
      </w:r>
      <w:r/>
    </w:p>
    <w:p>
      <w:pPr>
        <w:ind w:firstLine="525"/>
        <w:jc w:val="left"/>
        <w:spacing w:line="360" w:lineRule="auto"/>
        <w:rPr>
          <w:rFonts w:hint="eastAsia" w:ascii="宋体" w:hAnsi="宋体" w:eastAsia="宋体" w:cs="宋体"/>
          <w:color w:val="auto"/>
          <w:sz w:val="24"/>
          <w:szCs w:val="32"/>
          <w:highlight w:val="none"/>
        </w:rPr>
      </w:pPr>
      <w:r>
        <w:rPr>
          <w:rFonts w:hint="eastAsia" w:ascii="宋体" w:hAnsi="宋体" w:eastAsia="宋体" w:cs="仿宋"/>
          <w:color w:val="auto"/>
          <w:szCs w:val="21"/>
          <w:highlight w:val="none"/>
          <w:lang w:val="en-US" w:eastAsia="zh-CN"/>
        </w:rPr>
        <w:t xml:space="preserve">对本项目提供设备投入计划方案（含具体配置内容及要求）等内容进行详尽描述。</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七、验收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1.符合采购人有关要求，符合项目验收标准后，采购人 3 个工作日内组织验收，并出具验收书；采购人依法组织履约验收工作。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3.对于实际使用人和采购人分离的项目，采购人邀请实际使用人参与验收。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4.如有必要，采购人邀请参加本项目的其他供应商或第三方专业机构及专家参与验收，相关意见将作为验收书的参考资料。</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八、其他要求</w:t>
      </w:r>
      <w:r/>
    </w:p>
    <w:p>
      <w:pPr>
        <w:ind w:firstLine="420"/>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具体运作方式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中标人根据项目经营需求，组织项目设计</w:t>
      </w:r>
      <w:r>
        <w:rPr>
          <w:rFonts w:hint="eastAsia" w:ascii="宋体" w:hAnsi="宋体" w:cs="宋体"/>
          <w:b w:val="0"/>
          <w:bCs/>
          <w:color w:val="auto"/>
          <w:szCs w:val="21"/>
          <w:highlight w:val="none"/>
          <w:lang w:eastAsia="zh-CN"/>
        </w:rPr>
        <w:t xml:space="preserve">，</w:t>
      </w:r>
      <w:r>
        <w:rPr>
          <w:rFonts w:hint="eastAsia" w:ascii="宋体" w:hAnsi="宋体" w:cs="仿宋"/>
          <w:color w:val="auto"/>
          <w:szCs w:val="21"/>
          <w:highlight w:val="none"/>
          <w:lang w:eastAsia="zh-CN"/>
        </w:rPr>
        <w:t xml:space="preserve">并</w:t>
      </w:r>
      <w:r>
        <w:rPr>
          <w:rFonts w:hint="eastAsia" w:ascii="宋体" w:hAnsi="宋体" w:cs="仿宋"/>
          <w:color w:val="auto"/>
          <w:szCs w:val="21"/>
          <w:highlight w:val="none"/>
        </w:rPr>
        <w:t xml:space="preserve">在</w:t>
      </w:r>
      <w:r>
        <w:rPr>
          <w:rFonts w:hint="eastAsia" w:ascii="宋体" w:hAnsi="宋体" w:cs="仿宋"/>
          <w:color w:val="auto"/>
          <w:szCs w:val="21"/>
          <w:highlight w:val="none"/>
          <w:lang w:val="en-US" w:eastAsia="zh-CN"/>
        </w:rPr>
        <w:t xml:space="preserve">项目</w:t>
      </w:r>
      <w:r>
        <w:rPr>
          <w:rFonts w:hint="eastAsia" w:ascii="宋体" w:hAnsi="宋体" w:cs="仿宋"/>
          <w:b/>
          <w:bCs/>
          <w:color w:val="auto"/>
          <w:szCs w:val="21"/>
          <w:highlight w:val="none"/>
          <w:lang w:val="en-US" w:eastAsia="zh-CN"/>
        </w:rPr>
        <w:t xml:space="preserve">所在地</w:t>
      </w:r>
      <w:r>
        <w:rPr>
          <w:rFonts w:hint="eastAsia" w:ascii="宋体" w:hAnsi="宋体" w:cs="仿宋"/>
          <w:b/>
          <w:bCs/>
          <w:color w:val="auto"/>
          <w:szCs w:val="21"/>
          <w:highlight w:val="none"/>
        </w:rPr>
        <w:t xml:space="preserve">设立固定办公场所</w:t>
      </w:r>
      <w:r>
        <w:rPr>
          <w:rFonts w:hint="eastAsia" w:ascii="宋体" w:hAnsi="宋体" w:cs="仿宋"/>
          <w:b/>
          <w:bCs/>
          <w:color w:val="auto"/>
          <w:szCs w:val="21"/>
          <w:highlight w:val="none"/>
          <w:lang w:val="en-US" w:eastAsia="zh-CN"/>
        </w:rPr>
        <w:t xml:space="preserve">一处</w:t>
      </w:r>
      <w:r>
        <w:rPr>
          <w:rFonts w:hint="eastAsia" w:ascii="宋体" w:hAnsi="宋体" w:cs="仿宋"/>
          <w:b/>
          <w:bCs/>
          <w:color w:val="auto"/>
          <w:szCs w:val="21"/>
          <w:highlight w:val="none"/>
        </w:rPr>
        <w:t xml:space="preserve">，</w:t>
      </w:r>
      <w:r>
        <w:rPr>
          <w:rFonts w:hint="eastAsia" w:ascii="宋体" w:hAnsi="宋体" w:cs="仿宋"/>
          <w:color w:val="auto"/>
          <w:szCs w:val="21"/>
          <w:highlight w:val="none"/>
        </w:rPr>
        <w:t xml:space="preserve">用于本项目的人员办公，负责日常沟通、应急响应</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问题协调</w:t>
      </w:r>
      <w:r>
        <w:rPr>
          <w:rFonts w:hint="eastAsia" w:ascii="宋体" w:hAnsi="宋体" w:cs="仿宋"/>
          <w:color w:val="auto"/>
          <w:szCs w:val="21"/>
          <w:highlight w:val="none"/>
          <w:lang w:val="en-US" w:eastAsia="zh-CN"/>
        </w:rPr>
        <w:t xml:space="preserve">等；</w:t>
      </w:r>
      <w:r>
        <w:rPr>
          <w:rFonts w:hint="eastAsia" w:ascii="宋体" w:hAnsi="宋体" w:cs="仿宋"/>
          <w:b/>
          <w:bCs/>
          <w:color w:val="auto"/>
          <w:szCs w:val="21"/>
          <w:highlight w:val="none"/>
          <w:lang w:val="en-US" w:eastAsia="zh-CN"/>
        </w:rPr>
        <w:t xml:space="preserve">另提供设施设备物料堆放仓库、满足</w:t>
      </w:r>
      <w:r>
        <w:rPr>
          <w:rFonts w:hint="eastAsia" w:ascii="宋体" w:hAnsi="宋体" w:cs="仿宋"/>
          <w:b/>
          <w:bCs/>
          <w:color w:val="auto"/>
          <w:szCs w:val="21"/>
          <w:highlight w:val="none"/>
          <w:lang w:eastAsia="zh-CN"/>
        </w:rPr>
        <w:t xml:space="preserve">车辆集中</w:t>
      </w:r>
      <w:r>
        <w:rPr>
          <w:rFonts w:hint="eastAsia" w:ascii="宋体" w:hAnsi="宋体" w:cs="仿宋"/>
          <w:b/>
          <w:bCs/>
          <w:color w:val="auto"/>
          <w:szCs w:val="21"/>
          <w:highlight w:val="none"/>
          <w:lang w:val="en-US" w:eastAsia="zh-CN"/>
        </w:rPr>
        <w:t xml:space="preserve">停放所需的停车场</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lang w:val="en-US" w:eastAsia="zh-CN"/>
        </w:rPr>
        <w:t xml:space="preserve">融雪点等各不少于两处</w:t>
      </w:r>
      <w:r>
        <w:rPr>
          <w:rFonts w:hint="eastAsia" w:ascii="宋体" w:hAnsi="宋体" w:cs="仿宋"/>
          <w:color w:val="auto"/>
          <w:szCs w:val="21"/>
          <w:highlight w:val="none"/>
          <w:lang w:val="en-US" w:eastAsia="zh-CN"/>
        </w:rPr>
        <w:t xml:space="preserve">，便于管理及开展工作。</w:t>
      </w:r>
      <w:r>
        <w:rPr>
          <w:rFonts w:hint="eastAsia" w:ascii="宋体" w:hAnsi="宋体" w:cs="仿宋"/>
          <w:color w:val="auto"/>
          <w:szCs w:val="21"/>
          <w:highlight w:val="none"/>
        </w:rPr>
        <w:t xml:space="preserve">（办公场所可以是投标人自有场地、租赁场地、或与本地合法机构合作设立的服务点）</w:t>
      </w:r>
      <w:r>
        <w:rPr>
          <w:rFonts w:hint="eastAsia" w:ascii="宋体" w:hAnsi="宋体" w:cs="仿宋"/>
          <w:color w:val="auto"/>
          <w:szCs w:val="21"/>
          <w:highlight w:val="none"/>
          <w:lang w:eastAsia="zh-CN"/>
        </w:rPr>
        <w:t xml:space="preserve">。采购人将于中标后1</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lang w:eastAsia="zh-CN"/>
        </w:rPr>
        <w:t xml:space="preserve">日内对中标人的办公场所设立，公司开户，服务团队组建、拟投入的车辆、人员等相关事项进行现场核实及初步验收。中标人未按要求完成的，采购人要求其5日内整改完毕，逾期未完成的，扣除当月服务费的50%。</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中标人在领取中标通知书后7日内向发包人提供本项目的详细实施细则，包括但不限于以下内容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环卫车辆、设施配置</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环卫人员安排表等。经发包人审核通过后方可实施。</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报价内容包括</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服务本身价格、人工、设备、税费及交付使用过程中</w:t>
      </w:r>
      <w:r>
        <w:rPr>
          <w:rFonts w:hint="eastAsia" w:ascii="宋体" w:hAnsi="宋体" w:cs="宋体"/>
          <w:b w:val="0"/>
          <w:bCs/>
          <w:color w:val="auto"/>
          <w:szCs w:val="21"/>
          <w:highlight w:val="none"/>
          <w:lang w:eastAsia="zh-CN"/>
        </w:rPr>
        <w:t xml:space="preserve">涉及</w:t>
      </w:r>
      <w:r>
        <w:rPr>
          <w:rFonts w:hint="eastAsia" w:ascii="宋体" w:hAnsi="宋体" w:cs="宋体"/>
          <w:b w:val="0"/>
          <w:bCs/>
          <w:color w:val="auto"/>
          <w:szCs w:val="21"/>
          <w:highlight w:val="none"/>
        </w:rPr>
        <w:t xml:space="preserve">的其他一切相关费用(包含但不限于大气污染防控和文明城市创建等期间可能发生的一切相关费用</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，清单表格不全可另列。</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报价其他相关要求</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A.</w:t>
      </w:r>
      <w:r>
        <w:rPr>
          <w:rFonts w:hint="eastAsia" w:ascii="宋体" w:hAnsi="宋体" w:cs="宋体"/>
          <w:b w:val="0"/>
          <w:bCs/>
          <w:color w:val="auto"/>
          <w:szCs w:val="21"/>
          <w:highlight w:val="none"/>
        </w:rPr>
        <w:t xml:space="preserve">在服务阶段如道路有相关增加、减少或</w:t>
      </w:r>
      <w:r>
        <w:rPr>
          <w:rFonts w:hint="eastAsia" w:ascii="宋体" w:hAnsi="宋体" w:cs="宋体"/>
          <w:b w:val="0"/>
          <w:bCs/>
          <w:color w:val="auto"/>
          <w:szCs w:val="21"/>
          <w:highlight w:val="none"/>
          <w:lang w:eastAsia="zh-CN"/>
        </w:rPr>
        <w:t xml:space="preserve">无需</w:t>
      </w:r>
      <w:r>
        <w:rPr>
          <w:rFonts w:hint="eastAsia" w:ascii="宋体" w:hAnsi="宋体" w:cs="宋体"/>
          <w:b w:val="0"/>
          <w:bCs/>
          <w:color w:val="auto"/>
          <w:szCs w:val="21"/>
          <w:highlight w:val="none"/>
        </w:rPr>
        <w:t xml:space="preserve">进行保洁服务的情形，服务费做相应调整</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B.</w:t>
      </w:r>
      <w:r>
        <w:rPr>
          <w:rFonts w:hint="eastAsia" w:ascii="宋体" w:hAnsi="宋体" w:cs="宋体"/>
          <w:b w:val="0"/>
          <w:bCs/>
          <w:color w:val="auto"/>
          <w:szCs w:val="21"/>
          <w:highlight w:val="none"/>
        </w:rPr>
        <w:t xml:space="preserve">同一年度内同等级道路的增加、减少可在当年度末相互抵消，仅计算尚未被抵消的部分</w:t>
      </w:r>
      <w:r>
        <w:rPr>
          <w:rFonts w:hint="eastAsia" w:ascii="宋体" w:hAnsi="宋体" w:cs="宋体"/>
          <w:b w:val="0"/>
          <w:bCs/>
          <w:color w:val="auto"/>
          <w:szCs w:val="21"/>
          <w:highlight w:val="none"/>
          <w:lang w:val="en-US" w:eastAsia="zh-CN"/>
        </w:rPr>
        <w:t xml:space="preserve">；</w:t>
      </w:r>
      <w:r/>
    </w:p>
    <w:p>
      <w:pPr>
        <w:jc w:val="left"/>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C.如遇封闭路段，封闭时间在6个月以内的，此路段费用</w:t>
      </w:r>
      <w:r>
        <w:rPr>
          <w:rFonts w:hint="eastAsia" w:ascii="宋体" w:hAnsi="宋体" w:cs="宋体"/>
          <w:b w:val="0"/>
          <w:bCs/>
          <w:color w:val="auto"/>
          <w:szCs w:val="21"/>
          <w:highlight w:val="none"/>
        </w:rPr>
        <w:t xml:space="preserve">按相应等级道路保洁投标时的每平方米单价*</w:t>
      </w:r>
      <w:r>
        <w:rPr>
          <w:rFonts w:hint="eastAsia" w:ascii="宋体" w:hAnsi="宋体" w:cs="宋体"/>
          <w:b w:val="0"/>
          <w:bCs/>
          <w:color w:val="auto"/>
          <w:szCs w:val="21"/>
          <w:highlight w:val="none"/>
          <w:lang w:val="en-US" w:eastAsia="zh-CN"/>
        </w:rPr>
        <w:t xml:space="preserve">此路段面积*60%扣除；如6个月以后此路段仍保持封闭状态，则不支付此路段的费用；</w:t>
      </w:r>
      <w:r/>
    </w:p>
    <w:p>
      <w:pPr>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D.</w:t>
      </w:r>
      <w:r>
        <w:rPr>
          <w:rFonts w:hint="eastAsia" w:ascii="宋体" w:hAnsi="宋体" w:cs="宋体"/>
          <w:b w:val="0"/>
          <w:bCs/>
          <w:color w:val="auto"/>
          <w:szCs w:val="21"/>
          <w:highlight w:val="none"/>
        </w:rPr>
        <w:t xml:space="preserve">公厕及垃圾二级转运站按座报价，如有</w:t>
      </w:r>
      <w:r>
        <w:rPr>
          <w:rFonts w:hint="eastAsia" w:ascii="宋体" w:hAnsi="宋体" w:cs="宋体"/>
          <w:b w:val="0"/>
          <w:bCs/>
          <w:color w:val="auto"/>
          <w:szCs w:val="21"/>
          <w:highlight w:val="none"/>
          <w:lang w:eastAsia="zh-CN"/>
        </w:rPr>
        <w:t xml:space="preserve">增加</w:t>
      </w:r>
      <w:r>
        <w:rPr>
          <w:rFonts w:hint="eastAsia" w:ascii="宋体" w:hAnsi="宋体" w:cs="宋体"/>
          <w:b w:val="0"/>
          <w:bCs/>
          <w:color w:val="auto"/>
          <w:szCs w:val="21"/>
          <w:highlight w:val="none"/>
        </w:rPr>
        <w:t xml:space="preserve">，按投标单价*增加的数量调增相应服务费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如有减少，按投标单价*减少的数量</w:t>
      </w:r>
      <w:r>
        <w:rPr>
          <w:rFonts w:hint="eastAsia" w:ascii="宋体" w:hAnsi="宋体" w:cs="宋体"/>
          <w:b w:val="0"/>
          <w:bCs/>
          <w:color w:val="auto"/>
          <w:szCs w:val="21"/>
          <w:highlight w:val="none"/>
          <w:lang w:val="en-US" w:eastAsia="zh-CN"/>
        </w:rPr>
        <w:t xml:space="preserve">扣</w:t>
      </w:r>
      <w:r>
        <w:rPr>
          <w:rFonts w:hint="eastAsia" w:ascii="宋体" w:hAnsi="宋体" w:cs="宋体"/>
          <w:b w:val="0"/>
          <w:bCs/>
          <w:color w:val="auto"/>
          <w:szCs w:val="21"/>
          <w:highlight w:val="none"/>
        </w:rPr>
        <w:t xml:space="preserve">减相应服务费</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E.</w:t>
      </w:r>
      <w:r>
        <w:rPr>
          <w:rFonts w:hint="eastAsia" w:ascii="宋体" w:hAnsi="宋体" w:cs="宋体"/>
          <w:b w:val="0"/>
          <w:bCs/>
          <w:color w:val="auto"/>
          <w:szCs w:val="21"/>
          <w:highlight w:val="none"/>
        </w:rPr>
        <w:t xml:space="preserve">千鸟园广场保洁及管理维护服务按项报价，投标人应做现场查勘充分了解，中标后报价不予调整。</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F</w:t>
      </w:r>
      <w:r>
        <w:rPr>
          <w:rFonts w:hint="eastAsia" w:ascii="宋体" w:hAnsi="宋体" w:cs="宋体"/>
          <w:b w:val="0"/>
          <w:bCs/>
          <w:color w:val="auto"/>
          <w:szCs w:val="21"/>
          <w:highlight w:val="none"/>
        </w:rPr>
        <w:t xml:space="preserve">.中标人须</w:t>
      </w:r>
      <w:r>
        <w:rPr>
          <w:rFonts w:hint="eastAsia" w:ascii="宋体" w:hAnsi="宋体" w:cs="宋体"/>
          <w:b w:val="0"/>
          <w:bCs/>
          <w:color w:val="auto"/>
          <w:szCs w:val="21"/>
          <w:highlight w:val="none"/>
          <w:lang w:val="en-US" w:eastAsia="zh-CN"/>
        </w:rPr>
        <w:t xml:space="preserve">搭建</w:t>
      </w:r>
      <w:r>
        <w:rPr>
          <w:rFonts w:hint="eastAsia" w:ascii="宋体" w:hAnsi="宋体" w:cs="宋体"/>
          <w:b w:val="0"/>
          <w:bCs/>
          <w:color w:val="auto"/>
          <w:szCs w:val="21"/>
          <w:highlight w:val="none"/>
        </w:rPr>
        <w:t xml:space="preserve">环卫保洁、公厕管理、车辆行驶</w:t>
      </w:r>
      <w:r>
        <w:rPr>
          <w:rFonts w:hint="eastAsia" w:ascii="宋体" w:hAnsi="宋体" w:cs="宋体"/>
          <w:b w:val="0"/>
          <w:bCs/>
          <w:color w:val="auto"/>
          <w:szCs w:val="21"/>
          <w:highlight w:val="none"/>
          <w:lang w:val="en-US" w:eastAsia="zh-CN"/>
        </w:rPr>
        <w:t xml:space="preserve">等智慧</w:t>
      </w:r>
      <w:r>
        <w:rPr>
          <w:rFonts w:hint="eastAsia" w:ascii="宋体" w:hAnsi="宋体" w:cs="宋体"/>
          <w:b w:val="0"/>
          <w:bCs/>
          <w:color w:val="auto"/>
          <w:szCs w:val="21"/>
          <w:highlight w:val="none"/>
        </w:rPr>
        <w:t xml:space="preserve">平台，并至少有1名专业人员维护。</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九、附件</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附件1  宿豫区环卫作业市场化考核办法</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附件2  城市道路环卫机械化作业质量标准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附件3  江苏省城市环境卫生作业质量标准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附件4  全国文明城市测评操作手册实地考察标准</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附件5  宿迁市环境卫生作业质量标准及考核办法</w:t>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附件1</w:t>
      </w:r>
      <w:r/>
    </w:p>
    <w:p>
      <w:pPr>
        <w:jc w:val="center"/>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宿豫区环卫作业市场化考核办法</w:t>
      </w:r>
      <w:r/>
    </w:p>
    <w:p>
      <w:pPr>
        <w:numPr>
          <w:ilvl w:val="0"/>
          <w:numId w:val="0"/>
        </w:numPr>
        <w:jc w:val="left"/>
        <w:spacing w:line="360" w:lineRule="auto"/>
        <w:rPr>
          <w:rFonts w:hint="eastAsia" w:ascii="宋体" w:hAnsi="宋体" w:eastAsia="宋体" w:cs="黑体"/>
          <w:b/>
          <w:color w:val="auto"/>
          <w:szCs w:val="21"/>
          <w:highlight w:val="none"/>
          <w:lang w:val="en-US" w:eastAsia="zh-CN"/>
        </w:rPr>
      </w:pPr>
      <w:r/>
      <w:bookmarkStart w:id="237" w:name="_Toc38811011"/>
      <w:r>
        <w:rPr>
          <w:rFonts w:hint="eastAsia" w:ascii="宋体" w:hAnsi="宋体" w:eastAsia="宋体" w:cs="黑体"/>
          <w:b/>
          <w:color w:val="auto"/>
          <w:szCs w:val="21"/>
          <w:highlight w:val="none"/>
          <w:lang w:val="en-US" w:eastAsia="zh-CN"/>
        </w:rPr>
        <w:t xml:space="preserve">一、考核结果的计算及评价</w:t>
      </w:r>
      <w:bookmarkEnd w:id="237"/>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（一）考核结果的计算方式：月考核按照《</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以百分制计算，考核经确认后，于次月5日前由宿迁市宿豫区城市管理局将前月的考核情况汇总上报分管负责人和主要负责人，并以书面形式通报给市场化作业单位，考核结果作为月度费用结算的依据。</w:t>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（二）考核结果的应用：</w:t>
      </w:r>
      <w:r/>
    </w:p>
    <w:p>
      <w:pPr>
        <w:ind w:firstLine="420"/>
        <w:jc w:val="left"/>
        <w:spacing w:line="360" w:lineRule="auto"/>
        <w:rPr>
          <w:rFonts w:hint="eastAsia" w:ascii="宋体" w:hAnsi="宋体" w:eastAsia="宋体" w:cs="仿宋_GB2312"/>
          <w:color w:val="auto"/>
          <w:szCs w:val="21"/>
          <w:highlight w:val="none"/>
        </w:rPr>
      </w:pPr>
      <w:r/>
      <w:bookmarkStart w:id="238" w:name="_Toc38811012"/>
      <w:r>
        <w:rPr>
          <w:rFonts w:hint="eastAsia" w:ascii="宋体" w:hAnsi="宋体" w:eastAsia="宋体" w:cs="仿宋_GB2312"/>
          <w:color w:val="auto"/>
          <w:szCs w:val="21"/>
          <w:highlight w:val="none"/>
        </w:rPr>
        <w:t xml:space="preserve">招标人考核依据</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w:t>
      </w:r>
      <w:r>
        <w:rPr>
          <w:rFonts w:hint="eastAsia" w:ascii="宋体" w:hAnsi="宋体" w:eastAsia="宋体" w:cs="仿宋_GB2312"/>
          <w:color w:val="auto"/>
          <w:szCs w:val="21"/>
          <w:highlight w:val="none"/>
        </w:rPr>
        <w:t xml:space="preserve">对服务单位作业质量进行定期和不定期监管检查考核。当作业质量的月综合考评得分达到90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含90分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以上时，则不扣减当月服务费</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当作业质量的月综合考评得分低于90分时，每低</w:t>
      </w:r>
      <w:r>
        <w:rPr>
          <w:rFonts w:hint="eastAsia" w:ascii="宋体" w:hAnsi="宋体" w:cs="仿宋_GB2312"/>
          <w:color w:val="auto"/>
          <w:szCs w:val="21"/>
          <w:highlight w:val="none"/>
          <w:lang w:val="en-US" w:eastAsia="zh-CN"/>
        </w:rPr>
        <w:t xml:space="preserve">0.1</w:t>
      </w:r>
      <w:r>
        <w:rPr>
          <w:rFonts w:hint="eastAsia" w:ascii="宋体" w:hAnsi="宋体" w:eastAsia="宋体" w:cs="仿宋_GB2312"/>
          <w:color w:val="auto"/>
          <w:szCs w:val="21"/>
          <w:highlight w:val="none"/>
        </w:rPr>
        <w:t xml:space="preserve">分扣</w:t>
      </w:r>
      <w:r>
        <w:rPr>
          <w:rFonts w:hint="eastAsia" w:ascii="宋体" w:hAnsi="宋体" w:cs="仿宋_GB2312"/>
          <w:color w:val="auto"/>
          <w:szCs w:val="21"/>
          <w:highlight w:val="none"/>
          <w:lang w:val="en-US" w:eastAsia="zh-CN"/>
        </w:rPr>
        <w:t xml:space="preserve">3000</w:t>
      </w:r>
      <w:r>
        <w:rPr>
          <w:rFonts w:hint="eastAsia" w:ascii="宋体" w:hAnsi="宋体" w:eastAsia="宋体" w:cs="仿宋_GB2312"/>
          <w:color w:val="auto"/>
          <w:szCs w:val="21"/>
          <w:highlight w:val="none"/>
        </w:rPr>
        <w:t xml:space="preserve">元，一年内一次得分低于60分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的，扣除年中标总额的</w:t>
      </w:r>
      <w:r>
        <w:rPr>
          <w:rFonts w:hint="eastAsia" w:ascii="宋体" w:hAnsi="宋体" w:cs="仿宋_GB2312"/>
          <w:color w:val="auto"/>
          <w:szCs w:val="21"/>
          <w:highlight w:val="none"/>
          <w:lang w:val="en-US" w:eastAsia="zh-CN"/>
        </w:rPr>
        <w:t xml:space="preserve">2</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w:t>
      </w:r>
      <w:r>
        <w:rPr>
          <w:rFonts w:hint="eastAsia" w:ascii="宋体" w:hAnsi="宋体" w:eastAsia="宋体" w:cs="仿宋_GB2312"/>
          <w:color w:val="auto"/>
          <w:szCs w:val="21"/>
          <w:highlight w:val="none"/>
          <w:lang w:eastAsia="zh-CN"/>
        </w:rPr>
        <w:t xml:space="preserve">两次</w:t>
      </w:r>
      <w:r>
        <w:rPr>
          <w:rFonts w:hint="eastAsia" w:ascii="宋体" w:hAnsi="宋体" w:eastAsia="宋体" w:cs="仿宋_GB2312"/>
          <w:color w:val="auto"/>
          <w:szCs w:val="21"/>
          <w:highlight w:val="none"/>
        </w:rPr>
        <w:t xml:space="preserve">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，进行约谈并扣除年中标总额的</w:t>
      </w:r>
      <w:r>
        <w:rPr>
          <w:rFonts w:hint="eastAsia" w:ascii="宋体" w:hAnsi="宋体" w:cs="仿宋_GB2312"/>
          <w:color w:val="auto"/>
          <w:szCs w:val="21"/>
          <w:highlight w:val="none"/>
          <w:lang w:val="en-US" w:eastAsia="zh-CN"/>
        </w:rPr>
        <w:t xml:space="preserve">4</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连续三次得分低于60分的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直接退场。</w:t>
      </w:r>
      <w:r/>
    </w:p>
    <w:p>
      <w:pPr>
        <w:numPr>
          <w:ilvl w:val="0"/>
          <w:numId w:val="12"/>
        </w:numPr>
        <w:ind w:firstLine="420"/>
        <w:jc w:val="left"/>
        <w:spacing w:line="360" w:lineRule="auto"/>
        <w:rPr>
          <w:rFonts w:hint="eastAsia" w:ascii="宋体" w:hAnsi="宋体" w:cs="仿宋_GB2312"/>
          <w:color w:val="auto"/>
          <w:szCs w:val="21"/>
          <w:highlight w:val="none"/>
        </w:rPr>
      </w:pPr>
      <w:r>
        <w:rPr>
          <w:rFonts w:hint="eastAsia" w:ascii="宋体" w:hAnsi="宋体" w:eastAsia="宋体" w:cs="仿宋_GB2312"/>
          <w:color w:val="auto"/>
          <w:szCs w:val="21"/>
          <w:highlight w:val="none"/>
        </w:rPr>
        <w:t xml:space="preserve">本项目考核细则执行《</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年宿豫区道路环卫保洁市场化服务项目考核细则》参照《宿迁市环境卫生作业质量标准及考核办法》编制，如在项目实施过程中，发包人经过不断总结，发现更好的考核办法，有权修改《</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年宿豫区道路环卫保洁市场化服务项目考核细则》，但不得超出本项目采购需求，</w:t>
      </w:r>
      <w:r>
        <w:rPr>
          <w:rFonts w:hint="eastAsia" w:ascii="宋体" w:hAnsi="宋体" w:cs="仿宋_GB2312"/>
          <w:color w:val="auto"/>
          <w:szCs w:val="21"/>
          <w:highlight w:val="none"/>
        </w:rPr>
        <w:t xml:space="preserve">见下表</w:t>
      </w:r>
      <w:r>
        <w:rPr>
          <w:rFonts w:hint="eastAsia" w:ascii="宋体" w:hAnsi="宋体" w:cs="仿宋_GB2312"/>
          <w:color w:val="auto"/>
          <w:szCs w:val="21"/>
          <w:highlight w:val="none"/>
          <w:lang w:eastAsia="zh-CN"/>
        </w:rPr>
        <w:t xml:space="preserve">：</w:t>
      </w:r>
      <w:r/>
    </w:p>
    <w:p>
      <w:pPr>
        <w:numPr>
          <w:ilvl w:val="0"/>
          <w:numId w:val="0"/>
        </w:numPr>
        <w:jc w:val="left"/>
        <w:spacing w:line="360" w:lineRule="auto"/>
        <w:rPr>
          <w:rFonts w:ascii="宋体" w:hAnsi="宋体" w:cs="黑体"/>
          <w:b/>
          <w:color w:val="auto"/>
          <w:szCs w:val="21"/>
          <w:highlight w:val="none"/>
        </w:rPr>
      </w:pPr>
      <w:r>
        <w:rPr>
          <w:rFonts w:hint="eastAsia" w:ascii="宋体" w:hAnsi="宋体" w:cs="黑体"/>
          <w:b/>
          <w:color w:val="auto"/>
          <w:szCs w:val="21"/>
          <w:highlight w:val="none"/>
        </w:rPr>
        <w:t xml:space="preserve">二、考核细则</w:t>
      </w:r>
      <w:bookmarkEnd w:id="238"/>
      <w:r/>
      <w:r/>
    </w:p>
    <w:p>
      <w:pPr>
        <w:numPr>
          <w:ilvl w:val="0"/>
          <w:numId w:val="0"/>
        </w:numPr>
        <w:ind w:firstLine="420"/>
        <w:jc w:val="left"/>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单项采用百分考核，最终折算为百分制。根据试行情况，宿迁市宿豫区城市管理局适时对评分标准相关条款进行修改完善。</w:t>
      </w:r>
      <w:bookmarkEnd w:id="233"/>
      <w:r/>
    </w:p>
    <w:p>
      <w:pPr>
        <w:rPr>
          <w:rFonts w:hint="eastAsia"/>
          <w:color w:val="auto"/>
          <w:highlight w:val="none"/>
        </w:rPr>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highlight w:val="none"/>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0"/>
        <w:gridCol w:w="913"/>
        <w:gridCol w:w="1354"/>
        <w:gridCol w:w="6992"/>
        <w:gridCol w:w="532"/>
        <w:gridCol w:w="438"/>
        <w:gridCol w:w="3529"/>
      </w:tblGrid>
      <w:tr>
        <w:trPr>
          <w:trHeight w:val="52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2026年宿豫区道路环卫保洁市场化服务项目考核细则</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内 </w:t>
            </w:r>
            <w:r>
              <w:rPr>
                <w:rStyle w:val="1148"/>
                <w:color w:val="auto"/>
                <w:highlight w:val="none"/>
                <w:lang w:val="en-US" w:eastAsia="zh-CN" w:bidi="ar"/>
              </w:rPr>
              <w:t xml:space="preserve">   容</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考核要点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得</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值</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清扫保洁</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道路清扫保洁时间及要求（18分）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人行道、路面、边沟、下水口、树池等干净整洁，路面见本色。</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在规定的时间内完成普扫作业。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一级道路清扫保洁时间不低于16 小时、二级道路清扫保洁时间不低于 14 小时</w:t>
            </w:r>
            <w:r>
              <w:rPr>
                <w:rFonts w:hint="eastAsia" w:ascii="宋体" w:hAnsi="宋体" w:cs="宋体"/>
                <w:i w:val="0"/>
                <w:iCs w:val="0"/>
                <w:color w:val="auto"/>
                <w:sz w:val="21"/>
                <w:szCs w:val="21"/>
                <w:highlight w:val="none"/>
                <w:u w:val="none"/>
                <w:lang w:val="en-US" w:eastAsia="zh-CN" w:bidi="ar"/>
              </w:rPr>
              <w:t xml:space="preserve">、三、四</w:t>
            </w:r>
            <w:r>
              <w:rPr>
                <w:rFonts w:hint="eastAsia" w:ascii="宋体" w:hAnsi="宋体" w:eastAsia="宋体" w:cs="宋体"/>
                <w:i w:val="0"/>
                <w:iCs w:val="0"/>
                <w:color w:val="auto"/>
                <w:sz w:val="21"/>
                <w:szCs w:val="21"/>
                <w:highlight w:val="none"/>
                <w:u w:val="none"/>
                <w:lang w:val="en-US" w:eastAsia="zh-CN" w:bidi="ar"/>
              </w:rPr>
              <w:t xml:space="preserve">级道路清扫保洁时间不低于</w:t>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 小时。</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①保洁车辆应配挂安全标志牌。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②保洁车辆作业完毕，车厢内达到无残留垃圾杂物，干净整洁。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③保洁车辆应定期油饰和维修，保持完好无损。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保洁人员服装统一。</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冲洗后路面干净，雨水篦定期进行清掏，确保不堵塞。</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道路路面（墙到墙）废弃物在同一单位长度内，不得超过各单项废弃物总数的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计算详见宿迁环卫作业质量标准表 1-2，每发现一处（项）不合格扣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道路机械化清扫、冲洗程度（18分）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道路机械化作业时间及频次。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机械化作业频次未达到宿迁环卫作业质量标准表 1-1 要求的，每发现一次扣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分；积尘测量每发现一处不合格扣</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一级道路快车道积尘克数不超过 5 克/平方米，慢车道不超过8 克/平方米、人行道不超过 5克/平方米。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二级道路快车道积尘克数不超过 8 克/平方米、慢车道不超过15 克/平方米、人行道不超过 8克/平方米。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建设（拆迁）工地出入口半径10 米范围内积尘不超过 30 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四个大气监测点周边合围区域道路的快车道、慢车道、人行道积尘克数均不超过 5 克。</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规定。但在同一单位长度内，不得超过各单项废弃物总数的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规定。每发现一处（项）不合格扣0.</w:t>
            </w:r>
            <w:r>
              <w:rPr>
                <w:rFonts w:hint="eastAsia" w:ascii="宋体" w:hAnsi="宋体" w:cs="宋体"/>
                <w:i w:val="0"/>
                <w:iCs w:val="0"/>
                <w:color w:val="auto"/>
                <w:sz w:val="21"/>
                <w:szCs w:val="21"/>
                <w:highlight w:val="none"/>
                <w:u w:val="none"/>
                <w:lang w:val="en-US" w:eastAsia="zh-CN" w:bidi="ar"/>
              </w:rPr>
              <w:t xml:space="preserve">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四个大气检测点周边半径 1 公里范围内道路每天洒水不低于4 次，并且夏季根据天气状况实时增加洒水频率。</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道路机械化清扫率≥97%。</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未达到扣完本项分值</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公共绿地保洁（</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果皮箱、垃圾桶等垃圾收集设施应一日两清掏，完好率应不低于 98%；体表整洁，无满溢，无蚊蝇、无污水，箱周围地面应无抛撒、存留垃圾；箱体清洗及小广告清除一级道路1 日1次，其他区域 2 日 1 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道路两侧的建筑物外墙无明显污迹，无乱张贴、乱涂写和过时破损标语；一级保洁道路“墙到墙”之间所有构筑物和构件两米以下部分（含路面）要每天清理乱张贴和乱涂、乱画；其他区域 2 天清理一次</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交通护栏等道路隔离设施应整洁，并定期擦洗，无明显灰尘污物；道路隔离设施底部应无散落垃圾和明显尘土。一级保洁区域交通护栏每天清洗一遍，其他区域每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路名牌、指路牌、交通护栏以及路灯杆、交通指示牌杆等两米以下部分无污迹、积尘；一级保洁道路两侧路名牌、指路牌、交通护栏以及路灯杆、交通指示牌杆等两米以下部分每天清理一次，每星期进行一次擦洗；其他区域每 2天清理一次，每星期进行一次擦洗。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公交候车站应整洁，其保洁质量应与所在道路保洁质量标准相同；一级保洁道路的相应设施应每天清理乱张贴、乱涂、乱画，每星期进行一次清洗；其他区域每 2 天清理一次，每星期进行一次清洗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路旁绿地、绿化隔离带、行道树穴内应无积存垃圾、砖块和人畜粪便等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道路两侧及绿地内休闲椅、康体娱乐设施、雕塑等无积尘、无明显污迹；应每周擦洗一次。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定期对道路两侧喷泉、水幕、水池等人工造景进行清理，确保水体及周边无垃圾、无污水积存。道路隔音设施、桥梁墩柱等部位要不定期进行清洗，保证干净、整洁。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公共设施清洗及维修（</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一级保洁道路护栏每天冲洗一遍；其他范围护栏每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一级保洁道路两侧广告牌、路牌、邮筒、读报栏、公交车站等城市家具等两米以下部分及道路路面每天清理一次乱张 贴、乱涂、乱画，每周清洗一次；其他区域每 2 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建筑物外墙无明显污迹，无乱张贴、乱涂写和过时破损标语。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水面保洁（</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水面清洁管理标准：水面无果皮纸屑塑膜等漂浮垃圾、杂草、蓝藻等。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护坡清洁管理标准：硬化的护坡达到无垃圾、无牛皮癣。未硬化的护坡达到无垃圾。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河堤绿地清洁管理标准：绿地内无砖头、石块、纸屑、生活垃圾、枯枝枯叶，绿地设施上无牛皮癣及乱划痕迹。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清扫、打漂、保洁收集的垃圾存放到各区环卫部门指定地 点，定时派装卸人员装卸，并运至指定地点。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水面、护坡、河堤绿地保洁要求每天开展一次日常保洁，保洁人员要根据保洁要求，达到保洁标准，做到日产日清，遇到特殊情况，随时保洁，确保河道整洁。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保洁工人操作时要确保安全。为确保人身安全，保洁工人在实施河道保洁工作时，必须佩戴救生衣，自备小船。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 集、清运</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生活垃圾收集（</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收集点及周围 5m 内保持整洁，无散落、存留垃圾和污水。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w:t>
            </w:r>
            <w:r>
              <w:rPr>
                <w:rFonts w:hint="eastAsia" w:ascii="宋体" w:hAnsi="宋体" w:cs="宋体"/>
                <w:i w:val="0"/>
                <w:iCs w:val="0"/>
                <w:color w:val="auto"/>
                <w:sz w:val="21"/>
                <w:szCs w:val="21"/>
                <w:highlight w:val="none"/>
                <w:u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定时定点、日产日清，不得堆积、滞留。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无主生活垃圾应及时收集、清运。</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垃圾收集箱应无残缺、破损，封闭性好，外体干净，完好率应不低于 95%。</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垃圾收集站（点）应定期清洗、喷洒消毒、灭蚊蝇药物。在可视范围内，苍蝇应少于 3 只/次，并无活鼠等。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运送垃圾的过程应覆盖密闭，实行“垃圾不落地”作业，不得有滴冒撒漏现象。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垃圾车辆车容整洁，车况良好，车牌号码完整，不得遮挡。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收集箱管理（3分）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重点地区收集箱 50—80m 设置，一级道路收集箱 50—100m 设置，二、三级道路 100—200m 设置。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道路收集箱应一日两清掏，体表整洁，完好率应不低于 98%；箱体清洗及小广告清除一级道路 1 日 1 次，其他区域 2 日 1次。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收集箱应密闭，放置垃圾袋，箱体周围地面无</w:t>
            </w:r>
            <w:r>
              <w:rPr>
                <w:rFonts w:hint="eastAsia" w:ascii="宋体" w:hAnsi="宋体" w:cs="宋体"/>
                <w:i w:val="0"/>
                <w:iCs w:val="0"/>
                <w:color w:val="auto"/>
                <w:sz w:val="21"/>
                <w:szCs w:val="21"/>
                <w:highlight w:val="none"/>
                <w:u w:val="none"/>
                <w:lang w:val="en-US" w:eastAsia="zh-CN" w:bidi="ar"/>
              </w:rPr>
              <w:t xml:space="preserve">抛撒</w:t>
            </w:r>
            <w:r>
              <w:rPr>
                <w:rFonts w:hint="eastAsia" w:ascii="宋体" w:hAnsi="宋体" w:eastAsia="宋体" w:cs="宋体"/>
                <w:i w:val="0"/>
                <w:iCs w:val="0"/>
                <w:color w:val="auto"/>
                <w:sz w:val="21"/>
                <w:szCs w:val="21"/>
                <w:highlight w:val="none"/>
                <w:u w:val="none"/>
                <w:lang w:val="en-US" w:eastAsia="zh-CN" w:bidi="ar"/>
              </w:rPr>
              <w:t xml:space="preserve">、暴露垃圾，箱内垃圾无满溢。</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公厕保洁（6分）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公共厕所内无臭味、蚊蝇，地面无痰迹、烟头、污物。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0.2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公共厕所免费提供厕纸。</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厕内墙面、门窗、隔离板等洁净，无积尘，无污迹、蛛网。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公厕四周 3—5m 范围内，应无垃圾、粪便、污水等污物。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公厕设施的维护与文明服务（6分）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公厕内地面应保持整洁，粪槽、便槽和管道应无破损，内外墙应无剥落。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公厕内自然通气良好，自然光线充足，有照明设施，公厕内设施完好无缺损。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公厕标识牌整洁、规范，设置明显，管理制度、责任内容上墙。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公厕内水管、龙头、冲水器损坏，及时维修，公厕内灯具、洗手盆（池）损坏，及时维修。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公共厕所管理人员保持衣冠整齐，管理人员办公室整洁美观，有明显所属单位标志；文明作业、礼貌服务；做到免费对外开放。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不得占用或妨碍残疾人公共厕所的正常使用。</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垃圾二级转运站管理（</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站内外环境整洁，无乱堆杂物现象。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垃圾日产日清，满箱垃圾不过夜。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站内的设施设备完好齐全、正常运转、操作规范。</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运行报表记录齐全、准确。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定期消杀，基本无蝇无臭。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区域内环境整洁（含水面）、管理和控制到位；娱乐设施管理、游客引导、不文明行为劝导、广场舞管理、小摊小贩疏导、市政设施维护等工作较好。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765"/>
        </w:trPr>
        <w:tc>
          <w:tcPr>
            <w:shd w:val="clear" w:color="auto" w:fill="auto"/>
            <w:tcBorders>
              <w:top w:val="single" w:color="000000" w:sz="4" w:space="0"/>
              <w:left w:val="single" w:color="000000" w:sz="4" w:space="0"/>
              <w:right w:val="single" w:color="000000" w:sz="4" w:space="0"/>
            </w:tcBorders>
            <w:tcW w:w="162"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w:t>
            </w:r>
            <w:r/>
          </w:p>
        </w:tc>
        <w:tc>
          <w:tcPr>
            <w:shd w:val="clear" w:color="auto" w:fill="auto"/>
            <w:tcBorders>
              <w:top w:val="single" w:color="000000" w:sz="4" w:space="0"/>
              <w:left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重大活动、应急保障（10）</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spacing w:line="2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Cs w:val="21"/>
                <w:highlight w:val="none"/>
                <w:lang w:val="zh-CN"/>
              </w:rPr>
              <w:t xml:space="preserve">按上级主管部门通知要求，做好各类重要活动保障；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对雨雪灾害天气，季节落叶等突发情况，成立应急分队进行快速处置，突发事件环卫主管部门有权调用作业单位人员和车辆参与应急；</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12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按时参加上级主管部门召集的工作例会；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不准时参加</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召集的工作例会，1 次扣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分；无故缺席的，1 次扣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bottom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完成上级主管部门交办的各项工作任务。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不按时完成</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交办的工作任务的，一项扣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color w:val="auto"/>
          <w:highlight w:val="none"/>
        </w:rPr>
      </w:pPr>
      <w:r>
        <w:rPr>
          <w:color w:val="auto"/>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outlineLvl w:val="9"/>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color w:val="auto"/>
          <w:highlight w:val="none"/>
        </w:rPr>
        <w:sectPr>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0"/>
        <w:jc w:val="center"/>
        <w:rPr>
          <w:rFonts w:hint="eastAsia" w:ascii="Times New Roman" w:eastAsia="黑体"/>
          <w:color w:val="auto"/>
          <w:sz w:val="44"/>
          <w:szCs w:val="44"/>
          <w:highlight w:val="none"/>
          <w:lang w:val="en-US" w:eastAsia="zh-CN"/>
        </w:rPr>
      </w:pPr>
      <w:r/>
      <w:bookmarkStart w:id="239" w:name="_Toc7852"/>
      <w:r>
        <w:rPr>
          <w:rFonts w:hint="eastAsia" w:ascii="Times New Roman" w:eastAsia="黑体"/>
          <w:color w:val="auto"/>
          <w:sz w:val="44"/>
          <w:szCs w:val="44"/>
          <w:highlight w:val="none"/>
          <w:lang w:val="en-US" w:eastAsia="zh-CN"/>
        </w:rPr>
        <w:t xml:space="preserve">第五章 评标方法与评标标准</w:t>
      </w:r>
      <w:bookmarkEnd w:id="239"/>
      <w:r/>
      <w:r/>
    </w:p>
    <w:p>
      <w:pPr>
        <w:rPr>
          <w:rFonts w:hint="eastAsia"/>
          <w:color w:val="auto"/>
          <w:highlight w:val="none"/>
        </w:rPr>
      </w:pPr>
      <w:r>
        <w:rPr>
          <w:rFonts w:hint="eastAsia"/>
          <w:color w:val="auto"/>
          <w:highlight w:val="none"/>
        </w:rPr>
      </w:r>
      <w:r/>
    </w:p>
    <w:p>
      <w:pPr>
        <w:numPr>
          <w:ilvl w:val="0"/>
          <w:numId w:val="0"/>
        </w:numPr>
        <w:rPr>
          <w:rFonts w:hint="eastAsia"/>
          <w:color w:val="auto"/>
          <w:highlight w:val="none"/>
        </w:rPr>
      </w:pPr>
      <w:r>
        <w:rPr>
          <w:rFonts w:hint="eastAsia"/>
          <w:color w:val="auto"/>
          <w:highlight w:val="none"/>
        </w:rPr>
      </w:r>
      <w:r/>
    </w:p>
    <w:p>
      <w:pPr>
        <w:ind w:firstLine="562"/>
        <w:spacing w:line="500" w:lineRule="exact"/>
        <w:rPr>
          <w:rFonts w:hint="eastAsia"/>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7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auto"/>
                <w:sz w:val="24"/>
                <w:highlight w:val="none"/>
              </w:rPr>
            </w:pPr>
            <w:r>
              <w:rPr>
                <w:b/>
                <w:bCs/>
                <w:color w:val="auto"/>
                <w:sz w:val="24"/>
                <w:highlight w:val="none"/>
              </w:rPr>
              <w:t xml:space="preserve">资格审查因素</w:t>
            </w:r>
            <w:r/>
          </w:p>
        </w:tc>
        <w:tc>
          <w:tcPr>
            <w:tcW w:w="2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投标声明及承诺函</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信用信息</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联合体投标</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不接受联合体投标</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落实政府采购政策需满足的资格要求</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本项目的特定资格要求</w:t>
            </w:r>
            <w:r/>
          </w:p>
        </w:tc>
        <w:tc>
          <w:tcPr>
            <w:tcW w:w="2500" w:type="dxa"/>
            <w:vAlign w:val="center"/>
            <w:textDirection w:val="lrTb"/>
            <w:noWrap w:val="false"/>
          </w:tcPr>
          <w:p>
            <w:pPr>
              <w:spacing w:line="500" w:lineRule="exact"/>
              <w:rPr>
                <w:rFonts w:hint="eastAsia"/>
                <w:color w:val="auto"/>
                <w:sz w:val="24"/>
                <w:highlight w:val="none"/>
              </w:rPr>
            </w:pPr>
            <w:r>
              <w:rPr>
                <w:rFonts w:hint="eastAsia"/>
                <w:color w:val="auto"/>
                <w:sz w:val="24"/>
                <w:highlight w:val="none"/>
              </w:rPr>
              <w:t xml:space="preserve">无</w:t>
            </w:r>
            <w:r/>
          </w:p>
        </w:tc>
      </w:tr>
    </w:tbl>
    <w:p>
      <w:pPr>
        <w:ind w:firstLine="562"/>
        <w:spacing w:line="500" w:lineRule="exact"/>
        <w:rPr>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79"/>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auto"/>
                <w:sz w:val="24"/>
                <w:highlight w:val="none"/>
              </w:rPr>
            </w:pPr>
            <w:r>
              <w:rPr>
                <w:b/>
                <w:bCs/>
                <w:color w:val="auto"/>
                <w:sz w:val="24"/>
                <w:highlight w:val="none"/>
              </w:rPr>
              <w:t xml:space="preserve">符合性审查因素</w:t>
            </w:r>
            <w:r/>
          </w:p>
        </w:tc>
        <w:tc>
          <w:tcPr>
            <w:tcW w:w="4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法人授权书</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技术标准和要求</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其他</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bl>
    <w:p>
      <w:pPr>
        <w:ind w:firstLine="562"/>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auto"/>
          <w:sz w:val="24"/>
          <w:highlight w:val="none"/>
        </w:rPr>
      </w:pPr>
      <w:r>
        <w:rPr>
          <w:rFonts w:hint="eastAsia"/>
          <w:color w:val="auto"/>
          <w:sz w:val="24"/>
          <w:highlight w:val="none"/>
        </w:rPr>
        <w:t xml:space="preserve">评标委员会根据评审后投标人排序推荐</w:t>
      </w:r>
      <w:r>
        <w:rPr>
          <w:rFonts w:hint="eastAsia"/>
          <w:color w:val="auto"/>
          <w:sz w:val="24"/>
          <w:highlight w:val="none"/>
          <w:lang w:val="en-US" w:eastAsia="zh-CN"/>
        </w:rPr>
        <w:t xml:space="preserve">3名</w:t>
      </w:r>
      <w:r>
        <w:rPr>
          <w:rFonts w:hint="eastAsia"/>
          <w:color w:val="auto"/>
          <w:sz w:val="24"/>
          <w:highlight w:val="none"/>
        </w:rPr>
        <w:t xml:space="preserve">中标候选人。投标文件满足招标文件全部实质性要求，且评审后排序第一的投标人为第一中标候选人，依次类推。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numPr>
          <w:ilvl w:val="0"/>
          <w:numId w:val="13"/>
        </w:numPr>
        <w:ind w:firstLine="241"/>
        <w:jc w:val="left"/>
        <w:spacing w:line="500" w:lineRule="exact"/>
        <w:rPr>
          <w:rFonts w:hint="eastAsia"/>
          <w:color w:val="auto"/>
          <w:sz w:val="24"/>
          <w:highlight w:val="none"/>
        </w:rPr>
      </w:pPr>
      <w:r>
        <w:rPr>
          <w:rFonts w:hint="eastAsia" w:eastAsia="仿宋_GB2312"/>
          <w:b/>
          <w:color w:val="auto"/>
          <w:sz w:val="24"/>
          <w:highlight w:val="none"/>
        </w:rPr>
        <w:t xml:space="preserve">详细评审。</w:t>
      </w:r>
      <w:bookmarkStart w:id="240" w:name="EBe0cfd1035ea44f689f97db50fccddc8b"/>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bookmarkEnd w:id="240"/>
      <w:r/>
    </w:p>
    <w:p>
      <w:pPr>
        <w:rPr>
          <w:color w:val="auto"/>
          <w:highlight w:val="none"/>
        </w:rPr>
      </w:pPr>
      <w:r>
        <w:rPr>
          <w:color w:val="auto"/>
          <w:highlight w:val="none"/>
        </w:rPr>
      </w:r>
      <w:r/>
    </w:p>
    <w:p>
      <w:pPr>
        <w:rPr>
          <w:color w:val="auto"/>
          <w:highlight w:val="none"/>
        </w:rPr>
      </w:pPr>
      <w:r>
        <w:rPr>
          <w:color w:val="auto"/>
          <w:highlight w:val="none"/>
        </w:rPr>
      </w:r>
      <w:r/>
    </w:p>
    <w:tbl>
      <w:tblPr>
        <w:tblStyle w:val="779"/>
        <w:tblW w:w="5282"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3"/>
        <w:gridCol w:w="1837"/>
        <w:gridCol w:w="984"/>
        <w:gridCol w:w="4981"/>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883"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投标报价</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 xml:space="preserve">1</w:t>
            </w:r>
            <w:r>
              <w:rPr>
                <w:rFonts w:hint="eastAsia" w:ascii="宋体" w:hAnsi="宋体" w:cs="宋体"/>
                <w:color w:val="auto"/>
                <w:spacing w:val="6"/>
                <w:sz w:val="21"/>
                <w:szCs w:val="21"/>
                <w:highlight w:val="none"/>
                <w:lang w:val="en-US" w:eastAsia="zh-CN"/>
              </w:rPr>
              <w:t xml:space="preserve">5</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pacing w:val="6"/>
                <w:sz w:val="21"/>
                <w:szCs w:val="21"/>
                <w:highlight w:val="none"/>
                <w:lang w:val="en-US" w:eastAsia="zh-CN"/>
              </w:rPr>
              <w:t xml:space="preserve">15</w:t>
            </w:r>
            <w:r>
              <w:rPr>
                <w:rFonts w:ascii="宋体" w:hAnsi="宋体" w:eastAsia="宋体" w:cs="宋体"/>
                <w:color w:val="auto"/>
                <w:spacing w:val="6"/>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企业经营</w:t>
            </w:r>
            <w:r>
              <w:rPr>
                <w:rFonts w:ascii="宋体" w:hAnsi="宋体" w:eastAsia="宋体" w:cs="宋体"/>
                <w:color w:val="auto"/>
                <w:spacing w:val="-5"/>
                <w:sz w:val="21"/>
                <w:szCs w:val="21"/>
                <w:highlight w:val="none"/>
              </w:rPr>
              <w:t xml:space="preserve">业绩、信誉</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7"/>
                <w:sz w:val="21"/>
                <w:szCs w:val="21"/>
                <w:highlight w:val="none"/>
              </w:rPr>
            </w:pP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分。</w:t>
            </w:r>
            <w:r/>
          </w:p>
          <w:p>
            <w:pPr>
              <w:jc w:val="left"/>
              <w:keepLines w:val="0"/>
              <w:keepNext w:val="0"/>
              <w:widowControl/>
              <w:rPr>
                <w:rFonts w:ascii="宋体" w:hAnsi="宋体" w:eastAsia="宋体" w:cs="宋体"/>
                <w:color w:val="auto"/>
                <w:spacing w:val="7"/>
                <w:sz w:val="21"/>
                <w:szCs w:val="21"/>
                <w:highlight w:val="none"/>
              </w:rPr>
              <w:suppressLineNumbers w:val="0"/>
            </w:pPr>
            <w:r>
              <w:rPr>
                <w:rFonts w:ascii="宋体" w:hAnsi="宋体" w:eastAsia="宋体" w:cs="宋体"/>
                <w:color w:val="auto"/>
                <w:spacing w:val="7"/>
                <w:sz w:val="21"/>
                <w:szCs w:val="21"/>
                <w:highlight w:val="none"/>
              </w:rPr>
              <w:t xml:space="preserve">注：</w:t>
            </w:r>
            <w:r>
              <w:rPr>
                <w:rFonts w:hint="eastAsia" w:ascii="宋体" w:hAnsi="宋体" w:cs="宋体"/>
                <w:color w:val="auto"/>
                <w:spacing w:val="7"/>
                <w:sz w:val="21"/>
                <w:szCs w:val="21"/>
                <w:highlight w:val="none"/>
                <w:lang w:val="en-US" w:eastAsia="zh-CN"/>
              </w:rPr>
              <w:t xml:space="preserve">提供中标查询截图及查询网址、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Calibri" w:hAnsi="Calibri" w:eastAsia="宋体"/>
                <w:color w:val="auto"/>
                <w:sz w:val="21"/>
                <w:szCs w:val="21"/>
                <w:highlight w:val="none"/>
                <w:lang w:val="en-US" w:eastAsia="zh-CN"/>
              </w:rPr>
            </w:pPr>
            <w:r>
              <w:rPr>
                <w:rFonts w:hint="eastAsia" w:ascii="Calibri" w:hAnsi="Calibri"/>
                <w:color w:val="auto"/>
                <w:sz w:val="21"/>
                <w:szCs w:val="21"/>
                <w:highlight w:val="none"/>
                <w:lang w:val="en-US" w:eastAsia="zh-CN"/>
              </w:rPr>
              <w:t xml:space="preserve">项目负责人业绩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宋体" w:hAnsi="宋体" w:cs="宋体"/>
                <w:color w:val="auto"/>
                <w:spacing w:val="7"/>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w:t>
            </w:r>
            <w:r/>
          </w:p>
          <w:p>
            <w:pPr>
              <w:jc w:val="left"/>
              <w:keepLines w:val="0"/>
              <w:keepNext w:val="0"/>
              <w:widowControl/>
              <w:rPr>
                <w:rFonts w:hint="default" w:ascii="Calibri" w:hAnsi="Calibri" w:eastAsia="宋体"/>
                <w:color w:val="auto"/>
                <w:sz w:val="21"/>
                <w:szCs w:val="21"/>
                <w:highlight w:val="none"/>
                <w:lang w:val="en-US" w:eastAsia="zh-CN"/>
              </w:rPr>
              <w:suppressLineNumbers w:val="0"/>
            </w:pPr>
            <w:r>
              <w:rPr>
                <w:rFonts w:ascii="宋体" w:hAnsi="宋体" w:eastAsia="宋体" w:cs="宋体"/>
                <w:color w:val="auto"/>
                <w:spacing w:val="7"/>
                <w:sz w:val="21"/>
                <w:szCs w:val="21"/>
                <w:highlight w:val="none"/>
              </w:rPr>
              <w:t xml:space="preserve">注：提供</w:t>
            </w:r>
            <w:r>
              <w:rPr>
                <w:rFonts w:hint="eastAsia" w:ascii="宋体" w:hAnsi="宋体" w:cs="宋体"/>
                <w:color w:val="auto"/>
                <w:spacing w:val="7"/>
                <w:sz w:val="21"/>
                <w:szCs w:val="21"/>
                <w:highlight w:val="none"/>
                <w:lang w:val="en-US" w:eastAsia="zh-CN"/>
              </w:rPr>
              <w:t xml:space="preserve">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w:t>
            </w:r>
            <w:r>
              <w:rPr>
                <w:rFonts w:hint="eastAsia" w:ascii="宋体" w:hAnsi="宋体" w:cs="宋体"/>
                <w:color w:val="auto"/>
                <w:spacing w:val="7"/>
                <w:sz w:val="21"/>
                <w:szCs w:val="21"/>
                <w:highlight w:val="none"/>
                <w:lang w:eastAsia="zh-CN"/>
              </w:rPr>
              <w:t xml:space="preserve">。</w:t>
            </w:r>
            <w:r>
              <w:rPr>
                <w:rFonts w:ascii="Calibri" w:hAnsi="Calibri"/>
                <w:color w:val="auto"/>
                <w:sz w:val="21"/>
                <w:szCs w:val="22"/>
                <w:highlight w:val="none"/>
                <w:rtl w:val="0"/>
                <w:lang w:val="en-US" w:eastAsia="zh-CN" w:bidi="ar-SA"/>
              </w:rPr>
              <w:t xml:space="preserve">上述业绩非投标人承接的不予认可</w:t>
            </w:r>
            <w:r>
              <w:rPr>
                <w:rFonts w:hint="eastAsia" w:ascii="Calibri" w:hAnsi="Calibri"/>
                <w:color w:val="auto"/>
                <w:sz w:val="21"/>
                <w:szCs w:val="22"/>
                <w:highlight w:val="none"/>
                <w:rtl w:val="0"/>
                <w:lang w:val="en-US" w:eastAsia="zh-CN" w:bidi="ar-SA"/>
              </w:rPr>
              <w:t xml:space="preserve">；</w:t>
            </w:r>
            <w:r>
              <w:rPr>
                <w:rFonts w:hint="eastAsia" w:ascii="宋体" w:hAnsi="宋体" w:eastAsia="宋体" w:cs="宋体"/>
                <w:color w:val="auto"/>
                <w:spacing w:val="7"/>
                <w:sz w:val="21"/>
                <w:szCs w:val="21"/>
                <w:highlight w:val="none"/>
              </w:rPr>
              <w:t xml:space="preserve">合同中明确显示项目经理（项目负责人）姓名，合同中无法显示的，需甲方出具的有效证明材料；</w:t>
            </w:r>
            <w:r>
              <w:rPr>
                <w:rFonts w:ascii="宋体" w:hAnsi="宋体" w:eastAsia="宋体" w:cs="宋体"/>
                <w:color w:val="auto"/>
                <w:spacing w:val="7"/>
                <w:sz w:val="21"/>
                <w:szCs w:val="21"/>
                <w:highlight w:val="none"/>
              </w:rPr>
              <w:t xml:space="preserve">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7"/>
                <w:sz w:val="21"/>
                <w:szCs w:val="21"/>
                <w:highlight w:val="none"/>
              </w:rPr>
              <w:t xml:space="preserve">人员技术力量</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8</w:t>
            </w:r>
            <w:r>
              <w:rPr>
                <w:rFonts w:ascii="Calibri" w:hAnsi="Calibri"/>
                <w:color w:val="auto"/>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1、</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具有环境类</w:t>
            </w:r>
            <w:r>
              <w:rPr>
                <w:rFonts w:hint="eastAsia" w:ascii="宋体" w:hAnsi="宋体" w:cs="宋体"/>
                <w:color w:val="auto"/>
                <w:spacing w:val="3"/>
                <w:sz w:val="21"/>
                <w:szCs w:val="21"/>
                <w:highlight w:val="none"/>
                <w:lang w:val="en-US" w:eastAsia="zh-CN"/>
              </w:rPr>
              <w:t xml:space="preserve">或市政类中</w:t>
            </w:r>
            <w:r>
              <w:rPr>
                <w:rFonts w:hint="eastAsia" w:ascii="宋体" w:hAnsi="宋体" w:eastAsia="宋体" w:cs="宋体"/>
                <w:color w:val="auto"/>
                <w:spacing w:val="3"/>
                <w:sz w:val="21"/>
                <w:szCs w:val="21"/>
                <w:highlight w:val="none"/>
              </w:rPr>
              <w:t xml:space="preserve">级</w:t>
            </w:r>
            <w:r>
              <w:rPr>
                <w:rFonts w:hint="eastAsia" w:ascii="宋体" w:hAnsi="宋体" w:cs="宋体"/>
                <w:color w:val="auto"/>
                <w:spacing w:val="3"/>
                <w:sz w:val="21"/>
                <w:szCs w:val="21"/>
                <w:highlight w:val="none"/>
                <w:lang w:val="en-US" w:eastAsia="zh-CN"/>
              </w:rPr>
              <w:t xml:space="preserve">及以上</w:t>
            </w:r>
            <w:r>
              <w:rPr>
                <w:rFonts w:hint="eastAsia" w:ascii="宋体" w:hAnsi="宋体" w:eastAsia="宋体" w:cs="宋体"/>
                <w:color w:val="auto"/>
                <w:spacing w:val="3"/>
                <w:sz w:val="21"/>
                <w:szCs w:val="21"/>
                <w:highlight w:val="none"/>
              </w:rPr>
              <w:t xml:space="preserve">职称证书的，有一个得2分</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最高得6分。</w:t>
            </w:r>
            <w:r/>
          </w:p>
          <w:p>
            <w:pPr>
              <w:numPr>
                <w:ilvl w:val="0"/>
                <w:numId w:val="0"/>
              </w:numPr>
              <w:jc w:val="left"/>
              <w:rPr>
                <w:rFonts w:hint="eastAsia" w:ascii="宋体" w:hAnsi="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w:t>
            </w:r>
            <w:r>
              <w:rPr>
                <w:rFonts w:hint="eastAsia" w:ascii="宋体" w:hAnsi="宋体" w:cs="宋体"/>
                <w:color w:val="auto"/>
                <w:spacing w:val="3"/>
                <w:sz w:val="21"/>
                <w:szCs w:val="21"/>
                <w:highlight w:val="none"/>
                <w:lang w:val="en-US" w:eastAsia="zh-CN"/>
              </w:rPr>
              <w:t xml:space="preserve">中级及以上注册安全工程师的，得2分。</w:t>
            </w:r>
            <w:r/>
          </w:p>
          <w:p>
            <w:pPr>
              <w:numPr>
                <w:ilvl w:val="0"/>
                <w:numId w:val="0"/>
              </w:numPr>
              <w:jc w:val="left"/>
              <w:rPr>
                <w:rFonts w:ascii="宋体" w:hAnsi="宋体" w:eastAsia="宋体" w:cs="宋体"/>
                <w:color w:val="auto"/>
                <w:spacing w:val="3"/>
                <w:sz w:val="21"/>
                <w:szCs w:val="21"/>
                <w:highlight w:val="none"/>
              </w:rPr>
            </w:pPr>
            <w:r>
              <w:rPr>
                <w:rFonts w:hint="eastAsia" w:ascii="宋体" w:hAnsi="宋体" w:cs="宋体"/>
                <w:color w:val="auto"/>
                <w:spacing w:val="3"/>
                <w:sz w:val="21"/>
                <w:szCs w:val="21"/>
                <w:highlight w:val="none"/>
                <w:lang w:val="en-US" w:eastAsia="zh-CN"/>
              </w:rPr>
              <w:t xml:space="preserve">本项</w:t>
            </w:r>
            <w:r>
              <w:rPr>
                <w:rFonts w:hint="eastAsia" w:ascii="宋体" w:hAnsi="宋体" w:eastAsia="宋体" w:cs="宋体"/>
                <w:color w:val="auto"/>
                <w:spacing w:val="3"/>
                <w:sz w:val="21"/>
                <w:szCs w:val="21"/>
                <w:highlight w:val="none"/>
              </w:rPr>
              <w:t xml:space="preserve">最高得</w:t>
            </w:r>
            <w:r>
              <w:rPr>
                <w:rFonts w:hint="eastAsia" w:ascii="宋体" w:hAnsi="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rPr>
                <w:rFonts w:hint="eastAsia" w:ascii="宋体" w:hAnsi="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rPr>
              <w:t xml:space="preserve">注：在投标文件中须上传①人员证书原件扫描件②人员在投标截止时近六个月的任一月社保</w:t>
            </w:r>
            <w:r>
              <w:rPr>
                <w:rFonts w:hint="eastAsia" w:ascii="宋体" w:hAnsi="宋体" w:cs="宋体"/>
                <w:color w:val="auto"/>
                <w:spacing w:val="3"/>
                <w:sz w:val="21"/>
                <w:szCs w:val="21"/>
                <w:highlight w:val="none"/>
                <w:lang w:val="en-US" w:eastAsia="zh-CN"/>
              </w:rPr>
              <w:t xml:space="preserve">证明</w:t>
            </w:r>
            <w:r>
              <w:rPr>
                <w:rFonts w:ascii="宋体" w:hAnsi="宋体" w:eastAsia="宋体" w:cs="宋体"/>
                <w:color w:val="auto"/>
                <w:spacing w:val="3"/>
                <w:sz w:val="21"/>
                <w:szCs w:val="21"/>
                <w:highlight w:val="none"/>
              </w:rPr>
              <w:t xml:space="preserve">；两者缺任一项则不得分。</w:t>
            </w:r>
            <w:r/>
          </w:p>
          <w:p>
            <w:pPr>
              <w:numPr>
                <w:ilvl w:val="0"/>
                <w:numId w:val="0"/>
              </w:numPr>
              <w:jc w:val="left"/>
              <w:rPr>
                <w:rFonts w:hint="eastAsia" w:ascii="宋体" w:hAnsi="宋体" w:eastAsia="宋体" w:cs="宋体"/>
                <w:color w:val="auto"/>
                <w:spacing w:val="3"/>
                <w:sz w:val="21"/>
                <w:szCs w:val="21"/>
                <w:highlight w:val="none"/>
                <w:lang w:eastAsia="zh-CN"/>
              </w:rPr>
            </w:pPr>
            <w:r>
              <w:rPr>
                <w:color w:val="auto"/>
                <w:highlight w:val="none"/>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auto"/>
                <w:highlight w:val="none"/>
                <w:lang w:val="en-US" w:eastAsia="zh-CN"/>
              </w:rPr>
              <w:t xml:space="preserve">请</w:t>
            </w:r>
            <w:r>
              <w:rPr>
                <w:color w:val="auto"/>
                <w:highlight w:val="none"/>
              </w:rPr>
              <w:t xml:space="preserve">表》，以评审专业或学科为准，并扫描上传至投标文件中</w:t>
            </w:r>
            <w:r>
              <w:rPr>
                <w:rFonts w:hint="eastAsia"/>
                <w:color w:val="auto"/>
                <w:highlight w:val="none"/>
                <w:lang w:eastAsia="zh-CN"/>
              </w:rPr>
              <w:t xml:space="preserve">。</w:t>
            </w:r>
            <w:r/>
          </w:p>
        </w:tc>
      </w:tr>
      <w:tr>
        <w:trPr/>
        <w:tc>
          <w:tcPr>
            <w:tcBorders>
              <w:left w:val="single" w:color="auto" w:sz="6" w:space="0"/>
              <w:right w:val="single" w:color="auto" w:sz="6" w:space="0"/>
            </w:tcBorders>
            <w:tcW w:w="883" w:type="pct"/>
            <w:vAlign w:val="center"/>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7"/>
                <w:sz w:val="21"/>
                <w:szCs w:val="21"/>
                <w:highlight w:val="none"/>
                <w:lang w:val="en-US" w:eastAsia="zh-CN"/>
              </w:rPr>
            </w:pPr>
            <w:r>
              <w:rPr>
                <w:rFonts w:hint="eastAsia" w:ascii="宋体" w:hAnsi="宋体" w:cs="宋体"/>
                <w:b w:val="0"/>
                <w:bCs w:val="0"/>
                <w:color w:val="auto"/>
                <w:spacing w:val="7"/>
                <w:sz w:val="21"/>
                <w:szCs w:val="21"/>
                <w:highlight w:val="none"/>
                <w:lang w:val="en-US" w:eastAsia="zh-CN"/>
              </w:rPr>
              <w:t xml:space="preserve">智慧平台</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Calibri" w:hAnsi="Calibri"/>
                <w:b w:val="0"/>
                <w:bCs w:val="0"/>
                <w:color w:val="auto"/>
                <w:sz w:val="21"/>
                <w:szCs w:val="21"/>
                <w:highlight w:val="none"/>
                <w:lang w:val="en-US" w:eastAsia="zh-CN"/>
              </w:rPr>
            </w:pPr>
            <w:r>
              <w:rPr>
                <w:rFonts w:hint="eastAsia" w:ascii="Calibri" w:hAnsi="Calibri"/>
                <w:b w:val="0"/>
                <w:bCs w:val="0"/>
                <w:color w:val="auto"/>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auto"/>
                <w:spacing w:val="3"/>
                <w:sz w:val="21"/>
                <w:szCs w:val="21"/>
                <w:highlight w:val="none"/>
                <w:lang w:val="en-US" w:eastAsia="zh-CN"/>
              </w:rPr>
            </w:pPr>
            <w:r>
              <w:rPr>
                <w:rFonts w:hint="eastAsia" w:ascii="宋体" w:hAnsi="宋体" w:eastAsia="宋体" w:cs="宋体"/>
                <w:b w:val="0"/>
                <w:bCs w:val="0"/>
                <w:color w:val="auto"/>
                <w:spacing w:val="3"/>
                <w:sz w:val="21"/>
                <w:szCs w:val="21"/>
                <w:highlight w:val="none"/>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智慧环卫数字化管理平台</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等类似</w:t>
            </w:r>
            <w:r>
              <w:rPr>
                <w:rFonts w:hint="eastAsia" w:ascii="宋体" w:hAnsi="宋体" w:eastAsia="宋体" w:cs="宋体"/>
                <w:b w:val="0"/>
                <w:bCs w:val="0"/>
                <w:color w:val="auto"/>
                <w:spacing w:val="3"/>
                <w:sz w:val="21"/>
                <w:szCs w:val="21"/>
                <w:highlight w:val="none"/>
              </w:rPr>
              <w:t xml:space="preserve">智慧管理系统或平台</w:t>
            </w:r>
            <w:r>
              <w:rPr>
                <w:rFonts w:hint="eastAsia" w:ascii="宋体" w:hAnsi="宋体" w:cs="宋体"/>
                <w:b w:val="0"/>
                <w:bCs w:val="0"/>
                <w:color w:val="auto"/>
                <w:spacing w:val="3"/>
                <w:sz w:val="21"/>
                <w:szCs w:val="21"/>
                <w:highlight w:val="none"/>
                <w:lang w:val="en-US" w:eastAsia="zh-CN"/>
              </w:rPr>
              <w:t xml:space="preserve">的</w:t>
            </w:r>
            <w:r>
              <w:rPr>
                <w:rFonts w:hint="eastAsia" w:ascii="宋体" w:hAnsi="宋体" w:eastAsia="宋体" w:cs="宋体"/>
                <w:b w:val="0"/>
                <w:bCs w:val="0"/>
                <w:color w:val="auto"/>
                <w:spacing w:val="3"/>
                <w:sz w:val="21"/>
                <w:szCs w:val="21"/>
                <w:highlight w:val="none"/>
              </w:rPr>
              <w:t xml:space="preserve">，</w:t>
            </w:r>
            <w:r>
              <w:rPr>
                <w:rFonts w:hint="eastAsia" w:ascii="宋体" w:hAnsi="宋体" w:cs="宋体"/>
                <w:b w:val="0"/>
                <w:bCs w:val="0"/>
                <w:color w:val="auto"/>
                <w:spacing w:val="3"/>
                <w:sz w:val="21"/>
                <w:szCs w:val="21"/>
                <w:highlight w:val="none"/>
                <w:lang w:val="en-US" w:eastAsia="zh-CN"/>
              </w:rPr>
              <w:t xml:space="preserve">每</w:t>
            </w:r>
            <w:r>
              <w:rPr>
                <w:rFonts w:hint="eastAsia" w:ascii="宋体" w:hAnsi="宋体" w:eastAsia="宋体" w:cs="宋体"/>
                <w:b w:val="0"/>
                <w:bCs w:val="0"/>
                <w:color w:val="auto"/>
                <w:spacing w:val="3"/>
                <w:sz w:val="21"/>
                <w:szCs w:val="21"/>
                <w:highlight w:val="none"/>
              </w:rPr>
              <w:t xml:space="preserve">有</w:t>
            </w:r>
            <w:r>
              <w:rPr>
                <w:rFonts w:hint="eastAsia" w:ascii="宋体" w:hAnsi="宋体" w:cs="宋体"/>
                <w:b w:val="0"/>
                <w:bCs w:val="0"/>
                <w:color w:val="auto"/>
                <w:spacing w:val="3"/>
                <w:sz w:val="21"/>
                <w:szCs w:val="21"/>
                <w:highlight w:val="none"/>
                <w:lang w:val="en-US" w:eastAsia="zh-CN"/>
              </w:rPr>
              <w:t xml:space="preserve">1</w:t>
            </w:r>
            <w:r>
              <w:rPr>
                <w:rFonts w:hint="eastAsia" w:ascii="宋体" w:hAnsi="宋体" w:eastAsia="宋体" w:cs="宋体"/>
                <w:b w:val="0"/>
                <w:bCs w:val="0"/>
                <w:color w:val="auto"/>
                <w:spacing w:val="3"/>
                <w:sz w:val="21"/>
                <w:szCs w:val="21"/>
                <w:highlight w:val="none"/>
              </w:rPr>
              <w:t xml:space="preserve">个得</w:t>
            </w:r>
            <w:r>
              <w:rPr>
                <w:rFonts w:hint="eastAsia" w:ascii="宋体" w:hAnsi="宋体" w:cs="宋体"/>
                <w:b w:val="0"/>
                <w:bCs w:val="0"/>
                <w:color w:val="auto"/>
                <w:spacing w:val="3"/>
                <w:sz w:val="21"/>
                <w:szCs w:val="21"/>
                <w:highlight w:val="none"/>
                <w:lang w:val="en-US" w:eastAsia="zh-CN"/>
              </w:rPr>
              <w:t xml:space="preserve">4</w:t>
            </w:r>
            <w:r>
              <w:rPr>
                <w:rFonts w:hint="eastAsia" w:ascii="宋体" w:hAnsi="宋体" w:eastAsia="宋体" w:cs="宋体"/>
                <w:b w:val="0"/>
                <w:bCs w:val="0"/>
                <w:color w:val="auto"/>
                <w:spacing w:val="3"/>
                <w:sz w:val="21"/>
                <w:szCs w:val="21"/>
                <w:highlight w:val="none"/>
              </w:rPr>
              <w:t xml:space="preserve">分，</w:t>
            </w:r>
            <w:r>
              <w:rPr>
                <w:rFonts w:hint="eastAsia" w:ascii="宋体" w:hAnsi="宋体" w:cs="宋体"/>
                <w:b w:val="0"/>
                <w:bCs w:val="0"/>
                <w:color w:val="auto"/>
                <w:spacing w:val="3"/>
                <w:sz w:val="21"/>
                <w:szCs w:val="21"/>
                <w:highlight w:val="none"/>
                <w:lang w:val="en-US" w:eastAsia="zh-CN"/>
              </w:rPr>
              <w:t xml:space="preserve">最高得4分</w:t>
            </w:r>
            <w:r>
              <w:rPr>
                <w:rFonts w:hint="eastAsia" w:ascii="宋体" w:hAnsi="宋体" w:eastAsia="宋体" w:cs="宋体"/>
                <w:b w:val="0"/>
                <w:bCs w:val="0"/>
                <w:color w:val="auto"/>
                <w:spacing w:val="3"/>
                <w:sz w:val="21"/>
                <w:szCs w:val="21"/>
                <w:highlight w:val="none"/>
              </w:rPr>
              <w:t xml:space="preserve">。提供</w:t>
            </w:r>
            <w:r>
              <w:rPr>
                <w:rFonts w:hint="eastAsia" w:ascii="宋体" w:hAnsi="宋体" w:cs="宋体"/>
                <w:b w:val="0"/>
                <w:bCs w:val="0"/>
                <w:color w:val="auto"/>
                <w:spacing w:val="3"/>
                <w:sz w:val="21"/>
                <w:szCs w:val="21"/>
                <w:highlight w:val="none"/>
                <w:lang w:val="en-US" w:eastAsia="zh-CN"/>
              </w:rPr>
              <w:t xml:space="preserve">相关计算机软件著作权登记</w:t>
            </w:r>
            <w:r>
              <w:rPr>
                <w:rFonts w:hint="eastAsia" w:ascii="宋体" w:hAnsi="宋体" w:eastAsia="宋体" w:cs="宋体"/>
                <w:b w:val="0"/>
                <w:bCs w:val="0"/>
                <w:color w:val="auto"/>
                <w:spacing w:val="3"/>
                <w:sz w:val="21"/>
                <w:szCs w:val="21"/>
                <w:highlight w:val="none"/>
              </w:rPr>
              <w:t xml:space="preserve">证书电子</w:t>
            </w:r>
            <w:r>
              <w:rPr>
                <w:rFonts w:hint="eastAsia" w:ascii="宋体" w:hAnsi="宋体" w:cs="宋体"/>
                <w:b w:val="0"/>
                <w:bCs w:val="0"/>
                <w:color w:val="auto"/>
                <w:spacing w:val="3"/>
                <w:sz w:val="21"/>
                <w:szCs w:val="21"/>
                <w:highlight w:val="none"/>
                <w:lang w:val="en-US" w:eastAsia="zh-CN"/>
              </w:rPr>
              <w:t xml:space="preserve">扫描件</w:t>
            </w:r>
            <w:r>
              <w:rPr>
                <w:rFonts w:hint="eastAsia" w:ascii="宋体" w:hAnsi="宋体" w:eastAsia="宋体" w:cs="宋体"/>
                <w:b w:val="0"/>
                <w:bCs w:val="0"/>
                <w:color w:val="auto"/>
                <w:spacing w:val="3"/>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项目分析</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项目分析的服务定位和目标、作业范围和现场作业的难点、重点等描述与分析是否与采购需求吻合，高度吻合采购需求的得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分，基本满足采购需求的得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分，基本满足采购需求但存在缺陷的得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一级道路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二级道路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三级道路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四级道路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公厕保洁、管理方案的全面性、细致性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8</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8</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6</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中转站运维及垃圾清运方案的全面性、细致性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绿化带保洁方案的全面性、细致性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河面保洁方案的全面性、细致性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文明、安全作业管理实施方案</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对项目实施过程中文明、安全作业管理实施方案进行打分，实施方案可以高度控制完成采购需求相应部分内容的得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分，存在缺陷，但亦能控制完成采购需求相应部分内容的得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分，存在问题影响完成采购需求相应部分内容的得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分，达不到采购需求相应部分内容或未提供的不得分。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内部管理制度</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主要包括员工培训与岗位培训制度、职工管理制度、待遇绩效考核制度等内容。制度建设可以高度制约完成采购需求的得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分；制度存在缺陷，但亦能制约完成采购需求的得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分；制度建设存在漏项、需要完善后方能制约完成采购需求的得1分；没有内容不得分。</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其他</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8"/>
                <w:sz w:val="21"/>
                <w:szCs w:val="21"/>
                <w:highlight w:val="none"/>
                <w:lang w:eastAsia="zh-CN"/>
              </w:rPr>
              <w:t xml:space="preserve">车辆</w:t>
            </w:r>
            <w:r>
              <w:rPr>
                <w:rFonts w:ascii="宋体" w:hAnsi="宋体" w:eastAsia="宋体" w:cs="宋体"/>
                <w:color w:val="auto"/>
                <w:spacing w:val="8"/>
                <w:sz w:val="21"/>
                <w:szCs w:val="21"/>
                <w:highlight w:val="none"/>
              </w:rPr>
              <w:t xml:space="preserve">配置</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Calibri" w:hAnsi="Calibri"/>
                <w:color w:val="auto"/>
                <w:sz w:val="21"/>
                <w:szCs w:val="21"/>
                <w:highlight w:val="none"/>
                <w:lang w:val="en-US" w:eastAsia="zh-CN"/>
              </w:rPr>
              <w:t xml:space="preserve">9.00分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14"/>
              </w:numPr>
              <w:jc w:val="left"/>
              <w:rPr>
                <w:rFonts w:hint="eastAsia" w:ascii="宋体" w:hAnsi="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车辆配置不少于采购需求中数量要求，</w:t>
            </w:r>
            <w:r>
              <w:rPr>
                <w:rFonts w:hint="eastAsia" w:ascii="宋体" w:hAnsi="宋体" w:cs="宋体"/>
                <w:color w:val="auto"/>
                <w:spacing w:val="3"/>
                <w:sz w:val="21"/>
                <w:szCs w:val="21"/>
                <w:highlight w:val="none"/>
                <w:lang w:val="en-US" w:eastAsia="zh-CN"/>
              </w:rPr>
              <w:t xml:space="preserve">每增加一辆扫雪车得2分；每增加一辆融雪车得2分；最高得6分。每种功能的车辆最多增加不超过2辆。</w:t>
            </w:r>
            <w:r/>
          </w:p>
          <w:p>
            <w:pPr>
              <w:numPr>
                <w:ilvl w:val="0"/>
                <w:numId w:val="14"/>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拟投入使用的新能源车辆（除电动三轮车外）不低于总体车辆的40%的，得3分；拟投入使用的新能源车辆（除电动三轮车外）不低于总体车辆的30%的，得2分；拟投入使用的新能源车辆（除电动三轮车外）不低于总体车辆的20%的，得1分；最高得3分。</w:t>
            </w:r>
            <w:r/>
          </w:p>
          <w:p>
            <w:pPr>
              <w:numPr>
                <w:ilvl w:val="0"/>
                <w:numId w:val="0"/>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本项最高得9分。投标文件中须提供承诺函，否则不予加分。承诺函格式自拟。</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6"/>
                <w:sz w:val="21"/>
                <w:szCs w:val="21"/>
                <w:highlight w:val="none"/>
                <w:lang w:val="en-US" w:eastAsia="zh-CN" w:bidi="ar-SA"/>
              </w:rPr>
            </w:pPr>
            <w:r>
              <w:rPr>
                <w:rFonts w:ascii="宋体" w:hAnsi="宋体" w:eastAsia="宋体" w:cs="宋体"/>
                <w:b w:val="0"/>
                <w:bCs w:val="0"/>
                <w:color w:val="auto"/>
                <w:spacing w:val="6"/>
                <w:sz w:val="21"/>
                <w:szCs w:val="21"/>
                <w:highlight w:val="none"/>
              </w:rPr>
              <w:t xml:space="preserve">进退场人员稳定保证措施</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rPr>
              <w:t xml:space="preserve">因项目体量较大，服务人员众多，投标人针对进退场人员稳定保证措施进行策划，评委根据策划安排进行打分，可以高度控制进退场人员稳定保证的得</w:t>
            </w: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分，基本可以控制进退场人员稳定保证的得</w:t>
            </w:r>
            <w:r>
              <w:rPr>
                <w:rFonts w:hint="eastAsia" w:ascii="宋体" w:hAnsi="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rPr>
              <w:t xml:space="preserve">分，存在问题且在控制进退场人员稳定保证方面存在一定隐患的得</w:t>
            </w:r>
            <w:r>
              <w:rPr>
                <w:rFonts w:hint="eastAsia" w:ascii="宋体" w:hAnsi="宋体" w:cs="宋体"/>
                <w:b w:val="0"/>
                <w:bCs w:val="0"/>
                <w:color w:val="auto"/>
                <w:spacing w:val="6"/>
                <w:sz w:val="21"/>
                <w:szCs w:val="21"/>
                <w:highlight w:val="none"/>
                <w:lang w:val="en-US" w:eastAsia="zh-CN"/>
              </w:rPr>
              <w:t xml:space="preserve">2</w:t>
            </w:r>
            <w:r>
              <w:rPr>
                <w:rFonts w:hint="eastAsia" w:ascii="宋体" w:hAnsi="宋体" w:eastAsia="宋体" w:cs="宋体"/>
                <w:b w:val="0"/>
                <w:bCs w:val="0"/>
                <w:color w:val="auto"/>
                <w:spacing w:val="6"/>
                <w:sz w:val="21"/>
                <w:szCs w:val="21"/>
                <w:highlight w:val="none"/>
              </w:rPr>
              <w:t xml:space="preserve">分，没有控制措施或未提供的不得分。</w:t>
            </w:r>
            <w:r/>
          </w:p>
        </w:tc>
      </w:tr>
      <w:tr>
        <w:trPr/>
        <w:tc>
          <w:tcPr>
            <w:tcBorders>
              <w:left w:val="single" w:color="auto" w:sz="6" w:space="0"/>
              <w:bottom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应急处置方案</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6.00分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主要包括投标人针对宿迁气候特点（四季极端天气）以及本项目服务区域（如创文等）的特点，提出各类应急保障机制方案等内容。投标文件中须提供应急处置方案，包含不限于以下 3 项内容：极端天气应急保障方案、发生恶性事故应急方案、重大活动应急方案。方案完整，分析准确，逐条有具体处理方案能够使特殊情况下依然能够高度控制完成采购需求的得 6 分；存在缺陷，但亦能制约完成采购需求的得</w:t>
            </w:r>
            <w:r>
              <w:rPr>
                <w:rFonts w:hint="eastAsia" w:ascii="宋体" w:hAnsi="宋体" w:eastAsia="宋体" w:cs="宋体"/>
                <w:color w:val="auto"/>
                <w:spacing w:val="6"/>
                <w:sz w:val="21"/>
                <w:szCs w:val="21"/>
                <w:highlight w:val="none"/>
                <w:lang w:val="en-US" w:eastAsia="zh-CN"/>
              </w:rPr>
              <w:t xml:space="preserve">4</w:t>
            </w:r>
            <w:r>
              <w:rPr>
                <w:rFonts w:ascii="宋体" w:hAnsi="宋体" w:eastAsia="宋体" w:cs="宋体"/>
                <w:color w:val="auto"/>
                <w:spacing w:val="6"/>
                <w:sz w:val="21"/>
                <w:szCs w:val="21"/>
                <w:highlight w:val="none"/>
              </w:rPr>
              <w:t xml:space="preserve"> 分；存在问题影响完成采购需求的得</w:t>
            </w:r>
            <w:r>
              <w:rPr>
                <w:rFonts w:hint="eastAsia" w:ascii="宋体" w:hAnsi="宋体" w:eastAsia="宋体" w:cs="宋体"/>
                <w:color w:val="auto"/>
                <w:spacing w:val="6"/>
                <w:sz w:val="21"/>
                <w:szCs w:val="21"/>
                <w:highlight w:val="none"/>
                <w:lang w:val="en-US" w:eastAsia="zh-CN"/>
              </w:rPr>
              <w:t xml:space="preserve">2</w:t>
            </w:r>
            <w:r>
              <w:rPr>
                <w:rFonts w:ascii="宋体" w:hAnsi="宋体" w:eastAsia="宋体" w:cs="宋体"/>
                <w:color w:val="auto"/>
                <w:spacing w:val="6"/>
                <w:sz w:val="21"/>
                <w:szCs w:val="21"/>
                <w:highlight w:val="none"/>
              </w:rPr>
              <w:t xml:space="preserve">分，达不到采购需求或未提供的不得分。</w:t>
            </w:r>
            <w:r/>
          </w:p>
        </w:tc>
      </w:tr>
    </w:tbl>
    <w:p>
      <w:pPr>
        <w:rPr>
          <w:color w:val="auto"/>
          <w:highlight w:val="none"/>
        </w:rPr>
      </w:pPr>
      <w:r>
        <w:rPr>
          <w:color w:val="auto"/>
          <w:highlight w:val="none"/>
        </w:rPr>
      </w:r>
      <w:r/>
    </w:p>
    <w:p>
      <w:pPr>
        <w:ind w:firstLine="241"/>
        <w:spacing w:line="360" w:lineRule="auto"/>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360" w:lineRule="auto"/>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360" w:lineRule="auto"/>
        <w:rPr>
          <w:rFonts w:hint="eastAsia"/>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w:t>
      </w:r>
      <w:r/>
    </w:p>
    <w:p>
      <w:pPr>
        <w:numPr>
          <w:ilvl w:val="0"/>
          <w:numId w:val="15"/>
        </w:numPr>
        <w:ind w:firstLine="480"/>
        <w:spacing w:line="360" w:lineRule="auto"/>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360" w:lineRule="auto"/>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bookmarkEnd w:id="234"/>
      <w:r/>
      <w:bookmarkEnd w:id="235"/>
      <w:r/>
      <w:bookmarkEnd w:id="236"/>
      <w:r/>
      <w:r/>
    </w:p>
    <w:p>
      <w:pPr>
        <w:ind w:firstLine="480"/>
        <w:spacing w:line="360" w:lineRule="auto"/>
        <w:rPr>
          <w:rFonts w:hint="eastAsia"/>
          <w:color w:val="auto"/>
          <w:sz w:val="24"/>
          <w:highlight w:val="none"/>
        </w:rPr>
      </w:pPr>
      <w:r/>
      <w:bookmarkStart w:id="241" w:name="_Hlt26671244"/>
      <w:r/>
      <w:bookmarkEnd w:id="241"/>
      <w:r/>
      <w:bookmarkStart w:id="242" w:name="_Hlt26955039"/>
      <w:r/>
      <w:bookmarkEnd w:id="242"/>
      <w:r/>
      <w:bookmarkStart w:id="243" w:name="_Toc120614282"/>
      <w:r/>
      <w:bookmarkStart w:id="244" w:name="_Toc49090576"/>
      <w:r/>
      <w:bookmarkStart w:id="245" w:name="_Toc26554094"/>
      <w:r>
        <w:rPr>
          <w:rFonts w:hint="eastAsia"/>
          <w:color w:val="auto"/>
          <w:sz w:val="24"/>
          <w:highlight w:val="none"/>
        </w:rPr>
        <w:t xml:space="preserve">本项目按以下</w:t>
      </w:r>
      <w:r>
        <w:rPr>
          <w:rFonts w:hint="eastAsia"/>
          <w:color w:val="auto"/>
          <w:sz w:val="24"/>
          <w:highlight w:val="none"/>
          <w:u w:val="single"/>
        </w:rPr>
        <w:t xml:space="preserve">第2种</w:t>
      </w:r>
      <w:r>
        <w:rPr>
          <w:rFonts w:hint="eastAsia"/>
          <w:color w:val="auto"/>
          <w:sz w:val="24"/>
          <w:highlight w:val="none"/>
        </w:rPr>
        <w:t xml:space="preserve">政策确定本项目落实的中小企业政策：</w:t>
      </w:r>
      <w:r/>
    </w:p>
    <w:p>
      <w:pPr>
        <w:ind w:firstLine="240"/>
        <w:spacing w:line="360" w:lineRule="auto"/>
        <w:rPr>
          <w:color w:val="auto"/>
          <w:sz w:val="24"/>
          <w:highlight w:val="none"/>
        </w:rPr>
      </w:pPr>
      <w:r>
        <w:rPr>
          <w:rFonts w:hint="eastAsia"/>
          <w:color w:val="auto"/>
          <w:sz w:val="24"/>
          <w:highlight w:val="none"/>
        </w:rPr>
        <w:t xml:space="preserve">（1）本项目专门面向中小企业（含监狱企业、残疾人福利企业）采购。</w:t>
      </w:r>
      <w:r/>
    </w:p>
    <w:p>
      <w:pPr>
        <w:ind w:firstLine="240"/>
        <w:spacing w:line="360" w:lineRule="auto"/>
        <w:rPr>
          <w:rFonts w:hint="eastAsia" w:cs="仿宋_GB2312"/>
          <w:color w:val="auto"/>
          <w:sz w:val="24"/>
          <w:highlight w:val="none"/>
        </w:rPr>
      </w:pPr>
      <w:r>
        <w:rPr>
          <w:rFonts w:hint="eastAsia"/>
          <w:color w:val="auto"/>
          <w:sz w:val="24"/>
          <w:highlight w:val="none"/>
          <w:u w:val="none"/>
          <w:lang w:val="en-US" w:eastAsia="zh-CN"/>
        </w:rPr>
        <w:t xml:space="preserve">（2）投标人提供的货物、工程或者服务符合规定情形的，对小微企业报价给予</w:t>
      </w:r>
      <w:r>
        <w:rPr>
          <w:rFonts w:hint="eastAsia"/>
          <w:color w:val="auto"/>
          <w:sz w:val="24"/>
          <w:highlight w:val="none"/>
          <w:u w:val="single"/>
          <w:lang w:val="en-US" w:eastAsia="zh-CN"/>
        </w:rPr>
        <w:t xml:space="preserve">15%</w:t>
      </w:r>
      <w:r>
        <w:rPr>
          <w:rFonts w:hint="eastAsia"/>
          <w:color w:val="auto"/>
          <w:sz w:val="24"/>
          <w:highlight w:val="none"/>
          <w:u w:val="none"/>
          <w:lang w:val="en-US" w:eastAsia="zh-CN"/>
        </w:rPr>
        <w:t xml:space="preserve">（工程项目为5%）扣除，</w:t>
      </w:r>
      <w:r>
        <w:rPr>
          <w:rFonts w:hint="eastAsia" w:cs="仿宋_GB2312"/>
          <w:color w:val="auto"/>
          <w:sz w:val="24"/>
          <w:highlight w:val="none"/>
        </w:rPr>
        <w:t xml:space="preserve">用扣除后的价格参加评审。</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360" w:lineRule="auto"/>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360" w:lineRule="auto"/>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1</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采用最低评标价法的项目，同等条件下优先推荐提供有效节能环保证书多的投标人为中标人。</w:t>
      </w:r>
      <w:r>
        <w:rPr>
          <w:rFonts w:hint="eastAsia" w:cs="Courier New"/>
          <w:b/>
          <w:bCs/>
          <w:caps w:val="0"/>
          <w:color w:val="auto"/>
          <w:sz w:val="24"/>
          <w:szCs w:val="24"/>
          <w:highlight w:val="none"/>
          <w:lang w:eastAsia="zh-CN"/>
        </w:rPr>
        <w:t xml:space="preserve">注：本项目</w:t>
      </w:r>
      <w:r>
        <w:rPr>
          <w:rFonts w:hint="eastAsia" w:cs="Courier New"/>
          <w:b/>
          <w:bCs/>
          <w:caps w:val="0"/>
          <w:color w:val="auto"/>
          <w:sz w:val="24"/>
          <w:szCs w:val="24"/>
          <w:highlight w:val="none"/>
          <w:lang w:val="en-US" w:eastAsia="zh-CN"/>
        </w:rPr>
        <w:t xml:space="preserve">无</w:t>
      </w:r>
      <w:r>
        <w:rPr>
          <w:rFonts w:hint="eastAsia" w:cs="Courier New"/>
          <w:b/>
          <w:bCs/>
          <w:caps w:val="0"/>
          <w:color w:val="auto"/>
          <w:sz w:val="24"/>
          <w:szCs w:val="24"/>
          <w:highlight w:val="none"/>
          <w:lang w:eastAsia="zh-CN"/>
        </w:rPr>
        <w:t xml:space="preserve">节能产品、环境标志产品</w:t>
      </w:r>
      <w:r>
        <w:rPr>
          <w:rFonts w:hint="eastAsia" w:ascii="Times New Roman" w:hAnsi="Times New Roman" w:cs="Courier New"/>
          <w:b/>
          <w:bCs/>
          <w:caps w:val="0"/>
          <w:color w:val="auto"/>
          <w:sz w:val="24"/>
          <w:szCs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4、</w:t>
      </w:r>
      <w:r>
        <w:rPr>
          <w:rFonts w:hint="eastAsia" w:ascii="Times New Roman" w:hAnsi="Times New Roman" w:eastAsia="宋体" w:cs="仿宋_GB2312"/>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rPr>
          <w:rFonts w:hint="eastAsia" w:cs="Courier New"/>
          <w:b/>
          <w:bCs/>
          <w:caps w:val="0"/>
          <w:color w:val="auto"/>
          <w:sz w:val="24"/>
          <w:szCs w:val="24"/>
          <w:highlight w:val="none"/>
          <w:lang w:eastAsia="zh-CN"/>
        </w:rPr>
        <w:t xml:space="preserve">注：本项目属于服务类项目</w:t>
      </w:r>
      <w:r>
        <w:rPr>
          <w:rFonts w:hint="eastAsia" w:ascii="Times New Roman" w:hAnsi="Times New Roman" w:cs="Courier New"/>
          <w:b/>
          <w:bCs/>
          <w:caps w:val="0"/>
          <w:color w:val="auto"/>
          <w:sz w:val="24"/>
          <w:szCs w:val="24"/>
          <w:highlight w:val="none"/>
          <w:lang w:eastAsia="zh-CN"/>
        </w:rPr>
        <w:t xml:space="preserve">。</w:t>
      </w:r>
      <w:r>
        <w:rPr>
          <w:rFonts w:hint="eastAsia"/>
          <w:bCs/>
          <w:color w:val="auto"/>
          <w:sz w:val="24"/>
          <w:szCs w:val="22"/>
          <w:highlight w:val="none"/>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ind w:firstLine="482"/>
        <w:jc w:val="left"/>
        <w:keepLines w:val="0"/>
        <w:keepNext w:val="0"/>
        <w:pageBreakBefore w:val="0"/>
        <w:spacing w:line="500" w:lineRule="exact"/>
        <w:widowControl w:val="off"/>
        <w:rPr>
          <w:rStyle w:val="1143"/>
          <w:rFonts w:hint="eastAsia" w:ascii="宋体" w:hAnsi="宋体" w:eastAsia="宋体" w:cs="宋体"/>
          <w:b/>
          <w:color w:val="auto"/>
          <w:sz w:val="24"/>
          <w:highlight w:val="none"/>
          <w:lang w:val="en-US" w:eastAsia="zh-CN"/>
        </w:rPr>
      </w:pPr>
      <w:r>
        <w:rPr>
          <w:rStyle w:val="1143"/>
          <w:rFonts w:hint="eastAsia" w:ascii="宋体" w:hAnsi="宋体" w:eastAsia="宋体" w:cs="宋体"/>
          <w:b/>
          <w:color w:val="auto"/>
          <w:sz w:val="24"/>
          <w:highlight w:val="none"/>
          <w:lang w:val="en-US" w:eastAsia="zh-CN"/>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3.投标（响应）报价低于采购项目最高限价45%的，即投标（响应）报价&lt;采购项目最高限价X45%</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auto"/>
          <w:sz w:val="24"/>
          <w:szCs w:val="21"/>
          <w:highlight w:val="none"/>
          <w:lang w:val="en-US" w:eastAsia="zh-CN" w:bidi="ar-SA"/>
        </w:rPr>
      </w:pPr>
      <w:r>
        <w:rPr>
          <w:rFonts w:hint="eastAsia" w:ascii="Times New Roman" w:hAnsi="Times New Roman" w:eastAsia="宋体" w:cs="仿宋_GB2312"/>
          <w:caps w:val="0"/>
          <w:color w:val="auto"/>
          <w:sz w:val="24"/>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auto"/>
          <w:sz w:val="44"/>
          <w:szCs w:val="44"/>
          <w:highlight w:val="none"/>
        </w:rPr>
      </w:pPr>
      <w:r>
        <w:rPr>
          <w:rFonts w:hint="eastAsia" w:ascii="Times New Roman" w:hAnsi="Times New Roman" w:eastAsia="宋体" w:cs="仿宋_GB2312"/>
          <w:caps w:val="0"/>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43"/>
          <w:rFonts w:hint="eastAsia" w:ascii="宋体" w:hAnsi="宋体" w:eastAsia="宋体" w:cs="宋体"/>
          <w:color w:val="auto"/>
          <w:highlight w:val="none"/>
        </w:rPr>
        <w:br w:type="page" w:clear="all"/>
      </w:r>
      <w:r/>
    </w:p>
    <w:p>
      <w:pPr>
        <w:pStyle w:val="960"/>
        <w:jc w:val="both"/>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960"/>
        <w:jc w:val="center"/>
        <w:rPr>
          <w:rFonts w:hint="eastAsia" w:ascii="Times New Roman" w:eastAsia="黑体"/>
          <w:color w:val="auto"/>
          <w:sz w:val="44"/>
          <w:szCs w:val="44"/>
          <w:highlight w:val="none"/>
        </w:rPr>
      </w:pPr>
      <w:r/>
      <w:bookmarkStart w:id="246" w:name="_Toc2293"/>
      <w:r>
        <w:rPr>
          <w:rFonts w:hint="eastAsia" w:ascii="Times New Roman" w:eastAsia="黑体"/>
          <w:color w:val="auto"/>
          <w:sz w:val="44"/>
          <w:szCs w:val="44"/>
          <w:highlight w:val="none"/>
        </w:rPr>
        <w:t xml:space="preserve">第六章  投标文件格式</w:t>
      </w:r>
      <w:bookmarkEnd w:id="246"/>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bCs/>
          <w:color w:val="auto"/>
          <w:sz w:val="32"/>
          <w:highlight w:val="none"/>
          <w:u w:val="single"/>
        </w:rPr>
        <w:t xml:space="preserve">                 </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rPr>
          <w:rFonts w:hint="eastAsia"/>
          <w:b/>
          <w:color w:val="auto"/>
          <w:sz w:val="36"/>
          <w:highlight w:val="none"/>
        </w:rPr>
        <w:t xml:space="preserve">  </w:t>
      </w:r>
      <w:r/>
    </w:p>
    <w:p>
      <w:pPr>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rFonts w:hint="eastAsia"/>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三、满足特定资格要求的证明文件</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十一、投标所需其他材料</w:t>
      </w:r>
      <w:r/>
    </w:p>
    <w:p>
      <w:pPr>
        <w:pStyle w:val="1015"/>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2"/>
        <w:rPr>
          <w:color w:val="auto"/>
          <w:highlight w:val="none"/>
        </w:rPr>
      </w:pPr>
      <w:r/>
      <w:bookmarkStart w:id="247" w:name="_Toc23838"/>
      <w:r/>
      <w:r/>
    </w:p>
    <w:p>
      <w:pPr>
        <w:pStyle w:val="1082"/>
        <w:rPr>
          <w:color w:val="auto"/>
          <w:highlight w:val="none"/>
        </w:rPr>
      </w:pPr>
      <w:r>
        <w:rPr>
          <w:color w:val="auto"/>
          <w:highlight w:val="none"/>
        </w:rPr>
      </w:r>
      <w:r/>
    </w:p>
    <w:p>
      <w:pPr>
        <w:pStyle w:val="1082"/>
        <w:rPr>
          <w:color w:val="auto"/>
          <w:highlight w:val="none"/>
        </w:rPr>
      </w:pPr>
      <w:r>
        <w:rPr>
          <w:color w:val="auto"/>
          <w:highlight w:val="none"/>
        </w:rPr>
      </w:r>
      <w:r/>
    </w:p>
    <w:p>
      <w:pPr>
        <w:pStyle w:val="1082"/>
        <w:rPr>
          <w:color w:val="auto"/>
          <w:highlight w:val="none"/>
        </w:rPr>
      </w:pPr>
      <w:r>
        <w:rPr>
          <w:color w:val="auto"/>
          <w:highlight w:val="none"/>
        </w:rPr>
        <w:br w:type="page" w:clear="all"/>
      </w:r>
      <w:bookmarkEnd w:id="247"/>
      <w:r/>
      <w:r/>
    </w:p>
    <w:p>
      <w:pPr>
        <w:pStyle w:val="1091"/>
        <w:rPr>
          <w:rFonts w:hint="eastAsia"/>
          <w:color w:val="auto"/>
          <w:highlight w:val="none"/>
        </w:rPr>
        <w:outlineLvl w:val="1"/>
      </w:pPr>
      <w:r/>
      <w:bookmarkStart w:id="248" w:name="_Toc158281561"/>
      <w:r/>
      <w:bookmarkStart w:id="249" w:name="_Toc14866"/>
      <w:r>
        <w:rPr>
          <w:rFonts w:hint="eastAsia"/>
          <w:color w:val="auto"/>
          <w:highlight w:val="none"/>
        </w:rPr>
        <w:t xml:space="preserve">一、</w:t>
      </w:r>
      <w:bookmarkEnd w:id="243"/>
      <w:r/>
      <w:bookmarkEnd w:id="244"/>
      <w:r/>
      <w:bookmarkEnd w:id="245"/>
      <w:r/>
      <w:bookmarkStart w:id="250" w:name="_Toc120614284"/>
      <w:r>
        <w:rPr>
          <w:rFonts w:hint="eastAsia"/>
          <w:color w:val="auto"/>
          <w:highlight w:val="none"/>
        </w:rPr>
        <w:t xml:space="preserve">投标声明及承诺函</w:t>
      </w:r>
      <w:bookmarkEnd w:id="248"/>
      <w:r/>
      <w:bookmarkEnd w:id="249"/>
      <w:r/>
      <w:r/>
    </w:p>
    <w:p>
      <w:pPr>
        <w:pStyle w:val="108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080"/>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80"/>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投标人名称：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080"/>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091"/>
        <w:rPr>
          <w:color w:val="auto"/>
          <w:highlight w:val="none"/>
        </w:rPr>
        <w:outlineLvl w:val="1"/>
      </w:pPr>
      <w:r>
        <w:rPr>
          <w:color w:val="auto"/>
          <w:highlight w:val="none"/>
        </w:rPr>
        <w:br w:type="page" w:clear="all"/>
      </w:r>
      <w:bookmarkStart w:id="251" w:name="_Toc28096"/>
      <w:r/>
      <w:bookmarkStart w:id="252" w:name="_Toc158281562"/>
      <w:r>
        <w:rPr>
          <w:rFonts w:hint="eastAsia"/>
          <w:color w:val="auto"/>
          <w:highlight w:val="none"/>
        </w:rPr>
        <w:t xml:space="preserve">二、投标人基本情况</w:t>
      </w:r>
      <w:bookmarkEnd w:id="251"/>
      <w:r/>
      <w:bookmarkEnd w:id="252"/>
      <w:r/>
      <w:r/>
    </w:p>
    <w:p>
      <w:pPr>
        <w:pStyle w:val="1001"/>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001"/>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0"/>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pStyle w:val="1091"/>
        <w:rPr>
          <w:rFonts w:hint="eastAsia"/>
          <w:i/>
          <w:color w:val="auto"/>
          <w:szCs w:val="32"/>
          <w:highlight w:val="none"/>
          <w:u w:val="single"/>
        </w:rPr>
        <w:outlineLvl w:val="1"/>
      </w:pPr>
      <w:r>
        <w:rPr>
          <w:color w:val="auto"/>
          <w:highlight w:val="none"/>
        </w:rPr>
        <w:br w:type="page" w:clear="all"/>
      </w:r>
      <w:bookmarkStart w:id="253" w:name="_Toc158281563"/>
      <w:r/>
      <w:bookmarkStart w:id="254" w:name="_Toc30935"/>
      <w:r>
        <w:rPr>
          <w:rFonts w:hint="eastAsia"/>
          <w:color w:val="auto"/>
          <w:highlight w:val="none"/>
        </w:rPr>
        <w:t xml:space="preserve">三、特定资格要求的证明文件</w:t>
      </w:r>
      <w:bookmarkEnd w:id="253"/>
      <w:r/>
      <w:bookmarkEnd w:id="254"/>
      <w:r/>
      <w:r/>
    </w:p>
    <w:p>
      <w:pPr>
        <w:spacing w:line="460" w:lineRule="exact"/>
        <w:rPr>
          <w:rFonts w:hint="eastAsia"/>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rFonts w:hint="eastAsia"/>
          <w:bCs/>
          <w:color w:val="auto"/>
          <w:sz w:val="24"/>
          <w:highlight w:val="none"/>
        </w:rPr>
      </w:pPr>
      <w:r>
        <w:rPr>
          <w:rFonts w:hint="eastAsia"/>
          <w:bCs/>
          <w:color w:val="auto"/>
          <w:sz w:val="24"/>
          <w:highlight w:val="non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91"/>
        <w:rPr>
          <w:rFonts w:hint="eastAsia"/>
          <w:color w:val="auto"/>
          <w:highlight w:val="none"/>
        </w:rPr>
        <w:outlineLvl w:val="9"/>
      </w:pPr>
      <w:r/>
      <w:bookmarkStart w:id="255" w:name="_Toc158281564"/>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1"/>
      </w:pPr>
      <w:r/>
      <w:bookmarkStart w:id="256" w:name="_Toc13215"/>
      <w:r>
        <w:rPr>
          <w:rFonts w:hint="eastAsia"/>
          <w:color w:val="auto"/>
          <w:highlight w:val="none"/>
        </w:rPr>
        <w:t xml:space="preserve">四、法人授权书</w:t>
      </w:r>
      <w:bookmarkEnd w:id="255"/>
      <w:r/>
      <w:bookmarkEnd w:id="256"/>
      <w:r/>
      <w:r/>
    </w:p>
    <w:p>
      <w:pPr>
        <w:pStyle w:val="1051"/>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val="en-US" w:eastAsia="zh-CN"/>
        </w:rPr>
        <w:t xml:space="preserve">SZC-321311-HCCG-G2026-0024</w:t>
      </w:r>
      <w:r>
        <w:rPr>
          <w:rFonts w:hint="eastAsia"/>
          <w:color w:val="auto"/>
          <w:sz w:val="24"/>
          <w:szCs w:val="24"/>
          <w:highlight w:val="none"/>
        </w:rPr>
        <w:t xml:space="preserve">号项目采购活动的合法代理人，以本单位名义全权处理一切与该项目采购有关的事务。</w:t>
      </w:r>
      <w:r/>
    </w:p>
    <w:p>
      <w:pPr>
        <w:pStyle w:val="1051"/>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51"/>
        <w:ind w:firstLine="1200"/>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51"/>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51"/>
        <w:ind w:firstLine="480"/>
        <w:rPr>
          <w:rFonts w:hint="eastAsia"/>
          <w:color w:val="auto"/>
          <w:sz w:val="24"/>
          <w:szCs w:val="24"/>
          <w:highlight w:val="none"/>
        </w:rPr>
      </w:pPr>
      <w:r>
        <w:rPr>
          <w:rFonts w:hint="eastAsia"/>
          <w:color w:val="auto"/>
          <w:sz w:val="24"/>
          <w:szCs w:val="24"/>
          <w:highlight w:val="none"/>
        </w:rPr>
        <w:t xml:space="preserve">      日期：</w:t>
      </w:r>
      <w:bookmarkStart w:id="257" w:name="_Hlt26671380"/>
      <w:r/>
      <w:bookmarkEnd w:id="257"/>
      <w:r/>
      <w:bookmarkStart w:id="258" w:name="_格式3__银行出具的资信证明"/>
      <w:r/>
      <w:bookmarkEnd w:id="258"/>
      <w:r/>
      <w:bookmarkStart w:id="259" w:name="_Hlt26955070"/>
      <w:r/>
      <w:bookmarkEnd w:id="259"/>
      <w:r>
        <w:rPr>
          <w:rFonts w:hint="eastAsia"/>
          <w:color w:val="auto"/>
          <w:sz w:val="24"/>
          <w:szCs w:val="24"/>
          <w:highlight w:val="none"/>
          <w:u w:val="single"/>
        </w:rPr>
        <w:t xml:space="preserve">                                         </w:t>
      </w:r>
      <w:bookmarkStart w:id="285" w:name="_GoBack"/>
      <w:r/>
      <w:bookmarkEnd w:id="285"/>
      <w:r/>
      <w:r/>
    </w:p>
    <w:p>
      <w:pPr>
        <w:pStyle w:val="964"/>
        <w:rPr>
          <w:rFonts w:hint="eastAsia"/>
          <w:i/>
          <w:color w:val="auto"/>
          <w:sz w:val="24"/>
          <w:szCs w:val="24"/>
          <w:highlight w:val="none"/>
          <w:u w:val="single"/>
        </w:rPr>
      </w:pPr>
      <w:r>
        <w:rPr>
          <w:rFonts w:hint="eastAsia"/>
          <w:i/>
          <w:color w:val="auto"/>
          <w:sz w:val="24"/>
          <w:szCs w:val="24"/>
          <w:highlight w:val="none"/>
          <w:u w:val="single"/>
        </w:rPr>
      </w:r>
      <w:r/>
    </w:p>
    <w:p>
      <w:pPr>
        <w:pStyle w:val="964"/>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pStyle w:val="1091"/>
        <w:rPr>
          <w:rFonts w:hint="eastAsia" w:eastAsia="仿宋_GB2312"/>
          <w:color w:val="auto"/>
          <w:sz w:val="24"/>
          <w:szCs w:val="20"/>
          <w:highlight w:val="none"/>
        </w:rPr>
        <w:outlineLvl w:val="1"/>
      </w:pPr>
      <w:r>
        <w:rPr>
          <w:bCs/>
          <w:color w:val="auto"/>
          <w:sz w:val="24"/>
          <w:highlight w:val="none"/>
        </w:rPr>
        <w:br w:type="page" w:clear="all"/>
      </w:r>
      <w:bookmarkStart w:id="260" w:name="_Toc17357"/>
      <w:r/>
      <w:bookmarkStart w:id="261" w:name="_Toc158281565"/>
      <w:r>
        <w:rPr>
          <w:rFonts w:hint="eastAsia"/>
          <w:color w:val="auto"/>
          <w:highlight w:val="none"/>
        </w:rPr>
        <w:t xml:space="preserve">五、开标一览表</w:t>
      </w:r>
      <w:bookmarkEnd w:id="260"/>
      <w:r/>
      <w:bookmarkEnd w:id="261"/>
      <w:r/>
      <w:r/>
    </w:p>
    <w:p>
      <w:pPr>
        <w:ind w:firstLine="480"/>
        <w:rPr>
          <w:rFonts w:hint="eastAsia"/>
          <w:color w:val="auto"/>
          <w:sz w:val="24"/>
          <w:szCs w:val="24"/>
          <w:highlight w:val="none"/>
        </w:rPr>
      </w:pPr>
      <w:r>
        <w:rPr>
          <w:rFonts w:hint="eastAsia"/>
          <w:color w:val="auto"/>
          <w:sz w:val="24"/>
          <w:szCs w:val="24"/>
          <w:highlight w:val="none"/>
        </w:rPr>
        <w:t xml:space="preserve">投标人全称（加盖CA电子签章）：</w:t>
      </w:r>
      <w:r>
        <w:rPr>
          <w:rFonts w:hint="eastAsia"/>
          <w:color w:val="auto"/>
          <w:sz w:val="24"/>
          <w:szCs w:val="24"/>
          <w:highlight w:val="none"/>
          <w:u w:val="single"/>
        </w:rPr>
        <w:t xml:space="preserve">                   </w:t>
      </w:r>
      <w:r/>
    </w:p>
    <w:p>
      <w:pPr>
        <w:ind w:firstLine="48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u w:val="single"/>
          <w:lang w:eastAsia="zh-CN"/>
        </w:rPr>
        <w:t xml:space="preserve">2026-2029年宿豫区道路环卫保洁市场化服务项目</w:t>
      </w:r>
      <w:r/>
    </w:p>
    <w:p>
      <w:pPr>
        <w:ind w:firstLine="48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u w:val="single"/>
          <w:lang w:val="en-US" w:eastAsia="zh-CN"/>
        </w:rPr>
        <w:t xml:space="preserve">SZC-321311-HCCG-G2026-0024</w:t>
      </w:r>
      <w:r>
        <w:rPr>
          <w:rFonts w:hint="eastAsia"/>
          <w:color w:val="auto"/>
          <w:sz w:val="24"/>
          <w:szCs w:val="24"/>
          <w:highlight w:val="none"/>
        </w:rPr>
        <w:t xml:space="preserve">                     </w:t>
      </w:r>
      <w:r/>
    </w:p>
    <w:tbl>
      <w:tblPr>
        <w:tblStyle w:val="7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auto"/>
                <w:sz w:val="24"/>
                <w:szCs w:val="24"/>
                <w:highlight w:val="none"/>
              </w:rPr>
            </w:pPr>
            <w:r>
              <w:rPr>
                <w:rFonts w:hint="eastAsia" w:cs="宋体"/>
                <w:color w:val="auto"/>
                <w:sz w:val="24"/>
                <w:szCs w:val="24"/>
                <w:highlight w:val="none"/>
              </w:rPr>
              <w:t xml:space="preserve">                      </w:t>
            </w:r>
            <w:r>
              <w:rPr>
                <w:rFonts w:hint="eastAsia"/>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bCs/>
          <w:color w:val="auto"/>
          <w:sz w:val="24"/>
          <w:highlight w:val="none"/>
        </w:rPr>
      </w:pPr>
      <w:r>
        <w:rPr>
          <w:rFonts w:hint="eastAsia"/>
          <w:color w:val="auto"/>
          <w:highlight w:val="none"/>
        </w:rPr>
        <w:br w:type="page" w:clear="all"/>
      </w:r>
      <w:r/>
    </w:p>
    <w:p>
      <w:pPr>
        <w:pStyle w:val="1091"/>
        <w:rPr>
          <w:rFonts w:hint="eastAsia"/>
          <w:color w:val="auto"/>
          <w:highlight w:val="none"/>
        </w:rPr>
        <w:outlineLvl w:val="1"/>
      </w:pPr>
      <w:r/>
      <w:bookmarkStart w:id="262" w:name="_Toc5021"/>
      <w:r/>
      <w:bookmarkStart w:id="263" w:name="_Toc158281566"/>
      <w:r>
        <w:rPr>
          <w:rFonts w:hint="eastAsia"/>
          <w:color w:val="auto"/>
          <w:highlight w:val="none"/>
        </w:rPr>
        <w:t xml:space="preserve">六、投标报价明细表</w:t>
      </w:r>
      <w:bookmarkEnd w:id="262"/>
      <w:r/>
      <w:bookmarkEnd w:id="263"/>
      <w:r/>
      <w:r/>
    </w:p>
    <w:tbl>
      <w:tblPr>
        <w:tblStyle w:val="77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color w:val="auto"/>
          <w:sz w:val="24"/>
          <w:szCs w:val="24"/>
          <w:highlight w:val="none"/>
        </w:rPr>
      </w:pPr>
      <w:r>
        <w:rPr>
          <w:rFonts w:hint="eastAsia"/>
          <w:color w:val="auto"/>
          <w:sz w:val="24"/>
          <w:szCs w:val="24"/>
          <w:highlight w:val="none"/>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1091"/>
        <w:rPr>
          <w:rFonts w:hint="eastAsia" w:ascii="Times New Roman" w:hAnsi="Times New Roman" w:eastAsia="宋体"/>
          <w:color w:val="auto"/>
          <w:szCs w:val="32"/>
          <w:highlight w:val="none"/>
        </w:rPr>
        <w:outlineLvl w:val="1"/>
      </w:pPr>
      <w:r>
        <w:rPr>
          <w:rFonts w:ascii="Times New Roman" w:hAnsi="Times New Roman" w:eastAsia="宋体" w:cs="宋体"/>
          <w:strike/>
          <w:color w:val="auto"/>
          <w:szCs w:val="32"/>
          <w:highlight w:val="none"/>
        </w:rPr>
        <w:br w:type="page" w:clear="all"/>
      </w:r>
      <w:bookmarkStart w:id="264" w:name="_Toc7508"/>
      <w:r/>
      <w:bookmarkStart w:id="265" w:name="_Toc158281567"/>
      <w:r>
        <w:rPr>
          <w:rFonts w:hint="eastAsia"/>
          <w:color w:val="auto"/>
          <w:highlight w:val="none"/>
        </w:rPr>
        <w:t xml:space="preserve">七、中小企业声明函（服务）</w:t>
      </w:r>
      <w:bookmarkEnd w:id="264"/>
      <w:r/>
      <w:bookmarkEnd w:id="265"/>
      <w:r/>
      <w:r/>
    </w:p>
    <w:p>
      <w:pPr>
        <w:ind w:firstLine="480"/>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auto"/>
          <w:sz w:val="24"/>
          <w:highlight w:val="none"/>
          <w:u w:val="single"/>
        </w:rPr>
      </w:pPr>
      <w:r>
        <w:rPr>
          <w:rFonts w:hint="eastAsia"/>
          <w:color w:val="auto"/>
          <w:sz w:val="24"/>
          <w:highlight w:val="none"/>
        </w:rPr>
        <w:t xml:space="preserve">1.</w:t>
      </w:r>
      <w:r>
        <w:rPr>
          <w:rFonts w:hint="eastAsia"/>
          <w:color w:val="auto"/>
          <w:sz w:val="24"/>
          <w:highlight w:val="none"/>
          <w:u w:val="single"/>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u w:val="single"/>
        </w:rPr>
      </w:pPr>
      <w:r>
        <w:rPr>
          <w:rFonts w:hint="eastAsia"/>
          <w:color w:val="auto"/>
          <w:sz w:val="24"/>
          <w:highlight w:val="none"/>
          <w:u w:val="single"/>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rPr>
      </w:pP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auto"/>
          <w:sz w:val="24"/>
          <w:highlight w:val="none"/>
        </w:rPr>
      </w:pPr>
      <w:r>
        <w:rPr>
          <w:rFonts w:hint="eastAsia"/>
          <w:color w:val="auto"/>
          <w:sz w:val="24"/>
          <w:highlight w:val="none"/>
        </w:rPr>
        <w:t xml:space="preserve">企业名称：（加盖CA电子公章）</w:t>
      </w:r>
      <w:r/>
    </w:p>
    <w:p>
      <w:pPr>
        <w:ind w:firstLine="480"/>
        <w:jc w:val="right"/>
        <w:spacing w:line="360" w:lineRule="auto"/>
        <w:rPr>
          <w:rFonts w:hint="eastAsia"/>
          <w:color w:val="auto"/>
          <w:sz w:val="24"/>
          <w:highlight w:val="none"/>
        </w:rPr>
      </w:pPr>
      <w:r>
        <w:rPr>
          <w:rFonts w:hint="eastAsia"/>
          <w:color w:val="auto"/>
          <w:sz w:val="24"/>
          <w:highlight w:val="none"/>
        </w:rPr>
        <w:t xml:space="preserve">日  期：       年___月___日</w:t>
      </w:r>
      <w:r/>
    </w:p>
    <w:p>
      <w:pPr>
        <w:jc w:val="center"/>
        <w:spacing w:line="360" w:lineRule="auto"/>
        <w:rPr>
          <w:rFonts w:hint="eastAsia" w:eastAsia="黑体"/>
          <w:color w:val="auto"/>
          <w:sz w:val="32"/>
          <w:szCs w:val="32"/>
          <w:highlight w:val="none"/>
        </w:rPr>
        <w:outlineLvl w:val="0"/>
      </w:pPr>
      <w:r>
        <w:rPr>
          <w:rFonts w:hint="eastAsia" w:eastAsia="黑体"/>
          <w:color w:val="auto"/>
          <w:sz w:val="32"/>
          <w:szCs w:val="32"/>
          <w:highlight w:val="none"/>
        </w:rPr>
        <w:br w:type="page" w:clear="all"/>
      </w:r>
      <w:bookmarkStart w:id="266" w:name="_Toc158133337"/>
      <w:r/>
      <w:bookmarkStart w:id="267" w:name="_Toc158281568"/>
      <w:r/>
      <w:bookmarkStart w:id="268" w:name="_Toc158125008"/>
      <w:r/>
      <w:bookmarkStart w:id="269" w:name="_Toc26157"/>
      <w:r>
        <w:rPr>
          <w:rFonts w:hint="eastAsia" w:eastAsia="黑体"/>
          <w:color w:val="auto"/>
          <w:sz w:val="32"/>
          <w:szCs w:val="32"/>
          <w:highlight w:val="none"/>
        </w:rPr>
        <w:t xml:space="preserve">残疾人福利性单位声明函</w:t>
      </w:r>
      <w:bookmarkEnd w:id="266"/>
      <w:r/>
      <w:bookmarkEnd w:id="267"/>
      <w:r/>
      <w:bookmarkEnd w:id="268"/>
      <w:r/>
      <w:bookmarkEnd w:id="269"/>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83"/>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1091"/>
        <w:rPr>
          <w:rFonts w:hint="eastAsia"/>
          <w:b w:val="0"/>
          <w:color w:val="auto"/>
          <w:szCs w:val="32"/>
          <w:highlight w:val="none"/>
        </w:rPr>
        <w:outlineLvl w:val="1"/>
      </w:pPr>
      <w:r>
        <w:rPr>
          <w:b w:val="0"/>
          <w:color w:val="auto"/>
          <w:szCs w:val="32"/>
          <w:highlight w:val="none"/>
        </w:rPr>
        <w:br w:type="page" w:clear="all"/>
      </w:r>
      <w:bookmarkStart w:id="270" w:name="_Toc9556"/>
      <w:r/>
      <w:bookmarkStart w:id="271" w:name="_Toc158281569"/>
      <w:r>
        <w:rPr>
          <w:rFonts w:hint="eastAsia"/>
          <w:color w:val="auto"/>
          <w:highlight w:val="none"/>
        </w:rPr>
        <w:t xml:space="preserve">八、技术要求响应及偏离表</w:t>
      </w:r>
      <w:bookmarkEnd w:id="270"/>
      <w:r/>
      <w:bookmarkEnd w:id="271"/>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pStyle w:val="1025"/>
              <w:jc w:val="center"/>
              <w:spacing w:before="0" w:beforeAutospacing="0" w:after="0" w:afterAutospacing="0"/>
              <w:rPr>
                <w:rFonts w:hint="eastAsia" w:ascii="Times New Roman" w:hAnsi="Times New Roman" w:eastAsia="宋体"/>
                <w:color w:val="auto"/>
                <w:highlight w:val="none"/>
                <w:lang w:val="en-US" w:eastAsia="zh-CN"/>
              </w:rPr>
            </w:pPr>
            <w:r>
              <w:rPr>
                <w:rFonts w:ascii="Times New Roman" w:hAnsi="Times New Roman"/>
                <w:color w:val="auto"/>
                <w:highlight w:val="none"/>
              </w:rPr>
              <w:t xml:space="preserve">技术要求和商务要求中的实质性要求（打“</w:t>
            </w:r>
            <w:r>
              <w:rPr>
                <w:rFonts w:hint="eastAsia"/>
                <w:color w:val="auto"/>
                <w:highlight w:val="none"/>
              </w:rPr>
              <w:t xml:space="preserve">★</w:t>
            </w:r>
            <w:r>
              <w:rPr>
                <w:rFonts w:ascii="Times New Roman" w:hAnsi="Times New Roman" w:cs="Times New Roman"/>
                <w:color w:val="auto"/>
                <w:highlight w:val="none"/>
              </w:rPr>
              <w:t xml:space="preserve">”</w:t>
            </w:r>
            <w:r>
              <w:rPr>
                <w:rFonts w:ascii="Times New Roman" w:hAnsi="Times New Roman"/>
                <w:color w:val="auto"/>
                <w:highlight w:val="none"/>
              </w:rPr>
              <w:t xml:space="preserve">内容）</w:t>
            </w:r>
            <w:r/>
          </w:p>
        </w:tc>
        <w:tc>
          <w:tcPr>
            <w:tcW w:w="2852"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证明</w:t>
            </w:r>
            <w:r/>
          </w:p>
          <w:p>
            <w:pPr>
              <w:jc w:val="center"/>
              <w:rPr>
                <w:rFonts w:hint="eastAsia"/>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color w:val="auto"/>
                <w:sz w:val="24"/>
                <w:szCs w:val="24"/>
                <w:highlight w:val="none"/>
              </w:rPr>
              <w:t xml:space="preserve">……</w:t>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rFonts w:hint="eastAsia"/>
          <w:color w:val="auto"/>
          <w:sz w:val="24"/>
          <w:highlight w:val="none"/>
        </w:rPr>
      </w:pPr>
      <w:r>
        <w:rPr>
          <w:rFonts w:hint="eastAsia"/>
          <w:color w:val="auto"/>
          <w:sz w:val="24"/>
          <w:highlight w:val="none"/>
        </w:rPr>
        <w:t xml:space="preserve">4.行数不够，可自行添加。</w:t>
      </w:r>
      <w:r/>
    </w:p>
    <w:p>
      <w:pPr>
        <w:jc w:val="center"/>
        <w:rPr>
          <w:rFonts w:hint="eastAsia" w:eastAsia="黑体"/>
          <w:b/>
          <w:color w:val="auto"/>
          <w:sz w:val="36"/>
          <w:highlight w:val="none"/>
        </w:rPr>
      </w:pPr>
      <w:r>
        <w:rPr>
          <w:rFonts w:hint="eastAsia" w:eastAsia="黑体"/>
          <w:b/>
          <w:color w:val="auto"/>
          <w:sz w:val="36"/>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91"/>
        <w:rPr>
          <w:rFonts w:hint="eastAsia"/>
          <w:color w:val="auto"/>
          <w:highlight w:val="none"/>
        </w:rPr>
        <w:outlineLvl w:val="9"/>
      </w:pPr>
      <w:r/>
      <w:bookmarkStart w:id="272" w:name="_Toc158281570"/>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color w:val="auto"/>
          <w:highlight w:val="none"/>
        </w:rPr>
        <w:outlineLvl w:val="1"/>
      </w:pPr>
      <w:r/>
      <w:bookmarkStart w:id="273" w:name="_Toc30650"/>
      <w:r>
        <w:rPr>
          <w:rFonts w:hint="eastAsia"/>
          <w:color w:val="auto"/>
          <w:highlight w:val="none"/>
        </w:rPr>
        <w:t xml:space="preserve">九、</w:t>
      </w:r>
      <w:r>
        <w:rPr>
          <w:color w:val="auto"/>
          <w:highlight w:val="none"/>
        </w:rPr>
        <w:t xml:space="preserve">项目组人员</w:t>
      </w:r>
      <w:bookmarkEnd w:id="272"/>
      <w:r/>
      <w:bookmarkEnd w:id="273"/>
      <w:r/>
      <w:r/>
    </w:p>
    <w:p>
      <w:pPr>
        <w:pStyle w:val="1025"/>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77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W w:w="1843"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W w:w="99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W w:w="1984" w:type="dxa"/>
            <w:vAlign w:val="center"/>
            <w:textDirection w:val="lrTb"/>
            <w:noWrap w:val="false"/>
          </w:tcPr>
          <w:p>
            <w:pPr>
              <w:pStyle w:val="1087"/>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W w:w="170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W w:w="962" w:type="dxa"/>
            <w:vAlign w:val="center"/>
            <w:textDirection w:val="lrTb"/>
            <w:noWrap w:val="false"/>
          </w:tcPr>
          <w:p>
            <w:pPr>
              <w:pStyle w:val="1087"/>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 xml:space="preserve">项目经理</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hint="eastAsia"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1025"/>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w:t>
      </w:r>
      <w:r>
        <w:rPr>
          <w:rFonts w:hint="eastAsia" w:ascii="Times New Roman" w:hAnsi="Times New Roman" w:eastAsia="仿宋_GB2312" w:cs="仿宋_GB2312"/>
          <w:b/>
          <w:color w:val="auto"/>
          <w:highlight w:val="none"/>
          <w:lang w:bidi="ar"/>
        </w:rPr>
        <w:t xml:space="preserve">投标人</w:t>
      </w:r>
      <w:r>
        <w:rPr>
          <w:rFonts w:ascii="Times New Roman" w:hAnsi="Times New Roman" w:eastAsia="仿宋_GB2312" w:cs="仿宋_GB2312"/>
          <w:b/>
          <w:color w:val="auto"/>
          <w:highlight w:val="none"/>
          <w:lang w:bidi="ar"/>
        </w:rPr>
        <w:t xml:space="preserve">中标，项目组成员必须按本表承诺人员操作，不得随意更换。按投标文件要求附相关人员证书。</w:t>
      </w:r>
      <w:r/>
    </w:p>
    <w:p>
      <w:pPr>
        <w:pStyle w:val="1025"/>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91"/>
        <w:rPr>
          <w:color w:val="auto"/>
          <w:highlight w:val="none"/>
        </w:rPr>
        <w:outlineLvl w:val="1"/>
      </w:pPr>
      <w:r>
        <w:rPr>
          <w:color w:val="auto"/>
          <w:highlight w:val="none"/>
        </w:rPr>
        <w:br w:type="page" w:clear="all"/>
      </w:r>
      <w:bookmarkStart w:id="274" w:name="_Toc11176"/>
      <w:r/>
      <w:bookmarkStart w:id="275" w:name="_Toc158281571"/>
      <w:r/>
      <w:bookmarkStart w:id="276" w:name="_Toc31278"/>
      <w:r>
        <w:rPr>
          <w:rFonts w:hint="eastAsia" w:ascii="Times New Roman" w:hAnsi="Times New Roman"/>
          <w:color w:val="auto"/>
          <w:highlight w:val="none"/>
        </w:rPr>
        <w:t xml:space="preserve">十、</w:t>
      </w:r>
      <w:bookmarkEnd w:id="274"/>
      <w:r>
        <w:rPr>
          <w:rFonts w:hint="eastAsia" w:ascii="Times New Roman" w:hAnsi="Times New Roman"/>
          <w:color w:val="auto"/>
          <w:highlight w:val="none"/>
        </w:rPr>
        <w:t xml:space="preserve">企业业绩</w:t>
      </w:r>
      <w:bookmarkEnd w:id="275"/>
      <w:r/>
      <w:bookmarkEnd w:id="276"/>
      <w:r/>
      <w:r/>
    </w:p>
    <w:p>
      <w:pPr>
        <w:pStyle w:val="1089"/>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77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bl>
    <w:p>
      <w:pPr>
        <w:pStyle w:val="1089"/>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091"/>
        <w:rPr>
          <w:rFonts w:ascii="Times New Roman" w:hAnsi="Times New Roman"/>
          <w:color w:val="auto"/>
          <w:highlight w:val="none"/>
        </w:rPr>
        <w:outlineLvl w:val="1"/>
      </w:pPr>
      <w:r>
        <w:rPr>
          <w:rFonts w:ascii="Times New Roman" w:hAnsi="Times New Roman"/>
          <w:color w:val="auto"/>
          <w:highlight w:val="none"/>
        </w:rPr>
        <w:br w:type="page" w:clear="all"/>
      </w:r>
      <w:bookmarkStart w:id="277" w:name="_Toc158281572"/>
      <w:r/>
      <w:bookmarkStart w:id="278" w:name="_Toc19023"/>
      <w:r/>
      <w:bookmarkStart w:id="279" w:name="_Toc28140"/>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77"/>
      <w:r/>
      <w:bookmarkEnd w:id="278"/>
      <w:r/>
      <w:bookmarkEnd w:id="279"/>
      <w:r/>
      <w:r/>
    </w:p>
    <w:p>
      <w:pPr>
        <w:pStyle w:val="1097"/>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bookmarkEnd w:id="250"/>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964"/>
        <w:ind w:firstLine="0"/>
        <w:rPr>
          <w:rFonts w:hint="eastAsia"/>
          <w:color w:val="auto"/>
          <w:sz w:val="24"/>
          <w:highlight w:val="none"/>
        </w:rPr>
      </w:pPr>
      <w:r/>
      <w:bookmarkStart w:id="280" w:name="_Hlt26671374"/>
      <w:r/>
      <w:bookmarkEnd w:id="280"/>
      <w:r/>
      <w:bookmarkStart w:id="281" w:name="_Hlt26955066"/>
      <w:r/>
      <w:bookmarkEnd w:id="281"/>
      <w:r/>
      <w:bookmarkStart w:id="282" w:name="_Hlt26609389"/>
      <w:r/>
      <w:bookmarkEnd w:id="282"/>
      <w:r/>
      <w:bookmarkStart w:id="283" w:name="_Toc462564146"/>
      <w:r/>
      <w:r/>
    </w:p>
    <w:p>
      <w:pPr>
        <w:rPr>
          <w:rFonts w:hint="eastAsia"/>
          <w:color w:val="auto"/>
          <w:sz w:val="24"/>
          <w:highlight w:val="none"/>
        </w:rPr>
      </w:pPr>
      <w:r>
        <w:rPr>
          <w:rFonts w:hint="eastAsia"/>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bookmarkEnd w:id="228"/>
      <w:bookmarkEnd w:id="229"/>
      <w:bookmarkEnd w:id="283"/>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jc w:val="center"/>
        <w:rPr>
          <w:rFonts w:hint="eastAsia" w:eastAsia="黑体"/>
          <w:b/>
          <w:color w:val="auto"/>
          <w:sz w:val="32"/>
          <w:szCs w:val="32"/>
          <w:highlight w:val="none"/>
        </w:rPr>
      </w:pPr>
      <w:r/>
      <w:bookmarkStart w:id="284" w:name="_格式2__法定代表人授权书"/>
      <w:r/>
      <w:bookmarkEnd w:id="284"/>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64"/>
        <w:rPr>
          <w:rFonts w:hint="eastAsia"/>
          <w:color w:val="auto"/>
          <w:sz w:val="24"/>
          <w:szCs w:val="24"/>
          <w:highlight w:val="none"/>
        </w:rPr>
      </w:pPr>
      <w:r>
        <w:rPr>
          <w:rFonts w:hint="eastAsia"/>
          <w:color w:val="auto"/>
          <w:sz w:val="24"/>
          <w:szCs w:val="24"/>
          <w:highlight w:val="none"/>
        </w:rPr>
      </w:r>
      <w:r/>
    </w:p>
    <w:p>
      <w:pPr>
        <w:pStyle w:val="964"/>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8">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2"/>
  </w:num>
  <w:num w:numId="4">
    <w:abstractNumId w:val="9"/>
  </w:num>
  <w:num w:numId="5">
    <w:abstractNumId w:val="3"/>
  </w:num>
  <w:num w:numId="6">
    <w:abstractNumId w:val="12"/>
  </w:num>
  <w:num w:numId="7">
    <w:abstractNumId w:val="4"/>
  </w:num>
  <w:num w:numId="8">
    <w:abstractNumId w:val="14"/>
  </w:num>
  <w:num w:numId="9">
    <w:abstractNumId w:val="0"/>
  </w:num>
  <w:num w:numId="10">
    <w:abstractNumId w:val="11"/>
  </w:num>
  <w:num w:numId="11">
    <w:abstractNumId w:val="1"/>
  </w:num>
  <w:num w:numId="12">
    <w:abstractNumId w:val="6"/>
  </w:num>
  <w:num w:numId="13">
    <w:abstractNumId w:val="13"/>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1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1134"/>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13"/>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14"/>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5"/>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6"/>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7"/>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9"/>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0"/>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8"/>
    <w:uiPriority w:val="99"/>
    <w:semiHidden/>
    <w:unhideWhenUsed/>
    <w:qFormat/>
    <w:pPr>
      <w:jc w:val="left"/>
    </w:pPr>
  </w:style>
  <w:style w:type="paragraph" w:styleId="783">
    <w:name w:val="Body Text"/>
    <w:basedOn w:val="768"/>
    <w:next w:val="768"/>
    <w:uiPriority w:val="0"/>
    <w:semiHidden/>
    <w:qFormat/>
    <w:rPr>
      <w:rFonts w:ascii="Arial" w:hAnsi="Arial" w:eastAsia="Arial" w:cs="Arial"/>
      <w:sz w:val="21"/>
      <w:szCs w:val="21"/>
      <w:lang w:val="en-US" w:eastAsia="en-US" w:bidi="ar-SA"/>
    </w:rPr>
  </w:style>
  <w:style w:type="paragraph" w:styleId="784">
    <w:name w:val="toc 5"/>
    <w:basedOn w:val="768"/>
    <w:next w:val="768"/>
    <w:uiPriority w:val="39"/>
    <w:unhideWhenUsed/>
    <w:qFormat/>
    <w:pPr>
      <w:ind w:left="1134" w:right="0" w:firstLine="0"/>
      <w:spacing w:after="57"/>
    </w:pPr>
  </w:style>
  <w:style w:type="paragraph" w:styleId="785">
    <w:name w:val="toc 3"/>
    <w:basedOn w:val="768"/>
    <w:next w:val="768"/>
    <w:uiPriority w:val="39"/>
    <w:unhideWhenUsed/>
    <w:qFormat/>
    <w:pPr>
      <w:ind w:left="567" w:right="0" w:firstLine="0"/>
      <w:spacing w:after="57"/>
    </w:pPr>
  </w:style>
  <w:style w:type="paragraph" w:styleId="786">
    <w:name w:val="Plain Text"/>
    <w:basedOn w:val="768"/>
    <w:uiPriority w:val="0"/>
    <w:qFormat/>
    <w:rPr>
      <w:rFonts w:ascii="宋体" w:hAnsi="Courier New" w:cs="Courier New"/>
    </w:rPr>
  </w:style>
  <w:style w:type="paragraph" w:styleId="787">
    <w:name w:val="toc 8"/>
    <w:basedOn w:val="768"/>
    <w:next w:val="768"/>
    <w:uiPriority w:val="39"/>
    <w:unhideWhenUsed/>
    <w:qFormat/>
    <w:pPr>
      <w:ind w:left="1984" w:right="0" w:firstLine="0"/>
      <w:spacing w:after="57"/>
    </w:pPr>
  </w:style>
  <w:style w:type="paragraph" w:styleId="788">
    <w:name w:val="endnote text"/>
    <w:basedOn w:val="768"/>
    <w:link w:val="958"/>
    <w:uiPriority w:val="99"/>
    <w:semiHidden/>
    <w:unhideWhenUsed/>
    <w:qFormat/>
    <w:pPr>
      <w:spacing w:after="0" w:line="240" w:lineRule="auto"/>
    </w:pPr>
    <w:rPr>
      <w:sz w:val="20"/>
    </w:rPr>
  </w:style>
  <w:style w:type="paragraph" w:styleId="789">
    <w:name w:val="Footer"/>
    <w:basedOn w:val="768"/>
    <w:link w:val="831"/>
    <w:uiPriority w:val="99"/>
    <w:unhideWhenUsed/>
    <w:qFormat/>
    <w:pPr>
      <w:spacing w:after="0" w:line="240" w:lineRule="auto"/>
      <w:tabs>
        <w:tab w:val="center" w:pos="7143" w:leader="none"/>
        <w:tab w:val="right" w:pos="14287" w:leader="none"/>
      </w:tabs>
    </w:pPr>
  </w:style>
  <w:style w:type="paragraph" w:styleId="790">
    <w:name w:val="Header"/>
    <w:basedOn w:val="768"/>
    <w:link w:val="829"/>
    <w:uiPriority w:val="99"/>
    <w:unhideWhenUsed/>
    <w:qFormat/>
    <w:pPr>
      <w:spacing w:after="0" w:line="240" w:lineRule="auto"/>
      <w:tabs>
        <w:tab w:val="center" w:pos="7143" w:leader="none"/>
        <w:tab w:val="right" w:pos="14287" w:leader="none"/>
      </w:tabs>
    </w:pPr>
  </w:style>
  <w:style w:type="paragraph" w:styleId="791">
    <w:name w:val="toc 1"/>
    <w:basedOn w:val="768"/>
    <w:next w:val="768"/>
    <w:uiPriority w:val="39"/>
    <w:unhideWhenUsed/>
    <w:qFormat/>
    <w:pPr>
      <w:ind w:left="0" w:right="0" w:firstLine="0"/>
      <w:spacing w:after="57"/>
    </w:pPr>
  </w:style>
  <w:style w:type="paragraph" w:styleId="792">
    <w:name w:val="toc 4"/>
    <w:basedOn w:val="768"/>
    <w:next w:val="768"/>
    <w:uiPriority w:val="39"/>
    <w:unhideWhenUsed/>
    <w:qFormat/>
    <w:pPr>
      <w:ind w:left="850" w:right="0" w:firstLine="0"/>
      <w:spacing w:after="57"/>
    </w:pPr>
  </w:style>
  <w:style w:type="paragraph" w:styleId="793">
    <w:name w:val="Subtitle"/>
    <w:basedOn w:val="768"/>
    <w:next w:val="768"/>
    <w:link w:val="824"/>
    <w:uiPriority w:val="11"/>
    <w:qFormat/>
    <w:pPr>
      <w:spacing w:before="200" w:after="200"/>
    </w:pPr>
    <w:rPr>
      <w:sz w:val="24"/>
      <w:szCs w:val="24"/>
    </w:rPr>
  </w:style>
  <w:style w:type="paragraph" w:styleId="794">
    <w:name w:val="footnote text"/>
    <w:basedOn w:val="768"/>
    <w:link w:val="957"/>
    <w:uiPriority w:val="99"/>
    <w:semiHidden/>
    <w:unhideWhenUsed/>
    <w:qFormat/>
    <w:pPr>
      <w:spacing w:after="40" w:line="240" w:lineRule="auto"/>
    </w:pPr>
    <w:rPr>
      <w:sz w:val="18"/>
    </w:rPr>
  </w:style>
  <w:style w:type="paragraph" w:styleId="795">
    <w:name w:val="toc 6"/>
    <w:basedOn w:val="768"/>
    <w:next w:val="768"/>
    <w:uiPriority w:val="39"/>
    <w:unhideWhenUsed/>
    <w:qFormat/>
    <w:pPr>
      <w:ind w:left="1417" w:right="0" w:firstLine="0"/>
      <w:spacing w:after="57"/>
    </w:pPr>
  </w:style>
  <w:style w:type="paragraph" w:styleId="796">
    <w:name w:val="table of figures"/>
    <w:basedOn w:val="768"/>
    <w:next w:val="768"/>
    <w:uiPriority w:val="0"/>
    <w:qFormat/>
    <w:pPr>
      <w:ind w:left="400" w:hanging="200"/>
      <w:jc w:val="left"/>
      <w:widowControl/>
    </w:pPr>
    <w:rPr>
      <w:rFonts w:ascii="宋体"/>
      <w:bCs/>
      <w:szCs w:val="21"/>
    </w:rPr>
  </w:style>
  <w:style w:type="paragraph" w:styleId="797">
    <w:name w:val="toc 2"/>
    <w:basedOn w:val="768"/>
    <w:next w:val="768"/>
    <w:uiPriority w:val="39"/>
    <w:unhideWhenUsed/>
    <w:qFormat/>
    <w:pPr>
      <w:ind w:left="283" w:right="0" w:firstLine="0"/>
      <w:spacing w:after="57"/>
    </w:pPr>
  </w:style>
  <w:style w:type="paragraph" w:styleId="798">
    <w:name w:val="toc 9"/>
    <w:basedOn w:val="768"/>
    <w:next w:val="768"/>
    <w:uiPriority w:val="39"/>
    <w:unhideWhenUsed/>
    <w:qFormat/>
    <w:pPr>
      <w:ind w:left="2268" w:right="0" w:firstLine="0"/>
      <w:spacing w:after="57"/>
    </w:pPr>
  </w:style>
  <w:style w:type="paragraph" w:styleId="799">
    <w:name w:val="HTML Preformatted"/>
    <w:basedOn w:val="76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0">
    <w:name w:val="Normal (Web)"/>
    <w:basedOn w:val="768"/>
    <w:uiPriority w:val="99"/>
    <w:semiHidden/>
    <w:unhideWhenUsed/>
    <w:qFormat/>
    <w:pPr>
      <w:ind w:left="0" w:right="0"/>
      <w:jc w:val="left"/>
      <w:spacing w:before="0" w:beforeAutospacing="1" w:after="0" w:afterAutospacing="1"/>
    </w:pPr>
    <w:rPr>
      <w:sz w:val="24"/>
      <w:lang w:val="en-US" w:eastAsia="zh-CN" w:bidi="ar"/>
    </w:rPr>
  </w:style>
  <w:style w:type="paragraph" w:styleId="801">
    <w:name w:val="Title"/>
    <w:basedOn w:val="768"/>
    <w:next w:val="768"/>
    <w:link w:val="823"/>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8"/>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HTML Code"/>
    <w:basedOn w:val="778"/>
    <w:uiPriority w:val="99"/>
    <w:semiHidden/>
    <w:unhideWhenUsed/>
    <w:qFormat/>
    <w:rPr>
      <w:rFonts w:ascii="Courier New" w:hAnsi="Courier New"/>
      <w:sz w:val="20"/>
    </w:rPr>
  </w:style>
  <w:style w:type="character" w:styleId="807">
    <w:name w:val="footnote reference"/>
    <w:uiPriority w:val="99"/>
    <w:unhideWhenUsed/>
    <w:qFormat/>
    <w:rPr>
      <w:vertAlign w:val="superscript"/>
    </w:rPr>
  </w:style>
  <w:style w:type="paragraph" w:styleId="808" w:customStyle="1">
    <w:name w:val="段"/>
    <w:next w:val="768"/>
    <w:uiPriority w:val="0"/>
    <w:qFormat/>
    <w:pPr>
      <w:ind w:firstLine="200"/>
      <w:jc w:val="both"/>
    </w:pPr>
    <w:rPr>
      <w:rFonts w:ascii="宋体" w:hAnsi="Times New Roman" w:eastAsia="宋体" w:cs="Times New Roman"/>
      <w:sz w:val="21"/>
      <w:lang w:val="en-US" w:eastAsia="zh-CN" w:bidi="ar-SA"/>
    </w:rPr>
  </w:style>
  <w:style w:type="paragraph" w:styleId="809" w:customStyle="1">
    <w:name w:val="Normal_19"/>
    <w:next w:val="810"/>
    <w:uiPriority w:val="0"/>
    <w:qFormat/>
    <w:pPr>
      <w:jc w:val="both"/>
      <w:widowControl w:val="off"/>
    </w:pPr>
    <w:rPr>
      <w:rFonts w:hint="default" w:ascii="Calibri" w:hAnsi="Calibri" w:eastAsia="宋体" w:cs="Times New Roman"/>
      <w:sz w:val="21"/>
      <w:szCs w:val="22"/>
      <w:lang w:val="en-US" w:eastAsia="zh-CN" w:bidi="ar-SA"/>
    </w:rPr>
  </w:style>
  <w:style w:type="paragraph" w:styleId="810" w:customStyle="1">
    <w:name w:val="图表目录1"/>
    <w:basedOn w:val="768"/>
    <w:next w:val="809"/>
    <w:uiPriority w:val="0"/>
    <w:semiHidden/>
    <w:qFormat/>
    <w:pPr>
      <w:ind w:left="840" w:hanging="420"/>
    </w:pPr>
  </w:style>
  <w:style w:type="paragraph" w:styleId="811" w:customStyle="1">
    <w:name w:val="table of figures"/>
    <w:basedOn w:val="809"/>
    <w:next w:val="809"/>
    <w:uiPriority w:val="0"/>
    <w:qFormat/>
    <w:pPr>
      <w:ind w:left="400" w:hanging="200"/>
      <w:jc w:val="left"/>
      <w:widowControl/>
    </w:pPr>
    <w:rPr>
      <w:rFonts w:ascii="宋体"/>
      <w:bCs/>
      <w:szCs w:val="21"/>
    </w:rPr>
  </w:style>
  <w:style w:type="character" w:styleId="812" w:customStyle="1">
    <w:name w:val="Heading 1 Char"/>
    <w:link w:val="769"/>
    <w:uiPriority w:val="9"/>
    <w:qFormat/>
    <w:rPr>
      <w:rFonts w:ascii="Arial" w:hAnsi="Arial" w:eastAsia="Arial" w:cs="Arial"/>
      <w:sz w:val="40"/>
      <w:szCs w:val="40"/>
    </w:rPr>
  </w:style>
  <w:style w:type="character" w:styleId="813" w:customStyle="1">
    <w:name w:val="Heading 2 Char"/>
    <w:link w:val="770"/>
    <w:uiPriority w:val="9"/>
    <w:qFormat/>
    <w:rPr>
      <w:rFonts w:ascii="Arial" w:hAnsi="Arial" w:eastAsia="Arial" w:cs="Arial"/>
      <w:sz w:val="34"/>
    </w:rPr>
  </w:style>
  <w:style w:type="character" w:styleId="814" w:customStyle="1">
    <w:name w:val="Heading 3 Char"/>
    <w:link w:val="771"/>
    <w:uiPriority w:val="9"/>
    <w:qFormat/>
    <w:rPr>
      <w:rFonts w:ascii="Arial" w:hAnsi="Arial" w:eastAsia="Arial" w:cs="Arial"/>
      <w:sz w:val="30"/>
      <w:szCs w:val="30"/>
    </w:rPr>
  </w:style>
  <w:style w:type="character" w:styleId="815" w:customStyle="1">
    <w:name w:val="Heading 4 Char"/>
    <w:link w:val="772"/>
    <w:uiPriority w:val="9"/>
    <w:qFormat/>
    <w:rPr>
      <w:rFonts w:ascii="Arial" w:hAnsi="Arial" w:eastAsia="Arial" w:cs="Arial"/>
      <w:b/>
      <w:bCs/>
      <w:sz w:val="26"/>
      <w:szCs w:val="26"/>
    </w:rPr>
  </w:style>
  <w:style w:type="character" w:styleId="816" w:customStyle="1">
    <w:name w:val="Heading 5 Char"/>
    <w:link w:val="773"/>
    <w:uiPriority w:val="9"/>
    <w:qFormat/>
    <w:rPr>
      <w:rFonts w:ascii="Arial" w:hAnsi="Arial" w:eastAsia="Arial" w:cs="Arial"/>
      <w:b/>
      <w:bCs/>
      <w:sz w:val="24"/>
      <w:szCs w:val="24"/>
    </w:rPr>
  </w:style>
  <w:style w:type="character" w:styleId="817" w:customStyle="1">
    <w:name w:val="Heading 6 Char"/>
    <w:link w:val="774"/>
    <w:uiPriority w:val="9"/>
    <w:qFormat/>
    <w:rPr>
      <w:rFonts w:ascii="Arial" w:hAnsi="Arial" w:eastAsia="Arial" w:cs="Arial"/>
      <w:b/>
      <w:bCs/>
      <w:sz w:val="22"/>
      <w:szCs w:val="22"/>
    </w:rPr>
  </w:style>
  <w:style w:type="character" w:styleId="818" w:customStyle="1">
    <w:name w:val="Heading 7 Char"/>
    <w:link w:val="775"/>
    <w:uiPriority w:val="9"/>
    <w:qFormat/>
    <w:rPr>
      <w:rFonts w:ascii="Arial" w:hAnsi="Arial" w:eastAsia="Arial" w:cs="Arial"/>
      <w:b/>
      <w:bCs/>
      <w:i/>
      <w:iCs/>
      <w:sz w:val="22"/>
      <w:szCs w:val="22"/>
    </w:rPr>
  </w:style>
  <w:style w:type="character" w:styleId="819" w:customStyle="1">
    <w:name w:val="Heading 8 Char"/>
    <w:link w:val="776"/>
    <w:uiPriority w:val="9"/>
    <w:qFormat/>
    <w:rPr>
      <w:rFonts w:ascii="Arial" w:hAnsi="Arial" w:eastAsia="Arial" w:cs="Arial"/>
      <w:i/>
      <w:iCs/>
      <w:sz w:val="22"/>
      <w:szCs w:val="22"/>
    </w:rPr>
  </w:style>
  <w:style w:type="character" w:styleId="820" w:customStyle="1">
    <w:name w:val="Heading 9 Char"/>
    <w:link w:val="777"/>
    <w:uiPriority w:val="9"/>
    <w:qFormat/>
    <w:rPr>
      <w:rFonts w:ascii="Arial" w:hAnsi="Arial" w:eastAsia="Arial" w:cs="Arial"/>
      <w:i/>
      <w:iCs/>
      <w:sz w:val="21"/>
      <w:szCs w:val="21"/>
    </w:rPr>
  </w:style>
  <w:style w:type="paragraph" w:styleId="821">
    <w:name w:val="List Paragraph"/>
    <w:basedOn w:val="768"/>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1"/>
    <w:uiPriority w:val="10"/>
    <w:qFormat/>
    <w:rPr>
      <w:sz w:val="48"/>
      <w:szCs w:val="48"/>
    </w:rPr>
  </w:style>
  <w:style w:type="character" w:styleId="824" w:customStyle="1">
    <w:name w:val="Subtitle Char"/>
    <w:link w:val="793"/>
    <w:uiPriority w:val="11"/>
    <w:qFormat/>
    <w:rPr>
      <w:sz w:val="24"/>
      <w:szCs w:val="24"/>
    </w:rPr>
  </w:style>
  <w:style w:type="paragraph" w:styleId="825">
    <w:name w:val="Quote"/>
    <w:basedOn w:val="768"/>
    <w:next w:val="768"/>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68"/>
    <w:next w:val="768"/>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0"/>
    <w:uiPriority w:val="99"/>
    <w:qFormat/>
  </w:style>
  <w:style w:type="character" w:styleId="830" w:customStyle="1">
    <w:name w:val="Footer Char"/>
    <w:link w:val="789"/>
    <w:uiPriority w:val="99"/>
    <w:qFormat/>
  </w:style>
  <w:style w:type="character" w:styleId="831" w:customStyle="1">
    <w:name w:val="Caption Char"/>
    <w:link w:val="789"/>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4"/>
    <w:uiPriority w:val="99"/>
    <w:qFormat/>
    <w:rPr>
      <w:sz w:val="18"/>
    </w:rPr>
  </w:style>
  <w:style w:type="character" w:styleId="958" w:customStyle="1">
    <w:name w:val="Endnote Text Char"/>
    <w:link w:val="788"/>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68"/>
    <w:next w:val="768"/>
    <w:link w:val="972"/>
    <w:uiPriority w:val="0"/>
    <w:qFormat/>
    <w:pPr>
      <w:jc w:val="center"/>
      <w:keepNext/>
      <w:outlineLvl w:val="0"/>
    </w:pPr>
    <w:rPr>
      <w:rFonts w:ascii="楷体_GB2312" w:eastAsia="楷体_GB2312"/>
      <w:sz w:val="28"/>
      <w:szCs w:val="28"/>
    </w:rPr>
  </w:style>
  <w:style w:type="paragraph" w:styleId="961" w:customStyle="1">
    <w:name w:val="标题 21"/>
    <w:basedOn w:val="768"/>
    <w:next w:val="768"/>
    <w:link w:val="973"/>
    <w:uiPriority w:val="0"/>
    <w:qFormat/>
    <w:pPr>
      <w:jc w:val="center"/>
      <w:keepLines/>
      <w:keepNext/>
      <w:spacing w:before="260" w:after="260" w:line="416" w:lineRule="auto"/>
      <w:outlineLvl w:val="1"/>
    </w:pPr>
    <w:rPr>
      <w:rFonts w:ascii="Arial" w:hAnsi="Arial" w:eastAsia="幼圆"/>
      <w:b/>
      <w:bCs/>
      <w:sz w:val="44"/>
      <w:szCs w:val="44"/>
    </w:rPr>
  </w:style>
  <w:style w:type="paragraph" w:styleId="962" w:customStyle="1">
    <w:name w:val="标题 31"/>
    <w:basedOn w:val="768"/>
    <w:next w:val="768"/>
    <w:link w:val="974"/>
    <w:uiPriority w:val="0"/>
    <w:qFormat/>
    <w:pPr>
      <w:keepLines/>
      <w:keepNext/>
      <w:spacing w:before="260" w:after="260" w:line="416" w:lineRule="auto"/>
      <w:outlineLvl w:val="2"/>
    </w:pPr>
    <w:rPr>
      <w:b/>
      <w:bCs/>
      <w:sz w:val="32"/>
      <w:szCs w:val="32"/>
    </w:rPr>
  </w:style>
  <w:style w:type="paragraph" w:styleId="963" w:customStyle="1">
    <w:name w:val="标题 41"/>
    <w:basedOn w:val="768"/>
    <w:next w:val="964"/>
    <w:link w:val="975"/>
    <w:uiPriority w:val="0"/>
    <w:qFormat/>
    <w:pPr>
      <w:keepLines/>
      <w:keepNext/>
      <w:spacing w:before="280" w:after="290" w:line="376" w:lineRule="auto"/>
      <w:outlineLvl w:val="3"/>
    </w:pPr>
    <w:rPr>
      <w:rFonts w:ascii="Arial" w:hAnsi="Arial" w:eastAsia="黑体"/>
      <w:b/>
      <w:bCs/>
      <w:sz w:val="28"/>
      <w:szCs w:val="28"/>
    </w:rPr>
  </w:style>
  <w:style w:type="paragraph" w:styleId="964" w:customStyle="1">
    <w:name w:val="正文缩进1"/>
    <w:basedOn w:val="768"/>
    <w:next w:val="768"/>
    <w:link w:val="976"/>
    <w:uiPriority w:val="0"/>
    <w:qFormat/>
    <w:pPr>
      <w:ind w:firstLine="420"/>
    </w:pPr>
    <w:rPr>
      <w:sz w:val="20"/>
    </w:rPr>
  </w:style>
  <w:style w:type="paragraph" w:styleId="965" w:customStyle="1">
    <w:name w:val="标题 51"/>
    <w:basedOn w:val="768"/>
    <w:next w:val="964"/>
    <w:link w:val="977"/>
    <w:uiPriority w:val="0"/>
    <w:qFormat/>
    <w:pPr>
      <w:keepNext/>
      <w:outlineLvl w:val="4"/>
    </w:pPr>
    <w:rPr>
      <w:rFonts w:ascii="宋体"/>
      <w:color w:val="000000"/>
      <w:sz w:val="28"/>
      <w:szCs w:val="28"/>
    </w:rPr>
  </w:style>
  <w:style w:type="paragraph" w:styleId="966" w:customStyle="1">
    <w:name w:val="标题 61"/>
    <w:basedOn w:val="768"/>
    <w:next w:val="768"/>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68"/>
    <w:next w:val="768"/>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68"/>
    <w:next w:val="768"/>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68"/>
    <w:next w:val="768"/>
    <w:link w:val="981"/>
    <w:uiPriority w:val="0"/>
    <w:qFormat/>
    <w:pPr>
      <w:numPr>
        <w:ilvl w:val="8"/>
        <w:numId w:val="1"/>
      </w:numPr>
      <w:keepLines/>
      <w:keepNext/>
      <w:spacing w:before="240" w:after="64" w:line="320" w:lineRule="auto"/>
      <w:outlineLvl w:val="8"/>
    </w:pPr>
    <w:rPr>
      <w:rFonts w:ascii="Arial" w:hAnsi="Arial" w:eastAsia="黑体"/>
      <w:sz w:val="20"/>
    </w:rPr>
  </w:style>
  <w:style w:type="character" w:styleId="970" w:customStyle="1">
    <w:name w:val="默认段落字体11"/>
    <w:link w:val="768"/>
    <w:uiPriority w:val="1"/>
    <w:unhideWhenUsed/>
    <w:qFormat/>
  </w:style>
  <w:style w:type="table" w:styleId="971" w:customStyle="1">
    <w:name w:val="普通表格1"/>
    <w:uiPriority w:val="99"/>
    <w:unhideWhenUsed/>
    <w:qFormat/>
    <w:tblPr/>
  </w:style>
  <w:style w:type="character" w:styleId="972" w:customStyle="1">
    <w:name w:val="标题 1 字符"/>
    <w:link w:val="960"/>
    <w:uiPriority w:val="0"/>
    <w:qFormat/>
    <w:rPr>
      <w:rFonts w:ascii="楷体_GB2312" w:hAnsi="Times New Roman" w:eastAsia="楷体_GB2312" w:cs="Times New Roman"/>
      <w:sz w:val="28"/>
      <w:szCs w:val="28"/>
    </w:rPr>
  </w:style>
  <w:style w:type="character" w:styleId="973" w:customStyle="1">
    <w:name w:val="标题 2 字符"/>
    <w:link w:val="961"/>
    <w:uiPriority w:val="0"/>
    <w:qFormat/>
    <w:rPr>
      <w:rFonts w:ascii="Arial" w:hAnsi="Arial" w:eastAsia="幼圆" w:cs="Arial"/>
      <w:b/>
      <w:bCs/>
      <w:sz w:val="44"/>
      <w:szCs w:val="44"/>
    </w:rPr>
  </w:style>
  <w:style w:type="character" w:styleId="974" w:customStyle="1">
    <w:name w:val="标题 3 字符"/>
    <w:link w:val="962"/>
    <w:uiPriority w:val="0"/>
    <w:qFormat/>
    <w:rPr>
      <w:rFonts w:ascii="Times New Roman" w:hAnsi="Times New Roman" w:eastAsia="宋体" w:cs="Times New Roman"/>
      <w:b/>
      <w:bCs/>
      <w:sz w:val="32"/>
      <w:szCs w:val="32"/>
    </w:rPr>
  </w:style>
  <w:style w:type="character" w:styleId="975" w:customStyle="1">
    <w:name w:val="标题 4 字符"/>
    <w:link w:val="963"/>
    <w:uiPriority w:val="0"/>
    <w:qFormat/>
    <w:rPr>
      <w:rFonts w:ascii="Arial" w:hAnsi="Arial" w:eastAsia="黑体" w:cs="Arial"/>
      <w:b/>
      <w:bCs/>
      <w:sz w:val="28"/>
      <w:szCs w:val="28"/>
    </w:rPr>
  </w:style>
  <w:style w:type="character" w:styleId="976" w:customStyle="1">
    <w:name w:val="正文缩进 字符"/>
    <w:link w:val="964"/>
    <w:uiPriority w:val="0"/>
    <w:qFormat/>
    <w:rPr>
      <w:rFonts w:ascii="Times New Roman" w:hAnsi="Times New Roman" w:eastAsia="宋体" w:cs="Times New Roman"/>
      <w:szCs w:val="21"/>
    </w:rPr>
  </w:style>
  <w:style w:type="character" w:styleId="977" w:customStyle="1">
    <w:name w:val="标题 5 字符"/>
    <w:link w:val="965"/>
    <w:uiPriority w:val="0"/>
    <w:qFormat/>
    <w:rPr>
      <w:rFonts w:ascii="宋体" w:hAnsi="Times New Roman" w:eastAsia="宋体" w:cs="Times New Roman"/>
      <w:color w:val="000000"/>
      <w:sz w:val="28"/>
      <w:szCs w:val="28"/>
    </w:rPr>
  </w:style>
  <w:style w:type="character" w:styleId="978" w:customStyle="1">
    <w:name w:val="标题 6 字符"/>
    <w:link w:val="966"/>
    <w:uiPriority w:val="0"/>
    <w:qFormat/>
    <w:rPr>
      <w:rFonts w:ascii="Arial" w:hAnsi="Arial" w:eastAsia="黑体" w:cs="Times New Roman"/>
      <w:b/>
      <w:bCs/>
      <w:sz w:val="24"/>
      <w:szCs w:val="24"/>
    </w:rPr>
  </w:style>
  <w:style w:type="character" w:styleId="979" w:customStyle="1">
    <w:name w:val="标题 7 字符"/>
    <w:link w:val="967"/>
    <w:uiPriority w:val="0"/>
    <w:qFormat/>
    <w:rPr>
      <w:rFonts w:ascii="Times New Roman" w:hAnsi="Times New Roman" w:eastAsia="宋体" w:cs="Times New Roman"/>
      <w:b/>
      <w:bCs/>
      <w:sz w:val="24"/>
      <w:szCs w:val="24"/>
    </w:rPr>
  </w:style>
  <w:style w:type="character" w:styleId="980" w:customStyle="1">
    <w:name w:val="标题 8 字符"/>
    <w:link w:val="968"/>
    <w:uiPriority w:val="0"/>
    <w:qFormat/>
    <w:rPr>
      <w:rFonts w:ascii="Arial" w:hAnsi="Arial" w:eastAsia="黑体" w:cs="Times New Roman"/>
      <w:sz w:val="24"/>
      <w:szCs w:val="24"/>
    </w:rPr>
  </w:style>
  <w:style w:type="character" w:styleId="981" w:customStyle="1">
    <w:name w:val="标题 9 字符"/>
    <w:link w:val="969"/>
    <w:uiPriority w:val="0"/>
    <w:qFormat/>
    <w:rPr>
      <w:rFonts w:ascii="Arial" w:hAnsi="Arial" w:eastAsia="黑体" w:cs="Times New Roman"/>
      <w:szCs w:val="21"/>
    </w:rPr>
  </w:style>
  <w:style w:type="paragraph" w:styleId="982" w:customStyle="1">
    <w:name w:val="列表 31"/>
    <w:basedOn w:val="768"/>
    <w:uiPriority w:val="0"/>
    <w:qFormat/>
    <w:pPr>
      <w:ind w:left="100" w:hanging="200"/>
    </w:pPr>
  </w:style>
  <w:style w:type="paragraph" w:styleId="983" w:customStyle="1">
    <w:name w:val="目录 71"/>
    <w:basedOn w:val="768"/>
    <w:next w:val="768"/>
    <w:uiPriority w:val="0"/>
    <w:semiHidden/>
    <w:qFormat/>
    <w:pPr>
      <w:ind w:left="1260"/>
      <w:jc w:val="left"/>
    </w:pPr>
  </w:style>
  <w:style w:type="paragraph" w:styleId="984" w:customStyle="1">
    <w:name w:val="文档结构图1"/>
    <w:basedOn w:val="768"/>
    <w:link w:val="985"/>
    <w:uiPriority w:val="0"/>
    <w:semiHidden/>
    <w:qFormat/>
    <w:pPr>
      <w:shd w:val="clear" w:color="auto" w:fill="000080"/>
    </w:pPr>
    <w:rPr>
      <w:sz w:val="20"/>
    </w:rPr>
  </w:style>
  <w:style w:type="character" w:styleId="985" w:customStyle="1">
    <w:name w:val="文档结构图 字符"/>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68"/>
    <w:link w:val="987"/>
    <w:uiPriority w:val="0"/>
    <w:semiHidden/>
    <w:qFormat/>
    <w:pPr>
      <w:jc w:val="left"/>
    </w:pPr>
    <w:rPr>
      <w:sz w:val="20"/>
    </w:rPr>
  </w:style>
  <w:style w:type="character" w:styleId="987" w:customStyle="1">
    <w:name w:val="批注文字 字符"/>
    <w:link w:val="986"/>
    <w:uiPriority w:val="0"/>
    <w:semiHidden/>
    <w:qFormat/>
    <w:rPr>
      <w:rFonts w:ascii="Times New Roman" w:hAnsi="Times New Roman" w:eastAsia="宋体" w:cs="Times New Roman"/>
      <w:szCs w:val="21"/>
    </w:rPr>
  </w:style>
  <w:style w:type="paragraph" w:styleId="988" w:customStyle="1">
    <w:name w:val="正文文本 31"/>
    <w:basedOn w:val="768"/>
    <w:link w:val="989"/>
    <w:uiPriority w:val="0"/>
    <w:qFormat/>
    <w:rPr>
      <w:rFonts w:ascii="仿宋_GB2312" w:hAnsi="Arial" w:eastAsia="仿宋_GB2312"/>
      <w:sz w:val="32"/>
      <w:szCs w:val="32"/>
    </w:rPr>
  </w:style>
  <w:style w:type="character" w:styleId="989" w:customStyle="1">
    <w:name w:val="正文文本 3 字符"/>
    <w:link w:val="988"/>
    <w:uiPriority w:val="0"/>
    <w:qFormat/>
    <w:rPr>
      <w:rFonts w:ascii="仿宋_GB2312" w:hAnsi="Arial" w:eastAsia="仿宋_GB2312" w:cs="Times New Roman"/>
      <w:sz w:val="32"/>
      <w:szCs w:val="32"/>
    </w:rPr>
  </w:style>
  <w:style w:type="paragraph" w:styleId="990" w:customStyle="1">
    <w:name w:val="正文文本1"/>
    <w:basedOn w:val="768"/>
    <w:link w:val="991"/>
    <w:uiPriority w:val="0"/>
    <w:qFormat/>
    <w:rPr>
      <w:rFonts w:ascii="楷体_GB2312" w:hAnsi="Arial" w:eastAsia="楷体_GB2312"/>
      <w:sz w:val="28"/>
      <w:szCs w:val="28"/>
    </w:rPr>
  </w:style>
  <w:style w:type="character" w:styleId="991" w:customStyle="1">
    <w:name w:val="正文文本 字符"/>
    <w:link w:val="990"/>
    <w:uiPriority w:val="0"/>
    <w:qFormat/>
    <w:rPr>
      <w:rFonts w:ascii="楷体_GB2312" w:hAnsi="Arial" w:eastAsia="楷体_GB2312" w:cs="Times New Roman"/>
      <w:sz w:val="28"/>
      <w:szCs w:val="28"/>
    </w:rPr>
  </w:style>
  <w:style w:type="paragraph" w:styleId="992" w:customStyle="1">
    <w:name w:val="正文文本缩进1"/>
    <w:basedOn w:val="768"/>
    <w:next w:val="768"/>
    <w:link w:val="993"/>
    <w:uiPriority w:val="0"/>
    <w:qFormat/>
    <w:pPr>
      <w:ind w:firstLine="645"/>
    </w:pPr>
    <w:rPr>
      <w:rFonts w:ascii="楷体_GB2312" w:eastAsia="楷体_GB2312"/>
      <w:sz w:val="32"/>
      <w:szCs w:val="32"/>
    </w:rPr>
  </w:style>
  <w:style w:type="character" w:styleId="993" w:customStyle="1">
    <w:name w:val="正文文本缩进 字符"/>
    <w:link w:val="992"/>
    <w:uiPriority w:val="0"/>
    <w:qFormat/>
    <w:rPr>
      <w:rFonts w:ascii="楷体_GB2312" w:hAnsi="Times New Roman" w:eastAsia="楷体_GB2312" w:cs="Times New Roman"/>
      <w:sz w:val="32"/>
      <w:szCs w:val="32"/>
    </w:rPr>
  </w:style>
  <w:style w:type="paragraph" w:styleId="994" w:customStyle="1">
    <w:name w:val="列表 21"/>
    <w:basedOn w:val="768"/>
    <w:uiPriority w:val="0"/>
    <w:qFormat/>
    <w:pPr>
      <w:ind w:left="100" w:hanging="200"/>
    </w:pPr>
  </w:style>
  <w:style w:type="paragraph" w:styleId="995" w:customStyle="1">
    <w:name w:val="目录 51"/>
    <w:basedOn w:val="768"/>
    <w:next w:val="768"/>
    <w:uiPriority w:val="0"/>
    <w:semiHidden/>
    <w:qFormat/>
    <w:pPr>
      <w:ind w:left="840"/>
      <w:jc w:val="left"/>
    </w:pPr>
  </w:style>
  <w:style w:type="paragraph" w:styleId="996" w:customStyle="1">
    <w:name w:val="目录 31"/>
    <w:basedOn w:val="768"/>
    <w:next w:val="768"/>
    <w:uiPriority w:val="39"/>
    <w:qFormat/>
    <w:pPr>
      <w:ind w:left="420"/>
      <w:jc w:val="left"/>
    </w:pPr>
    <w:rPr>
      <w:i/>
      <w:iCs/>
      <w:szCs w:val="24"/>
    </w:rPr>
  </w:style>
  <w:style w:type="paragraph" w:styleId="997" w:customStyle="1">
    <w:name w:val="纯文本1"/>
    <w:basedOn w:val="998"/>
    <w:link w:val="1003"/>
    <w:uiPriority w:val="0"/>
    <w:qFormat/>
    <w:rPr>
      <w:rFonts w:ascii="宋体" w:hAnsi="Courier New"/>
      <w:sz w:val="20"/>
    </w:rPr>
  </w:style>
  <w:style w:type="paragraph" w:styleId="998" w:customStyle="1">
    <w:name w:val="正文_16"/>
    <w:next w:val="999"/>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正文首行缩进 2_0"/>
    <w:basedOn w:val="1000"/>
    <w:uiPriority w:val="0"/>
    <w:qFormat/>
    <w:pPr>
      <w:ind w:left="200" w:firstLine="200"/>
      <w:spacing w:after="120"/>
    </w:pPr>
    <w:rPr>
      <w:rFonts w:ascii="Times New Roman" w:hAnsi="Times New Roman"/>
      <w:sz w:val="24"/>
      <w:szCs w:val="24"/>
    </w:rPr>
  </w:style>
  <w:style w:type="paragraph" w:styleId="1000" w:customStyle="1">
    <w:name w:val="正文文本缩进_0"/>
    <w:basedOn w:val="1001"/>
    <w:uiPriority w:val="0"/>
    <w:qFormat/>
    <w:pPr>
      <w:ind w:firstLine="225"/>
    </w:pPr>
    <w:rPr>
      <w:rFonts w:ascii="仿宋_GB2312" w:eastAsia="仿宋_GB2312"/>
      <w:sz w:val="32"/>
    </w:rPr>
  </w:style>
  <w:style w:type="paragraph" w:styleId="1001" w:customStyle="1">
    <w:name w:val="正文_2"/>
    <w:next w:val="100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标题 2_0"/>
    <w:basedOn w:val="1001"/>
    <w:next w:val="1001"/>
    <w:uiPriority w:val="0"/>
    <w:qFormat/>
    <w:pPr>
      <w:keepLines/>
      <w:keepNext/>
      <w:spacing w:before="260" w:after="260" w:line="413" w:lineRule="auto"/>
      <w:outlineLvl w:val="1"/>
    </w:pPr>
    <w:rPr>
      <w:rFonts w:ascii="Arial" w:hAnsi="Arial" w:eastAsia="黑体"/>
      <w:b/>
      <w:sz w:val="32"/>
      <w:szCs w:val="20"/>
    </w:rPr>
  </w:style>
  <w:style w:type="character" w:styleId="1003" w:customStyle="1">
    <w:name w:val="纯文本 字符"/>
    <w:link w:val="997"/>
    <w:uiPriority w:val="0"/>
    <w:qFormat/>
    <w:rPr>
      <w:rFonts w:ascii="宋体" w:hAnsi="Courier New" w:eastAsia="宋体" w:cs="Courier New"/>
      <w:szCs w:val="21"/>
    </w:rPr>
  </w:style>
  <w:style w:type="paragraph" w:styleId="1004" w:customStyle="1">
    <w:name w:val="目录 81"/>
    <w:basedOn w:val="768"/>
    <w:next w:val="768"/>
    <w:uiPriority w:val="0"/>
    <w:semiHidden/>
    <w:qFormat/>
    <w:pPr>
      <w:ind w:left="1470"/>
      <w:jc w:val="left"/>
    </w:pPr>
  </w:style>
  <w:style w:type="paragraph" w:styleId="1005" w:customStyle="1">
    <w:name w:val="日期1"/>
    <w:basedOn w:val="768"/>
    <w:next w:val="768"/>
    <w:link w:val="1006"/>
    <w:uiPriority w:val="0"/>
    <w:qFormat/>
    <w:rPr>
      <w:sz w:val="24"/>
      <w:szCs w:val="24"/>
    </w:rPr>
  </w:style>
  <w:style w:type="character" w:styleId="1006" w:customStyle="1">
    <w:name w:val="日期 字符"/>
    <w:link w:val="1005"/>
    <w:uiPriority w:val="0"/>
    <w:qFormat/>
    <w:rPr>
      <w:rFonts w:ascii="Times New Roman" w:hAnsi="Times New Roman" w:eastAsia="宋体" w:cs="Times New Roman"/>
      <w:sz w:val="24"/>
      <w:szCs w:val="24"/>
    </w:rPr>
  </w:style>
  <w:style w:type="paragraph" w:styleId="1007" w:customStyle="1">
    <w:name w:val="正文文本缩进 21"/>
    <w:basedOn w:val="768"/>
    <w:link w:val="1008"/>
    <w:uiPriority w:val="0"/>
    <w:qFormat/>
    <w:pPr>
      <w:ind w:left="630" w:firstLine="645"/>
    </w:pPr>
    <w:rPr>
      <w:rFonts w:ascii="Arial" w:hAnsi="Arial" w:eastAsia="仿宋_GB2312"/>
      <w:sz w:val="32"/>
      <w:szCs w:val="32"/>
    </w:rPr>
  </w:style>
  <w:style w:type="character" w:styleId="1008" w:customStyle="1">
    <w:name w:val="正文文本缩进 2 字符"/>
    <w:link w:val="1007"/>
    <w:uiPriority w:val="0"/>
    <w:qFormat/>
    <w:rPr>
      <w:rFonts w:ascii="Arial" w:hAnsi="Arial" w:eastAsia="仿宋_GB2312" w:cs="Arial"/>
      <w:sz w:val="32"/>
      <w:szCs w:val="32"/>
    </w:rPr>
  </w:style>
  <w:style w:type="paragraph" w:styleId="1009" w:customStyle="1">
    <w:name w:val="批注框文本1"/>
    <w:basedOn w:val="768"/>
    <w:link w:val="1010"/>
    <w:uiPriority w:val="0"/>
    <w:semiHidden/>
    <w:qFormat/>
    <w:rPr>
      <w:sz w:val="18"/>
      <w:szCs w:val="18"/>
    </w:rPr>
  </w:style>
  <w:style w:type="character" w:styleId="1010" w:customStyle="1">
    <w:name w:val="批注框文本 字符"/>
    <w:link w:val="1009"/>
    <w:uiPriority w:val="0"/>
    <w:semiHidden/>
    <w:qFormat/>
    <w:rPr>
      <w:rFonts w:ascii="Times New Roman" w:hAnsi="Times New Roman" w:eastAsia="宋体" w:cs="Times New Roman"/>
      <w:sz w:val="18"/>
      <w:szCs w:val="18"/>
    </w:rPr>
  </w:style>
  <w:style w:type="paragraph" w:styleId="1011" w:customStyle="1">
    <w:name w:val="页脚1"/>
    <w:basedOn w:val="768"/>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rFonts w:ascii="Times New Roman" w:hAnsi="Times New Roman" w:eastAsia="宋体" w:cs="Times New Roman"/>
      <w:sz w:val="18"/>
      <w:szCs w:val="18"/>
    </w:rPr>
  </w:style>
  <w:style w:type="paragraph" w:styleId="1013" w:customStyle="1">
    <w:name w:val="页眉1"/>
    <w:basedOn w:val="768"/>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0"/>
    <w:qFormat/>
    <w:rPr>
      <w:rFonts w:ascii="Times New Roman" w:hAnsi="Times New Roman" w:eastAsia="宋体" w:cs="Times New Roman"/>
      <w:sz w:val="18"/>
      <w:szCs w:val="18"/>
    </w:rPr>
  </w:style>
  <w:style w:type="paragraph" w:styleId="1015" w:customStyle="1">
    <w:name w:val="目录 11"/>
    <w:basedOn w:val="768"/>
    <w:next w:val="768"/>
    <w:uiPriority w:val="39"/>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68"/>
    <w:next w:val="768"/>
    <w:uiPriority w:val="0"/>
    <w:semiHidden/>
    <w:qFormat/>
    <w:pPr>
      <w:ind w:left="630"/>
      <w:jc w:val="left"/>
    </w:pPr>
  </w:style>
  <w:style w:type="paragraph" w:styleId="1017" w:customStyle="1">
    <w:name w:val="列表1"/>
    <w:basedOn w:val="768"/>
    <w:uiPriority w:val="0"/>
    <w:qFormat/>
    <w:pPr>
      <w:ind w:left="200" w:hanging="200"/>
    </w:pPr>
  </w:style>
  <w:style w:type="paragraph" w:styleId="1018" w:customStyle="1">
    <w:name w:val="目录 61"/>
    <w:basedOn w:val="768"/>
    <w:next w:val="768"/>
    <w:uiPriority w:val="0"/>
    <w:semiHidden/>
    <w:qFormat/>
    <w:pPr>
      <w:ind w:left="1050"/>
      <w:jc w:val="left"/>
    </w:pPr>
  </w:style>
  <w:style w:type="paragraph" w:styleId="1019" w:customStyle="1">
    <w:name w:val="正文文本缩进 31"/>
    <w:basedOn w:val="768"/>
    <w:link w:val="1020"/>
    <w:uiPriority w:val="0"/>
    <w:qFormat/>
    <w:pPr>
      <w:ind w:left="645" w:firstLine="645"/>
    </w:pPr>
    <w:rPr>
      <w:rFonts w:ascii="Arial" w:hAnsi="Arial" w:eastAsia="仿宋_GB2312"/>
      <w:color w:val="ffff00"/>
      <w:sz w:val="32"/>
      <w:szCs w:val="32"/>
    </w:rPr>
  </w:style>
  <w:style w:type="character" w:styleId="1020" w:customStyle="1">
    <w:name w:val="正文文本缩进 3 字符"/>
    <w:link w:val="1019"/>
    <w:uiPriority w:val="0"/>
    <w:qFormat/>
    <w:rPr>
      <w:rFonts w:ascii="Arial" w:hAnsi="Arial" w:eastAsia="仿宋_GB2312" w:cs="Arial"/>
      <w:color w:val="ffff00"/>
      <w:sz w:val="32"/>
      <w:szCs w:val="32"/>
    </w:rPr>
  </w:style>
  <w:style w:type="paragraph" w:styleId="1021" w:customStyle="1">
    <w:name w:val="目录 21"/>
    <w:basedOn w:val="768"/>
    <w:next w:val="768"/>
    <w:uiPriority w:val="39"/>
    <w:qFormat/>
    <w:pPr>
      <w:ind w:left="210"/>
      <w:jc w:val="left"/>
    </w:pPr>
    <w:rPr>
      <w:smallCaps/>
      <w:szCs w:val="24"/>
    </w:rPr>
  </w:style>
  <w:style w:type="paragraph" w:styleId="1022" w:customStyle="1">
    <w:name w:val="目录 91"/>
    <w:basedOn w:val="768"/>
    <w:next w:val="768"/>
    <w:uiPriority w:val="0"/>
    <w:semiHidden/>
    <w:qFormat/>
    <w:pPr>
      <w:ind w:left="1680"/>
      <w:jc w:val="left"/>
    </w:pPr>
  </w:style>
  <w:style w:type="paragraph" w:styleId="1023" w:customStyle="1">
    <w:name w:val="正文文本 21"/>
    <w:basedOn w:val="768"/>
    <w:link w:val="1024"/>
    <w:uiPriority w:val="0"/>
    <w:qFormat/>
    <w:pPr>
      <w:jc w:val="center"/>
      <w:widowControl/>
    </w:pPr>
    <w:rPr>
      <w:rFonts w:ascii="楷体_GB2312" w:eastAsia="楷体_GB2312"/>
      <w:sz w:val="28"/>
      <w:szCs w:val="28"/>
    </w:rPr>
  </w:style>
  <w:style w:type="character" w:styleId="1024" w:customStyle="1">
    <w:name w:val="正文文本 2 字符"/>
    <w:link w:val="1023"/>
    <w:uiPriority w:val="0"/>
    <w:qFormat/>
    <w:rPr>
      <w:rFonts w:ascii="楷体_GB2312" w:hAnsi="Times New Roman" w:eastAsia="楷体_GB2312" w:cs="Times New Roman"/>
      <w:sz w:val="28"/>
      <w:szCs w:val="28"/>
    </w:rPr>
  </w:style>
  <w:style w:type="paragraph" w:styleId="1025"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68"/>
    <w:next w:val="768"/>
    <w:uiPriority w:val="0"/>
    <w:semiHidden/>
    <w:qFormat/>
    <w:pPr>
      <w:spacing w:line="240" w:lineRule="atLeast"/>
    </w:pPr>
    <w:rPr>
      <w:b/>
      <w:bCs/>
    </w:rPr>
  </w:style>
  <w:style w:type="paragraph" w:styleId="1027" w:customStyle="1">
    <w:name w:val="批注主题1"/>
    <w:basedOn w:val="986"/>
    <w:next w:val="986"/>
    <w:link w:val="1028"/>
    <w:uiPriority w:val="0"/>
    <w:semiHidden/>
    <w:qFormat/>
    <w:rPr>
      <w:b/>
      <w:bCs/>
    </w:rPr>
  </w:style>
  <w:style w:type="character" w:styleId="1028" w:customStyle="1">
    <w:name w:val="批注主题 字符"/>
    <w:link w:val="1027"/>
    <w:uiPriority w:val="0"/>
    <w:semiHidden/>
    <w:qFormat/>
    <w:rPr>
      <w:rFonts w:ascii="Times New Roman" w:hAnsi="Times New Roman" w:eastAsia="宋体" w:cs="Times New Roman"/>
      <w:b/>
      <w:bCs/>
      <w:szCs w:val="21"/>
    </w:rPr>
  </w:style>
  <w:style w:type="paragraph" w:styleId="1029" w:customStyle="1">
    <w:name w:val="正文首行缩进1"/>
    <w:basedOn w:val="768"/>
    <w:link w:val="1030"/>
    <w:uiPriority w:val="0"/>
    <w:qFormat/>
    <w:pPr>
      <w:ind w:firstLine="200"/>
      <w:spacing w:line="360" w:lineRule="auto"/>
    </w:pPr>
    <w:rPr>
      <w:rFonts w:ascii="仿宋_GB2312" w:eastAsia="仿宋_GB2312"/>
      <w:sz w:val="30"/>
      <w:szCs w:val="30"/>
    </w:rPr>
  </w:style>
  <w:style w:type="character" w:styleId="1030" w:customStyle="1">
    <w:name w:val="正文文本首行缩进 字符"/>
    <w:link w:val="1029"/>
    <w:uiPriority w:val="0"/>
    <w:qFormat/>
    <w:rPr>
      <w:rFonts w:ascii="仿宋_GB2312" w:hAnsi="Times New Roman" w:eastAsia="仿宋_GB2312" w:cs="Times New Roman"/>
      <w:sz w:val="30"/>
      <w:szCs w:val="30"/>
    </w:rPr>
  </w:style>
  <w:style w:type="paragraph" w:styleId="1031" w:customStyle="1">
    <w:name w:val="正文首行缩进 21"/>
    <w:basedOn w:val="992"/>
    <w:link w:val="1032"/>
    <w:uiPriority w:val="0"/>
    <w:qFormat/>
    <w:pPr>
      <w:ind w:firstLine="420"/>
      <w:spacing w:line="360" w:lineRule="auto"/>
    </w:pPr>
    <w:rPr>
      <w:rFonts w:ascii="宋体" w:hAnsi="宋体" w:eastAsia="宋体"/>
      <w:szCs w:val="20"/>
    </w:rPr>
  </w:style>
  <w:style w:type="character" w:styleId="1032" w:customStyle="1">
    <w:name w:val="正文文本首行缩进 2 字符"/>
    <w:link w:val="1031"/>
    <w:uiPriority w:val="0"/>
    <w:qFormat/>
    <w:rPr>
      <w:rFonts w:ascii="宋体" w:hAnsi="宋体" w:eastAsia="宋体" w:cs="Times New Roman"/>
      <w:sz w:val="32"/>
      <w:szCs w:val="20"/>
    </w:rPr>
  </w:style>
  <w:style w:type="table" w:styleId="1033"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4" w:customStyle="1">
    <w:name w:val="要点1"/>
    <w:link w:val="768"/>
    <w:uiPriority w:val="0"/>
    <w:qFormat/>
    <w:rPr>
      <w:b/>
      <w:bCs/>
    </w:rPr>
  </w:style>
  <w:style w:type="character" w:styleId="1035" w:customStyle="1">
    <w:name w:val="页码1"/>
    <w:link w:val="768"/>
    <w:uiPriority w:val="0"/>
    <w:qFormat/>
  </w:style>
  <w:style w:type="character" w:styleId="1036" w:customStyle="1">
    <w:name w:val="已访问的超链接1"/>
    <w:link w:val="768"/>
    <w:uiPriority w:val="0"/>
    <w:qFormat/>
    <w:rPr>
      <w:color w:val="800080"/>
      <w:u w:val="single"/>
    </w:rPr>
  </w:style>
  <w:style w:type="character" w:styleId="1037" w:customStyle="1">
    <w:name w:val="超链接1"/>
    <w:link w:val="768"/>
    <w:uiPriority w:val="99"/>
    <w:qFormat/>
    <w:rPr>
      <w:color w:val="0000ff"/>
      <w:u w:val="single"/>
    </w:rPr>
  </w:style>
  <w:style w:type="character" w:styleId="1038" w:customStyle="1">
    <w:name w:val="批注引用1"/>
    <w:link w:val="768"/>
    <w:uiPriority w:val="0"/>
    <w:semiHidden/>
    <w:qFormat/>
    <w:rPr>
      <w:sz w:val="21"/>
      <w:szCs w:val="21"/>
    </w:rPr>
  </w:style>
  <w:style w:type="character" w:styleId="1039" w:customStyle="1">
    <w:name w:val="默认段落字体1"/>
    <w:link w:val="768"/>
    <w:uiPriority w:val="1"/>
    <w:unhideWhenUsed/>
    <w:qFormat/>
    <w:rPr>
      <w:sz w:val="21"/>
      <w:szCs w:val="21"/>
      <w:lang w:val="en-US" w:eastAsia="zh-CN" w:bidi="ar-SA"/>
    </w:rPr>
  </w:style>
  <w:style w:type="paragraph" w:styleId="1040" w:customStyle="1">
    <w:name w:val="正文空2字"/>
    <w:basedOn w:val="1041"/>
    <w:uiPriority w:val="99"/>
    <w:qFormat/>
    <w:pPr>
      <w:ind w:firstLine="640"/>
      <w:spacing w:line="560" w:lineRule="exact"/>
      <w:widowControl w:val="off"/>
    </w:pPr>
    <w:rPr>
      <w:rFonts w:ascii="仿宋_GB2312" w:hAnsi="仿宋_GB2312" w:cs="仿宋_GB2312"/>
      <w:lang w:val="zh-TW"/>
    </w:rPr>
  </w:style>
  <w:style w:type="paragraph" w:styleId="1041" w:customStyle="1">
    <w:name w:val="左对齐正文"/>
    <w:uiPriority w:val="99"/>
    <w:qFormat/>
    <w:rPr>
      <w:rFonts w:hint="default" w:ascii="Calibri" w:hAnsi="Calibri" w:eastAsia="仿宋_GB2312" w:cs="Calibri"/>
      <w:sz w:val="32"/>
      <w:szCs w:val="32"/>
      <w:lang w:val="en-US" w:eastAsia="zh-CN" w:bidi="ar-SA"/>
    </w:rPr>
  </w:style>
  <w:style w:type="paragraph" w:styleId="1042" w:customStyle="1">
    <w:name w:val="索引 41"/>
    <w:basedOn w:val="768"/>
    <w:next w:val="768"/>
    <w:uiPriority w:val="0"/>
    <w:semiHidden/>
    <w:qFormat/>
    <w:pPr>
      <w:ind w:left="1260"/>
    </w:pPr>
    <w:rPr>
      <w:rFonts w:ascii="Calibri" w:hAnsi="Calibri" w:eastAsia="Calibri" w:cs="宋体"/>
      <w:sz w:val="20"/>
      <w:lang w:val="zh-CN"/>
    </w:rPr>
  </w:style>
  <w:style w:type="character" w:styleId="1043" w:customStyle="1">
    <w:name w:val="font5 Char"/>
    <w:link w:val="768"/>
    <w:uiPriority w:val="0"/>
    <w:qFormat/>
    <w:rPr>
      <w:rFonts w:ascii="宋体" w:hAnsi="宋体" w:eastAsia="宋体"/>
      <w:sz w:val="28"/>
      <w:szCs w:val="28"/>
      <w:lang w:val="en-US" w:eastAsia="zh-CN" w:bidi="ar-SA"/>
    </w:rPr>
  </w:style>
  <w:style w:type="character" w:styleId="1044" w:customStyle="1">
    <w:name w:val="二级目录 Char"/>
    <w:link w:val="1045"/>
    <w:uiPriority w:val="0"/>
    <w:qFormat/>
    <w:rPr>
      <w:b/>
      <w:sz w:val="30"/>
      <w:szCs w:val="28"/>
      <w:lang w:val="en-US" w:eastAsia="zh-CN" w:bidi="ar-SA"/>
    </w:rPr>
  </w:style>
  <w:style w:type="paragraph" w:styleId="1045" w:customStyle="1">
    <w:name w:val="二级目录"/>
    <w:next w:val="768"/>
    <w:link w:val="10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68"/>
    <w:link w:val="1046"/>
    <w:uiPriority w:val="0"/>
    <w:qFormat/>
    <w:pPr>
      <w:contextualSpacing/>
      <w:ind w:left="720"/>
      <w:jc w:val="left"/>
      <w:widowControl/>
    </w:pPr>
    <w:rPr>
      <w:rFonts w:ascii="Calibri" w:hAnsi="Calibri"/>
      <w:sz w:val="24"/>
      <w:szCs w:val="24"/>
      <w:lang w:eastAsia="en-US" w:bidi="en-US"/>
    </w:rPr>
  </w:style>
  <w:style w:type="paragraph" w:styleId="1048" w:customStyle="1">
    <w:name w:val="Body Text(ch)"/>
    <w:basedOn w:val="768"/>
    <w:next w:val="990"/>
    <w:uiPriority w:val="0"/>
    <w:qFormat/>
    <w:pPr>
      <w:spacing w:after="120"/>
    </w:pPr>
    <w:rPr>
      <w:rFonts w:ascii="宋体" w:hAnsi="Arial"/>
      <w:bCs/>
      <w:iCs/>
      <w:szCs w:val="24"/>
    </w:rPr>
  </w:style>
  <w:style w:type="paragraph" w:styleId="1049"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Char"/>
    <w:basedOn w:val="768"/>
    <w:uiPriority w:val="0"/>
    <w:qFormat/>
    <w:pPr>
      <w:ind w:firstLine="200"/>
      <w:tabs>
        <w:tab w:val="left" w:pos="360" w:leader="none"/>
      </w:tabs>
    </w:pPr>
    <w:rPr>
      <w:sz w:val="28"/>
      <w:szCs w:val="30"/>
    </w:rPr>
  </w:style>
  <w:style w:type="paragraph" w:styleId="1052" w:customStyle="1">
    <w:name w:val=" Char"/>
    <w:basedOn w:val="984"/>
    <w:uiPriority w:val="0"/>
    <w:qFormat/>
    <w:rPr>
      <w:rFonts w:ascii="Tahoma" w:hAnsi="Tahoma"/>
      <w:sz w:val="24"/>
      <w:szCs w:val="24"/>
    </w:rPr>
  </w:style>
  <w:style w:type="paragraph" w:styleId="1053"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68"/>
    <w:uiPriority w:val="0"/>
    <w:qFormat/>
    <w:pPr>
      <w:jc w:val="left"/>
      <w:widowControl/>
    </w:pPr>
    <w:rPr>
      <w:sz w:val="20"/>
      <w:szCs w:val="20"/>
      <w:lang w:val="de-DE" w:eastAsia="de-DE"/>
    </w:rPr>
  </w:style>
  <w:style w:type="paragraph" w:styleId="105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6"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 Char Char Char Char"/>
    <w:basedOn w:val="984"/>
    <w:uiPriority w:val="0"/>
    <w:qFormat/>
    <w:pPr>
      <w:spacing w:line="360" w:lineRule="auto"/>
    </w:pPr>
    <w:rPr>
      <w:rFonts w:ascii="Tahoma" w:hAnsi="Tahoma"/>
      <w:sz w:val="24"/>
      <w:szCs w:val="24"/>
    </w:rPr>
  </w:style>
  <w:style w:type="paragraph" w:styleId="1058" w:customStyle="1">
    <w:name w:val="列表段落"/>
    <w:basedOn w:val="768"/>
    <w:uiPriority w:val="0"/>
    <w:qFormat/>
    <w:pPr>
      <w:contextualSpacing/>
      <w:ind w:left="720"/>
      <w:jc w:val="left"/>
      <w:widowControl/>
    </w:pPr>
    <w:rPr>
      <w:rFonts w:ascii="Calibri" w:hAnsi="Calibri"/>
      <w:sz w:val="24"/>
      <w:szCs w:val="24"/>
      <w:lang w:eastAsia="en-US" w:bidi="en-US"/>
    </w:rPr>
  </w:style>
  <w:style w:type="paragraph" w:styleId="1059" w:customStyle="1">
    <w:name w:val="4"/>
    <w:basedOn w:val="768"/>
    <w:next w:val="1019"/>
    <w:uiPriority w:val="0"/>
    <w:qFormat/>
    <w:pPr>
      <w:ind w:firstLine="420"/>
      <w:spacing w:line="360" w:lineRule="auto"/>
    </w:pPr>
    <w:rPr>
      <w:color w:val="ff0000"/>
      <w:sz w:val="24"/>
      <w:szCs w:val="24"/>
    </w:rPr>
  </w:style>
  <w:style w:type="paragraph" w:styleId="1060"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61" w:customStyle="1">
    <w:name w:val=" Char Char Char Char Char Char Char Char Char Char"/>
    <w:basedOn w:val="768"/>
    <w:uiPriority w:val="0"/>
    <w:qFormat/>
    <w:pPr>
      <w:spacing w:line="360" w:lineRule="auto"/>
    </w:pPr>
    <w:rPr>
      <w:sz w:val="24"/>
      <w:szCs w:val="20"/>
    </w:rPr>
  </w:style>
  <w:style w:type="paragraph" w:styleId="1062" w:customStyle="1">
    <w:name w:val="样式1"/>
    <w:basedOn w:val="768"/>
    <w:uiPriority w:val="0"/>
    <w:qFormat/>
    <w:pPr>
      <w:numPr>
        <w:ilvl w:val="0"/>
        <w:numId w:val="3"/>
      </w:numPr>
    </w:pPr>
    <w:rPr>
      <w:rFonts w:ascii="宋体" w:hAnsi="宋体"/>
    </w:rPr>
  </w:style>
  <w:style w:type="paragraph" w:styleId="1063"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67"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2"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
    <w:basedOn w:val="984"/>
    <w:uiPriority w:val="0"/>
    <w:qFormat/>
    <w:pPr>
      <w:spacing w:line="360" w:lineRule="auto"/>
    </w:pPr>
    <w:rPr>
      <w:rFonts w:ascii="Tahoma" w:hAnsi="Tahoma"/>
      <w:sz w:val="24"/>
      <w:szCs w:val="24"/>
    </w:rPr>
  </w:style>
  <w:style w:type="paragraph" w:styleId="1074" w:customStyle="1">
    <w:name w:val="table_1stline"/>
    <w:basedOn w:val="768"/>
    <w:uiPriority w:val="0"/>
    <w:qFormat/>
    <w:pPr>
      <w:jc w:val="left"/>
      <w:spacing w:before="120"/>
      <w:widowControl/>
    </w:pPr>
    <w:rPr>
      <w:bCs/>
      <w:sz w:val="20"/>
      <w:szCs w:val="20"/>
      <w:lang w:val="de-DE" w:eastAsia="de-DE"/>
    </w:rPr>
  </w:style>
  <w:style w:type="paragraph" w:styleId="1075"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79" w:customStyle="1">
    <w:name w:val="Table Normal"/>
    <w:uiPriority w:val="0"/>
    <w:qFormat/>
    <w:rPr>
      <w:lang w:val="en-US" w:eastAsia="zh-CN" w:bidi="ar-SA"/>
    </w:rPr>
    <w:tbl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3" w:customStyle="1">
    <w:name w:val="正文文本12"/>
    <w:basedOn w:val="768"/>
    <w:uiPriority w:val="1"/>
    <w:qFormat/>
    <w:pPr>
      <w:ind w:left="120"/>
    </w:pPr>
    <w:rPr>
      <w:rFonts w:ascii="宋体" w:hAnsi="宋体" w:eastAsia="宋体" w:cs="宋体"/>
      <w:sz w:val="21"/>
      <w:szCs w:val="21"/>
      <w:lang w:val="zh-CN" w:eastAsia="zh-CN" w:bidi="zh-CN"/>
    </w:rPr>
  </w:style>
  <w:style w:type="paragraph" w:styleId="1084" w:customStyle="1">
    <w:name w:val="正文2"/>
    <w:basedOn w:val="768"/>
    <w:uiPriority w:val="0"/>
    <w:qFormat/>
    <w:pPr>
      <w:ind w:firstLine="510"/>
      <w:spacing w:before="156" w:line="360" w:lineRule="auto"/>
    </w:pPr>
    <w:rPr>
      <w:sz w:val="24"/>
      <w:szCs w:val="20"/>
    </w:rPr>
  </w:style>
  <w:style w:type="paragraph" w:styleId="1085" w:customStyle="1">
    <w:name w:val="首行缩进"/>
    <w:basedOn w:val="768"/>
    <w:uiPriority w:val="0"/>
    <w:qFormat/>
    <w:pPr>
      <w:ind w:firstLine="480"/>
    </w:pPr>
    <w:rPr>
      <w:rFonts w:ascii="Times New Roman" w:hAnsi="Times New Roman" w:cs="Times New Roman"/>
      <w:lang w:val="zh-CN"/>
    </w:rPr>
  </w:style>
  <w:style w:type="paragraph" w:styleId="1086" w:customStyle="1">
    <w:name w:val="Normal_18_0"/>
    <w:uiPriority w:val="0"/>
    <w:qFormat/>
    <w:rPr>
      <w:rFonts w:hint="default" w:ascii="黑体" w:hAnsi="黑体" w:eastAsia="黑体" w:cs="黑体"/>
      <w:b/>
      <w:sz w:val="32"/>
      <w:szCs w:val="24"/>
      <w:lang w:val="en-US" w:eastAsia="zh-CN" w:bidi="ar-SA"/>
    </w:rPr>
  </w:style>
  <w:style w:type="paragraph" w:styleId="1087" w:customStyle="1">
    <w:name w:val="正文_12_0_0_0_0"/>
    <w:basedOn w:val="768"/>
    <w:uiPriority w:val="0"/>
    <w:qFormat/>
    <w:rPr>
      <w:rFonts w:ascii="Times New Roman" w:hAnsi="Times New Roman"/>
      <w:szCs w:val="24"/>
    </w:rPr>
  </w:style>
  <w:style w:type="paragraph" w:styleId="108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Normal_20"/>
    <w:uiPriority w:val="0"/>
    <w:qFormat/>
    <w:rPr>
      <w:rFonts w:hint="default" w:ascii="黑体" w:hAnsi="黑体" w:eastAsia="黑体" w:cs="黑体"/>
      <w:b/>
      <w:sz w:val="32"/>
      <w:szCs w:val="24"/>
      <w:lang w:val="en-US" w:eastAsia="zh-CN" w:bidi="ar-SA"/>
    </w:rPr>
  </w:style>
  <w:style w:type="paragraph" w:styleId="1092" w:customStyle="1">
    <w:name w:val="Body Text First Indent_0"/>
    <w:basedOn w:val="1093"/>
    <w:next w:val="1094"/>
    <w:uiPriority w:val="0"/>
    <w:qFormat/>
    <w:pPr>
      <w:ind w:firstLine="100"/>
      <w:spacing w:after="120" w:line="240" w:lineRule="auto"/>
    </w:pPr>
    <w:rPr>
      <w:rFonts w:ascii="Times New Roman" w:hAnsi="Times New Roman" w:eastAsia="宋体"/>
      <w:sz w:val="21"/>
    </w:rPr>
  </w:style>
  <w:style w:type="paragraph" w:styleId="1093" w:customStyle="1">
    <w:name w:val="Body Text_1"/>
    <w:basedOn w:val="1091"/>
    <w:uiPriority w:val="0"/>
    <w:qFormat/>
    <w:pPr>
      <w:spacing w:line="60" w:lineRule="auto"/>
    </w:pPr>
    <w:rPr>
      <w:rFonts w:ascii="仿宋_GB2312" w:eastAsia="仿宋_GB2312"/>
      <w:sz w:val="32"/>
    </w:rPr>
  </w:style>
  <w:style w:type="paragraph" w:styleId="1094" w:customStyle="1">
    <w:name w:val="Header_0"/>
    <w:basedOn w:val="1095"/>
    <w:uiPriority w:val="0"/>
    <w:qFormat/>
    <w:pPr>
      <w:jc w:val="center"/>
      <w:tabs>
        <w:tab w:val="center" w:pos="4153" w:leader="none"/>
        <w:tab w:val="right" w:pos="8306" w:leader="none"/>
      </w:tabs>
      <w:pBdr>
        <w:bottom w:val="single" w:color="000000" w:sz="6" w:space="1"/>
      </w:pBdr>
    </w:pPr>
    <w:rPr>
      <w:sz w:val="18"/>
      <w:szCs w:val="18"/>
    </w:rPr>
  </w:style>
  <w:style w:type="paragraph" w:styleId="1095" w:customStyle="1">
    <w:name w:val="Normal_20_0"/>
    <w:next w:val="10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Block Text_0"/>
    <w:basedOn w:val="1091"/>
    <w:uiPriority w:val="99"/>
    <w:unhideWhenUsed/>
    <w:qFormat/>
    <w:pPr>
      <w:ind w:left="1440" w:right="1440"/>
      <w:spacing w:after="120"/>
    </w:pPr>
    <w:rPr>
      <w:rFonts w:eastAsia="Times New Roman"/>
    </w:rPr>
  </w:style>
  <w:style w:type="paragraph" w:styleId="109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部分1"/>
    <w:basedOn w:val="768"/>
    <w:uiPriority w:val="0"/>
    <w:qFormat/>
    <w:pPr>
      <w:jc w:val="center"/>
      <w:keepNext/>
      <w:pageBreakBefore/>
      <w:spacing w:line="360" w:lineRule="auto"/>
      <w:tabs>
        <w:tab w:val="left" w:pos="720" w:leader="none"/>
      </w:tabs>
      <w:outlineLvl w:val="0"/>
    </w:pPr>
    <w:rPr>
      <w:rFonts w:eastAsia="黑体"/>
      <w:b/>
      <w:sz w:val="36"/>
      <w:szCs w:val="20"/>
    </w:rPr>
  </w:style>
  <w:style w:type="paragraph" w:styleId="110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6_0_0_0"/>
    <w:basedOn w:val="1001"/>
    <w:uiPriority w:val="0"/>
    <w:qFormat/>
    <w:rPr>
      <w:rFonts w:eastAsia="Times New Roman"/>
      <w:szCs w:val="21"/>
    </w:rPr>
  </w:style>
  <w:style w:type="character" w:styleId="1102" w:customStyle="1">
    <w:name w:val="10_0"/>
    <w:link w:val="768"/>
    <w:uiPriority w:val="0"/>
    <w:qFormat/>
    <w:rPr>
      <w:rFonts w:ascii="Times New Roman" w:hAnsi="Times New Roman" w:eastAsia="Times New Roman" w:cs="Times New Roman"/>
    </w:rPr>
  </w:style>
  <w:style w:type="paragraph" w:styleId="1103" w:customStyle="1">
    <w:name w:val="正文_1_1"/>
    <w:uiPriority w:val="0"/>
    <w:qFormat/>
    <w:pPr>
      <w:jc w:val="both"/>
      <w:widowControl w:val="off"/>
    </w:pPr>
    <w:rPr>
      <w:rFonts w:hint="default" w:ascii="Calibri" w:hAnsi="Calibri" w:eastAsia="宋体" w:cs="Times New Roman"/>
      <w:sz w:val="21"/>
      <w:lang w:bidi="ar-SA"/>
    </w:rPr>
  </w:style>
  <w:style w:type="paragraph" w:styleId="1104" w:customStyle="1">
    <w:name w:val="正文文本_0"/>
    <w:basedOn w:val="1001"/>
    <w:uiPriority w:val="0"/>
    <w:qFormat/>
    <w:pPr>
      <w:spacing w:line="60" w:lineRule="auto"/>
    </w:pPr>
    <w:rPr>
      <w:rFonts w:ascii="仿宋_GB2312" w:eastAsia="仿宋_GB2312"/>
      <w:sz w:val="32"/>
    </w:rPr>
  </w:style>
  <w:style w:type="paragraph" w:styleId="110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06" w:customStyle="1">
    <w:name w:val="List Paragraph1"/>
    <w:basedOn w:val="1001"/>
    <w:uiPriority w:val="0"/>
    <w:qFormat/>
    <w:pPr>
      <w:ind w:firstLine="420"/>
    </w:pPr>
    <w:rPr>
      <w:rFonts w:ascii="Times New Roman" w:hAnsi="Times New Roman"/>
      <w:b/>
      <w:sz w:val="24"/>
      <w:szCs w:val="24"/>
    </w:rPr>
  </w:style>
  <w:style w:type="paragraph" w:styleId="110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缩进_1"/>
    <w:basedOn w:val="1001"/>
    <w:uiPriority w:val="99"/>
    <w:qFormat/>
    <w:pPr>
      <w:ind w:firstLine="420"/>
    </w:pPr>
    <w:rPr>
      <w:rFonts w:ascii="宋体"/>
      <w:color w:val="000000"/>
      <w:sz w:val="24"/>
      <w:szCs w:val="20"/>
    </w:rPr>
  </w:style>
  <w:style w:type="paragraph" w:styleId="1109" w:customStyle="1">
    <w:name w:val="正文_2_1"/>
    <w:next w:val="10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3"/>
    <w:next w:val="1112"/>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首行缩进 2_1"/>
    <w:basedOn w:val="1113"/>
    <w:next w:val="1115"/>
    <w:uiPriority w:val="0"/>
    <w:qFormat/>
    <w:pPr>
      <w:ind w:left="200" w:firstLine="200"/>
      <w:spacing w:after="120"/>
    </w:pPr>
    <w:rPr>
      <w:rFonts w:ascii="Times New Roman"/>
      <w:szCs w:val="24"/>
    </w:rPr>
  </w:style>
  <w:style w:type="paragraph" w:styleId="1113" w:customStyle="1">
    <w:name w:val="正文文本缩进_1"/>
    <w:basedOn w:val="1114"/>
    <w:next w:val="1112"/>
    <w:uiPriority w:val="0"/>
    <w:qFormat/>
    <w:pPr>
      <w:ind w:firstLine="225"/>
    </w:pPr>
    <w:rPr>
      <w:rFonts w:ascii="仿宋_GB2312" w:eastAsia="仿宋_GB2312"/>
      <w:sz w:val="32"/>
    </w:rPr>
  </w:style>
  <w:style w:type="paragraph" w:styleId="1114" w:customStyle="1">
    <w:name w:val="正文_18"/>
    <w:next w:val="1113"/>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xl53_0"/>
    <w:next w:val="111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6" w:customStyle="1">
    <w:name w:val="正文文本_1"/>
    <w:basedOn w:val="998"/>
    <w:link w:val="1117"/>
    <w:uiPriority w:val="0"/>
    <w:qFormat/>
    <w:pPr>
      <w:spacing w:line="60" w:lineRule="auto"/>
    </w:pPr>
    <w:rPr>
      <w:rFonts w:ascii="仿宋_GB2312" w:eastAsia="仿宋_GB2312"/>
      <w:sz w:val="32"/>
    </w:rPr>
  </w:style>
  <w:style w:type="character" w:styleId="1117" w:customStyle="1">
    <w:name w:val="正文文本 Char_0"/>
    <w:link w:val="1116"/>
    <w:uiPriority w:val="0"/>
    <w:qFormat/>
    <w:rPr>
      <w:rFonts w:ascii="仿宋_GB2312" w:hAnsi="Calibri" w:eastAsia="仿宋_GB2312"/>
      <w:sz w:val="32"/>
      <w:szCs w:val="22"/>
    </w:rPr>
  </w:style>
  <w:style w:type="paragraph" w:styleId="1118"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19" w:customStyle="1">
    <w:name w:val="List Paragraph1_0"/>
    <w:basedOn w:val="998"/>
    <w:uiPriority w:val="0"/>
    <w:qFormat/>
    <w:pPr>
      <w:ind w:firstLine="420"/>
    </w:pPr>
    <w:rPr>
      <w:rFonts w:ascii="Times New Roman" w:hAnsi="Times New Roman"/>
      <w:b/>
      <w:sz w:val="24"/>
      <w:szCs w:val="24"/>
    </w:rPr>
  </w:style>
  <w:style w:type="paragraph" w:styleId="1120" w:customStyle="1">
    <w:name w:val="正文_1_1_0"/>
    <w:uiPriority w:val="0"/>
    <w:qFormat/>
    <w:pPr>
      <w:jc w:val="both"/>
      <w:widowControl w:val="off"/>
    </w:pPr>
    <w:rPr>
      <w:rFonts w:hint="default" w:ascii="Calibri" w:hAnsi="Calibri" w:eastAsia="宋体" w:cs="Times New Roman"/>
      <w:sz w:val="21"/>
      <w:lang w:bidi="ar-SA"/>
    </w:rPr>
  </w:style>
  <w:style w:type="paragraph" w:styleId="1121" w:customStyle="1">
    <w:name w:val="正文_16_0_0"/>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1_0"/>
    <w:basedOn w:val="1123"/>
    <w:uiPriority w:val="0"/>
    <w:qFormat/>
    <w:pPr>
      <w:jc w:val="both"/>
      <w:widowControl w:val="off"/>
    </w:pPr>
    <w:rPr>
      <w:szCs w:val="24"/>
      <w:lang w:val="en-US" w:eastAsia="zh-CN" w:bidi="ar-SA"/>
    </w:rPr>
  </w:style>
  <w:style w:type="paragraph" w:styleId="1123" w:customStyle="1">
    <w:name w:val="Normal1"/>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20_1"/>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List Continue 2_0"/>
    <w:basedOn w:val="1124"/>
    <w:next w:val="1126"/>
    <w:uiPriority w:val="0"/>
    <w:qFormat/>
    <w:pPr>
      <w:ind w:left="840"/>
      <w:spacing w:after="120"/>
    </w:pPr>
  </w:style>
  <w:style w:type="paragraph" w:styleId="1126" w:customStyle="1">
    <w:name w:val="TOC 4_0"/>
    <w:basedOn w:val="1124"/>
    <w:next w:val="1124"/>
    <w:uiPriority w:val="0"/>
    <w:qFormat/>
    <w:pPr>
      <w:ind w:left="630"/>
      <w:jc w:val="left"/>
    </w:pPr>
    <w:rPr>
      <w:rFonts w:ascii="Calibri" w:hAnsi="Calibri" w:cs="Calibri"/>
      <w:sz w:val="18"/>
      <w:szCs w:val="18"/>
    </w:rPr>
  </w:style>
  <w:style w:type="paragraph" w:styleId="11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20_0_0"/>
    <w:uiPriority w:val="0"/>
    <w:qFormat/>
    <w:rPr>
      <w:rFonts w:hint="default" w:ascii="黑体" w:hAnsi="黑体" w:eastAsia="黑体" w:cs="Times New Roman"/>
      <w:b/>
      <w:sz w:val="32"/>
      <w:szCs w:val="24"/>
      <w:lang w:val="en-US" w:eastAsia="zh-CN" w:bidi="ar-SA"/>
    </w:rPr>
  </w:style>
  <w:style w:type="paragraph" w:styleId="1129" w:customStyle="1">
    <w:name w:val="Normal_13"/>
    <w:uiPriority w:val="0"/>
    <w:qFormat/>
    <w:rPr>
      <w:rFonts w:hint="default" w:ascii="黑体" w:hAnsi="黑体" w:eastAsia="黑体" w:cs="Times New Roman"/>
      <w:b/>
      <w:sz w:val="32"/>
      <w:szCs w:val="24"/>
      <w:lang w:val="en-US" w:eastAsia="zh-CN" w:bidi="ar-SA"/>
    </w:rPr>
  </w:style>
  <w:style w:type="paragraph" w:styleId="1130"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31" w:customStyle="1">
    <w:name w:val="Table Text"/>
    <w:basedOn w:val="768"/>
    <w:uiPriority w:val="0"/>
    <w:semiHidden/>
    <w:qFormat/>
    <w:rPr>
      <w:rFonts w:ascii="宋体" w:hAnsi="宋体" w:cs="宋体"/>
      <w:sz w:val="45"/>
      <w:szCs w:val="45"/>
    </w:rPr>
  </w:style>
  <w:style w:type="paragraph" w:styleId="1132" w:customStyle="1">
    <w:name w:val="表格内容"/>
    <w:basedOn w:val="768"/>
    <w:uiPriority w:val="1"/>
    <w:qFormat/>
    <w:pPr>
      <w:ind w:firstLine="0"/>
      <w:jc w:val="center"/>
      <w:spacing w:line="240" w:lineRule="auto"/>
    </w:pPr>
    <w:rPr>
      <w:sz w:val="21"/>
    </w:rPr>
  </w:style>
  <w:style w:type="paragraph" w:styleId="1133" w:customStyle="1">
    <w:name w:val="正文_16_0"/>
    <w:basedOn w:val="1114"/>
    <w:uiPriority w:val="0"/>
    <w:qFormat/>
    <w:rPr>
      <w:rFonts w:ascii="Times New Roman" w:hAnsi="Times New Roman"/>
    </w:rPr>
  </w:style>
  <w:style w:type="character" w:styleId="1134" w:customStyle="1">
    <w:name w:val="标题 1 Char"/>
    <w:link w:val="769"/>
    <w:uiPriority w:val="0"/>
    <w:qFormat/>
    <w:rPr>
      <w:rFonts w:ascii="楷体_GB2312" w:hAnsi="Times New Roman" w:eastAsia="楷体_GB2312" w:cs="Times New Roman"/>
      <w:sz w:val="28"/>
      <w:szCs w:val="28"/>
    </w:rPr>
  </w:style>
  <w:style w:type="paragraph" w:styleId="1135" w:customStyle="1">
    <w:name w:val="Body Text First Indent 2_0"/>
    <w:basedOn w:val="1136"/>
    <w:uiPriority w:val="0"/>
    <w:qFormat/>
    <w:pPr>
      <w:ind w:left="200" w:firstLine="200"/>
      <w:spacing w:after="120"/>
    </w:pPr>
    <w:rPr>
      <w:rFonts w:ascii="Times New Roman" w:hAnsi="Times New Roman" w:eastAsia="Times New Roman"/>
      <w:sz w:val="24"/>
      <w:szCs w:val="24"/>
    </w:rPr>
  </w:style>
  <w:style w:type="paragraph" w:styleId="1136" w:customStyle="1">
    <w:name w:val="Body Text Indent_1"/>
    <w:basedOn w:val="1137"/>
    <w:next w:val="1138"/>
    <w:uiPriority w:val="0"/>
    <w:qFormat/>
    <w:pPr>
      <w:ind w:firstLine="225"/>
    </w:pPr>
    <w:rPr>
      <w:rFonts w:ascii="仿宋_GB2312" w:eastAsia="仿宋_GB2312"/>
      <w:sz w:val="32"/>
    </w:rPr>
  </w:style>
  <w:style w:type="paragraph" w:styleId="1137" w:customStyle="1">
    <w:name w:val="Normal_19_0"/>
    <w:next w:val="1135"/>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Envelope Return_0"/>
    <w:basedOn w:val="1137"/>
    <w:uiPriority w:val="0"/>
    <w:qFormat/>
    <w:rPr>
      <w:rFonts w:ascii="Arial" w:hAnsi="Arial" w:eastAsia="楷体_GB2312"/>
      <w:sz w:val="26"/>
      <w:szCs w:val="20"/>
    </w:rPr>
  </w:style>
  <w:style w:type="paragraph" w:styleId="1139" w:customStyle="1">
    <w:name w:val="Body Text Indent_0"/>
    <w:basedOn w:val="1091"/>
    <w:next w:val="1091"/>
    <w:uiPriority w:val="0"/>
    <w:qFormat/>
    <w:pPr>
      <w:ind w:firstLine="225"/>
    </w:pPr>
    <w:rPr>
      <w:rFonts w:ascii="仿宋_GB2312" w:eastAsia="仿宋_GB2312"/>
      <w:sz w:val="32"/>
    </w:rPr>
  </w:style>
  <w:style w:type="paragraph" w:styleId="1140" w:customStyle="1">
    <w:name w:val="特点_0"/>
    <w:basedOn w:val="1091"/>
    <w:next w:val="1091"/>
    <w:uiPriority w:val="0"/>
    <w:qFormat/>
    <w:pPr>
      <w:jc w:val="center"/>
      <w:spacing w:line="360" w:lineRule="auto"/>
    </w:pPr>
    <w:rPr>
      <w:rFonts w:ascii="Arial" w:hAnsi="Arial" w:eastAsia="Times New Roman"/>
      <w:sz w:val="24"/>
      <w:szCs w:val="20"/>
    </w:rPr>
  </w:style>
  <w:style w:type="paragraph" w:styleId="1141" w:customStyle="1">
    <w:name w:val="Body Text"/>
    <w:basedOn w:val="809"/>
    <w:uiPriority w:val="0"/>
    <w:qFormat/>
    <w:pPr>
      <w:spacing w:line="60" w:lineRule="auto"/>
    </w:pPr>
    <w:rPr>
      <w:rFonts w:ascii="仿宋_GB2312" w:eastAsia="仿宋_GB2312"/>
      <w:sz w:val="32"/>
    </w:rPr>
  </w:style>
  <w:style w:type="table" w:styleId="1142"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43" w:customStyle="1">
    <w:name w:val="NormalCharacter"/>
    <w:uiPriority w:val="0"/>
    <w:qFormat/>
    <w:rPr>
      <w:rFonts w:ascii="Times New Roman" w:hAnsi="Times New Roman" w:eastAsia="宋体" w:cs="Times New Roman"/>
      <w:sz w:val="21"/>
      <w:szCs w:val="22"/>
      <w:lang w:val="en-US" w:eastAsia="zh-CN" w:bidi="ar-SA"/>
    </w:rPr>
  </w:style>
  <w:style w:type="character" w:styleId="1144" w:customStyle="1">
    <w:name w:val="font81"/>
    <w:basedOn w:val="778"/>
    <w:uiPriority w:val="0"/>
    <w:qFormat/>
    <w:rPr>
      <w:rFonts w:hint="eastAsia" w:ascii="Microsoft JhengHei" w:hAnsi="Microsoft JhengHei" w:eastAsia="Microsoft JhengHei" w:cs="Microsoft JhengHei"/>
      <w:b/>
      <w:bCs/>
      <w:color w:val="000000"/>
      <w:sz w:val="28"/>
      <w:szCs w:val="28"/>
      <w:u w:val="none"/>
    </w:rPr>
  </w:style>
  <w:style w:type="character" w:styleId="1145" w:customStyle="1">
    <w:name w:val="font91"/>
    <w:basedOn w:val="778"/>
    <w:uiPriority w:val="0"/>
    <w:qFormat/>
    <w:rPr>
      <w:rFonts w:hint="eastAsia" w:ascii="Microsoft JhengHei" w:hAnsi="Microsoft JhengHei" w:eastAsia="Microsoft JhengHei" w:cs="Microsoft JhengHei"/>
      <w:b/>
      <w:bCs/>
      <w:color w:val="000000"/>
      <w:sz w:val="22"/>
      <w:szCs w:val="22"/>
      <w:u w:val="none"/>
    </w:rPr>
  </w:style>
  <w:style w:type="character" w:styleId="1146" w:customStyle="1">
    <w:name w:val="font41"/>
    <w:basedOn w:val="778"/>
    <w:uiPriority w:val="0"/>
    <w:qFormat/>
    <w:rPr>
      <w:rFonts w:hint="eastAsia" w:ascii="宋体" w:hAnsi="宋体" w:eastAsia="宋体" w:cs="宋体"/>
      <w:color w:val="000000"/>
      <w:sz w:val="22"/>
      <w:szCs w:val="22"/>
      <w:u w:val="none"/>
    </w:rPr>
  </w:style>
  <w:style w:type="character" w:styleId="1147" w:customStyle="1">
    <w:name w:val="font61"/>
    <w:basedOn w:val="778"/>
    <w:uiPriority w:val="0"/>
    <w:qFormat/>
    <w:rPr>
      <w:rFonts w:hint="eastAsia" w:ascii="宋体" w:hAnsi="宋体" w:eastAsia="宋体" w:cs="宋体"/>
      <w:color w:val="000000"/>
      <w:sz w:val="24"/>
      <w:szCs w:val="24"/>
      <w:u w:val="none"/>
    </w:rPr>
  </w:style>
  <w:style w:type="character" w:styleId="1148" w:customStyle="1">
    <w:name w:val="font21"/>
    <w:basedOn w:val="778"/>
    <w:uiPriority w:val="0"/>
    <w:qFormat/>
    <w:rPr>
      <w:rFonts w:hint="eastAsia" w:ascii="宋体" w:hAnsi="宋体" w:eastAsia="宋体" w:cs="宋体"/>
      <w:b/>
      <w:bCs/>
      <w:color w:val="000000"/>
      <w:sz w:val="22"/>
      <w:szCs w:val="22"/>
      <w:u w:val="none"/>
    </w:rPr>
  </w:style>
  <w:style w:type="numbering" w:styleId="31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019EB-4666-41A0-9462-190F2501368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马越野</cp:lastModifiedBy>
  <cp:revision>9</cp:revision>
  <dcterms:created xsi:type="dcterms:W3CDTF">2024-02-21T09:15:00Z</dcterms:created>
  <dcterms:modified xsi:type="dcterms:W3CDTF">2026-06-12T02:10:00Z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1205162742534F678AFCE93746CE6485_13</vt:lpwstr>
  </property>
  <property fmtid="{D5CDD505-2E9C-101B-9397-08002B2CF9AE}" pid="4" name="KSOTemplateDocerSaveRecord">
    <vt:lpwstr>eyJoZGlkIjoiNTE1NjI4ODJhZGNhMDkzZTA5M2FmMGJkM2RjNzM2YjEiLCJ1c2VySWQiOiI0NDc3MTk3OTAifQ==</vt:lpwstr>
  </property>
</Properties>
</file>