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8"/>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8"/>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8"/>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08"/>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08"/>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宿迁幼儿师范高等专科学校泽园一、二宿舍学生公寓床采购项目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JSZC-321300-JSQZ-G2026-0010</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08"/>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08"/>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采购人：宿迁幼儿师范高等专科学校</w:t>
      </w:r>
      <w:r/>
    </w:p>
    <w:p>
      <w:pPr>
        <w:pStyle w:val="908"/>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采购代理机构：江苏庆洲工程咨询有限公司</w:t>
      </w:r>
      <w:r/>
    </w:p>
    <w:p>
      <w:pPr>
        <w:pStyle w:val="908"/>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2026年5月22日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905"/>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905"/>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905"/>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905"/>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905"/>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905"/>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897"/>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宿迁幼儿师范高等专科学校</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江苏庆洲工程咨询有限公司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宿迁幼儿师范高等专科学校泽园一、二宿舍学生公寓床采购项目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JSZC-321300-JSQZ-G2026-0010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宿迁幼儿师范高等专科学校泽园一、二宿舍学生公寓床采购项目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15</w:t>
      </w:r>
      <w:r>
        <w:rPr>
          <w:rFonts w:hint="eastAsia" w:ascii="宋体" w:hAnsi="宋体" w:eastAsia="宋体" w:cs="宋体"/>
          <w:b/>
          <w:bCs/>
          <w:color w:val="auto"/>
          <w:sz w:val="24"/>
          <w:szCs w:val="24"/>
          <w:highlight w:val="none"/>
          <w:u w:val="single"/>
        </w:rPr>
        <w:t xml:space="preserve">日 10点00分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02"/>
      <w:r/>
      <w:bookmarkStart w:id="2" w:name="_Toc35393790"/>
      <w:r/>
      <w:bookmarkStart w:id="3" w:name="_Toc38985263"/>
      <w:r/>
      <w:bookmarkStart w:id="4" w:name="_Toc28359079"/>
      <w:r/>
      <w:bookmarkStart w:id="5" w:name="_Toc35393621"/>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JSZC-321300-JSQZ-G2026-0010</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宿迁幼儿师范高等专科学校泽园一、二宿舍学生公寓床采购项目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166.5</w:t>
      </w:r>
      <w:r>
        <w:rPr>
          <w:rFonts w:hint="eastAsia" w:ascii="宋体" w:hAnsi="宋体" w:eastAsia="宋体" w:cs="宋体"/>
          <w:color w:val="auto"/>
          <w:sz w:val="24"/>
          <w:szCs w:val="24"/>
          <w:highlight w:val="none"/>
        </w:rPr>
        <w:t xml:space="preserve">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万元，超过最高限价的作无效标处理。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宿迁幼儿师范高等专科学校泽园一、二宿舍学生公寓床采购项目</w:t>
      </w:r>
      <w:r>
        <w:rPr>
          <w:rFonts w:hint="eastAsia" w:ascii="宋体" w:hAnsi="宋体" w:eastAsia="宋体" w:cs="宋体"/>
          <w:color w:val="auto"/>
          <w:sz w:val="24"/>
          <w:szCs w:val="24"/>
          <w:highlight w:val="none"/>
        </w:rPr>
        <w:t xml:space="preserve">，</w:t>
      </w:r>
      <w:r>
        <w:rPr>
          <w:rFonts w:hint="eastAsia" w:ascii="仿宋_GB2312" w:eastAsia="宋体" w:cs="Times New Roman"/>
          <w:color w:val="000000"/>
          <w:sz w:val="24"/>
          <w:highlight w:val="none"/>
        </w:rPr>
        <w:t xml:space="preserve">包括家具制作、运输、装卸、安装、调试及售后三包服务等</w:t>
      </w:r>
      <w:r>
        <w:rPr>
          <w:rFonts w:hint="eastAsia" w:ascii="仿宋_GB2312" w:eastAsia="宋体" w:cs="Times New Roman"/>
          <w:color w:val="000000"/>
          <w:sz w:val="24"/>
          <w:highlight w:val="none"/>
          <w:lang w:eastAsia="zh-CN"/>
        </w:rPr>
        <w:t xml:space="preserve">，</w:t>
      </w:r>
      <w:r>
        <w:rPr>
          <w:rFonts w:hint="eastAsia" w:ascii="宋体" w:hAnsi="宋体" w:eastAsia="宋体" w:cs="宋体"/>
          <w:color w:val="auto"/>
          <w:sz w:val="24"/>
          <w:szCs w:val="24"/>
          <w:highlight w:val="none"/>
        </w:rPr>
        <w:t xml:space="preserve">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供货期50天，售后服务期3年（自验收合格之日起计算）（供货及安装时间待采购单位通知）</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28359080"/>
      <w:r/>
      <w:bookmarkStart w:id="8" w:name="_Toc28359003"/>
      <w:r/>
      <w:bookmarkStart w:id="9" w:name="_Toc35393791"/>
      <w:r/>
      <w:bookmarkStart w:id="10" w:name="_Toc35393622"/>
      <w:r/>
      <w:bookmarkStart w:id="11" w:name="_Toc38985264"/>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04"/>
      <w:r/>
      <w:bookmarkStart w:id="13" w:name="_Toc38985265"/>
      <w:r/>
      <w:bookmarkStart w:id="14" w:name="_Toc35393623"/>
      <w:r/>
      <w:bookmarkStart w:id="15" w:name="_Toc35393792"/>
      <w:r/>
      <w:bookmarkStart w:id="16"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8985266"/>
      <w:r/>
      <w:bookmarkStart w:id="20" w:name="_Toc35393624"/>
      <w:r/>
      <w:bookmarkStart w:id="21" w:name="_Toc35393793"/>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10点00分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35393794"/>
      <w:r/>
      <w:bookmarkStart w:id="24" w:name="_Toc35393625"/>
      <w:r/>
      <w:bookmarkStart w:id="25" w:name="_Toc28359007"/>
      <w:r/>
      <w:bookmarkStart w:id="26" w:name="_Toc28359084"/>
      <w:r/>
      <w:bookmarkStart w:id="27" w:name="_Toc3898526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5393626"/>
      <w:r/>
      <w:bookmarkStart w:id="29" w:name="_Toc38985268"/>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28359008"/>
      <w:r/>
      <w:bookmarkStart w:id="33" w:name="_Toc35393796"/>
      <w:r/>
      <w:bookmarkStart w:id="34" w:name="_Toc28359085"/>
      <w:r/>
      <w:bookmarkStart w:id="35" w:name="_Toc38985269"/>
      <w:r/>
      <w:bookmarkStart w:id="36" w:name="_Toc35393627"/>
      <w:r>
        <w:rPr>
          <w:rFonts w:hint="eastAsia" w:ascii="宋体" w:hAnsi="宋体" w:eastAsia="宋体" w:cs="宋体"/>
          <w:bCs/>
          <w:color w:val="auto"/>
          <w:sz w:val="24"/>
          <w:szCs w:val="24"/>
          <w:highlight w:val="none"/>
        </w:rPr>
        <w:t xml:space="preserve">1.财政部门监督电话：0527-</w:t>
      </w:r>
      <w:r>
        <w:rPr>
          <w:rFonts w:hint="eastAsia" w:ascii="宋体" w:hAnsi="宋体" w:eastAsia="宋体" w:cs="宋体"/>
          <w:bCs/>
          <w:color w:val="auto"/>
          <w:sz w:val="24"/>
          <w:szCs w:val="24"/>
          <w:highlight w:val="none"/>
          <w:lang w:val="en-US" w:eastAsia="zh-CN"/>
        </w:rPr>
        <w:t xml:space="preserve">84363063</w:t>
      </w:r>
      <w:r>
        <w:rPr>
          <w:rFonts w:hint="eastAsia" w:ascii="宋体" w:hAnsi="宋体" w:eastAsia="宋体" w:cs="宋体"/>
          <w:bCs/>
          <w:color w:val="auto"/>
          <w:sz w:val="24"/>
          <w:szCs w:val="24"/>
          <w:highlight w:val="none"/>
        </w:rPr>
        <w:t xml:space="preserve">。</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5.现场勘察及答疑：本项目不组织集中勘察及答疑，投标人如对采购需求有疑问，请咨询采购单位联系人。</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宿迁幼儿师范高等专科学校</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宿迁市湖滨新区学成路1号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王艳</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0527-80985609</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87"/>
      <w:r/>
      <w:bookmarkStart w:id="40"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江苏庆洲工程咨询有限公司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宿迁市宿城区洞庭湖路87号203室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李朝</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0527-81180020/18051193718</w:t>
      </w:r>
      <w:r/>
    </w:p>
    <w:p>
      <w:pPr>
        <w:pStyle w:val="89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97"/>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120614213"/>
      <w:r/>
      <w:bookmarkStart w:id="43" w:name="_Toc16938518"/>
      <w:r/>
      <w:bookmarkStart w:id="44" w:name="_Toc513029202"/>
      <w:r/>
      <w:bookmarkStart w:id="45" w:name="_Toc20823274"/>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p>
      <w:pPr>
        <w:pStyle w:val="898"/>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46" w:name="_Toc16938519"/>
      <w:r/>
      <w:bookmarkStart w:id="47" w:name="_Toc513029203"/>
      <w:r/>
      <w:bookmarkStart w:id="48" w:name="_Toc20823275"/>
      <w:r/>
      <w:bookmarkStart w:id="49" w:name="_Toc120614214"/>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0" w:name="_Hlt16619475"/>
      <w:r/>
      <w:bookmarkEnd w:id="50"/>
      <w:r/>
      <w:bookmarkStart w:id="51" w:name="_Toc458694821"/>
      <w:r/>
      <w:bookmarkStart w:id="52" w:name="_Toc513029204"/>
      <w:r/>
      <w:bookmarkStart w:id="53" w:name="_Toc20823276"/>
      <w:r/>
      <w:bookmarkStart w:id="54" w:name="_Toc16938520"/>
      <w:r>
        <w:rPr>
          <w:rFonts w:hint="eastAsia" w:ascii="宋体" w:hAnsi="宋体" w:eastAsia="宋体" w:cs="宋体"/>
          <w:b w:val="0"/>
          <w:bCs w:val="0"/>
          <w:color w:val="auto"/>
          <w:sz w:val="24"/>
          <w:szCs w:val="24"/>
          <w:highlight w:val="none"/>
          <w:lang w:eastAsia="zh-CN"/>
        </w:rPr>
        <w:t xml:space="preserve">1.</w:t>
      </w:r>
      <w:bookmarkEnd w:id="51"/>
      <w:r>
        <w:rPr>
          <w:rFonts w:hint="eastAsia" w:ascii="宋体" w:hAnsi="宋体" w:eastAsia="宋体" w:cs="宋体"/>
          <w:b w:val="0"/>
          <w:bCs w:val="0"/>
          <w:color w:val="auto"/>
          <w:sz w:val="24"/>
          <w:szCs w:val="24"/>
          <w:highlight w:val="none"/>
        </w:rPr>
        <w:t xml:space="preserve">招标方式</w:t>
      </w:r>
      <w:bookmarkEnd w:id="52"/>
      <w:r/>
      <w:bookmarkEnd w:id="53"/>
      <w:r/>
      <w:bookmarkEnd w:id="5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5" w:name="_Toc513029205"/>
      <w:r/>
      <w:bookmarkStart w:id="56" w:name="_Toc20823277"/>
      <w:r/>
      <w:bookmarkStart w:id="57"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55"/>
      <w:r/>
      <w:bookmarkEnd w:id="56"/>
      <w:r/>
      <w:bookmarkEnd w:id="5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8" w:name="_Toc20823278"/>
      <w:r/>
      <w:bookmarkStart w:id="59" w:name="_Toc16938522"/>
      <w:r/>
      <w:bookmarkStart w:id="60" w:name="_Toc513029206"/>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58"/>
      <w:r/>
      <w:bookmarkEnd w:id="59"/>
      <w:r/>
      <w:bookmarkEnd w:id="6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1" w:name="_Toc462564067"/>
      <w:r/>
      <w:bookmarkStart w:id="62" w:name="_Toc513029207"/>
      <w:r/>
      <w:bookmarkStart w:id="63" w:name="_Toc16938523"/>
      <w:r/>
      <w:bookmarkStart w:id="64" w:name="_Toc20823279"/>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61"/>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 江苏庆洲工程咨询有限公司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09"/>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zh-CN"/>
        </w:rPr>
        <w:t xml:space="preserve">参照国家计委计价格〔2002〕1980号收费标准*7</w:t>
      </w:r>
      <w:r>
        <w:rPr>
          <w:rFonts w:hint="eastAsia" w:ascii="宋体" w:hAnsi="宋体" w:eastAsia="宋体" w:cs="宋体"/>
          <w:color w:val="auto"/>
          <w:sz w:val="24"/>
          <w:szCs w:val="24"/>
          <w:highlight w:val="none"/>
          <w:u w:val="single"/>
          <w:lang w:val="en-US" w:eastAsia="zh-CN"/>
        </w:rPr>
        <w:t xml:space="preserve">9.8</w:t>
      </w:r>
      <w:r>
        <w:rPr>
          <w:rFonts w:hint="eastAsia" w:ascii="宋体" w:hAnsi="宋体" w:eastAsia="宋体" w:cs="宋体"/>
          <w:color w:val="auto"/>
          <w:sz w:val="24"/>
          <w:szCs w:val="24"/>
          <w:highlight w:val="none"/>
          <w:u w:val="single"/>
          <w:lang w:val="zh-CN"/>
        </w:rPr>
        <w:t xml:space="preserve">%支付，支付方式可以通过转账或数字人民币等方式。</w:t>
      </w:r>
      <w:r/>
    </w:p>
    <w:p>
      <w:pPr>
        <w:pStyle w:val="899"/>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98"/>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65" w:name="_Toc16938525"/>
      <w:r/>
      <w:bookmarkStart w:id="66" w:name="_Toc120614215"/>
      <w:r/>
      <w:bookmarkStart w:id="67" w:name="_Toc513029209"/>
      <w:r/>
      <w:bookmarkStart w:id="68" w:name="_Toc20823281"/>
      <w:r>
        <w:rPr>
          <w:rFonts w:hint="eastAsia" w:ascii="宋体" w:hAnsi="宋体" w:eastAsia="宋体" w:cs="宋体"/>
          <w:b/>
          <w:bCs/>
          <w:color w:val="auto"/>
          <w:sz w:val="24"/>
          <w:szCs w:val="24"/>
          <w:highlight w:val="none"/>
        </w:rPr>
        <w:t xml:space="preserve">二、招标文件</w:t>
      </w:r>
      <w:bookmarkEnd w:id="65"/>
      <w:r/>
      <w:bookmarkEnd w:id="66"/>
      <w:r/>
      <w:bookmarkEnd w:id="67"/>
      <w:r/>
      <w:bookmarkEnd w:id="68"/>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9" w:name="_Toc513029210"/>
      <w:r/>
      <w:bookmarkStart w:id="70" w:name="_Toc16938526"/>
      <w:r/>
      <w:bookmarkStart w:id="71" w:name="_Toc20823282"/>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69"/>
      <w:r/>
      <w:bookmarkEnd w:id="70"/>
      <w:r/>
      <w:bookmarkEnd w:id="7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2" w:name="_Toc462564070"/>
      <w:r/>
      <w:bookmarkStart w:id="73" w:name="_Toc20823283"/>
      <w:r/>
      <w:bookmarkStart w:id="74" w:name="_Toc513029211"/>
      <w:r/>
      <w:bookmarkStart w:id="75" w:name="_Toc16938527"/>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72"/>
      <w:r/>
      <w:bookmarkEnd w:id="73"/>
      <w:r/>
      <w:bookmarkEnd w:id="74"/>
      <w:r/>
      <w:bookmarkEnd w:id="7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89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6" w:name="_Toc462564071"/>
      <w:r/>
      <w:bookmarkStart w:id="77" w:name="_Toc513029212"/>
      <w:r/>
      <w:bookmarkStart w:id="78" w:name="_Toc20823284"/>
      <w:r/>
      <w:bookmarkStart w:id="79" w:name="_Toc16938528"/>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76"/>
      <w:r/>
      <w:bookmarkEnd w:id="77"/>
      <w:r/>
      <w:bookmarkEnd w:id="78"/>
      <w:r/>
      <w:bookmarkEnd w:id="7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898"/>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0" w:name="_Toc513029213"/>
      <w:r/>
      <w:bookmarkStart w:id="81" w:name="_Toc462564072"/>
      <w:r/>
      <w:bookmarkStart w:id="82" w:name="_Toc20823285"/>
      <w:r/>
      <w:bookmarkStart w:id="83" w:name="_Toc16938529"/>
      <w:r/>
      <w:bookmarkStart w:id="84" w:name="_Toc120614216"/>
      <w:r>
        <w:rPr>
          <w:rFonts w:hint="eastAsia" w:ascii="宋体" w:hAnsi="宋体" w:eastAsia="宋体" w:cs="宋体"/>
          <w:b/>
          <w:bCs/>
          <w:color w:val="auto"/>
          <w:sz w:val="24"/>
          <w:szCs w:val="24"/>
          <w:highlight w:val="none"/>
        </w:rPr>
        <w:t xml:space="preserve">三、投标文件的编制</w:t>
      </w:r>
      <w:bookmarkEnd w:id="80"/>
      <w:r/>
      <w:bookmarkEnd w:id="81"/>
      <w:r/>
      <w:bookmarkEnd w:id="82"/>
      <w:r/>
      <w:bookmarkEnd w:id="83"/>
      <w:r/>
      <w:bookmarkEnd w:id="84"/>
      <w:r/>
      <w:r/>
    </w:p>
    <w:p>
      <w:pPr>
        <w:pStyle w:val="899"/>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85" w:name="_Toc16938530"/>
      <w:r/>
      <w:bookmarkStart w:id="86" w:name="_Toc462564073"/>
      <w:r/>
      <w:bookmarkStart w:id="87" w:name="_Toc20823286"/>
      <w:r/>
      <w:bookmarkStart w:id="88"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9" w:name="_Toc513029215"/>
      <w:r/>
      <w:bookmarkStart w:id="90" w:name="_Toc462564074"/>
      <w:r/>
      <w:bookmarkStart w:id="91" w:name="_Toc20823287"/>
      <w:r/>
      <w:bookmarkStart w:id="92" w:name="_Toc16938531"/>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89"/>
      <w:r/>
      <w:bookmarkEnd w:id="90"/>
      <w:r/>
      <w:bookmarkEnd w:id="91"/>
      <w:r/>
      <w:bookmarkEnd w:id="9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9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3"/>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9"/>
      <w:r/>
      <w:bookmarkStart w:id="99" w:name="_Toc49090509"/>
      <w:r/>
      <w:bookmarkStart w:id="100" w:name="_Toc513029216"/>
      <w:r/>
      <w:bookmarkStart w:id="101" w:name="_Toc49090507"/>
      <w:r/>
      <w:bookmarkStart w:id="102" w:name="_Toc14577354"/>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97"/>
      <w:r/>
      <w:bookmarkEnd w:id="98"/>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03" w:name="_Toc14577355"/>
      <w:r/>
      <w:bookmarkStart w:id="10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9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03"/>
      <w:r/>
      <w:bookmarkStart w:id="105" w:name="_Hlt26670373"/>
      <w:r/>
      <w:bookmarkEnd w:id="105"/>
      <w:r>
        <w:rPr>
          <w:rFonts w:hint="eastAsia" w:ascii="宋体" w:hAnsi="宋体" w:eastAsia="宋体" w:cs="宋体"/>
          <w:b w:val="0"/>
          <w:bCs w:val="0"/>
          <w:color w:val="auto"/>
          <w:sz w:val="24"/>
          <w:szCs w:val="24"/>
          <w:highlight w:val="none"/>
        </w:rPr>
        <w:t xml:space="preserve">表</w:t>
      </w:r>
      <w:bookmarkEnd w:id="10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06" w:name="_Hlt26954840"/>
      <w:r/>
      <w:bookmarkEnd w:id="106"/>
      <w:r>
        <w:rPr>
          <w:rFonts w:hint="eastAsia" w:ascii="宋体" w:hAnsi="宋体" w:eastAsia="宋体" w:cs="宋体"/>
          <w:color w:val="auto"/>
          <w:sz w:val="24"/>
          <w:szCs w:val="24"/>
          <w:highlight w:val="none"/>
        </w:rPr>
        <w:t xml:space="preserve">标人应按照招标文件规定格式填报投标分项报价表</w:t>
      </w:r>
      <w:bookmarkStart w:id="107" w:name="_Hlt26670399"/>
      <w:r/>
      <w:bookmarkEnd w:id="10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8" w:name="_Hlt26670482"/>
      <w:r/>
      <w:bookmarkEnd w:id="108"/>
      <w:r/>
      <w:bookmarkStart w:id="109" w:name="_Hlt26670425"/>
      <w:r/>
      <w:bookmarkEnd w:id="109"/>
      <w:r/>
      <w:bookmarkStart w:id="110" w:name="_Hlt26670486"/>
      <w:r/>
      <w:bookmarkEnd w:id="110"/>
      <w:r/>
      <w:bookmarkStart w:id="111" w:name="_Hlt26954848"/>
      <w:r/>
      <w:bookmarkEnd w:id="111"/>
      <w:r/>
      <w:bookmarkStart w:id="112" w:name="_Hlt26954842"/>
      <w:r/>
      <w:bookmarkEnd w:id="112"/>
      <w:r/>
      <w:bookmarkStart w:id="113" w:name="_Hlt26954846"/>
      <w:r/>
      <w:bookmarkEnd w:id="113"/>
      <w:r/>
      <w:bookmarkStart w:id="114" w:name="_Hlt26954844"/>
      <w:r/>
      <w:bookmarkEnd w:id="114"/>
      <w:r/>
      <w:bookmarkStart w:id="115" w:name="_Hlt26670403"/>
      <w:r/>
      <w:bookmarkEnd w:id="115"/>
      <w:r/>
      <w:bookmarkStart w:id="116" w:name="_Hlt26954731"/>
      <w:r/>
      <w:bookmarkEnd w:id="116"/>
      <w:r/>
      <w:bookmarkStart w:id="117" w:name="_Hlt26668983"/>
      <w:r/>
      <w:bookmarkEnd w:id="117"/>
      <w:r/>
      <w:bookmarkStart w:id="118" w:name="_Toc49090510"/>
      <w:r/>
      <w:bookmarkStart w:id="119" w:name="_Toc14577359"/>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18"/>
      <w:r/>
      <w:bookmarkEnd w:id="119"/>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23"/>
      <w:r/>
      <w:bookmarkEnd w:id="12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89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6938540"/>
      <w:r/>
      <w:bookmarkStart w:id="130" w:name="_Toc120614217"/>
      <w:r>
        <w:rPr>
          <w:rFonts w:hint="eastAsia" w:ascii="宋体" w:hAnsi="宋体" w:eastAsia="宋体" w:cs="宋体"/>
          <w:b/>
          <w:bCs/>
          <w:color w:val="auto"/>
          <w:sz w:val="24"/>
          <w:szCs w:val="24"/>
          <w:highlight w:val="none"/>
        </w:rPr>
        <w:t xml:space="preserve">四、投标文件的递交</w:t>
      </w:r>
      <w:bookmarkEnd w:id="127"/>
      <w:r/>
      <w:bookmarkEnd w:id="128"/>
      <w:r/>
      <w:bookmarkEnd w:id="129"/>
      <w:r/>
      <w:bookmarkEnd w:id="130"/>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1" w:name="_Toc16938541"/>
      <w:r/>
      <w:bookmarkStart w:id="132" w:name="_Toc20823297"/>
      <w:r/>
      <w:bookmarkStart w:id="133" w:name="_Toc513029225"/>
      <w:r/>
      <w:bookmarkStart w:id="134" w:name="_Toc462564084"/>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31"/>
      <w:r/>
      <w:bookmarkEnd w:id="132"/>
      <w:r/>
      <w:bookmarkEnd w:id="133"/>
      <w:r/>
      <w:bookmarkEnd w:id="13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35" w:name="_Toc20823298"/>
      <w:r/>
      <w:bookmarkStart w:id="136" w:name="_Toc513029226"/>
      <w:r/>
      <w:bookmarkStart w:id="137" w:name="_Toc1693854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35"/>
      <w:r/>
      <w:bookmarkEnd w:id="136"/>
      <w:r/>
      <w:bookmarkEnd w:id="13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8" w:name="_Toc16938543"/>
      <w:r/>
      <w:bookmarkStart w:id="139" w:name="_Toc20823299"/>
      <w:r/>
      <w:bookmarkStart w:id="140" w:name="_Toc513029227"/>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38"/>
      <w:r/>
      <w:bookmarkEnd w:id="139"/>
      <w:r/>
      <w:bookmarkEnd w:id="14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513029228"/>
      <w:r/>
      <w:bookmarkStart w:id="142" w:name="_Toc16938544"/>
      <w:r/>
      <w:bookmarkStart w:id="143" w:name="_Toc20823300"/>
      <w:r/>
      <w:bookmarkStart w:id="144" w:name="_Toc120614218"/>
      <w:r/>
      <w:bookmarkStart w:id="145" w:name="_Toc20823301"/>
      <w:r/>
      <w:bookmarkStart w:id="146" w:name="_Toc513029229"/>
      <w:r/>
      <w:bookmarkStart w:id="147"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41"/>
      <w:r/>
      <w:bookmarkEnd w:id="142"/>
      <w:r/>
      <w:bookmarkEnd w:id="14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89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44"/>
      <w:r/>
      <w:bookmarkEnd w:id="145"/>
      <w:r/>
      <w:bookmarkEnd w:id="146"/>
      <w:r/>
      <w:bookmarkEnd w:id="147"/>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20823302"/>
      <w:r/>
      <w:bookmarkStart w:id="149" w:name="_Toc16938546"/>
      <w:r/>
      <w:bookmarkStart w:id="150" w:name="_Toc513029230"/>
      <w:r/>
      <w:bookmarkStart w:id="151" w:name="_Toc16938547"/>
      <w:r/>
      <w:bookmarkStart w:id="152" w:name="_Toc20823303"/>
      <w:r/>
      <w:bookmarkStart w:id="15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48"/>
      <w:r/>
      <w:bookmarkEnd w:id="149"/>
      <w:r/>
      <w:bookmarkEnd w:id="150"/>
      <w:r/>
      <w:r/>
    </w:p>
    <w:p>
      <w:pPr>
        <w:pStyle w:val="911"/>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11"/>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4" w:name="_Toc513029232"/>
      <w:r/>
      <w:bookmarkStart w:id="155" w:name="_Toc16938548"/>
      <w:r/>
      <w:bookmarkStart w:id="156"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54"/>
      <w:r/>
      <w:bookmarkEnd w:id="155"/>
      <w:r/>
      <w:bookmarkEnd w:id="15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11"/>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513029233"/>
      <w:r/>
      <w:bookmarkStart w:id="158" w:name="_Toc16938549"/>
      <w:r/>
      <w:bookmarkStart w:id="159" w:name="_Toc20823305"/>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57"/>
      <w:r/>
      <w:bookmarkEnd w:id="158"/>
      <w:r/>
      <w:bookmarkEnd w:id="15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0" w:name="_Toc20823306"/>
      <w:r/>
      <w:bookmarkStart w:id="161" w:name="_Toc513029234"/>
      <w:r/>
      <w:bookmarkStart w:id="162"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0"/>
      <w:r/>
      <w:bookmarkEnd w:id="161"/>
      <w:r/>
      <w:bookmarkEnd w:id="16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63" w:name="_Toc16938551"/>
      <w:r/>
      <w:bookmarkStart w:id="164" w:name="_Toc20823307"/>
      <w:r/>
      <w:bookmarkStart w:id="165"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89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66" w:name="_Toc120614219"/>
      <w:r>
        <w:rPr>
          <w:rFonts w:hint="eastAsia" w:ascii="宋体" w:hAnsi="宋体" w:eastAsia="宋体" w:cs="宋体"/>
          <w:b/>
          <w:bCs/>
          <w:color w:val="auto"/>
          <w:sz w:val="24"/>
          <w:szCs w:val="24"/>
          <w:highlight w:val="none"/>
        </w:rPr>
        <w:t xml:space="preserve">六、</w:t>
      </w:r>
      <w:bookmarkEnd w:id="163"/>
      <w:r/>
      <w:bookmarkEnd w:id="164"/>
      <w:r/>
      <w:bookmarkEnd w:id="165"/>
      <w:r>
        <w:rPr>
          <w:rFonts w:hint="eastAsia" w:ascii="宋体" w:hAnsi="宋体" w:eastAsia="宋体" w:cs="宋体"/>
          <w:b/>
          <w:bCs/>
          <w:color w:val="auto"/>
          <w:sz w:val="24"/>
          <w:szCs w:val="24"/>
          <w:highlight w:val="none"/>
        </w:rPr>
        <w:t xml:space="preserve">定标</w:t>
      </w:r>
      <w:bookmarkEnd w:id="166"/>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67" w:name="_Toc513029238"/>
      <w:r/>
      <w:bookmarkStart w:id="168" w:name="_Toc16938554"/>
      <w:r/>
      <w:bookmarkStart w:id="169" w:name="_Toc20823310"/>
      <w:r>
        <w:rPr>
          <w:rFonts w:hint="eastAsia" w:ascii="宋体" w:hAnsi="宋体" w:eastAsia="宋体" w:cs="宋体"/>
          <w:b w:val="0"/>
          <w:color w:val="auto"/>
          <w:sz w:val="24"/>
          <w:szCs w:val="24"/>
          <w:highlight w:val="none"/>
          <w:lang w:eastAsia="zh-CN"/>
        </w:rPr>
        <w:t xml:space="preserve">28.</w:t>
      </w:r>
      <w:bookmarkEnd w:id="167"/>
      <w:r>
        <w:rPr>
          <w:rFonts w:hint="eastAsia" w:ascii="宋体" w:hAnsi="宋体" w:eastAsia="宋体" w:cs="宋体"/>
          <w:b w:val="0"/>
          <w:color w:val="auto"/>
          <w:sz w:val="24"/>
          <w:szCs w:val="24"/>
          <w:highlight w:val="none"/>
        </w:rPr>
        <w:t xml:space="preserve">确定</w:t>
      </w:r>
      <w:bookmarkEnd w:id="168"/>
      <w:r/>
      <w:bookmarkEnd w:id="16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宿迁幼儿师范高等专科学校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江苏庆洲工程咨询有限公司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0527-80985609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0527-81180020/18051193718</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宿迁市湖滨新区学成路1号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宿迁市宿城区洞庭湖路87号203室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1" w:name="_Toc120614220"/>
      <w:r/>
      <w:bookmarkStart w:id="172" w:name="_Toc513029236"/>
      <w:r/>
      <w:bookmarkStart w:id="173" w:name="_Toc20823308"/>
      <w:r/>
      <w:bookmarkStart w:id="174" w:name="_Toc16938552"/>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89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71"/>
      <w:r/>
      <w:bookmarkEnd w:id="172"/>
      <w:r/>
      <w:bookmarkEnd w:id="173"/>
      <w:r/>
      <w:bookmarkEnd w:id="174"/>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5" w:name="_Toc16938553"/>
      <w:r/>
      <w:bookmarkStart w:id="176" w:name="_Toc20823309"/>
      <w:r/>
      <w:bookmarkStart w:id="177"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5"/>
      <w:r/>
      <w:bookmarkEnd w:id="176"/>
      <w:r/>
      <w:bookmarkEnd w:id="177"/>
      <w:r/>
      <w:r/>
    </w:p>
    <w:p>
      <w:pPr>
        <w:pStyle w:val="89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902"/>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99"/>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7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7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7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897"/>
        <w:jc w:val="center"/>
        <w:shd w:val="clear" w:color="auto"/>
        <w:rPr>
          <w:rFonts w:hint="eastAsia" w:ascii="宋体" w:hAnsi="宋体" w:eastAsia="宋体" w:cs="宋体"/>
          <w:b/>
          <w:bCs w:val="0"/>
          <w:color w:val="auto"/>
          <w:sz w:val="44"/>
          <w:highlight w:val="none"/>
          <w:lang w:eastAsia="zh-CN"/>
        </w:rPr>
      </w:pPr>
      <w:r/>
      <w:bookmarkStart w:id="180" w:name="_Toc8406"/>
      <w:r>
        <w:rPr>
          <w:rFonts w:hint="eastAsia" w:ascii="宋体" w:hAnsi="宋体" w:eastAsia="宋体" w:cs="宋体"/>
          <w:b/>
          <w:bCs w:val="0"/>
          <w:color w:val="auto"/>
          <w:sz w:val="44"/>
          <w:highlight w:val="none"/>
        </w:rPr>
        <w:t xml:space="preserve">第三章  合同文本</w:t>
      </w:r>
      <w:bookmarkEnd w:id="18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81" w:name="_Hlt16619369"/>
      <w:r/>
      <w:bookmarkEnd w:id="181"/>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宿迁幼儿师范高等专科学校泽园一、二宿舍学生公寓床采购项目</w:t>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政</w:t>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府</w:t>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采</w:t>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购</w:t>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合</w:t>
      </w:r>
      <w:r/>
    </w:p>
    <w:p>
      <w:pPr>
        <w:jc w:val="center"/>
        <w:keepLines w:val="0"/>
        <w:keepNext w:val="0"/>
        <w:pageBreakBefore w:val="0"/>
        <w:spacing w:line="360" w:lineRule="auto"/>
        <w:widowControl w:val="off"/>
        <w:rPr>
          <w:rFonts w:hint="eastAsia"/>
        </w:rPr>
      </w:pPr>
      <w:r>
        <w:rPr>
          <w:rFonts w:hint="eastAsia" w:ascii="宋体" w:hAnsi="宋体" w:eastAsia="宋体" w:cs="宋体"/>
          <w:b/>
          <w:bCs/>
          <w:color w:val="auto"/>
          <w:sz w:val="36"/>
          <w:szCs w:val="36"/>
          <w:highlight w:val="none"/>
          <w:lang w:val="en-US" w:eastAsia="zh-CN"/>
        </w:rPr>
        <w:t xml:space="preserve">同</w:t>
      </w:r>
      <w:r/>
    </w:p>
    <w:p>
      <w:pPr>
        <w:pStyle w:val="907"/>
        <w:ind w:left="0" w:firstLine="0"/>
        <w:rPr>
          <w:rFonts w:hint="eastAsia"/>
        </w:rPr>
      </w:pPr>
      <w:r>
        <w:rPr>
          <w:rFonts w:hint="eastAsia"/>
        </w:rPr>
      </w:r>
      <w:r/>
    </w:p>
    <w:p>
      <w:pPr>
        <w:rPr>
          <w:rFonts w:hint="eastAsia"/>
        </w:rPr>
      </w:pPr>
      <w:r>
        <w:rPr>
          <w:rFonts w:hint="eastAsia"/>
        </w:rPr>
      </w:r>
      <w:r/>
    </w:p>
    <w:p>
      <w:pPr>
        <w:pStyle w:val="907"/>
        <w:rPr>
          <w:rFonts w:hint="eastAsia"/>
        </w:rPr>
      </w:pPr>
      <w:r>
        <w:rPr>
          <w:rFonts w:hint="eastAsia"/>
        </w:rPr>
      </w:r>
      <w:r/>
    </w:p>
    <w:p>
      <w:pPr>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宿迁幼儿师范高等专科学校泽园一、二宿舍学生公寓床采购项目</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JSZC-321300-JSQZ-G2026-0010</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甲方：（买方）</w:t>
      </w:r>
      <w:r>
        <w:rPr>
          <w:rFonts w:hint="eastAsia" w:ascii="宋体" w:hAnsi="宋体" w:eastAsia="宋体" w:cs="宋体"/>
          <w:color w:val="auto"/>
          <w:sz w:val="30"/>
          <w:szCs w:val="30"/>
          <w:highlight w:val="none"/>
          <w:lang w:eastAsia="zh-CN"/>
        </w:rPr>
        <w:t xml:space="preserve">宿迁幼儿师范高等专科学校</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乙方：（卖方）</w:t>
      </w:r>
      <w:r/>
    </w:p>
    <w:p>
      <w:pPr>
        <w:ind w:left="0" w:firstLine="60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甲、乙双方根据</w:t>
      </w:r>
      <w:r>
        <w:rPr>
          <w:rFonts w:hint="eastAsia" w:ascii="宋体" w:hAnsi="宋体" w:eastAsia="宋体" w:cs="宋体"/>
          <w:color w:val="auto"/>
          <w:sz w:val="30"/>
          <w:szCs w:val="30"/>
          <w:highlight w:val="none"/>
          <w:lang w:eastAsia="zh-CN"/>
        </w:rPr>
        <w:t xml:space="preserve">宿迁幼儿师范高等专科学校泽园一、二宿舍学生公寓床采购项目</w:t>
      </w: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JSZC-321300-JSQZ-G2026-0010</w:t>
      </w:r>
      <w:r>
        <w:rPr>
          <w:rFonts w:hint="eastAsia" w:ascii="宋体" w:hAnsi="宋体" w:eastAsia="宋体" w:cs="宋体"/>
          <w:color w:val="auto"/>
          <w:sz w:val="30"/>
          <w:szCs w:val="30"/>
          <w:highlight w:val="none"/>
        </w:rPr>
        <w:t xml:space="preserve">）公开招标的结果，签署本合同。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1.1 标的名称：</w:t>
      </w:r>
      <w:r>
        <w:rPr>
          <w:rFonts w:hint="eastAsia" w:ascii="宋体" w:hAnsi="宋体" w:eastAsia="宋体" w:cs="宋体"/>
          <w:b w:val="0"/>
          <w:bCs w:val="0"/>
          <w:color w:val="auto"/>
          <w:sz w:val="24"/>
          <w:szCs w:val="24"/>
          <w:highlight w:val="none"/>
          <w:lang w:eastAsia="zh-CN"/>
        </w:rPr>
        <w:t xml:space="preserve">宿迁幼儿师范高等专科学校泽园一、二宿舍学生公寓床采购项目</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bookmarkStart w:id="182" w:name="_Toc30589"/>
      <w:r>
        <w:rPr>
          <w:rFonts w:hint="eastAsia" w:ascii="宋体" w:hAnsi="宋体" w:eastAsia="宋体" w:cs="宋体"/>
          <w:b w:val="0"/>
          <w:bCs w:val="0"/>
          <w:color w:val="auto"/>
          <w:sz w:val="24"/>
          <w:szCs w:val="24"/>
          <w:highlight w:val="none"/>
        </w:rPr>
        <w:t xml:space="preserve">1.2 标的质量：</w:t>
      </w:r>
      <w:r>
        <w:rPr>
          <w:rFonts w:hint="eastAsia" w:ascii="宋体" w:hAnsi="宋体" w:eastAsia="宋体" w:cs="宋体"/>
          <w:b w:val="0"/>
          <w:bCs w:val="0"/>
          <w:color w:val="auto"/>
          <w:sz w:val="24"/>
          <w:szCs w:val="24"/>
          <w:highlight w:val="none"/>
          <w:lang w:val="en-US" w:eastAsia="zh-CN"/>
        </w:rPr>
        <w:t xml:space="preserve">合格，</w:t>
      </w:r>
      <w:r>
        <w:rPr>
          <w:rFonts w:hint="eastAsia" w:ascii="宋体" w:hAnsi="宋体" w:eastAsia="宋体" w:cs="宋体"/>
          <w:b w:val="0"/>
          <w:bCs w:val="0"/>
          <w:color w:val="auto"/>
          <w:sz w:val="24"/>
          <w:szCs w:val="24"/>
          <w:highlight w:val="none"/>
        </w:rPr>
        <w:t xml:space="preserve">符合国家、行业质量要求。</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1.3 标的数量（规模）：</w:t>
      </w:r>
      <w:r>
        <w:rPr>
          <w:rFonts w:hint="eastAsia" w:ascii="宋体" w:hAnsi="宋体" w:eastAsia="宋体" w:cs="宋体"/>
          <w:b w:val="0"/>
          <w:bCs w:val="0"/>
          <w:color w:val="auto"/>
          <w:sz w:val="24"/>
          <w:szCs w:val="24"/>
          <w:highlight w:val="none"/>
          <w:lang w:val="en-US" w:eastAsia="zh-CN"/>
        </w:rPr>
        <w:t xml:space="preserve">1项</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ff0000"/>
          <w:sz w:val="24"/>
          <w:szCs w:val="24"/>
          <w:highlight w:val="none"/>
          <w:lang w:eastAsia="zh-CN"/>
        </w:rPr>
      </w:pPr>
      <w:r>
        <w:rPr>
          <w:rFonts w:hint="eastAsia" w:ascii="宋体" w:hAnsi="宋体" w:eastAsia="宋体" w:cs="宋体"/>
          <w:b w:val="0"/>
          <w:bCs w:val="0"/>
          <w:color w:val="auto"/>
          <w:sz w:val="24"/>
          <w:szCs w:val="24"/>
          <w:highlight w:val="none"/>
        </w:rPr>
        <w:t xml:space="preserve">1.4 履行时间（期限）：</w:t>
      </w:r>
      <w:r>
        <w:rPr>
          <w:rFonts w:hint="eastAsia" w:ascii="宋体" w:hAnsi="宋体" w:eastAsia="宋体" w:cs="宋体"/>
          <w:b w:val="0"/>
          <w:bCs w:val="0"/>
          <w:color w:val="auto"/>
          <w:sz w:val="24"/>
          <w:szCs w:val="24"/>
          <w:highlight w:val="none"/>
          <w:lang w:eastAsia="zh-CN"/>
        </w:rPr>
        <w:t xml:space="preserve">供货期50天，售后服务期3年（自验收合格之日起计算）（供货及安装时间待采购单位通知）</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售后服务期（质保期）：</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年（自验收合格之日起计算）</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甲方指定地点</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快递包装政府采购需求标准（试行）》的规定。</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 本合同金额为（大写）：___________（</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_________）人民币。</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3.1乙方应按招标文件规定的时间向甲方提供使用货物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包含与货物相关的服务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的有关技术资料。</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乙方保证所交付的货物（包含与货物相关的服务）的所有权完全属于乙方且无任何抵押、查封等产权瑕疵。</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本项目无履约保证金。</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7.1乙方不得将合同标的转包给他人履行。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7.2乙方不得将合同标的分包给他人履行。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7.3乙方如有转包或未经甲方同意的分包行为，甲方有权给予终止合同。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八、合同款项支付</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.1合同款项的支付方式及进度安排</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预付款：合同金额的30%，合同签订后按规定支付； </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进度款：验收合格后，支付至合同总价款的100%（无息）。</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资金支付的时间：收到供应商发票10个工作日内；</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资金支付的条件：满足相应阶段的要求且收到供应商发票；</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九、税费</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9.1本合同执行中相关的一切税费均由乙方负担。</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十、售后服务</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10.1乙方对所售出的产品实行三包：售后服务期限为三年，即产品在正常使用情况下发生质量问题时，乙方应按使用方的要求，负责对产品实行包修、包换、包退。</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10.2乙方对由于产品设计、工艺、材料、配套件的缺陷而造成的任何产品质量问题或故障负责。在质量保证期内，乙方负责修理和替换不合格的部件并承担费用，包括部件调换的运输费用。在质量保证期内，更换后的部件或零件质量保证期为更换之日起顺延12个月。</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10.3售后服务期内，产品发生质量问题，乙方应在接到甲方提出故障通知0.5小时以内做出响应，24小时内到达现场予以排除故障、修复或更换零部件，或启用替代品。如需更换设备或送修，需在2个工作日内解决，涉及安全方面的问题4小时内解决。相关费用包含在本次投标报价内。 </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10.4乙方除提供所供全部设备的安装调试服务外，还需有完善的培训服务体系，保证使用方能掌握设备的正常使用及日常维护工作。</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10.5乙方需配合做好本次所购产品拆卸转移和组装工作，相关费用包含在本次投标报价内。</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十一、项目验收</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11.2货物交付后，在安装前应仔细检查货物自身无缺陷后方可安装，如果存在货物破损、自身材质、规格等质量缺陷，甲方有权要求将货物退场，由此引起的一切后果由乙方承担。</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11.4乙方货物全部进场安装调试，并向甲方提供相关初步验收资料。验收前，随机抽样送第三方检测（检测费用由乙方支付），检测完成并经乙方初验合格后，甲方在3个工作日内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11.5甲方有权请检测机构相关专家和甲方单位代表在生产前随时到生产现场，查看所有制作材料的型号和进货清单等书面材料及原始凭证，乙方承担有可能产生的材料品牌检测费。</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十二、货物的包装、发运及运输</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快递包装政府采购需求标准（试行）》的规定。</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使用说明书、质量检验证明书、随配附件和工具以及清单一并附于货物内。</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12.3 乙方在货物发运手续办理完毕后24小时内或货到甲方48小时前通知甲方，以准备接货。</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12.4 货物在交付甲方前发生的风险均由乙方负责。</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12.5 货物在规定的交付期限内由乙方送达甲方指定的地点视为交付，乙方同时需通知甲方货物已送达。</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甲方无正当理由拒收货物的，甲方向乙方偿付拒收货款总值</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的违约金。</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甲方无故逾期验收和办理货款支付手续的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甲方应按逾期付款总额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每日向乙方支付违约金。</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 </w:t>
      </w:r>
      <w:r>
        <w:rPr>
          <w:rFonts w:hint="eastAsia" w:ascii="宋体" w:hAnsi="宋体" w:eastAsia="宋体" w:cs="宋体"/>
          <w:b w:val="0"/>
          <w:bCs w:val="0"/>
          <w:color w:val="auto"/>
          <w:sz w:val="24"/>
          <w:szCs w:val="24"/>
          <w:highlight w:val="none"/>
          <w:lang w:val="en-US" w:eastAsia="zh-CN"/>
        </w:rPr>
        <w:t xml:space="preserve">因货物不合格，</w:t>
      </w:r>
      <w:r>
        <w:rPr>
          <w:rFonts w:hint="eastAsia" w:ascii="宋体" w:hAnsi="宋体" w:eastAsia="宋体" w:cs="宋体"/>
          <w:b w:val="0"/>
          <w:bCs w:val="0"/>
          <w:color w:val="auto"/>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十四、</w:t>
      </w:r>
      <w:r>
        <w:rPr>
          <w:rFonts w:hint="eastAsia" w:ascii="宋体" w:hAnsi="宋体" w:eastAsia="宋体" w:cs="宋体"/>
          <w:b/>
          <w:bCs/>
          <w:color w:val="auto"/>
          <w:sz w:val="24"/>
          <w:szCs w:val="24"/>
          <w:highlight w:val="none"/>
          <w:lang w:val="en-US" w:eastAsia="zh-CN"/>
        </w:rPr>
        <w:t xml:space="preserve">供应商合法权益补偿机制</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供应商合法权益补偿救济机制。在履约过程中因政策变化、规划调整而无法履行合同约定，造成企业合法权益受损的，采购人依据实际情况对供应商进行补偿救济。</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、不可抗力事件处理</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 在合同有效期内，任何一方因不可抗力事件导致不能履行合同，则合同履行期可延长，其延长期与不可抗力影响期相同。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 不可抗力事件发生后，应立即通知对方，并寄送有关权威机构出具的证明。</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 不可抗力事件延续120天以上，双方应通过友好协商，确定是否继续履行合同。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、解决争议的方法</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.1甲乙双方因合同签订、履行而发生的一切争议，应通过友好协商解决。如协商不成由甲方住所地人民法院管辖。</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、合同生效及其它</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 合同经双方法定代表人或授权委托代表人签字并加盖单位公章后生效。</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val="0"/>
          <w:bCs w:val="0"/>
          <w:color w:val="auto"/>
          <w:sz w:val="24"/>
          <w:szCs w:val="24"/>
          <w:highlight w:val="none"/>
        </w:rPr>
        <w:t xml:space="preserve">.2 本合同未尽事宜，遵照中华人民共和国现行法律法规有关条文执行。</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.3 本合同正本一式</w:t>
      </w: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份，具有同等法律效力，甲方</w:t>
      </w:r>
      <w:r>
        <w:rPr>
          <w:rFonts w:hint="eastAsia" w:ascii="宋体" w:hAnsi="宋体" w:eastAsia="宋体" w:cs="宋体"/>
          <w:b w:val="0"/>
          <w:bCs w:val="0"/>
          <w:color w:val="auto"/>
          <w:sz w:val="24"/>
          <w:szCs w:val="24"/>
          <w:highlight w:val="none"/>
          <w:lang w:val="en-US" w:eastAsia="zh-CN"/>
        </w:rPr>
        <w:t xml:space="preserve">四份</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份。  </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                        乙方： </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地址：                        地址： </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法定代表人或授权代表：        法定代表人或授权代表：</w:t>
      </w:r>
      <w:r/>
    </w:p>
    <w:p>
      <w:pPr>
        <w:pStyle w:val="898"/>
        <w:ind w:firstLine="480"/>
        <w:keepLines w:val="0"/>
        <w:keepNext w:val="0"/>
        <w:pageBreakBefore w:val="0"/>
        <w:spacing w:before="0" w:after="0" w:line="360" w:lineRule="exact"/>
        <w:shd w:val="clear" w:color="auto"/>
        <w:widowControl w:val="off"/>
        <w:rPr>
          <w:rFonts w:hint="eastAsia" w:ascii="宋体" w:hAnsi="宋体" w:eastAsia="宋体" w:cs="宋体"/>
          <w:caps w:val="0"/>
          <w:color w:val="auto"/>
          <w:sz w:val="24"/>
          <w:szCs w:val="24"/>
          <w:highlight w:val="none"/>
        </w:rPr>
      </w:pPr>
      <w:r>
        <w:rPr>
          <w:rFonts w:hint="eastAsia" w:ascii="宋体" w:hAnsi="宋体" w:eastAsia="宋体" w:cs="宋体"/>
          <w:b w:val="0"/>
          <w:bCs w:val="0"/>
          <w:color w:val="auto"/>
          <w:sz w:val="24"/>
          <w:szCs w:val="24"/>
          <w:highlight w:val="none"/>
        </w:rPr>
        <w:t xml:space="preserve">联系电话：                    联系电话：</w:t>
      </w:r>
      <w:r>
        <w:rPr>
          <w:rFonts w:hint="eastAsia" w:ascii="宋体" w:hAnsi="宋体" w:eastAsia="宋体" w:cs="宋体"/>
          <w:caps w:val="0"/>
          <w:color w:val="auto"/>
          <w:sz w:val="24"/>
          <w:szCs w:val="24"/>
          <w:highlight w:val="none"/>
        </w:rPr>
        <w:t xml:space="preserve">              </w:t>
      </w:r>
      <w:r/>
    </w:p>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签订日期：      年    月   日 </w:t>
      </w:r>
      <w:bookmarkEnd w:id="182"/>
      <w:r/>
      <w:r/>
    </w:p>
    <w:p>
      <w:pPr>
        <w:pStyle w:val="897"/>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8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07"/>
        <w:rPr>
          <w:rFonts w:hint="eastAsia"/>
          <w:lang w:val="en-US" w:eastAsia="zh-CN"/>
        </w:rPr>
      </w:pPr>
      <w:r>
        <w:rPr>
          <w:rFonts w:hint="eastAsia"/>
          <w:lang w:val="en-US" w:eastAsia="zh-CN"/>
        </w:rPr>
      </w:r>
      <w:r/>
    </w:p>
    <w:p>
      <w:pPr>
        <w:pStyle w:val="907"/>
        <w:rPr>
          <w:rFonts w:hint="eastAsia"/>
          <w:lang w:val="en-US" w:eastAsia="zh-CN"/>
        </w:rPr>
      </w:pPr>
      <w:r>
        <w:rPr>
          <w:rFonts w:hint="eastAsia"/>
          <w:lang w:val="en-US" w:eastAsia="zh-CN"/>
        </w:rPr>
      </w:r>
      <w:r/>
    </w:p>
    <w:p>
      <w:pPr>
        <w:pStyle w:val="897"/>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本项目采购标的对应的中小企业划分标准所属行业：工业（制造业）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一、项目情况</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宿迁幼儿师范高等专科学校泽园一、二宿舍学生公寓床采购项目，最高限价153万元，超过最高限价作无效标处理。</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二、付款方式</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预付款：合同金额的30%，合同签订后按规定支付； </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进度款：验收合格后，支付至合同总价款的100%（无息）。</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资金支付的</w:t>
      </w:r>
      <w:r>
        <w:rPr>
          <w:rFonts w:hint="eastAsia" w:ascii="宋体" w:hAnsi="宋体" w:eastAsia="宋体" w:cs="宋体"/>
          <w:b w:val="0"/>
          <w:bCs w:val="0"/>
          <w:color w:val="auto"/>
          <w:sz w:val="24"/>
          <w:szCs w:val="24"/>
          <w:highlight w:val="none"/>
          <w:lang w:val="en-US" w:eastAsia="zh-CN" w:bidi="ar-SA"/>
        </w:rPr>
        <w:t xml:space="preserve">时间</w:t>
      </w:r>
      <w:r>
        <w:rPr>
          <w:rFonts w:hint="eastAsia" w:ascii="宋体" w:hAnsi="宋体" w:eastAsia="宋体" w:cs="宋体"/>
          <w:b w:val="0"/>
          <w:bCs w:val="0"/>
          <w:color w:val="auto"/>
          <w:sz w:val="24"/>
          <w:szCs w:val="24"/>
          <w:highlight w:val="none"/>
          <w:lang w:val="zh-CN"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收到供应商发票10个工作日内</w:t>
      </w:r>
      <w:r>
        <w:rPr>
          <w:rFonts w:hint="eastAsia" w:ascii="宋体" w:hAnsi="宋体" w:eastAsia="宋体" w:cs="宋体"/>
          <w:b w:val="0"/>
          <w:bCs w:val="0"/>
          <w:color w:val="auto"/>
          <w:sz w:val="24"/>
          <w:szCs w:val="24"/>
          <w:highlight w:val="none"/>
          <w:lang w:val="zh-CN" w:eastAsia="zh-CN" w:bidi="ar-SA"/>
        </w:rPr>
        <w:t xml:space="preserve">；</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资金支付</w:t>
      </w:r>
      <w:r>
        <w:rPr>
          <w:rFonts w:hint="eastAsia" w:ascii="宋体" w:hAnsi="宋体" w:eastAsia="宋体" w:cs="宋体"/>
          <w:b w:val="0"/>
          <w:bCs w:val="0"/>
          <w:color w:val="auto"/>
          <w:sz w:val="24"/>
          <w:szCs w:val="24"/>
          <w:highlight w:val="none"/>
          <w:lang w:val="en-US" w:eastAsia="zh-CN" w:bidi="ar-SA"/>
        </w:rPr>
        <w:t xml:space="preserve">的条件：满足相应阶段的要求且收到供应商发票；</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三、供货期、实施地点、售后服务期（质保期）及质量标准</w:t>
      </w:r>
      <w:r/>
    </w:p>
    <w:p>
      <w:pPr>
        <w:ind w:firstLine="480"/>
        <w:keepLines w:val="0"/>
        <w:keepNext w:val="0"/>
        <w:pageBreakBefore w:val="0"/>
        <w:spacing w:line="400" w:lineRule="exact"/>
        <w:widowControl/>
        <w:rPr>
          <w:rFonts w:hint="eastAsia" w:ascii="宋体" w:hAnsi="宋体" w:eastAsia="宋体" w:cs="宋体"/>
          <w:b w:val="0"/>
          <w:bCs w:val="0"/>
          <w:color w:val="ff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1.供货期：供货期50天，售后服务期3年（自验收合格之日起计算）（供货及安装时间待采购单位通知）</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2.实施地点：采购人指定地点</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3.售后服务期（质保期）：3年</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质量标准：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须提供主要产品生产厂家供货证明书。投标人货物若与标书上列明的货物型号、技术指标等不相符，有造假现象的，一经查处，将终止合同，并承担由此给采购人带来的损失。</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主体结构为上床下柜两连体。床体采用钢管焊接而成；连接扣点不小于3个卡扣连接；床横梁与床立柱连接方式：卡扣式连接（无需螺栓），立柱上3个连接孔，通过与卡式连接件下压连接，实现使用后越用越紧的状态。表面经脱脂、除油、去锈、酸洗磷化及静电粉末喷涂处理，喷塑厚度及附着力应符合国家标准。柜体采用环保实木多层板制作，由写字桌、衣柜和书架组合而成。</w:t>
      </w:r>
      <w:r/>
    </w:p>
    <w:p>
      <w:pPr>
        <w:numPr>
          <w:ilvl w:val="0"/>
          <w:numId w:val="0"/>
        </w:numPr>
        <w:ind w:firstLine="482"/>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四、采购清单及技术参数</w:t>
      </w:r>
      <w:r/>
    </w:p>
    <w:tbl>
      <w:tblPr>
        <w:tblStyle w:val="91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5281"/>
        <w:gridCol w:w="2164"/>
      </w:tblGrid>
      <w:tr>
        <w:trPr>
          <w:trHeight w:val="470"/>
        </w:trPr>
        <w:tc>
          <w:tcPr>
            <w:tcW w:w="938"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W w:w="28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分项名称</w:t>
            </w:r>
            <w:r/>
          </w:p>
        </w:tc>
        <w:tc>
          <w:tcPr>
            <w:tcW w:w="11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数量</w:t>
            </w:r>
            <w:r/>
          </w:p>
        </w:tc>
      </w:tr>
      <w:tr>
        <w:trPr>
          <w:trHeight w:val="425"/>
        </w:trPr>
        <w:tc>
          <w:tcPr>
            <w:tcW w:w="938"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8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双人组合床</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核心产品</w:t>
            </w:r>
            <w:r>
              <w:rPr>
                <w:rFonts w:hint="eastAsia" w:ascii="宋体" w:hAnsi="宋体" w:eastAsia="宋体" w:cs="宋体"/>
                <w:b/>
                <w:bCs/>
                <w:color w:val="000000"/>
                <w:sz w:val="24"/>
                <w:szCs w:val="24"/>
                <w:lang w:eastAsia="zh-CN"/>
              </w:rPr>
              <w:t xml:space="preserve">）</w:t>
            </w:r>
            <w:r/>
          </w:p>
        </w:tc>
        <w:tc>
          <w:tcPr>
            <w:tcW w:w="11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450</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rPr>
              <w:t xml:space="preserve">900</w:t>
            </w:r>
            <w:r>
              <w:rPr>
                <w:rFonts w:hint="eastAsia" w:ascii="宋体" w:hAnsi="宋体" w:eastAsia="宋体" w:cs="宋体"/>
                <w:color w:val="000000"/>
                <w:sz w:val="24"/>
                <w:szCs w:val="24"/>
                <w:highlight w:val="none"/>
              </w:rPr>
              <w:t xml:space="preserve">张）</w:t>
            </w:r>
            <w:r/>
          </w:p>
        </w:tc>
      </w:tr>
      <w:tr>
        <w:trPr>
          <w:trHeight w:val="509"/>
        </w:trPr>
        <w:tc>
          <w:tcPr>
            <w:tcW w:w="938"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8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椅子</w:t>
            </w:r>
            <w:r/>
          </w:p>
        </w:tc>
        <w:tc>
          <w:tcPr>
            <w:tcW w:w="1180"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900</w:t>
            </w:r>
            <w:r>
              <w:rPr>
                <w:rFonts w:hint="eastAsia" w:ascii="宋体" w:hAnsi="宋体" w:eastAsia="宋体" w:cs="宋体"/>
                <w:color w:val="000000"/>
                <w:sz w:val="24"/>
                <w:szCs w:val="24"/>
                <w:highlight w:val="none"/>
              </w:rPr>
              <w:t xml:space="preserve">把</w:t>
            </w:r>
            <w:r/>
          </w:p>
        </w:tc>
      </w:tr>
    </w:tbl>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tbl>
      <w:tblPr>
        <w:tblStyle w:val="912"/>
        <w:tblW w:w="10815" w:type="dxa"/>
        <w:tblInd w:w="-7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1577"/>
        <w:gridCol w:w="7753"/>
      </w:tblGrid>
      <w:tr>
        <w:trPr>
          <w:trHeight w:val="306"/>
        </w:trPr>
        <w:tc>
          <w:tcPr>
            <w:gridSpan w:val="2"/>
            <w:tcW w:w="3062"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名称</w:t>
            </w:r>
            <w:r/>
          </w:p>
        </w:tc>
        <w:tc>
          <w:tcPr>
            <w:tcW w:w="7753"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参数要求</w:t>
            </w:r>
            <w:r/>
          </w:p>
        </w:tc>
      </w:tr>
      <w:tr>
        <w:trPr/>
        <w:tc>
          <w:tcPr>
            <w:tcW w:w="1485" w:type="dxa"/>
            <w:vAlign w:val="center"/>
            <w:vMerge w:val="restart"/>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双人组合床</w:t>
            </w:r>
            <w:r/>
          </w:p>
          <w:p>
            <w:pPr>
              <w:jc w:val="both"/>
              <w:keepLines w:val="0"/>
              <w:keepNext w:val="0"/>
              <w:pageBreakBefore w:val="0"/>
              <w:spacing w:line="5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bCs/>
                <w:color w:val="000000"/>
                <w:sz w:val="21"/>
                <w:szCs w:val="21"/>
                <w:lang w:val="en-US" w:eastAsia="zh-CN"/>
              </w:rPr>
              <w:t xml:space="preserve">（核心产品）</w:t>
            </w:r>
            <w:r/>
          </w:p>
          <w:p>
            <w:pPr>
              <w:jc w:val="both"/>
              <w:keepLines w:val="0"/>
              <w:keepNext w:val="0"/>
              <w:pageBreakBefore w:val="0"/>
              <w:spacing w:line="520" w:lineRule="exac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1577" w:type="dxa"/>
            <w:vAlign w:val="center"/>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rPr>
              <w:t xml:space="preserve">公寓床钢架部分</w:t>
            </w:r>
            <w:r/>
          </w:p>
        </w:tc>
        <w:tc>
          <w:tcPr>
            <w:tcW w:w="7753" w:type="dxa"/>
            <w:vAlign w:val="top"/>
            <w:textDirection w:val="lrTb"/>
            <w:noWrap w:val="false"/>
          </w:tcPr>
          <w:p>
            <w:pPr>
              <w:jc w:val="both"/>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1.公寓床外径尺寸</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长</w:t>
            </w:r>
            <w:r>
              <w:rPr>
                <w:rFonts w:hint="eastAsia" w:ascii="宋体" w:hAnsi="宋体" w:eastAsia="宋体" w:cs="宋体"/>
                <w:color w:val="000000"/>
                <w:sz w:val="21"/>
                <w:szCs w:val="21"/>
                <w:lang w:eastAsia="zh-CN"/>
              </w:rPr>
              <w:t xml:space="preserve">4550</w:t>
            </w:r>
            <w:r>
              <w:rPr>
                <w:rFonts w:hint="eastAsia" w:ascii="宋体" w:hAnsi="宋体" w:eastAsia="宋体" w:cs="宋体"/>
                <w:color w:val="000000"/>
                <w:sz w:val="21"/>
                <w:szCs w:val="21"/>
              </w:rPr>
              <w:t xml:space="preserve">mm×宽930mm×高2100mm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±10mm</w:t>
            </w:r>
            <w:r>
              <w:rPr>
                <w:rFonts w:hint="eastAsia" w:ascii="宋体" w:hAnsi="宋体" w:eastAsia="宋体" w:cs="宋体"/>
                <w:color w:val="000000"/>
                <w:sz w:val="21"/>
                <w:szCs w:val="21"/>
                <w:lang w:eastAsia="zh-CN"/>
              </w:rPr>
              <w:t xml:space="preserve">）。</w:t>
            </w:r>
            <w:r/>
          </w:p>
          <w:p>
            <w:pPr>
              <w:jc w:val="both"/>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床边立柱：截面尺寸≥68×68mm，厚度为≥1.5mm，高度≥2100mm，采用优质冷轧钢带经模压一次成形，并采用高频焊接成中空封闭管，其立面为封口扇形管材，所用钢材符合国家标准；正面中间为≥R30圆弧，带加强筋设计，增加立柱的强度；外侧面有2条宽 10mm，深 2mm 的圆弧形加强筋，滚压型材做弧形过渡处理，起到防撞作用，无锐角，提高产品使用的安全性；立柱上下带环保工程塑料防水脚套，高度30mm。</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3.▲中间楼梯上方配有拉手，床尾内护栏楼梯缺口不大于600mm。</w:t>
            </w:r>
            <w:r/>
          </w:p>
          <w:p>
            <w:pPr>
              <w:jc w:val="both"/>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 xml:space="preserve">4.★床铺横梁：截面尺寸≥40×90mm，厚度为≥1.5mm，下口距地面净高度不低于1700mm，采用优质冷轧钢带经模压一次</w:t>
            </w:r>
            <w:r>
              <w:rPr>
                <w:rFonts w:hint="eastAsia" w:ascii="宋体" w:hAnsi="宋体" w:eastAsia="宋体" w:cs="宋体"/>
                <w:b/>
                <w:bCs/>
                <w:color w:val="000000"/>
                <w:sz w:val="21"/>
                <w:szCs w:val="21"/>
                <w:lang w:eastAsia="zh-CN"/>
              </w:rPr>
              <w:t xml:space="preserve">成型</w:t>
            </w:r>
            <w:r>
              <w:rPr>
                <w:rFonts w:hint="eastAsia" w:ascii="宋体" w:hAnsi="宋体" w:eastAsia="宋体" w:cs="宋体"/>
                <w:b/>
                <w:bCs/>
                <w:color w:val="000000"/>
                <w:sz w:val="21"/>
                <w:szCs w:val="21"/>
              </w:rPr>
              <w:t xml:space="preserve">，并采用高频焊接成中空封闭管，所用钢材符合国家标准；带加强筋设计，增加立柱的强度；外侧面有2条宽 10mm，深 2mm 的圆弧形加强筋，底部为圆弧形设计，起到防撞作用；无锐角，提高产品</w:t>
            </w:r>
            <w:r>
              <w:rPr>
                <w:rFonts w:hint="eastAsia" w:ascii="宋体" w:hAnsi="宋体" w:eastAsia="宋体" w:cs="宋体"/>
                <w:b/>
                <w:bCs/>
                <w:color w:val="000000"/>
                <w:sz w:val="21"/>
                <w:szCs w:val="21"/>
                <w:highlight w:val="none"/>
              </w:rPr>
              <w:t xml:space="preserve">使用的安全性；内侧离地650mm处安装床后拉杆确保组合床稳定性，规格为30*50*1.2mm方管，卡扣配件采用优质钢板经冲压一次成型，材料厚度不低于2.0mm。</w:t>
            </w:r>
            <w:r/>
          </w:p>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5.床头短横梁：上下横梁规格≥ 25×50×</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mm，档头护栏辅管采用二竖二横25×25×</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mm的方管。</w:t>
            </w:r>
            <w:r/>
          </w:p>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6.床撑：采用≥20×30×1.2mm方管制作，数量不小于5根，床撑嵌入式安装固定在横梁内侧，两端设置卡槽与塑料卡件相配合，静音防噪。</w:t>
            </w:r>
            <w:r/>
          </w:p>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7.▲护栏：床铺横梁护栏主管采用25×25×2mm的方管，高度不低于300mm，护栏内部结构分2层，结构要安全美观牢固可靠，适合长期稳定使用。</w:t>
            </w:r>
            <w:r/>
          </w:p>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8.▲步梯：采用五踏步形式，总宽≥</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0mm，楼梯主管采用25×50×2mm扁管制作，楼梯支架采用≥25*25*2mm矩形管焊接而成。</w:t>
            </w:r>
            <w:r/>
          </w:p>
          <w:p>
            <w:pPr>
              <w:jc w:val="both"/>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9.★踏板采用宽度≥</w:t>
            </w: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rPr>
              <w:t xml:space="preserve">0mm，深度≥200mm，钢板厚≥</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mm优质冷轧钢板经一次性冲压、折弯而成，表面有凹凸纹路，可以起到防滑作用；每个脚踏板正面要有两根长度</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rPr>
              <w:t xml:space="preserve">380mm，宽度</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rPr>
              <w:t xml:space="preserve">50mm的塑料防滑条，塑料条中间带有夜光标志。</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10.蚊帐杆：采用床头专用塑料件连接插入固定，骨架采用≥φ19×1.2mm圆管，立柱有效高度≥900mm。</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11.床板：厚度≥17mm，采用</w:t>
            </w:r>
            <w:r>
              <w:rPr>
                <w:rFonts w:hint="eastAsia" w:ascii="宋体" w:hAnsi="宋体" w:eastAsia="宋体" w:cs="宋体"/>
                <w:color w:val="000000"/>
                <w:sz w:val="21"/>
                <w:szCs w:val="21"/>
                <w:lang w:eastAsia="zh-CN"/>
              </w:rPr>
              <w:t xml:space="preserve">杉木</w:t>
            </w:r>
            <w:r>
              <w:rPr>
                <w:rFonts w:hint="eastAsia" w:ascii="宋体" w:hAnsi="宋体" w:eastAsia="宋体" w:cs="宋体"/>
                <w:color w:val="000000"/>
                <w:sz w:val="21"/>
                <w:szCs w:val="21"/>
              </w:rPr>
              <w:t xml:space="preserve">板四面抛光拼接而成，下方采用5根加强筋。</w:t>
            </w:r>
            <w:r/>
          </w:p>
          <w:p>
            <w:pPr>
              <w:jc w:val="both"/>
              <w:widowControl w:val="off"/>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rPr>
              <w:t xml:space="preserve">12.根据校方实际使用需求，要求在床梆外侧进行床位编号，编号内容根据甲方要求定制。</w:t>
            </w:r>
            <w:r/>
          </w:p>
        </w:tc>
      </w:tr>
      <w:tr>
        <w:trPr/>
        <w:tc>
          <w:tcPr>
            <w:tcW w:w="1485" w:type="dxa"/>
            <w:vAlign w:val="center"/>
            <w:vMerge w:val="continue"/>
            <w:textDirection w:val="lrTb"/>
            <w:noWrap w:val="false"/>
          </w:tcPr>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7" w:type="dxa"/>
            <w:vAlign w:val="center"/>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rPr>
              <w:t xml:space="preserve">床下</w:t>
            </w:r>
            <w:r>
              <w:rPr>
                <w:rFonts w:hint="eastAsia" w:ascii="宋体" w:hAnsi="宋体" w:eastAsia="宋体" w:cs="宋体"/>
                <w:color w:val="000000"/>
                <w:sz w:val="21"/>
                <w:szCs w:val="21"/>
              </w:rPr>
              <w:t xml:space="preserve">组合柜</w:t>
            </w:r>
            <w:r/>
          </w:p>
        </w:tc>
        <w:tc>
          <w:tcPr>
            <w:tcW w:w="7753" w:type="dxa"/>
            <w:vAlign w:val="top"/>
            <w:textDirection w:val="lrTb"/>
            <w:noWrap w:val="false"/>
          </w:tcPr>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1.多功能书桌：长度≥1200mm，宽≥600mm、高度760mm。</w:t>
            </w:r>
            <w:r/>
          </w:p>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2.书桌下面靠边立柱一侧安装一书柜</w:t>
            </w:r>
            <w:r>
              <w:rPr>
                <w:rFonts w:hint="eastAsia" w:ascii="宋体" w:hAnsi="宋体" w:eastAsia="宋体" w:cs="宋体"/>
                <w:color w:val="auto"/>
                <w:sz w:val="21"/>
                <w:szCs w:val="21"/>
                <w:highlight w:val="none"/>
              </w:rPr>
              <w:t xml:space="preserve">，书柜高1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90mm，深240mm，宽600mm，上三层，下两层。</w:t>
            </w:r>
            <w:r/>
          </w:p>
          <w:p>
            <w:pPr>
              <w:jc w:val="both"/>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3.★桌面：</w:t>
            </w:r>
            <w:r>
              <w:rPr>
                <w:rFonts w:hint="eastAsia" w:ascii="宋体" w:hAnsi="宋体" w:eastAsia="宋体" w:cs="宋体"/>
                <w:b/>
                <w:bCs/>
                <w:color w:val="auto"/>
                <w:sz w:val="21"/>
                <w:szCs w:val="21"/>
                <w:highlight w:val="none"/>
                <w:lang w:val="en-US" w:eastAsia="zh-CN"/>
              </w:rPr>
              <w:t xml:space="preserve">实木多层板，</w:t>
            </w:r>
            <w:r>
              <w:rPr>
                <w:rFonts w:hint="eastAsia" w:ascii="宋体" w:hAnsi="宋体" w:eastAsia="宋体" w:cs="宋体"/>
                <w:b/>
                <w:bCs/>
                <w:color w:val="auto"/>
                <w:sz w:val="21"/>
                <w:szCs w:val="21"/>
                <w:highlight w:val="none"/>
              </w:rPr>
              <w:t xml:space="preserve">采用25mm厚，E0级多层板，桌面合适位置开穿线圆孔并配备装饰孔盖。</w:t>
            </w:r>
            <w:r/>
          </w:p>
          <w:p>
            <w:pPr>
              <w:jc w:val="both"/>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4.书架：桌面上方设置一层两格书架，合理设计，深度不小于240mm，高度视桌面与床横梁之间距离设定。</w:t>
            </w:r>
            <w:r/>
          </w:p>
          <w:p>
            <w:pPr>
              <w:jc w:val="both"/>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5.★采用18mm厚，E0级多层板，可视面封边采用≥1.5mm厚PVC塑封条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环保一级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，高温热熔胶封边，</w:t>
            </w:r>
            <w:r>
              <w:rPr>
                <w:rFonts w:hint="eastAsia" w:ascii="宋体" w:hAnsi="宋体" w:eastAsia="宋体" w:cs="宋体"/>
                <w:b/>
                <w:bCs/>
                <w:color w:val="auto"/>
                <w:sz w:val="21"/>
                <w:szCs w:val="21"/>
                <w:highlight w:val="none"/>
                <w:lang w:eastAsia="zh-CN"/>
              </w:rPr>
              <w:t xml:space="preserve">粘接</w:t>
            </w:r>
            <w:r>
              <w:rPr>
                <w:rFonts w:hint="eastAsia" w:ascii="宋体" w:hAnsi="宋体" w:eastAsia="宋体" w:cs="宋体"/>
                <w:b/>
                <w:bCs/>
                <w:color w:val="auto"/>
                <w:sz w:val="21"/>
                <w:szCs w:val="21"/>
                <w:highlight w:val="none"/>
              </w:rPr>
              <w:t xml:space="preserve">牢固，无脱胶、无鼓泡。</w:t>
            </w:r>
            <w:r/>
          </w:p>
          <w:p>
            <w:pPr>
              <w:jc w:val="both"/>
              <w:widowControl w:val="off"/>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 xml:space="preserve">6.衣柜：宽度视中立柱到书桌距离设定但不小于700mm，深度不小于580mm，高度视床横梁与地面之间的距离设定；柜体门板采用18mm 厚，E0级多层板，背板采用9mm厚，E0级多层板，门把手采用隐藏式构造；衣柜分为上下两层设计，下层挂衣橱</w:t>
            </w:r>
            <w:r>
              <w:rPr>
                <w:rFonts w:hint="eastAsia" w:ascii="宋体" w:hAnsi="宋体" w:eastAsia="宋体" w:cs="宋体"/>
                <w:color w:val="auto"/>
                <w:sz w:val="21"/>
                <w:szCs w:val="21"/>
                <w:highlight w:val="none"/>
                <w:lang w:eastAsia="zh-CN"/>
              </w:rPr>
              <w:t xml:space="preserve">顶板上沿离地</w:t>
            </w:r>
            <w:r>
              <w:rPr>
                <w:rFonts w:hint="eastAsia" w:ascii="宋体" w:hAnsi="宋体" w:eastAsia="宋体" w:cs="宋体"/>
                <w:color w:val="auto"/>
                <w:sz w:val="21"/>
                <w:szCs w:val="21"/>
                <w:highlight w:val="none"/>
              </w:rPr>
              <w:t xml:space="preserve">高度1200mm，上层储物柜</w:t>
            </w:r>
            <w:r>
              <w:rPr>
                <w:rFonts w:hint="eastAsia" w:ascii="宋体" w:hAnsi="宋体" w:eastAsia="宋体" w:cs="宋体"/>
                <w:color w:val="auto"/>
                <w:sz w:val="21"/>
                <w:szCs w:val="21"/>
                <w:highlight w:val="none"/>
                <w:lang w:eastAsia="zh-CN"/>
              </w:rPr>
              <w:t xml:space="preserve">顶板上沿离地</w:t>
            </w:r>
            <w:r>
              <w:rPr>
                <w:rFonts w:hint="eastAsia" w:ascii="宋体" w:hAnsi="宋体" w:eastAsia="宋体" w:cs="宋体"/>
                <w:color w:val="auto"/>
                <w:sz w:val="21"/>
                <w:szCs w:val="21"/>
                <w:highlight w:val="none"/>
              </w:rPr>
              <w:t xml:space="preserve">高度</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80mm；下层挂衣橱加装</w:t>
            </w:r>
            <w:r>
              <w:rPr>
                <w:rFonts w:hint="eastAsia" w:ascii="宋体" w:hAnsi="宋体" w:eastAsia="宋体" w:cs="宋体"/>
                <w:color w:val="000000"/>
                <w:sz w:val="21"/>
                <w:szCs w:val="21"/>
              </w:rPr>
              <w:t xml:space="preserve">304厚1.2mm不锈钢或同类型铝合金挂衣杆及隔板（高度为400mm、隔板厚度为18mm）。</w:t>
            </w:r>
            <w:r/>
          </w:p>
          <w:p>
            <w:pPr>
              <w:jc w:val="both"/>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7.★衣柜五金：采用阻尼铰链、三合一连接件。</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8.五金配件应经过酸洗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或代替酸洗的其他工艺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、磷化等防锈、防腐处理。</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9.▲铰链：符合QB/T2189-2013、QB/T3827-1999、QB/T3832-1999标准，其质量技术指标至少达到：功能试验（操作力、耐久性≥100000次、下沉量）检验合格；乙酸盐雾：金属表面镀层本身耐腐蚀等级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10级；金属表面镀层对基体的保护等级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10级。</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10.封边条：符合QB/T4463-2013标准，其质量技术指标至少达到：塑料封边条外观、规格尺寸及其偏差和形状公差、耐干热性、耐磨性、耐开裂性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耐龟裂性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、耐老化性、耐冷热循环性、耐光色牢度检验合格；可迁移元素、氯乙烯单体、多溴联苯、多溴联苯醚检验合格。</w:t>
            </w:r>
            <w:r/>
          </w:p>
          <w:p>
            <w:pPr>
              <w:jc w:val="both"/>
              <w:widowControl w:val="off"/>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rPr>
              <w:t xml:space="preserve">11.连接方式：衣柜、书桌采用专用连接件与床架固定连接。</w:t>
            </w:r>
            <w:r/>
          </w:p>
        </w:tc>
      </w:tr>
      <w:tr>
        <w:trPr/>
        <w:tc>
          <w:tcPr>
            <w:tcW w:w="1485" w:type="dxa"/>
            <w:vAlign w:val="center"/>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椅子</w:t>
            </w:r>
            <w:r/>
          </w:p>
        </w:tc>
        <w:tc>
          <w:tcPr>
            <w:tcW w:w="1577" w:type="dxa"/>
            <w:vAlign w:val="center"/>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w:t>
            </w:r>
            <w:r/>
          </w:p>
        </w:tc>
        <w:tc>
          <w:tcPr>
            <w:tcW w:w="7753" w:type="dxa"/>
            <w:vAlign w:val="top"/>
            <w:textDirection w:val="lrTb"/>
            <w:noWrap w:val="false"/>
          </w:tcPr>
          <w:p>
            <w:pPr>
              <w:jc w:val="both"/>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木料：实木橡胶木</w:t>
            </w:r>
            <w:r>
              <w:rPr>
                <w:rFonts w:hint="eastAsia" w:ascii="宋体" w:hAnsi="宋体" w:eastAsia="宋体" w:cs="宋体"/>
                <w:color w:val="000000"/>
                <w:sz w:val="21"/>
                <w:szCs w:val="21"/>
                <w:lang w:eastAsia="zh-CN"/>
              </w:rPr>
              <w:t xml:space="preserve">，</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（1）木料：符合GB/T 29894-2013《木材鉴别方法通则》标准，树种鉴别结果为橡胶木；</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（2）甲醛释放限量：符合GB/T39600-2021《人造板及其制品甲醛释放限量分级》标准，甲醛释放量≤0.124mg/m³；</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（3）抗菌性能：符合QB/T4371-2012《《家具抗菌性能的评价》标准，金黄色葡萄球菌、大肠杆菌：抑菌率 ≥90％；</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（4）防霉性能：符合JC/T2039-2010《抗菌防霉木质装饰板》标准：黑曲霉、出芽短梗霉等级≤1级。</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2.规格要求：座面长440mm*座面宽400mm*座面高430mm*后背高860mm。</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3.颜色要求：为橡胶木本色。</w:t>
            </w:r>
            <w:r/>
          </w:p>
          <w:p>
            <w:pPr>
              <w:jc w:val="both"/>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▲涂</w:t>
            </w:r>
            <w:r>
              <w:rPr>
                <w:rFonts w:hint="eastAsia" w:ascii="宋体" w:hAnsi="宋体" w:eastAsia="宋体" w:cs="宋体"/>
                <w:color w:val="000000"/>
                <w:sz w:val="21"/>
                <w:szCs w:val="21"/>
              </w:rPr>
              <w:t xml:space="preserve">料：面漆、底漆全部采用优质水性油漆</w:t>
            </w:r>
            <w:r>
              <w:rPr>
                <w:rFonts w:hint="eastAsia" w:ascii="宋体" w:hAnsi="宋体" w:eastAsia="宋体" w:cs="宋体"/>
                <w:color w:val="000000"/>
                <w:sz w:val="21"/>
                <w:szCs w:val="21"/>
                <w:lang w:eastAsia="zh-CN"/>
              </w:rPr>
              <w:t xml:space="preserve">，</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（1）水性涂料：有害物质限量：符合GB 18581-2020《木器涂料中有害物质限量》标准，色漆VOC含量≤250g/L</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醛含量≤100mg/kg，总铅（PB）含量（限色漆、腻子和醇酸清漆）≤90mg/kg，可溶性重金属含量（限色漆、腻子和醇酸清漆）镉≤75mg/kg、铬≤60mg/kg、汞≤60mg/kg，乙二醇醚及醚酯总和含量≤300mg/kg，苯系物总和含量≤250mg/kg，烷基酚聚氧乙烯醚总和含量和壬基酚聚氧乙烯醚≤1000mg/kg；</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（2）涂料中可溶性有害元素含量：符合GB/T 23994-2009《与人体接触的消费产品用涂料中 特定有害元素限量》B类涂料标准：锑未检出、砷未检出、钡未检出、硒未检出；铬≤60mg/kg、镉≤75mg/kg、铅≤90mg/kg、汞≤60mg/kg。</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5.质量工艺：所有板材外表面无刃角，棱角部位倒棱、倒圆角，线条均匀。</w:t>
            </w:r>
            <w:r/>
          </w:p>
          <w:p>
            <w:p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6.根据校方实际使用需求，要求在椅子背面进行编号，编号内容根据甲方要求定制。</w:t>
            </w:r>
            <w:r/>
          </w:p>
          <w:p>
            <w:pPr>
              <w:jc w:val="both"/>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要求在椅子</w:t>
            </w:r>
            <w:r>
              <w:rPr>
                <w:rFonts w:hint="eastAsia" w:ascii="宋体" w:hAnsi="宋体" w:eastAsia="宋体" w:cs="宋体"/>
                <w:color w:val="000000"/>
                <w:sz w:val="21"/>
                <w:szCs w:val="21"/>
                <w:lang w:eastAsia="zh-CN"/>
              </w:rPr>
              <w:t xml:space="preserve">腿中部前、后、左、右各加一根截面</w:t>
            </w:r>
            <w:r>
              <w:rPr>
                <w:rFonts w:hint="eastAsia" w:ascii="宋体" w:hAnsi="宋体" w:eastAsia="宋体" w:cs="宋体"/>
                <w:color w:val="000000"/>
                <w:sz w:val="21"/>
                <w:szCs w:val="21"/>
                <w:lang w:val="en-US" w:eastAsia="zh-CN"/>
              </w:rPr>
              <w:t xml:space="preserve">20*30mm的</w:t>
            </w:r>
            <w:r>
              <w:rPr>
                <w:rFonts w:hint="eastAsia" w:ascii="宋体" w:hAnsi="宋体" w:eastAsia="宋体" w:cs="宋体"/>
                <w:color w:val="000000"/>
                <w:sz w:val="21"/>
                <w:szCs w:val="21"/>
                <w:lang w:eastAsia="zh-CN"/>
              </w:rPr>
              <w:t xml:space="preserve">横撑。</w:t>
            </w:r>
            <w:r/>
          </w:p>
        </w:tc>
      </w:tr>
    </w:tbl>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ind w:firstLine="482"/>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五、参考图</w:t>
      </w:r>
      <w:r/>
    </w:p>
    <w:p>
      <w:pPr>
        <w:numPr>
          <w:ilvl w:val="0"/>
          <w:numId w:val="0"/>
        </w:numPr>
        <w:jc w:val="center"/>
        <w:keepLines w:val="0"/>
        <w:keepNext w:val="0"/>
        <w:pageBreakBefore w:val="0"/>
        <w:spacing w:line="520" w:lineRule="exact"/>
        <w:rPr>
          <w:rFonts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双人组合床参考图（内置扶梯）</w:t>
      </w:r>
      <w:r/>
    </w:p>
    <w:tbl>
      <w:tblPr>
        <w:tblStyle w:val="912"/>
        <w:tblW w:w="5000"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Pr>
        <w:tc>
          <w:tcPr>
            <w:tcW w:w="5000" w:type="dxa"/>
            <w:vAlign w:val="top"/>
            <w:textDirection w:val="lrTb"/>
            <w:noWrap w:val="false"/>
          </w:tcPr>
          <w:p>
            <w:pPr>
              <w:jc w:val="left"/>
              <w:keepLines w:val="0"/>
              <w:keepNext w:val="0"/>
              <w:pageBreakBefore w:val="0"/>
              <w:spacing w:line="52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jc w:val="center"/>
          <w:trHeight w:val="4660"/>
        </w:trPr>
        <w:tc>
          <w:tcPr>
            <w:tcW w:w="5000" w:type="dxa"/>
            <w:vAlign w:val="top"/>
            <w:textDirection w:val="lrTb"/>
            <w:noWrap w:val="false"/>
          </w:tcPr>
          <w:p>
            <w:pPr>
              <w:jc w:val="left"/>
              <w:keepLines w:val="0"/>
              <w:keepNext w:val="0"/>
              <w:pageBreakBefore w:val="0"/>
              <w:spacing w:line="360" w:lineRule="auto"/>
              <w:widowControl w:val="off"/>
              <w:rPr>
                <w:rFonts w:hint="eastAsia" w:ascii="方正仿宋_GBK" w:hAnsi="方正仿宋_GBK" w:eastAsia="方正仿宋_GBK" w:cs="方正仿宋_GBK"/>
                <w:color w:val="ff0000"/>
                <w:sz w:val="24"/>
                <w:szCs w:val="24"/>
                <w:highlight w:val="red"/>
                <w:lang w:eastAsia="zh-CN"/>
              </w:rPr>
            </w:pPr>
            <w:r>
              <w:rPr>
                <w:rFonts w:hint="eastAsia" w:ascii="方正仿宋_GBK" w:hAnsi="方正仿宋_GBK" w:eastAsia="方正仿宋_GBK" w:cs="方正仿宋_GBK"/>
                <w:color w:val="ff0000"/>
                <w:sz w:val="24"/>
                <w:szCs w:val="24"/>
                <w:highlight w:val="red"/>
                <w:lang w:eastAsia="zh-CN"/>
              </w:rPr>
              <mc:AlternateContent>
                <mc:Choice Requires="wpg">
                  <w:drawing>
                    <wp:inline xmlns:wp="http://schemas.openxmlformats.org/drawingml/2006/wordprocessingDrawing" distT="0" distB="0" distL="0" distR="0">
                      <wp:extent cx="5828665" cy="4071620"/>
                      <wp:effectExtent l="0" t="0" r="635" b="5080"/>
                      <wp:docPr id="3" name="图片 13" descr="cd9601ae2ccdb514c46182fda0a0f3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d9601ae2ccdb514c46182fda0a0f3fa"/>
                              <pic:cNvPicPr>
                                <a:picLocks noChangeAspect="1"/>
                              </pic:cNvPicPr>
                              <pic:nvPr/>
                            </pic:nvPicPr>
                            <pic:blipFill>
                              <a:blip r:embed="rId13"/>
                              <a:stretch/>
                            </pic:blipFill>
                            <pic:spPr bwMode="auto">
                              <a:xfrm>
                                <a:off x="0" y="0"/>
                                <a:ext cx="5828665" cy="4071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8.9pt;height:320.6pt;mso-wrap-distance-left:0.0pt;mso-wrap-distance-top:0.0pt;mso-wrap-distance-right:0.0pt;mso-wrap-distance-bottom:0.0pt;" stroked="false">
                      <v:path textboxrect="0,0,0,0"/>
                      <v:imagedata r:id="rId13" o:title=""/>
                    </v:shape>
                  </w:pict>
                </mc:Fallback>
              </mc:AlternateContent>
            </w:r>
            <w:r>
              <w:rPr>
                <w:rFonts w:hint="eastAsia" w:ascii="方正仿宋_GBK" w:hAnsi="方正仿宋_GBK" w:eastAsia="方正仿宋_GBK" w:cs="方正仿宋_GBK"/>
                <w:color w:val="ff0000"/>
                <w:sz w:val="24"/>
                <w:szCs w:val="24"/>
                <w:highlight w:val="red"/>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0</wp:posOffset>
                      </wp:positionV>
                      <wp:extent cx="5799455" cy="3556635"/>
                      <wp:effectExtent l="0" t="0" r="10795" b="5715"/>
                      <wp:wrapSquare wrapText="bothSides"/>
                      <wp:docPr id="4" name="图片 5"/>
                      <wp:cNvGraphicFramePr/>
                      <a:graphic xmlns:a="http://schemas.openxmlformats.org/drawingml/2006/main">
                        <a:graphicData uri="http://schemas.openxmlformats.org/drawingml/2006/picture">
                          <pic:pic xmlns:pic="http://schemas.openxmlformats.org/drawingml/2006/picture">
                            <pic:nvPicPr>
                              <pic:cNvPr id="14" name="图片 5"/>
                              <pic:cNvPicPr/>
                              <pic:nvPr/>
                            </pic:nvPicPr>
                            <pic:blipFill>
                              <a:blip r:embed="rId14"/>
                              <a:stretch/>
                            </pic:blipFill>
                            <pic:spPr bwMode="auto">
                              <a:xfrm>
                                <a:off x="0" y="0"/>
                                <a:ext cx="5799455" cy="355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0.7pt;mso-position-horizontal:absolute;mso-position-vertical-relative:text;margin-top:0.0pt;mso-position-vertical:absolute;width:456.6pt;height:280.1pt;mso-wrap-distance-left:9.0pt;mso-wrap-distance-top:0.0pt;mso-wrap-distance-right:9.0pt;mso-wrap-distance-bottom:0.0pt;" stroked="f">
                      <v:path textboxrect="0,0,0,0"/>
                      <w10:wrap type="square"/>
                      <v:imagedata r:id="rId14" o:title=""/>
                    </v:shape>
                  </w:pict>
                </mc:Fallback>
              </mc:AlternateContent>
            </w:r>
            <w:r/>
          </w:p>
        </w:tc>
      </w:tr>
    </w:tbl>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1.采购清单中，“技术参数”中的要求如与“参考图片”体现的相关内容产生不一致时，以“技术参数”中的要求为准。</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2.投标人的投标价格包含设备安装到指定位置，清洁设备及室内卫生。</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3.供货前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投标人应提供相关货物、设备的规格、颜色、外形等供招标人确认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否则造成的损失由中标人自行承担。产品必须是正规厂家新品，不得使用已经淘汰或拼凑、组装的伪劣、假冒部件及产品经招标人审验合格后方可进场，所有产品需符合国家标准要求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不得以次充好。</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4.投标人应在合同签订后规定时</w:t>
      </w:r>
      <w:r>
        <w:rPr>
          <w:rFonts w:hint="eastAsia" w:ascii="宋体" w:hAnsi="宋体" w:eastAsia="宋体" w:cs="宋体"/>
          <w:color w:val="000000"/>
          <w:sz w:val="24"/>
          <w:szCs w:val="24"/>
          <w:lang w:eastAsia="zh-CN"/>
        </w:rPr>
        <w:t xml:space="preserve">间内</w:t>
      </w:r>
      <w:r>
        <w:rPr>
          <w:rFonts w:hint="eastAsia" w:ascii="宋体" w:hAnsi="宋体" w:eastAsia="宋体" w:cs="宋体"/>
          <w:color w:val="000000"/>
          <w:sz w:val="24"/>
          <w:szCs w:val="24"/>
        </w:rPr>
        <w:t xml:space="preserve">按要求将货物运输至业主指定的交货地点。零散及易损件须用木箱包装，确保防盗、防震、防潮、防破损、运输方式确定，并且由于运输造成的设备损坏，丢失均由中标人负责处理，未按进度供货的，责任投标人自负。</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5.经</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确认供货完成后，投标人应在规定时间内完成货物的安装工作，对于货物安装出现质量问题的，投标人应及时更换新的产品，确保货物质量。</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6.环保检测、材料、成品及安装后室内所需的检测均由投标人负责。一切安全问题由投标人负责。</w:t>
      </w:r>
      <w:r/>
    </w:p>
    <w:p>
      <w:pPr>
        <w:ind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整体</w:t>
      </w:r>
      <w:r>
        <w:rPr>
          <w:rFonts w:hint="eastAsia" w:ascii="宋体" w:hAnsi="宋体" w:eastAsia="宋体" w:cs="宋体"/>
          <w:b/>
          <w:bCs/>
          <w:color w:val="000000"/>
          <w:sz w:val="24"/>
          <w:szCs w:val="24"/>
        </w:rPr>
        <w:t xml:space="preserve">项目实施</w:t>
      </w:r>
      <w:r>
        <w:rPr>
          <w:rFonts w:hint="eastAsia" w:ascii="宋体" w:hAnsi="宋体" w:eastAsia="宋体" w:cs="宋体"/>
          <w:b/>
          <w:bCs/>
          <w:color w:val="000000"/>
          <w:sz w:val="24"/>
          <w:szCs w:val="24"/>
          <w:lang w:val="en-US" w:eastAsia="zh-CN"/>
        </w:rPr>
        <w:t xml:space="preserve">要求</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应在投标文件中提供完备的项目实施方案，包括质量保障措施要求、进度安排要求、现场管理要求、突发事件处置要求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配送要求和安装要求</w:t>
      </w:r>
      <w:r>
        <w:rPr>
          <w:rFonts w:hint="eastAsia" w:ascii="宋体" w:hAnsi="宋体" w:eastAsia="宋体" w:cs="宋体"/>
          <w:color w:val="000000"/>
          <w:sz w:val="24"/>
          <w:szCs w:val="24"/>
        </w:rPr>
        <w:t xml:space="preserve">方案</w:t>
      </w:r>
      <w:r>
        <w:rPr>
          <w:rFonts w:hint="eastAsia" w:ascii="宋体" w:hAnsi="宋体" w:eastAsia="宋体" w:cs="宋体"/>
          <w:sz w:val="24"/>
          <w:szCs w:val="24"/>
        </w:rPr>
        <w:t xml:space="preserve">等。</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质量保障措施要求：投标人应在投标文件中提出详细的产品生产质量管理计划，计划应包含生产车间安全管理、质量控制措施、出厂检验标准以及测试程序。</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突发事件处置要求：投标人应充分考虑履约过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可能遇到的各种突发情况，有针对性</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制订预防措施，需在投标文件中进行注意阐述，并建立一个明确的沟通框架，包括定期回访、问题解决机制及变更管理流程。</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配送要求：a.中标供应商在设备出厂前，应提供明细的设备清单交由采购人进行确认，包含设备名称、详细规格、材质、颜色等内容，由采购人确认后，方可进行供货；b.产品</w:t>
      </w:r>
      <w:r>
        <w:rPr>
          <w:rFonts w:hint="eastAsia" w:ascii="宋体" w:hAnsi="宋体" w:eastAsia="宋体" w:cs="宋体"/>
          <w:sz w:val="24"/>
          <w:szCs w:val="24"/>
          <w:lang w:eastAsia="zh-CN"/>
        </w:rPr>
        <w:t xml:space="preserve">必须</w:t>
      </w:r>
      <w:r>
        <w:rPr>
          <w:rFonts w:hint="eastAsia" w:ascii="宋体" w:hAnsi="宋体" w:eastAsia="宋体" w:cs="宋体"/>
          <w:sz w:val="24"/>
          <w:szCs w:val="24"/>
        </w:rPr>
        <w:t xml:space="preserve">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安装要求：a.各床位保持水平，在一条直线上；b.柜门启闭灵活、顺畅、不得有磕碰现象；c.各零件、组合件表面应光滑、平整、不得有尖角</w:t>
      </w:r>
      <w:r>
        <w:rPr>
          <w:rFonts w:hint="eastAsia" w:ascii="宋体" w:hAnsi="宋体" w:eastAsia="宋体" w:cs="宋体"/>
          <w:sz w:val="24"/>
          <w:szCs w:val="24"/>
          <w:lang w:eastAsia="zh-CN"/>
        </w:rPr>
        <w:t xml:space="preserve">凸起</w:t>
      </w:r>
      <w:r>
        <w:rPr>
          <w:rFonts w:hint="eastAsia" w:ascii="宋体" w:hAnsi="宋体" w:eastAsia="宋体" w:cs="宋体"/>
          <w:sz w:val="24"/>
          <w:szCs w:val="24"/>
        </w:rPr>
        <w:t xml:space="preserve">；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 元/次。</w:t>
      </w:r>
      <w:r/>
    </w:p>
    <w:p>
      <w:pPr>
        <w:ind w:firstLine="482"/>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、售后服务要求</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中标人对所售出的产品实行三包：售后服务期限为三年，即产品在正常使用情况下发生质量问题时，供方应按使用方的要求，负责对产品实行包修、包换、包退。</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售后服务期</w:t>
      </w:r>
      <w:r>
        <w:rPr>
          <w:rFonts w:hint="eastAsia" w:ascii="宋体" w:hAnsi="宋体" w:eastAsia="宋体" w:cs="宋体"/>
          <w:sz w:val="24"/>
          <w:szCs w:val="24"/>
          <w:lang w:eastAsia="zh-CN"/>
        </w:rPr>
        <w:t xml:space="preserve">内</w:t>
      </w:r>
      <w:r>
        <w:rPr>
          <w:rFonts w:hint="eastAsia" w:ascii="宋体" w:hAnsi="宋体" w:eastAsia="宋体" w:cs="宋体"/>
          <w:sz w:val="24"/>
          <w:szCs w:val="24"/>
        </w:rPr>
        <w:t xml:space="preserve">，产品发生质量问题，中标人应在接到采购人提出故障通知</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小时以内做出响应，24小时内到达现场予以排除故障、修复或更换零部件，或启用替代品。如需更换设备或送修，需在2个工作日内解决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涉及安全方面的问题4小时内解决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相关费用包含在本次投标报价内。 </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中标人除提供所供全部设备的安装调试服务外，还需有完善的培训服务体系，保证使用方能掌握设备的正常使用及日常维护工作。</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中标人需配合做好本次所购产品拆卸转移和组装工作，相关费用包含在本次投标报价内。</w:t>
      </w:r>
      <w:r/>
    </w:p>
    <w:p>
      <w:pP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、验收要求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eastAsia="宋体" w:cs="宋体"/>
          <w:color w:val="000000"/>
          <w:sz w:val="24"/>
          <w:szCs w:val="24"/>
          <w:lang w:eastAsia="zh-CN"/>
        </w:rPr>
        <w:t xml:space="preserve">，以及</w:t>
      </w:r>
      <w:r>
        <w:rPr>
          <w:rFonts w:hint="eastAsia" w:ascii="宋体" w:hAnsi="宋体" w:eastAsia="宋体" w:cs="宋体"/>
          <w:color w:val="000000"/>
          <w:sz w:val="24"/>
          <w:szCs w:val="24"/>
        </w:rPr>
        <w:t xml:space="preserve">设备是否完好。甲方应按签订采购合同约定时间组织验收，并出具书面初步验收报告。</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乙方货物全部进场安装调试，并向甲方提供相关初步验收资料。验收前，随机抽样送第三方检测（检测费用由乙方支付），检测完成并经乙方初验合格后，甲</w:t>
      </w:r>
      <w:r>
        <w:rPr>
          <w:rFonts w:hint="eastAsia" w:ascii="宋体" w:hAnsi="宋体" w:eastAsia="宋体" w:cs="宋体"/>
          <w:color w:val="000000"/>
          <w:sz w:val="24"/>
          <w:szCs w:val="24"/>
          <w:highlight w:val="none"/>
          <w:lang w:eastAsia="zh-CN"/>
        </w:rPr>
        <w:t xml:space="preserve">方在</w:t>
      </w:r>
      <w:r>
        <w:rPr>
          <w:rFonts w:hint="eastAsia" w:ascii="宋体" w:hAnsi="宋体" w:eastAsia="宋体" w:cs="宋体"/>
          <w:color w:val="000000"/>
          <w:sz w:val="24"/>
          <w:szCs w:val="24"/>
          <w:highlight w:val="none"/>
          <w:lang w:val="en-US" w:eastAsia="zh-CN"/>
        </w:rPr>
        <w:t xml:space="preserve">3个工作日内组织</w:t>
      </w:r>
      <w:r>
        <w:rPr>
          <w:rFonts w:hint="eastAsia" w:ascii="宋体" w:hAnsi="宋体" w:eastAsia="宋体" w:cs="宋体"/>
          <w:color w:val="000000"/>
          <w:sz w:val="24"/>
          <w:szCs w:val="24"/>
          <w:highlight w:val="none"/>
        </w:rPr>
        <w:t xml:space="preserve">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采购人有权请检测机构相关专家和采购人单位代表在生产前随时到生产现场，查看</w:t>
      </w:r>
      <w:r>
        <w:rPr>
          <w:rFonts w:hint="eastAsia" w:ascii="宋体" w:hAnsi="宋体" w:eastAsia="宋体" w:cs="宋体"/>
          <w:color w:val="000000"/>
          <w:sz w:val="24"/>
          <w:szCs w:val="24"/>
          <w:lang w:val="en-US" w:eastAsia="zh-CN"/>
        </w:rPr>
        <w:t xml:space="preserve">项目有关的</w:t>
      </w:r>
      <w:r>
        <w:rPr>
          <w:rFonts w:hint="eastAsia" w:ascii="宋体" w:hAnsi="宋体" w:eastAsia="宋体" w:cs="宋体"/>
          <w:color w:val="000000"/>
          <w:sz w:val="24"/>
          <w:szCs w:val="24"/>
        </w:rPr>
        <w:t xml:space="preserve">制作材料的型号和进货清单等书面材料及原始凭证，中标供应商承担有可能产生的材料品牌检测费。</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color w:val="000000"/>
          <w:sz w:val="24"/>
          <w:szCs w:val="24"/>
          <w:lang w:val="en-US" w:eastAsia="zh-CN"/>
        </w:rPr>
        <w:t xml:space="preserve">九、投标时样品（小样）携带：</w:t>
      </w:r>
      <w:r/>
    </w:p>
    <w:p>
      <w:pPr>
        <w:ind w:firstLine="48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1.样品清单列表</w:t>
      </w:r>
      <w:r/>
    </w:p>
    <w:tbl>
      <w:tblPr>
        <w:tblStyle w:val="901"/>
        <w:tblpPr w:horzAnchor="page" w:tblpX="584" w:vertAnchor="text" w:tblpY="494" w:leftFromText="180" w:topFromText="0" w:rightFromText="180" w:bottomFromText="0"/>
        <w:tblW w:w="10938" w:type="dxa"/>
        <w:tblInd w:w="0" w:type="dxa"/>
        <w:tblLayout w:type="fixed"/>
        <w:tblCellMar>
          <w:left w:w="108" w:type="dxa"/>
          <w:top w:w="0" w:type="dxa"/>
          <w:right w:w="108" w:type="dxa"/>
          <w:bottom w:w="0" w:type="dxa"/>
        </w:tblCellMar>
        <w:tblLook w:val="04A0" w:firstRow="1" w:lastRow="0" w:firstColumn="1" w:lastColumn="0" w:noHBand="0" w:noVBand="1"/>
      </w:tblPr>
      <w:tblGrid>
        <w:gridCol w:w="693"/>
        <w:gridCol w:w="1110"/>
        <w:gridCol w:w="2160"/>
        <w:gridCol w:w="4935"/>
        <w:gridCol w:w="2040"/>
      </w:tblGrid>
      <w:tr>
        <w:trPr>
          <w:trHeight w:val="661"/>
        </w:trPr>
        <w:tc>
          <w:tcPr>
            <w:gridSpan w:val="5"/>
            <w:tcBorders>
              <w:top w:val="single" w:color="000000" w:sz="4" w:space="0"/>
              <w:left w:val="single" w:color="000000" w:sz="4" w:space="0"/>
              <w:bottom w:val="single" w:color="000000" w:sz="4" w:space="0"/>
              <w:right w:val="single" w:color="000000" w:sz="4" w:space="0"/>
            </w:tcBorders>
            <w:tcW w:w="10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样品清单列表</w:t>
            </w:r>
            <w:r/>
          </w:p>
        </w:tc>
      </w:tr>
      <w:tr>
        <w:trPr>
          <w:trHeight w:val="66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样品名称</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参考规格</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trHeight w:val="113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床边立柱</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截面尺寸≥68×68mm，厚度为≥1.5mm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截面尺寸≥68×68mm，方管不含漆面厚度为≥1.5mm，高度≥2100mm，采用优质冷轧钢带经模压一次成形，并采用高频焊接成中空封闭管，其立面为封口扇形管材，所用钢材符合国家标准；正面中间为≥R30圆弧，带加强筋设计，增加立柱的强度；外侧面有2条宽 10mm，深 2mm 的圆弧形加强筋，滚压型材做弧形过渡处理，起到防撞作用，无锐角，提高产品使用的安全性；立柱上下带环保工程塑料防水脚套，高度30mm。</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小样长度约200mm</w:t>
            </w:r>
            <w:r/>
          </w:p>
        </w:tc>
      </w:tr>
      <w:tr>
        <w:trPr>
          <w:trHeight w:val="67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床撑</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≥20×30×1.2mm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采用≥20×30×1.2mm方管（方管不含漆面厚度≥1.2mm）。</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小样长度约200mm</w:t>
            </w:r>
            <w:r/>
          </w:p>
        </w:tc>
      </w:tr>
      <w:tr>
        <w:trPr>
          <w:trHeight w:val="698"/>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床铺横梁</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截面尺寸≥40×90mm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截面尺寸≥40×90mm，方管不含漆面厚度为≥1.5mm，采用优质冷轧钢带经模压一次成型，并采用高频焊接成中空封闭管，所用钢材符合国家标准；带加强筋设计，增加立柱的强度；外侧面有2条宽 10mm，深 2mm 的圆弧形加强筋，底部为圆弧形设计。</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小样长度约200mm</w:t>
            </w:r>
            <w:r/>
          </w:p>
        </w:tc>
      </w:tr>
      <w:tr>
        <w:trPr>
          <w:trHeight w:val="557"/>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踏板</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宽度≥500mm，内深≥200mm厚度≥2mm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踏板采用宽度≥500mm，深度≥200mm，钢板厚≥2mm一次冲压成型，踏板上面带有防滑塑料条。</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宽度≥500mm，内深≥200mm厚度≥2mm</w:t>
            </w:r>
            <w:r/>
          </w:p>
        </w:tc>
      </w:tr>
      <w:tr>
        <w:trPr>
          <w:trHeight w:val="367"/>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18mm多层板封边</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≥300*300mm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采用18mm厚，E0级多层板，可视面封边采用≥1.5mm厚PVC塑封条（环保一级），高温热熔胶封边，粘接牢固，无脱胶、无鼓泡。</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提供300*300mm多层板封边切角</w:t>
            </w:r>
            <w:r/>
          </w:p>
        </w:tc>
      </w:tr>
      <w:tr>
        <w:trPr>
          <w:trHeight w:val="444"/>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mm多层板封边</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≥300*300mm</w:t>
            </w:r>
            <w:r/>
          </w:p>
        </w:tc>
        <w:tc>
          <w:tcPr>
            <w:tcBorders>
              <w:top w:val="single" w:color="000000" w:sz="4" w:space="0"/>
              <w:left w:val="single" w:color="000000" w:sz="4" w:space="0"/>
              <w:bottom w:val="non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采用25mm厚，E0级多层板，可视面封边采用≥1.5mm厚PVC塑封条（环保一级），高温热熔胶封边，粘接牢固，无脱胶、无鼓泡。</w:t>
            </w:r>
            <w:r/>
          </w:p>
        </w:tc>
        <w:tc>
          <w:tcPr>
            <w:tcBorders>
              <w:top w:val="single" w:color="000000" w:sz="4" w:space="0"/>
              <w:left w:val="single" w:color="000000" w:sz="4" w:space="0"/>
              <w:bottom w:val="non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提供300*300mm多层板封边切角</w:t>
            </w:r>
            <w:r/>
          </w:p>
        </w:tc>
      </w:tr>
      <w:tr>
        <w:trPr>
          <w:trHeight w:val="55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阻尼铰链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金属件喷涂层无漏喷、锈蚀和脱色、掉色现象，光滑均匀、色泽一致，无流挂、疙瘩、皱皮、飞漆等缺陷。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投标人按常规样品自行考虑，大小无要求</w:t>
            </w:r>
            <w:r/>
          </w:p>
        </w:tc>
      </w:tr>
      <w:tr>
        <w:trPr>
          <w:trHeight w:val="63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三合一连接件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金属件喷涂层无漏喷、锈蚀和脱色、掉色现象，光滑均匀、色泽一致，无流挂、疙瘩、皱皮、飞漆等缺陷。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投标人按常规样品自行考虑，大小无要求</w:t>
            </w:r>
            <w:r/>
          </w:p>
        </w:tc>
      </w:tr>
      <w:tr>
        <w:trPr>
          <w:trHeight w:val="20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橡胶木板</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≥300*300mm</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板材外表面无刃角，棱角部位倒棱、倒圆角，线条均匀。</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提供300*300mm橡胶木坂</w:t>
            </w:r>
            <w:r/>
          </w:p>
        </w:tc>
      </w:tr>
      <w:tr>
        <w:trPr>
          <w:trHeight w:val="532"/>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拉手</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金属件喷涂层无漏喷、锈蚀和脱色、掉色现象，光滑均匀、色泽一致，无流挂、疙瘩、皱皮、飞漆等缺陷。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投标人按常规样品自行考虑，大小无要求</w:t>
            </w:r>
            <w:r/>
          </w:p>
        </w:tc>
      </w:tr>
    </w:tbl>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2.样品接收要求</w:t>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投标人提供的样品需为全新的产品</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建议样品固定在一张面板上（面板尺寸建议不大于1600mmx600mm），样品需注明样品名称、样品规格</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样品制作及运输费用由投标人自行承担，因投标人原因导致样品无法送达指定地点的，责任由投标人自负；</w:t>
      </w:r>
      <w:r>
        <w:rPr>
          <w:rFonts w:hint="eastAsia" w:ascii="宋体" w:hAnsi="宋体" w:eastAsia="宋体" w:cs="宋体"/>
          <w:sz w:val="24"/>
          <w:szCs w:val="24"/>
          <w:lang w:val="en-US" w:eastAsia="zh-CN"/>
        </w:rPr>
        <w:t xml:space="preserve">样品不可设置品牌要求，不可贴上投标单位名称；按样品清单列表准备样品，不可提供多余样品，否则由投标人自行处理多余内容。</w:t>
      </w:r>
      <w:r/>
    </w:p>
    <w:p>
      <w:pPr>
        <w:ind w:firstLine="48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投标人未提供样品或提供的样品不齐全或错误提供样品的，将按评分标准扣分；</w:t>
      </w:r>
      <w:r/>
    </w:p>
    <w:p>
      <w:pPr>
        <w:ind w:firstLine="480"/>
        <w:jc w:val="left"/>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样品提交时间：</w:t>
      </w:r>
      <w:r>
        <w:rPr>
          <w:rFonts w:hint="eastAsia" w:ascii="宋体" w:hAnsi="宋体" w:eastAsia="宋体" w:cs="宋体"/>
          <w:color w:val="000000" w:themeColor="text1"/>
          <w:sz w:val="24"/>
          <w:szCs w:val="24"/>
          <w:lang w:eastAsia="zh-CN"/>
          <w14:textFill>
            <w14:solidFill>
              <w14:schemeClr w14:val="tx1"/>
            </w14:solidFill>
          </w14:textFill>
        </w:rPr>
        <w:t xml:space="preserve">202</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15</w:t>
      </w:r>
      <w:r>
        <w:rPr>
          <w:rFonts w:hint="eastAsia" w:ascii="宋体" w:hAnsi="宋体" w:eastAsia="宋体" w:cs="宋体"/>
          <w:color w:val="000000" w:themeColor="text1"/>
          <w:sz w:val="24"/>
          <w:szCs w:val="24"/>
          <w14:textFill>
            <w14:solidFill>
              <w14:schemeClr w14:val="tx1"/>
            </w14:solidFill>
          </w14:textFill>
        </w:rPr>
        <w:t xml:space="preserve">日</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0起至</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0止，采购人不接收在样品递交截止时间后递交的样品。</w:t>
      </w:r>
      <w:r/>
    </w:p>
    <w:p>
      <w:pPr>
        <w:ind w:firstLine="480"/>
        <w:jc w:val="left"/>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样品由采购人负责接收，样品递交地点：宿迁市公共资源交易中心（宿迁市便民方舟2#11楼</w:t>
      </w:r>
      <w:r>
        <w:rPr>
          <w:rFonts w:hint="eastAsia" w:ascii="宋体" w:hAnsi="宋体" w:eastAsia="宋体" w:cs="宋体"/>
          <w:color w:val="000000" w:themeColor="text1"/>
          <w:sz w:val="24"/>
          <w:szCs w:val="24"/>
          <w:lang w:val="en-US" w:eastAsia="zh-CN"/>
          <w14:textFill>
            <w14:solidFill>
              <w14:schemeClr w14:val="tx1"/>
            </w14:solidFill>
          </w14:textFill>
        </w:rPr>
        <w:t xml:space="preserve">开标厅</w:t>
      </w:r>
      <w:r>
        <w:rPr>
          <w:rFonts w:hint="eastAsia" w:ascii="宋体" w:hAnsi="宋体" w:eastAsia="宋体" w:cs="宋体"/>
          <w:color w:val="000000" w:themeColor="text1"/>
          <w:sz w:val="24"/>
          <w:szCs w:val="24"/>
          <w14:textFill>
            <w14:solidFill>
              <w14:schemeClr w14:val="tx1"/>
            </w14:solidFill>
          </w14:textFill>
        </w:rPr>
        <w:t xml:space="preserve">，具体房间号</w:t>
      </w:r>
      <w:r>
        <w:rPr>
          <w:rFonts w:hint="eastAsia" w:ascii="宋体" w:hAnsi="宋体" w:eastAsia="宋体" w:cs="宋体"/>
          <w:color w:val="000000" w:themeColor="text1"/>
          <w:sz w:val="24"/>
          <w:szCs w:val="24"/>
          <w:lang w:val="en-US" w:eastAsia="zh-CN"/>
          <w14:textFill>
            <w14:solidFill>
              <w14:schemeClr w14:val="tx1"/>
            </w14:solidFill>
          </w14:textFill>
        </w:rPr>
        <w:t xml:space="preserve">按现场指示牌要求执行</w:t>
      </w:r>
      <w:r>
        <w:rPr>
          <w:rFonts w:hint="eastAsia" w:ascii="宋体" w:hAnsi="宋体" w:eastAsia="宋体" w:cs="宋体"/>
          <w:color w:val="000000" w:themeColor="text1"/>
          <w:sz w:val="24"/>
          <w:szCs w:val="24"/>
          <w14:textFill>
            <w14:solidFill>
              <w14:schemeClr w14:val="tx1"/>
            </w14:solidFill>
          </w14:textFill>
        </w:rPr>
        <w:t xml:space="preserve">）。联系人：</w:t>
      </w:r>
      <w:r>
        <w:rPr>
          <w:rFonts w:hint="eastAsia" w:ascii="宋体" w:hAnsi="宋体" w:eastAsia="宋体" w:cs="宋体"/>
          <w:color w:val="000000" w:themeColor="text1"/>
          <w:sz w:val="24"/>
          <w:szCs w:val="24"/>
          <w:lang w:val="en-US" w:eastAsia="zh-CN"/>
          <w14:textFill>
            <w14:solidFill>
              <w14:schemeClr w14:val="tx1"/>
            </w14:solidFill>
          </w14:textFill>
        </w:rPr>
        <w:t xml:space="preserve">王艳</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13347855557</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样品的退还。未中标样品</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招标投标活动结束后由投标人自行搬运离开（费用自理），各投标人应在接到退还通知后，5个小时内将样品搬离样品递交现场，超过时间未取走的，由采购人处置。中标人的样品由中标人负责运送到采购人指定地点并封存，采购人应做好全过程的监督工作。</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十</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十二、</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07"/>
        <w:rPr>
          <w:rFonts w:hint="eastAsia"/>
          <w:lang w:val="en-US" w:eastAsia="zh-CN"/>
        </w:rPr>
      </w:pPr>
      <w:r>
        <w:rPr>
          <w:rFonts w:hint="eastAsia"/>
          <w:lang w:val="en-US" w:eastAsia="zh-CN"/>
        </w:rPr>
      </w:r>
      <w:bookmarkEnd w:id="183"/>
      <w:r/>
      <w:r/>
    </w:p>
    <w:p>
      <w:pPr>
        <w:pStyle w:val="897"/>
        <w:jc w:val="center"/>
        <w:shd w:val="clear" w:color="auto"/>
        <w:rPr>
          <w:rFonts w:hint="eastAsia" w:ascii="宋体" w:hAnsi="宋体" w:eastAsia="宋体" w:cs="宋体"/>
          <w:b/>
          <w:bCs w:val="0"/>
          <w:color w:val="auto"/>
          <w:sz w:val="44"/>
          <w:highlight w:val="none"/>
        </w:rPr>
      </w:pPr>
      <w:r/>
      <w:bookmarkStart w:id="184" w:name="_Toc7441"/>
      <w:r>
        <w:rPr>
          <w:rFonts w:hint="eastAsia" w:ascii="宋体" w:hAnsi="宋体" w:eastAsia="宋体" w:cs="宋体"/>
          <w:b/>
          <w:bCs w:val="0"/>
          <w:color w:val="auto"/>
          <w:sz w:val="44"/>
          <w:highlight w:val="none"/>
        </w:rPr>
        <w:t xml:space="preserve">第五章  评标方法与评标标准</w:t>
      </w:r>
      <w:bookmarkEnd w:id="184"/>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901"/>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901"/>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901"/>
        <w:tblW w:w="10530" w:type="dxa"/>
        <w:tblInd w:w="-6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0"/>
        <w:gridCol w:w="750"/>
        <w:gridCol w:w="8760"/>
      </w:tblGrid>
      <w:tr>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评审因素</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分数</w:t>
            </w:r>
            <w:r/>
          </w:p>
        </w:tc>
        <w:tc>
          <w:tcPr>
            <w:tcW w:w="876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p>
        </w:tc>
      </w:tr>
      <w:tr>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w:t>
            </w:r>
            <w:r/>
          </w:p>
        </w:tc>
      </w:tr>
      <w:tr>
        <w:trPr>
          <w:trHeight w:val="1950"/>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技术参数响应</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针对招标文件“第四部分、采购需求”中的“</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、技术参数”所列内容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★项除外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进行评分，所投产品技术参数完全满足或优于招标文件技术参数要求的得</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分。“▲”为重点参数要求，每有一项（一个句号的完整内容为一“项”）不满足的扣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分；其余每有一项（一个句号的完整内容为一“项”）负偏离扣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分，扣完为止。</w:t>
            </w:r>
            <w:r/>
          </w:p>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注：投标人针对本项评分内容在投标文件《技术响应偏离表》中逐条列出响应及偏离情况，未在响应偏离表中列明偏离情况的对应项按负偏离进行扣分处理。</w:t>
            </w:r>
            <w:r/>
          </w:p>
        </w:tc>
      </w:tr>
      <w:tr>
        <w:trPr>
          <w:trHeight w:val="1586"/>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评审委员会根据投标人所提供样品进行评审。样品为：床边立</w:t>
            </w:r>
            <w:r>
              <w:rPr>
                <w:rFonts w:hint="eastAsia" w:ascii="宋体" w:hAnsi="宋体" w:eastAsia="宋体" w:cs="宋体"/>
                <w:color w:val="auto"/>
                <w:sz w:val="21"/>
                <w:szCs w:val="21"/>
                <w:highlight w:val="none"/>
              </w:rPr>
              <w:t xml:space="preserve">柱、</w:t>
            </w:r>
            <w:r>
              <w:rPr>
                <w:rFonts w:hint="eastAsia" w:ascii="宋体" w:hAnsi="宋体" w:eastAsia="宋体" w:cs="宋体"/>
                <w:color w:val="auto"/>
                <w:sz w:val="21"/>
                <w:szCs w:val="21"/>
                <w:highlight w:val="none"/>
                <w:lang w:val="en-US" w:eastAsia="zh-CN"/>
              </w:rPr>
              <w:t xml:space="preserve">床撑</w:t>
            </w:r>
            <w:r>
              <w:rPr>
                <w:rFonts w:hint="eastAsia" w:ascii="宋体" w:hAnsi="宋体" w:eastAsia="宋体" w:cs="宋体"/>
                <w:color w:val="auto"/>
                <w:sz w:val="21"/>
                <w:szCs w:val="21"/>
                <w:highlight w:val="none"/>
              </w:rPr>
              <w:t xml:space="preserve">、床铺横梁、踏板、18mm多层板封边、</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mm多层板封边、阻尼铰链、三合一</w:t>
            </w:r>
            <w:r>
              <w:rPr>
                <w:rFonts w:hint="eastAsia" w:ascii="宋体" w:hAnsi="宋体" w:eastAsia="宋体" w:cs="宋体"/>
                <w:sz w:val="21"/>
                <w:szCs w:val="21"/>
                <w:highlight w:val="none"/>
              </w:rPr>
              <w:t xml:space="preserve">连接件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橡胶木板、拉手</w:t>
            </w:r>
            <w:r>
              <w:rPr>
                <w:rFonts w:hint="eastAsia" w:ascii="宋体" w:hAnsi="宋体" w:eastAsia="宋体" w:cs="宋体"/>
                <w:sz w:val="21"/>
                <w:szCs w:val="21"/>
                <w:highlight w:val="none"/>
              </w:rPr>
              <w:t xml:space="preserve">，共1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项，每项1分。每项样品的外观、材质、工艺等方面优于“样品清单列表”要求的得1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分，符合“样品清单列表”要求的得0.</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分，不符合“样品清单列表”要求或未按要求提供样品的则该</w:t>
            </w:r>
            <w:r>
              <w:rPr>
                <w:rFonts w:hint="eastAsia" w:ascii="宋体" w:hAnsi="宋体" w:eastAsia="宋体" w:cs="宋体"/>
                <w:sz w:val="21"/>
                <w:szCs w:val="21"/>
                <w:highlight w:val="none"/>
                <w:lang w:val="en-US" w:eastAsia="zh-CN"/>
              </w:rPr>
              <w:t xml:space="preserve">对应项</w:t>
            </w:r>
            <w:r>
              <w:rPr>
                <w:rFonts w:hint="eastAsia" w:ascii="宋体" w:hAnsi="宋体" w:eastAsia="宋体" w:cs="宋体"/>
                <w:sz w:val="21"/>
                <w:szCs w:val="21"/>
                <w:highlight w:val="none"/>
              </w:rPr>
              <w:t xml:space="preserve">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本项最高1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tc>
      </w:tr>
      <w:tr>
        <w:trPr>
          <w:trHeight w:val="1620"/>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 xml:space="preserve">环境标志</w:t>
            </w:r>
            <w:r>
              <w:rPr>
                <w:rFonts w:hint="eastAsia" w:ascii="宋体" w:hAnsi="宋体" w:eastAsia="宋体" w:cs="宋体"/>
                <w:sz w:val="21"/>
                <w:szCs w:val="21"/>
                <w:highlight w:val="none"/>
                <w:lang w:bidi="ar"/>
              </w:rPr>
              <w:t xml:space="preserve">认证</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p>
        </w:tc>
        <w:tc>
          <w:tcPr>
            <w:tcW w:w="8760" w:type="dxa"/>
            <w:vAlign w:val="center"/>
            <w:textDirection w:val="lrTb"/>
            <w:noWrap w:val="false"/>
          </w:tcPr>
          <w:p>
            <w:pP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所投产品在财政部、生态环境部公布的“环境标志产品政府采购品目清单”内，且投标文件中提供</w:t>
            </w:r>
            <w:r>
              <w:rPr>
                <w:rFonts w:hint="eastAsia" w:ascii="宋体" w:hAnsi="宋体" w:eastAsia="宋体" w:cs="宋体"/>
                <w:sz w:val="21"/>
                <w:szCs w:val="21"/>
                <w:highlight w:val="none"/>
                <w:lang w:eastAsia="zh-CN"/>
              </w:rPr>
              <w:t xml:space="preserve">国家市场监督管理总局</w:t>
            </w:r>
            <w:r>
              <w:rPr>
                <w:rFonts w:hint="eastAsia" w:ascii="宋体" w:hAnsi="宋体" w:eastAsia="宋体" w:cs="宋体"/>
                <w:sz w:val="21"/>
                <w:szCs w:val="21"/>
                <w:highlight w:val="none"/>
              </w:rPr>
              <w:t xml:space="preserve">确定的列入“参与实施政府采购环境标志产品认证机构名录”内的认证机构出具的、有效期内的该产品环境认证证书电子件的，认证单元每有一项与本项目采购产品相关的得1分，本项最高得2分。注：投标文件提供上述证书电子件和在国家市场监督管理总局全国认证认可信息公共服务平台查询认证完整页面截图，未提供的不得分。</w:t>
            </w:r>
            <w:r/>
          </w:p>
        </w:tc>
      </w:tr>
      <w:tr>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企业业绩</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年1月1日（以合同签订时间为准）以来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承担过与本项目类似业绩，每提供一个得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分。注：1、业绩需同时提供项目中标（成交）通知书、合同及验收合格材料电子件，且业绩合同中主要内容、标的、金额等清晰可见，否则该业绩不得分；2、中标</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提供的业绩将随中标结果同步公开。</w:t>
            </w:r>
            <w:r/>
          </w:p>
        </w:tc>
      </w:tr>
      <w:tr>
        <w:trPr>
          <w:trHeight w:val="90"/>
        </w:trPr>
        <w:tc>
          <w:tcPr>
            <w:tcW w:w="1020" w:type="dxa"/>
            <w:vAlign w:val="center"/>
            <w:vMerge w:val="restart"/>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项目实施方案</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投标人根据招标文件“第四部分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、整体项目实施要求”</w:t>
            </w:r>
            <w:r>
              <w:rPr>
                <w:rFonts w:hint="eastAsia" w:ascii="宋体" w:hAnsi="宋体" w:eastAsia="宋体" w:cs="宋体"/>
                <w:sz w:val="21"/>
                <w:szCs w:val="21"/>
                <w:highlight w:val="none"/>
                <w:lang w:val="en-US" w:eastAsia="zh-CN"/>
              </w:rPr>
              <w:t xml:space="preserve">中“质量保障措施要求、进度安排要求、现场管理要求”</w:t>
            </w:r>
            <w:r>
              <w:rPr>
                <w:rFonts w:hint="eastAsia" w:ascii="宋体" w:hAnsi="宋体" w:eastAsia="宋体" w:cs="宋体"/>
                <w:sz w:val="21"/>
                <w:szCs w:val="21"/>
                <w:highlight w:val="none"/>
              </w:rPr>
              <w:t xml:space="preserve">制定项目实施方案，评标委员会根据投标人提供的项目实施方案进行打分，优于采购需求的，得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分；满足采购需求的，得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；其他情况</w:t>
            </w:r>
            <w:r>
              <w:rPr>
                <w:rFonts w:hint="eastAsia" w:ascii="宋体" w:hAnsi="宋体" w:eastAsia="宋体" w:cs="宋体"/>
                <w:sz w:val="21"/>
                <w:szCs w:val="21"/>
                <w:highlight w:val="none"/>
              </w:rPr>
              <w:t xml:space="preserve">或没有内容的不得分。</w:t>
            </w:r>
            <w:r/>
          </w:p>
        </w:tc>
      </w:tr>
      <w:tr>
        <w:trPr>
          <w:trHeight w:val="90"/>
        </w:trPr>
        <w:tc>
          <w:tcPr>
            <w:tcW w:w="1020"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0"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投标人根据招标文件“第四部分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、整体项目实施要求”</w:t>
            </w:r>
            <w:r>
              <w:rPr>
                <w:rFonts w:hint="eastAsia" w:ascii="宋体" w:hAnsi="宋体" w:eastAsia="宋体" w:cs="宋体"/>
                <w:sz w:val="21"/>
                <w:szCs w:val="21"/>
                <w:highlight w:val="none"/>
                <w:lang w:val="en-US" w:eastAsia="zh-CN"/>
              </w:rPr>
              <w:t xml:space="preserve">中“突发事件处置要求、配送要求和安装要求”</w:t>
            </w:r>
            <w:r>
              <w:rPr>
                <w:rFonts w:hint="eastAsia" w:ascii="宋体" w:hAnsi="宋体" w:eastAsia="宋体" w:cs="宋体"/>
                <w:sz w:val="21"/>
                <w:szCs w:val="21"/>
                <w:highlight w:val="none"/>
              </w:rPr>
              <w:t xml:space="preserve">制定项目实施方案，评标委员会根据投标人提供的项目实施方案进行打分，优于采购需求的，得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分；满足采购需求的，得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；其他情况</w:t>
            </w:r>
            <w:r>
              <w:rPr>
                <w:rFonts w:hint="eastAsia" w:ascii="宋体" w:hAnsi="宋体" w:eastAsia="宋体" w:cs="宋体"/>
                <w:sz w:val="21"/>
                <w:szCs w:val="21"/>
                <w:highlight w:val="none"/>
              </w:rPr>
              <w:t xml:space="preserve">或没有内容的不得分。</w:t>
            </w:r>
            <w:r/>
          </w:p>
        </w:tc>
      </w:tr>
      <w:tr>
        <w:trPr>
          <w:trHeight w:val="957"/>
        </w:trPr>
        <w:tc>
          <w:tcPr>
            <w:tcW w:w="10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售后服务方案</w:t>
            </w:r>
            <w:r/>
          </w:p>
        </w:tc>
        <w:tc>
          <w:tcPr>
            <w:tcW w:w="7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8分</w:t>
            </w:r>
            <w:r/>
          </w:p>
        </w:tc>
        <w:tc>
          <w:tcPr>
            <w:tcW w:w="876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投标人根据招标文件“第四部分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、售后服务要求”制定售后服务方案 ，评标委员会根据投标人提供的售后服务方案进行打分，优于采购需求的，得 </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分；满足采购需求的，得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其他情况</w:t>
            </w:r>
            <w:r>
              <w:rPr>
                <w:rFonts w:hint="eastAsia" w:ascii="宋体" w:hAnsi="宋体" w:eastAsia="宋体" w:cs="宋体"/>
                <w:sz w:val="21"/>
                <w:szCs w:val="21"/>
                <w:highlight w:val="none"/>
              </w:rPr>
              <w:t xml:space="preserve">或没有内容的不得分。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97"/>
        <w:jc w:val="center"/>
        <w:shd w:val="clear" w:color="auto"/>
        <w:rPr>
          <w:rFonts w:hint="eastAsia" w:ascii="宋体" w:hAnsi="宋体" w:eastAsia="宋体" w:cs="宋体"/>
          <w:b/>
          <w:bCs w:val="0"/>
          <w:color w:val="auto"/>
          <w:sz w:val="44"/>
          <w:highlight w:val="none"/>
        </w:rPr>
      </w:pPr>
      <w:r/>
      <w:bookmarkStart w:id="185" w:name="_Toc20454"/>
      <w:r>
        <w:rPr>
          <w:rFonts w:hint="eastAsia" w:ascii="宋体" w:hAnsi="宋体" w:eastAsia="宋体" w:cs="宋体"/>
          <w:b/>
          <w:bCs w:val="0"/>
          <w:color w:val="auto"/>
          <w:sz w:val="44"/>
          <w:highlight w:val="none"/>
        </w:rPr>
        <w:t xml:space="preserve">第六章  投标文件格式</w:t>
      </w:r>
      <w:bookmarkEnd w:id="185"/>
      <w:r/>
      <w:r/>
    </w:p>
    <w:p>
      <w:pPr>
        <w:jc w:val="center"/>
        <w:shd w:val="clear" w:color="auto"/>
        <w:rPr>
          <w:rFonts w:hint="eastAsia" w:ascii="宋体" w:hAnsi="宋体" w:eastAsia="宋体" w:cs="宋体"/>
          <w:b/>
          <w:color w:val="auto"/>
          <w:sz w:val="72"/>
          <w:highlight w:val="none"/>
        </w:rPr>
      </w:pPr>
      <w:r/>
      <w:bookmarkStart w:id="186" w:name="_Hlt26671244"/>
      <w:r/>
      <w:bookmarkEnd w:id="186"/>
      <w:r/>
      <w:bookmarkStart w:id="187" w:name="_Hlt26955039"/>
      <w:r/>
      <w:bookmarkEnd w:id="187"/>
      <w:r/>
      <w:bookmarkStart w:id="188" w:name="_Toc49090576"/>
      <w:r/>
      <w:bookmarkStart w:id="189" w:name="_Toc120614282"/>
      <w:r/>
      <w:bookmarkStart w:id="190"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14"/>
        <w:shd w:val="clear" w:color="auto"/>
        <w:rPr>
          <w:rFonts w:hint="eastAsia" w:ascii="宋体" w:hAnsi="宋体" w:eastAsia="宋体" w:cs="宋体"/>
          <w:b/>
          <w:color w:val="auto"/>
          <w:sz w:val="32"/>
          <w:szCs w:val="32"/>
          <w:highlight w:val="none"/>
        </w:rPr>
        <w:outlineLvl w:val="1"/>
      </w:pPr>
      <w:r/>
      <w:bookmarkStart w:id="191" w:name="_Toc23838"/>
      <w:r>
        <w:rPr>
          <w:rFonts w:hint="eastAsia" w:ascii="宋体" w:hAnsi="宋体" w:eastAsia="宋体" w:cs="宋体"/>
          <w:color w:val="auto"/>
          <w:highlight w:val="none"/>
        </w:rPr>
        <w:br w:type="page" w:clear="all"/>
      </w:r>
      <w:bookmarkEnd w:id="191"/>
      <w:r>
        <w:rPr>
          <w:rFonts w:hint="eastAsia" w:ascii="宋体" w:hAnsi="宋体" w:eastAsia="宋体" w:cs="宋体"/>
          <w:b/>
          <w:color w:val="auto"/>
          <w:sz w:val="32"/>
          <w:szCs w:val="32"/>
          <w:highlight w:val="none"/>
        </w:rPr>
        <w:t xml:space="preserve">一、</w:t>
      </w:r>
      <w:bookmarkEnd w:id="188"/>
      <w:r/>
      <w:bookmarkEnd w:id="189"/>
      <w:r/>
      <w:bookmarkEnd w:id="190"/>
      <w:r>
        <w:rPr>
          <w:rFonts w:hint="eastAsia" w:ascii="宋体" w:hAnsi="宋体" w:eastAsia="宋体" w:cs="宋体"/>
          <w:b/>
          <w:color w:val="auto"/>
          <w:sz w:val="32"/>
          <w:szCs w:val="32"/>
          <w:highlight w:val="none"/>
        </w:rPr>
        <w:t xml:space="preserve">投标声明及承诺函</w:t>
      </w:r>
      <w:r/>
    </w:p>
    <w:p>
      <w:pPr>
        <w:pStyle w:val="915"/>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15"/>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15"/>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14"/>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16"/>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16"/>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16"/>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16"/>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16"/>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16"/>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5"/>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17"/>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17"/>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JSZC-321300-JSQZ-G2026-0010</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宿迁幼儿师范高等专科学校泽园一、二宿舍学生公寓床采购项目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17"/>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17"/>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17"/>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17"/>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17"/>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17"/>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17"/>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17"/>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92" w:name="_Hlt26955070"/>
      <w:r/>
      <w:bookmarkEnd w:id="192"/>
      <w:r/>
      <w:bookmarkStart w:id="193" w:name="_Hlt26671380"/>
      <w:r/>
      <w:bookmarkEnd w:id="193"/>
      <w:r/>
      <w:bookmarkStart w:id="194" w:name="_格式3__银行出具的资信证明"/>
      <w:r/>
      <w:bookmarkEnd w:id="194"/>
      <w:r>
        <w:rPr>
          <w:rFonts w:hint="eastAsia" w:ascii="宋体" w:hAnsi="宋体" w:eastAsia="宋体" w:cs="宋体"/>
          <w:color w:val="auto"/>
          <w:sz w:val="24"/>
          <w:szCs w:val="24"/>
          <w:highlight w:val="none"/>
          <w:u w:val="single"/>
        </w:rPr>
        <w:t xml:space="preserve">                                            </w:t>
      </w:r>
      <w:r/>
    </w:p>
    <w:p>
      <w:pPr>
        <w:pStyle w:val="902"/>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902"/>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宿迁幼儿师范高等专科学校泽园一、二宿舍学生公寓床采购项目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JSZC-321300-JSQZ-G2026-0010</w:t>
      </w:r>
      <w:r/>
    </w:p>
    <w:tbl>
      <w:tblPr>
        <w:tblStyle w:val="901"/>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rPr>
                <w:rFonts w:hint="eastAsia" w:ascii="宋体" w:hAnsi="宋体"/>
                <w:b/>
                <w:bCs/>
                <w:color w:val="000000"/>
                <w:sz w:val="24"/>
                <w:szCs w:val="24"/>
                <w:highlight w:val="none"/>
              </w:rPr>
            </w:r>
            <w:r/>
          </w:p>
        </w:tc>
      </w:tr>
      <w:tr>
        <w:trPr>
          <w:cantSplit/>
          <w:trHeight w:val="592"/>
        </w:trPr>
        <w:tc>
          <w:tcPr>
            <w:tcW w:w="1725" w:type="dxa"/>
            <w:vAlign w:val="center"/>
            <w:textDirection w:val="lrTb"/>
            <w:noWrap w:val="false"/>
          </w:tcPr>
          <w:p>
            <w:pPr>
              <w:pStyle w:val="908"/>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bookmarkStart w:id="202" w:name="_GoBack"/>
            <w:r/>
            <w:bookmarkEnd w:id="202"/>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08"/>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08"/>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08"/>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8"/>
          <w:footerReference w:type="default" r:id="rId10"/>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1"/>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07"/>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18"/>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18"/>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18"/>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18"/>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18"/>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18"/>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18"/>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8"/>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901"/>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906"/>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90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06"/>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06"/>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06"/>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0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0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19"/>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906"/>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906"/>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95" w:name="_Toc11176"/>
      <w:r>
        <w:rPr>
          <w:rFonts w:hint="eastAsia" w:ascii="宋体" w:hAnsi="宋体" w:eastAsia="宋体" w:cs="宋体"/>
          <w:b/>
          <w:color w:val="auto"/>
          <w:sz w:val="32"/>
          <w:highlight w:val="none"/>
        </w:rPr>
        <w:t xml:space="preserve">十、</w:t>
      </w:r>
      <w:bookmarkEnd w:id="195"/>
      <w:r>
        <w:rPr>
          <w:rFonts w:hint="eastAsia" w:ascii="宋体" w:hAnsi="宋体" w:eastAsia="宋体" w:cs="宋体"/>
          <w:b/>
          <w:color w:val="auto"/>
          <w:sz w:val="32"/>
          <w:highlight w:val="none"/>
        </w:rPr>
        <w:t xml:space="preserve">企业业绩</w:t>
      </w:r>
      <w:r/>
    </w:p>
    <w:p>
      <w:pPr>
        <w:pStyle w:val="921"/>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90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2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2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21"/>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196" w:name="_Toc28140"/>
      <w:r/>
      <w:r/>
    </w:p>
    <w:p>
      <w:pPr>
        <w:pStyle w:val="923"/>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23"/>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8"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9"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10"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11"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1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13"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1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196"/>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02"/>
        <w:ind w:firstLine="0"/>
        <w:shd w:val="clear" w:color="auto"/>
        <w:rPr>
          <w:rFonts w:hint="eastAsia" w:ascii="宋体" w:hAnsi="宋体" w:eastAsia="宋体" w:cs="宋体"/>
          <w:color w:val="auto"/>
          <w:sz w:val="24"/>
          <w:highlight w:val="none"/>
        </w:rPr>
      </w:pPr>
      <w:r/>
      <w:bookmarkStart w:id="197" w:name="_Hlt26609389"/>
      <w:r/>
      <w:bookmarkEnd w:id="197"/>
      <w:r/>
      <w:bookmarkStart w:id="198" w:name="_Hlt26671374"/>
      <w:r/>
      <w:bookmarkEnd w:id="198"/>
      <w:r/>
      <w:bookmarkStart w:id="199" w:name="_Hlt26955066"/>
      <w:r/>
      <w:bookmarkEnd w:id="199"/>
      <w:r/>
      <w:bookmarkStart w:id="200" w:name="_Toc462564146"/>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00"/>
      <w:r/>
      <w:r/>
    </w:p>
    <w:p>
      <w:pPr>
        <w:pStyle w:val="909"/>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9"/>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numPr>
          <w:ilvl w:val="0"/>
          <w:numId w:val="0"/>
        </w:numPr>
        <w:shd w:val="clear" w:color="auto"/>
        <w:rPr>
          <w:rFonts w:hint="eastAsia" w:ascii="宋体" w:hAnsi="宋体" w:eastAsia="宋体" w:cs="宋体"/>
          <w:color w:val="auto"/>
          <w:highlight w:val="none"/>
          <w:lang w:val="en-US" w:eastAsia="zh-CN"/>
        </w:rPr>
        <w:outlineLvl w:val="1"/>
      </w:pPr>
      <w:r/>
      <w:bookmarkStart w:id="201" w:name="_格式2__法定代表人授权书"/>
      <w:r/>
      <w:bookmarkEnd w:id="201"/>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24"/>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9"/>
      <w:footerReference w:type="default" r:id="rId11"/>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Times New Roman">
    <w:panose1 w:val="02020603050405020304"/>
  </w:font>
  <w:font w:name="Calibri">
    <w:panose1 w:val="020F0502020204030204"/>
  </w:font>
  <w:font w:name="黑体">
    <w:panose1 w:val="02010609060101010101"/>
  </w:font>
  <w:font w:name="仿宋_GB2312">
    <w:panose1 w:val="0201060906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900"/>
    <w:link w:val="897"/>
    <w:uiPriority w:val="9"/>
    <w:rPr>
      <w:rFonts w:ascii="Arial" w:hAnsi="Arial" w:eastAsia="Arial" w:cs="Arial"/>
      <w:sz w:val="40"/>
      <w:szCs w:val="40"/>
    </w:rPr>
  </w:style>
  <w:style w:type="paragraph" w:styleId="725">
    <w:name w:val="Heading 2"/>
    <w:basedOn w:val="896"/>
    <w:next w:val="896"/>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basedOn w:val="900"/>
    <w:link w:val="725"/>
    <w:uiPriority w:val="9"/>
    <w:rPr>
      <w:rFonts w:ascii="Arial" w:hAnsi="Arial" w:eastAsia="Arial" w:cs="Arial"/>
      <w:sz w:val="34"/>
    </w:rPr>
  </w:style>
  <w:style w:type="character" w:styleId="727">
    <w:name w:val="Heading 3 Char"/>
    <w:basedOn w:val="900"/>
    <w:link w:val="898"/>
    <w:uiPriority w:val="9"/>
    <w:rPr>
      <w:rFonts w:ascii="Arial" w:hAnsi="Arial" w:eastAsia="Arial" w:cs="Arial"/>
      <w:sz w:val="30"/>
      <w:szCs w:val="30"/>
    </w:rPr>
  </w:style>
  <w:style w:type="character" w:styleId="728">
    <w:name w:val="Heading 4 Char"/>
    <w:basedOn w:val="900"/>
    <w:link w:val="899"/>
    <w:uiPriority w:val="9"/>
    <w:rPr>
      <w:rFonts w:ascii="Arial" w:hAnsi="Arial" w:eastAsia="Arial" w:cs="Arial"/>
      <w:b/>
      <w:bCs/>
      <w:sz w:val="26"/>
      <w:szCs w:val="26"/>
    </w:rPr>
  </w:style>
  <w:style w:type="paragraph" w:styleId="729">
    <w:name w:val="Heading 5"/>
    <w:basedOn w:val="896"/>
    <w:next w:val="896"/>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basedOn w:val="900"/>
    <w:link w:val="729"/>
    <w:uiPriority w:val="9"/>
    <w:rPr>
      <w:rFonts w:ascii="Arial" w:hAnsi="Arial" w:eastAsia="Arial" w:cs="Arial"/>
      <w:b/>
      <w:bCs/>
      <w:sz w:val="24"/>
      <w:szCs w:val="24"/>
    </w:rPr>
  </w:style>
  <w:style w:type="paragraph" w:styleId="731">
    <w:name w:val="Heading 6"/>
    <w:basedOn w:val="896"/>
    <w:next w:val="896"/>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basedOn w:val="900"/>
    <w:link w:val="731"/>
    <w:uiPriority w:val="9"/>
    <w:rPr>
      <w:rFonts w:ascii="Arial" w:hAnsi="Arial" w:eastAsia="Arial" w:cs="Arial"/>
      <w:b/>
      <w:bCs/>
      <w:sz w:val="22"/>
      <w:szCs w:val="22"/>
    </w:rPr>
  </w:style>
  <w:style w:type="paragraph" w:styleId="733">
    <w:name w:val="Heading 7"/>
    <w:basedOn w:val="896"/>
    <w:next w:val="896"/>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basedOn w:val="900"/>
    <w:link w:val="733"/>
    <w:uiPriority w:val="9"/>
    <w:rPr>
      <w:rFonts w:ascii="Arial" w:hAnsi="Arial" w:eastAsia="Arial" w:cs="Arial"/>
      <w:b/>
      <w:bCs/>
      <w:i/>
      <w:iCs/>
      <w:sz w:val="22"/>
      <w:szCs w:val="22"/>
    </w:rPr>
  </w:style>
  <w:style w:type="paragraph" w:styleId="735">
    <w:name w:val="Heading 8"/>
    <w:basedOn w:val="896"/>
    <w:next w:val="896"/>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basedOn w:val="900"/>
    <w:link w:val="735"/>
    <w:uiPriority w:val="9"/>
    <w:rPr>
      <w:rFonts w:ascii="Arial" w:hAnsi="Arial" w:eastAsia="Arial" w:cs="Arial"/>
      <w:i/>
      <w:iCs/>
      <w:sz w:val="22"/>
      <w:szCs w:val="22"/>
    </w:rPr>
  </w:style>
  <w:style w:type="paragraph" w:styleId="737">
    <w:name w:val="Heading 9"/>
    <w:basedOn w:val="896"/>
    <w:next w:val="896"/>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basedOn w:val="900"/>
    <w:link w:val="737"/>
    <w:uiPriority w:val="9"/>
    <w:rPr>
      <w:rFonts w:ascii="Arial" w:hAnsi="Arial" w:eastAsia="Arial" w:cs="Arial"/>
      <w:i/>
      <w:iCs/>
      <w:sz w:val="21"/>
      <w:szCs w:val="21"/>
    </w:rPr>
  </w:style>
  <w:style w:type="paragraph" w:styleId="739">
    <w:name w:val="List Paragraph"/>
    <w:basedOn w:val="896"/>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6"/>
    <w:next w:val="896"/>
    <w:link w:val="742"/>
    <w:uiPriority w:val="10"/>
    <w:qFormat/>
    <w:pPr>
      <w:contextualSpacing/>
      <w:spacing w:before="300" w:after="200"/>
    </w:pPr>
    <w:rPr>
      <w:sz w:val="48"/>
      <w:szCs w:val="48"/>
    </w:rPr>
  </w:style>
  <w:style w:type="character" w:styleId="742">
    <w:name w:val="Title Char"/>
    <w:basedOn w:val="900"/>
    <w:link w:val="741"/>
    <w:uiPriority w:val="10"/>
    <w:rPr>
      <w:sz w:val="48"/>
      <w:szCs w:val="48"/>
    </w:rPr>
  </w:style>
  <w:style w:type="paragraph" w:styleId="743">
    <w:name w:val="Subtitle"/>
    <w:basedOn w:val="896"/>
    <w:next w:val="896"/>
    <w:link w:val="744"/>
    <w:uiPriority w:val="11"/>
    <w:qFormat/>
    <w:pPr>
      <w:spacing w:before="200" w:after="200"/>
    </w:pPr>
    <w:rPr>
      <w:sz w:val="24"/>
      <w:szCs w:val="24"/>
    </w:rPr>
  </w:style>
  <w:style w:type="character" w:styleId="744">
    <w:name w:val="Subtitle Char"/>
    <w:basedOn w:val="900"/>
    <w:link w:val="743"/>
    <w:uiPriority w:val="11"/>
    <w:rPr>
      <w:sz w:val="24"/>
      <w:szCs w:val="24"/>
    </w:rPr>
  </w:style>
  <w:style w:type="paragraph" w:styleId="745">
    <w:name w:val="Quote"/>
    <w:basedOn w:val="896"/>
    <w:next w:val="896"/>
    <w:link w:val="746"/>
    <w:uiPriority w:val="29"/>
    <w:qFormat/>
    <w:pPr>
      <w:ind w:left="720" w:right="720"/>
    </w:pPr>
    <w:rPr>
      <w:i/>
    </w:rPr>
  </w:style>
  <w:style w:type="character" w:styleId="746">
    <w:name w:val="Quote Char"/>
    <w:link w:val="745"/>
    <w:uiPriority w:val="29"/>
    <w:rPr>
      <w:i/>
    </w:rPr>
  </w:style>
  <w:style w:type="paragraph" w:styleId="747">
    <w:name w:val="Intense Quote"/>
    <w:basedOn w:val="896"/>
    <w:next w:val="896"/>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900"/>
    <w:link w:val="904"/>
    <w:uiPriority w:val="99"/>
  </w:style>
  <w:style w:type="character" w:styleId="750">
    <w:name w:val="Footer Char"/>
    <w:basedOn w:val="900"/>
    <w:link w:val="903"/>
    <w:uiPriority w:val="99"/>
  </w:style>
  <w:style w:type="paragraph" w:styleId="751">
    <w:name w:val="Caption"/>
    <w:basedOn w:val="896"/>
    <w:next w:val="896"/>
    <w:uiPriority w:val="35"/>
    <w:semiHidden/>
    <w:unhideWhenUsed/>
    <w:qFormat/>
    <w:pPr>
      <w:spacing w:line="276" w:lineRule="auto"/>
    </w:pPr>
    <w:rPr>
      <w:b/>
      <w:bCs/>
      <w:color w:val="4f81bd" w:themeColor="accent1"/>
      <w:sz w:val="18"/>
      <w:szCs w:val="18"/>
    </w:rPr>
  </w:style>
  <w:style w:type="character" w:styleId="752">
    <w:name w:val="Caption Char"/>
    <w:basedOn w:val="751"/>
    <w:link w:val="903"/>
    <w:uiPriority w:val="99"/>
  </w:style>
  <w:style w:type="table" w:styleId="753">
    <w:name w:val="Table Grid"/>
    <w:basedOn w:val="9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0">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1">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2">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3">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4">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5">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6">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7">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8">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9">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0">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3">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4">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5">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6">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7">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6">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7">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8">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9">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0">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1">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3">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4">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5">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6">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7">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8">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6"/>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0"/>
    <w:uiPriority w:val="99"/>
    <w:unhideWhenUsed/>
    <w:rPr>
      <w:vertAlign w:val="superscript"/>
    </w:rPr>
  </w:style>
  <w:style w:type="paragraph" w:styleId="883">
    <w:name w:val="endnote text"/>
    <w:basedOn w:val="896"/>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0"/>
    <w:uiPriority w:val="99"/>
    <w:semiHidden/>
    <w:unhideWhenUsed/>
    <w:rPr>
      <w:vertAlign w:val="superscript"/>
    </w:r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rPr>
      <w:rFonts w:hint="default" w:asciiTheme="minorHAnsi" w:hAnsiTheme="minorHAnsi" w:eastAsiaTheme="minorEastAsia" w:cstheme="minorBidi"/>
      <w:sz w:val="21"/>
      <w:szCs w:val="22"/>
      <w:lang w:val="en-US" w:eastAsia="zh-CN" w:bidi="ar-SA"/>
    </w:rPr>
  </w:style>
  <w:style w:type="paragraph" w:styleId="897">
    <w:name w:val="Heading 1"/>
    <w:basedOn w:val="896"/>
    <w:next w:val="896"/>
    <w:uiPriority w:val="9"/>
    <w:qFormat/>
    <w:pPr>
      <w:keepLines/>
      <w:keepNext/>
      <w:spacing w:before="480" w:after="200"/>
      <w:outlineLvl w:val="0"/>
    </w:pPr>
    <w:rPr>
      <w:rFonts w:ascii="Arial" w:hAnsi="Arial" w:eastAsia="Arial" w:cs="Arial"/>
      <w:sz w:val="40"/>
      <w:szCs w:val="40"/>
    </w:rPr>
  </w:style>
  <w:style w:type="paragraph" w:styleId="898">
    <w:name w:val="Heading 3"/>
    <w:basedOn w:val="896"/>
    <w:next w:val="902"/>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6"/>
    <w:next w:val="902"/>
    <w:uiPriority w:val="9"/>
    <w:unhideWhenUsed/>
    <w:qFormat/>
    <w:pPr>
      <w:keepLines/>
      <w:keepNext/>
      <w:spacing w:before="320" w:after="200"/>
      <w:outlineLvl w:val="3"/>
    </w:pPr>
    <w:rPr>
      <w:rFonts w:ascii="Arial" w:hAnsi="Arial" w:eastAsia="Arial" w:cs="Arial"/>
      <w:b/>
      <w:bCs/>
      <w:sz w:val="26"/>
      <w:szCs w:val="26"/>
    </w:rPr>
  </w:style>
  <w:style w:type="character" w:styleId="900" w:default="1">
    <w:name w:val="Default Paragraph Font"/>
    <w:uiPriority w:val="0"/>
    <w:semiHidden/>
    <w:qFormat/>
  </w:style>
  <w:style w:type="table" w:styleId="901" w:default="1">
    <w:name w:val="Normal Table"/>
    <w:uiPriority w:val="0"/>
    <w:semiHidden/>
    <w:qFormat/>
    <w:tblPr>
      <w:tblCellMar>
        <w:left w:w="108" w:type="dxa"/>
        <w:top w:w="0" w:type="dxa"/>
        <w:right w:w="108" w:type="dxa"/>
        <w:bottom w:w="0" w:type="dxa"/>
      </w:tblCellMar>
    </w:tblPr>
  </w:style>
  <w:style w:type="paragraph" w:styleId="902">
    <w:name w:val="Normal Indent"/>
    <w:basedOn w:val="896"/>
    <w:next w:val="896"/>
    <w:uiPriority w:val="0"/>
    <w:qFormat/>
    <w:pPr>
      <w:ind w:firstLine="420"/>
    </w:pPr>
  </w:style>
  <w:style w:type="paragraph" w:styleId="903">
    <w:name w:val="Footer"/>
    <w:basedOn w:val="896"/>
    <w:uiPriority w:val="99"/>
    <w:unhideWhenUsed/>
    <w:qFormat/>
    <w:pPr>
      <w:tabs>
        <w:tab w:val="center" w:pos="7143" w:leader="none"/>
        <w:tab w:val="right" w:pos="14287" w:leader="none"/>
      </w:tabs>
    </w:pPr>
  </w:style>
  <w:style w:type="paragraph" w:styleId="904">
    <w:name w:val="Header"/>
    <w:basedOn w:val="896"/>
    <w:uiPriority w:val="99"/>
    <w:unhideWhenUsed/>
    <w:qFormat/>
    <w:pPr>
      <w:tabs>
        <w:tab w:val="center" w:pos="7143" w:leader="none"/>
        <w:tab w:val="right" w:pos="14287" w:leader="none"/>
      </w:tabs>
    </w:pPr>
  </w:style>
  <w:style w:type="paragraph" w:styleId="905">
    <w:name w:val="toc 1"/>
    <w:basedOn w:val="896"/>
    <w:next w:val="896"/>
    <w:uiPriority w:val="39"/>
    <w:unhideWhenUsed/>
    <w:qFormat/>
    <w:pPr>
      <w:spacing w:after="57"/>
    </w:pPr>
  </w:style>
  <w:style w:type="paragraph" w:styleId="906">
    <w:name w:val="Normal (Web)"/>
    <w:basedOn w:val="896"/>
    <w:uiPriority w:val="99"/>
    <w:qFormat/>
    <w:pPr>
      <w:spacing w:before="100" w:beforeAutospacing="1" w:after="100" w:afterAutospacing="1"/>
    </w:pPr>
    <w:rPr>
      <w:rFonts w:ascii="宋体" w:hAnsi="宋体" w:cs="宋体"/>
      <w:sz w:val="24"/>
      <w:szCs w:val="24"/>
    </w:rPr>
  </w:style>
  <w:style w:type="paragraph" w:styleId="907" w:customStyle="1">
    <w:name w:val="正文文本缩进11"/>
    <w:basedOn w:val="896"/>
    <w:next w:val="896"/>
    <w:uiPriority w:val="0"/>
    <w:qFormat/>
    <w:pPr>
      <w:ind w:firstLine="225"/>
    </w:pPr>
    <w:rPr>
      <w:rFonts w:ascii="仿宋_GB2312" w:eastAsia="仿宋_GB2312"/>
      <w:sz w:val="32"/>
    </w:rPr>
  </w:style>
  <w:style w:type="paragraph" w:styleId="908" w:customStyle="1">
    <w:name w:val="普通正文"/>
    <w:basedOn w:val="896"/>
    <w:uiPriority w:val="0"/>
    <w:qFormat/>
    <w:pPr>
      <w:ind w:firstLine="480"/>
      <w:spacing w:before="120" w:after="120" w:line="360" w:lineRule="auto"/>
    </w:pPr>
    <w:rPr>
      <w:rFonts w:ascii="Arial" w:hAnsi="Arial"/>
      <w:sz w:val="24"/>
      <w:szCs w:val="24"/>
    </w:rPr>
  </w:style>
  <w:style w:type="paragraph" w:styleId="909" w:customStyle="1">
    <w:name w:val="正文空2字"/>
    <w:basedOn w:val="910"/>
    <w:uiPriority w:val="99"/>
    <w:qFormat/>
    <w:pPr>
      <w:ind w:firstLine="640"/>
      <w:spacing w:line="560" w:lineRule="exact"/>
      <w:widowControl w:val="off"/>
    </w:pPr>
    <w:rPr>
      <w:rFonts w:ascii="仿宋_GB2312" w:hAnsi="仿宋_GB2312" w:cs="仿宋_GB2312"/>
      <w:lang w:val="zh-TW"/>
    </w:rPr>
  </w:style>
  <w:style w:type="paragraph" w:styleId="910" w:customStyle="1">
    <w:name w:val="左对齐正文"/>
    <w:uiPriority w:val="99"/>
    <w:qFormat/>
    <w:rPr>
      <w:rFonts w:hint="default" w:ascii="Calibri" w:hAnsi="Calibri" w:eastAsia="仿宋_GB2312" w:cs="Calibri"/>
      <w:sz w:val="32"/>
      <w:szCs w:val="32"/>
      <w:lang w:val="en-US" w:eastAsia="zh-CN" w:bidi="ar-SA"/>
    </w:rPr>
  </w:style>
  <w:style w:type="paragraph" w:styleId="911" w:customStyle="1">
    <w:name w:val="首行缩进"/>
    <w:basedOn w:val="896"/>
    <w:uiPriority w:val="0"/>
    <w:qFormat/>
    <w:pPr>
      <w:ind w:firstLine="480"/>
    </w:pPr>
    <w:rPr>
      <w:rFonts w:ascii="Times New Roman" w:hAnsi="Times New Roman" w:cs="Times New Roman"/>
      <w:lang w:val="zh-CN"/>
    </w:rPr>
  </w:style>
  <w:style w:type="table" w:styleId="912" w:customStyle="1">
    <w:name w:val="网格型1"/>
    <w:basedOn w:val="913"/>
    <w:uiPriority w:val="0"/>
    <w:qFormat/>
    <w:pPr>
      <w:jc w:val="both"/>
      <w:widowControl w:val="off"/>
    </w:pPr>
    <w:tblPr/>
  </w:style>
  <w:style w:type="table" w:styleId="913" w:customStyle="1">
    <w:name w:val="普通表格1"/>
    <w:uiPriority w:val="99"/>
    <w:unhideWhenUsed/>
    <w:qFormat/>
    <w:tblPr/>
  </w:style>
  <w:style w:type="paragraph" w:styleId="91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17" w:customStyle="1">
    <w:name w:val="Char"/>
    <w:basedOn w:val="896"/>
    <w:uiPriority w:val="0"/>
    <w:qFormat/>
    <w:pPr>
      <w:ind w:firstLine="200"/>
      <w:tabs>
        <w:tab w:val="left" w:pos="360" w:leader="none"/>
      </w:tabs>
    </w:pPr>
    <w:rPr>
      <w:sz w:val="28"/>
      <w:szCs w:val="30"/>
    </w:rPr>
  </w:style>
  <w:style w:type="paragraph" w:styleId="918" w:customStyle="1">
    <w:name w:val="Normal_12_0"/>
    <w:uiPriority w:val="0"/>
    <w:qFormat/>
    <w:rPr>
      <w:rFonts w:hint="default" w:ascii="黑体" w:hAnsi="黑体" w:eastAsia="黑体" w:cs="Times New Roman"/>
      <w:b/>
      <w:sz w:val="32"/>
      <w:szCs w:val="24"/>
      <w:lang w:val="en-US" w:eastAsia="zh-CN" w:bidi="ar-SA"/>
    </w:rPr>
  </w:style>
  <w:style w:type="paragraph" w:styleId="919" w:customStyle="1">
    <w:name w:val="正文_12_0_0_0_0"/>
    <w:basedOn w:val="896"/>
    <w:uiPriority w:val="0"/>
    <w:qFormat/>
    <w:rPr>
      <w:rFonts w:ascii="Times New Roman" w:hAnsi="Times New Roman"/>
      <w:szCs w:val="24"/>
    </w:rPr>
  </w:style>
  <w:style w:type="paragraph" w:styleId="9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2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Normal_20"/>
    <w:uiPriority w:val="0"/>
    <w:qFormat/>
    <w:rPr>
      <w:rFonts w:hint="default" w:ascii="黑体" w:hAnsi="黑体" w:eastAsia="黑体" w:cs="黑体"/>
      <w:b/>
      <w:sz w:val="32"/>
      <w:szCs w:val="24"/>
      <w:lang w:val="en-US" w:eastAsia="zh-CN" w:bidi="ar-SA"/>
    </w:rPr>
  </w:style>
  <w:style w:type="paragraph" w:styleId="9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李朝</cp:lastModifiedBy>
  <cp:revision>6</cp:revision>
  <dcterms:created xsi:type="dcterms:W3CDTF">2022-10-10T04:43:00Z</dcterms:created>
  <dcterms:modified xsi:type="dcterms:W3CDTF">2026-05-22T07:18:41Z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CD416544197942ED999F44903FA8F967</vt:lpwstr>
  </property>
  <property fmtid="{D5CDD505-2E9C-101B-9397-08002B2CF9AE}" pid="4" name="KSOTemplateDocerSaveRecord">
    <vt:lpwstr>eyJoZGlkIjoiOWJkMTc4NGQzZmRkMDY1NTZkYTM1NWQ4N2NmY2VkNzQiLCJ1c2VySWQiOiIxNzk2OTYyNzczIn0=</vt:lpwstr>
  </property>
</Properties>
</file>