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FDD8">
      <w:pPr>
        <w:jc w:val="center"/>
        <w:rPr>
          <w:b/>
          <w:color w:val="auto"/>
          <w:sz w:val="32"/>
          <w:szCs w:val="32"/>
        </w:rPr>
      </w:pPr>
      <w:r>
        <w:rPr>
          <w:rFonts w:hint="eastAsia"/>
          <w:b/>
          <w:color w:val="auto"/>
          <w:sz w:val="32"/>
          <w:szCs w:val="32"/>
        </w:rPr>
        <w:t>2026年园区废荧光灯管等生活源有害垃圾无害化运输及处置服务项目</w:t>
      </w:r>
      <w:r>
        <w:rPr>
          <w:b/>
          <w:color w:val="auto"/>
          <w:sz w:val="32"/>
          <w:szCs w:val="32"/>
        </w:rPr>
        <w:t>-</w:t>
      </w:r>
      <w:r>
        <w:rPr>
          <w:rFonts w:hint="eastAsia"/>
          <w:b/>
          <w:color w:val="auto"/>
          <w:sz w:val="32"/>
          <w:szCs w:val="32"/>
        </w:rPr>
        <w:t>技术要求</w:t>
      </w:r>
    </w:p>
    <w:p w14:paraId="7D313E14">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项目概况</w:t>
      </w:r>
    </w:p>
    <w:p w14:paraId="652773C8">
      <w:pPr>
        <w:pStyle w:val="3"/>
        <w:spacing w:line="360" w:lineRule="auto"/>
        <w:ind w:left="420" w:firstLine="0"/>
        <w:rPr>
          <w:rFonts w:ascii="宋体" w:hAnsi="宋体" w:eastAsia="宋体"/>
          <w:b/>
          <w:bCs/>
          <w:color w:val="auto"/>
          <w:sz w:val="21"/>
          <w:szCs w:val="21"/>
        </w:rPr>
      </w:pPr>
      <w:bookmarkStart w:id="0" w:name="OLE_LINK1"/>
      <w:r>
        <w:rPr>
          <w:rFonts w:hint="eastAsia" w:ascii="宋体" w:hAnsi="宋体" w:eastAsia="宋体"/>
          <w:b/>
          <w:bCs/>
          <w:color w:val="auto"/>
          <w:sz w:val="21"/>
          <w:szCs w:val="21"/>
        </w:rPr>
        <w:t>（一）服务内容</w:t>
      </w:r>
    </w:p>
    <w:p w14:paraId="3591BCDD">
      <w:pPr>
        <w:pStyle w:val="3"/>
        <w:spacing w:line="360" w:lineRule="auto"/>
        <w:rPr>
          <w:rFonts w:ascii="宋体" w:hAnsi="宋体" w:eastAsia="宋体" w:cs="宋体"/>
          <w:color w:val="auto"/>
          <w:spacing w:val="-5"/>
          <w:sz w:val="21"/>
          <w:szCs w:val="21"/>
        </w:rPr>
      </w:pPr>
      <w:r>
        <w:rPr>
          <w:rFonts w:ascii="宋体" w:hAnsi="宋体" w:eastAsia="宋体" w:cs="宋体"/>
          <w:color w:val="auto"/>
          <w:spacing w:val="4"/>
          <w:sz w:val="21"/>
          <w:szCs w:val="21"/>
        </w:rPr>
        <w:t>本项目为苏州工业</w:t>
      </w:r>
      <w:r>
        <w:rPr>
          <w:rFonts w:ascii="宋体" w:hAnsi="宋体" w:eastAsia="宋体" w:cs="宋体"/>
          <w:color w:val="auto"/>
          <w:spacing w:val="2"/>
          <w:sz w:val="21"/>
          <w:szCs w:val="21"/>
        </w:rPr>
        <w:t>园区有害垃圾暂存点内所有生活源有害垃圾(废荧光灯管、</w:t>
      </w:r>
      <w:r>
        <w:rPr>
          <w:rFonts w:ascii="宋体" w:hAnsi="宋体" w:eastAsia="宋体" w:cs="宋体"/>
          <w:color w:val="auto"/>
          <w:sz w:val="21"/>
          <w:szCs w:val="21"/>
        </w:rPr>
        <w:t xml:space="preserve"> </w:t>
      </w:r>
      <w:r>
        <w:rPr>
          <w:rFonts w:ascii="宋体" w:hAnsi="宋体" w:eastAsia="宋体" w:cs="宋体"/>
          <w:color w:val="auto"/>
          <w:spacing w:val="-4"/>
          <w:sz w:val="21"/>
          <w:szCs w:val="21"/>
        </w:rPr>
        <w:t>废药品、废油漆桶</w:t>
      </w:r>
      <w:r>
        <w:rPr>
          <w:rFonts w:ascii="宋体" w:hAnsi="宋体" w:eastAsia="宋体" w:cs="宋体"/>
          <w:color w:val="auto"/>
          <w:spacing w:val="-2"/>
          <w:sz w:val="21"/>
          <w:szCs w:val="21"/>
        </w:rPr>
        <w:t>及其容器、废杀虫剂和消毒剂及其包装物、废胶片、废像纸、废硒鼓</w:t>
      </w:r>
      <w:r>
        <w:rPr>
          <w:rFonts w:ascii="宋体" w:hAnsi="宋体" w:eastAsia="宋体" w:cs="宋体"/>
          <w:color w:val="auto"/>
          <w:sz w:val="21"/>
          <w:szCs w:val="21"/>
        </w:rPr>
        <w:t xml:space="preserve"> </w:t>
      </w:r>
      <w:r>
        <w:rPr>
          <w:rFonts w:ascii="宋体" w:hAnsi="宋体" w:eastAsia="宋体" w:cs="宋体"/>
          <w:color w:val="auto"/>
          <w:spacing w:val="-10"/>
          <w:sz w:val="21"/>
          <w:szCs w:val="21"/>
        </w:rPr>
        <w:t>及墨</w:t>
      </w:r>
      <w:r>
        <w:rPr>
          <w:rFonts w:ascii="宋体" w:hAnsi="宋体" w:eastAsia="宋体" w:cs="宋体"/>
          <w:color w:val="auto"/>
          <w:spacing w:val="-9"/>
          <w:sz w:val="21"/>
          <w:szCs w:val="21"/>
        </w:rPr>
        <w:t>盒</w:t>
      </w:r>
      <w:r>
        <w:rPr>
          <w:rFonts w:ascii="宋体" w:hAnsi="宋体" w:eastAsia="宋体" w:cs="宋体"/>
          <w:color w:val="auto"/>
          <w:spacing w:val="-5"/>
          <w:sz w:val="21"/>
          <w:szCs w:val="21"/>
        </w:rPr>
        <w:t xml:space="preserve">、废充电电池等) </w:t>
      </w:r>
      <w:r>
        <w:rPr>
          <w:rFonts w:hint="eastAsia" w:ascii="宋体" w:hAnsi="宋体" w:eastAsia="宋体" w:cs="宋体"/>
          <w:color w:val="auto"/>
          <w:spacing w:val="-5"/>
          <w:sz w:val="21"/>
          <w:szCs w:val="21"/>
        </w:rPr>
        <w:t>提供</w:t>
      </w:r>
      <w:r>
        <w:rPr>
          <w:rFonts w:ascii="宋体" w:hAnsi="宋体" w:eastAsia="宋体" w:cs="宋体"/>
          <w:color w:val="auto"/>
          <w:spacing w:val="-5"/>
          <w:sz w:val="21"/>
          <w:szCs w:val="21"/>
        </w:rPr>
        <w:t>运输及处置服务。</w:t>
      </w:r>
    </w:p>
    <w:p w14:paraId="330731C5">
      <w:pPr>
        <w:pStyle w:val="3"/>
        <w:spacing w:line="360" w:lineRule="auto"/>
        <w:rPr>
          <w:rFonts w:ascii="宋体" w:hAnsi="宋体" w:eastAsia="宋体"/>
          <w:b/>
          <w:bCs/>
          <w:color w:val="auto"/>
          <w:sz w:val="21"/>
          <w:szCs w:val="21"/>
        </w:rPr>
      </w:pPr>
      <w:r>
        <w:rPr>
          <w:rFonts w:hint="eastAsia" w:ascii="宋体" w:hAnsi="宋体" w:eastAsia="宋体"/>
          <w:b/>
          <w:bCs/>
          <w:color w:val="auto"/>
          <w:sz w:val="21"/>
          <w:szCs w:val="21"/>
        </w:rPr>
        <w:t>（二）服务期限</w:t>
      </w:r>
    </w:p>
    <w:p w14:paraId="360D10FC">
      <w:pPr>
        <w:spacing w:line="360" w:lineRule="auto"/>
        <w:ind w:firstLine="420" w:firstLineChars="200"/>
        <w:rPr>
          <w:rFonts w:ascii="宋体" w:hAnsi="宋体" w:eastAsia="宋体" w:cs="宋体"/>
          <w:color w:val="auto"/>
          <w:szCs w:val="21"/>
        </w:rPr>
      </w:pPr>
      <w:r>
        <w:rPr>
          <w:rFonts w:hint="eastAsia" w:ascii="宋体" w:hAnsi="宋体" w:eastAsia="宋体"/>
          <w:bCs/>
          <w:color w:val="auto"/>
          <w:szCs w:val="21"/>
        </w:rPr>
        <w:t>36个月</w:t>
      </w:r>
      <w:r>
        <w:rPr>
          <w:rFonts w:hint="eastAsia" w:ascii="宋体" w:hAnsi="宋体" w:eastAsia="宋体" w:cs="宋体"/>
          <w:color w:val="auto"/>
          <w:szCs w:val="21"/>
          <w:shd w:val="clear" w:color="auto" w:fill="FFFFFF"/>
        </w:rPr>
        <w:t xml:space="preserve">（计划进场日期为2026年 </w:t>
      </w:r>
      <w:r>
        <w:rPr>
          <w:rFonts w:hint="eastAsia" w:ascii="宋体" w:hAnsi="宋体" w:eastAsia="宋体" w:cs="宋体"/>
          <w:color w:val="auto"/>
          <w:szCs w:val="21"/>
          <w:shd w:val="clear" w:color="auto" w:fill="FFFFFF"/>
          <w:lang w:val="en-US" w:eastAsia="zh-CN"/>
        </w:rPr>
        <w:t>8</w:t>
      </w:r>
      <w:r>
        <w:rPr>
          <w:rFonts w:hint="eastAsia" w:ascii="宋体" w:hAnsi="宋体" w:eastAsia="宋体" w:cs="宋体"/>
          <w:color w:val="auto"/>
          <w:szCs w:val="21"/>
          <w:shd w:val="clear" w:color="auto" w:fill="FFFFFF"/>
        </w:rPr>
        <w:t>月1日，实际进场日期以</w:t>
      </w:r>
      <w:bookmarkStart w:id="1" w:name="_GoBack"/>
      <w:bookmarkEnd w:id="1"/>
      <w:r>
        <w:rPr>
          <w:rFonts w:hint="eastAsia" w:ascii="宋体" w:hAnsi="宋体" w:eastAsia="宋体" w:cs="宋体"/>
          <w:color w:val="auto"/>
          <w:szCs w:val="21"/>
          <w:shd w:val="clear" w:color="auto" w:fill="FFFFFF"/>
        </w:rPr>
        <w:t>采购人书面通知为准）。</w:t>
      </w:r>
    </w:p>
    <w:bookmarkEnd w:id="0"/>
    <w:p w14:paraId="2E5152CA">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服务管理要求</w:t>
      </w:r>
    </w:p>
    <w:p w14:paraId="00E1CE8D">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人员要求</w:t>
      </w:r>
    </w:p>
    <w:tbl>
      <w:tblPr>
        <w:tblStyle w:val="11"/>
        <w:tblW w:w="8434"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57"/>
        <w:gridCol w:w="1416"/>
        <w:gridCol w:w="1175"/>
        <w:gridCol w:w="1415"/>
        <w:gridCol w:w="2651"/>
      </w:tblGrid>
      <w:tr w14:paraId="29F1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20" w:type="dxa"/>
            <w:vMerge w:val="restart"/>
            <w:tcBorders>
              <w:bottom w:val="nil"/>
            </w:tcBorders>
          </w:tcPr>
          <w:p w14:paraId="71BDAF6B">
            <w:pPr>
              <w:spacing w:before="206" w:line="221" w:lineRule="auto"/>
              <w:ind w:left="176"/>
              <w:rPr>
                <w:rFonts w:ascii="宋体" w:hAnsi="宋体" w:eastAsia="宋体" w:cs="宋体"/>
                <w:color w:val="auto"/>
                <w:kern w:val="0"/>
                <w:sz w:val="21"/>
                <w:szCs w:val="21"/>
              </w:rPr>
            </w:pPr>
            <w:r>
              <w:rPr>
                <w:rFonts w:ascii="宋体" w:hAnsi="宋体" w:eastAsia="宋体" w:cs="宋体"/>
                <w:color w:val="auto"/>
                <w:spacing w:val="-3"/>
                <w:kern w:val="0"/>
                <w:sz w:val="21"/>
                <w:szCs w:val="21"/>
              </w:rPr>
              <w:t>序</w:t>
            </w:r>
            <w:r>
              <w:rPr>
                <w:rFonts w:ascii="宋体" w:hAnsi="宋体" w:eastAsia="宋体" w:cs="宋体"/>
                <w:color w:val="auto"/>
                <w:spacing w:val="-2"/>
                <w:kern w:val="0"/>
                <w:sz w:val="21"/>
                <w:szCs w:val="21"/>
              </w:rPr>
              <w:t>号</w:t>
            </w:r>
          </w:p>
        </w:tc>
        <w:tc>
          <w:tcPr>
            <w:tcW w:w="2373" w:type="dxa"/>
            <w:gridSpan w:val="2"/>
            <w:vMerge w:val="restart"/>
            <w:tcBorders>
              <w:bottom w:val="nil"/>
            </w:tcBorders>
          </w:tcPr>
          <w:p w14:paraId="14FF7E8E">
            <w:pPr>
              <w:spacing w:before="50" w:line="230" w:lineRule="auto"/>
              <w:ind w:left="835" w:right="224" w:hanging="603"/>
              <w:rPr>
                <w:rFonts w:ascii="宋体" w:hAnsi="宋体" w:eastAsia="宋体" w:cs="宋体"/>
                <w:color w:val="auto"/>
                <w:kern w:val="0"/>
                <w:sz w:val="21"/>
                <w:szCs w:val="21"/>
              </w:rPr>
            </w:pPr>
            <w:r>
              <w:rPr>
                <w:rFonts w:ascii="宋体" w:hAnsi="宋体" w:eastAsia="宋体" w:cs="宋体"/>
                <w:color w:val="auto"/>
                <w:spacing w:val="-2"/>
                <w:kern w:val="0"/>
                <w:sz w:val="21"/>
                <w:szCs w:val="21"/>
              </w:rPr>
              <w:t>在</w:t>
            </w:r>
            <w:r>
              <w:rPr>
                <w:rFonts w:ascii="宋体" w:hAnsi="宋体" w:eastAsia="宋体" w:cs="宋体"/>
                <w:color w:val="auto"/>
                <w:spacing w:val="-1"/>
                <w:kern w:val="0"/>
                <w:sz w:val="21"/>
                <w:szCs w:val="21"/>
              </w:rPr>
              <w:t>本项目担任职务</w:t>
            </w:r>
            <w:r>
              <w:rPr>
                <w:rFonts w:ascii="宋体" w:hAnsi="宋体" w:eastAsia="宋体" w:cs="宋体"/>
                <w:color w:val="auto"/>
                <w:kern w:val="0"/>
                <w:sz w:val="21"/>
                <w:szCs w:val="21"/>
              </w:rPr>
              <w:t xml:space="preserve"> </w:t>
            </w:r>
            <w:r>
              <w:rPr>
                <w:rFonts w:ascii="宋体" w:hAnsi="宋体" w:eastAsia="宋体" w:cs="宋体"/>
                <w:color w:val="auto"/>
                <w:spacing w:val="-4"/>
                <w:kern w:val="0"/>
                <w:sz w:val="21"/>
                <w:szCs w:val="21"/>
              </w:rPr>
              <w:t>或</w:t>
            </w:r>
            <w:r>
              <w:rPr>
                <w:rFonts w:ascii="宋体" w:hAnsi="宋体" w:eastAsia="宋体" w:cs="宋体"/>
                <w:color w:val="auto"/>
                <w:spacing w:val="-3"/>
                <w:kern w:val="0"/>
                <w:sz w:val="21"/>
                <w:szCs w:val="21"/>
              </w:rPr>
              <w:t>岗</w:t>
            </w:r>
            <w:r>
              <w:rPr>
                <w:rFonts w:ascii="宋体" w:hAnsi="宋体" w:eastAsia="宋体" w:cs="宋体"/>
                <w:color w:val="auto"/>
                <w:spacing w:val="-2"/>
                <w:kern w:val="0"/>
                <w:sz w:val="21"/>
                <w:szCs w:val="21"/>
              </w:rPr>
              <w:t>位</w:t>
            </w:r>
          </w:p>
        </w:tc>
        <w:tc>
          <w:tcPr>
            <w:tcW w:w="1175" w:type="dxa"/>
            <w:vMerge w:val="restart"/>
            <w:tcBorders>
              <w:bottom w:val="nil"/>
            </w:tcBorders>
          </w:tcPr>
          <w:p w14:paraId="28A6D525">
            <w:pPr>
              <w:spacing w:before="205" w:line="220" w:lineRule="auto"/>
              <w:ind w:left="116"/>
              <w:rPr>
                <w:rFonts w:ascii="宋体" w:hAnsi="宋体" w:eastAsia="宋体" w:cs="宋体"/>
                <w:color w:val="auto"/>
                <w:kern w:val="0"/>
                <w:sz w:val="21"/>
                <w:szCs w:val="21"/>
              </w:rPr>
            </w:pPr>
            <w:r>
              <w:rPr>
                <w:rFonts w:ascii="宋体" w:hAnsi="宋体" w:eastAsia="宋体" w:cs="宋体"/>
                <w:color w:val="auto"/>
                <w:spacing w:val="-3"/>
                <w:kern w:val="0"/>
                <w:sz w:val="21"/>
                <w:szCs w:val="21"/>
              </w:rPr>
              <w:t>人</w:t>
            </w:r>
            <w:r>
              <w:rPr>
                <w:rFonts w:ascii="宋体" w:hAnsi="宋体" w:eastAsia="宋体" w:cs="宋体"/>
                <w:color w:val="auto"/>
                <w:spacing w:val="-2"/>
                <w:kern w:val="0"/>
                <w:sz w:val="21"/>
                <w:szCs w:val="21"/>
              </w:rPr>
              <w:t>员数量</w:t>
            </w:r>
          </w:p>
        </w:tc>
        <w:tc>
          <w:tcPr>
            <w:tcW w:w="4066" w:type="dxa"/>
            <w:gridSpan w:val="2"/>
          </w:tcPr>
          <w:p w14:paraId="234BB1D4">
            <w:pPr>
              <w:spacing w:before="45" w:line="219" w:lineRule="auto"/>
              <w:ind w:left="1320"/>
              <w:rPr>
                <w:rFonts w:ascii="宋体" w:hAnsi="宋体" w:eastAsia="宋体" w:cs="宋体"/>
                <w:color w:val="auto"/>
                <w:kern w:val="0"/>
                <w:sz w:val="21"/>
                <w:szCs w:val="21"/>
              </w:rPr>
            </w:pPr>
            <w:r>
              <w:rPr>
                <w:rFonts w:ascii="宋体" w:hAnsi="宋体" w:eastAsia="宋体" w:cs="宋体"/>
                <w:color w:val="auto"/>
                <w:spacing w:val="-2"/>
                <w:kern w:val="0"/>
                <w:sz w:val="21"/>
                <w:szCs w:val="21"/>
              </w:rPr>
              <w:t>最低配置要</w:t>
            </w:r>
            <w:r>
              <w:rPr>
                <w:rFonts w:ascii="宋体" w:hAnsi="宋体" w:eastAsia="宋体" w:cs="宋体"/>
                <w:color w:val="auto"/>
                <w:spacing w:val="-1"/>
                <w:kern w:val="0"/>
                <w:sz w:val="21"/>
                <w:szCs w:val="21"/>
              </w:rPr>
              <w:t>求</w:t>
            </w:r>
          </w:p>
        </w:tc>
      </w:tr>
      <w:tr w14:paraId="4512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vMerge w:val="continue"/>
            <w:tcBorders>
              <w:top w:val="nil"/>
            </w:tcBorders>
          </w:tcPr>
          <w:p w14:paraId="3C577741">
            <w:pPr>
              <w:rPr>
                <w:rFonts w:ascii="Arial" w:hAnsi="Arial" w:cs="Arial"/>
                <w:color w:val="auto"/>
                <w:kern w:val="0"/>
                <w:sz w:val="21"/>
                <w:szCs w:val="21"/>
              </w:rPr>
            </w:pPr>
          </w:p>
        </w:tc>
        <w:tc>
          <w:tcPr>
            <w:tcW w:w="2373" w:type="dxa"/>
            <w:gridSpan w:val="2"/>
            <w:vMerge w:val="continue"/>
            <w:tcBorders>
              <w:top w:val="nil"/>
            </w:tcBorders>
          </w:tcPr>
          <w:p w14:paraId="0286D3A8">
            <w:pPr>
              <w:rPr>
                <w:rFonts w:ascii="Arial" w:hAnsi="Arial" w:cs="Arial"/>
                <w:color w:val="auto"/>
                <w:kern w:val="0"/>
                <w:sz w:val="21"/>
                <w:szCs w:val="21"/>
              </w:rPr>
            </w:pPr>
          </w:p>
        </w:tc>
        <w:tc>
          <w:tcPr>
            <w:tcW w:w="1175" w:type="dxa"/>
            <w:vMerge w:val="continue"/>
            <w:tcBorders>
              <w:top w:val="nil"/>
            </w:tcBorders>
          </w:tcPr>
          <w:p w14:paraId="09727BBF">
            <w:pPr>
              <w:rPr>
                <w:rFonts w:ascii="Arial" w:hAnsi="Arial" w:cs="Arial"/>
                <w:color w:val="auto"/>
                <w:kern w:val="0"/>
                <w:sz w:val="21"/>
                <w:szCs w:val="21"/>
              </w:rPr>
            </w:pPr>
          </w:p>
        </w:tc>
        <w:tc>
          <w:tcPr>
            <w:tcW w:w="1415" w:type="dxa"/>
          </w:tcPr>
          <w:p w14:paraId="08020C35">
            <w:pPr>
              <w:spacing w:before="36" w:line="215" w:lineRule="auto"/>
              <w:ind w:left="480"/>
              <w:rPr>
                <w:rFonts w:ascii="宋体" w:hAnsi="宋体" w:eastAsia="宋体" w:cs="宋体"/>
                <w:color w:val="auto"/>
                <w:kern w:val="0"/>
                <w:sz w:val="21"/>
                <w:szCs w:val="21"/>
              </w:rPr>
            </w:pPr>
            <w:r>
              <w:rPr>
                <w:rFonts w:ascii="宋体" w:hAnsi="宋体" w:eastAsia="宋体" w:cs="宋体"/>
                <w:color w:val="auto"/>
                <w:spacing w:val="-7"/>
                <w:kern w:val="0"/>
                <w:sz w:val="21"/>
                <w:szCs w:val="21"/>
              </w:rPr>
              <w:t>学历</w:t>
            </w:r>
          </w:p>
        </w:tc>
        <w:tc>
          <w:tcPr>
            <w:tcW w:w="2651" w:type="dxa"/>
          </w:tcPr>
          <w:p w14:paraId="519B121A">
            <w:pPr>
              <w:spacing w:before="36" w:line="215" w:lineRule="auto"/>
              <w:ind w:left="861"/>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3"/>
                <w:kern w:val="0"/>
                <w:sz w:val="21"/>
                <w:szCs w:val="21"/>
              </w:rPr>
              <w:t>格证书</w:t>
            </w:r>
          </w:p>
        </w:tc>
      </w:tr>
      <w:tr w14:paraId="3651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tcPr>
          <w:p w14:paraId="6C9E581A">
            <w:pPr>
              <w:spacing w:before="76" w:line="184" w:lineRule="auto"/>
              <w:ind w:left="374"/>
              <w:rPr>
                <w:rFonts w:ascii="宋体" w:hAnsi="宋体" w:eastAsia="宋体" w:cs="宋体"/>
                <w:color w:val="auto"/>
                <w:kern w:val="0"/>
                <w:sz w:val="21"/>
                <w:szCs w:val="21"/>
              </w:rPr>
            </w:pPr>
            <w:r>
              <w:rPr>
                <w:rFonts w:ascii="宋体" w:hAnsi="宋体" w:eastAsia="宋体" w:cs="宋体"/>
                <w:color w:val="auto"/>
                <w:kern w:val="0"/>
                <w:sz w:val="21"/>
                <w:szCs w:val="21"/>
              </w:rPr>
              <w:t>1</w:t>
            </w:r>
          </w:p>
        </w:tc>
        <w:tc>
          <w:tcPr>
            <w:tcW w:w="957" w:type="dxa"/>
            <w:vMerge w:val="restart"/>
            <w:tcBorders>
              <w:bottom w:val="nil"/>
            </w:tcBorders>
          </w:tcPr>
          <w:p w14:paraId="11A6D842">
            <w:pPr>
              <w:spacing w:before="56" w:line="230" w:lineRule="auto"/>
              <w:ind w:left="246" w:right="116" w:hanging="118"/>
              <w:rPr>
                <w:rFonts w:ascii="宋体" w:hAnsi="宋体" w:eastAsia="宋体" w:cs="宋体"/>
                <w:color w:val="auto"/>
                <w:kern w:val="0"/>
                <w:sz w:val="21"/>
                <w:szCs w:val="21"/>
              </w:rPr>
            </w:pPr>
            <w:r>
              <w:rPr>
                <w:rFonts w:ascii="宋体" w:hAnsi="宋体" w:eastAsia="宋体" w:cs="宋体"/>
                <w:color w:val="auto"/>
                <w:spacing w:val="-6"/>
                <w:kern w:val="0"/>
                <w:sz w:val="21"/>
                <w:szCs w:val="21"/>
              </w:rPr>
              <w:t>项</w:t>
            </w:r>
            <w:r>
              <w:rPr>
                <w:rFonts w:ascii="宋体" w:hAnsi="宋体" w:eastAsia="宋体" w:cs="宋体"/>
                <w:color w:val="auto"/>
                <w:spacing w:val="-4"/>
                <w:kern w:val="0"/>
                <w:sz w:val="21"/>
                <w:szCs w:val="21"/>
              </w:rPr>
              <w:t>目组</w:t>
            </w:r>
            <w:r>
              <w:rPr>
                <w:rFonts w:ascii="宋体" w:hAnsi="宋体" w:eastAsia="宋体" w:cs="宋体"/>
                <w:color w:val="auto"/>
                <w:kern w:val="0"/>
                <w:sz w:val="21"/>
                <w:szCs w:val="21"/>
              </w:rPr>
              <w:t xml:space="preserve"> </w:t>
            </w:r>
            <w:r>
              <w:rPr>
                <w:rFonts w:ascii="宋体" w:hAnsi="宋体" w:eastAsia="宋体" w:cs="宋体"/>
                <w:color w:val="auto"/>
                <w:spacing w:val="-3"/>
                <w:kern w:val="0"/>
                <w:sz w:val="21"/>
                <w:szCs w:val="21"/>
              </w:rPr>
              <w:t>人员</w:t>
            </w:r>
          </w:p>
        </w:tc>
        <w:tc>
          <w:tcPr>
            <w:tcW w:w="1416" w:type="dxa"/>
          </w:tcPr>
          <w:p w14:paraId="48C3045D">
            <w:pPr>
              <w:spacing w:before="37" w:line="214" w:lineRule="auto"/>
              <w:ind w:left="237"/>
              <w:rPr>
                <w:rFonts w:ascii="宋体" w:hAnsi="宋体" w:eastAsia="宋体" w:cs="宋体"/>
                <w:color w:val="auto"/>
                <w:kern w:val="0"/>
                <w:sz w:val="21"/>
                <w:szCs w:val="21"/>
              </w:rPr>
            </w:pPr>
            <w:r>
              <w:rPr>
                <w:rFonts w:ascii="宋体" w:hAnsi="宋体" w:eastAsia="宋体" w:cs="宋体"/>
                <w:color w:val="auto"/>
                <w:spacing w:val="-4"/>
                <w:kern w:val="0"/>
                <w:sz w:val="21"/>
                <w:szCs w:val="21"/>
              </w:rPr>
              <w:t>项</w:t>
            </w:r>
            <w:r>
              <w:rPr>
                <w:rFonts w:ascii="宋体" w:hAnsi="宋体" w:eastAsia="宋体" w:cs="宋体"/>
                <w:color w:val="auto"/>
                <w:spacing w:val="-2"/>
                <w:kern w:val="0"/>
                <w:sz w:val="21"/>
                <w:szCs w:val="21"/>
              </w:rPr>
              <w:t>目经理</w:t>
            </w:r>
          </w:p>
        </w:tc>
        <w:tc>
          <w:tcPr>
            <w:tcW w:w="1175" w:type="dxa"/>
          </w:tcPr>
          <w:p w14:paraId="7C8B39F3">
            <w:pPr>
              <w:spacing w:before="59"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043B1B23">
            <w:pPr>
              <w:spacing w:before="37" w:line="214" w:lineRule="auto"/>
              <w:ind w:left="118"/>
              <w:rPr>
                <w:rFonts w:ascii="宋体" w:hAnsi="宋体" w:eastAsia="宋体" w:cs="宋体"/>
                <w:color w:val="auto"/>
                <w:kern w:val="0"/>
                <w:sz w:val="21"/>
                <w:szCs w:val="21"/>
              </w:rPr>
            </w:pPr>
            <w:r>
              <w:rPr>
                <w:rFonts w:ascii="宋体" w:hAnsi="宋体" w:eastAsia="宋体" w:cs="宋体"/>
                <w:color w:val="auto"/>
                <w:spacing w:val="-2"/>
                <w:kern w:val="0"/>
                <w:sz w:val="21"/>
                <w:szCs w:val="21"/>
              </w:rPr>
              <w:t>大专及以上</w:t>
            </w:r>
          </w:p>
        </w:tc>
        <w:tc>
          <w:tcPr>
            <w:tcW w:w="2651" w:type="dxa"/>
          </w:tcPr>
          <w:p w14:paraId="6A8CCAEE">
            <w:pPr>
              <w:spacing w:before="152" w:line="149" w:lineRule="exact"/>
              <w:ind w:left="1209"/>
              <w:rPr>
                <w:rFonts w:ascii="宋体" w:hAnsi="宋体" w:eastAsia="宋体" w:cs="宋体"/>
                <w:color w:val="auto"/>
                <w:kern w:val="0"/>
                <w:sz w:val="21"/>
                <w:szCs w:val="21"/>
              </w:rPr>
            </w:pPr>
            <w:r>
              <w:rPr>
                <w:rFonts w:ascii="宋体" w:hAnsi="宋体" w:eastAsia="宋体" w:cs="宋体"/>
                <w:color w:val="auto"/>
                <w:spacing w:val="71"/>
                <w:kern w:val="0"/>
                <w:position w:val="1"/>
                <w:sz w:val="21"/>
                <w:szCs w:val="21"/>
              </w:rPr>
              <w:t>--</w:t>
            </w:r>
          </w:p>
        </w:tc>
      </w:tr>
      <w:tr w14:paraId="1D2C9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20" w:type="dxa"/>
          </w:tcPr>
          <w:p w14:paraId="014A2F23">
            <w:pPr>
              <w:spacing w:before="91" w:line="184" w:lineRule="auto"/>
              <w:ind w:left="359"/>
              <w:rPr>
                <w:rFonts w:ascii="宋体" w:hAnsi="宋体" w:eastAsia="宋体" w:cs="宋体"/>
                <w:color w:val="auto"/>
                <w:kern w:val="0"/>
                <w:sz w:val="21"/>
                <w:szCs w:val="21"/>
              </w:rPr>
            </w:pPr>
            <w:r>
              <w:rPr>
                <w:rFonts w:ascii="宋体" w:hAnsi="宋体" w:eastAsia="宋体" w:cs="宋体"/>
                <w:color w:val="auto"/>
                <w:kern w:val="0"/>
                <w:sz w:val="21"/>
                <w:szCs w:val="21"/>
              </w:rPr>
              <w:t>2</w:t>
            </w:r>
          </w:p>
        </w:tc>
        <w:tc>
          <w:tcPr>
            <w:tcW w:w="957" w:type="dxa"/>
            <w:vMerge w:val="continue"/>
            <w:tcBorders>
              <w:top w:val="nil"/>
            </w:tcBorders>
          </w:tcPr>
          <w:p w14:paraId="15FF03EB">
            <w:pPr>
              <w:rPr>
                <w:rFonts w:ascii="Arial" w:hAnsi="Arial" w:cs="Arial"/>
                <w:color w:val="auto"/>
                <w:kern w:val="0"/>
                <w:sz w:val="21"/>
                <w:szCs w:val="21"/>
              </w:rPr>
            </w:pPr>
          </w:p>
        </w:tc>
        <w:tc>
          <w:tcPr>
            <w:tcW w:w="1416" w:type="dxa"/>
          </w:tcPr>
          <w:p w14:paraId="73461CAB">
            <w:pPr>
              <w:spacing w:before="50" w:line="220" w:lineRule="auto"/>
              <w:ind w:left="364"/>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4"/>
                <w:kern w:val="0"/>
                <w:sz w:val="21"/>
                <w:szCs w:val="21"/>
              </w:rPr>
              <w:t>料员</w:t>
            </w:r>
          </w:p>
        </w:tc>
        <w:tc>
          <w:tcPr>
            <w:tcW w:w="1175" w:type="dxa"/>
          </w:tcPr>
          <w:p w14:paraId="63C6D0B4">
            <w:pPr>
              <w:spacing w:before="71"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5D41864B">
            <w:pPr>
              <w:spacing w:before="166"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35C9E395">
            <w:pPr>
              <w:spacing w:before="166" w:line="121" w:lineRule="exact"/>
              <w:ind w:left="1229"/>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r>
      <w:tr w14:paraId="58DA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Pr>
          <w:p w14:paraId="531DE2A5">
            <w:pPr>
              <w:spacing w:before="233" w:line="183" w:lineRule="auto"/>
              <w:ind w:left="361"/>
              <w:rPr>
                <w:rFonts w:ascii="宋体" w:hAnsi="宋体" w:eastAsia="宋体" w:cs="宋体"/>
                <w:color w:val="auto"/>
                <w:kern w:val="0"/>
                <w:sz w:val="21"/>
                <w:szCs w:val="21"/>
              </w:rPr>
            </w:pPr>
            <w:r>
              <w:rPr>
                <w:rFonts w:ascii="宋体" w:hAnsi="宋体" w:eastAsia="宋体" w:cs="宋体"/>
                <w:color w:val="auto"/>
                <w:kern w:val="0"/>
                <w:sz w:val="21"/>
                <w:szCs w:val="21"/>
              </w:rPr>
              <w:t>3</w:t>
            </w:r>
          </w:p>
        </w:tc>
        <w:tc>
          <w:tcPr>
            <w:tcW w:w="2373" w:type="dxa"/>
            <w:gridSpan w:val="2"/>
          </w:tcPr>
          <w:p w14:paraId="3C8CC78E">
            <w:pPr>
              <w:spacing w:before="192" w:line="220" w:lineRule="auto"/>
              <w:ind w:left="840"/>
              <w:rPr>
                <w:rFonts w:ascii="宋体" w:hAnsi="宋体" w:eastAsia="宋体" w:cs="宋体"/>
                <w:color w:val="auto"/>
                <w:kern w:val="0"/>
                <w:sz w:val="21"/>
                <w:szCs w:val="21"/>
              </w:rPr>
            </w:pPr>
            <w:r>
              <w:rPr>
                <w:rFonts w:ascii="宋体" w:hAnsi="宋体" w:eastAsia="宋体" w:cs="宋体"/>
                <w:color w:val="auto"/>
                <w:spacing w:val="-6"/>
                <w:kern w:val="0"/>
                <w:sz w:val="21"/>
                <w:szCs w:val="21"/>
              </w:rPr>
              <w:t>驾</w:t>
            </w:r>
            <w:r>
              <w:rPr>
                <w:rFonts w:ascii="宋体" w:hAnsi="宋体" w:eastAsia="宋体" w:cs="宋体"/>
                <w:color w:val="auto"/>
                <w:spacing w:val="-3"/>
                <w:kern w:val="0"/>
                <w:sz w:val="21"/>
                <w:szCs w:val="21"/>
              </w:rPr>
              <w:t>驶员</w:t>
            </w:r>
          </w:p>
        </w:tc>
        <w:tc>
          <w:tcPr>
            <w:tcW w:w="1175" w:type="dxa"/>
          </w:tcPr>
          <w:p w14:paraId="7FD076D6">
            <w:pPr>
              <w:spacing w:before="214"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7B6BF14A">
            <w:pPr>
              <w:spacing w:line="284" w:lineRule="auto"/>
              <w:rPr>
                <w:rFonts w:ascii="Arial" w:hAnsi="Arial" w:cs="Arial"/>
                <w:color w:val="auto"/>
                <w:kern w:val="0"/>
                <w:sz w:val="21"/>
                <w:szCs w:val="21"/>
              </w:rPr>
            </w:pPr>
          </w:p>
          <w:p w14:paraId="7714A654">
            <w:pPr>
              <w:spacing w:before="22"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6E3DEDDB">
            <w:pPr>
              <w:spacing w:before="36" w:line="228" w:lineRule="auto"/>
              <w:ind w:left="116" w:right="2" w:firstLine="19"/>
              <w:rPr>
                <w:rFonts w:ascii="宋体" w:hAnsi="宋体" w:eastAsia="宋体" w:cs="宋体"/>
                <w:color w:val="auto"/>
                <w:kern w:val="0"/>
                <w:sz w:val="21"/>
                <w:szCs w:val="21"/>
              </w:rPr>
            </w:pPr>
            <w:r>
              <w:rPr>
                <w:rFonts w:ascii="宋体" w:hAnsi="宋体" w:eastAsia="宋体" w:cs="宋体"/>
                <w:color w:val="auto"/>
                <w:spacing w:val="-2"/>
                <w:kern w:val="0"/>
                <w:sz w:val="21"/>
                <w:szCs w:val="21"/>
              </w:rPr>
              <w:t>具有道路运</w:t>
            </w:r>
            <w:r>
              <w:rPr>
                <w:rFonts w:ascii="宋体" w:hAnsi="宋体" w:eastAsia="宋体" w:cs="宋体"/>
                <w:color w:val="auto"/>
                <w:spacing w:val="-1"/>
                <w:kern w:val="0"/>
                <w:sz w:val="21"/>
                <w:szCs w:val="21"/>
              </w:rPr>
              <w:t>输从业资格</w:t>
            </w:r>
            <w:r>
              <w:rPr>
                <w:rFonts w:ascii="宋体" w:hAnsi="宋体" w:eastAsia="宋体" w:cs="宋体"/>
                <w:color w:val="auto"/>
                <w:spacing w:val="1"/>
                <w:kern w:val="0"/>
                <w:sz w:val="21"/>
                <w:szCs w:val="21"/>
              </w:rPr>
              <w:t>证(道路危险</w:t>
            </w:r>
            <w:r>
              <w:rPr>
                <w:rFonts w:ascii="宋体" w:hAnsi="宋体" w:eastAsia="宋体" w:cs="宋体"/>
                <w:color w:val="auto"/>
                <w:kern w:val="0"/>
                <w:sz w:val="21"/>
                <w:szCs w:val="21"/>
              </w:rPr>
              <w:t>货物运输)</w:t>
            </w:r>
          </w:p>
        </w:tc>
      </w:tr>
    </w:tbl>
    <w:p w14:paraId="61224FF3">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运输要求</w:t>
      </w:r>
    </w:p>
    <w:p w14:paraId="7C61F5B0">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（1）运输车辆基本要求</w:t>
      </w:r>
    </w:p>
    <w:p w14:paraId="551B6E07">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收运货车达到国家规定排放标准，</w:t>
      </w:r>
      <w:r>
        <w:rPr>
          <w:rFonts w:hint="eastAsia" w:ascii="宋体" w:hAnsi="宋体" w:eastAsia="宋体" w:cs="Times New Roman"/>
          <w:color w:val="auto"/>
          <w:kern w:val="0"/>
          <w:szCs w:val="21"/>
        </w:rPr>
        <w:t>具有有效的“</w:t>
      </w:r>
      <w:r>
        <w:rPr>
          <w:rFonts w:hint="eastAsia" w:ascii="宋体" w:hAnsi="宋体" w:eastAsia="宋体"/>
          <w:b/>
          <w:bCs/>
          <w:color w:val="auto"/>
          <w:szCs w:val="21"/>
        </w:rPr>
        <w:t>道路运输证</w:t>
      </w:r>
      <w:r>
        <w:rPr>
          <w:rFonts w:hint="eastAsia" w:ascii="宋体" w:hAnsi="宋体" w:eastAsia="宋体" w:cs="Times New Roman"/>
          <w:color w:val="auto"/>
          <w:kern w:val="0"/>
          <w:szCs w:val="21"/>
        </w:rPr>
        <w:t>”，经营范围含道路危险废物运输（危险废物）</w:t>
      </w:r>
      <w:r>
        <w:rPr>
          <w:rFonts w:hint="eastAsia" w:ascii="宋体" w:hAnsi="宋体" w:eastAsia="宋体" w:cs="Times New Roman"/>
          <w:color w:val="auto"/>
          <w:kern w:val="0"/>
          <w:szCs w:val="21"/>
        </w:rPr>
        <w:t>，中标后由中标单位向相关部门自行办理收运路线申请及车辆通行证。</w:t>
      </w:r>
    </w:p>
    <w:p w14:paraId="1858DD95">
      <w:pPr>
        <w:spacing w:line="360" w:lineRule="auto"/>
        <w:ind w:firstLine="420" w:firstLineChars="200"/>
        <w:jc w:val="left"/>
        <w:outlineLvl w:val="1"/>
        <w:rPr>
          <w:rFonts w:ascii="宋体" w:hAnsi="宋体" w:eastAsia="宋体" w:cs="Times New Roman"/>
          <w:color w:val="auto"/>
          <w:kern w:val="0"/>
          <w:szCs w:val="21"/>
          <w:highlight w:val="blue"/>
        </w:rPr>
      </w:pPr>
      <w:r>
        <w:rPr>
          <w:rFonts w:hint="eastAsia" w:ascii="宋体" w:hAnsi="宋体" w:eastAsia="宋体" w:cs="Times New Roman"/>
          <w:color w:val="auto"/>
          <w:kern w:val="0"/>
          <w:szCs w:val="21"/>
        </w:rPr>
        <w:t>（2）中标单位每季度至少开展1次的运输处置工作，并按采购方的时间要求进行运输，每次收运前采购方预估大约数量告知中标单位，中标单位需在3日内安排收运（提前将中标单位服务人员、运输路线、运输车辆、处置单位联系方式告知采购方），杜绝推诿等情况发生。在服务期限内，采购方可根据实际情况调整收运频次，如遇政府管理调整或重大事件发生，中标单位须无条件服从采购方收运处置要求。</w:t>
      </w:r>
    </w:p>
    <w:p w14:paraId="24396B35">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3）中标单位应负责每次运输前现场称量、打包、搬运、装车等工作，并将转移的各类垃圾量详细记录，填报确认单，经暂存归集点现场负责人确认后，交由暂存归集点现场负责人保存。中标单位应负责提供每批次转运的所有有害垃圾处置全流程现场照片或视频等相关处置证据。</w:t>
      </w:r>
    </w:p>
    <w:p w14:paraId="49D28E12">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4）中标单位需协助采购方完成危废管理计划申报、危险废物转移联单申报、二维码标签、系统维护管理等生态环境管理部门规定的信息化平台流程操作工作，系统填报中所有信息需与现场实际操作信息保持一致。</w:t>
      </w:r>
    </w:p>
    <w:p w14:paraId="2DA11CC3">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（5）中标单位的运输、处置方法及流程必须符合国家法律法规。运输处置过程中</w:t>
      </w:r>
      <w:r>
        <w:rPr>
          <w:rFonts w:hint="eastAsia" w:ascii="宋体" w:hAnsi="宋体" w:eastAsia="宋体" w:cs="Times New Roman"/>
          <w:color w:val="auto"/>
          <w:kern w:val="0"/>
          <w:szCs w:val="21"/>
        </w:rPr>
        <w:t>应当采取防止污染的措施，并遵守国家有关危险货物运输管理的规定</w:t>
      </w: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rPr>
        <w:t>做好协调、安全管理、环保、突发事件的应急处置等工作。</w:t>
      </w:r>
    </w:p>
    <w:p w14:paraId="18D91E9D">
      <w:pPr>
        <w:adjustRightInd w:val="0"/>
        <w:snapToGrid w:val="0"/>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对于除灯管处置外其他类别，含：“HW03、HW12、HW16、HW31(900-052-31)、HW49(900-041-49)、HW(900-044-49)、HW(900-045-49)等”，若有超出处置范围的，需承诺委托有相应资质的单位处置，并提供相应资质单位的《危险废物经营许可证》及与有相应资质的单位的签订的危废处置协议。中标后相关证明材料须在进场核验时向采购人提交。</w:t>
      </w:r>
    </w:p>
    <w:p w14:paraId="5C78223C">
      <w:pPr>
        <w:adjustRightInd w:val="0"/>
        <w:snapToGrid w:val="0"/>
        <w:spacing w:line="360" w:lineRule="auto"/>
        <w:ind w:firstLine="420" w:firstLineChars="200"/>
        <w:jc w:val="left"/>
        <w:rPr>
          <w:rFonts w:ascii="方正仿宋简体" w:hAnsi="创艺简仿宋" w:eastAsia="方正仿宋简体" w:cs="Times New Roman"/>
          <w:bCs/>
          <w:color w:val="auto"/>
          <w:szCs w:val="21"/>
          <w:lang w:val="zh-CN"/>
        </w:rPr>
      </w:pPr>
      <w:r>
        <w:rPr>
          <w:rFonts w:hint="eastAsia" w:ascii="宋体" w:hAnsi="宋体" w:eastAsia="宋体" w:cs="Times New Roman"/>
          <w:color w:val="auto"/>
          <w:kern w:val="0"/>
          <w:szCs w:val="21"/>
        </w:rPr>
        <w:t>（7）如中标单位委外运输的，须提供</w:t>
      </w:r>
      <w:r>
        <w:rPr>
          <w:rFonts w:hint="eastAsia" w:ascii="宋体" w:hAnsi="宋体" w:eastAsia="宋体"/>
          <w:color w:val="auto"/>
          <w:szCs w:val="21"/>
        </w:rPr>
        <w:t>《委外运输承诺书》，进场前按照招标文件要求进行现场核验，</w:t>
      </w:r>
      <w:r>
        <w:rPr>
          <w:rFonts w:hint="eastAsia" w:ascii="宋体" w:hAnsi="宋体" w:eastAsia="宋体" w:cs="Times New Roman"/>
          <w:color w:val="auto"/>
          <w:kern w:val="0"/>
          <w:szCs w:val="21"/>
        </w:rPr>
        <w:t>提供与委外运输单位签订的运输协议，并提供委外单位有效的</w:t>
      </w:r>
      <w:r>
        <w:rPr>
          <w:rFonts w:hint="eastAsia" w:ascii="宋体" w:hAnsi="宋体" w:eastAsia="宋体"/>
          <w:bCs/>
          <w:color w:val="auto"/>
          <w:szCs w:val="21"/>
        </w:rPr>
        <w:t>《道路运输经营许可证》且经营范围须含经营性道路危险货物运输（危险废物）</w:t>
      </w:r>
      <w:r>
        <w:rPr>
          <w:rFonts w:hint="eastAsia" w:ascii="宋体" w:hAnsi="宋体" w:eastAsia="宋体" w:cs="Times New Roman"/>
          <w:color w:val="auto"/>
          <w:kern w:val="0"/>
          <w:szCs w:val="21"/>
        </w:rPr>
        <w:t>。</w:t>
      </w:r>
    </w:p>
    <w:p w14:paraId="07C6304A">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59374E37">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39C06AD3">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5CEE823">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0DAC4522">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4E4E898">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7CBBCE61">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07CE42B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C0594"/>
    <w:multiLevelType w:val="multilevel"/>
    <w:tmpl w:val="326C0594"/>
    <w:lvl w:ilvl="0" w:tentative="0">
      <w:start w:val="1"/>
      <w:numFmt w:val="japaneseCounting"/>
      <w:lvlText w:val="%1、"/>
      <w:lvlJc w:val="left"/>
      <w:pPr>
        <w:ind w:left="870" w:hanging="4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28267C"/>
    <w:multiLevelType w:val="multilevel"/>
    <w:tmpl w:val="3728267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3FCC"/>
    <w:rsid w:val="00073FCC"/>
    <w:rsid w:val="000C71ED"/>
    <w:rsid w:val="004A2328"/>
    <w:rsid w:val="00585941"/>
    <w:rsid w:val="005D1B6F"/>
    <w:rsid w:val="0061294A"/>
    <w:rsid w:val="00686F65"/>
    <w:rsid w:val="006F1170"/>
    <w:rsid w:val="007B5292"/>
    <w:rsid w:val="007D3FA4"/>
    <w:rsid w:val="008D1DF3"/>
    <w:rsid w:val="00974E8E"/>
    <w:rsid w:val="009E680D"/>
    <w:rsid w:val="00A07014"/>
    <w:rsid w:val="00A23CD1"/>
    <w:rsid w:val="00C3601E"/>
    <w:rsid w:val="00CC037F"/>
    <w:rsid w:val="00EE416B"/>
    <w:rsid w:val="00F65552"/>
    <w:rsid w:val="0C40274B"/>
    <w:rsid w:val="4B126602"/>
    <w:rsid w:val="6AAD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0"/>
    <w:semiHidden/>
    <w:unhideWhenUsed/>
    <w:qFormat/>
    <w:uiPriority w:val="0"/>
    <w:pPr>
      <w:ind w:firstLine="420"/>
      <w:jc w:val="left"/>
    </w:pPr>
    <w:rPr>
      <w:rFonts w:ascii="Times New Roman" w:hAnsi="Times New Roman" w:eastAsia="楷体_GB2312" w:cs="Times New Roman"/>
      <w:kern w:val="0"/>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缩进 字符"/>
    <w:link w:val="3"/>
    <w:semiHidden/>
    <w:qFormat/>
    <w:locked/>
    <w:uiPriority w:val="0"/>
    <w:rPr>
      <w:rFonts w:ascii="Times New Roman" w:hAnsi="Times New Roman" w:eastAsia="楷体_GB2312" w:cs="Times New Roman"/>
      <w:kern w:val="0"/>
      <w:sz w:val="24"/>
      <w:szCs w:val="20"/>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character" w:customStyle="1" w:styleId="13">
    <w:name w:val="标题 2 字符"/>
    <w:basedOn w:val="7"/>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1170</Characters>
  <Lines>12</Lines>
  <Paragraphs>3</Paragraphs>
  <TotalTime>26</TotalTime>
  <ScaleCrop>false</ScaleCrop>
  <LinksUpToDate>false</LinksUpToDate>
  <CharactersWithSpaces>1179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2025-12-16T01:04:00Z</dcterms:created>
  <dc:creator>user</dc:creator>
  <cp:lastModifiedBy>微信用户</cp:lastModifiedBy>
  <dcterms:modified xsi:type="dcterms:W3CDTF">2026-06-10T07:51:40Z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eyJoZGlkIjoiZmNhYzAxNGYzMDUwY2JlOTYzOGM0MzM4ZmNiOTZjODUiLCJ1c2VySWQiOiIxMjE3NzU0MzE5In0=</vt:lpwstr>
  </property>
  <property fmtid="{D5CDD505-2E9C-101B-9397-08002B2CF9AE}" pid="3" name="KSOProductBuildVer">
    <vt:lpwstr>2052-12.1.0.26375</vt:lpwstr>
  </property>
  <property fmtid="{D5CDD505-2E9C-101B-9397-08002B2CF9AE}" pid="4" name="ICV">
    <vt:lpwstr>2098F16453784BDBBEFDCA773525795B_12</vt:lpwstr>
  </property>
</Properties>
</file>