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
        <w:rPr>
          <w:rFonts w:ascii="SimSun" w:hAnsi="SimSun" w:eastAsia="SimSun" w:cs="SimSun"/>
          <w:b/>
          <w:color w:val="000000"/>
          <w:sz w:val="32"/>
        </w:rPr>
      </w:r>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000000"/>
          <w:sz w:val="36"/>
        </w:rPr>
        <w:t xml:space="preserve">泰兴市公安局食堂食材及物资采购项目</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项目编号：JSZC-321283-WYKJ-G2026-0009</w:t>
      </w:r>
      <w:r/>
    </w:p>
    <w:p>
      <w:pPr>
        <w:ind w:left="0" w:right="0" w:firstLine="723"/>
        <w:jc w:val="center"/>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
        <w:rPr>
          <w:rFonts w:ascii="SimSun" w:hAnsi="SimSun" w:eastAsia="SimSun" w:cs="SimSun"/>
          <w:b/>
          <w:color w:val="000000"/>
          <w:sz w:val="36"/>
        </w:rPr>
        <w:t xml:space="preserve"> </w:t>
      </w:r>
      <w:r/>
      <w:r/>
    </w:p>
    <w:p>
      <w:pPr>
        <w:ind w:left="0" w:right="0" w:firstLine="723"/>
        <w:jc w:val="center"/>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人：泰兴市公安局</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代理机构：中通服网盈科技有限公司</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二0二六年五月</w:t>
      </w:r>
      <w:r/>
    </w:p>
    <w:p>
      <w:pPr>
        <w:ind w:left="0" w:right="0" w:firstLine="72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lef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项目概况</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泰兴市公安局食堂食材及物资采购项目</w:t>
            </w:r>
            <w:r>
              <w:rPr>
                <w:rFonts w:ascii="SimSun" w:hAnsi="SimSun" w:eastAsia="SimSun" w:cs="SimSun"/>
                <w:color w:val="000000"/>
                <w:sz w:val="28"/>
              </w:rPr>
              <w:t xml:space="preserve">招标项目的潜在投标人应在苏采云获取招标文件，并于</w:t>
            </w:r>
            <w:r>
              <w:rPr>
                <w:rFonts w:ascii="SimSun" w:hAnsi="SimSun" w:eastAsia="SimSun" w:cs="SimSun"/>
                <w:color w:val="000000"/>
                <w:sz w:val="28"/>
                <w:u w:val="single"/>
              </w:rPr>
              <w:t xml:space="preserve">2026年06月08日9点00分</w:t>
            </w:r>
            <w:r>
              <w:rPr>
                <w:rFonts w:ascii="SimSun" w:hAnsi="SimSun" w:eastAsia="SimSun" w:cs="SimSun"/>
                <w:color w:val="000000"/>
                <w:sz w:val="28"/>
              </w:rPr>
              <w:t xml:space="preserve">（北京时间）前递交投标文件。</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项目编号：JSZC-321283-WYKJ-G2026-0009</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项目名称：泰兴市公安局食堂食材及物资采购项目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预算金额：250万元/年。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最高限价：本项目采用优惠率报价，最低优惠率为：</w:t>
      </w:r>
      <w:r>
        <w:rPr>
          <w:rFonts w:ascii="SimSun" w:hAnsi="SimSun" w:eastAsia="SimSun" w:cs="SimSun"/>
          <w:color w:val="000000"/>
          <w:sz w:val="28"/>
          <w:u w:val="single"/>
        </w:rPr>
        <w:t xml:space="preserve"> 6 </w:t>
      </w:r>
      <w:r>
        <w:rPr>
          <w:rFonts w:ascii="SimSun" w:hAnsi="SimSun" w:eastAsia="SimSun" w:cs="SimSun"/>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注:苏采云系统仅支持优惠率报价，本项目最低优惠率报价为：</w:t>
      </w:r>
      <w:r>
        <w:rPr>
          <w:rFonts w:ascii="SimSun" w:hAnsi="SimSun" w:eastAsia="SimSun" w:cs="SimSun"/>
          <w:color w:val="000000"/>
          <w:sz w:val="28"/>
          <w:u w:val="single"/>
        </w:rPr>
        <w:t xml:space="preserve"> 6 </w:t>
      </w:r>
      <w:r>
        <w:rPr>
          <w:rFonts w:ascii="SimSun" w:hAnsi="SimSun" w:eastAsia="SimSun" w:cs="SimSun"/>
          <w:color w:val="000000"/>
          <w:sz w:val="28"/>
        </w:rPr>
        <w:t xml:space="preserve">%,供应商报价优惠率应≥</w:t>
      </w:r>
      <w:r>
        <w:rPr>
          <w:rFonts w:ascii="SimSun" w:hAnsi="SimSun" w:eastAsia="SimSun" w:cs="SimSun"/>
          <w:color w:val="000000"/>
          <w:sz w:val="28"/>
          <w:u w:val="single"/>
        </w:rPr>
        <w:t xml:space="preserve"> 6 </w:t>
      </w:r>
      <w:r>
        <w:rPr>
          <w:rFonts w:ascii="SimSun" w:hAnsi="SimSun" w:eastAsia="SimSun" w:cs="SimSun"/>
          <w:color w:val="000000"/>
          <w:sz w:val="28"/>
        </w:rPr>
        <w:t xml:space="preserve"> %,否则视为无效投标。请各投标人谨慎报价。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采购方式：公开招标。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需求：本项目为泰兴市公安局食堂食材：蔬菜、水产、畜肉、禽蛋、豆制品、干货、水果、奶制品、调味料等食堂物料和其他物资采购及伴随的配送服务，具体采购清单由采购人按照食堂当日实际需求提供。（具体详见采购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合同履行期限：本项目服务期为三年，采取一次招标三年沿用，实行一年一考核一签合同的办法。如果成交供应商年度考核不合格，采购人有权终止合同，不再续下一年合同。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本项目（是/否）接受联合体投标：否。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（一）满足《中华人民共和国政府采购法》第二十二条规定；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基本资格条件的承诺（根据投标人提供的承诺函，内容完整且具有法人及法定代表人的印章）。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（二）落实政府采购政策需满足的资格要求：本项目为专门面向中小企业的项目；</w:t>
      </w:r>
      <w:r>
        <w:rPr>
          <w:rFonts w:ascii="SimSun" w:hAnsi="SimSun" w:eastAsia="SimSun" w:cs="SimSun"/>
          <w:color w:val="000000"/>
          <w:sz w:val="28"/>
        </w:rPr>
        <w:t xml:space="preserve">供应商应为中小微企业、监狱企业、残疾人福利性单位，投标人须提供中小企业声明函或监狱企业证明或残疾人福利性单位声明函。</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（三）本项目的特定资格要求：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（1）具备合法有效的《食品经营许可证》。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w:t>
      </w:r>
      <w:r>
        <w:rPr>
          <w:rFonts w:ascii="SimSun" w:hAnsi="SimSun" w:eastAsia="SimSun" w:cs="SimSun"/>
          <w:color w:val="000000"/>
          <w:sz w:val="28"/>
        </w:rPr>
        <w:t xml:space="preserve">自招标文件公告发布之日起5个工作日</w:t>
      </w:r>
      <w:r>
        <w:rPr>
          <w:rFonts w:ascii="SimSun" w:hAnsi="SimSun" w:eastAsia="SimSun" w:cs="SimSu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方式：线上获取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售价：0.00元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四、提交投标文件</w:t>
      </w:r>
      <w:r>
        <w:rPr>
          <w:rFonts w:ascii="SimSun" w:hAnsi="SimSun" w:eastAsia="SimSun" w:cs="SimSun"/>
          <w:b/>
          <w:color w:val="000000"/>
          <w:sz w:val="28"/>
        </w:rPr>
        <w:t xml:space="preserve">截止时间、开标时间和地点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时间：2026-06-08  9:00（北京时间）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自本公告发布之日起5个工作日。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六、其他补充事宜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1.投标保证金：无。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2.公告发布媒介：江苏政府采购网（www.ccgp-jiangsu.gov.cn）</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3.注意事项：</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（3）有关本次招标的事项若存在变动或修改，敬请及时关注“江苏政府采购网”发布的更正公告。</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如潜在投标人未按上述要求操作，将自行承担所产生的风险。</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七、对本次招标提出询问，请按以下方式联系。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名称：泰兴市公安局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地址：泰兴市国庆中路6号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联系方式：15961011222</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2.采购代理机构信息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 称：中通服网盈科技有限公司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　址：泰兴市国庆中路43号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联系方式：15345235518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3.项目联系方式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项目联系人：泰兴市公安局  印军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话：15961011222</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项目联系人：中通服网盈科技有限公司林凯、张镇宁、龚健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话：15345235518</w:t>
      </w:r>
      <w:r/>
    </w:p>
    <w:p>
      <w:pPr>
        <w:ind w:left="0" w:right="0" w:firstLine="2891"/>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91"/>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91"/>
        <w:spacing w:before="0" w:after="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91"/>
        <w:spacing w:before="0" w:after="0" w:line="600" w:lineRule="atLeast"/>
        <w:pBdr>
          <w:top w:val="none" w:color="000000" w:sz="4" w:space="0"/>
          <w:left w:val="none" w:color="000000" w:sz="4" w:space="0"/>
          <w:bottom w:val="none" w:color="000000" w:sz="4" w:space="0"/>
          <w:right w:val="none" w:color="000000" w:sz="4" w:space="0"/>
        </w:pBdr>
      </w:pPr>
      <w:r/>
      <w:r/>
    </w:p>
    <w:p>
      <w:pPr>
        <w:ind w:left="0" w:right="0" w:firstLine="2891"/>
        <w:spacing w:before="0" w:after="0" w:line="600" w:lineRule="atLeast"/>
        <w:pBdr>
          <w:top w:val="none" w:color="000000" w:sz="4" w:space="0"/>
          <w:left w:val="none" w:color="000000" w:sz="4" w:space="0"/>
          <w:bottom w:val="none" w:color="000000" w:sz="4" w:space="0"/>
          <w:right w:val="none" w:color="000000" w:sz="4" w:space="0"/>
        </w:pBdr>
      </w:pPr>
      <w:r/>
      <w:r/>
    </w:p>
    <w:p>
      <w:pPr>
        <w:ind w:left="0" w:right="0" w:firstLine="2891"/>
        <w:spacing w:before="0" w:after="0" w:line="600" w:lineRule="atLeast"/>
        <w:pBdr>
          <w:top w:val="none" w:color="000000" w:sz="4" w:space="0"/>
          <w:left w:val="none" w:color="000000" w:sz="4" w:space="0"/>
          <w:bottom w:val="none" w:color="000000" w:sz="4" w:space="0"/>
          <w:right w:val="none" w:color="000000" w:sz="4" w:space="0"/>
        </w:pBdr>
      </w:pPr>
      <w:r/>
      <w:r/>
    </w:p>
    <w:p>
      <w:pPr>
        <w:ind w:left="0" w:right="0" w:firstLine="2891"/>
        <w:spacing w:before="0" w:after="0" w:line="600" w:lineRule="atLeast"/>
        <w:pBdr>
          <w:top w:val="none" w:color="000000" w:sz="4" w:space="0"/>
          <w:left w:val="none" w:color="000000" w:sz="4" w:space="0"/>
          <w:bottom w:val="none" w:color="000000" w:sz="4" w:space="0"/>
          <w:right w:val="none" w:color="000000" w:sz="4" w:space="0"/>
        </w:pBdr>
      </w:pPr>
      <w:r/>
      <w:r/>
    </w:p>
    <w:p>
      <w:pPr>
        <w:ind w:left="0" w:right="0" w:firstLine="2891"/>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第二章投标人须知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投标人须知前附表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9"/>
        <w:gridCol w:w="2200"/>
        <w:gridCol w:w="5726"/>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编列内容</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项目名称及</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每三个月按实结算一次</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详见第四章采购需求</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w:t>
            </w:r>
            <w:r/>
          </w:p>
        </w:tc>
      </w:tr>
      <w:tr>
        <w:trPr>
          <w:trHeight w:val="7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要求投标人具备的特定资格要求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不允许有负偏离，否则作无效标处理。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构成招标文件的其他材料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投标人要求澄清招标文件的截止时间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2026年05月28日17时30分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（1）开标一览表；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（3）中小企业声明函；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（4）关于符合本国产品标准的声明函（如有）；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（5）资格性审查和符合性评审文件；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（6）采购需求响应表；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（7）法人授权书；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（8）投标人基本资格条件承诺函；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（10）对照第三章评标办法，认为应列入投标文件的其他材料。</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60天</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电子投标文件壹份；</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投标文件的签署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投标函、投标人基本资格条件承诺函中须加盖投标人法人章并经法定代表人签字或签章。</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开标时间：同投标截止时间</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开标地点：“苏采云”系统“开标大厅”</w:t>
            </w:r>
            <w:r/>
          </w:p>
        </w:tc>
      </w:tr>
      <w:tr>
        <w:trPr>
          <w:trHeight w:val="10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投标人参与开标要求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开标活动将在招标公告中规定的时间和地点进行。投标人应当按照</w:t>
            </w:r>
            <w:r>
              <w:rPr>
                <w:rFonts w:ascii="SimSun" w:hAnsi="SimSun" w:eastAsia="SimSun" w:cs="SimSun"/>
                <w:b/>
                <w:color w:val="000000"/>
                <w:sz w:val="28"/>
              </w:rPr>
              <w:t xml:space="preserve">《江苏省政府采购管理交易系统（苏采云）投标人操作手册》</w:t>
            </w:r>
            <w:r>
              <w:rPr>
                <w:rFonts w:ascii="SimSun" w:hAnsi="SimSun" w:eastAsia="SimSun" w:cs="SimSun"/>
                <w:color w:val="000000"/>
                <w:sz w:val="28"/>
              </w:rPr>
              <w:t xml:space="preserve">规定，参加开标活动。</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评标委员会人数：</w:t>
            </w:r>
            <w:r>
              <w:rPr>
                <w:rFonts w:ascii="SimSun" w:hAnsi="SimSun" w:eastAsia="SimSun" w:cs="SimSun"/>
                <w:color w:val="000000"/>
                <w:sz w:val="28"/>
                <w:u w:val="single"/>
              </w:rPr>
              <w:t xml:space="preserve"> 5  </w:t>
            </w:r>
            <w:r>
              <w:rPr>
                <w:rFonts w:ascii="SimSun" w:hAnsi="SimSun" w:eastAsia="SimSun" w:cs="SimSun"/>
                <w:color w:val="000000"/>
                <w:sz w:val="28"/>
              </w:rPr>
              <w:t xml:space="preserve">人及以上单数。</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中标公告媒介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江苏政府采购网（www.ccgp-jiangsu.gov.cn）</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无需缴纳</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签订合同的</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自中标通知书发出之日起</w:t>
            </w:r>
            <w:r>
              <w:rPr>
                <w:rFonts w:ascii="SimSun" w:hAnsi="SimSun" w:eastAsia="SimSun" w:cs="SimSun"/>
                <w:color w:val="000000"/>
                <w:sz w:val="28"/>
                <w:u w:val="single"/>
              </w:rPr>
              <w:t xml:space="preserve"> 30 </w:t>
            </w:r>
            <w:r>
              <w:rPr>
                <w:rFonts w:ascii="SimSun" w:hAnsi="SimSun" w:eastAsia="SimSun" w:cs="SimSun"/>
                <w:color w:val="000000"/>
                <w:sz w:val="28"/>
              </w:rPr>
              <w:t xml:space="preserve">天内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需要补充的其他内容</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质疑和投诉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按照《政府采购质疑和投诉办法》（财政部第94号令）处理</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招标文件的解释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由招标人负责</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落实政府采购政策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供应商应为中小微企业、监狱企业、残疾人福利性单位。</w:t>
            </w:r>
            <w:r/>
          </w:p>
        </w:tc>
      </w:tr>
      <w:tr>
        <w:trPr>
          <w:trHeight w:val="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批发业。</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6"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代理费由成交供应商代支付，招标代理收费参考计价格[2002]1980号文和发改价格[2011]534号文件规定收费标准的80%计取，按实际成交价结算；评审费按苏财购〔2016〕48号规定，按实际支付金额结算。此项费用包含在投标报价中，并不单独立项，由成交供应商在领取成交通知书前向招标代理机构付清，供应商在投标报价时应综合考虑有关投标所产生的所有费用，采购人不再另外支付。</w:t>
            </w:r>
            <w:r/>
          </w:p>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2、供应商须在法定质疑期内一次性提出针对同一采购环节的质疑。质疑和投诉按照《政府采购质疑和投诉办法》（财政部第94号令）处理。</w:t>
            </w:r>
            <w:r/>
          </w:p>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3、本项目标的所属行业：</w:t>
            </w:r>
            <w:r>
              <w:rPr>
                <w:rFonts w:ascii="SimSun" w:hAnsi="SimSun" w:eastAsia="SimSun" w:cs="SimSun"/>
                <w:b/>
                <w:color w:val="000000"/>
                <w:sz w:val="24"/>
              </w:rPr>
              <w:t xml:space="preserve">批发业</w:t>
            </w:r>
            <w:r>
              <w:rPr>
                <w:rFonts w:ascii="SimSun" w:hAnsi="SimSun" w:eastAsia="SimSun" w:cs="SimSun"/>
                <w:color w:val="000000"/>
                <w:sz w:val="24"/>
              </w:rPr>
              <w:t xml:space="preserve">。</w:t>
            </w:r>
            <w:r/>
          </w:p>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4、本项目中涉及商品包装和快递包装的，参考《财政部办公厅关于印发《商品包装政府采购需求标准（试行）》、《快递包装政府采购需求标准（试行）》的通知》（财办库〔2020〕123号）规定的包装需求标准。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6.关于贯彻落实《国务院办公厅关于在政府采购中实施本国产品标准及相关政策的通知》的意见。本项目不涉及</w:t>
            </w:r>
            <w:r/>
          </w:p>
        </w:tc>
      </w:tr>
    </w:tbl>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1.总则</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1.1 项目概况</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1.1.1根据《中华人民共和国政府采购法》、《中华人民共和国政府采购法实施条例》等有关法律、法规和规章的规定，本采购项目已具备采购条件，现对本项目进行公开招标。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 招标人：见投标人须知前附表。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1.1.3 采购代理机构：见投标人须知前附表。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1.1.4 项目名称及项目编号：见投标人须知前附表。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1.2</w:t>
      </w:r>
      <w:r>
        <w:rPr>
          <w:rFonts w:ascii="SimSun" w:hAnsi="SimSun" w:eastAsia="SimSun" w:cs="SimSun"/>
          <w:b/>
          <w:color w:val="000000"/>
          <w:sz w:val="28"/>
        </w:rPr>
        <w:t xml:space="preserve">付款方式</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1.2.1付款方式：见投标人须知前附表。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1.3 </w:t>
      </w:r>
      <w:r>
        <w:rPr>
          <w:rFonts w:ascii="SimSun" w:hAnsi="SimSun" w:eastAsia="SimSun" w:cs="SimSun"/>
          <w:b/>
          <w:color w:val="000000"/>
          <w:sz w:val="28"/>
        </w:rPr>
        <w:t xml:space="preserve">采购范围与合同履行期限</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 采购范围：见投标人须知前附表。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 合同履行期限：见投标人须知前附表。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1.4 投标人资格要求</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1.4.1 投标人参加政府采购活动应当具备下列条件：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（1）具有独立承担民事责任的能力；</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（2）具有良好的商业信誉和健全的财务会计制度；</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（3）具有履行合同所必需的设备和专业技术能力；</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（4）有依法缴纳税收和社会保障资金的良好记录；</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（5）参加政府采购活动前三年内，在经营活动中没有重大违法记录；</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（6）法律、行政法规规定的其他条件。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1.4.2根据采购项目特殊要求，要求投标人具备的特定资格要求：见投标人须知前附表。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1.4.3投标人不得存在下列情形之一：</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（l）与招标人或采购代理机构存在隶属关系或者其他利害关系；</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（2）为采购项目提供了整体设计、规范编制或者项目管理、监理、检测等服务；</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（3）单位负责人为同一人或者存在直接控股、管理关系的不同投标人，参加同一合同项下的政府采购活动。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（4）以联合体形式参加政府采购活动的，联合体各方再单独参加或者与其他投标人另外组成联合体参加同一合同项下的政府采购活动。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（5）法律、行政法规规定的其他条件。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1.5费用承担</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无论采购结果如何，投标人为准备和参加投标活动发生的费用自理。</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1.6语言</w:t>
      </w:r>
      <w:r>
        <w:rPr>
          <w:rFonts w:ascii="SimSun" w:hAnsi="SimSun" w:eastAsia="SimSun" w:cs="SimSun"/>
          <w:b/>
          <w:color w:val="000000"/>
          <w:sz w:val="28"/>
        </w:rPr>
        <w:t xml:space="preserve">文字</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招投标文件使用的语言文字为中文。专用术语使用外文的，应附有中文注释。</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1.7计量单位</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所有计量均采用中华人民共和国法定计量单位。</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1.8偏离</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1.8.1偏离是指投标文件中的内容与招标文件中规定的技术参数、标准、服务要求等不一致的情形。优于招标文件规定的技术参数、标准、服务要求的为正偏离，反之为负偏离。</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1.8.2偏离的具体要求见投标人须知前附表。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2. 招标文件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2.1 招标文件的组成</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 本招标文件包括：</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（1）招标公告；</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（2）投标人须知；</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（3）评标办法；</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（4）采购需求；</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（5）投标文件的编制要求及参考格式；</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（6）投标人须知前附表规定的构成招标文件的其他材料。</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2.1.2根据本章第2.2款和第2.3款对招标文件所作的澄清、修改，构成招标文件的组成部分。</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2.2 招标文件的澄清</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2.3 招标文件的修改</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2.4招标文件的重新发布</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招标文件的澄清或修改涉及到申请人的资格条件、评标办法、采购需求等实质性内容时，将重新发布招标公告。</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3. 投标</w:t>
      </w:r>
      <w:r>
        <w:rPr>
          <w:rFonts w:ascii="SimSun" w:hAnsi="SimSun" w:eastAsia="SimSun" w:cs="SimSun"/>
          <w:b/>
          <w:color w:val="000000"/>
          <w:sz w:val="32"/>
        </w:rPr>
        <w:t xml:space="preserve">文件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3.1</w:t>
      </w:r>
      <w:r>
        <w:rPr>
          <w:rFonts w:ascii="SimSun" w:hAnsi="SimSun" w:eastAsia="SimSun" w:cs="SimSun"/>
          <w:b/>
          <w:color w:val="000000"/>
          <w:sz w:val="28"/>
        </w:rPr>
        <w:t xml:space="preserve">投标文件的组成</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投标文件的组成：见投标人须知前附表。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3.2</w:t>
      </w:r>
      <w:r>
        <w:rPr>
          <w:rFonts w:ascii="SimSun" w:hAnsi="SimSun" w:eastAsia="SimSun" w:cs="SimSun"/>
          <w:b/>
          <w:color w:val="000000"/>
          <w:sz w:val="28"/>
        </w:rPr>
        <w:t xml:space="preserve">投标报价</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3.2.1 投标人应按招标文件规定的供货及服务要求、责任范围和合同条件，以人民币进行报价</w:t>
      </w:r>
      <w:r>
        <w:rPr>
          <w:rFonts w:ascii="SimSun" w:hAnsi="SimSun" w:eastAsia="SimSun" w:cs="SimSun"/>
          <w:color w:val="000000"/>
          <w:sz w:val="28"/>
          <w:highlight w:val="red"/>
        </w:rPr>
        <w:t xml:space="preserve">(本项目为最低优惠率报价）</w:t>
      </w:r>
      <w:r>
        <w:rPr>
          <w:rFonts w:ascii="SimSun" w:hAnsi="SimSun" w:eastAsia="SimSun" w:cs="SimSun"/>
          <w:color w:val="000000"/>
          <w:sz w:val="28"/>
        </w:rPr>
        <w:t xml:space="preserve">。投标人报价时应充分考虑服务期内所有可能影响到报价的因素，一旦投标结束最终中标，总价包干，不予调整。</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3.2.2 投标人应按开标一览表内容和格式要求填写。投标总价中不得包含招标文件要求以外的内容，否则，在评标时不予核减。投标总价中也不得缺漏招标文件所要求的内容，否则，在评标时将其视为无效投标。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3.2.3只允许有一个报价，不接受选择性报价，否则，在评标时将其视为无效投标。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3.2.4投标人的投标报价不得超过采购项目最高限价</w:t>
      </w:r>
      <w:r>
        <w:rPr>
          <w:rFonts w:ascii="SimSun" w:hAnsi="SimSun" w:eastAsia="SimSun" w:cs="SimSun"/>
          <w:color w:val="000000"/>
          <w:sz w:val="28"/>
          <w:highlight w:val="red"/>
        </w:rPr>
        <w:t xml:space="preserve">（本项目为不得低于最低优惠率报价）</w:t>
      </w:r>
      <w:r>
        <w:rPr>
          <w:rFonts w:ascii="SimSun" w:hAnsi="SimSun" w:eastAsia="SimSun" w:cs="SimSun"/>
          <w:color w:val="000000"/>
          <w:sz w:val="28"/>
        </w:rPr>
        <w:t xml:space="preserve">。</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3.2.5投标文件中标明的价格在合同执行过程中是固定不变的，不得以任何理由予以变更。任何包含价格调整要求和条件的投标，在评标时将其视为无效投标。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3.3投标有效期</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3.3.1在投标人须知前附表规定的投标有效期内，投标人不得要求撤销或修改其投标文件。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3.3.2出现特殊情况需要延长投标有效期的，招标人将以书面形式通知投标人。投标人拒绝延长投标有效期的，其投标失效。</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3.4投标文件的编制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3.4.1投标人可以按照第六章“投标文件的编制要求及参考格式”要求编制投标文件。需另行增加的相关内容和材料应编入投标文件相应章节，作为投标文件的组成部分。</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3.4.2投标人应对招标文件中的资格要求、合同履行期限、投标有效期、技术、服务标准和要求等实质性内容作出响应，并根据评审因素提供相应的证明材料。</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3.4.3 投标文件的数量：见投标人须知前附表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3.4.4投标文件的签署：见投标人须知前附表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4.投标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4.1投标文件的上传</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4.2投标文件的修改与撤回</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4.2.1在投标截止时间前，投标人可以修改或撤回已递交的投标文件。具体操作方法见《江苏省政府采购管理交易系统（苏采云）投标人操作手册》。</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4.2.2修改的投标文件应按照本招标文件规定进行编制和重新上传。</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4.3投标文件的确认</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5. 开标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5.1 开标时间和地点</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5.1.1开标时间和地点：见投标人须知前附表。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5.1.2开标活动在江苏政府采购“苏采云”系统“开标大厅”内公开进行，投标人应当按照《江苏省政府采购管理交易系统（苏采云）投标人操作手册》规定，参加开标活动。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5.2 不见面开标程序</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（1）系统登录。投标人应在投标截止时间前登录开标大厅。</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（2）投标人解密投标文件。按照系统内提示，在规定的时间内完成投标文件的解密。</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（3）唱标。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（4）开标记录确认。</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（5）开标结束。</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5.3特殊情况的处置</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5.3.1在投标截止时间后，开标系统出现下列情况之一时，项目未开标的，暂停开标活动；正在开标的，立即暂停开标，待系统恢复正常后再组织开标。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（1）系统服务器发生故障，无法访问或无法使用系统； </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（2）系统的软件或数据库出现错误，不能进行正常操作； </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（3）系统发现有安全漏洞，有潜在的泄密危险； </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（4）其他无法保证招投标过程公平和信息安全的情形。</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5.3.2因投标人自身原因造成投标文件无法解密的，视为撤销投标文件。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5.3.3投标人对开标过程和开标记录有疑义的，可向招标人或者采购代理机构提出。</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5.3.4投标人未在开标系统中确认开标结果的，视同认可开标结果。</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6. 评标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6.1 评标委员会</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6.1.1评标由招标人依法组建的评标委员会负责。评标委员会由招标人代表，以及有关技术、经济等方面的专家组成。具体人数见投标人须知前附表。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6.1.2评标委员会成员有下列情形之一的，应当回避：</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（1）参加采购活动前三年内，与投标人存在劳动关系,或者担任过投标人的董事、监事,或者是投标人的控股股东或实际控制人；</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（2）与投标人的法定代表人或者负责人有夫妻、直系血亲、三代以内旁系血亲或者近姻亲关系；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（3）与投标人有其他可能影响政府采购活动公平、公正进行的关系；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（4）法律、行政法规规定的其他条件。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6.2 评标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评标活动遵循公正、客观、审慎的原则。评标委员会严格按照第三章“评标办法”规定的评标方法、评标程序和评标标准进行独立评审。第三章“评标办法”没有规定的评标标准，不得作为评标依据。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7.中标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7.1确定中标人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7.1.1自收到评标报告之日起５个工作日内，在评标报告确定的中标候选人名单中按顺序确定中标人。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（1）因不可抗力或者自身原因不能履行合同的；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（2）经过财政部门处理投诉举报、监督检查，认定中标无效的；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（3）拒绝与招标人签订合同的。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7.2中标公告及中标通知书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7.2.1自中标人确定之日起2个工作日内，在投标人须知前附表规定的媒介上公告中标结果，公告期限为1个工作日。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7.2.2在公告中标结果的同时，向中标人发出中标通知书。中标通知书对招标人和中标人具有同等法律效力。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8.合同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8.1 履约保证金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8.1.1中标人应按投标人须知前附表规定的履约保证金的形式、金额和提交时间向招标人提交履约保证金。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8.1.2中标人不能按本招标文件要求提交履约保证金的，视为放弃中标，给招标人造成损失的，中标人还应当予以赔偿。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8.2签</w:t>
      </w:r>
      <w:r>
        <w:rPr>
          <w:rFonts w:ascii="SimSun" w:hAnsi="SimSun" w:eastAsia="SimSun" w:cs="SimSun"/>
          <w:b/>
          <w:color w:val="000000"/>
          <w:sz w:val="30"/>
        </w:rPr>
        <w:t xml:space="preserve">订合同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 需要补充的其他内容</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需要补充的其他内容：见投标人须知前附表。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10.追加、减少和添购</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10.1政府采购合同履行中，采购人需追加与合同标的相同服务的，在不改变合同其他条款的前提下，可以与中标人协商签订补充合同，但所有补充合同的采购金额不超过原合同金额 10%。</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10.2 采购结束后，采购人若由于各种客观原因，必须对采购项目所牵涉的服务内容进行适当减少时，在双方协商一致的前提下，可以按照招标采购时的价格水平做相应的调减，并据此签订补充合同。</w:t>
      </w:r>
      <w:r/>
    </w:p>
    <w:p>
      <w:pPr>
        <w:ind w:left="0" w:right="0" w:firstLine="56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资格审查及评标办法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资格审查和评标办法前附表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9"/>
        <w:gridCol w:w="572"/>
        <w:gridCol w:w="93"/>
        <w:gridCol w:w="1111"/>
        <w:gridCol w:w="1651"/>
        <w:gridCol w:w="5379"/>
      </w:tblGrid>
      <w:tr>
        <w:trPr>
          <w:trHeight w:val="484"/>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条款号</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63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549"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1.2</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5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基本资格条件的承诺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7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根据投标人提供的承诺函，内容完整且具有法人及法定代表人的印章。（内容及格式参照第六章）</w:t>
            </w:r>
            <w:r/>
          </w:p>
        </w:tc>
      </w:tr>
      <w:tr>
        <w:trPr>
          <w:trHeight w:val="587"/>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招标人根据本项目特点，要求投标人具备的条件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79"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见招标公告</w:t>
            </w:r>
            <w:r/>
          </w:p>
        </w:tc>
      </w:tr>
      <w:tr>
        <w:trPr>
          <w:trHeight w:val="308"/>
        </w:trPr>
        <w:tc>
          <w:tcPr>
            <w:gridSpan w:val="6"/>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1.2项评审内容由采购人负责，投标文件不符合1.2项评审标准的，作无效标处理。</w:t>
            </w:r>
            <w:r/>
          </w:p>
        </w:tc>
      </w:tr>
      <w:tr>
        <w:trPr>
          <w:trHeight w:val="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9"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2.2.2</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5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投标文件的签署</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79"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符合第二章第3.4.4项规定</w:t>
            </w:r>
            <w:r/>
          </w:p>
        </w:tc>
      </w:tr>
      <w:tr>
        <w:trPr>
          <w:trHeight w:val="460"/>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7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有且只有一个有效报价；</w:t>
            </w:r>
            <w:r/>
          </w:p>
        </w:tc>
      </w:tr>
      <w:tr>
        <w:trPr>
          <w:trHeight w:val="460"/>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79"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符合第二章第1.3.2项规定</w:t>
            </w:r>
            <w:r/>
          </w:p>
        </w:tc>
      </w:tr>
      <w:tr>
        <w:trPr>
          <w:trHeight w:val="410"/>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79"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符合第二章第3.3.1项规定</w:t>
            </w:r>
            <w:r/>
          </w:p>
        </w:tc>
      </w:tr>
      <w:tr>
        <w:trPr>
          <w:trHeight w:val="346"/>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5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79"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符合第二章“投标人须知”第1.8项规定</w:t>
            </w:r>
            <w:r/>
          </w:p>
        </w:tc>
      </w:tr>
      <w:tr>
        <w:trPr>
          <w:trHeight w:val="378"/>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2.2.2项评审内容由评标委员会负责，投标文件不符合2.2.2项评审标准的，作无效标处理。</w:t>
            </w:r>
            <w:r/>
          </w:p>
        </w:tc>
      </w:tr>
      <w:tr>
        <w:trPr>
          <w:trHeight w:val="276"/>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2.3详细评审</w:t>
            </w:r>
            <w:r/>
          </w:p>
        </w:tc>
      </w:tr>
      <w:tr>
        <w:trPr>
          <w:trHeight w:val="27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评审项目</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557"/>
        </w:trPr>
        <w:tc>
          <w:tcPr>
            <w:gridSpan w:val="6"/>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36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一、报价评审（40分）</w:t>
            </w:r>
            <w:r/>
          </w:p>
        </w:tc>
      </w:tr>
      <w:tr>
        <w:trPr>
          <w:trHeight w:val="557"/>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36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价价格部分（40分）</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2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分采用低价优先法计算，即满足招标文件要求且投标优惠率最高的投标报价为评标基准价，其价格分为满分。其他投标人的价格分别按照下列公式计算（计算结果四舍五入保留两位小数）：报价得分=（1-评标基准价）/（1-供应商优惠率）×40分×100%，分值保留小数点后2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依据《关于推动解决政府采购异常低价问题相关工作的通知》(苏财购[2025]62 号文)规定：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（一）评审过程中出现下列情形之一的，评审小组应当启动异常低价投标（响应）审查程序：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1、（1-优惠率报价）&lt; 全部通过符合性审查供应商的（1-优惠率报价）平均值 *50%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2、（1-优惠率报价）&lt; 通过符合性审查供应商的（1-优惠率报价）次低价 *50%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3、（1-优惠率报价）&lt;45% </w:t>
            </w:r>
            <w:r>
              <w:rPr>
                <w:rFonts w:ascii="SimSun" w:hAnsi="SimSun" w:eastAsia="SimSun" w:cs="SimSun"/>
                <w:b/>
                <w:color w:val="ff0000"/>
                <w:sz w:val="24"/>
              </w:rPr>
              <w:t xml:space="preserve">；</w:t>
            </w: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3．评审小组认定的供应商报价过低、有可能影响产品质量或者不能诚信履约的其他情形。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小组应当要求相关供应商在评标现场合理的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w:t>
            </w:r>
            <w:r/>
          </w:p>
        </w:tc>
      </w:tr>
      <w:tr>
        <w:trPr>
          <w:trHeight w:val="557"/>
        </w:trPr>
        <w:tc>
          <w:tcPr>
            <w:gridSpan w:val="6"/>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二、商务评审（20分）</w:t>
            </w:r>
            <w:r/>
          </w:p>
        </w:tc>
      </w:tr>
      <w:tr>
        <w:trPr>
          <w:trHeight w:val="557"/>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企业业绩（10分）</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2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供应商提供自2022年1月1日（以合同签订日期为准）起至今承担过的类似项目业绩的，得10分，最高10分。响应文件中提供业绩合同扫描件及服务期内任意一期的发票扫描件上传系统加盖电子签章，否则不得分。</w:t>
            </w:r>
            <w:r/>
          </w:p>
        </w:tc>
      </w:tr>
      <w:tr>
        <w:trPr>
          <w:trHeight w:val="557"/>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36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车车辆配置（10分）</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2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1、供应商具有冷藏功能的货物运输车的，有1辆得1.5分，最高得3分。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（1）车辆为 供应商自有的，须提供车辆所有人记载为供应商的且在检验有效期内的机动车行驶证（正、副证）</w:t>
            </w:r>
            <w:r>
              <w:rPr>
                <w:rFonts w:ascii="SimSun" w:hAnsi="SimSun" w:eastAsia="SimSun" w:cs="SimSun"/>
                <w:color w:val="000000"/>
                <w:spacing w:val="6"/>
                <w:sz w:val="24"/>
              </w:rPr>
              <w:t xml:space="preserve">扫描件上传系统加盖电子签章</w:t>
            </w:r>
            <w:r>
              <w:rPr>
                <w:rFonts w:ascii="SimSun" w:hAnsi="SimSun" w:eastAsia="SimSun" w:cs="SimSun"/>
                <w:color w:val="000000"/>
                <w:sz w:val="24"/>
              </w:rPr>
              <w:t xml:space="preserve">；</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（2）车辆为租赁的，须同时提供有效车辆租赁合同复印件且合同的乙方或承租方载明为投标单位的、对应车辆在检验有效期内的机动车行驶证（正、副证）扫描件上传系统加盖电子签章。</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2、供应商能按配送通知在30分钟范围内及时配送到位的，得7分，供应商需对配送路线进行描述，并附路径地图以及按时到货承诺书并加盖投标人公章.</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本项共计10分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说明：须按以上要求提供相关证明材料，否则不得分</w:t>
            </w:r>
            <w:r/>
          </w:p>
        </w:tc>
      </w:tr>
      <w:tr>
        <w:trPr>
          <w:trHeight w:val="557"/>
        </w:trPr>
        <w:tc>
          <w:tcPr>
            <w:gridSpan w:val="6"/>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三、技术评审（40分）</w:t>
            </w:r>
            <w:r/>
          </w:p>
        </w:tc>
      </w:tr>
      <w:tr>
        <w:trPr>
          <w:trHeight w:val="557"/>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36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配配送服务方案（5分）</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2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包括（但不限于）:①食材货源供应及库存保障方案②运输配送方案③人员安排方案④服务响应时间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针对每条内容进行阐述，阐述内容须满足采购需求。内容详实、需求贴合度高且条理清晰的该条得5分；内容较为简单、可行、细节有待完善的该条得3分；内容粗略、无针对性、基本满足采购需求的该条得1分。本项最高得5分，每缺少一条内容或内容存在不能满足采购需求或存在逻辑错误、前后矛盾或存在违反现行相关规范的，该条不得分。</w:t>
            </w:r>
            <w:r/>
          </w:p>
        </w:tc>
      </w:tr>
      <w:tr>
        <w:trPr>
          <w:trHeight w:val="557"/>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质量保证方案（12分）</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2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包括（但不限于）：①食材的来源、加工、包装环节的质量保障措施方案②食材的保存、运输环节的质量保障措施方案③食材的来源、加工、包装环节、保存、运输环节的安全保障措施方案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针对每条内容进行阐述，阐述内容须满足采购需求。内容详实、需求贴合度高且条理清晰的该条得12分；内容较为简单、可行、细节有待完善的该条得6分；内容粗略、无针对性、基本满足采购需求的该条得2分。本项最高得12分，每缺少一条内容或内容存在不能满足采购需求或存在逻辑错误、前后矛盾或存在违反现行相关规范的，该条不得分。</w:t>
            </w:r>
            <w:r/>
          </w:p>
        </w:tc>
      </w:tr>
      <w:tr>
        <w:trPr>
          <w:trHeight w:val="557"/>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36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食食品安全保障措施方案（12分）</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2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包括（但不限于）：①食材可追根溯源的保障措施②食材安全、卫生、无毒无公害保障措施③食品召回机制及召回后处理措施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针对每条内容进行阐述，阐述内容须满足采购需求。内容详实、需求贴合度高且条理清晰的该条得12分；内容较为简单、可行、细节有待完善的该条得6分；内容粗略、无针对性、基本满足采购需求的该条得2分。本项最高得12分，每缺少一条内容或内容存在不能满足采购需求或存在逻辑错误前后矛盾或存在违反现行相关规范的，该条不得分。</w:t>
            </w:r>
            <w:r/>
          </w:p>
        </w:tc>
      </w:tr>
      <w:tr>
        <w:trPr>
          <w:trHeight w:val="557"/>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36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应紧急措施方案（6分）</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02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包括:①灾害性天气(防汛、防冻、防雪)②)重大事故的快速处理预案(包括但不限于食物中毒)（③应急措施响应时间、人员配备及流程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针对每条内容进行阐述，阐述内容须满足采购需求。内容详实、需求贴合度高且条理清晰的该条得6分；内容较为简单、可行、细节有待完善的该条得3分；内容粗略、无针对性、基本满足采购需求的该条得1分。本项最高得6分，每缺少一条内容或内容存在不能满足采购需求或存在逻辑错误、前后矛盾或存在违反现行相关规范的，该条不得分。 </w:t>
            </w:r>
            <w:r/>
          </w:p>
        </w:tc>
      </w:tr>
      <w:tr>
        <w:trPr>
          <w:trHeight w:val="55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36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本本地化服务方案（5分）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包括（但不限于）：①人员配备、②设备配备、③服务措施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针对每条内容进行阐述，阐述内容须满足采购需求。内容详实、需求贴合度高且条理清晰的该条得5分；内容较为简单、可行、细节有待完善的该条得3分；内容粗略、无针对性、基本满足采购需求的该条得1分。本项最高得5分，每缺少一条内容或内容存在不能满足采购需求或存在逻辑错误、前后矛盾或存在违反现行相关规范的，该条不得分。</w:t>
            </w:r>
            <w:r/>
          </w:p>
        </w:tc>
      </w:tr>
    </w:tbl>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评标采用综合评分法，评标委员会对满足招标文件实质要求的投标文件，按照本章规定的评分标准进行打分，并按得分由高到低顺序推荐中标候选人。</w:t>
      </w:r>
      <w:r>
        <w:rPr>
          <w:rFonts w:ascii="SimSun" w:hAnsi="SimSun" w:eastAsia="SimSun" w:cs="SimSun"/>
          <w:b/>
          <w:color w:val="000000"/>
          <w:sz w:val="28"/>
        </w:rPr>
        <w:t xml:space="preserve">采购人有权对第一中标候选人提交的所有资料的真实性进行考察、核实，若发现弄虚作假的，取消中标资格，并进行公示等相关处罚。</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1.资格审查</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1.1项目开标结束后，招标人对投标人的资格进行审查。</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1.2资格审查的内容和标准：见资格审查和评标办法前附表。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2.1评标方法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评标采用综合评分法，评标委员会对满足招标文件实质要求的投标文件，按照本章规定的程序和方法进行评审，并按总得分由高到低顺序推荐中标候选人。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2.2初步评审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2.2.1评标委员会对通过资格审查的投标人进行初步评审。</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2.2.2初步评审的内容为投标文件的符合性评审。符合性评审的内容及标准：见资格审查和评标办法前附表。</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2.3详细评审</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2.3.1评标委员会对通过初步评审的投标人进行详细评审。</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2.3.2详细评审的内容及标准：见资格审查和评标办法前附表。</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2.3.3因落实政府采购政策进行价格调整的，以调整后的价格计算评标基准价和投标报价。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2.4评标报告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2.4.1详细评审结束后，评标委员会负责编写评标报告。</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2.4.2采购代理机构自评审结束之日起2个工作日内将评标报告送交招标人。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2.5澄清、说明或补正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2.5.1评标委员会在评审过程中，可以要求投标人对投标文件中含义不明确、同类问题表述不一致或者有明显文字和计算错误的内容等作出必要的澄清、说明或者更正。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2.5.2评标委员会要求投标人澄清、说明或者更正投标文件应当以书面形式作出。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2.5.3投标人的澄清、说明或者更正应当由法定代表人或其授权代表签字或者加盖公章。由授权代表签字的，应当附法定代表人授权书。投标人的书面澄清材料作为投标文件的补充。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2.5.4投标人的澄清、说明或者更正不得超出投标文件的范围或者改变投标文件的实质性内容。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2.5.5评标委员会不得接受投标人主动提出的澄清、说明或补正。</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3.评标过程中特殊情况的处理规定</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3.1投标报价的修正</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投标文件报价出现前后不一致的，按照下列规定修正： </w:t>
      </w:r>
      <w:r/>
    </w:p>
    <w:p>
      <w:pPr>
        <w:ind w:left="0" w:right="0" w:firstLine="28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（1）投标文件中开标一览表内容与投标文件中相应内容不一致的，以开标一览表为准； </w:t>
      </w:r>
      <w:r/>
    </w:p>
    <w:p>
      <w:pPr>
        <w:ind w:left="0" w:right="0" w:firstLine="28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（2）大写金额和小写金额不一致的，以大写金额为准； </w:t>
      </w:r>
      <w:r/>
    </w:p>
    <w:p>
      <w:pPr>
        <w:ind w:left="0" w:right="0" w:firstLine="28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（3）单价金额小数点或者百分比有明显错位的，以开标一览表的总价为准，并修改单价； </w:t>
      </w:r>
      <w:r/>
    </w:p>
    <w:p>
      <w:pPr>
        <w:ind w:left="0" w:right="0" w:firstLine="28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（4）总价金额与按单价汇总金额不一致的，以单价金额计算结果为准。 </w:t>
      </w:r>
      <w:r/>
    </w:p>
    <w:p>
      <w:pPr>
        <w:ind w:left="0" w:right="0" w:firstLine="56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同时出现两种以上不一致的，按照前款规定的顺序修正。修正后的报价按照本章第2.5条的规定经投标人确认后产生约束力，投标人不确认的，其投标无效。</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3.2评标委员会成员的更换</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3.2.2无法及时补足评标委员会成员的，招标人将停止评标活动，封存所有投标文件和开标、评标资料，依法重新组建评标委员会进行评标。原评标委员会所作出的评标意见无效。</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3.3异常低价的处理</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3.4争议解决</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评标委员会成员对需要共同认定的事项存在争议的，按照少数服从多数的原则作出结论。持不同意见的评标委员会成员须在评标报告上签署不同意见及理由。</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3.5评标终止</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3.6修改评标结果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评审组长负责汇总和核对各评标委员会成员的评审结果。在评标报告签署前，出现下列情形之一的，可以要求其当场修改评审结果：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（1）分值汇总计算错误；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（2）分项评分超出评分标准范围；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（3）评标委员会成员对客观评审因素评分不一致；</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（4）经评标委员会认定评分畸高或畸低。</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3.7 投标人总分相同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投标人总分相同时，技术部分得分高的排名优先；如技术部分得分也相同，由招标人抽签确定排序。</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3.8评标报告签署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4.判定无效投标的规定</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4.1开标过程中，有下列情形之一的，作无效投标处理。</w:t>
      </w:r>
      <w:r/>
    </w:p>
    <w:p>
      <w:pPr>
        <w:ind w:left="0" w:right="0" w:firstLine="560"/>
        <w:jc w:val="both"/>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（1）投标文件无法解密；</w:t>
      </w:r>
      <w:r/>
    </w:p>
    <w:p>
      <w:pPr>
        <w:ind w:left="0" w:right="0" w:firstLine="560"/>
        <w:jc w:val="both"/>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（2）投标文件未在规定的时间内解密成功。</w:t>
      </w:r>
      <w:r/>
    </w:p>
    <w:p>
      <w:pPr>
        <w:ind w:left="0" w:right="0" w:firstLine="0"/>
        <w:jc w:val="both"/>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4.2资格审查过程中，</w:t>
      </w:r>
      <w:r>
        <w:rPr>
          <w:rFonts w:ascii="SimSun" w:hAnsi="SimSun" w:eastAsia="SimSun" w:cs="SimSun"/>
          <w:b/>
          <w:color w:val="000000"/>
          <w:spacing w:val="-14"/>
          <w:sz w:val="28"/>
        </w:rPr>
        <w:t xml:space="preserve">投标文件出现不符合1.2项评审标准之一的，作无效标处理。</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8"/>
        </w:rPr>
        <w:t xml:space="preserve">4.3</w:t>
      </w:r>
      <w:r>
        <w:rPr>
          <w:rFonts w:ascii="SimSun" w:hAnsi="SimSun" w:eastAsia="SimSun" w:cs="SimSun"/>
          <w:b/>
          <w:color w:val="000000"/>
          <w:sz w:val="28"/>
        </w:rPr>
        <w:t xml:space="preserve">评标过程中，有下列情形之一的，作无效投标处理。</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（1）符合性评审时，投标文件出现不符合2.2.2项评审标准之一的；</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（2）投标人不确认评标委员会提出的投标报价修正意见的；</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（3）未按照评标委员会要求提供书面说明及相关证明材料证明其报价合理性的；</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（4）投标文件含有采购人不能接受的附加条件的。</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4.4法律、法规规定的其他投标无效情形。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本项目为泰兴市公安局</w:t>
      </w:r>
      <w:r>
        <w:rPr>
          <w:rFonts w:ascii="SimSun" w:hAnsi="SimSun" w:eastAsia="SimSun" w:cs="SimSun"/>
          <w:color w:val="000000"/>
          <w:sz w:val="24"/>
        </w:rPr>
        <w:t xml:space="preserve">食堂食材：蔬菜、水产、畜肉、禽蛋、豆制品、干货、水果、奶制品、调味料和其他副食品等食堂物料采购及伴随的配送服务，具体采购清单由采购人按照食堂当日实际需求提供</w:t>
      </w:r>
      <w:r>
        <w:rPr>
          <w:rFonts w:ascii="SimSun" w:hAnsi="SimSun" w:eastAsia="SimSun" w:cs="SimSun"/>
          <w:color w:val="000000"/>
          <w:sz w:val="24"/>
          <w:highlight w:val="white"/>
        </w:rPr>
        <w:t xml:space="preserve">。</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本地化服务要求</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成交供应商需在泰兴市公安局提供本地化服务，做到随叫随到，第一时间为公安局提供食堂食材及其他物资供给服务。</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泰兴市公安局免费为中标供应商提供经营场地，经营场地在泰兴市公安局内可利用场地东西朝向：24米，南北朝向：8米，上下高度：3米。</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供应商不得对本项目进行转让、转包、转租、分包、分租，否则采购人有权单方解除合同并追究供应商违约责任。</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中标供应商为本项目配置至少一名具有健康证的驻地服务人员，专职服务本项目，如在本项目供货期内，相关人员发生变动的，应及时通知采购人</w:t>
      </w:r>
      <w:r>
        <w:rPr>
          <w:rFonts w:ascii="SimSun" w:hAnsi="SimSun" w:eastAsia="SimSun" w:cs="SimSun"/>
          <w:color w:val="000000"/>
          <w:sz w:val="24"/>
          <w:highlight w:val="white"/>
        </w:rPr>
        <w:t xml:space="preserve">。</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采购人免费提供场地以及其他满足进驻条件的基础设施外，无任何投入，成交供应商自负盈亏。供应商经营所涉及的税金、工商管理、卫生、防疫、水费、电费、垃圾处理费等各项费用由供应商自行承担。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结算要求</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付款方式：每三个月按实结算一次</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结算总价=当日交付的各产品数量×单价×（1-优惠率）×（服务考核平均分÷100）；</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单价参照标准：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（1）参照泰兴市发展和改革委员会当日在泰兴市人民政府官网 首页 &gt; 政府信息公开 &gt; 重点领域信息公开 &gt; 价格监测公布的泰兴市区部分农贸市场食品价格表平均零售价。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（2）泰兴市发展和改革委员会发布的价格监测没有的，单价参照泰兴市荷花池菜市场或泰兴大润发超市当日零售价（两者价格低者为准）。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（3）泰兴市荷花池菜市场或泰兴大润发超市依旧没有的参照天猫超市当日零售价。</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结算依据：当日送货凭证、单价依据、服务考核表、发票</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质量要求</w:t>
      </w:r>
      <w:r/>
    </w:p>
    <w:p>
      <w:pPr>
        <w:ind w:left="0" w:right="0" w:firstLine="482"/>
        <w:jc w:val="both"/>
        <w:spacing w:before="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供应商供应的食材和产品必须符合《国家食品卫生标准》《食品卫生法》和《动物检疫法》等相关规定，所提供的食材和产品均为非转基因产品，保证卫生安全，无毒、无害，具有相应的色、香、味等感官性状。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一、通用质量要求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资质溯源要求：畜禽肉类、水产类必须附带动物检疫合格证明、肉品品质检验报告及相关检测报告；预包装食品需标注SC生产许可标识、正规厂家信息，做到食材来源可追溯、资质可查验。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新鲜度要求：各类食材需保持固有新鲜状态，无变质、腐败、发霉、发酸、发黏、异味等问题，无枯萎、干瘪、蔫萎过度等情况，杜绝过期、变质食材。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卫生洁净要求：食材表面无泥沙、杂草、虫卵、污物、杂质等异物，无违规农药残留、兽药残留，无有毒有害物质污染，符合食品安全卫生标准。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外观质地要求：食材需具备自身正常的色泽、形态与质地，无畸形、异常变色、软烂、严重破损等问题，无注水、掺假、掺杂、以次充好等情况。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 保质期管控：预包装食材、半成品、调味品等，必须在保质期内，剩余保质期不得少于总保质期的三分之二，严禁使用临期、过期食材。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 储运温度要求：冷链食材运输、验收、储存需严格控温，冷藏类食材温度控制在0-4℃，冷冻类食材温度不高于-18℃，杜绝反复解冻、化冻变质、结霜过厚等问题。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二、蔬菜类食材质量要求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（一）叶菜类（白菜、青菜、菠菜、油麦菜、生菜、韭菜等）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叶片鲜嫩挺拔、长势均匀，无发黄、枯萎、烂叶、焦边、烂心，无明显虫蛀、虫洞及病虫害痕迹。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色泽鲜亮自然，符合品种固有颜色，无发灰、发黑、水渍腐烂、软烂变质。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根部洁净，无过多泥沙、烂根、病根，无刺鼻农药残留异味。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无抽薹、开花、纤维化老化等情况，茎秆紧实饱满、不空心。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（二）根茎类（土豆、萝卜、胡萝卜、山药、莲藕、莴笋、生姜等）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表皮完整光滑、饱满坚实，无破损、开裂、霉点、腐烂、黑心、空心、虫蛀等问题。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土豆无发芽、变绿、黑斑；生姜无腐烂、干缩、发霉，无硫磺熏制等异常色泽。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萝卜、胡萝卜无糠心、开裂；莲藕无淤泥残留、无发黑腐烂、无藕节变质。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质地脆嫩紧实，无过度老化、纤维化严重等情况，无异味、怪味。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（三）瓜茄类（黄瓜、冬瓜、南瓜、西红柿、茄子、青椒、豆角等）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黄瓜鲜嫩带刺、瓜身顺直，无老化发黄、弯瘪、腐烂；冬瓜、南瓜表皮完好，无软烂、发霉、空心。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西红柿成熟度适中，无青硬、开裂、腐烂、异味，无空心、籽粒干瘪、汁水过少。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茄子、青椒表皮光亮紧实，无软烂、虫蛀、皱缩、霉变，青椒无辣味异常、腐烂变质。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豆角鲜嫩饱满、无老筋，无虫蛀、发黄、干瘪、腐烂、豆粒鼓胀老化。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（四）菌菇类（香菇、平菇、金针菇、杏鲍菇、木耳等）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鲜菌菇质地紧实、不松散，无腐烂、发黏、出水、异味、霉点、杂质。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干菌菇干燥干爽，无霉变、虫蛀、异味、泥沙、潮解、结块。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菌盖完整，无破损、发黑、枯萎，菌褶干净整洁，无发黄、变质、黏连。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三、水果类食材质量标准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果实饱满圆润，成熟度适中，无生涩、过熟软烂、开裂、碰压伤、冻伤。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色泽自然正常，无发黑、发霉、腐烂、虫蛀、果锈过多、人工染色。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果肉紧实有弹性，无干瘪、脱水、发酸、变质、异味。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表皮洁净，无农药残留、污物附着，符合食用卫生标准。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四、畜禽肉类食材质量标准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（一）猪肉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必须附带正规动物检疫合格证明、肉品品质检验合格证，严禁病死、注水、掺假、劣质猪肉。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色泽鲜红或淡红、富有光泽，脂肪洁白或乳白，无淤血、瘀斑、病变淋巴结、脓包。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肉质紧实有弹性，手指按压后凹陷可立即恢复，无软烂、黏手、渗水、出血水等情况。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无腥臭味、腐败味、异味，表皮干净，无猪毛残留、污物、血渍。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 冷鲜肉温度控制在0-4℃，冷冻肉温度不高于-18℃，无解冻复冻、变质痕迹。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（二）牛羊肉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具备正规检疫合格证明，牛肉色泽深红、羊肉色泽淡红，脂肪洁白，纹理清晰规整。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肉质紧实致密，无注水、淤血、异味、腐败变质，无病变淋巴结、异常组织。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无膻味过重、发酸、发黏等问题，冷冻牛羊肉无大量冰霜、结块、解冻变质。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（三）禽肉（鸡肉、鸭肉、鹅肉等）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表皮完整无损，无破损、淤血、烂皮，脱毛干净、无绒毛残留。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肉质紧实有弹性，无软烂、发黏、出水、腐臭味、异味。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禽眼清亮或微闭，无干瘪、发黑，内脏洁净无病变，严禁采购病死禽肉。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冷冻禽肉温度达标，无解冻、结霜过多、变质、异味等情况。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五、水产类食材质量标准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（一）鲜活水产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鱼类游动活跃、反应灵敏，鳞片完整紧贴，无翻肚、漂浮、垂死、死亡、异味。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虾类鲜活蹦跳、活力充足，壳身光亮紧实，无发红、发软、死亡、腐臭。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蟹类爬行有力、活力充足，蟹壳坚硬，无死亡、瘫软、腐臭、空壳。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贝类外壳闭合紧密，触碰后立即收紧，无开口、死亡、发臭、泥沙过多。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（二）冰鲜/冷冻水产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冰鲜鱼眼球清亮饱满、不凹陷，鱼鳃鲜红，鱼鳞紧贴鱼身，肉质紧实有弹性，无腥臭味、腐臭味、淤血、破损。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冷冻水产中心温度不高于-18℃，无软化、解冻、大量冰霜、肉质松散等问题。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无病死、变质、异味过重的水产，无杂质、污物附着，符合食品安全标准。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六、蛋品类食材质量标准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蛋壳完整光滑，无裂纹、破损、霉斑、污渍、异味。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灯光透视蛋液清亮透明，无黑影、散黄、血丝、杂质。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严禁验收、使用臭蛋、散黄蛋、贴壳蛋、孵化蛋、破损蛋，蛋液浓稠、蛋黄完整。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新鲜度达标，无过期、变质、人工造假、掺假情况。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七、粮油米面类食材质量标准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（一）大米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颗粒饱满均匀，色泽洁白光亮，无霉变、虫蛀、结块、异味、杂物、沙石。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无发黄、发黑、发霉，无陈米异味、哈喇味，水分达标、无潮湿结块。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包装完好无损，无破损、漏洒，标签齐全，在保质期内。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（二）面粉/杂粮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面粉干燥松散、粉质细腻，无结块、发霉、虫蛀、异味、杂质，无发酸、哈喇味。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杂粮颗粒饱满、色泽正常，无霉变、虫蛀、泥沙、杂物、变质。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包装完好，标签清晰齐全，无过期、受潮、结块变质。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（三）食用油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植物油色泽清亮透明，无浑浊、沉淀、悬浮物、泡沫，无哈喇味、酸败味、异味。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包装完好，无渗漏、破损，标签齐全，标注SC许可、生产日期、保质期、厂家信息。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无酸败、变质、掺假、掺杂，符合食用植物油安全标准。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八、豆制品及半成品类质量标准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豆腐、豆干、豆皮等豆制品，质地紧实，无发酸、发黏、出水、异味、霉点。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半成品食材包装完好，无破损、胀气、渗漏，标签齐全，在保质期内。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无变质、变色、异味、杂质，具备合格检测证明，来源合规。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冷藏半成品温度控制在0-4℃，冷冻半成品温度不高于-18℃，无解冻变质。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九、调味品及预包装食品标准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食盐、酱油、醋、味精、酱料、干货调料等，包装完好，无破损、渗漏、胀气、结块。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标签齐全清晰，标明品名、生产厂家、生产日期、保质期、SC编号、配料表等信息。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无变质、发霉、异味、沉淀、杂质，无过期、假冒伪劣、三无产品。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酱料无分层、发酸、发霉；干货调料无虫蛀、霉变、潮解、异味。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十、速冻食品质量标准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速冻丸子、水饺、面点等，包装完好平整，无破损、开裂、胀气、漏气。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中心温度不高于-18℃，无软化、解冻、复冻、大量冰霜结块。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无变质、异味、发霉、杂质异物，在保质期内，口感正常无变质。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十一、严禁供应的食材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过期、变质、腐败、发霉、发酸、发黏、有异味的各类食材；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无检疫证明、无正规资质、来源不明、无法溯源的畜禽肉、水产；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发芽变绿的土豆、霉变红薯、鲜黄花菜、野生毒菌等有毒有害食材；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 病死、毒死、死因不明的畜禽、水产及各类变质肉制品；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 无生产日期、无厂家、无SC许可的三无食品、假冒伪劣、掺假掺杂食材；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 农药残留、兽药残留超标，不符合食品安全国家标准的食材；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 包装破损、胀气、渗漏、无标签、标签不全的预包装食材。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在本项目服务期内，采购人将按每3个月为一个周期对各投标人的供货质量和服务质量及服务管理规范进行监督、考核，并根据每个周期考核扣分情况对投标人作出相应的处理，第一个周期为试用期，如在试用期内未通过考核，招标人有权解除合同，考核方式如下：</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1"/>
        <w:gridCol w:w="1661"/>
        <w:gridCol w:w="1661"/>
        <w:gridCol w:w="1661"/>
        <w:gridCol w:w="1661"/>
      </w:tblGrid>
      <w:tr>
        <w:trPr>
          <w:trHeight w:val="22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服务考核表</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考核项目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评分占比</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供货质量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因产品质量原因导致食品安全事件的，每次扣 15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40 分</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供应的产品经查实为伪劣产品的，每次扣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未经许可，擅自更改送货内容的，每次扣 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存在短斤少两、以次充好，每次扣 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交付的产品质量或等级不符合要求的，每项、每次扣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交付的产品的规格不符合要求的，每项、每次扣 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供应的产品经具有相应资质的检测机构鉴定为不符合国家质量标准的，每次扣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将零散收购的产品供应给采购人的，每次扣 3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以虚增价格的方式损害采购人利益的，每次扣 3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本项考核扣分合计（最少得 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在产品交付时，没有按要求提交产品清单、相关产品来源证明、质量检验报告及相关交付产品的零售（基准）价格表的（除采购人同意），每次、每项扣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40 分</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不按采购人下达的采购通知及时送货或不按规定及时更换不符合要求产品的，每次扣 2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项目工作人员不服从采购方工作人员指挥或管理的，每次扣 3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专用运输车辆、专用容器有污垢、杂物的，每次扣 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运输车辆发生有责安全事故，每次扣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本项考核扣分合计（最少得 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服务规范</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投标人需服从采购人的管理，有但不仅限于下列情形:项目专职人员在提供服务期间，存在态度恶劣或“粗言秽语”情况的，每次扣 2 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20 分</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3.2</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对采购人的服务需求没有及时作出响应的，每次扣 4 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本项考核扣分合计（最少得 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vMerge w:val="continue"/>
            <w:textDirection w:val="lrTb"/>
            <w:noWrap w:val="false"/>
          </w:tcPr>
          <w:p>
            <w:r/>
            <w:r/>
          </w:p>
        </w:tc>
      </w:tr>
      <w:tr>
        <w:trPr>
          <w:trHeight w:val="22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4"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当月考核扣分合计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100 分</w:t>
            </w:r>
            <w:r/>
          </w:p>
        </w:tc>
      </w:tr>
      <w:tr>
        <w:trPr>
          <w:trHeight w:val="10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6"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说明：</w:t>
              <w:br/>
              <w:t xml:space="preserve">1、每个周期考核得分=100 分-当周期考核扣分合计。</w:t>
              <w:br/>
              <w:t xml:space="preserve">2、在本项目实施期内，采购人有权根据实际需要对本考核和处理办法进行优化、调整。</w:t>
            </w:r>
            <w:r/>
          </w:p>
        </w:tc>
      </w:tr>
      <w:tr>
        <w:trPr>
          <w:trHeight w:val="10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6" w:type="dxa"/>
            <w:vAlign w:val="center"/>
            <w:textDirection w:val="lrTb"/>
            <w:noWrap w:val="false"/>
          </w:tcPr>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考核日期：                          考核人：</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注：每三个月为一个周期进行考核，考核得分列入结算依据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在本项目服务期内采购人将不定期对成交供应商进行实地考察，考察内容包含但不仅限于：原材料采购及加工、产品质量管理、供货流程等，如发现成交供应商存在不符合国家相关行业的法律法规或招标文件要求的情况，采购人对成交供应商发出整改通知，成交供应商必须在整改通知限期内对存在问题进行整改，成交供应商拒不整改的，采购人有权取消其供货资格并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3、如出现以下情况，除按上述标准考核扣分外，同时作以下处理：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（1）如果因投标人不按规定及时送货或更换不符合要求的产品导致采购人的工作停顿的，须按每次 5000 元的方式计算向采购人支付违约金，违约金由采购人在应付的货款或履约保证金中直接扣除。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如因投标人不按规定及时送货或更换不符合要求的产品导致采购人工作停顿的，采购人有权自行采购相应的产品，以解决采购人工作停顿的问题，但期间所产生的一切费用（包括产品采购成本）由投标人支付或由采购人在应付的货款中或履约保证金直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（3）食材结算单价采购人每日验收校对审核，若采购人发现成交供应商提供的菜品单价清单明显高出市场合理价，中标单位未能做出合理有效说明的，每发现一次，成交供应商按5000 元的方式计算向采购人支付违约金，违约金由采购人在应付的货款或履约保证金中直接扣除。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、包装、载具及配送要求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预包装食品选用的包装材料及包装标示内容符合国家相关标准、通则规定。配送产品的外包装应完好、洁净、不存在污染、破损情况。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2、载具及保存要求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在配送过程，要求根据不同类目的产品配置专用的容器进行分类装载运输，以防止产品交叉污染或串味，同时，相关的专用容器应有明显的标识。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专用运输车辆和用于装载产品的专用容器要求必须在每次使用前进行彻底的清洗、消毒，以防止食品污染情况的发生，如因此造成采购人或第三方受到损害或损失的，相关的一切后果和责任由供应商自行承担。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运输车厢的内仓，包括地面、厢体和顶，应为抗腐蚀、防潮、防虫、防鼠的设计。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3、配送日常管理要求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（1）投入本项目服务的相关的工作人员应配备符合卫生要求的统一工作服装以防止病原、细菌传播， 如因此造成采购人或第三方受到损害或损失的，相关的一切后果和责任由供应商自行承担。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（2）同时在进行装载运输时，</w:t>
      </w:r>
      <w:r>
        <w:rPr>
          <w:rFonts w:ascii="SimSun" w:hAnsi="SimSun" w:eastAsia="SimSun" w:cs="SimSun"/>
          <w:b/>
          <w:color w:val="000000"/>
          <w:sz w:val="24"/>
        </w:rPr>
        <w:t xml:space="preserve">应安排具有健康证明的专职司机、理货员进行操作</w:t>
      </w:r>
      <w:r>
        <w:rPr>
          <w:rFonts w:ascii="SimSun" w:hAnsi="SimSun" w:eastAsia="SimSun" w:cs="SimSun"/>
          <w:color w:val="000000"/>
          <w:sz w:val="24"/>
        </w:rPr>
        <w:t xml:space="preserve">。严禁将零散收购的产品供应给采购人。如因供应商供应的产品质量原因造成食品安全事故的， 相关的一切责任由供应商承担。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（3）不得以“短斤少两、虚增价格、以次充好”等方式损害采购人的利益。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（4）运输途中要求严防日晒、雨淋，注意通风散热；食品堆放科学合理，避免造成食品的交叉污染；如对温度有要求的食品应确定食品的温度，记录送货车辆温度，并记录存档。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除不可抗力的原因之外，应依照采购人下达的送货通知要求，准时将相关的产品按质、按量送达至指定的地点。供应商不能按时、按质、按量供货，导致采购人无法正常供应伙食的，采购人有权自行采购同等质量的货物，由此造成的经济损失和责任均由供应商承担，并承担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（6）供应商应积极配合由采购人派出的后勤工作人员的指导和管理。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（7）在产品组织、配送过程中，与供应商相关的一切风险、责任和相关的费用由供应商承担。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4、应急配送要求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如采购人需要临时增加产品配送的，供应商须根据通知要求在规定的时间内完成配送。否则，采购人有权自行采购相关食材以解决临时需求，同时，因此而产生的费用由供应商负责承担。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5、配送产品交付要求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（1）交付的产品应为当天生产、制作的产品，其他产品须满足即时食用的条件，且为送达前 2 小时内的制成品。同时，应确保在送达时温度不得低于 40℃、不存在污染、变形、糊化、生冷的情况。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（2）交付的产品为预包装产品（半成品）的，应确保全程冷链配送并在送达时不存在变形、糊化、有异味的情况。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（3）在交付时，供应商应同时向采购人（用户）提供加盖公章的送货清单，采购人签字后留档保存。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安全及其他管理要求</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采购人有权对供应商提供的货物进行抽检，如抽检发现不合格产品，则视为合同违约，解除合同。</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因食材或食品问题引起的食物中毒，经相关部门检测确认后，造成的所有经济损失由供应商负责并承担相应的法律责任。发生此类问题，立即终止供货协议，并永不续用。</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供应商必须重视安全管理工作，确保全年不出安全责任事故，合同期间，由于供应商经营工作失误造成的安全责任事故，自行承担一切责任及损失。</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供应商为消防、治安第一责任人，应切实做好安全值班、防火、防盗工作，严格执行现金保管制度，如发生失窃、火灾事故而造成的一切损失由供应商自负。</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供应商须按照相关法律法规标准自行配备相应消防器材（灭火器，疏散指示，应急照明等），由所属单位自行管理维护。消防管理部门将定期进行安全检查，发现问题责令所属单位限期整改。</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无条件响应采购人突发事件之应急预案。</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无条件接受当地相关监督等政府部门和采购人相关职能部门对卫生、经营等方面的监督管理、检查考核。做好安全、卫生、防火、防盗、防水、防毒等工作，出现一切问题由供应商承担全部责任，给采购人及消费者造成的损失由供应商负完全赔偿责任，直至追究其法律责任。</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间，要保证采购人房屋、设施设备完好。未经采购人同意，供应商不得改变经营场所的房屋结构、管线、电路，不得私接水电，不得使用大功率电器，由此造成的损失由供应商承担，且采购人有权单方面解除合同。</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免费提供的房屋内部装修方案、水电气消防等设施设备改造需要须报采购人批准后实施，加装全范围安防监控系统，确保服务区域无死角，并接入采购人已有的安防系统；外部设计装修、门头广告牌等服从采购人管理，统一设计，经采购人同意后实施；进场后自行拆除旧的门头等旧装修，一切相关费用自理。合同终止时，在保证采购人房屋、水电设施设备完好的情况下，自行拆除门头广告牌等内外部装修，一切相关费用由供应商自理。</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供应商在经营过程中与采购人以外单位发生的债权债务及其他纠纷，由供应商自行承担并及时处理。</w:t>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48"/>
        <w:jc w:val="both"/>
        <w:spacing w:before="0" w:after="0" w:line="579" w:lineRule="atLeast"/>
        <w:rPr>
          <w:rFonts w:ascii="SimSun" w:hAnsi="SimSun" w:eastAsia="SimSun" w:cs="SimSun"/>
          <w:color w:val="000000"/>
          <w:spacing w:val="-3"/>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highlight w:val="none"/>
        </w:rPr>
      </w:r>
      <w:r>
        <w:rPr>
          <w:rFonts w:ascii="SimSun" w:hAnsi="SimSun" w:eastAsia="SimSun" w:cs="SimSun"/>
          <w:color w:val="000000"/>
          <w:spacing w:val="-3"/>
          <w:sz w:val="28"/>
          <w:highlight w:val="none"/>
        </w:rP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48"/>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 </w:t>
      </w:r>
      <w:r/>
    </w:p>
    <w:p>
      <w:pPr>
        <w:ind w:left="0" w:right="0" w:firstLine="55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第五章合同模板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合同文本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yellow"/>
          <w:u w:val="non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财政部 政府采购货物买卖合同（试行）</w:t>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范本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rPr>
          <w:rFonts w:ascii="SimSun" w:hAnsi="SimSun" w:eastAsia="SimSun" w:cs="SimSun"/>
          <w:color w:val="000000"/>
          <w:sz w:val="28"/>
          <w:u w:val="single"/>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使 用 说 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12"/>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第一节 政府采购合同协议书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甲方（全称）：</w:t>
      </w:r>
      <w:r>
        <w:rPr>
          <w:rFonts w:ascii="SimSun" w:hAnsi="SimSun" w:eastAsia="SimSun" w:cs="SimSu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乙方（全称）：</w:t>
      </w:r>
      <w:r>
        <w:rPr>
          <w:rFonts w:ascii="SimSun" w:hAnsi="SimSun" w:eastAsia="SimSun" w:cs="SimSu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项目信息</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采购项目名称：</w:t>
      </w:r>
      <w:r>
        <w:rPr>
          <w:rFonts w:ascii="SimSun" w:hAnsi="SimSun" w:eastAsia="SimSun" w:cs="SimSun"/>
          <w:color w:val="000000"/>
          <w:sz w:val="28"/>
          <w:u w:val="single"/>
        </w:rPr>
        <w:t xml:space="preserve">                                          </w:t>
      </w:r>
      <w:r/>
    </w:p>
    <w:p>
      <w:pPr>
        <w:ind w:left="0" w:right="0" w:firstLine="560"/>
        <w:jc w:val="both"/>
        <w:spacing w:before="0" w:after="0" w:line="85"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采购项目编号：</w:t>
      </w:r>
      <w:r>
        <w:rPr>
          <w:rFonts w:ascii="SimSun" w:hAnsi="SimSun" w:eastAsia="SimSun" w:cs="SimSu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（2）采购计划编号：</w:t>
      </w:r>
      <w:r>
        <w:rPr>
          <w:rFonts w:ascii="SimSun" w:hAnsi="SimSun" w:eastAsia="SimSun" w:cs="SimSun"/>
          <w:color w:val="000000"/>
          <w:sz w:val="28"/>
          <w:u w:val="single"/>
        </w:rPr>
        <w:t xml:space="preserve">                                          </w:t>
      </w: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（3）项目内容：</w:t>
      </w:r>
      <w:r>
        <w:rPr>
          <w:rFonts w:ascii="SimSun" w:hAnsi="SimSun" w:eastAsia="SimSun" w:cs="SimSu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采购标的的技术要求、商务要求具体见附件。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合同金额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（1）合同金额小写：</w:t>
      </w:r>
      <w:r>
        <w:rPr>
          <w:rFonts w:ascii="SimSun" w:hAnsi="SimSun" w:eastAsia="SimSun" w:cs="SimSu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大写：</w:t>
      </w:r>
      <w:r>
        <w:rPr>
          <w:rFonts w:ascii="SimSun" w:hAnsi="SimSun" w:eastAsia="SimSun" w:cs="SimSun"/>
          <w:color w:val="000000"/>
          <w:sz w:val="28"/>
          <w:u w:val="single"/>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（3）付款方式：</w:t>
      </w:r>
      <w:r>
        <w:rPr>
          <w:rFonts w:ascii="SimSun" w:hAnsi="SimSun" w:eastAsia="SimSun" w:cs="SimSun"/>
          <w:color w:val="000000"/>
          <w:sz w:val="28"/>
          <w:u w:val="single"/>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合同履行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（1）起始日期：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日，完成日期：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（2）履约地点：</w:t>
      </w:r>
      <w:r>
        <w:rPr>
          <w:rFonts w:ascii="SimSun" w:hAnsi="SimSun" w:eastAsia="SimSun" w:cs="SimSu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（3）履约担保：是否收取履约保证金：¨否</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合同验收</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验收组织方式：</w:t>
      </w:r>
      <w:r>
        <w:rPr>
          <w:rFonts w:ascii="SimSun" w:hAnsi="SimSun" w:eastAsia="SimSun" w:cs="SimSun"/>
          <w:color w:val="000000"/>
          <w:sz w:val="28"/>
          <w:u w:val="single"/>
        </w:rPr>
        <w:t xml:space="preserve">                                 </w:t>
      </w: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组成合同的文件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本协议书与下列文件一起构成合同文件，如下述文件之间有任何抵触、矛盾或歧义，应按以下顺序解释：</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（1）政府采购合同协议书及其变更、补充协议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（2）政府采购合同专用条款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（3）政府采购合同通用条款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（4）中标（成交）通知书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（5）投标（响应）文件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（6）采购文件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（7）有关技术文件，图纸</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（8）国家法律、行政法规和规章制度规定或合同约定的作为合同组成部分的其他文件</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本合同自</w:t>
      </w:r>
      <w:r>
        <w:rPr>
          <w:rFonts w:ascii="SimSun" w:hAnsi="SimSun" w:eastAsia="SimSun" w:cs="SimSun"/>
          <w:color w:val="000000"/>
          <w:sz w:val="28"/>
          <w:u w:val="single"/>
        </w:rPr>
        <w:t xml:space="preserve">                             </w:t>
      </w:r>
      <w:r>
        <w:rPr>
          <w:rFonts w:ascii="SimSun" w:hAnsi="SimSun" w:eastAsia="SimSun" w:cs="SimSun"/>
          <w:color w:val="000000"/>
          <w:sz w:val="28"/>
        </w:rPr>
        <w:t xml:space="preserve">生效。</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合同份数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本合同一式</w:t>
      </w:r>
      <w:r>
        <w:rPr>
          <w:rFonts w:ascii="SimSun" w:hAnsi="SimSun" w:eastAsia="SimSun" w:cs="SimSun"/>
          <w:color w:val="000000"/>
          <w:sz w:val="28"/>
          <w:u w:val="single"/>
        </w:rPr>
        <w:t xml:space="preserve">    </w:t>
      </w:r>
      <w:r>
        <w:rPr>
          <w:rFonts w:ascii="SimSun" w:hAnsi="SimSun" w:eastAsia="SimSun" w:cs="SimSun"/>
          <w:color w:val="000000"/>
          <w:sz w:val="28"/>
        </w:rPr>
        <w:t xml:space="preserve">份，甲方执</w:t>
      </w:r>
      <w:r>
        <w:rPr>
          <w:rFonts w:ascii="SimSun" w:hAnsi="SimSun" w:eastAsia="SimSun" w:cs="SimSun"/>
          <w:color w:val="000000"/>
          <w:sz w:val="28"/>
          <w:u w:val="single"/>
        </w:rPr>
        <w:t xml:space="preserve">    </w:t>
      </w:r>
      <w:r>
        <w:rPr>
          <w:rFonts w:ascii="SimSun" w:hAnsi="SimSun" w:eastAsia="SimSun" w:cs="SimSun"/>
          <w:color w:val="000000"/>
          <w:sz w:val="28"/>
        </w:rPr>
        <w:t xml:space="preserve">份，乙方执</w:t>
      </w:r>
      <w:r>
        <w:rPr>
          <w:rFonts w:ascii="SimSun" w:hAnsi="SimSun" w:eastAsia="SimSun" w:cs="SimSun"/>
          <w:color w:val="000000"/>
          <w:sz w:val="28"/>
          <w:u w:val="single"/>
        </w:rPr>
        <w:t xml:space="preserve">    </w:t>
      </w:r>
      <w:r>
        <w:rPr>
          <w:rFonts w:ascii="SimSun" w:hAnsi="SimSun" w:eastAsia="SimSun" w:cs="SimSun"/>
          <w:color w:val="000000"/>
          <w:sz w:val="28"/>
        </w:rPr>
        <w:t xml:space="preserve">份，均具有同等法律效力。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合同订立时间：</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合同订立地点：</w:t>
      </w:r>
      <w:r>
        <w:rPr>
          <w:rFonts w:ascii="SimSun" w:hAnsi="SimSun" w:eastAsia="SimSun" w:cs="SimSu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附件：具体标的及其技术要求和商务要求、联合协议、分包意向协议等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br w:type="page" w:clear="all"/>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6" w:type="dxa"/>
            <w:vAlign w:val="center"/>
            <w:textDirection w:val="lrTb"/>
            <w:noWrap w:val="false"/>
          </w:tcPr>
          <w:p>
            <w:pPr>
              <w:ind w:left="0" w:right="0" w:firstLine="48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注：涉及联合体或其他合同主体的信息应按上表格式加列。</w:t>
            </w:r>
            <w:r/>
          </w:p>
        </w:tc>
      </w:tr>
    </w:tbl>
    <w:p>
      <w:pPr>
        <w:pStyle w:val="712"/>
        <w:ind w:left="0" w:right="0" w:firstLine="562"/>
        <w:jc w:val="both"/>
        <w:spacing w:before="156" w:after="260" w:line="85" w:lineRule="atLeast"/>
        <w:pBdr>
          <w:top w:val="none" w:color="000000" w:sz="4" w:space="0"/>
          <w:left w:val="none" w:color="000000" w:sz="4" w:space="0"/>
          <w:bottom w:val="none" w:color="000000" w:sz="4" w:space="0"/>
          <w:right w:val="none" w:color="000000" w:sz="4" w:space="0"/>
        </w:pBdr>
      </w:pPr>
      <w:r>
        <w:br w:type="page" w:clear="all"/>
      </w:r>
      <w:r/>
    </w:p>
    <w:p>
      <w:pPr>
        <w:pStyle w:val="712"/>
        <w:ind w:left="0" w:right="0" w:firstLine="562"/>
        <w:jc w:val="both"/>
        <w:spacing w:before="156"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第二节 政府采购合同通用条款</w:t>
      </w:r>
      <w:r/>
    </w:p>
    <w:p>
      <w:pPr>
        <w:ind w:left="0" w:right="0" w:firstLine="562"/>
        <w:spacing w:before="0" w:after="0" w:line="85"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 定义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1.1合同当事人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（1）采购人（以下称甲方）是指使用财政性资金，通过政府采购方式向供应商购买货物及其相关服务的国家机关、事业单位、团体组织。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（2）供应商（以下称乙方）是指参加政府采购活动并且中标（成交），向采购人提供合同约定的货物及其相关服务的法人、非法人组织或者自然人。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（3）其他合同主体是指除采购人和供应商以外，依法参与合同缔结或履行，享有权利、承担义务的合同当事人。</w:t>
      </w:r>
      <w:r/>
    </w:p>
    <w:p>
      <w:pPr>
        <w:ind w:left="0" w:right="0" w:firstLine="56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1.2本合同下列术语应解释为：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56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（2）“合同价款”系指根据本合同规定乙方在全面履行合同义务后甲方应支付给乙方的价款。</w:t>
      </w:r>
      <w:r/>
    </w:p>
    <w:p>
      <w:pPr>
        <w:ind w:left="0" w:right="0" w:firstLine="56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（3）“货物”系指乙方根据本合同规定须向甲方提供的各种形态和种类的物品，包括原材料、设备、产品（包括软件）及相关的备品备件、工具、手册及其他技术资料和材料等。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56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w:t>
      </w:r>
      <w:r/>
    </w:p>
    <w:p>
      <w:pPr>
        <w:ind w:left="0" w:right="0" w:firstLine="560"/>
        <w:spacing w:before="0" w:after="0" w:line="85"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（7）其他术语解释，见【</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合同标的及金额</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 合同标的及金额应与中标（成交）结果一致。乙方为履行本合同而发生的所有费用均应包含在合同价款中，甲方不再另行支付其他任何费用。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 履行合同的时间、地点和方式</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3.1 乙方应当在约定的时间、地点，按照约定方式履行合同。</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 甲方的权利和义务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4.3 甲方有权要求乙方对缺陷部分予以修复，并按合同约定享有货物保修及其他合同约定的权利。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4.4 甲方应当按照合同约定及时对交付的货物进行验收，未在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约定的期限内对乙方履约提出任何异议或者向乙方作出任何说明的，视为验收通过。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4.5 甲方应当根据合同约定及时向乙方支付合同价款，不得以内部人员变更、履行内部付款流程等为由，拒绝或迟延支付。</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4.6 国家法律法规规定及</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约定应由甲方承担的其他义务和责任。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 乙方的权利和义务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 签署合同后，乙方应确定项目负责人（或项目联系人），负责与本合同有关的事务。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5.3乙方有权根据合同约定向甲方收取合同价款。</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5.4国家法律法规规定及</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约定应由乙方承担的其他义务和责任。</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合同履行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 甲乙双方应当按照</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约定顺序履行合同义务；如果没有先后顺序的，应当同时履行。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 货物包装、运输、保险和交付要求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 本合同涉及商品包装、快递包装的，除</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另有约定外，包装应适应远距离运输、防潮、防震、防锈和防野蛮装卸等要求，确保货物安全无损地运抵</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约定的指定现场。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 除</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另有约定外，乙方负责办理将货物运抵本合同规定的交货地点，并装卸、交付至甲方的一切运输事项，相关费用应包含在合同价款中。</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7.3 货物保险要求按</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规定执行。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7.5 乙方在运输到达之前应提前通知甲方，并提示货物运输装卸的注意事项，甲方配合乙方做好货物的接收工作。</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7.6 如因包装、运输问题导致货物损毁、丢失或者品质下降，甲方有权要求降价、换货、拒收部分或整批货物，由此产生的费用和损失，均由乙方承担。</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 质量标准和保证</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 质量标准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（2）采用中华人民共和国法定计量单位。</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（3）乙方所提供的货物应符合国家有关安全、环保、卫生的规定。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8.2 保证</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规定或乙方书面承诺（两者以较长的为准）的质量保证期内，本保证保持有效。</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（2）在质量保证期内所发现的缺陷，甲方应尽快以书面形式通知乙方。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（3）乙方收到通知后，应在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规定的响应时间内以合理的速度免费维修或更换有缺陷的货物或部件。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（5）乙方在约定的时间内未能弥补缺陷，甲方可采取必要的补救措施，但其风险和费用将由乙方承担，甲方根据合同约定对乙方行使的其他权利不受影响。</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 权利瑕疵担保</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9.1 乙方保证对其出售的货物享有合法的权利。</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9.2 乙方保证在交付的货物上不存在抵押权等担保物权。</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9.3 如甲方使用上述货物构成对第三人侵权的，则由乙方承担全部责任。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 知识产权保护</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 保密义务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中约定。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 合同价款支付</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 合同价款支付按照国库集中支付制度及财政管理相关规定执行。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】中约定。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 履约保证金</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 乙方应当以支票、汇票、本票或者金融机构、担保机构出具的保函等非现金形式提交。</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 如果乙方出现</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13.3 甲方在项目通过验收后按照</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规定的时间内将履约保证金退还乙方；逾期退还的，乙方可要求甲方支付违约金，违约金按照</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规定支付。</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 售后服务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14.1 除项目不涉及或采购活动中明确约定无须承担外，乙方还应提供下列服务：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（1）货物的现场移动、安装、调试、启动监督及技术支持；</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（2）提供货物组装和维修所需的专用工具和辅助材料；</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约定的期限内对所有的货物实施运行监督、维修，但前提条件是该服务并不能免除乙方在质量保证期内所承担的义务；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（4）在制造商所在地或指定现场就货物的安装、启动、运营、维护、废弃处置等对甲方操作人员进行培训；</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（5）依照法律、行政法规的规定或者按照</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约定，货物在有效使用年限届满后应予回收的，乙方负有自行或者委托第三人对货物予以回收的义务；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规定由乙方提供的其他服务。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 乙方提供的售后服务的费用已包含在合同价款中，甲方不再另行支付。</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 违约责任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15.1质量瑕疵的违约责任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乙方提供的产品不符合合同约定的质量标准或存在产品质量缺陷，甲方有权要求乙方根据</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要求及时修理、重作、更换，并承担由此给甲方造成的损失。</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15.2 迟延交货的违约责任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规定执行。如果涉及公共利益，且赔偿金额无法弥补公共利益损失，甲方可要求继续履行或者采取其他补救措施。</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15.3 迟延支付的违约责任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甲方存在迟延支付乙方合同款项的，应当承担</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规定的逾期付款利息。</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15.4其他违约责任根据项目实际需要按</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规定执行。</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合同变更、中止与终止</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16.1合同的变更</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政府采购合同履行中，在不改变合同其他条款的前提下，甲方可以在合同价款10%的范围内追加与合同标的相同的货物，并就此与乙方协商一致后签订补充协议。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16.2合同的中止</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（1）合同履行过程中因供应商就采购文件、采购过程或结果提起投诉的，甲方认为有必要的，可以中止合同的履行。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（4）甲方不得以行政区划调整、政府换届、机构或者职能调整以及相关责任人更替为由中止合同。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16.3合同的终止</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（1）合同因有效期限届满而终止；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（2）乙方未按合同约定履行，构成根本性违约的，甲方有权终止合同，并追究乙方的违约责任。</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16.4 涉及国家利益、社会公共利益的情形</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 合同分包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17.1 乙方不得将合同转包给其他供应商。涉及合同分包的，乙方应根据采购文件和投标（响应）文件规定进行合同分包。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17.2 乙方执行政府采购政策向中小企业依法分包的，乙方应当按采购文件和投标（响应）文件签订分包意向协议，分包意向协议属于本合同组成部分。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 不可抗力</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18.1 不可抗力是指合同双方不能预见、不能避免且不能克服的客观情况。</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18.2 任何一方对由于不可抗力造成的部分或全部不能履行合同不承担违约责任。但迟延履行后发生不可抗力的，不能免除责任。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 解决争议的方法</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19.2 选择仲裁的，应在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中明确仲裁机构及仲裁地；通过诉讼方式解决的，可以在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中进一步约定选择与争议有实际联系的地点的人民法院管辖，但管辖法院的约定不得违反级别管辖和专属管辖的规定。</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19.3 如甲乙双方有争议的事项不影响合同其他部分的履行，在争议解决期间，合同其他部分应当继续履行。</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 政府采购政策</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20.1 本合同应当按照规定执行政府采购政策。</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 法律适用</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 本合同的订立、生效、解释、履行及与本合同有关的争议解决，均适用法律、行政法规。</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 本合同条款与法律、行政法规的强制性规定不一致的，双方当事人应按照法律、行政法规的强制性规定修改本合同的相关条款。</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 通知</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 本合同任何一方向对方发出的通知、信件、数据电文等，应当发送至本合同第一部分《政府采购合同协议书》所约定的通讯地址、联系人、联系电话或电子邮箱。</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22.2 一方当事人变更名称、住所、联系人、联系电话或电子邮箱等信息的，应当在变更后3日内及时书面通知对方，对方实际收到变更通知前的送达仍为有效送达。</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22.3本合同一方给另一方的通知均应采用书面形式，传真或快递送到本合同中规定的对方的地址和办理签收手续。</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22.4通知以送达之日或通知书中规定的生效之日起生效，两者中以较迟之日为准。</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合同未尽事项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23.1合同未尽事项见</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第三节 政府采购合同专用条款</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因本合同及合同有关事项发生的争议，按下列第</w:t>
            </w:r>
            <w:r>
              <w:rPr>
                <w:rFonts w:ascii="SimSun" w:hAnsi="SimSun" w:eastAsia="SimSun" w:cs="SimSun"/>
                <w:color w:val="000000"/>
                <w:sz w:val="24"/>
                <w:u w:val="single"/>
              </w:rPr>
              <w:t xml:space="preserve">   </w:t>
            </w:r>
            <w:r>
              <w:rPr>
                <w:rFonts w:ascii="SimSun" w:hAnsi="SimSun" w:eastAsia="SimSun" w:cs="SimSun"/>
                <w:color w:val="000000"/>
                <w:sz w:val="24"/>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w:t>
            </w:r>
            <w:r>
              <w:rPr>
                <w:rFonts w:ascii="SimSun" w:hAnsi="SimSun" w:eastAsia="SimSun" w:cs="SimSun"/>
                <w:color w:val="000000"/>
                <w:sz w:val="24"/>
              </w:rPr>
              <w:t xml:space="preserve">仲裁委员会申请仲裁，仲裁地点为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w:t>
            </w:r>
            <w:r>
              <w:rPr>
                <w:rFonts w:ascii="SimSun" w:hAnsi="SimSun" w:eastAsia="SimSun" w:cs="SimSun"/>
                <w:color w:val="000000"/>
                <w:sz w:val="24"/>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第六章投标文件的编制要求及参考格式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1.投标文件的组成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见本招标文件第二章3.1条。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2.投标文件的编制内容及编制要求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2.1开标一览表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 投标人应按表中格式完整、清晰、正确填写；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2.1.2开标一览表中的价格应与投标文件中</w:t>
      </w:r>
      <w:r>
        <w:rPr>
          <w:rFonts w:ascii="SimSun" w:hAnsi="SimSun" w:eastAsia="SimSun" w:cs="SimSun"/>
          <w:color w:val="000000"/>
          <w:sz w:val="28"/>
          <w:u w:val="none"/>
        </w:rPr>
        <w:t xml:space="preserve">投标报价明细表</w:t>
      </w:r>
      <w:r>
        <w:rPr>
          <w:rFonts w:ascii="SimSun" w:hAnsi="SimSun" w:eastAsia="SimSun" w:cs="SimSun"/>
          <w:color w:val="000000"/>
          <w:sz w:val="28"/>
        </w:rPr>
        <w:t xml:space="preserve">中的价格一致。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2.1.3开标一览表格式见附件。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 投标函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2.2.1投标人应按表中规定格式完整、清晰、正确填写；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2.2.2投标函必须加盖投标人法人公章并经法定代表人签字或签章。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2.3投标报价明细表及分析说明（本项目无需提供）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2.3.1投标人必须按表中规定格式完整、清晰、正确填写，表格中各项可进一步细分，栏数不够可自行添加。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2.3.2投标报价构成表及分析说明见附件。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2.4资格条件证明文件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（1）投标人基本资格条件承诺函；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（2）招标文件要求的其他资格条件证明材料。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2.5采购需求响应表及人员配置表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投标人应仔细阅读招标文件第四章采购需求，结合自身的实际情况，如实编制，格式附后。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2.6投标人认为应列入投标文件的其他材料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投标人应对照第三章评标办法中的评审因素，结合自身的实际情况，如实编制，格式自拟。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3. 投标文件参考格式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3.1投标文件封面格式</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投标文件</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2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招标编号：</w:t>
      </w:r>
      <w:r/>
    </w:p>
    <w:p>
      <w:pPr>
        <w:ind w:left="0" w:right="0" w:firstLine="12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52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w:t>
      </w:r>
      <w:r>
        <w:rPr>
          <w:rFonts w:ascii="SimSun" w:hAnsi="SimSun" w:eastAsia="SimSun" w:cs="SimSun"/>
          <w:color w:val="000000"/>
          <w:sz w:val="28"/>
          <w:u w:val="single"/>
        </w:rPr>
        <w:t xml:space="preserve">（盖法人章）</w:t>
      </w:r>
      <w:r/>
    </w:p>
    <w:p>
      <w:pPr>
        <w:ind w:left="0" w:right="0" w:firstLine="252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w:t>
      </w:r>
      <w:r/>
    </w:p>
    <w:p>
      <w:pPr>
        <w:ind w:left="0" w:right="0" w:firstLine="252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日期：______年____月____日</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36"/>
        <w:gridCol w:w="52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5" w:type="dxa"/>
            <w:vAlign w:val="top"/>
            <w:textDirection w:val="lrTb"/>
            <w:noWrap w:val="false"/>
          </w:tcPr>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top"/>
            <w:textDirection w:val="lrTb"/>
            <w:noWrap w:val="false"/>
          </w:tcPr>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3.3投标函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(采购人名称)</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招标文件的所有条款要求，遵照《中华人民共和国政府采购法》、《中华人民共和国政府采购法实施条例》等有关规定，我方承诺如下：</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1、如我方中标，我方将按招标文件的规定履行合同责任和义务。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8"/>
          <w:u w:val="none"/>
        </w:rPr>
        <w:t xml:space="preserve">合同履行期限</w:t>
      </w:r>
      <w:r>
        <w:rPr>
          <w:rFonts w:ascii="SimSun" w:hAnsi="SimSun" w:eastAsia="SimSun" w:cs="SimSun"/>
          <w:color w:val="000000"/>
          <w:sz w:val="28"/>
        </w:rPr>
        <w:t xml:space="preserve">：</w:t>
      </w:r>
      <w:r>
        <w:rPr>
          <w:rFonts w:ascii="SimSun" w:hAnsi="SimSun" w:eastAsia="SimSun" w:cs="SimSun"/>
          <w:color w:val="000000"/>
          <w:sz w:val="28"/>
          <w:u w:val="single"/>
        </w:rPr>
        <w:t xml:space="preserve">本项目服务期为三年，采取一次招标三年沿用，实行一年一考核一签合同的办法。如果成交供应商年度考核不合格，采购人有权终止合同，不再续下一年合同。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3、投标有效期：</w:t>
      </w:r>
      <w:r>
        <w:rPr>
          <w:rFonts w:ascii="SimSun" w:hAnsi="SimSun" w:eastAsia="SimSun" w:cs="SimSun"/>
          <w:color w:val="000000"/>
          <w:sz w:val="28"/>
          <w:u w:val="single"/>
        </w:rPr>
        <w:t xml:space="preserve"> 60天 </w:t>
      </w:r>
      <w:r>
        <w:rPr>
          <w:rFonts w:ascii="SimSun" w:hAnsi="SimSun" w:eastAsia="SimSun" w:cs="SimSun"/>
          <w:color w:val="000000"/>
          <w:sz w:val="28"/>
        </w:rPr>
        <w:t xml:space="preserve">。在投标有效期内我方同意遵守本投标文件中的承诺且在此期限期满之前投标文件对我方具有法律约束力。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4、我方已详细审查全部招标文件。我们完全理解并同意放弃对这方面有不明及误解的权力。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投标人名称(盖法人章)：</w:t>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(签字或签章)：</w:t>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r>
        <w:br w:type="page" w:clear="all"/>
      </w:r>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3.4投标报价明细表及分析说明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投标人名称(盖法人章)：</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(签字或签章)：</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24"/>
        </w:rPr>
        <w:t xml:space="preserve"> </w:t>
      </w: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3.5投标人资格条件证明文件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（1）投标人基本资格条件承诺函</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投标人基本资格条件承诺函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一、按照《政府采购法》第二十二条规定的投标人基本资格条件，我公司郑重承诺如下：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1.我公司具有</w:t>
      </w:r>
      <w:r>
        <w:rPr>
          <w:rFonts w:ascii="SimSun" w:hAnsi="SimSun" w:eastAsia="SimSun" w:cs="SimSun"/>
          <w:color w:val="000000"/>
          <w:sz w:val="28"/>
          <w:highlight w:val="white"/>
        </w:rPr>
        <w:t xml:space="preserve">良好的商业信誉和健全的财务制度；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2.我公司具有履行合同所必须的设备和专业技术能力；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3.我公司具有依法缴纳税收和社会保障资金的良好记录；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4.我公司参加政府采购活动前三年内，在经营活动中没有重大违法记录；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SimSun" w:hAnsi="SimSun" w:eastAsia="SimSun" w:cs="SimSun"/>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二、</w:t>
      </w:r>
      <w:r>
        <w:rPr>
          <w:rFonts w:ascii="SimSun" w:hAnsi="SimSun" w:eastAsia="SimSun" w:cs="SimSun"/>
          <w:color w:val="000000"/>
          <w:sz w:val="28"/>
        </w:rPr>
        <w:t xml:space="preserve">我公司承诺：在本次投标过程中，我公司不存在本项目招标文件第二章第1.4.3条所列情形之一。</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投标人名称(盖法人章)：</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(签字或签章)：</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（2）招标文件要求的其他资格条件及证明材料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1.具有有效的营业执照（附证书的扫描件）。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2.合法有效的《食品经营许可证》。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3.6采购需求响应表</w:t>
      </w:r>
      <w:r/>
    </w:p>
    <w:p>
      <w:pPr>
        <w:ind w:left="0" w:right="0" w:firstLine="49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投标偏离表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                  采购项目编号：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2683"/>
        <w:gridCol w:w="2683"/>
        <w:gridCol w:w="218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法定代表人或法定代表人授权代表签字或盖章：</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2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注：（1）本表不得删除；</w:t>
      </w:r>
      <w:r/>
    </w:p>
    <w:p>
      <w:pPr>
        <w:ind w:left="0" w:right="0" w:firstLine="42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（2）如无任何技术偏离，请于本表 “偏离说明”中注明“无偏离”；</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（3）如有技术偏离项，请于本表中列明偏离内容，如需要可自行延长，其余无偏离内容不须赘述。</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承诺书</w:t>
      </w:r>
      <w:r/>
    </w:p>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（投标人名称）在此承诺：</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1．本公司（单位）对本项目（         ）所提供的货物均为原厂全新合格品；</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2．本公司（单位）具备履行合同所必需的设备和专业技术能力；</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1"/>
        </w:rPr>
        <w:t xml:space="preserve"> </w:t>
      </w:r>
      <w:r>
        <w:rPr>
          <w:rFonts w:ascii="SimSun" w:hAnsi="SimSun" w:eastAsia="SimSun" w:cs="SimSun"/>
          <w:color w:val="000000"/>
          <w:sz w:val="24"/>
        </w:rPr>
        <w:t xml:space="preserve">本公司未被“信用中国”网站（</w:t>
      </w:r>
      <w:hyperlink r:id="rId11" w:tooltip="http://www.creditchina.gov.cn/" w:history="1">
        <w:r>
          <w:rPr>
            <w:rStyle w:val="910"/>
            <w:rFonts w:ascii="SimSun" w:hAnsi="SimSun" w:eastAsia="SimSun" w:cs="SimSun"/>
            <w:color w:val="0000ff"/>
            <w:sz w:val="24"/>
            <w:u w:val="single"/>
          </w:rPr>
          <w:t xml:space="preserve">www.creditchina.gov.cn</w:t>
        </w:r>
      </w:hyperlink>
      <w:r>
        <w:rPr>
          <w:rFonts w:ascii="SimSun" w:hAnsi="SimSun" w:eastAsia="SimSun" w:cs="SimSun"/>
          <w:color w:val="000000"/>
          <w:sz w:val="24"/>
        </w:rPr>
        <w:t xml:space="preserve">）列入失信执行人、重大税收违法案件当事人名单、政府采购严重违法失信行为记录名单。</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如违背上述承诺，本公司（单位）将承担一切法律责任。</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2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本授权书声明：____________（投标人名称）授权________________（被授权人的姓名）为我方就</w:t>
      </w:r>
      <w:r>
        <w:rPr>
          <w:rFonts w:ascii="SimSun" w:hAnsi="SimSun" w:eastAsia="SimSun" w:cs="SimSun"/>
          <w:b/>
          <w:color w:val="000000"/>
          <w:sz w:val="28"/>
          <w:u w:val="single"/>
        </w:rPr>
        <w:t xml:space="preserve">          </w:t>
      </w:r>
      <w:r>
        <w:rPr>
          <w:rFonts w:ascii="SimSun" w:hAnsi="SimSun" w:eastAsia="SimSun" w:cs="SimSun"/>
          <w:b/>
          <w:color w:val="000000"/>
          <w:sz w:val="28"/>
        </w:rPr>
        <w:t xml:space="preserve">号项目采购活动的合法代理人，以本单位名义全权处理一切与该项目采购有关的事务。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本授权书于______年____月____日起生效，特此声明。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被授权人身份证号码：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被授权人联系电话：（手机）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被授权人电子邮箱：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授权单位名称：（加盖CA电子公章）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单位地址：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日期：  </w:t>
      </w: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附法定代表人及授权代表身份证复印件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w:t>
      </w:r>
      <w:r/>
    </w:p>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 （联合体）参加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 （含联合体中的中小企业、签订分包意向协议的中小企业）的具体情况如下：</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 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u w:val="single"/>
        </w:rPr>
        <w:t xml:space="preserve">（标的名称） ，属于（采购文件中明确的所属行业） 行业；制造商为（企业名称），从业人员         人，营业收入为       万元，资产总额为      万元，属于（中型企业、小型企业、微型企业）；</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注：从业人员、营业收入、资产总额填报上一年度数据，无上一年度数据的新成立企业可不填报。供应商如不提供此声明函，价格将不做相应扣除。</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w:t>
      </w:r>
      <w:r>
        <w:rPr>
          <w:rFonts w:ascii="SimSun" w:hAnsi="SimSun" w:eastAsia="SimSun" w:cs="SimSun"/>
          <w:color w:val="000000"/>
          <w:sz w:val="24"/>
          <w:u w:val="single"/>
        </w:rPr>
        <w:t xml:space="preserve">是/否</w:t>
      </w:r>
      <w:r>
        <w:rPr>
          <w:rFonts w:ascii="SimSun" w:hAnsi="SimSun" w:eastAsia="SimSun" w:cs="SimSun"/>
          <w:color w:val="000000"/>
          <w:sz w:val="24"/>
        </w:rPr>
        <w:t xml:space="preserve">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1560" w:firstLine="624"/>
        <w:jc w:val="center"/>
        <w:spacing w:before="0" w:after="0" w:line="587"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关于符合本国产品标准的声明函（如有）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102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51993"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67047"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5620"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90046"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627966"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9436"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28879"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4738"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5.2pt;height:7.5pt;mso-wrap-distance-left:0.0pt;mso-wrap-distance-top:0.0pt;mso-wrap-distance-right:0.0pt;mso-wrap-distance-bottom:0.0pt;" stroked="false">
                <v:path textboxrect="0,0,0,0"/>
              </v:shape>
            </w:pict>
          </mc:Fallback>
        </mc:AlternateContent>
      </w:r>
      <w:r>
        <w:rPr>
          <w:rFonts w:ascii="SimSun" w:hAnsi="SimSun" w:eastAsia="SimSun" w:cs="SimSun"/>
          <w:color w:val="ff0000"/>
          <w:sz w:val="24"/>
          <w:highlight w:val="white"/>
        </w:rPr>
        <w:t xml:space="preserve">1.</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vertAlign w:val="superscript"/>
        </w:rPr>
        <w:t xml:space="preserve">1</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vertAlign w:val="superscript"/>
        </w:rPr>
        <w:t xml:space="preserve">2</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 （产品名称1） </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4"/>
          <w:highlight w:val="white"/>
          <w:vertAlign w:val="superscript"/>
        </w:rPr>
        <w:t xml:space="preserve">3</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4"/>
          <w:highlight w:val="white"/>
          <w:vertAlign w:val="superscript"/>
        </w:rPr>
        <w:t xml:space="preserve">4</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4"/>
          <w:highlight w:val="white"/>
          <w:vertAlign w:val="superscript"/>
        </w:rPr>
        <w:t xml:space="preserve">5</w:t>
      </w:r>
      <w:r>
        <w:rPr>
          <w:rFonts w:ascii="SimSun" w:hAnsi="SimSun" w:eastAsia="SimSun" w:cs="SimSun"/>
          <w:color w:val="ff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76250" cy="1619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309276"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38150" cy="1238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67797" name=""/>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4.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47650" cy="10477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76750" name=""/>
                        <pic:cNvPicPr>
                          <a:picLocks noChangeAspect="1"/>
                        </pic:cNvPicPr>
                        <pic:nvPr/>
                      </pic:nvPicPr>
                      <pic:blipFill>
                        <a:blip/>
                        <a:stretch/>
                      </pic:blipFill>
                      <pic:spPr bwMode="auto">
                        <a:xfrm>
                          <a:off x="0" y="0"/>
                          <a:ext cx="2476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9.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20424"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23728"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900112" name=""/>
                        <pic:cNvPicPr>
                          <a:picLocks noChangeAspect="1"/>
                        </pic:cNvPicPr>
                        <pic:nvPr/>
                      </pic:nvPicPr>
                      <pic:blipFill>
                        <a:blip/>
                        <a:stretch/>
                      </pic:blipFill>
                      <pic:spPr bwMode="auto">
                        <a:xfrm>
                          <a:off x="0" y="0"/>
                          <a:ext cx="838198"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2900"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06024"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7.5pt;height:11.2pt;mso-wrap-distance-left:0.0pt;mso-wrap-distance-top:0.0pt;mso-wrap-distance-right:0.0pt;mso-wrap-distance-bottom:0.0pt;" stroked="false">
                <v:path textboxrect="0,0,0,0"/>
              </v:shape>
            </w:pict>
          </mc:Fallback>
        </mc:AlternateContent>
      </w:r>
      <w:r>
        <w:rPr>
          <w:rFonts w:ascii="SimSun" w:hAnsi="SimSun" w:eastAsia="SimSun" w:cs="SimSun"/>
          <w:color w:val="ff0000"/>
          <w:sz w:val="24"/>
          <w:highlight w:val="white"/>
        </w:rPr>
        <w:t xml:space="preserve">2.</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6.用斜线划除的地方无需填写。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32"/>
        </w:rPr>
        <w:t xml:space="preserve"> </w:t>
      </w:r>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项目团队人员表（格式）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1"/>
        <w:gridCol w:w="1152"/>
        <w:gridCol w:w="945"/>
        <w:gridCol w:w="840"/>
        <w:gridCol w:w="822"/>
        <w:gridCol w:w="1577"/>
        <w:gridCol w:w="1706"/>
        <w:gridCol w:w="1139"/>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具有的证书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从业经验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20"/>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投标人名称(盖法人章)：</w:t>
      </w:r>
      <w:r/>
    </w:p>
    <w:p>
      <w:pPr>
        <w:ind w:left="0" w:right="0" w:firstLine="3920"/>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(签字或签章)：</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注：1、上表可自行延长。</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2、须附人员身份证及相关证书、证明材料、社保等原件扫描件。</w:t>
      </w:r>
      <w:r/>
    </w:p>
    <w:p>
      <w:pPr>
        <w:ind w:left="0" w:right="0" w:firstLine="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仿宋_GB2312">
    <w:panose1 w:val="02010609060101010101"/>
  </w:font>
  <w:font w:name="Courier New">
    <w:panose1 w:val="02070309020205020404"/>
  </w:font>
  <w:font w:name="Calibri">
    <w:panose1 w:val="020F0502020204030204"/>
  </w:font>
  <w:font w:name="楷体_GB2312">
    <w:panose1 w:val="02010609060101010101"/>
  </w:font>
  <w:font w:name="Calibri Light">
    <w:panose1 w:val="020F03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8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8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0"/>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888"/>
    <w:next w:val="888"/>
    <w:link w:val="711"/>
    <w:uiPriority w:val="9"/>
    <w:qFormat/>
    <w:pPr>
      <w:keepLines/>
      <w:keepNext/>
      <w:spacing w:before="480" w:after="200"/>
      <w:outlineLvl w:val="0"/>
    </w:pPr>
    <w:rPr>
      <w:rFonts w:ascii="Arial" w:hAnsi="Arial" w:eastAsia="Arial" w:cs="Arial"/>
      <w:sz w:val="40"/>
      <w:szCs w:val="40"/>
    </w:rPr>
  </w:style>
  <w:style w:type="character" w:styleId="711">
    <w:name w:val="Heading 1 Char"/>
    <w:link w:val="710"/>
    <w:uiPriority w:val="9"/>
    <w:rPr>
      <w:rFonts w:ascii="Arial" w:hAnsi="Arial" w:eastAsia="Arial" w:cs="Arial"/>
      <w:sz w:val="40"/>
      <w:szCs w:val="40"/>
    </w:rPr>
  </w:style>
  <w:style w:type="paragraph" w:styleId="712">
    <w:name w:val="Heading 2"/>
    <w:basedOn w:val="888"/>
    <w:next w:val="888"/>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888"/>
    <w:next w:val="888"/>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888"/>
    <w:next w:val="888"/>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link w:val="716"/>
    <w:uiPriority w:val="9"/>
    <w:rPr>
      <w:rFonts w:ascii="Arial" w:hAnsi="Arial" w:eastAsia="Arial" w:cs="Arial"/>
      <w:b/>
      <w:bCs/>
      <w:sz w:val="26"/>
      <w:szCs w:val="26"/>
    </w:rPr>
  </w:style>
  <w:style w:type="paragraph" w:styleId="718">
    <w:name w:val="Heading 5"/>
    <w:basedOn w:val="888"/>
    <w:next w:val="888"/>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link w:val="718"/>
    <w:uiPriority w:val="9"/>
    <w:rPr>
      <w:rFonts w:ascii="Arial" w:hAnsi="Arial" w:eastAsia="Arial" w:cs="Arial"/>
      <w:b/>
      <w:bCs/>
      <w:sz w:val="24"/>
      <w:szCs w:val="24"/>
    </w:rPr>
  </w:style>
  <w:style w:type="paragraph" w:styleId="720">
    <w:name w:val="Heading 6"/>
    <w:basedOn w:val="888"/>
    <w:next w:val="888"/>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link w:val="720"/>
    <w:uiPriority w:val="9"/>
    <w:rPr>
      <w:rFonts w:ascii="Arial" w:hAnsi="Arial" w:eastAsia="Arial" w:cs="Arial"/>
      <w:b/>
      <w:bCs/>
      <w:sz w:val="22"/>
      <w:szCs w:val="22"/>
    </w:rPr>
  </w:style>
  <w:style w:type="paragraph" w:styleId="722">
    <w:name w:val="Heading 7"/>
    <w:basedOn w:val="888"/>
    <w:next w:val="888"/>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link w:val="722"/>
    <w:uiPriority w:val="9"/>
    <w:rPr>
      <w:rFonts w:ascii="Arial" w:hAnsi="Arial" w:eastAsia="Arial" w:cs="Arial"/>
      <w:b/>
      <w:bCs/>
      <w:i/>
      <w:iCs/>
      <w:sz w:val="22"/>
      <w:szCs w:val="22"/>
    </w:rPr>
  </w:style>
  <w:style w:type="paragraph" w:styleId="724">
    <w:name w:val="Heading 8"/>
    <w:basedOn w:val="888"/>
    <w:next w:val="888"/>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link w:val="724"/>
    <w:uiPriority w:val="9"/>
    <w:rPr>
      <w:rFonts w:ascii="Arial" w:hAnsi="Arial" w:eastAsia="Arial" w:cs="Arial"/>
      <w:i/>
      <w:iCs/>
      <w:sz w:val="22"/>
      <w:szCs w:val="22"/>
    </w:rPr>
  </w:style>
  <w:style w:type="paragraph" w:styleId="726">
    <w:name w:val="Heading 9"/>
    <w:basedOn w:val="888"/>
    <w:next w:val="888"/>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link w:val="726"/>
    <w:uiPriority w:val="9"/>
    <w:rPr>
      <w:rFonts w:ascii="Arial" w:hAnsi="Arial" w:eastAsia="Arial" w:cs="Arial"/>
      <w:i/>
      <w:iCs/>
      <w:sz w:val="21"/>
      <w:szCs w:val="21"/>
    </w:rPr>
  </w:style>
  <w:style w:type="paragraph" w:styleId="728">
    <w:name w:val="List Paragraph"/>
    <w:basedOn w:val="888"/>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92"/>
    <w:qFormat/>
    <w:pPr>
      <w:jc w:val="both"/>
      <w:widowControl w:val="off"/>
    </w:pPr>
    <w:rPr>
      <w:sz w:val="24"/>
      <w:szCs w:val="24"/>
      <w:lang w:val="en-US" w:eastAsia="zh-CN" w:bidi="ar-SA"/>
    </w:rPr>
  </w:style>
  <w:style w:type="paragraph" w:styleId="889">
    <w:name w:val="标题 2"/>
    <w:basedOn w:val="888"/>
    <w:next w:val="888"/>
    <w:link w:val="888"/>
    <w:qFormat/>
    <w:pPr>
      <w:keepLines/>
      <w:keepNext/>
      <w:spacing w:before="260" w:after="260" w:line="416" w:lineRule="auto"/>
      <w:outlineLvl w:val="1"/>
    </w:pPr>
    <w:rPr>
      <w:rFonts w:ascii="Calibri Light" w:hAnsi="Calibri Light" w:eastAsia="宋体" w:cs="Times New Roman"/>
      <w:b/>
      <w:bCs/>
      <w:sz w:val="32"/>
      <w:szCs w:val="32"/>
    </w:rPr>
  </w:style>
  <w:style w:type="character" w:styleId="890">
    <w:name w:val="默认段落字体"/>
    <w:next w:val="890"/>
    <w:link w:val="888"/>
    <w:semiHidden/>
  </w:style>
  <w:style w:type="table" w:styleId="891">
    <w:name w:val="普通表格"/>
    <w:next w:val="891"/>
    <w:link w:val="888"/>
    <w:semiHidden/>
    <w:qFormat/>
    <w:tblPr/>
  </w:style>
  <w:style w:type="character" w:styleId="892">
    <w:name w:val="强调1"/>
    <w:next w:val="892"/>
    <w:link w:val="888"/>
    <w:qFormat/>
    <w:rPr>
      <w:sz w:val="24"/>
      <w:szCs w:val="24"/>
      <w:lang w:val="en-US" w:eastAsia="zh-CN" w:bidi="ar-SA"/>
    </w:rPr>
  </w:style>
  <w:style w:type="paragraph" w:styleId="893">
    <w:name w:val="正文缩进"/>
    <w:basedOn w:val="888"/>
    <w:next w:val="893"/>
    <w:link w:val="888"/>
    <w:qFormat/>
    <w:pPr>
      <w:ind w:firstLine="420"/>
    </w:pPr>
    <w:rPr>
      <w:szCs w:val="21"/>
    </w:rPr>
  </w:style>
  <w:style w:type="paragraph" w:styleId="894">
    <w:name w:val="文档结构图"/>
    <w:basedOn w:val="888"/>
    <w:next w:val="894"/>
    <w:link w:val="888"/>
    <w:uiPriority w:val="99"/>
    <w:unhideWhenUsed/>
    <w:qFormat/>
    <w:rPr>
      <w:rFonts w:ascii="宋体"/>
      <w:sz w:val="18"/>
      <w:szCs w:val="18"/>
    </w:rPr>
  </w:style>
  <w:style w:type="paragraph" w:styleId="895">
    <w:name w:val="批注文字"/>
    <w:basedOn w:val="888"/>
    <w:next w:val="895"/>
    <w:link w:val="888"/>
    <w:uiPriority w:val="99"/>
    <w:unhideWhenUsed/>
    <w:qFormat/>
    <w:pPr>
      <w:jc w:val="left"/>
    </w:pPr>
  </w:style>
  <w:style w:type="paragraph" w:styleId="896">
    <w:name w:val="正文文本"/>
    <w:basedOn w:val="888"/>
    <w:next w:val="897"/>
    <w:link w:val="888"/>
    <w:uiPriority w:val="99"/>
    <w:qFormat/>
    <w:pPr>
      <w:spacing w:after="120"/>
    </w:pPr>
  </w:style>
  <w:style w:type="paragraph" w:styleId="897">
    <w:name w:val="目录 2"/>
    <w:basedOn w:val="888"/>
    <w:next w:val="888"/>
    <w:link w:val="888"/>
    <w:uiPriority w:val="39"/>
    <w:unhideWhenUsed/>
    <w:qFormat/>
    <w:pPr>
      <w:ind w:left="420"/>
    </w:pPr>
    <w:rPr>
      <w:sz w:val="21"/>
      <w:szCs w:val="22"/>
    </w:rPr>
  </w:style>
  <w:style w:type="paragraph" w:styleId="898">
    <w:name w:val="正文文本缩进"/>
    <w:basedOn w:val="888"/>
    <w:next w:val="898"/>
    <w:link w:val="888"/>
    <w:qFormat/>
    <w:pPr>
      <w:ind w:firstLine="645"/>
    </w:pPr>
    <w:rPr>
      <w:rFonts w:ascii="楷体_GB2312" w:hAnsi="Calibri" w:eastAsia="楷体_GB2312"/>
      <w:sz w:val="32"/>
      <w:szCs w:val="32"/>
    </w:rPr>
  </w:style>
  <w:style w:type="paragraph" w:styleId="899">
    <w:name w:val="目录 3"/>
    <w:basedOn w:val="888"/>
    <w:next w:val="888"/>
    <w:link w:val="888"/>
    <w:uiPriority w:val="39"/>
    <w:qFormat/>
    <w:pPr>
      <w:ind w:left="420"/>
      <w:jc w:val="left"/>
    </w:pPr>
    <w:rPr>
      <w:i/>
      <w:iCs/>
      <w:sz w:val="20"/>
      <w:szCs w:val="20"/>
    </w:rPr>
  </w:style>
  <w:style w:type="paragraph" w:styleId="900">
    <w:name w:val="纯文本"/>
    <w:basedOn w:val="888"/>
    <w:next w:val="900"/>
    <w:link w:val="888"/>
    <w:qFormat/>
    <w:rPr>
      <w:rFonts w:ascii="宋体" w:hAnsi="Courier New"/>
      <w:szCs w:val="22"/>
    </w:rPr>
  </w:style>
  <w:style w:type="paragraph" w:styleId="901">
    <w:name w:val="日期"/>
    <w:basedOn w:val="888"/>
    <w:next w:val="888"/>
    <w:link w:val="888"/>
    <w:qFormat/>
    <w:rPr>
      <w:rFonts w:ascii="Calibri" w:hAnsi="Calibri"/>
    </w:rPr>
  </w:style>
  <w:style w:type="paragraph" w:styleId="902">
    <w:name w:val="页脚"/>
    <w:basedOn w:val="888"/>
    <w:next w:val="902"/>
    <w:link w:val="888"/>
    <w:uiPriority w:val="99"/>
    <w:unhideWhenUsed/>
    <w:qFormat/>
    <w:pPr>
      <w:jc w:val="left"/>
      <w:tabs>
        <w:tab w:val="center" w:pos="4153" w:leader="none"/>
        <w:tab w:val="right" w:pos="8306" w:leader="none"/>
      </w:tabs>
    </w:pPr>
    <w:rPr>
      <w:sz w:val="18"/>
      <w:szCs w:val="18"/>
    </w:rPr>
  </w:style>
  <w:style w:type="paragraph" w:styleId="903">
    <w:name w:val="寄信人地址"/>
    <w:basedOn w:val="888"/>
    <w:next w:val="903"/>
    <w:link w:val="888"/>
    <w:qFormat/>
    <w:rPr>
      <w:rFonts w:ascii="Arial" w:hAnsi="Arial"/>
    </w:rPr>
  </w:style>
  <w:style w:type="paragraph" w:styleId="904">
    <w:name w:val="页眉"/>
    <w:basedOn w:val="888"/>
    <w:next w:val="904"/>
    <w:link w:val="888"/>
    <w:qFormat/>
    <w:pPr>
      <w:jc w:val="center"/>
      <w:tabs>
        <w:tab w:val="center" w:pos="4153" w:leader="none"/>
        <w:tab w:val="right" w:pos="8306" w:leader="none"/>
      </w:tabs>
      <w:pBdr>
        <w:bottom w:val="single" w:color="000000" w:sz="6" w:space="1"/>
      </w:pBdr>
    </w:pPr>
    <w:rPr>
      <w:sz w:val="18"/>
      <w:szCs w:val="18"/>
    </w:rPr>
  </w:style>
  <w:style w:type="paragraph" w:styleId="905">
    <w:name w:val="正文文本 2"/>
    <w:basedOn w:val="888"/>
    <w:next w:val="905"/>
    <w:link w:val="888"/>
    <w:uiPriority w:val="99"/>
    <w:qFormat/>
    <w:rPr>
      <w:rFonts w:eastAsia="仿宋_GB2312"/>
      <w:color w:val="000000"/>
    </w:rPr>
  </w:style>
  <w:style w:type="paragraph" w:styleId="906">
    <w:name w:val="普通(网站)"/>
    <w:basedOn w:val="888"/>
    <w:next w:val="906"/>
    <w:link w:val="888"/>
    <w:uiPriority w:val="99"/>
    <w:qFormat/>
    <w:pPr>
      <w:jc w:val="left"/>
      <w:spacing w:before="150" w:after="150" w:line="480" w:lineRule="auto"/>
    </w:pPr>
    <w:rPr>
      <w:rFonts w:hint="eastAsia" w:ascii="宋体" w:hAnsi="宋体"/>
      <w:color w:val="000000"/>
    </w:rPr>
  </w:style>
  <w:style w:type="paragraph" w:styleId="907">
    <w:name w:val="正文首行缩进"/>
    <w:basedOn w:val="896"/>
    <w:next w:val="907"/>
    <w:link w:val="888"/>
    <w:qFormat/>
    <w:pPr>
      <w:ind w:firstLine="200"/>
      <w:spacing w:line="360" w:lineRule="auto"/>
    </w:pPr>
    <w:rPr>
      <w:rFonts w:ascii="仿宋_GB2312" w:hAnsi="Arial" w:eastAsia="仿宋_GB2312"/>
      <w:sz w:val="30"/>
      <w:szCs w:val="30"/>
    </w:rPr>
  </w:style>
  <w:style w:type="paragraph" w:styleId="908">
    <w:name w:val="正文首行缩进 2"/>
    <w:basedOn w:val="898"/>
    <w:next w:val="908"/>
    <w:link w:val="888"/>
    <w:qFormat/>
    <w:pPr>
      <w:ind w:firstLine="420"/>
      <w:spacing w:line="360" w:lineRule="auto"/>
    </w:pPr>
    <w:rPr>
      <w:rFonts w:ascii="宋体" w:hAnsi="宋体"/>
      <w:sz w:val="21"/>
    </w:rPr>
  </w:style>
  <w:style w:type="table" w:styleId="909">
    <w:name w:val="网格型"/>
    <w:basedOn w:val="891"/>
    <w:next w:val="909"/>
    <w:link w:val="888"/>
    <w:uiPriority w:val="99"/>
    <w:qFormat/>
    <w:pPr>
      <w:jc w:val="both"/>
      <w:widowControl w:val="off"/>
    </w:pPr>
    <w:rPr>
      <w:rFonts w:ascii="Times New Roman" w:hAnsi="Times New Roman" w:eastAsia="宋体" w:cs="Times New Roman"/>
    </w:rPr>
    <w:tblPr/>
  </w:style>
  <w:style w:type="character" w:styleId="910">
    <w:name w:val="超链接"/>
    <w:basedOn w:val="890"/>
    <w:next w:val="910"/>
    <w:link w:val="888"/>
    <w:rPr>
      <w:color w:val="0000ff"/>
      <w:u w:val="single"/>
    </w:rPr>
  </w:style>
  <w:style w:type="paragraph" w:styleId="911">
    <w:name w:val="列出段落1"/>
    <w:basedOn w:val="888"/>
    <w:next w:val="911"/>
    <w:link w:val="888"/>
    <w:qFormat/>
    <w:pPr>
      <w:ind w:firstLine="420"/>
    </w:pPr>
    <w:rPr>
      <w:rFonts w:eastAsia="Times New Roman"/>
    </w:rPr>
  </w:style>
  <w:style w:type="paragraph" w:styleId="912">
    <w:name w:val="Default"/>
    <w:next w:val="912"/>
    <w:link w:val="888"/>
    <w:uiPriority w:val="99"/>
    <w:qFormat/>
    <w:pPr>
      <w:widowControl w:val="off"/>
    </w:pPr>
    <w:rPr>
      <w:rFonts w:ascii="仿宋" w:eastAsia="仿宋" w:cs="仿宋"/>
      <w:color w:val="000000"/>
      <w:sz w:val="24"/>
      <w:szCs w:val="24"/>
      <w:lang w:val="en-US" w:eastAsia="zh-CN" w:bidi="ar-SA"/>
    </w:rPr>
  </w:style>
  <w:style w:type="paragraph" w:styleId="913">
    <w:name w:val="普通正文"/>
    <w:basedOn w:val="888"/>
    <w:next w:val="913"/>
    <w:link w:val="888"/>
    <w:qFormat/>
    <w:pPr>
      <w:ind w:firstLine="480"/>
      <w:jc w:val="left"/>
      <w:spacing w:before="120" w:after="120" w:line="360" w:lineRule="auto"/>
    </w:pPr>
    <w:rPr>
      <w:rFonts w:ascii="Arial" w:hAnsi="Arial"/>
    </w:rPr>
  </w:style>
  <w:style w:type="paragraph" w:styleId="914">
    <w:name w:val="目录 51"/>
    <w:basedOn w:val="888"/>
    <w:next w:val="888"/>
    <w:link w:val="888"/>
    <w:uiPriority w:val="99"/>
    <w:qFormat/>
    <w:pPr>
      <w:ind w:left="800"/>
    </w:pPr>
    <w:rPr>
      <w:rFonts w:ascii="Calibri" w:hAnsi="Calibri"/>
      <w:szCs w:val="22"/>
    </w:rPr>
  </w:style>
  <w:style w:type="paragraph" w:styleId="915">
    <w:name w:val="WPS Plain"/>
    <w:next w:val="915"/>
    <w:link w:val="888"/>
    <w:qFormat/>
    <w:rPr>
      <w:lang w:val="en-US" w:eastAsia="zh-CN" w:bidi="ar-SA"/>
    </w:rPr>
  </w:style>
  <w:style w:type="paragraph" w:styleId="916">
    <w:name w:val="Table Paragraph"/>
    <w:basedOn w:val="888"/>
    <w:next w:val="916"/>
    <w:link w:val="888"/>
    <w:uiPriority w:val="1"/>
    <w:qFormat/>
  </w:style>
  <w:style w:type="paragraph" w:styleId="917">
    <w:name w:val="列出段落"/>
    <w:basedOn w:val="888"/>
    <w:next w:val="917"/>
    <w:link w:val="888"/>
    <w:uiPriority w:val="34"/>
    <w:qFormat/>
    <w:pPr>
      <w:ind w:firstLine="420"/>
    </w:pPr>
  </w:style>
  <w:style w:type="paragraph" w:styleId="918">
    <w:name w:val="01、普通正文"/>
    <w:basedOn w:val="888"/>
    <w:next w:val="918"/>
    <w:link w:val="888"/>
    <w:qFormat/>
    <w:pPr>
      <w:tabs>
        <w:tab w:val="left" w:pos="0" w:leader="none"/>
      </w:tabs>
    </w:pPr>
  </w:style>
  <w:style w:type="paragraph" w:styleId="919">
    <w:name w:val="正文文本1"/>
    <w:basedOn w:val="888"/>
    <w:next w:val="888"/>
    <w:link w:val="888"/>
    <w:uiPriority w:val="99"/>
    <w:qFormat/>
    <w:rPr>
      <w:rFonts w:ascii="宋体"/>
      <w:sz w:val="28"/>
    </w:rPr>
  </w:style>
  <w:style w:type="paragraph" w:styleId="920">
    <w:name w:val="List Paragraph1"/>
    <w:basedOn w:val="888"/>
    <w:next w:val="920"/>
    <w:link w:val="888"/>
    <w:qFormat/>
    <w:pPr>
      <w:ind w:firstLine="420"/>
    </w:pPr>
    <w:rPr>
      <w:szCs w:val="21"/>
    </w:rPr>
  </w:style>
  <w:style w:type="paragraph" w:styleId="921">
    <w:name w:val="正文1"/>
    <w:next w:val="921"/>
    <w:link w:val="888"/>
    <w:qFormat/>
    <w:rPr>
      <w:rFonts w:eastAsia="Times New Roman"/>
      <w:sz w:val="24"/>
      <w:szCs w:val="24"/>
      <w:lang w:val="en-US" w:eastAsia="zh-CN" w:bidi="ar-SA"/>
    </w:rPr>
  </w:style>
  <w:style w:type="paragraph" w:styleId="922">
    <w:name w:val="首行缩进"/>
    <w:basedOn w:val="888"/>
    <w:next w:val="922"/>
    <w:link w:val="888"/>
    <w:qFormat/>
    <w:pPr>
      <w:ind w:firstLine="480"/>
      <w:jc w:val="left"/>
      <w:spacing w:line="360" w:lineRule="auto"/>
    </w:pPr>
    <w:rPr>
      <w:sz w:val="24"/>
      <w:szCs w:val="24"/>
    </w:rPr>
  </w:style>
  <w:style w:type="paragraph" w:styleId="923">
    <w:name w:val="正文2"/>
    <w:basedOn w:val="888"/>
    <w:next w:val="923"/>
    <w:link w:val="888"/>
    <w:qFormat/>
    <w:pPr>
      <w:ind w:firstLine="510"/>
      <w:spacing w:before="156" w:line="360" w:lineRule="auto"/>
    </w:pPr>
    <w:rPr>
      <w:sz w:val="24"/>
    </w:rPr>
  </w:style>
  <w:style w:type="paragraph" w:styleId="924">
    <w:name w:val="纯文本3"/>
    <w:basedOn w:val="888"/>
    <w:next w:val="924"/>
    <w:link w:val="888"/>
    <w:qFormat/>
    <w:rPr>
      <w:rFonts w:ascii="宋体" w:hAnsi="Courier New" w:eastAsia="楷体_GB2312"/>
      <w:sz w:val="26"/>
    </w:rPr>
  </w:style>
  <w:style w:type="paragraph" w:styleId="925">
    <w:name w:val="样式 小四 段前: 5 磅 段后: 5 磅 首行缩进:  2 字符"/>
    <w:basedOn w:val="888"/>
    <w:next w:val="925"/>
    <w:link w:val="888"/>
    <w:qFormat/>
    <w:pPr>
      <w:spacing w:line="360" w:lineRule="auto"/>
    </w:pPr>
    <w:rPr>
      <w:rFonts w:ascii="宋体" w:hAnsi="宋体"/>
      <w:szCs w:val="21"/>
    </w:rPr>
  </w:style>
  <w:style w:type="character" w:styleId="926">
    <w:name w:val="font11"/>
    <w:next w:val="926"/>
    <w:link w:val="888"/>
    <w:qFormat/>
    <w:rPr>
      <w:rFonts w:hint="eastAsia" w:ascii="宋体" w:hAnsi="宋体" w:eastAsia="宋体" w:cs="宋体"/>
      <w:color w:val="000000"/>
      <w:sz w:val="21"/>
      <w:szCs w:val="21"/>
      <w:u w:val="none"/>
    </w:rPr>
  </w:style>
  <w:style w:type="character" w:styleId="927">
    <w:name w:val="font21"/>
    <w:next w:val="927"/>
    <w:link w:val="888"/>
    <w:qFormat/>
    <w:rPr>
      <w:rFonts w:hint="eastAsia" w:ascii="宋体" w:hAnsi="宋体" w:eastAsia="宋体" w:cs="宋体"/>
      <w:b/>
      <w:bCs/>
      <w:color w:val="000000"/>
      <w:sz w:val="24"/>
      <w:szCs w:val="24"/>
      <w:u w:val="none"/>
    </w:rPr>
  </w:style>
  <w:style w:type="character" w:styleId="928">
    <w:name w:val="font41"/>
    <w:next w:val="928"/>
    <w:link w:val="888"/>
    <w:qFormat/>
    <w:rPr>
      <w:rFonts w:hint="eastAsia" w:ascii="宋体" w:hAnsi="宋体" w:eastAsia="宋体" w:cs="宋体"/>
      <w:color w:val="000000"/>
      <w:sz w:val="24"/>
      <w:szCs w:val="24"/>
      <w:u w:val="none"/>
    </w:rPr>
  </w:style>
  <w:style w:type="paragraph" w:styleId="929">
    <w:name w:val="普通(网站)1"/>
    <w:basedOn w:val="888"/>
    <w:next w:val="929"/>
    <w:link w:val="888"/>
    <w:uiPriority w:val="99"/>
    <w:qFormat/>
    <w:pPr>
      <w:jc w:val="left"/>
      <w:spacing w:before="100" w:beforeAutospacing="1" w:after="100" w:afterAutospacing="1"/>
      <w:widowControl/>
    </w:pPr>
    <w:rPr>
      <w:rFonts w:ascii="宋体" w:hAnsi="宋体" w:eastAsia="宋体" w:cs="宋体"/>
      <w:sz w:val="24"/>
      <w:szCs w:val="24"/>
    </w:rPr>
  </w:style>
  <w:style w:type="character" w:styleId="930" w:default="1">
    <w:name w:val="Default Paragraph Font"/>
    <w:uiPriority w:val="1"/>
    <w:semiHidden/>
    <w:unhideWhenUsed/>
  </w:style>
  <w:style w:type="numbering" w:styleId="931" w:default="1">
    <w:name w:val="No List"/>
    <w:uiPriority w:val="99"/>
    <w:semiHidden/>
    <w:unhideWhenUsed/>
  </w:style>
  <w:style w:type="table" w:styleId="9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Administrator.P</dc:creator>
  <cp:lastModifiedBy>沈佳</cp:lastModifiedBy>
  <cp:revision>7</cp:revision>
  <dcterms:created xsi:type="dcterms:W3CDTF">2014-10-29T20:08:00Z</dcterms:created>
  <dcterms:modified xsi:type="dcterms:W3CDTF">2026-05-15T01:27:02Z</dcterms:modified>
</cp:coreProperties>
</file>