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pPr>
      <w:r/>
      <w:r/>
    </w:p>
    <w:p>
      <w:pPr>
        <w:spacing w:line="360" w:lineRule="auto"/>
      </w:pPr>
      <w:r/>
      <w:r/>
    </w:p>
    <w:p>
      <w:pPr>
        <w:ind w:left="0" w:right="0" w:firstLine="0"/>
        <w:jc w:val="center"/>
        <w:spacing w:before="75" w:after="75"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苏州市吴江区政府采购</w:t>
      </w:r>
      <w:r/>
    </w:p>
    <w:p>
      <w:pPr>
        <w:ind w:left="0" w:right="0" w:firstLine="0"/>
        <w:jc w:val="center"/>
        <w:spacing w:before="75" w:after="75"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服务类磋商项目</w:t>
      </w:r>
      <w:r/>
    </w:p>
    <w:p>
      <w:pPr>
        <w:ind w:left="0" w:right="0" w:firstLine="0"/>
        <w:spacing w:before="75" w:after="75"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spacing w:before="75" w:after="75"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spacing w:before="75" w:after="75"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506"/>
        <w:spacing w:before="75" w:after="75"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项目编号：</w:t>
      </w:r>
      <w:r>
        <w:rPr>
          <w:rFonts w:ascii="SimSun" w:hAnsi="SimSun" w:eastAsia="SimSun" w:cs="SimSun"/>
          <w:b/>
          <w:color w:val="000000"/>
          <w:sz w:val="30"/>
          <w:u w:val="single"/>
        </w:rPr>
        <w:t xml:space="preserve">JSZC-320509-SZAD-C2026-0001</w:t>
      </w:r>
      <w:r/>
    </w:p>
    <w:p>
      <w:pPr>
        <w:ind w:left="0" w:right="0" w:firstLine="1506"/>
        <w:spacing w:before="75" w:after="75"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项目名称：</w:t>
      </w:r>
      <w:r>
        <w:rPr>
          <w:rFonts w:ascii="SimSun" w:hAnsi="SimSun" w:eastAsia="SimSun" w:cs="SimSun"/>
          <w:b/>
          <w:color w:val="000000"/>
          <w:sz w:val="30"/>
          <w:u w:val="single"/>
        </w:rPr>
        <w:t xml:space="preserve">七都镇“村村通”视频监控维保项目</w:t>
      </w:r>
      <w:r/>
    </w:p>
    <w:p>
      <w:pPr>
        <w:ind w:left="0" w:right="0" w:firstLine="1506"/>
        <w:spacing w:before="75" w:after="75"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采 购 人：</w:t>
      </w:r>
      <w:r>
        <w:rPr>
          <w:rFonts w:ascii="SimSun" w:hAnsi="SimSun" w:eastAsia="SimSun" w:cs="SimSun"/>
          <w:b/>
          <w:color w:val="000000"/>
          <w:sz w:val="30"/>
          <w:u w:val="single"/>
        </w:rPr>
        <w:t xml:space="preserve">苏州市吴江区七都镇人民政府</w:t>
      </w:r>
      <w:r/>
    </w:p>
    <w:p>
      <w:pPr>
        <w:ind w:left="0" w:right="0" w:firstLine="1506"/>
        <w:spacing w:before="75" w:after="75"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采购代理机构：</w:t>
      </w:r>
      <w:r>
        <w:rPr>
          <w:rFonts w:ascii="SimSun" w:hAnsi="SimSun" w:eastAsia="SimSun" w:cs="SimSun"/>
          <w:b/>
          <w:color w:val="000000"/>
          <w:sz w:val="30"/>
          <w:u w:val="single"/>
        </w:rPr>
        <w:t xml:space="preserve">苏州爱达招投标有限公司</w:t>
      </w:r>
      <w:r/>
    </w:p>
    <w:p>
      <w:pPr>
        <w:ind w:left="0" w:right="0" w:firstLine="1506"/>
        <w:spacing w:before="75" w:after="75"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项目类别：</w:t>
      </w:r>
      <w:r>
        <w:rPr>
          <w:rFonts w:ascii="SimSun" w:hAnsi="SimSun" w:eastAsia="SimSun" w:cs="SimSun"/>
          <w:b/>
          <w:color w:val="000000"/>
          <w:sz w:val="30"/>
          <w:u w:val="single"/>
        </w:rPr>
        <w:t xml:space="preserve">服务类</w:t>
      </w:r>
      <w:r/>
    </w:p>
    <w:p>
      <w:pPr>
        <w:ind w:left="0" w:right="0" w:firstLine="0"/>
        <w:spacing w:before="75" w:after="75"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75" w:after="75"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2026年6月</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spacing w:line="360" w:lineRule="auto"/>
        <w:shd w:val="nil" w:color="auto"/>
        <w:rPr>
          <w:sz w:val="21"/>
          <w:szCs w:val="21"/>
        </w:rPr>
      </w:pPr>
      <w:r>
        <w:rPr>
          <w:rFonts w:ascii="SimSun" w:hAnsi="SimSun" w:eastAsia="SimSun" w:cs="SimSun"/>
          <w:b/>
          <w:color w:val="000000"/>
          <w:sz w:val="32"/>
          <w:highlight w:val="none"/>
        </w:rPr>
        <w:br w:type="page" w:clear="all"/>
      </w:r>
      <w:r>
        <w:rPr>
          <w:rFonts w:ascii="SimSun" w:hAnsi="SimSun" w:eastAsia="SimSun" w:cs="SimSun"/>
          <w:b/>
          <w:color w:val="000000"/>
          <w:sz w:val="32"/>
          <w:highlight w:val="none"/>
        </w:rPr>
      </w:r>
      <w:r/>
    </w:p>
    <w:p>
      <w:pPr>
        <w:ind w:left="0" w:right="0" w:firstLine="0"/>
        <w:jc w:val="center"/>
        <w:spacing w:before="0" w:after="0" w:line="360" w:lineRule="auto"/>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附表</w:t>
      </w:r>
      <w:r/>
    </w:p>
    <w:tbl>
      <w:tblPr>
        <w:tblStyle w:val="75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55"/>
        <w:gridCol w:w="8096"/>
      </w:tblGrid>
      <w:tr>
        <w:trPr>
          <w:trHeight w:val="49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5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条款号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09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内容规定</w:t>
            </w:r>
            <w:r/>
          </w:p>
        </w:tc>
      </w:tr>
      <w:tr>
        <w:trPr>
          <w:trHeight w:val="4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96"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项目名称：七都镇“村村通”视频监控维保项目</w:t>
            </w:r>
            <w:r/>
          </w:p>
        </w:tc>
      </w:tr>
      <w:tr>
        <w:trPr>
          <w:trHeight w:val="4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96"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响应文件有效期为响应文件递交截止之日起四十五天（日历天）</w:t>
            </w:r>
            <w:r/>
          </w:p>
        </w:tc>
      </w:tr>
      <w:tr>
        <w:trPr>
          <w:trHeight w:val="94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96"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磋商保证金：根据《江苏省财政厅文件苏财购【2020】52号》相关规定，本项目无须支付保证金</w:t>
            </w:r>
            <w:r/>
          </w:p>
        </w:tc>
      </w:tr>
      <w:tr>
        <w:trPr>
          <w:trHeight w:val="23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96"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磋商响应文件：供应商按照采购文件要求制作上传电子响应文件，</w:t>
            </w:r>
            <w:r>
              <w:rPr>
                <w:rFonts w:ascii="SimSun" w:hAnsi="SimSun" w:eastAsia="SimSun" w:cs="SimSun"/>
                <w:b/>
                <w:color w:val="000000"/>
                <w:sz w:val="24"/>
              </w:rPr>
              <w:t xml:space="preserve">项目评标结束后所有供应商须向采购代理机构提交响应文件纸质版，份数为三份（一正二副）。纸质响应文件与上传的电子响应文件一致，用于存档备案。（邮寄地址苏州市吴江区交通北路3418号，联系人：姚嘉芸，联系电话：0512-63258111/18015563976）</w:t>
            </w:r>
            <w:r/>
          </w:p>
        </w:tc>
      </w:tr>
      <w:tr>
        <w:trPr>
          <w:trHeight w:val="1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96"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截止时间：2026年6月24日13:30</w:t>
            </w:r>
            <w:r>
              <w:rPr>
                <w:rFonts w:ascii="SimSun" w:hAnsi="SimSun" w:eastAsia="SimSun" w:cs="SimSun"/>
                <w:color w:val="000000"/>
                <w:sz w:val="21"/>
              </w:rPr>
              <w:t xml:space="preserve">（北京时间）</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磋商时间：2026年6月24日13:30</w:t>
            </w:r>
            <w:r>
              <w:rPr>
                <w:rFonts w:ascii="SimSun" w:hAnsi="SimSun" w:eastAsia="SimSun" w:cs="SimSun"/>
                <w:color w:val="000000"/>
                <w:sz w:val="21"/>
              </w:rPr>
              <w:t xml:space="preserve">（北京时间）</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磋商地点：“苏采云”政府采购交易系统网上开标大厅。</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本项目为不见面磋商项目，开启阶段供应商在【供应商解密】环节必须使用 CA证书解密电子响应文件，如在系统规定的解密时间（响应文件提交截止时间后 30 分钟)内未能完成解密的视为放弃参与本项目。</w:t>
            </w:r>
            <w:r/>
          </w:p>
        </w:tc>
      </w:tr>
      <w:tr>
        <w:trPr>
          <w:trHeight w:val="113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96"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成交服务费：根据苏州市吴江中介超市的规定收取成交服务费。领取成交通知书时成交供应商向招标代理机构一次性付清。由成交供应商支付，本项目服务费为20500.00元。</w:t>
            </w:r>
            <w:r/>
          </w:p>
          <w:p>
            <w:pPr>
              <w:ind w:left="0" w:right="0" w:firstLine="0"/>
              <w:spacing w:before="0" w:after="0" w:line="360" w:lineRule="auto"/>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账户名：苏州爱达招投标有限公司</w:t>
            </w:r>
            <w:r/>
          </w:p>
          <w:p>
            <w:pPr>
              <w:ind w:left="0" w:right="0" w:firstLine="0"/>
              <w:spacing w:before="0" w:after="0" w:line="360" w:lineRule="auto"/>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开户行：宁波银行股份有限公司吴江支行</w:t>
            </w:r>
            <w:r/>
          </w:p>
          <w:p>
            <w:pPr>
              <w:ind w:left="0" w:right="0" w:firstLine="0"/>
              <w:spacing w:before="0" w:after="0" w:line="360" w:lineRule="auto"/>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账号：75070122000335450</w:t>
            </w:r>
            <w:r/>
          </w:p>
        </w:tc>
      </w:tr>
    </w:tbl>
    <w:p>
      <w:pPr>
        <w:spacing w:line="360" w:lineRule="auto"/>
        <w:shd w:val="nil" w:color="auto"/>
        <w:rPr>
          <w:sz w:val="30"/>
          <w:szCs w:val="30"/>
        </w:rPr>
      </w:pPr>
      <w:r>
        <w:rPr>
          <w:sz w:val="30"/>
        </w:rPr>
        <w:br w:type="page" w:clear="all"/>
      </w:r>
      <w:r>
        <w:rPr>
          <w:sz w:val="30"/>
        </w:rPr>
      </w:r>
      <w:r/>
    </w:p>
    <w:p>
      <w:pPr>
        <w:pStyle w:val="719"/>
        <w:ind w:left="0" w:right="0" w:firstLine="0"/>
        <w:jc w:val="both"/>
        <w:spacing w:before="320" w:after="200" w:line="360" w:lineRule="auto"/>
        <w:rPr>
          <w:sz w:val="30"/>
          <w:szCs w:val="30"/>
        </w:rPr>
        <w:pBdr>
          <w:top w:val="none" w:color="000000" w:sz="4" w:space="0"/>
          <w:left w:val="none" w:color="000000" w:sz="4" w:space="0"/>
          <w:bottom w:val="none" w:color="000000" w:sz="4" w:space="0"/>
          <w:right w:val="none" w:color="000000" w:sz="4" w:space="0"/>
        </w:pBdr>
      </w:pPr>
      <w:r>
        <w:rPr>
          <w:sz w:val="30"/>
        </w:rPr>
      </w:r>
      <w:r/>
    </w:p>
    <w:p>
      <w:pPr>
        <w:ind w:left="0" w:right="0" w:firstLine="0"/>
        <w:jc w:val="both"/>
        <w:spacing w:before="0" w:after="0" w:line="360" w:lineRule="auto"/>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 </w:t>
      </w:r>
      <w:r/>
    </w:p>
    <w:p>
      <w:pPr>
        <w:ind w:left="0" w:right="0" w:firstLine="0"/>
        <w:jc w:val="center"/>
        <w:spacing w:before="0" w:after="0" w:line="360" w:lineRule="auto"/>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目录</w:t>
      </w:r>
      <w:r/>
    </w:p>
    <w:p>
      <w:pPr>
        <w:ind w:left="0" w:right="0" w:firstLine="0"/>
        <w:jc w:val="center"/>
        <w:spacing w:before="0" w:after="0" w:line="360" w:lineRule="auto"/>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 </w:t>
      </w:r>
      <w:r/>
    </w:p>
    <w:p>
      <w:pPr>
        <w:ind w:left="0" w:right="0" w:firstLine="880"/>
        <w:jc w:val="both"/>
        <w:spacing w:before="0" w:after="0" w:line="360" w:lineRule="auto"/>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一、磋商公告</w:t>
      </w:r>
      <w:r/>
    </w:p>
    <w:p>
      <w:pPr>
        <w:ind w:left="0" w:right="0" w:firstLine="880"/>
        <w:jc w:val="both"/>
        <w:spacing w:before="0" w:after="0" w:line="360" w:lineRule="auto"/>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二、磋商须知</w:t>
      </w:r>
      <w:r/>
    </w:p>
    <w:p>
      <w:pPr>
        <w:ind w:left="0" w:right="0" w:firstLine="880"/>
        <w:jc w:val="both"/>
        <w:spacing w:before="0" w:after="0" w:line="360" w:lineRule="auto"/>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三、采购内容</w:t>
      </w:r>
      <w:r/>
    </w:p>
    <w:p>
      <w:pPr>
        <w:ind w:left="0" w:right="0" w:firstLine="880"/>
        <w:jc w:val="both"/>
        <w:spacing w:before="0" w:after="0" w:line="360" w:lineRule="auto"/>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四、评审方法及评分标准</w:t>
      </w:r>
      <w:r/>
    </w:p>
    <w:p>
      <w:pPr>
        <w:ind w:left="0" w:right="0" w:firstLine="880"/>
        <w:jc w:val="both"/>
        <w:spacing w:before="0" w:after="0" w:line="360" w:lineRule="auto"/>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五、合同主要条款及格式</w:t>
      </w:r>
      <w:r/>
    </w:p>
    <w:p>
      <w:pPr>
        <w:ind w:left="0" w:right="0" w:firstLine="8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六、磋商响应文件格式</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3"/>
        </w:rPr>
        <w:t xml:space="preserve">第一章 磋商公告</w:t>
      </w:r>
      <w:r/>
    </w:p>
    <w:p>
      <w:pPr>
        <w:ind w:left="0" w:right="0" w:firstLine="480"/>
        <w:jc w:val="both"/>
        <w:spacing w:before="0" w:after="0" w:line="360" w:lineRule="auto"/>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项目概况</w:t>
      </w:r>
      <w:r/>
    </w:p>
    <w:p>
      <w:pPr>
        <w:ind w:left="0" w:right="0" w:firstLine="480"/>
        <w:jc w:val="both"/>
        <w:spacing w:before="0" w:after="0" w:line="360" w:lineRule="auto"/>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u w:val="single"/>
        </w:rPr>
        <w:t xml:space="preserve">七都镇“村村通”视频监控维保项目</w:t>
      </w:r>
      <w:r>
        <w:rPr>
          <w:rFonts w:ascii="SimSun" w:hAnsi="SimSun" w:eastAsia="SimSun" w:cs="SimSun"/>
          <w:color w:val="000000"/>
          <w:sz w:val="24"/>
        </w:rPr>
        <w:t xml:space="preserve">采购项目的潜在供应商应在</w:t>
      </w:r>
      <w:r>
        <w:rPr>
          <w:rFonts w:ascii="SimSun" w:hAnsi="SimSun" w:eastAsia="SimSun" w:cs="SimSun"/>
          <w:color w:val="000000"/>
          <w:sz w:val="24"/>
          <w:u w:val="single"/>
        </w:rPr>
        <w:t xml:space="preserve">“苏采云”政府采购交易系统（以下简称苏采云系统”）</w:t>
      </w:r>
      <w:r>
        <w:rPr>
          <w:rFonts w:ascii="SimSun" w:hAnsi="SimSun" w:eastAsia="SimSun" w:cs="SimSun"/>
          <w:color w:val="000000"/>
          <w:sz w:val="24"/>
        </w:rPr>
        <w:t xml:space="preserve">获取招标文件，并于</w:t>
      </w:r>
      <w:r>
        <w:rPr>
          <w:rFonts w:ascii="SimSun" w:hAnsi="SimSun" w:eastAsia="SimSun" w:cs="SimSun"/>
          <w:color w:val="000000"/>
          <w:sz w:val="24"/>
          <w:u w:val="single"/>
        </w:rPr>
        <w:t xml:space="preserve">2026年6月24日13:30</w:t>
      </w:r>
      <w:r>
        <w:rPr>
          <w:rFonts w:ascii="SimSun" w:hAnsi="SimSun" w:eastAsia="SimSun" w:cs="SimSun"/>
          <w:color w:val="000000"/>
          <w:sz w:val="24"/>
        </w:rPr>
        <w:t xml:space="preserve">（北京时间）前递交响应文件。</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一、项目基本情况</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项目编号：JSZC-320509-SZAD-C2026-0001</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项目名称：七都镇“村村通”视频监控维保项目</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采购方式：竞争性磋商</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预算金额：壹佰陆拾肆万元整（￥1640000.00）</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最高限价：/</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采购需求：详见采购文件第三章</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合同履行期限：一年（具体时间以甲方通知为准）</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本项目（是/否）接受联合体：否</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二、申请人的资格要求：</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（一）满足《中华人民共和国政府采购法》第二十二条规定；</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1.具有独立承担民事责任的能力；</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2.具有良好的商业信誉和健全的财务会计制度；</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3.具有履行合同所必需的设备和专业技术能力；</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4.有依法缴纳税收和社会保障资金的良好记录；</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5.参加政府采购活动前三年内，在经营活动中没有重大违法记录；</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6.法律、行政法规规定的其他条件；</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（二）落实政府采购政策需满足的资格要求：</w:t>
      </w:r>
      <w:r>
        <w:rPr>
          <w:rFonts w:ascii="SimSun" w:hAnsi="SimSun" w:eastAsia="SimSun" w:cs="SimSun"/>
          <w:color w:val="000000"/>
          <w:sz w:val="24"/>
          <w:u w:val="none"/>
        </w:rPr>
        <w:t xml:space="preserve">本项目非专门面向</w:t>
      </w:r>
      <w:r>
        <w:rPr>
          <w:rFonts w:ascii="SimSun" w:hAnsi="SimSun" w:eastAsia="SimSun" w:cs="SimSun"/>
          <w:color w:val="000000"/>
          <w:sz w:val="24"/>
        </w:rPr>
        <w:t xml:space="preserve">中小微企业。</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（三）本项目的特定资格要求：</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1.未被“信用中国”网站（www.creditchina.gov.cn）列入失信被执行人、重大税收违法案件当事人名单、政府采购严重失信行为记录名单</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三、获取采购文件</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时间：自公告发布之日起5个工作日</w:t>
      </w:r>
      <w:r/>
    </w:p>
    <w:p>
      <w:pPr>
        <w:ind w:left="0" w:right="0" w:firstLine="48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地点：“苏采云”政府采购交易系统 </w:t>
      </w:r>
      <w:r/>
    </w:p>
    <w:p>
      <w:pPr>
        <w:ind w:left="0" w:right="0" w:firstLine="48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方式：线上获取</w:t>
      </w:r>
      <w:r/>
    </w:p>
    <w:p>
      <w:pPr>
        <w:ind w:left="0" w:right="0" w:firstLine="48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售价：0.00</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四、响应文件提交</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截止时间：2026年6月24日13:30（北京时间）</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地点：“苏采云”政府采购交易系统</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五、开启</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时间：2026年6月24日13:30（北京时间）</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地点：苏州市吴江区开平路998号3楼不见面开标室6（政府采购）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六、公告期限</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自本公告发布之日起3个工作日。</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七、其他补充事宜</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1、本公告同时在江苏政府采购网、苏州市政府采购网发布。</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ascii="SimSun" w:hAnsi="SimSun" w:eastAsia="SimSun" w:cs="SimSun"/>
          <w:b/>
          <w:color w:val="000000"/>
          <w:sz w:val="24"/>
        </w:rPr>
        <w:t xml:space="preserve">供应商应充分考虑到网络环境、网络带宽等风险因素，如因供应商自身原因造成的电子响应文件上传不成功由供应商自行承担全部责任。</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3、本项目获取采购文件截止日期之后仍可以下载采购文件，但截止日期之后下载的采购文件，视为非有效方式且不作为供应商权益受到损害的证明材料和依据。</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4、本项目支持政府采购合同信用融资。</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5、国办发〔2025〕34号《国务院办公厅关于在政府采购中实施本国产品标准及相关政策的通知》。</w:t>
      </w:r>
      <w:r>
        <w:rPr>
          <w:sz w:val="21"/>
        </w:rPr>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八、凡对本次采购提出询问，请按以下方式联系。</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1.采购人信息</w:t>
      </w:r>
      <w:r/>
    </w:p>
    <w:p>
      <w:pPr>
        <w:ind w:left="0" w:right="0" w:firstLine="66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名称：苏州市吴江区七都镇人民政府</w:t>
      </w:r>
      <w:r/>
    </w:p>
    <w:p>
      <w:pPr>
        <w:ind w:left="0" w:right="0" w:firstLine="66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联系地址：</w:t>
      </w:r>
      <w:r>
        <w:rPr>
          <w:rFonts w:ascii="SimSun" w:hAnsi="SimSun" w:eastAsia="SimSun" w:cs="SimSun"/>
          <w:color w:val="000000"/>
          <w:sz w:val="24"/>
        </w:rPr>
        <w:t xml:space="preserve">江苏省苏州市吴江区七都镇七都大道1688号</w:t>
      </w:r>
      <w:r>
        <w:rPr>
          <w:rFonts w:ascii="SimSun" w:hAnsi="SimSun" w:eastAsia="SimSun" w:cs="SimSun"/>
          <w:color w:val="000000"/>
          <w:sz w:val="24"/>
        </w:rPr>
      </w:r>
      <w:r/>
    </w:p>
    <w:p>
      <w:pPr>
        <w:ind w:left="0" w:right="0" w:firstLine="66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联系人：吴周君 </w:t>
      </w:r>
      <w:r/>
    </w:p>
    <w:p>
      <w:pPr>
        <w:ind w:left="0" w:right="0" w:firstLine="660"/>
        <w:jc w:val="both"/>
        <w:spacing w:before="0" w:after="0" w:line="360" w:lineRule="auto"/>
        <w:tabs>
          <w:tab w:val="left" w:pos="324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rPr>
        <w:t xml:space="preserve">0512-63828205</w:t>
      </w:r>
      <w:r>
        <w:tab/>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2.采购代理机构信息</w:t>
      </w:r>
      <w:r/>
    </w:p>
    <w:p>
      <w:pPr>
        <w:ind w:left="0" w:right="0" w:firstLine="66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名称：苏州爱达招投标有限公司</w:t>
      </w:r>
      <w:r/>
    </w:p>
    <w:p>
      <w:pPr>
        <w:ind w:left="0" w:right="0" w:firstLine="66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地址：苏州市吴江区交通北路3418号</w:t>
      </w:r>
      <w:r/>
    </w:p>
    <w:p>
      <w:pPr>
        <w:ind w:left="0" w:right="0" w:firstLine="66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联系方式：0512-63258111/18015563976</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3.项目联系方式</w:t>
      </w:r>
      <w:r/>
    </w:p>
    <w:p>
      <w:pPr>
        <w:ind w:left="0" w:right="0" w:firstLine="66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项目联系人：姚嘉芸    电话：0512-63258111/18015563976</w:t>
      </w:r>
      <w:r/>
    </w:p>
    <w:p>
      <w:pPr>
        <w:ind w:left="0" w:right="0" w:firstLine="0"/>
        <w:jc w:val="center"/>
        <w:spacing w:before="0" w:after="0" w:line="360" w:lineRule="auto"/>
        <w:tabs>
          <w:tab w:val="left" w:pos="8930" w:leader="none"/>
          <w:tab w:val="left" w:pos="9306" w:leader="none"/>
        </w:tabs>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360" w:lineRule="auto"/>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3"/>
        </w:rPr>
        <w:t xml:space="preserve">第二章 磋商须知</w:t>
      </w:r>
      <w:r/>
    </w:p>
    <w:p>
      <w:pPr>
        <w:ind w:left="0" w:right="0" w:firstLine="0"/>
        <w:jc w:val="both"/>
        <w:spacing w:before="0" w:after="0" w:line="360" w:lineRule="auto"/>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 说明和释义</w:t>
      </w:r>
      <w:r/>
    </w:p>
    <w:p>
      <w:pPr>
        <w:ind w:left="0" w:right="0" w:firstLine="0"/>
        <w:jc w:val="both"/>
        <w:spacing w:before="0" w:after="0" w:line="360" w:lineRule="auto"/>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1.说明</w:t>
      </w:r>
      <w:r/>
    </w:p>
    <w:p>
      <w:pPr>
        <w:ind w:left="0" w:right="0" w:firstLine="480"/>
        <w:jc w:val="both"/>
        <w:spacing w:before="0" w:after="0" w:line="360" w:lineRule="auto"/>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1.1本采购文件仅适用于苏州爱达招投标有限公司组织的采购活动。</w:t>
      </w:r>
      <w:r/>
    </w:p>
    <w:p>
      <w:pPr>
        <w:ind w:left="0" w:right="0" w:firstLine="480"/>
        <w:jc w:val="both"/>
        <w:spacing w:before="0" w:after="0" w:line="360" w:lineRule="auto"/>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1.2本次采购活动及因本次采购产生的合同受中国法律制约和保护。</w:t>
      </w:r>
      <w:r/>
    </w:p>
    <w:p>
      <w:pPr>
        <w:ind w:left="0" w:right="0" w:firstLine="480"/>
        <w:jc w:val="both"/>
        <w:spacing w:before="0" w:after="0" w:line="360" w:lineRule="auto"/>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1.3本采购文件的解释权属于苏州爱达招投标有限公司。</w:t>
      </w:r>
      <w:r/>
    </w:p>
    <w:p>
      <w:pPr>
        <w:ind w:left="0" w:right="0" w:firstLine="0"/>
        <w:jc w:val="both"/>
        <w:spacing w:before="0" w:after="0" w:line="360" w:lineRule="auto"/>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2.词语释义</w:t>
      </w:r>
      <w:r/>
    </w:p>
    <w:p>
      <w:pPr>
        <w:ind w:left="0" w:right="0" w:firstLine="480"/>
        <w:jc w:val="both"/>
        <w:spacing w:before="0" w:after="0" w:line="360" w:lineRule="auto"/>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2.1采购单位：依法进行政府采购的国家机关、事业单位、团体组织。</w:t>
      </w:r>
      <w:r/>
    </w:p>
    <w:p>
      <w:pPr>
        <w:ind w:left="0" w:right="0" w:firstLine="480"/>
        <w:jc w:val="both"/>
        <w:spacing w:before="0" w:after="0" w:line="360" w:lineRule="auto"/>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2.2供应商：响应磋商并且符合磋商采购文件规定资格条件和参加磋商竞争的法人、其他组织或者自然人。</w:t>
      </w:r>
      <w:r/>
    </w:p>
    <w:p>
      <w:pPr>
        <w:ind w:left="0" w:right="0" w:firstLine="480"/>
        <w:jc w:val="both"/>
        <w:spacing w:before="0" w:after="0" w:line="360" w:lineRule="auto"/>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2.3响应：供应商根据采购单位发布的磋商采购文件，编制磋商响应文件并按规定参与磋商的行为。</w:t>
      </w:r>
      <w:r/>
    </w:p>
    <w:p>
      <w:pPr>
        <w:ind w:left="0" w:right="0" w:firstLine="480"/>
        <w:jc w:val="both"/>
        <w:spacing w:before="0" w:after="0" w:line="360" w:lineRule="auto"/>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2.4合同：采供双方根据采购文件和成交的磋商响应文件及成交通知书规定的内容签署的以书面形式所达成的协议，包括所有的附件、附录和构成协议的所有文件。</w:t>
      </w:r>
      <w:r/>
    </w:p>
    <w:p>
      <w:pPr>
        <w:ind w:left="0" w:right="0" w:firstLine="480"/>
        <w:jc w:val="both"/>
        <w:spacing w:before="0" w:after="0" w:line="360" w:lineRule="auto"/>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2.5甲方（采购方）：合同中明确规定的实际购买货物和服务的法人或其他组织和自然人。</w:t>
      </w:r>
      <w:r/>
    </w:p>
    <w:p>
      <w:pPr>
        <w:ind w:left="0" w:right="0" w:firstLine="480"/>
        <w:jc w:val="both"/>
        <w:spacing w:before="0" w:after="0" w:line="360" w:lineRule="auto"/>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2.6乙方（供应商）：合同中规定的向采购方提供货物和服务的法人或其他组织和自然人。</w:t>
      </w:r>
      <w:r/>
    </w:p>
    <w:p>
      <w:pPr>
        <w:ind w:left="0" w:right="0" w:firstLine="480"/>
        <w:jc w:val="both"/>
        <w:spacing w:before="0" w:after="0" w:line="360" w:lineRule="auto"/>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2.7货物：系指乙方按采购文件规定，应向甲方提供的一切设备、备品、备件、工具、手册及其它有关技术资料和材料。</w:t>
      </w:r>
      <w:r/>
    </w:p>
    <w:p>
      <w:pPr>
        <w:ind w:left="0" w:right="0" w:firstLine="480"/>
        <w:jc w:val="both"/>
        <w:spacing w:before="0" w:after="0" w:line="360" w:lineRule="auto"/>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2.8服务：系指本次采购文件规定乙方应承担的与提供货物和服务有关的辅助服务，比如运输、保险、安装、调试、提供技术援助、培训、配合措施、维修响应及合同中规定乙方应承担的其它义务。</w:t>
      </w:r>
      <w:r/>
    </w:p>
    <w:p>
      <w:pPr>
        <w:ind w:left="0" w:right="0" w:firstLine="480"/>
        <w:jc w:val="both"/>
        <w:spacing w:before="0" w:after="0" w:line="360" w:lineRule="auto"/>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2.9知识产权：指专利权、商标权、著作权等无形财产专有权的统称。</w:t>
      </w:r>
      <w:r/>
    </w:p>
    <w:p>
      <w:pPr>
        <w:ind w:left="0" w:right="0" w:firstLine="480"/>
        <w:jc w:val="both"/>
        <w:spacing w:before="0" w:after="0" w:line="360" w:lineRule="auto"/>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2.10天：日历天。</w:t>
      </w:r>
      <w:r/>
    </w:p>
    <w:p>
      <w:pPr>
        <w:ind w:left="0" w:right="0" w:firstLine="480"/>
        <w:jc w:val="both"/>
        <w:spacing w:before="0" w:after="0" w:line="360" w:lineRule="auto"/>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2.11交货地点：合同中明确约定的乙方提交的货物和服务最终到达地点。</w:t>
      </w:r>
      <w:r/>
    </w:p>
    <w:p>
      <w:pPr>
        <w:ind w:left="0" w:right="0" w:firstLine="480"/>
        <w:jc w:val="both"/>
        <w:spacing w:before="0" w:after="0" w:line="360" w:lineRule="auto"/>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2.12合同价款：根据合同规定，乙方在正确的履行合同义务后甲方应支付乙方的价款。</w:t>
      </w:r>
      <w:r/>
    </w:p>
    <w:p>
      <w:pPr>
        <w:ind w:left="0" w:right="0" w:firstLine="480"/>
        <w:jc w:val="both"/>
        <w:spacing w:before="0" w:after="0" w:line="360" w:lineRule="auto"/>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2.13产地：货物开采、生长、生产、最终制造、加工或提供服务的来源地。</w:t>
      </w:r>
      <w:r/>
    </w:p>
    <w:p>
      <w:pPr>
        <w:ind w:left="0" w:right="0" w:firstLine="480"/>
        <w:jc w:val="both"/>
        <w:spacing w:before="0" w:after="0" w:line="360" w:lineRule="auto"/>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2.14不可抗力：不能预见、不能避免并且不能克服的客观情况。</w:t>
      </w:r>
      <w:r/>
    </w:p>
    <w:p>
      <w:pPr>
        <w:ind w:left="0" w:right="0" w:firstLine="480"/>
        <w:jc w:val="both"/>
        <w:spacing w:before="0" w:after="0" w:line="360" w:lineRule="auto"/>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2.15实质响应：满足有关本次采购标的、数量、质量、价款或者报酬、履行期限、履行地点和方式、违约责任和解决争议方法等要求。</w:t>
      </w:r>
      <w:r/>
    </w:p>
    <w:p>
      <w:pPr>
        <w:ind w:left="0" w:right="0" w:firstLine="480"/>
        <w:jc w:val="both"/>
        <w:spacing w:before="0" w:after="0" w:line="360" w:lineRule="auto"/>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2.16进口产品：通过中国海关报关验放进入中国境内且产自关境外的产品。</w:t>
      </w:r>
      <w:r/>
    </w:p>
    <w:p>
      <w:pPr>
        <w:ind w:left="0" w:right="0" w:firstLine="480"/>
        <w:jc w:val="both"/>
        <w:spacing w:before="0" w:after="0" w:line="360" w:lineRule="auto"/>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2.17书面形式：指书面文字、合同书、信件和传真等可以有形地表现所载内容的形式。</w:t>
      </w:r>
      <w:r/>
    </w:p>
    <w:p>
      <w:pPr>
        <w:ind w:left="0" w:right="0" w:firstLine="0"/>
        <w:jc w:val="both"/>
        <w:spacing w:before="0" w:after="0" w:line="360" w:lineRule="auto"/>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B 供应商</w:t>
      </w:r>
      <w:r/>
    </w:p>
    <w:p>
      <w:pPr>
        <w:ind w:left="0" w:right="0" w:firstLine="0"/>
        <w:jc w:val="both"/>
        <w:spacing w:before="0" w:after="0" w:line="360" w:lineRule="auto"/>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3.合格磋商供应商的一般条件</w:t>
      </w:r>
      <w:r/>
    </w:p>
    <w:p>
      <w:pPr>
        <w:ind w:left="0" w:right="0" w:firstLine="480"/>
        <w:spacing w:before="240" w:after="24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3.1能够独立承担民事责任的能力（供应商营业执照及法人身份证明文件）；</w:t>
      </w:r>
      <w:r/>
    </w:p>
    <w:p>
      <w:pPr>
        <w:ind w:left="0" w:right="0" w:firstLine="480"/>
        <w:spacing w:before="240" w:after="24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3.2具有良好的商业信誉和健全的财务会计制度证明。包括但不限于最近一期经审计的财务报告，其他组织、自然人及成立未满一年的法人应提供银行出具的资信证明；</w:t>
      </w:r>
      <w:r/>
    </w:p>
    <w:p>
      <w:pPr>
        <w:ind w:left="0" w:right="0" w:firstLine="480"/>
        <w:spacing w:before="240" w:after="24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具有履行合同所必需的设备和专业技术能力，（根据《中华人民共和国企业法人登记管理条例》第十三条及相关部门规章的规定，企业法人性质的政府采购供应商应在经工商管理部门核准登记注册的经营范围内参与经营活动）；</w:t>
      </w:r>
      <w:r/>
    </w:p>
    <w:p>
      <w:pPr>
        <w:ind w:left="0" w:right="0" w:firstLine="480"/>
        <w:spacing w:before="240" w:after="24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3.4有依法缴纳税收和社会保障资金的良好记录（合理期限内依法缴纳税收的凭据，社会保险登记证或依法缴纳社会保险的凭据）；</w:t>
      </w:r>
      <w:r/>
    </w:p>
    <w:p>
      <w:pPr>
        <w:ind w:left="0" w:right="0" w:firstLine="480"/>
        <w:spacing w:before="240" w:after="24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3.5参加政府采购活动前三年内，在经营活动中没有重大违法记录（书面声明函）；</w:t>
      </w:r>
      <w:r/>
    </w:p>
    <w:p>
      <w:pPr>
        <w:ind w:left="0" w:right="0" w:firstLine="480"/>
        <w:spacing w:before="240" w:after="24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3.6法律、行政法规规定的其他条件；</w:t>
      </w:r>
      <w:r/>
    </w:p>
    <w:p>
      <w:pPr>
        <w:ind w:left="0" w:right="0" w:firstLine="480"/>
        <w:spacing w:before="240" w:after="24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3.7合格磋商供应商的特殊条件：</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3.7.1单位负责人为同一人或者存在直接控股、管理关系的不同供应商（包含法定代表人为同一个人的两个及两个以上法人，母公司、全资子公司及其控股公司），不得参加同一合同项下的政府采购活动。</w:t>
      </w:r>
      <w:r/>
    </w:p>
    <w:p>
      <w:pPr>
        <w:ind w:left="0" w:right="0" w:firstLine="480"/>
        <w:spacing w:before="240" w:after="24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3.7.2未被列入失信被执行人、重大税收违法案件当事人名单、政府采购严重失信行为记录名单。</w:t>
      </w:r>
      <w:r/>
    </w:p>
    <w:p>
      <w:pPr>
        <w:ind w:left="0" w:right="0" w:firstLine="0"/>
        <w:jc w:val="both"/>
        <w:spacing w:before="0" w:after="0" w:line="360" w:lineRule="auto"/>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4.供应商代表</w:t>
      </w:r>
      <w:r/>
    </w:p>
    <w:p>
      <w:pPr>
        <w:ind w:left="0" w:right="0" w:firstLine="480"/>
        <w:jc w:val="both"/>
        <w:spacing w:before="0" w:after="0" w:line="360" w:lineRule="auto"/>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4.1指全权代表供应商参加磋商采购活动并签署磋商响应文件的人，如果磋商供应商代表不是法人代表，须持有《法定代表人授权委托书》（详见附件格式）。 </w:t>
      </w:r>
      <w:r/>
    </w:p>
    <w:p>
      <w:pPr>
        <w:ind w:left="0" w:right="0" w:firstLine="0"/>
        <w:jc w:val="both"/>
        <w:spacing w:before="0" w:after="0" w:line="360" w:lineRule="auto"/>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5.磋商费用</w:t>
      </w:r>
      <w:r/>
    </w:p>
    <w:p>
      <w:pPr>
        <w:ind w:left="0" w:right="0" w:firstLine="480"/>
        <w:jc w:val="both"/>
        <w:spacing w:before="0" w:after="0" w:line="360" w:lineRule="auto"/>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5.1无论磋商过程中的做法和结果如何，磋商供应商自行承担所有与参加磋商有关的全部费用。</w:t>
      </w:r>
      <w:r/>
    </w:p>
    <w:p>
      <w:pPr>
        <w:ind w:left="0" w:right="0" w:firstLine="0"/>
        <w:jc w:val="both"/>
        <w:spacing w:before="0" w:after="0" w:line="360" w:lineRule="auto"/>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6.磋商采购文件</w:t>
      </w:r>
      <w:r/>
    </w:p>
    <w:p>
      <w:pPr>
        <w:ind w:left="0" w:right="0" w:firstLine="480"/>
        <w:jc w:val="both"/>
        <w:spacing w:before="0" w:after="0" w:line="360" w:lineRule="auto"/>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磋商供应商获取采购文件后，应认真审阅采购文件中所有的事项、格式、条款和规范要求等，若供应商的磋商响应文件没有按采购文件要求提交（上传）全部资料，或磋商响应文件没有对采购文件做出实质性响应，其风险由供应商自行承担，并根据有关条款规定，该响应有可能被拒绝。</w:t>
      </w:r>
      <w:r/>
    </w:p>
    <w:p>
      <w:pPr>
        <w:ind w:left="0" w:right="0" w:firstLine="0"/>
        <w:jc w:val="both"/>
        <w:spacing w:before="0" w:after="0" w:line="360" w:lineRule="auto"/>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7.采购文件的修改</w:t>
      </w:r>
      <w:r/>
    </w:p>
    <w:p>
      <w:pPr>
        <w:ind w:left="0" w:right="0" w:firstLine="480"/>
        <w:jc w:val="both"/>
        <w:spacing w:before="0" w:after="0" w:line="360" w:lineRule="auto"/>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7.1在递交（上传）磋商响应文件截止时间前，采购单位无论出于自己的考虑，还是出于对供应商提问的澄清，均可对采购文件用更正公告的方式进行修改。</w:t>
      </w:r>
      <w:r/>
    </w:p>
    <w:p>
      <w:pPr>
        <w:ind w:left="0" w:right="0" w:firstLine="480"/>
        <w:jc w:val="both"/>
        <w:spacing w:before="0" w:after="0" w:line="360" w:lineRule="auto"/>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7.2采购单位对采购文件的修改，将以网上公告形式通知已购买采购文件的磋商供应商。更正公告将作为采购文件的组成部分，对所有磋商供应商有约束力。</w:t>
      </w:r>
      <w:r/>
    </w:p>
    <w:p>
      <w:pPr>
        <w:ind w:left="0" w:right="0" w:firstLine="480"/>
        <w:jc w:val="both"/>
        <w:spacing w:before="0" w:after="0" w:line="360" w:lineRule="auto"/>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采购文件的澄清、修改、补充等内容均以网上公告形式明确的内容为准。当采购文件及采购文件的澄清、修改、补充等在同一内容的表述上不一致时，以江苏省政府采购网，苏州市政府采购网最后发布的文件为准。</w:t>
      </w:r>
      <w:r/>
    </w:p>
    <w:p>
      <w:pPr>
        <w:ind w:left="0" w:right="0" w:firstLine="0"/>
        <w:jc w:val="both"/>
        <w:spacing w:before="0" w:after="0" w:line="360" w:lineRule="auto"/>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8.采购文件提疑</w:t>
      </w:r>
      <w:r/>
    </w:p>
    <w:p>
      <w:pPr>
        <w:ind w:left="0" w:right="0" w:firstLine="480"/>
        <w:jc w:val="both"/>
        <w:spacing w:before="0" w:after="0" w:line="360" w:lineRule="auto"/>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供应商认为采购文件、采购过程或中标、成交结果使自己的权益受到损害的，可以在知道或者应知其权益受到损害之日起7个工作日内，以书面形式向采购人、采购代理机构提出质疑。采购代理机构应当在收到供应商书面质疑后7个工作日内作出答复。</w:t>
      </w:r>
      <w:r/>
    </w:p>
    <w:p>
      <w:pPr>
        <w:ind w:left="0" w:right="0" w:firstLine="480"/>
        <w:jc w:val="both"/>
        <w:spacing w:before="0" w:after="0" w:line="360" w:lineRule="auto"/>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根据《政府采购质疑和投诉办法》（财政部第94号令）第十一条规定，提出质疑的供应商应当是参与所质疑项目采购活动的供应商。因此凡是对采购文件提出质疑的供应商，必须是依法获取采购文件，请将合法获取采购文件的证明材料（即《</w:t>
      </w:r>
      <w:r>
        <w:rPr>
          <w:rFonts w:ascii="SimSun" w:hAnsi="SimSun" w:eastAsia="SimSun" w:cs="SimSun"/>
          <w:b/>
          <w:color w:val="000000"/>
          <w:sz w:val="24"/>
        </w:rPr>
        <w:t xml:space="preserve">响应供应商确认函</w:t>
      </w:r>
      <w:r>
        <w:rPr>
          <w:rFonts w:ascii="SimSun" w:hAnsi="SimSun" w:eastAsia="SimSun" w:cs="SimSun"/>
          <w:color w:val="000000"/>
          <w:sz w:val="24"/>
        </w:rPr>
        <w:t xml:space="preserve">》）与质疑函一起递交，否则不予受理。</w:t>
      </w:r>
      <w:r/>
    </w:p>
    <w:p>
      <w:pPr>
        <w:ind w:left="0" w:right="0" w:firstLine="480"/>
        <w:jc w:val="both"/>
        <w:spacing w:before="0" w:after="0" w:line="360" w:lineRule="auto"/>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8.3本次采购文件要求供应商在法定质疑期内一次性提出针对同一采购程序环节的质疑。</w:t>
      </w:r>
      <w:r/>
    </w:p>
    <w:p>
      <w:pPr>
        <w:ind w:left="0" w:right="0" w:firstLine="480"/>
        <w:jc w:val="both"/>
        <w:spacing w:before="0" w:after="0" w:line="360" w:lineRule="auto"/>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8.4供应商提出质疑应当提交质疑函和必要的证明材料。质疑函应当包括下列内容：</w:t>
      </w:r>
      <w:r/>
    </w:p>
    <w:p>
      <w:pPr>
        <w:ind w:left="0" w:right="0" w:firstLine="480"/>
        <w:jc w:val="both"/>
        <w:spacing w:before="0" w:after="0" w:line="360" w:lineRule="auto"/>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8.4.1供应商的姓名或者名称（以营业执照副本复印件为准）、地址、邮编、联系人及联系电话；</w:t>
      </w:r>
      <w:r/>
    </w:p>
    <w:p>
      <w:pPr>
        <w:ind w:left="0" w:right="0" w:firstLine="480"/>
        <w:jc w:val="both"/>
        <w:spacing w:before="0" w:after="0" w:line="360" w:lineRule="auto"/>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8.4.2质疑项目的名称、编号；</w:t>
      </w:r>
      <w:r/>
    </w:p>
    <w:p>
      <w:pPr>
        <w:ind w:left="0" w:right="0" w:firstLine="480"/>
        <w:jc w:val="both"/>
        <w:spacing w:before="0" w:after="0" w:line="360" w:lineRule="auto"/>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8.4.3具体、明确的质疑事项和与质疑事项相关的请求；</w:t>
      </w:r>
      <w:r/>
    </w:p>
    <w:p>
      <w:pPr>
        <w:ind w:left="0" w:right="0" w:firstLine="480"/>
        <w:jc w:val="both"/>
        <w:spacing w:before="0" w:after="0" w:line="360" w:lineRule="auto"/>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8.4.4事实依据；</w:t>
      </w:r>
      <w:r/>
    </w:p>
    <w:p>
      <w:pPr>
        <w:ind w:left="0" w:right="0" w:firstLine="480"/>
        <w:jc w:val="both"/>
        <w:spacing w:before="0" w:after="0" w:line="360" w:lineRule="auto"/>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8.4.5必要的法律依据；</w:t>
      </w:r>
      <w:r/>
    </w:p>
    <w:p>
      <w:pPr>
        <w:ind w:left="0" w:right="0" w:firstLine="480"/>
        <w:jc w:val="both"/>
        <w:spacing w:before="0" w:after="0" w:line="360" w:lineRule="auto"/>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8.4.6提出质疑的日期。</w:t>
      </w:r>
      <w:r/>
    </w:p>
    <w:p>
      <w:pPr>
        <w:ind w:left="0" w:right="0" w:firstLine="480"/>
        <w:jc w:val="both"/>
        <w:spacing w:before="0" w:after="0" w:line="360" w:lineRule="auto"/>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8.4.7供应商参加响应确认函。</w:t>
      </w:r>
      <w:r/>
    </w:p>
    <w:p>
      <w:pPr>
        <w:ind w:left="0" w:right="0" w:firstLine="480"/>
        <w:jc w:val="both"/>
        <w:spacing w:before="0" w:after="0" w:line="360" w:lineRule="auto"/>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left="0" w:right="0" w:firstLine="480"/>
        <w:jc w:val="both"/>
        <w:spacing w:before="0" w:after="0" w:line="360" w:lineRule="auto"/>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8.4.8接收质疑函的方式：书面形式（当场送达或邮寄方式）。</w:t>
      </w:r>
      <w:r/>
    </w:p>
    <w:p>
      <w:pPr>
        <w:ind w:left="0" w:right="0" w:firstLine="480"/>
        <w:jc w:val="both"/>
        <w:spacing w:before="0" w:after="0" w:line="360" w:lineRule="auto"/>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质疑联系人：姚嘉芸</w:t>
      </w:r>
      <w:r/>
    </w:p>
    <w:p>
      <w:pPr>
        <w:ind w:left="0" w:right="0" w:firstLine="480"/>
        <w:jc w:val="both"/>
        <w:spacing w:before="0" w:after="0" w:line="360" w:lineRule="auto"/>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联系电话：0512-63258111/18015563976</w:t>
      </w:r>
      <w:r/>
    </w:p>
    <w:p>
      <w:pPr>
        <w:ind w:left="0" w:right="0" w:firstLine="480"/>
        <w:jc w:val="both"/>
        <w:spacing w:before="0" w:after="0" w:line="360" w:lineRule="auto"/>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通讯地址：苏州市吴江区交通北路3418号</w:t>
      </w:r>
      <w:r/>
    </w:p>
    <w:p>
      <w:pPr>
        <w:ind w:left="0" w:right="0" w:firstLine="0"/>
        <w:jc w:val="both"/>
        <w:spacing w:before="0" w:after="0" w:line="360" w:lineRule="auto"/>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9.提示与要求</w:t>
      </w:r>
      <w:r/>
    </w:p>
    <w:p>
      <w:pPr>
        <w:ind w:left="0" w:right="0" w:firstLine="480"/>
        <w:jc w:val="both"/>
        <w:spacing w:before="0" w:after="0" w:line="360" w:lineRule="auto"/>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9.1磋商供应商应仔细阅读采购文件的所有内容，按采购文件的要求提供（上传）响应文件，并保证所提供的全部资料的真实性，以使其对采购文件作出实质性响应，否则，其磋商响应文件可能被拒绝。</w:t>
      </w:r>
      <w:r/>
    </w:p>
    <w:p>
      <w:pPr>
        <w:ind w:left="0" w:right="0" w:firstLine="480"/>
        <w:jc w:val="both"/>
        <w:spacing w:before="0" w:after="0" w:line="360" w:lineRule="auto"/>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9.2无论是否递交（上传）磋商响应文件，供应商都应将采购文件及以后的所有通知、文件等视为保密文件。</w:t>
      </w:r>
      <w:r/>
    </w:p>
    <w:p>
      <w:pPr>
        <w:ind w:left="0" w:right="0" w:firstLine="0"/>
        <w:jc w:val="both"/>
        <w:spacing w:before="0" w:after="0" w:line="360" w:lineRule="auto"/>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10.响应文件计量单位和使用文字</w:t>
      </w:r>
      <w:r/>
    </w:p>
    <w:p>
      <w:pPr>
        <w:ind w:left="0" w:right="0" w:firstLine="480"/>
        <w:jc w:val="both"/>
        <w:spacing w:before="0" w:after="0" w:line="360" w:lineRule="auto"/>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10.1响应文件中所使用的计量单位，除采购文件中有特殊要求外，均应使用中华人民共和国法定计量单位。</w:t>
      </w:r>
      <w:r/>
    </w:p>
    <w:p>
      <w:pPr>
        <w:ind w:left="0" w:right="0" w:firstLine="480"/>
        <w:jc w:val="both"/>
        <w:spacing w:before="0" w:after="0" w:line="360" w:lineRule="auto"/>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10.2响应文件应使用中文编制，响应文件中必须使用其他文字的，必须附有中文译本。对于未附有中文译本和中文译本不准确的响应文件可能引起的对供应商不利的后果，采购单位概不负责。</w:t>
      </w:r>
      <w:r/>
    </w:p>
    <w:p>
      <w:pPr>
        <w:ind w:left="0" w:right="0" w:firstLine="0"/>
        <w:jc w:val="both"/>
        <w:spacing w:before="0" w:after="0" w:line="360" w:lineRule="auto"/>
        <w:tabs>
          <w:tab w:val="left" w:pos="7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响应文件组成（部分格式见第六章）</w:t>
      </w:r>
      <w:r/>
    </w:p>
    <w:p>
      <w:pPr>
        <w:ind w:left="0" w:right="0" w:firstLine="480"/>
        <w:spacing w:before="240" w:after="24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封面</w:t>
      </w:r>
      <w:r/>
    </w:p>
    <w:p>
      <w:pPr>
        <w:ind w:left="0" w:right="0" w:firstLine="480"/>
        <w:spacing w:before="240" w:after="24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11.1报价部分</w:t>
      </w:r>
      <w:r/>
    </w:p>
    <w:p>
      <w:pPr>
        <w:ind w:left="0" w:right="0" w:firstLine="480"/>
        <w:spacing w:before="240" w:after="24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11.1.1开标一览表(按系统内统一格式)；</w:t>
      </w:r>
      <w:r/>
    </w:p>
    <w:p>
      <w:pPr>
        <w:ind w:left="0" w:right="0" w:firstLine="480"/>
        <w:spacing w:before="240" w:after="24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11.1.2分项报价表；</w:t>
      </w:r>
      <w:r/>
    </w:p>
    <w:p>
      <w:pPr>
        <w:ind w:left="0" w:right="0" w:firstLine="482"/>
        <w:spacing w:before="240" w:after="24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11.2资格性要求</w:t>
      </w:r>
      <w:r/>
    </w:p>
    <w:p>
      <w:pPr>
        <w:ind w:left="0" w:right="0" w:firstLine="480"/>
        <w:spacing w:before="240" w:after="24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11.2.1具有独立承担民事责任的能力证明。包括法人或者其他组织的营业执照等证明文件，自然人的身份证明；</w:t>
      </w:r>
      <w:r/>
    </w:p>
    <w:p>
      <w:pPr>
        <w:ind w:left="0" w:right="0" w:firstLine="480"/>
        <w:spacing w:before="240" w:after="24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11.2.2具有良好的商业信誉和健全的财务会计制度证明。包括但不限于最近一期经审计的财务报告，其他组织、自然人及成立未满一年的法人应提供银行出具的资信证明。</w:t>
      </w:r>
      <w:r/>
    </w:p>
    <w:p>
      <w:pPr>
        <w:ind w:left="0" w:right="0" w:firstLine="480"/>
        <w:spacing w:before="240" w:after="24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11.2.3响应单位证明其满足合格投标人条件的证书、证明、文件等资料以及响应单位所具备的专业设备和专业技术能力，（根据《中华人民共和国企业法人登记管理条例》第十三条及相关部门规章的规定，企业法人性质的政府采购响应单位应在经工商管理部门核准登记注册的经营范围内参与经营活动）</w:t>
      </w:r>
      <w:r/>
    </w:p>
    <w:p>
      <w:pPr>
        <w:ind w:left="0" w:right="0" w:firstLine="480"/>
        <w:spacing w:before="240" w:after="24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11.2.4有依法缴纳税收和社会保障资金的良好记录。如税务登记证（如有）和合理期限内依法缴纳税收的凭据，社会保险登记证（如有）和合理期限内依法缴纳社会保险的凭据（专用收据或社会保险缴纳清单）。</w:t>
      </w:r>
      <w:r/>
    </w:p>
    <w:p>
      <w:pPr>
        <w:ind w:left="0" w:right="0" w:firstLine="480"/>
        <w:spacing w:before="240" w:after="24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11.2.5参加政府采购活动前三年内，在经营活动中没有重大违法记录的书面声明函；</w:t>
      </w:r>
      <w:r/>
    </w:p>
    <w:p>
      <w:pPr>
        <w:ind w:left="0" w:right="0" w:firstLine="480"/>
        <w:spacing w:before="240" w:after="24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11.2.6法律、行政法规规定的其他条件；</w:t>
      </w:r>
      <w:r/>
    </w:p>
    <w:p>
      <w:pPr>
        <w:ind w:left="0" w:right="0" w:firstLine="480"/>
        <w:spacing w:before="240" w:after="24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11.2.7《中小企业声明函》或《残疾人福利性单位声明函》或由省级以上监狱管理局、戒毒管理局（含新疆生产建设兵团）出具的属于监狱企业的证明文件（如有）</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11.2.8未被“信用中国”网站（www.creditchina.gov.cn）列入失信被执行人、重大税收违法案件当事人名单、政府采购严重失信行为记录名单</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11.2.9单位负责人为同一人或者存在直接控股、管理关系的不同供应商（包含法定代表人为同一个人的两个及两个以上法人，母公司、全资子公司及其控股公司），不得参加同一合同项下的政府采购活动。</w:t>
      </w:r>
      <w:r/>
    </w:p>
    <w:p>
      <w:pPr>
        <w:ind w:left="0" w:right="0" w:firstLine="482"/>
        <w:spacing w:before="240" w:after="24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11.3符合性要求</w:t>
      </w:r>
      <w:r/>
    </w:p>
    <w:p>
      <w:pPr>
        <w:ind w:left="0" w:right="0" w:firstLine="480"/>
        <w:spacing w:before="240" w:after="24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11.3.1磋商响应函；</w:t>
      </w:r>
      <w:r/>
    </w:p>
    <w:p>
      <w:pPr>
        <w:ind w:left="0" w:right="0" w:firstLine="480"/>
        <w:spacing w:before="240" w:after="24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11.3.2关于资格文件的声明函；</w:t>
      </w:r>
      <w:r/>
    </w:p>
    <w:p>
      <w:pPr>
        <w:ind w:left="0" w:right="0" w:firstLine="480"/>
        <w:spacing w:before="240" w:after="24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11.3.3磋商响应单位基本情况表；</w:t>
      </w:r>
      <w:r/>
    </w:p>
    <w:p>
      <w:pPr>
        <w:ind w:left="0" w:right="0" w:firstLine="480"/>
        <w:spacing w:before="240" w:after="24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11.3.4磋商响应单位《营业执照》副本扫描件；</w:t>
      </w:r>
      <w:r/>
    </w:p>
    <w:p>
      <w:pPr>
        <w:ind w:left="0" w:right="0" w:firstLine="480"/>
        <w:spacing w:before="240" w:after="24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11.3.5磋商响应单位法定代表人身份证扫描件；</w:t>
      </w:r>
      <w:r/>
    </w:p>
    <w:p>
      <w:pPr>
        <w:ind w:left="0" w:right="0" w:firstLine="480"/>
        <w:spacing w:before="240" w:after="24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11.3.6法定代表人授权委托书及磋商响应单位代理人身份证扫描件（如有授权）；</w:t>
      </w:r>
      <w:r/>
    </w:p>
    <w:p>
      <w:pPr>
        <w:ind w:left="0" w:right="0" w:firstLine="480"/>
        <w:spacing w:before="240" w:after="24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11.3.7《商务条款偏离表》、《服务要求对照偏离表》；</w:t>
      </w:r>
      <w:r/>
    </w:p>
    <w:p>
      <w:pPr>
        <w:ind w:left="0" w:right="0" w:firstLine="480"/>
        <w:spacing w:before="240" w:after="24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11.3.8《关于符合本国产品标准的声明函》（注：如供应商提供的货物中涉及本国产品标准，提供声明函）（如有）</w:t>
      </w:r>
      <w:r/>
    </w:p>
    <w:p>
      <w:pPr>
        <w:ind w:left="0" w:right="0" w:firstLine="480"/>
        <w:spacing w:before="240" w:after="24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11.4综合评标文件</w:t>
      </w:r>
      <w:r/>
    </w:p>
    <w:p>
      <w:pPr>
        <w:ind w:left="0" w:right="0" w:firstLine="480"/>
        <w:spacing w:before="240" w:after="24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11.4.1其它有关证明文件；</w:t>
      </w:r>
      <w:r/>
    </w:p>
    <w:p>
      <w:pPr>
        <w:ind w:left="0" w:right="0" w:firstLine="422"/>
        <w:spacing w:before="240" w:after="24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注：（1）以上11.2为资格审查要求提供的材料，是作为对供应商资格审查、质疑身份认定的依据，响应供应商必须提供并加盖电子公章。否则，磋商响应文件将被认定为不符合资格审查要求。</w:t>
      </w:r>
      <w:r/>
    </w:p>
    <w:p>
      <w:pPr>
        <w:ind w:left="0" w:right="0" w:firstLine="0"/>
        <w:spacing w:before="240" w:after="24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（2）以上11.3为符合性审查须提供的资料，响应供应商必须提供并加盖电子公章。否则，磋商响应文件将被认定为未实质性响应。</w:t>
      </w:r>
      <w:r/>
    </w:p>
    <w:p>
      <w:pPr>
        <w:ind w:left="0" w:right="0" w:firstLine="0"/>
        <w:spacing w:before="240" w:after="24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（3）制作电子响应文件时必须与响应文件制作软件目录一一对应，将相关资料上传至相应模块。</w:t>
      </w:r>
      <w:r/>
    </w:p>
    <w:p>
      <w:pPr>
        <w:ind w:left="0" w:right="0" w:firstLine="0"/>
        <w:spacing w:before="240" w:after="24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（4）磋商响应文件编制要求：</w:t>
      </w:r>
      <w:r>
        <w:rPr>
          <w:rFonts w:ascii="SimSun" w:hAnsi="SimSun" w:eastAsia="SimSun" w:cs="SimSun"/>
          <w:color w:val="000000"/>
          <w:sz w:val="24"/>
        </w:rPr>
        <w:t xml:space="preserve">本项目采用电子招投标形式，请供应商按照《苏采云系统供应商操作手册》进行制作、上传电子响应文件。</w:t>
      </w:r>
      <w:r>
        <w:rPr>
          <w:rFonts w:ascii="SimSun" w:hAnsi="SimSun" w:eastAsia="SimSun" w:cs="SimSun"/>
          <w:b/>
          <w:color w:val="000000"/>
          <w:sz w:val="24"/>
        </w:rPr>
        <w:t xml:space="preserve">电子响应文件制作完成后请于响应文件递交截止时间前成功上传至“苏采云”系统，否则视为放弃参加该采购项目。</w:t>
      </w:r>
      <w:r>
        <w:rPr>
          <w:rFonts w:ascii="SimSun" w:hAnsi="SimSun" w:eastAsia="SimSun" w:cs="SimSun"/>
          <w:color w:val="000000"/>
          <w:sz w:val="24"/>
        </w:rPr>
        <w:t xml:space="preserve">供应商应充分考虑到网络环境、网络带宽等风险因素，如因供应商自身原因造成的电子响应文件上传不成功由供应商自行承担全部责任。</w:t>
      </w:r>
      <w:r/>
    </w:p>
    <w:p>
      <w:pPr>
        <w:ind w:left="0" w:right="0" w:firstLine="482"/>
        <w:jc w:val="both"/>
        <w:spacing w:before="0" w:after="0" w:line="360" w:lineRule="auto"/>
        <w:tabs>
          <w:tab w:val="left" w:pos="753"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（5）磋商过程中如有问题采购代理机构工作人员会及时通过《投标供应商确认函》留存的手机号与供应商联系。请供应商确保该手机号磋商当日通讯畅通，否则导致的对供应商不利的后果由供应商自行承担。</w:t>
      </w:r>
      <w:r/>
    </w:p>
    <w:p>
      <w:pPr>
        <w:ind w:left="0" w:right="0" w:firstLine="482"/>
        <w:jc w:val="both"/>
        <w:spacing w:before="0" w:after="0" w:line="360" w:lineRule="auto"/>
        <w:tabs>
          <w:tab w:val="left" w:pos="753"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项目评标结束后所有供应商须向采购代理机构提交响应文件纸质版，份数为三份（一正二副）。纸质响应文件与上传的电子响应文件一致，用于存档备案。（邮寄地址苏州市吴江区交通北路3418号，联系人：姚嘉芸，联系电话：0512-63258111/18015563976） </w:t>
      </w:r>
      <w:r/>
    </w:p>
    <w:p>
      <w:pPr>
        <w:ind w:left="0" w:right="0" w:firstLine="482"/>
        <w:jc w:val="both"/>
        <w:spacing w:before="0" w:after="0" w:line="360" w:lineRule="auto"/>
        <w:tabs>
          <w:tab w:val="left" w:pos="753"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（7）如投标(响应)文件制作机器码信息一致，视为不同投标供应商使用同一台电脑编制投标(响应)文件，投标(响应)无效。</w:t>
      </w:r>
      <w:r/>
    </w:p>
    <w:p>
      <w:pPr>
        <w:ind w:left="0" w:right="0" w:firstLine="0"/>
        <w:jc w:val="both"/>
        <w:spacing w:before="0" w:after="0" w:line="360" w:lineRule="auto"/>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12.报价（编制）要求的说明</w:t>
      </w:r>
      <w:r/>
    </w:p>
    <w:p>
      <w:pPr>
        <w:ind w:left="0" w:right="0" w:firstLine="480"/>
        <w:jc w:val="both"/>
        <w:spacing w:before="0" w:after="0" w:line="360" w:lineRule="auto"/>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除非合同中另有规定，供应商对全部货物和服务的报价应包括软件维护、劳务、制作、设备、安装、调试、维护、保险、利润、税金、报验、人员、交通、食宿、加班、验收、检测合格费、代理服务费等政策性文件规定及合同包含的所有风险、责任等各项应有费用。其他均不再另行计费。磋商二次报价为最终报价，除非因特殊原因并经买卖双方协商同意，磋商供应商不得再要求追加任何费用。同时，除非合同条款中另有规定，否则，磋商供应商所报价格在合同实施期间不因市场变化因素而变动。</w:t>
      </w:r>
      <w:r/>
    </w:p>
    <w:p>
      <w:pPr>
        <w:ind w:left="0" w:right="0" w:firstLine="408"/>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本项目采用线上二次报价：</w:t>
      </w:r>
      <w:r/>
    </w:p>
    <w:p>
      <w:pPr>
        <w:ind w:left="0" w:right="0" w:firstLine="408"/>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登录苏采云系统，评审组长发起最后报价，开标大厅会显示“立即报价”界面，点击【确认报价】提交流程至签章环节，供应商点击签章按钮，签章完成后可进行提交。</w:t>
      </w:r>
      <w:r>
        <w:rPr>
          <w:rFonts w:ascii="SimSun" w:hAnsi="SimSun" w:eastAsia="SimSun" w:cs="SimSun"/>
          <w:b/>
          <w:color w:val="000000"/>
          <w:sz w:val="24"/>
        </w:rPr>
        <w:t xml:space="preserve">供应商未在磋商小组规定的时间内在“苏采云”系统中提交最后报价的视为放弃磋商，其响应文件按无效响应处理，最后报价格式表须加盖CA电子公章,否则视为未提交最后报价。（此处规定时间的计算以系统中的倒计时间为准）</w:t>
      </w:r>
      <w:r/>
    </w:p>
    <w:p>
      <w:pPr>
        <w:ind w:left="0" w:right="0" w:firstLine="482"/>
        <w:jc w:val="both"/>
        <w:spacing w:before="0" w:after="0" w:line="360" w:lineRule="auto"/>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进入项目评审流程后，建议各供应商法定代表人或授权委托人始终保持通讯顺畅，时刻关注不见面开标大厅，不离开不见面开标大厅。</w:t>
      </w:r>
      <w:r/>
    </w:p>
    <w:p>
      <w:pPr>
        <w:ind w:left="0" w:right="0" w:firstLine="480"/>
        <w:jc w:val="both"/>
        <w:spacing w:before="0" w:after="0" w:line="360" w:lineRule="auto"/>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磋商供应商应对采购文件内所要采购的全部内容进行报价，只投其中部分内容者，其响应文件将被拒绝。但如果采购文件要求分标段响应的，则供应商可以有选择地只投其中一个或几个标段，也可以投全部标段，但各标段应分别计算填写单价和总价。本次采购不分标段。</w:t>
      </w:r>
      <w:r/>
    </w:p>
    <w:p>
      <w:pPr>
        <w:ind w:left="0" w:right="0" w:firstLine="480"/>
        <w:jc w:val="both"/>
        <w:spacing w:before="0" w:after="0" w:line="360" w:lineRule="auto"/>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12.3一项内容只允许一个报价，采购单位不接受任何有选择性的报价。</w:t>
      </w:r>
      <w:r/>
    </w:p>
    <w:p>
      <w:pPr>
        <w:ind w:left="0" w:right="0" w:firstLine="480"/>
        <w:jc w:val="both"/>
        <w:spacing w:before="0" w:after="0" w:line="360" w:lineRule="auto"/>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12.4磋商响应文件报价中的单价和总价全部采用人民币表示，除非合同的特殊条款另有规定。</w:t>
      </w:r>
      <w:r/>
    </w:p>
    <w:p>
      <w:pPr>
        <w:ind w:left="0" w:right="0" w:firstLine="0"/>
        <w:jc w:val="both"/>
        <w:spacing w:before="0" w:after="0" w:line="360" w:lineRule="auto"/>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13.保证金</w:t>
      </w:r>
      <w:r/>
    </w:p>
    <w:p>
      <w:pPr>
        <w:ind w:left="0" w:right="0" w:firstLine="480"/>
        <w:jc w:val="both"/>
        <w:spacing w:before="0" w:after="0" w:line="360" w:lineRule="auto"/>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根据《江苏省财政厅文件苏财购【2020】52号》相关规定，本项目无须支付保证金。</w:t>
      </w:r>
      <w:r/>
    </w:p>
    <w:p>
      <w:pPr>
        <w:ind w:left="0" w:right="0" w:firstLine="0"/>
        <w:jc w:val="both"/>
        <w:spacing w:before="0" w:after="0" w:line="360" w:lineRule="auto"/>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14.响应文件的有效期</w:t>
      </w:r>
      <w:r/>
    </w:p>
    <w:p>
      <w:pPr>
        <w:ind w:left="0" w:right="0" w:firstLine="480"/>
        <w:jc w:val="both"/>
        <w:spacing w:before="0" w:after="0" w:line="360" w:lineRule="auto"/>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14.1自磋商响应文件递交（上传）截止之日起</w:t>
      </w:r>
      <w:r>
        <w:rPr>
          <w:rFonts w:ascii="SimSun" w:hAnsi="SimSun" w:eastAsia="SimSun" w:cs="SimSun"/>
          <w:color w:val="000000"/>
          <w:sz w:val="24"/>
          <w:u w:val="single"/>
        </w:rPr>
        <w:t xml:space="preserve">45</w:t>
      </w:r>
      <w:r>
        <w:rPr>
          <w:rFonts w:ascii="SimSun" w:hAnsi="SimSun" w:eastAsia="SimSun" w:cs="SimSun"/>
          <w:color w:val="000000"/>
          <w:sz w:val="24"/>
        </w:rPr>
        <w:t xml:space="preserve">天内，磋商响应文件应保持有效。有效期短于这个规定期限的响应，将被拒绝。</w:t>
      </w:r>
      <w:r/>
    </w:p>
    <w:p>
      <w:pPr>
        <w:ind w:left="0" w:right="0" w:firstLine="480"/>
        <w:jc w:val="both"/>
        <w:spacing w:before="0" w:after="0" w:line="360" w:lineRule="auto"/>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14.2在特殊情况下，采购单位可与供应商协商延长磋商响应文件的有效期。这种要求和答复都应以书面形式进行。同意延长有效期的供应商不能修改磋商响应文件。拒绝接受延期要求的供应商的响应将被拒绝。</w:t>
      </w:r>
      <w:r/>
    </w:p>
    <w:p>
      <w:pPr>
        <w:ind w:left="0" w:right="0" w:firstLine="0"/>
        <w:jc w:val="both"/>
        <w:spacing w:before="0" w:after="0" w:line="360" w:lineRule="auto"/>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15.截止时间</w:t>
      </w:r>
      <w:r/>
    </w:p>
    <w:p>
      <w:pPr>
        <w:ind w:left="0" w:right="0" w:firstLine="480"/>
        <w:jc w:val="both"/>
        <w:spacing w:before="0" w:after="0" w:line="360" w:lineRule="auto"/>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15.1响应文件必须在递交（上传）截止时间前上传系统。</w:t>
      </w:r>
      <w:r/>
    </w:p>
    <w:p>
      <w:pPr>
        <w:ind w:left="0" w:right="0" w:firstLine="480"/>
        <w:jc w:val="both"/>
        <w:spacing w:before="0" w:after="0" w:line="360" w:lineRule="auto"/>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15.2采购单位推迟磋商截止时间时，应以网上公告形式，通知所有供应商。在这种情况下，采购单位和供应商的权利和义务将受到新的截止期的约束。</w:t>
      </w:r>
      <w:r/>
    </w:p>
    <w:p>
      <w:pPr>
        <w:ind w:left="0" w:right="0" w:firstLine="480"/>
        <w:jc w:val="both"/>
        <w:spacing w:before="0" w:after="0" w:line="360" w:lineRule="auto"/>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15.3在递交（上传）截止时间以后递交（上传）的磋商响应文件，采购单位将拒绝接收。</w:t>
      </w:r>
      <w:r/>
    </w:p>
    <w:p>
      <w:pPr>
        <w:ind w:left="0" w:right="0" w:firstLine="0"/>
        <w:jc w:val="both"/>
        <w:spacing w:before="0" w:after="0" w:line="360" w:lineRule="auto"/>
        <w:tabs>
          <w:tab w:val="left" w:pos="753"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16. 磋商程序</w:t>
      </w:r>
      <w:r/>
    </w:p>
    <w:p>
      <w:pPr>
        <w:ind w:left="0" w:right="0" w:firstLine="480"/>
        <w:jc w:val="both"/>
        <w:spacing w:before="0" w:after="0" w:line="360" w:lineRule="auto"/>
        <w:tabs>
          <w:tab w:val="left" w:pos="7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16.1采购代理机构按本须知规定的时间、地点主持磋商采购活动。</w:t>
      </w:r>
      <w:r/>
    </w:p>
    <w:p>
      <w:pPr>
        <w:ind w:left="0" w:right="0" w:firstLine="480"/>
        <w:jc w:val="both"/>
        <w:spacing w:before="0" w:after="0" w:line="360" w:lineRule="auto"/>
        <w:tabs>
          <w:tab w:val="left" w:pos="7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供应商通过“苏采云”系统在线参与磋商活动。供应商应当按照《苏采云系统供应商操作手册》规定在“苏采云”系统规定的时间内对响应文件进行解密。在磋商响应文件网上递交截止时间止成功解密的磋商供应商少于三家，则本次采购失败。</w:t>
      </w:r>
      <w:r/>
    </w:p>
    <w:p>
      <w:pPr>
        <w:ind w:left="0" w:right="0" w:firstLine="480"/>
        <w:jc w:val="both"/>
        <w:spacing w:before="0" w:after="0" w:line="360" w:lineRule="auto"/>
        <w:tabs>
          <w:tab w:val="left" w:pos="7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16.3由磋商小组审查供应商解密的响应文件。</w:t>
      </w:r>
      <w:r/>
    </w:p>
    <w:p>
      <w:pPr>
        <w:ind w:left="0" w:right="0" w:firstLine="480"/>
        <w:jc w:val="both"/>
        <w:spacing w:before="0" w:after="0" w:line="360" w:lineRule="auto"/>
        <w:tabs>
          <w:tab w:val="left" w:pos="7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16.4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left="0" w:right="0" w:firstLine="480"/>
        <w:jc w:val="both"/>
        <w:spacing w:before="0" w:after="0" w:line="360" w:lineRule="auto"/>
        <w:tabs>
          <w:tab w:val="left" w:pos="7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16.5磋商小组要求供应商澄清、说明或者更正响应文件应当供应商点击答疑澄清按钮，进入询标回复界面，供应商点击【响应】按钮，进行询问响应，填写询问响应内容后，进行询问响应函签章，内容校验后进行提交。供应商的澄清、说明或者更正应当由其单位加盖电子公章。</w:t>
      </w:r>
      <w:r/>
    </w:p>
    <w:p>
      <w:pPr>
        <w:ind w:left="0" w:right="0" w:firstLine="482"/>
        <w:jc w:val="both"/>
        <w:spacing w:before="0" w:after="0" w:line="360" w:lineRule="auto"/>
        <w:tabs>
          <w:tab w:val="left" w:pos="753"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ascii="SimSun" w:hAnsi="SimSun" w:eastAsia="SimSun" w:cs="SimSun"/>
          <w:color w:val="000000"/>
          <w:sz w:val="24"/>
        </w:rPr>
        <w:t xml:space="preserve">(</w:t>
      </w:r>
      <w:r>
        <w:rPr>
          <w:rFonts w:ascii="SimSun" w:hAnsi="SimSun" w:eastAsia="SimSun" w:cs="SimSun"/>
          <w:b/>
          <w:color w:val="000000"/>
          <w:sz w:val="24"/>
        </w:rPr>
        <w:t xml:space="preserve">此处规定时间的计算以系统中的倒计时间为准，供应商应随时保持系统在线，如因供应商自身原因未在规定时间内提交澄清确认资料的，导致的不利后果由供应商自行承担。</w:t>
      </w:r>
      <w:r/>
    </w:p>
    <w:p>
      <w:pPr>
        <w:ind w:left="0" w:right="0" w:firstLine="480"/>
        <w:jc w:val="both"/>
        <w:spacing w:before="0" w:after="0" w:line="360" w:lineRule="auto"/>
        <w:tabs>
          <w:tab w:val="left" w:pos="7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16.6对于通过资格审查和符合性审查的供应商，磋商小组所有成员集中与单一供应商分别进行磋商，并给予所有参加磋商的供应商平等的磋商机会。</w:t>
      </w:r>
      <w:r>
        <w:rPr>
          <w:rFonts w:ascii="SimSun" w:hAnsi="SimSun" w:eastAsia="SimSun" w:cs="SimSun"/>
          <w:b/>
          <w:color w:val="000000"/>
          <w:sz w:val="24"/>
        </w:rPr>
        <w:t xml:space="preserve">磋商小组通过“苏采云”系统向供应商发布“磋商函”，供应商应当按照要求在“苏采云”系统提交“磋商响应函”并加盖CA电子公章。</w:t>
      </w:r>
      <w:r/>
    </w:p>
    <w:p>
      <w:pPr>
        <w:ind w:left="0" w:right="0" w:firstLine="480"/>
        <w:jc w:val="both"/>
        <w:spacing w:before="0" w:after="0" w:line="360" w:lineRule="auto"/>
        <w:tabs>
          <w:tab w:val="left" w:pos="7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16.7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ind w:left="0" w:right="0" w:firstLine="480"/>
        <w:jc w:val="both"/>
        <w:spacing w:before="0" w:after="0" w:line="360" w:lineRule="auto"/>
        <w:tabs>
          <w:tab w:val="left" w:pos="7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16.8供应商应当按照采购文件的变动情况和磋商小组的要求，各供应商应及时关注【评审】环节等待询标澄清进行回复。</w:t>
      </w:r>
      <w:r/>
    </w:p>
    <w:p>
      <w:pPr>
        <w:ind w:left="0" w:right="0" w:firstLine="480"/>
        <w:jc w:val="both"/>
        <w:spacing w:before="0" w:after="0" w:line="360" w:lineRule="auto"/>
        <w:tabs>
          <w:tab w:val="left" w:pos="7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16.9磋商结束后，</w:t>
      </w:r>
      <w:r>
        <w:rPr>
          <w:rFonts w:ascii="SimSun" w:hAnsi="SimSun" w:eastAsia="SimSun" w:cs="SimSun"/>
          <w:b/>
          <w:color w:val="000000"/>
          <w:sz w:val="24"/>
        </w:rPr>
        <w:t xml:space="preserve">磋商小组将在“苏采云”系统向所有实质性响应的供应商发布“最后报价要求函”，要求所有实质性响应的供应商在规定时间内提交最后报价。</w:t>
      </w:r>
      <w:r/>
    </w:p>
    <w:p>
      <w:pPr>
        <w:ind w:left="0" w:right="0" w:firstLine="480"/>
        <w:jc w:val="both"/>
        <w:spacing w:before="0" w:after="0" w:line="360" w:lineRule="auto"/>
        <w:tabs>
          <w:tab w:val="left" w:pos="7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16.10经磋商确定最终采购需求和提交最后报价的供应商后，由磋商小组采用综合评分法对提交最后报价的供应商的响应文件和最后报价进行综合评分。</w:t>
      </w:r>
      <w:r/>
    </w:p>
    <w:p>
      <w:pPr>
        <w:ind w:left="0" w:right="0" w:firstLine="480"/>
        <w:jc w:val="both"/>
        <w:spacing w:before="0" w:after="0" w:line="360" w:lineRule="auto"/>
        <w:tabs>
          <w:tab w:val="left" w:pos="7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16.11磋商小组根据磋商成交原则确定成交供应商，并将结果通知所有参加磋商的供应商。</w:t>
      </w:r>
      <w:r/>
    </w:p>
    <w:p>
      <w:pPr>
        <w:ind w:left="0" w:right="0" w:firstLine="480"/>
        <w:jc w:val="both"/>
        <w:spacing w:before="0" w:after="0" w:line="360" w:lineRule="auto"/>
        <w:tabs>
          <w:tab w:val="left" w:pos="7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16.12如磋商过程中出现本采购文件未尽事宜，由磋商小组根据政府采购有关法律、法规讨论决定。</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17.项目的终止</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17.1出现下列情形之一的，将终止竞争性磋商采购活动：</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17.1.1因情况变化，不再符合规定的竞争性磋商采购方式适用情形的；</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17.1.2出现影响采购公正的违法、违规行为的；</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17.1.3在采购过程中符合要求的供应商或者报价未超过采购预算的供应商不足3家的；</w:t>
      </w:r>
      <w:r/>
    </w:p>
    <w:p>
      <w:pPr>
        <w:ind w:left="0" w:right="0" w:firstLine="480"/>
        <w:jc w:val="both"/>
        <w:spacing w:before="0" w:after="0" w:line="360" w:lineRule="auto"/>
        <w:tabs>
          <w:tab w:val="left" w:pos="7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17.1.4在采购活动中因重大变故，采购任务取消的。</w:t>
      </w:r>
      <w:r/>
    </w:p>
    <w:p>
      <w:pPr>
        <w:ind w:left="0" w:right="0" w:firstLine="0"/>
        <w:jc w:val="both"/>
        <w:spacing w:before="0" w:after="0" w:line="360" w:lineRule="auto"/>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18.评审内容的保密</w:t>
      </w:r>
      <w:r/>
    </w:p>
    <w:p>
      <w:pPr>
        <w:ind w:left="0" w:right="0" w:firstLine="480"/>
        <w:jc w:val="both"/>
        <w:spacing w:before="0" w:after="0" w:line="360" w:lineRule="auto"/>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18.1磋商开始后，直到宣布授予成交单位合同为止，凡属于审查、澄清、评价和比较磋商响应文件的所有资料，有关授予合同的信息都不应向磋商供应商或与评审无关的其他人泄露。</w:t>
      </w:r>
      <w:r/>
    </w:p>
    <w:p>
      <w:pPr>
        <w:ind w:left="0" w:right="0" w:firstLine="480"/>
        <w:jc w:val="both"/>
        <w:spacing w:before="0" w:after="0" w:line="360" w:lineRule="auto"/>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18.2在磋商响应文件的审查、澄清、评价和比较以及授予合同的过程中，磋商供应商对采购单位和磋商小组施加影响的任何行为，都将取消其成交资格。</w:t>
      </w:r>
      <w:r/>
    </w:p>
    <w:p>
      <w:pPr>
        <w:ind w:left="0" w:right="0" w:firstLine="480"/>
        <w:jc w:val="both"/>
        <w:spacing w:before="0" w:after="0" w:line="360" w:lineRule="auto"/>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18.3在评审期间，采购单位将通过指定联络人与磋商供应商进行联系。</w:t>
      </w:r>
      <w:r/>
    </w:p>
    <w:p>
      <w:pPr>
        <w:ind w:left="0" w:right="0" w:firstLine="0"/>
        <w:jc w:val="both"/>
        <w:spacing w:before="0" w:after="0" w:line="360" w:lineRule="auto"/>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19.成交单位的确认</w:t>
      </w:r>
      <w:r/>
    </w:p>
    <w:p>
      <w:pPr>
        <w:ind w:left="0" w:right="0" w:firstLine="480"/>
        <w:jc w:val="both"/>
        <w:spacing w:before="0" w:after="0" w:line="360" w:lineRule="auto"/>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19.1磋商小组根据磋商供应商资格审查情况，对其响应文件进行评价和比较，按照评审办法和标准进行评审，并按采购单位的委托向采购单位推荐成交候选单位。</w:t>
      </w:r>
      <w:r/>
    </w:p>
    <w:p>
      <w:pPr>
        <w:ind w:left="0" w:right="0" w:firstLine="480"/>
        <w:jc w:val="both"/>
        <w:spacing w:before="0" w:after="0" w:line="360" w:lineRule="auto"/>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经磋商小组评审并确定成交单位后，采购单位将在规定的时间内将成交结果在相关媒体上予以公告。各参加磋商供应商如对公告结果有异议，应在成交结果公告期满后七个工作日内，以书面形式向采购单位提出质疑，同时该质疑应有磋商供应商法定代表人或参加磋商的代理人签署。采购单位将在收到经磋商供应商法定代表人或参加响应供应商的代理人签署的书面质疑后七个工作日内，对质疑内容作出答复。如磋商供应商未在成交结果公告期满后七个工作日内向磋商采购单位提出质疑或质疑未经磋商供应商法定代表人或参加磋商的代理人签署，采购单位有权对该质疑不</w:t>
      </w:r>
      <w:r>
        <w:rPr>
          <w:rFonts w:ascii="SimSun" w:hAnsi="SimSun" w:eastAsia="SimSun" w:cs="SimSun"/>
          <w:color w:val="000000"/>
          <w:sz w:val="24"/>
        </w:rPr>
        <w:t xml:space="preserve">予答复。</w:t>
      </w:r>
      <w:r/>
    </w:p>
    <w:p>
      <w:pPr>
        <w:ind w:left="0" w:right="0" w:firstLine="480"/>
        <w:jc w:val="both"/>
        <w:spacing w:before="0" w:after="0" w:line="360" w:lineRule="auto"/>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19.3由采购人授权评审委员会在候选供应商名单中直接确定成交供应商。</w:t>
      </w:r>
      <w:r/>
    </w:p>
    <w:p>
      <w:pPr>
        <w:ind w:left="0" w:right="0" w:firstLine="0"/>
        <w:jc w:val="both"/>
        <w:spacing w:before="0" w:after="0" w:line="360" w:lineRule="auto"/>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20.合同授予标准</w:t>
      </w:r>
      <w:r/>
    </w:p>
    <w:p>
      <w:pPr>
        <w:ind w:left="0" w:right="0" w:firstLine="480"/>
        <w:jc w:val="both"/>
        <w:spacing w:before="0" w:after="0" w:line="360" w:lineRule="auto"/>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20.1采购单位将把合同授予其磋商响应文件在实质上响应采购文件要求和按本须知规定评选出的供应商。确定为成交的供应商必须具有实施本合同的能力和资源。</w:t>
      </w:r>
      <w:r/>
    </w:p>
    <w:p>
      <w:pPr>
        <w:ind w:left="0" w:right="0" w:firstLine="0"/>
        <w:jc w:val="both"/>
        <w:spacing w:before="0" w:after="0" w:line="360" w:lineRule="auto"/>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21.成交通知书</w:t>
      </w:r>
      <w:r/>
    </w:p>
    <w:p>
      <w:pPr>
        <w:ind w:left="0" w:right="0" w:firstLine="480"/>
        <w:jc w:val="both"/>
        <w:spacing w:before="0" w:after="0" w:line="360" w:lineRule="auto"/>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21.1确定出成交单位后磋商响应文件有效期截止前，采购单位将以书面形式通知成交的磋商供应商其响应被接受。在成交通知书中给出成交单位的成交标价、交货时间、质量标准和有关合同签订的日期和地点。</w:t>
      </w:r>
      <w:r/>
    </w:p>
    <w:p>
      <w:pPr>
        <w:ind w:left="0" w:right="0" w:firstLine="480"/>
        <w:jc w:val="both"/>
        <w:spacing w:before="0" w:after="0" w:line="360" w:lineRule="auto"/>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21.2成交通知书将成为合同的组成部分。</w:t>
      </w:r>
      <w:r/>
    </w:p>
    <w:p>
      <w:pPr>
        <w:ind w:left="0" w:right="0" w:firstLine="480"/>
        <w:jc w:val="both"/>
        <w:spacing w:before="0" w:after="0" w:line="360" w:lineRule="auto"/>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21.3采购单位对未成交单位不承担解释未成交原因的义务。</w:t>
      </w:r>
      <w:r/>
    </w:p>
    <w:p>
      <w:pPr>
        <w:ind w:left="0" w:right="0" w:firstLine="480"/>
        <w:jc w:val="both"/>
        <w:spacing w:before="0" w:after="0" w:line="360" w:lineRule="auto"/>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21.4在发放《中标（成交）通知书》的同时，向参与项目评审的未中标（成交）供应商发放《未中标（成交）通知书》，以</w:t>
      </w:r>
      <w:r>
        <w:rPr>
          <w:rFonts w:ascii="SimSun" w:hAnsi="SimSun" w:eastAsia="SimSun" w:cs="SimSun"/>
          <w:color w:val="000000"/>
          <w:sz w:val="24"/>
          <w:u w:val="single"/>
        </w:rPr>
        <w:t xml:space="preserve">电子邮件、</w:t>
      </w:r>
      <w:r>
        <w:rPr>
          <w:rFonts w:ascii="SimSun" w:hAnsi="SimSun" w:eastAsia="SimSun" w:cs="SimSun"/>
          <w:color w:val="000000"/>
          <w:sz w:val="24"/>
        </w:rPr>
        <w:t xml:space="preserve">纸质寄送等与投标（响应）供应商约定的方式书面告知该未中标（成交）供应商的评审得分与排名，未中标（成交）供应商未按约定的时间和方式获取告知信息的，视为自动放弃并自行承担相应后果。</w:t>
      </w:r>
      <w:r/>
    </w:p>
    <w:p>
      <w:pPr>
        <w:ind w:left="0" w:right="0" w:firstLine="480"/>
        <w:jc w:val="both"/>
        <w:spacing w:before="0" w:after="0" w:line="360" w:lineRule="auto"/>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21.5各响应单位应在响应文件醒目位置注明电子邮箱号，如未按上述要求提供邮箱，视为自动放弃并自行承担相应后果。</w:t>
      </w:r>
      <w:r/>
    </w:p>
    <w:p>
      <w:pPr>
        <w:ind w:left="0" w:right="0" w:firstLine="480"/>
        <w:jc w:val="both"/>
        <w:spacing w:before="0" w:after="0" w:line="360" w:lineRule="auto"/>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21.6成交单位应按规定的时间和地点，由法定代表人或代理人与甲方代表签订合同。否则按放弃处理。</w:t>
      </w:r>
      <w:r/>
    </w:p>
    <w:p>
      <w:pPr>
        <w:ind w:left="0" w:right="0" w:firstLine="480"/>
        <w:jc w:val="both"/>
        <w:spacing w:before="0" w:after="0" w:line="360" w:lineRule="auto"/>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21.7签订合同及合同条款应以采购文件和成交单位的磋商响应文件及其澄清文件为依据。</w:t>
      </w:r>
      <w:r/>
    </w:p>
    <w:p>
      <w:pPr>
        <w:ind w:left="0" w:right="0" w:firstLine="0"/>
        <w:jc w:val="both"/>
        <w:spacing w:before="0" w:after="0" w:line="360" w:lineRule="auto"/>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22.服务费</w:t>
      </w:r>
      <w:r/>
    </w:p>
    <w:p>
      <w:pPr>
        <w:ind w:left="0" w:right="0" w:firstLine="480"/>
        <w:jc w:val="both"/>
        <w:spacing w:before="0" w:after="0" w:line="360" w:lineRule="auto"/>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22.1成交单位须按前附表的规定按其预算金额计算并支付服务费，该费用应在领取成交通知书时付清。</w:t>
      </w:r>
      <w:r/>
    </w:p>
    <w:p>
      <w:pPr>
        <w:ind w:left="0" w:right="0" w:firstLine="0"/>
        <w:jc w:val="both"/>
        <w:spacing w:before="0" w:after="0" w:line="360" w:lineRule="auto"/>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23.</w:t>
      </w:r>
      <w:r>
        <w:rPr>
          <w:rFonts w:ascii="SimSun" w:hAnsi="SimSun" w:eastAsia="SimSun" w:cs="SimSun"/>
          <w:color w:val="000000"/>
          <w:sz w:val="24"/>
        </w:rPr>
        <w:t xml:space="preserve"> </w:t>
      </w:r>
      <w:r>
        <w:rPr>
          <w:rFonts w:ascii="SimSun" w:hAnsi="SimSun" w:eastAsia="SimSun" w:cs="SimSun"/>
          <w:b/>
          <w:color w:val="000000"/>
          <w:sz w:val="24"/>
        </w:rPr>
        <w:t xml:space="preserve">履约保证金</w:t>
      </w:r>
      <w:r>
        <w:rPr>
          <w:rFonts w:ascii="SimSun" w:hAnsi="SimSun" w:eastAsia="SimSun" w:cs="SimSun"/>
          <w:color w:val="000000"/>
          <w:sz w:val="24"/>
        </w:rPr>
        <w:t xml:space="preserve">：</w:t>
      </w:r>
      <w:r>
        <w:rPr>
          <w:rFonts w:ascii="SimSun" w:hAnsi="SimSun" w:eastAsia="SimSun" w:cs="SimSun"/>
          <w:b/>
          <w:color w:val="000000"/>
          <w:sz w:val="24"/>
        </w:rPr>
        <w:t xml:space="preserve">无</w:t>
      </w:r>
      <w:r/>
    </w:p>
    <w:p>
      <w:pPr>
        <w:ind w:left="0" w:right="0" w:firstLine="0"/>
        <w:jc w:val="both"/>
        <w:spacing w:before="0" w:after="0" w:line="360" w:lineRule="auto"/>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24.未尽事宜</w:t>
      </w:r>
      <w:r/>
    </w:p>
    <w:p>
      <w:pPr>
        <w:ind w:left="0" w:right="0" w:firstLine="480"/>
        <w:jc w:val="both"/>
        <w:spacing w:before="0" w:after="0" w:line="360" w:lineRule="auto"/>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按《中华人民共和国政府采购法》及其他有关的法律法规的规定执行。</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3"/>
        </w:rPr>
        <w:t xml:space="preserve"> </w:t>
      </w:r>
      <w:r/>
    </w:p>
    <w:p>
      <w:pPr>
        <w:ind w:left="0" w:right="0" w:firstLine="0"/>
        <w:jc w:val="center"/>
        <w:spacing w:before="0" w:after="0" w:line="360" w:lineRule="auto"/>
        <w:tabs>
          <w:tab w:val="left" w:pos="8930" w:leader="none"/>
          <w:tab w:val="left" w:pos="9306" w:leader="none"/>
        </w:tabs>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360" w:lineRule="auto"/>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3"/>
        </w:rPr>
        <w:t xml:space="preserve">第三章 采购内容</w:t>
      </w:r>
      <w:r/>
    </w:p>
    <w:p>
      <w:pPr>
        <w:ind w:left="0" w:right="0" w:firstLine="480"/>
        <w:jc w:val="both"/>
        <w:spacing w:before="240" w:after="24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苏州爱达招投标有限公司受苏州市吴江区七都镇人民政府的委托，就其所需七都镇“村村通”视频监控维保项目采用竞争性磋商方式进行采购，欢迎有资格的供应商前来参加本次磋商采购活动。</w:t>
      </w:r>
      <w:r/>
    </w:p>
    <w:p>
      <w:pPr>
        <w:ind w:left="0" w:right="0" w:firstLine="480"/>
        <w:jc w:val="both"/>
        <w:spacing w:before="240" w:after="24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一、项目编号：JSZC-320509-SZAD-C2026-0001</w:t>
      </w:r>
      <w:r/>
    </w:p>
    <w:p>
      <w:pPr>
        <w:ind w:left="0" w:right="0" w:firstLine="480"/>
        <w:jc w:val="both"/>
        <w:spacing w:before="240" w:after="24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二、采购内容：七都镇“村村通”视频监控维保项目</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三、采购项目内容及要求：</w:t>
      </w:r>
      <w:r/>
    </w:p>
    <w:p>
      <w:pPr>
        <w:ind w:left="0" w:right="0" w:firstLine="422"/>
        <w:jc w:val="both"/>
        <w:spacing w:before="0" w:after="0" w:line="360" w:lineRule="auto"/>
        <w:tabs>
          <w:tab w:val="left" w:pos="525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（一）项目概述</w:t>
      </w:r>
      <w:r/>
    </w:p>
    <w:p>
      <w:pPr>
        <w:ind w:left="0" w:right="0" w:firstLine="420"/>
        <w:jc w:val="both"/>
        <w:spacing w:before="0" w:after="0" w:line="360" w:lineRule="auto"/>
        <w:tabs>
          <w:tab w:val="left" w:pos="525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2015年5月，七都镇开始“村村通”技防工程视频监控系统建设，该系统作为全镇智能安保系统的主体部分。主要针对重点单位、要害部位、社区、公共复杂场所做进一步的布防，规划监控点，由七都派出所全时派人值班监守察看，随时掌握重要部位的治安动态，在维护社会稳控、治安侦察等方面发挥着非常重要的作用。并且通过安全可靠的专线网络连接至统一的监控平台，完善整个七都地区的治安、交通状况，随时掌握重要部位的治安动态，及时有效地录像取证并快速处置。技防监控系统的建设，在构建打、防、控、管等一体化公共安全系统中，具有举足轻重的地位。</w:t>
      </w:r>
      <w:r/>
    </w:p>
    <w:p>
      <w:pPr>
        <w:ind w:left="0" w:right="0" w:firstLine="422"/>
        <w:jc w:val="both"/>
        <w:spacing w:before="0" w:after="0" w:line="360" w:lineRule="auto"/>
        <w:tabs>
          <w:tab w:val="left" w:pos="525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（二）采购内容</w:t>
      </w:r>
      <w:r/>
    </w:p>
    <w:p>
      <w:pPr>
        <w:ind w:left="0" w:right="0" w:firstLine="420"/>
        <w:jc w:val="both"/>
        <w:spacing w:before="0" w:after="0" w:line="360" w:lineRule="auto"/>
        <w:tabs>
          <w:tab w:val="left" w:pos="525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为现有“村村通”监控点位1796路(普通摄像头1727路，人像卡口69路)提供线路、前端设备维保服务、人像卡口69路设备更新及相应的监控系统平台集成运维服务。维护相关的电源、立杆、线路、监控平台，保证监控点位正常接入派出所监控中心并满足派出所关于“村村通”监控的日常维护考核要求。所有“村村通”技防监控接入要求通过安全可靠的专线接入吴江区大数据局建设的吴江区视频应用能力支撑平台，并由该平台推送至</w:t>
      </w:r>
      <w:r>
        <w:rPr>
          <w:rFonts w:ascii="SimSun" w:hAnsi="SimSun" w:eastAsia="SimSun" w:cs="SimSun"/>
          <w:color w:val="000000"/>
          <w:sz w:val="24"/>
          <w:u w:val="none"/>
        </w:rPr>
        <w:t xml:space="preserve">吴江区公安局公共安全视频共享平台</w:t>
      </w:r>
      <w:r>
        <w:rPr>
          <w:rFonts w:ascii="SimSun" w:hAnsi="SimSun" w:eastAsia="SimSun" w:cs="SimSun"/>
          <w:color w:val="000000"/>
          <w:sz w:val="24"/>
        </w:rPr>
        <w:t xml:space="preserve">，实现在两个平台上对于本次项目视频监控的实时预览、回看、录像下载，每路探头的视频存储时间不低于30天。所有村村通监控以云存的方式存储在维护单位机房，机房需提供一路市电、一路UPS电源保证设备的不间断运行；所有人像卡口视频数据按照GB/T28181标准，按规范要求通过安全可靠的专线接入吴江区公安局公共安全视频共享平台，视频存储设备部署在服务单位提供的专业机房内；图像数据按照公安机关人像比对系统联网应用技术规范，以ftp方式实时汇聚到吴江区公安局数据中心。</w:t>
      </w:r>
      <w:r/>
    </w:p>
    <w:p>
      <w:pPr>
        <w:ind w:left="0" w:right="0" w:firstLine="42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在充分利用现有硬件设备基础上，对后续的运维进行统一规划和建设，建成功能完备、安全性能强，技术先进、技术与管理相统一的安防平台。</w:t>
      </w:r>
      <w:r/>
    </w:p>
    <w:p>
      <w:pPr>
        <w:ind w:left="0" w:right="0" w:firstLine="42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本项目系统运行要求较高，为保证项目平稳、安全、高效运行与维护，响应单位须具备相应的售后运维系统（包括网络传输设备巡查、接报即修功能），应充分考虑专业运维机构、人员、车辆、设备等项目实施运维因素。</w:t>
      </w:r>
      <w:r/>
    </w:p>
    <w:p>
      <w:pPr>
        <w:ind w:left="0" w:right="0" w:firstLine="42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对应维护清单如下：</w:t>
      </w:r>
      <w:r/>
    </w:p>
    <w:tbl>
      <w:tblPr>
        <w:tblStyle w:val="75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473"/>
        <w:gridCol w:w="6550"/>
        <w:gridCol w:w="665"/>
        <w:gridCol w:w="665"/>
      </w:tblGrid>
      <w:tr>
        <w:trPr>
          <w:trHeight w:val="72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73"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550"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r>
      <w:tr>
        <w:trPr>
          <w:trHeight w:val="10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3"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0"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“村村通”监控维保服务(含监控云存储租赁--每个点位录像时长不小于30 天、监控专线租赁、摄像机、设备箱、杆件、挑臂、辅材及接电线路（含电费）等维护）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1727</w:t>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3"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0"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公安人像卡口维保服务(含公安监控专线租赁、摄像机、设备箱、杆件、挑臂、辅材及接电线路（含电费）等维护及设备更新）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69</w:t>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3"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0"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“村村通”监控系统平台集成运维管理服务(监控平台基础功能集成运维管理)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bl>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点位信息：</w:t>
      </w:r>
      <w:r>
        <w:rPr>
          <w:rFonts w:ascii="SimSun" w:hAnsi="SimSun" w:eastAsia="SimSun" w:cs="SimSun"/>
          <w:color w:val="000000"/>
          <w:sz w:val="24"/>
        </w:rPr>
        <w:t xml:space="preserve">详细点位因考虑到项目实施安全性和数据不泄密，仅提供各村（社区）、部门点位数量供响应单位用于现场勘查及费用评估。以下为维护点位所属区域范围，具体维护地址以采购单位最终确认地址为准</w:t>
      </w:r>
      <w:r/>
    </w:p>
    <w:tbl>
      <w:tblPr>
        <w:tblStyle w:val="75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247"/>
        <w:gridCol w:w="4294"/>
        <w:gridCol w:w="2813"/>
      </w:tblGrid>
      <w:tr>
        <w:trPr>
          <w:trHeight w:val="285"/>
        </w:trPr>
        <w:tc>
          <w:tcPr>
            <w:gridSpan w:val="3"/>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54"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2026年度七都镇“村村通”视频监控维保项目</w:t>
            </w:r>
            <w:r/>
          </w:p>
        </w:tc>
      </w:tr>
      <w:tr>
        <w:trPr>
          <w:trHeight w:val="3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4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属性</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94"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村（社区）、部门</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813"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r>
      <w:tr>
        <w:trPr>
          <w:trHeight w:val="3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47" w:type="dxa"/>
            <w:vAlign w:val="center"/>
            <w:vMerge w:val="restart"/>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村村通</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94"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城市管理局七都分局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813"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r>
      <w:tr>
        <w:trPr>
          <w:trHeight w:val="39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94"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江浙交界</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813"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w:t>
            </w:r>
            <w:r/>
          </w:p>
        </w:tc>
      </w:tr>
      <w:tr>
        <w:trPr>
          <w:trHeight w:val="39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94"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庙港水源地整治设施移交现场</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813"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39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94"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庙港渔村网箱临时安置点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813"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r>
      <w:tr>
        <w:trPr>
          <w:trHeight w:val="39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94"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庙港镇区</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813"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55</w:t>
            </w:r>
            <w:r/>
          </w:p>
        </w:tc>
      </w:tr>
      <w:tr>
        <w:trPr>
          <w:trHeight w:val="39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94"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七都G50光荣村沿线</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813"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r>
      <w:tr>
        <w:trPr>
          <w:trHeight w:val="39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94"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七都G50至230省道</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813"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r>
      <w:tr>
        <w:trPr>
          <w:trHeight w:val="39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94"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七都璀璨星城</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813"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39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94"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七都工业开发区</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813"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w:t>
            </w:r>
            <w:r/>
          </w:p>
        </w:tc>
      </w:tr>
      <w:tr>
        <w:trPr>
          <w:trHeight w:val="39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94"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七都公共场所出入口</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813"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r>
      <w:tr>
        <w:trPr>
          <w:trHeight w:val="39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94"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七都环湖路水文站</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813"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39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94"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七都环卫所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813"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w:t>
            </w:r>
            <w:r/>
          </w:p>
        </w:tc>
      </w:tr>
      <w:tr>
        <w:trPr>
          <w:trHeight w:val="39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94"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七都交警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813"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258</w:t>
            </w:r>
            <w:r/>
          </w:p>
        </w:tc>
      </w:tr>
      <w:tr>
        <w:trPr>
          <w:trHeight w:val="39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94"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七都学校外围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813"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w:t>
            </w:r>
            <w:r/>
          </w:p>
        </w:tc>
      </w:tr>
      <w:tr>
        <w:trPr>
          <w:trHeight w:val="39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94"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七都镇东风村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813"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w:t>
            </w:r>
            <w:r/>
          </w:p>
        </w:tc>
      </w:tr>
      <w:tr>
        <w:trPr>
          <w:trHeight w:val="39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94"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七都镇东庙桥村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813"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w:t>
            </w:r>
            <w:r/>
          </w:p>
        </w:tc>
      </w:tr>
      <w:tr>
        <w:trPr>
          <w:trHeight w:val="39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94"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七都镇丰田村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813"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w:t>
            </w:r>
            <w:r/>
          </w:p>
        </w:tc>
      </w:tr>
      <w:tr>
        <w:trPr>
          <w:trHeight w:val="39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94"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七都镇光荣村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813"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w:t>
            </w:r>
            <w:r/>
          </w:p>
        </w:tc>
      </w:tr>
      <w:tr>
        <w:trPr>
          <w:trHeight w:val="39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94"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七都镇开明村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813"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r>
      <w:tr>
        <w:trPr>
          <w:trHeight w:val="39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94"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七都镇开弦弓村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813"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84</w:t>
            </w:r>
            <w:r/>
          </w:p>
        </w:tc>
      </w:tr>
      <w:tr>
        <w:trPr>
          <w:trHeight w:val="39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94"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七都镇联强村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813"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w:t>
            </w:r>
            <w:r/>
          </w:p>
        </w:tc>
      </w:tr>
      <w:tr>
        <w:trPr>
          <w:trHeight w:val="39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94"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七都镇联漾村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813"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w:t>
            </w:r>
            <w:r/>
          </w:p>
        </w:tc>
      </w:tr>
      <w:tr>
        <w:trPr>
          <w:trHeight w:val="39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94"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七都镇菱田村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813"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65</w:t>
            </w:r>
            <w:r/>
          </w:p>
        </w:tc>
      </w:tr>
      <w:tr>
        <w:trPr>
          <w:trHeight w:val="39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94"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七都镇陆港村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813"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45</w:t>
            </w:r>
            <w:r/>
          </w:p>
        </w:tc>
      </w:tr>
      <w:tr>
        <w:trPr>
          <w:trHeight w:val="39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94"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七都镇庙港村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813"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w:t>
            </w:r>
            <w:r/>
          </w:p>
        </w:tc>
      </w:tr>
      <w:tr>
        <w:trPr>
          <w:trHeight w:val="39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94"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七都镇庙港工业开发区</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813"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r>
      <w:tr>
        <w:trPr>
          <w:trHeight w:val="39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94"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七都镇农贸市场</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813"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r>
      <w:tr>
        <w:trPr>
          <w:trHeight w:val="39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94"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七都镇区</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813"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w:t>
            </w:r>
            <w:r/>
          </w:p>
        </w:tc>
      </w:tr>
      <w:tr>
        <w:trPr>
          <w:trHeight w:val="39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94"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七都镇群幸村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813"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67</w:t>
            </w:r>
            <w:r/>
          </w:p>
        </w:tc>
      </w:tr>
      <w:tr>
        <w:trPr>
          <w:trHeight w:val="39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94"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七都镇爃烂村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813"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w:t>
            </w:r>
            <w:r/>
          </w:p>
        </w:tc>
      </w:tr>
      <w:tr>
        <w:trPr>
          <w:trHeight w:val="39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94"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七都镇盛庄村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813"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w:t>
            </w:r>
            <w:r/>
          </w:p>
        </w:tc>
      </w:tr>
      <w:tr>
        <w:trPr>
          <w:trHeight w:val="39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94"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七都镇双塔桥村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813"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54</w:t>
            </w:r>
            <w:r/>
          </w:p>
        </w:tc>
      </w:tr>
      <w:tr>
        <w:trPr>
          <w:trHeight w:val="39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94"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七都镇水产养殖示范区</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813"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r>
      <w:tr>
        <w:trPr>
          <w:trHeight w:val="39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94"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七都镇太湖禁渔现场</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813"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w:t>
            </w:r>
            <w:r/>
          </w:p>
        </w:tc>
      </w:tr>
      <w:tr>
        <w:trPr>
          <w:trHeight w:val="39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94"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七都镇太浦闸村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813"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54</w:t>
            </w:r>
            <w:r/>
          </w:p>
        </w:tc>
      </w:tr>
      <w:tr>
        <w:trPr>
          <w:trHeight w:val="39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94"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七都镇望湖村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813"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59</w:t>
            </w:r>
            <w:r/>
          </w:p>
        </w:tc>
      </w:tr>
      <w:tr>
        <w:trPr>
          <w:trHeight w:val="39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94"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七都镇无物业小区</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813"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r>
      <w:tr>
        <w:trPr>
          <w:trHeight w:val="39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94"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七都镇吴溇村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813"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49</w:t>
            </w:r>
            <w:r/>
          </w:p>
        </w:tc>
      </w:tr>
      <w:tr>
        <w:trPr>
          <w:trHeight w:val="39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94"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七都镇吴越村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813"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86</w:t>
            </w:r>
            <w:r/>
          </w:p>
        </w:tc>
      </w:tr>
      <w:tr>
        <w:trPr>
          <w:trHeight w:val="39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94"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七都镇西漾渔业社区</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813"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r>
      <w:tr>
        <w:trPr>
          <w:trHeight w:val="39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94"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七都镇隐读村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813"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97</w:t>
            </w:r>
            <w:r/>
          </w:p>
        </w:tc>
      </w:tr>
      <w:tr>
        <w:trPr>
          <w:trHeight w:val="39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94"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七都镇渔村社区</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813"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w:t>
            </w:r>
            <w:r/>
          </w:p>
        </w:tc>
      </w:tr>
      <w:tr>
        <w:trPr>
          <w:trHeight w:val="39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94"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七都镇长桥村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813"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w:t>
            </w:r>
            <w:r/>
          </w:p>
        </w:tc>
      </w:tr>
      <w:tr>
        <w:trPr>
          <w:trHeight w:val="39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94"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七都镇政府</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813"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r>
      <w:tr>
        <w:trPr>
          <w:trHeight w:val="39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94"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七都镇宗教场所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813"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w:t>
            </w:r>
            <w:r/>
          </w:p>
        </w:tc>
      </w:tr>
      <w:tr>
        <w:trPr>
          <w:trHeight w:val="39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94"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太湖湿地公园</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813"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r>
      <w:tr>
        <w:trPr>
          <w:trHeight w:val="39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94"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文物保护</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813"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w:t>
            </w:r>
            <w:r/>
          </w:p>
        </w:tc>
      </w:tr>
      <w:tr>
        <w:trPr>
          <w:trHeight w:val="40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47"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人像</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94"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吴江人像卡口</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813"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69</w:t>
            </w:r>
            <w:r/>
          </w:p>
        </w:tc>
      </w:tr>
      <w:tr>
        <w:trPr>
          <w:trHeight w:val="390"/>
        </w:trPr>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41"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813"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1796</w:t>
            </w:r>
            <w:r/>
          </w:p>
        </w:tc>
      </w:tr>
    </w:tbl>
    <w:p>
      <w:pPr>
        <w:ind w:left="0" w:right="0" w:firstLine="0"/>
        <w:spacing w:before="240" w:after="24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★响应单位须作出在成交公告发布之日起7日内进场前满足人员配置表要求的承诺，承诺函加盖响应单位公章上传至实质性条款中，否则为无效响应文件。</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（三）设备备件要求：</w:t>
      </w:r>
      <w:r>
        <w:rPr>
          <w:rFonts w:ascii="SimSun" w:hAnsi="SimSun" w:eastAsia="SimSun" w:cs="SimSun"/>
          <w:color w:val="000000"/>
          <w:sz w:val="24"/>
        </w:rPr>
        <w:t xml:space="preserve">1796路(普通摄像头1727路，人像卡口69路)村村通监控摄像机的备件要求在服务周期内发现无法修理的设备须及时更换到位，所有更换设备不得低于下列技术参数，更换后设备免费质保时间不得少于1年，费用包含在本项目的报价中，采购单位将不再支付任何费用。</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（四）普通监控摄像机</w:t>
      </w:r>
      <w:r>
        <w:rPr>
          <w:rFonts w:ascii="SimSun" w:hAnsi="SimSun" w:eastAsia="SimSun" w:cs="SimSun"/>
          <w:color w:val="000000"/>
          <w:sz w:val="24"/>
        </w:rPr>
        <w:t xml:space="preserve">：</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1、支持2路码流，主码流2560*1440@25fps，子码流640×480@25fps。</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2、内置麦克风。</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3、最低照度彩色0.005lx。</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4、红外开启可识别距设备50m处的人体轮廓。</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5、在彩色模式下，当照度降低至一定值时，可自动开启补光灯补光，在白天夜晚均可输出彩色视频图像。</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6、同一静止场景相同图像质量下，设备在H.264或H.265编码方式时，开启智能编码功能和不开启智能编码相比，码率节约80％。</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7、外壳防护能力应符合IP67要求。</w:t>
      </w:r>
      <w:r>
        <w:rPr>
          <w:sz w:val="21"/>
        </w:rPr>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（五）公安人像卡口摄像机：</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1、主码流支持2560×1440@25fps，子码流支持704×576@25fps，第三码流支持1920×1080@25fps。</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2、具有不小于1/1.8"英寸传感器。</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3、最低照度彩色不大于0.0002lx，黑白不大于0.0001 lx。</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4、内置电动镜头，可远程调节镜头倍率和聚焦，焦距：8~32mm。</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5、支持H.264、H.265、MJPEG视频编码格式，且具有High Profile编码能力。</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6、同一场景相同图像质量下设备在H.264或H.265编码时，开启智能编码和不开启智能编码相比，码率节约≥90%在分辨率1920x1080 @ 25fps，码流设置为1Mbps时，视频图像传输延时不大于60ms。</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7、内置GPU芯片。</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支持周界防范功能，当区域入侵、越界侦测、进入区域、离开区域报警布防开启后，出现行人、非机动车、机动车目标时能触发报警，当检测区域中篮球滚动、小狗移动、树叶晃动及光线明暗变化时不会触发报警。</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9、支持对两眼瞳距不小于40像素的人脸进行检验。</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10、支持侧脸过滤功能，可过滤与样机镜头呈上下、左右角度达到预设值的人脸。</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11、支持抓拍、识别新能源汽车号牌。</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12、可对检测区域内不低于60个目标（机动车、非机动车及行人）进行检测、框选跟踪、筛选、抓拍，可将人脸与人体关联显示。</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13、支持人数统计功能，可设置最多8个人数统计区域，区域名称可自定义；可设置人员密度报警、人数异常报警、停留时间异常报警，每个人数统计区域可设置最多3种报警类型。</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在IE浏览器下，具有设备重启和布防动态报警数据感知与记录功能，布防动态报警数据包括异常掉线、历史布防、实时布防3种类型；可记录报警的开始时间、结束时间、布防类型、报警链路地址、端口、链路续传。</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15、设备具有耀光抑制功能，耀光区域≤1%。（公安部检验报告证明）样机内置4颗混合补光灯，每颗由红外和白光灯组成。</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16、样机内置鳞镜式补光灯，灯杯为半弧形网格鳞片状</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17、灯珠朝向与样机照射方向不同，补光灯开启后正面不可见补光灯灯珠。补光灯开启后灯光均匀无波纹、麻点状、条纹状和不规则亮斑。</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18、需支持IP67防尘防水。</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19、内置2个麦克风，1个扬声器，支持3路报警输入，2路报警输出，2路音频输入，1路音频输出，1个SD卡槽，1个RS485接口，支持DC12V或POE供电。</w:t>
      </w:r>
      <w:r/>
    </w:p>
    <w:p>
      <w:pPr>
        <w:ind w:left="0" w:right="0" w:firstLine="422"/>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（六）维保内容：</w:t>
      </w:r>
      <w:r/>
    </w:p>
    <w:p>
      <w:pPr>
        <w:ind w:left="0" w:right="0" w:firstLine="42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维保内容包含线路维护、监控设备维护、监控软件维护、存储及其附属设备维护等。维保服务内容如下：</w:t>
      </w:r>
      <w:r/>
    </w:p>
    <w:p>
      <w:pPr>
        <w:ind w:left="0" w:right="0" w:firstLine="42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1、视频信号线路的检测、故障排除、隐患排查。</w:t>
      </w:r>
      <w:r/>
    </w:p>
    <w:p>
      <w:pPr>
        <w:ind w:left="0" w:right="0" w:firstLine="42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2、监控系统前端摄像机的镜头清理、设备除尘、位置调整、设备维修及更换、故障排除等。</w:t>
      </w:r>
      <w:r/>
    </w:p>
    <w:p>
      <w:pPr>
        <w:ind w:left="0" w:right="0" w:firstLine="42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3、监控主机设备检测、设备除尘、系统维护、设备维护、系统扩容、故障排除等。</w:t>
      </w:r>
      <w:r/>
    </w:p>
    <w:p>
      <w:pPr>
        <w:ind w:left="0" w:right="0" w:firstLine="42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4、监控软件检测、软件升级、软件维护、数据备份、故障排除等。</w:t>
      </w:r>
      <w:r/>
    </w:p>
    <w:p>
      <w:pPr>
        <w:ind w:left="0" w:right="0" w:firstLine="42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5、监控系统前端摄像机拍摄角度位置修复调整。</w:t>
      </w:r>
      <w:r/>
    </w:p>
    <w:p>
      <w:pPr>
        <w:ind w:left="0" w:right="0" w:firstLine="422"/>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（七）维保服务方式</w:t>
      </w:r>
      <w:r/>
    </w:p>
    <w:p>
      <w:pPr>
        <w:ind w:left="0" w:right="0" w:firstLine="42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一)在成交单位确定之后要求成交单位对现场进行详细检查：</w:t>
      </w:r>
      <w:r/>
    </w:p>
    <w:p>
      <w:pPr>
        <w:ind w:left="0" w:right="0" w:firstLine="42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主要内容包括：</w:t>
      </w:r>
      <w:r/>
    </w:p>
    <w:p>
      <w:pPr>
        <w:ind w:left="0" w:right="0" w:firstLine="42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1、设备运行环境。</w:t>
      </w:r>
      <w:r/>
    </w:p>
    <w:p>
      <w:pPr>
        <w:ind w:left="0" w:right="0" w:firstLine="42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2、所有设备的安装位置、运行情况。</w:t>
      </w:r>
      <w:r/>
    </w:p>
    <w:p>
      <w:pPr>
        <w:ind w:left="0" w:right="0" w:firstLine="42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3、线路使用情况及线路敷设路径、走线方式等。</w:t>
      </w:r>
      <w:r/>
    </w:p>
    <w:p>
      <w:pPr>
        <w:ind w:left="0" w:right="0" w:firstLine="42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4、线路所有接口、所有摄像机、接线柱线路接点是否牢固。</w:t>
      </w:r>
      <w:r/>
    </w:p>
    <w:p>
      <w:pPr>
        <w:ind w:left="0" w:right="0" w:firstLine="42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5、软件使用情况、软件升级情况。</w:t>
      </w:r>
      <w:r/>
    </w:p>
    <w:p>
      <w:pPr>
        <w:ind w:left="0" w:right="0" w:firstLine="42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6、系统数据备份情况。</w:t>
      </w:r>
      <w:r/>
    </w:p>
    <w:p>
      <w:pPr>
        <w:ind w:left="0" w:right="0" w:firstLine="42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二）定期上门巡检服务</w:t>
      </w:r>
      <w:r/>
    </w:p>
    <w:p>
      <w:pPr>
        <w:ind w:left="0" w:right="0" w:firstLine="42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每一个月进行一次设备的除尘、清理，扫净监控设备显露的尘土，对摄像机、防护罩等部件要卸下彻底吹风除尘，之后用无水酒精棉将各个镜头擦干净，调整清晰度，防止由于机器运转、静电等因素将尘土吸入监控设备机体内，确保机器正常运行。同时检查监控机房通风、散热、净尘、供电等设施。</w:t>
      </w:r>
      <w:r/>
    </w:p>
    <w:p>
      <w:pPr>
        <w:ind w:left="0" w:right="0" w:firstLine="42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2、根据安防监控系统各部分设备的使用说明，每个月检测其各项技术参数及监控系统传输线路质量，处理故障隐患，协助监控主管设定使用级别等各种数据，确保各部分设备各项功能良好，能够正常运行。</w:t>
      </w:r>
      <w:r/>
    </w:p>
    <w:p>
      <w:pPr>
        <w:ind w:left="0" w:right="0" w:firstLine="42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3、对容易老化的安防监控部件每个月一次进行全面检查，一旦发现老化现象应及时更换、维修，如摄像头、补光灯等。</w:t>
      </w:r>
      <w:r/>
    </w:p>
    <w:p>
      <w:pPr>
        <w:ind w:left="0" w:right="0" w:firstLine="42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4、对长时间工作的安防监控设备每个月定期维护一次，如监控主机长时间工作会产生较多的热量，一旦其电风扇有故障，会影响排热，以免监控主机工作不正常。</w:t>
      </w:r>
      <w:r/>
    </w:p>
    <w:p>
      <w:pPr>
        <w:ind w:left="0" w:right="0" w:firstLine="42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5、对安防监控系统设备的运行情况进行监控，分析运行情况，及时发现并排除故障。</w:t>
      </w:r>
      <w:r/>
    </w:p>
    <w:p>
      <w:pPr>
        <w:ind w:left="0" w:right="0" w:firstLine="42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6、如服务期间发现无法修理的设备须及时更换到位，更换设备不得低于采购文件中第四章中的技术参数要求，更换后免费质保时间不得少于1年，费用包含在本项目的报价中，采购单位将不再支付任何费用。</w:t>
      </w:r>
      <w:r/>
    </w:p>
    <w:p>
      <w:pPr>
        <w:ind w:left="0" w:right="0" w:firstLine="42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三）电话支持服务</w:t>
      </w:r>
      <w:r/>
    </w:p>
    <w:p>
      <w:pPr>
        <w:ind w:left="0" w:right="0" w:firstLine="42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对于临时出现的使用、操作或其他非故障的简单问题，成交单位服务工程师提供电话支持服务，并提供问题的解决方案、操作方法及技术指导。</w:t>
      </w:r>
      <w:r/>
    </w:p>
    <w:p>
      <w:pPr>
        <w:ind w:left="0" w:right="0" w:firstLine="42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四）现场技术服务</w:t>
      </w:r>
      <w:r/>
    </w:p>
    <w:p>
      <w:pPr>
        <w:ind w:left="0" w:right="0" w:firstLine="42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维保期限内，监控系统所有设备（如监控主机、摄像机、解码器等）在正常使用下发生损坏，由成交单位负责更换，设备及配件费用视维保方式由维保合同中指定方承担。维修后向用户汇报问题情况及处理结果提交维修报告并由用户签字并留存备案。</w:t>
      </w:r>
      <w:r/>
    </w:p>
    <w:p>
      <w:pPr>
        <w:ind w:left="0" w:right="0" w:firstLine="42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在设备使用过程中存在的使用上的问题，成交单位应解释清楚指导正确使用，并提出合理化建议。</w:t>
      </w:r>
      <w:r/>
    </w:p>
    <w:p>
      <w:pPr>
        <w:ind w:left="0" w:right="0" w:firstLine="42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（八）服务要求：</w:t>
      </w:r>
      <w:r/>
    </w:p>
    <w:p>
      <w:pPr>
        <w:ind w:left="0" w:right="0" w:firstLine="42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（1）设备及线路维保：需对 1796路(普通摄像头1727路，人像卡口69路)提供线路及维保服务以及人像卡口69路设备更新，确保设备清洁、线路规整，保证设备在不同环境下正常运行，包含设备清洁维护、线路整理维护、环境适应性检查等工作，对应考核表中质量管理的日常维护相关内容。</w:t>
      </w:r>
      <w:r/>
    </w:p>
    <w:p>
      <w:pPr>
        <w:ind w:left="0" w:right="0" w:firstLine="42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（2）系统平台运维：负责监控平台基础功能与整体系统的运维管理，保障软件系统完好，确保画面显示、数据存储、检索等功能正常，符合考核表中质量管理里软、硬件系统完好率中软件部分的考核要求。</w:t>
      </w:r>
      <w:r/>
    </w:p>
    <w:p>
      <w:pPr>
        <w:ind w:left="0" w:right="0" w:firstLine="42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（3）故障维修服务：提供故障维修服务，要求在规定时间内响应故障报修并完成修复，保证故障修复率和修复质量，修复后及时反馈，对应考核表中质量管理的故障修复状况和故障响应速度相关内容。</w:t>
      </w:r>
      <w:r/>
    </w:p>
    <w:p>
      <w:pPr>
        <w:ind w:left="0" w:right="0" w:firstLine="42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（4）定期巡检保养：按规定周期开展巡检工作，涵盖设备运行状态、性能指标、周边环境等方面，并进行有效的保养，以降低故障发生率，符合考核表中质量管理的定期巡检、保养相关考核项。</w:t>
      </w:r>
      <w:r/>
    </w:p>
    <w:p>
      <w:pPr>
        <w:ind w:left="0" w:right="0" w:firstLine="42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（5）信息安全维护：对视频监控系统进行信息安全巡检测试，包括按规定频率巡检、采用科学测试方法发现潜在安全风险并及时处置，对应考核表中质量管理的信息安全巡检测试部分。</w:t>
      </w:r>
      <w:r/>
    </w:p>
    <w:p>
      <w:pPr>
        <w:ind w:left="0" w:right="0" w:firstLine="42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（6）重大事件保障：针对重大事件、活动制定现场保障方案并有效执行，活动结束后进行总结复盘，符合考核表中质量管理里对重大事件、活动的现场保障相关内容。</w:t>
      </w:r>
      <w:r/>
    </w:p>
    <w:p>
      <w:pPr>
        <w:ind w:left="0" w:right="0" w:firstLine="42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人员服务保障：供应商需配备专业技能水平达标的维保人员，要求维保人员服务态度良好，以提高用户满意度，对应考核表中人员管理相关内容。（其中至少1名项目负责人，1名技术负责人，其余人员有响应单位自行确定）</w:t>
      </w:r>
      <w:r/>
    </w:p>
    <w:p>
      <w:pPr>
        <w:ind w:left="0" w:right="0" w:firstLine="42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成交单位应严格按照以上要求进行维护、考核，并接受采购单位的考核评分，详见附件二：《考核细则》。对采购单位提出的维护服务项目合理的建议应予执行。采购单位因国家城市建设或其他特殊情况提出的确需变更的事项应予遵守，因此而涉及合同事项的变更，由成交单位和采购单位协商解决。</w:t>
      </w:r>
      <w:r/>
    </w:p>
    <w:p>
      <w:pPr>
        <w:ind w:left="0" w:right="0" w:firstLine="42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成交单位应能保证所提供服务涉及到的知识产权是合法取得，并享有完整的知识产权，不会因为采购单位的使用而被责令停止使用、追偿或要求赔偿损失，如出现此情况，一切经济和法律责任均由成交单位承担。如出现质量问题或系假冒伪劣产品，成交单位负责包退、包换，发生的费用由成交单位负责。</w:t>
      </w:r>
      <w:r/>
    </w:p>
    <w:p>
      <w:pPr>
        <w:ind w:left="0" w:right="0" w:firstLine="42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伴随服务：如果产品在维保期内发生故障，成交单位应在2小时内予以响应，如在24小时内不能解决问题，应免费用同样品牌、规格或更高的部件更换到位。否则采购方将自行采取必要的措施，由此产生的风险和费用由成交单位承担。</w:t>
      </w:r>
      <w:r/>
    </w:p>
    <w:p>
      <w:pPr>
        <w:ind w:left="0" w:right="0" w:firstLine="42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（九）若中标的响应单位在服务管理期间，违反下列规定将被扣除履约保证金或解除相关综合服务合同。</w:t>
      </w:r>
      <w:r/>
    </w:p>
    <w:p>
      <w:pPr>
        <w:ind w:left="0" w:right="0" w:firstLine="42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1、未经采购单位许可，将承包的服务整体转包、分包他人；</w:t>
      </w:r>
      <w:r/>
    </w:p>
    <w:p>
      <w:pPr>
        <w:ind w:left="0" w:right="0" w:firstLine="42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2、严重违反采购单位考核标准的有关规定；</w:t>
      </w:r>
      <w:r/>
    </w:p>
    <w:p>
      <w:pPr>
        <w:ind w:left="0" w:right="0" w:firstLine="42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3、出现重大事故或问题。</w:t>
      </w:r>
      <w:r/>
    </w:p>
    <w:p>
      <w:pPr>
        <w:ind w:left="0" w:right="0" w:firstLine="42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四、综合说明及其它要求：</w:t>
      </w:r>
      <w:r/>
    </w:p>
    <w:p>
      <w:pPr>
        <w:ind w:left="0" w:right="0" w:firstLine="42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响应报价包括软件维护、劳务、制作、设备、安装、调试、维护、保险、利润、税金、报验、人员、交通、食宿、加班、验收、检测合格费、代理服务费等政策性文件规定及合同包含的所有风险、责任等各项应有费用。</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2、供应商必须说明其是否响应采购文件中提出的全部服务内容与要求，如果以其中某些条款不响应时，应在文件中逐条列出，未列出的视同响应。</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3、响应单位提供的磋商响应文件内容须真实、准确、有效，如提供的参数虚假或对采购文件所要求说明的情况故意隐瞒或虚报，按《中华人民共和国政府采购法》第七十七条的相关办法处理。</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4、响应单位须为本项目配备的所有服务人员按规定缴纳社会保险及人身意外险，若工作人员在服务期间内出现的工伤及其他意外事故，均由响应单位自行负责，采购人不承担任何责任。</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响应单位必须遵守《中华人民共和国劳动法》的规定，为采购人提供的服务人员如遇到工资纠纷问题由响应单位自行解决。每天及双休日因工作而产生的加班费用，高温津贴，均由成交单位向服务人员支付，含在响应总报价中。</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6对员工进行岗位职责和安全教育，岗位重要内容的保密，加强岗位责任考核，提高服务人员安全意识，提高服务质量。</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7、磋商说明：</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（1）不符合供应商资格要求的响应文件视为无效响应；</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（2）供应商未按不见面开标流程解密成功的视为无效；</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（3）最终报价超过采购预算或最高限价的，不能成交；</w:t>
      </w:r>
      <w:r/>
    </w:p>
    <w:p>
      <w:pPr>
        <w:ind w:left="0" w:right="0" w:firstLine="480"/>
        <w:jc w:val="both"/>
        <w:spacing w:before="0" w:after="0" w:line="360" w:lineRule="auto"/>
        <w:tabs>
          <w:tab w:val="left" w:pos="7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（4）不实质性响应磋商文件的不能成交；</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（5）在“苏采云”系统中出现供应商“机器码一致”情形的，响应文件将被拒绝。</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五、根据苏州市财政局《关于贯彻执行绿色采购、促进残疾人就业和支持监狱企业发展有关政策的通知》（苏财购〔2019〕10号）规定：</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1、关于节能环保产品政府采购要求：</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根据财政部、发展改革委、生态环境部、市场监管总局关于调整优化节能产品、环境标志产品政府采购执行机制的通知：</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1.1采购清单中的产品属于节能产品政府采购品目清单中强制采购的，应选择节能产品并提供国家确定的认证机构出具的、处于有效期之内的节能产品认证证书，否则响应无效；</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1.2采购清单中的产品属于环境标志产品政府采购品目清单的优先采购的，则在综合评分相同情况下，提供优先采购产品更多的响应单位优先成交。</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1.3响应产品不属于节能产品政府采购品目清单和环境标志产品政府采购品目清单范围内的，响应单位应综合考虑节能、节水、环保、循环、低碳、再生、有机等因素，绿色采购，优先考虑绿色产品。</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节能产品政府采购清单》、《环境标志产品政府采购清单》以“中国政府采购网”（http://www.ccgp.gov.cn）公告的时间、内容为准，也可通过“江苏省政府采购网”“苏州市政府采购网”（http://www.zfcg.suzhou.gov.cn）链接查询。</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2、进一步明确政府采购促进残疾人就业政策</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本次采购中，响应单位如为残疾人福利性单位，则视同小型、微型企业，享受评审中价格扣除等促进中小企业发展的政府采购政策。向残疾人福利性单位采购的金额，计入面向中小企业采购的统计数据。残疾人福利性单位属于小型、微型企业的，不重复享受政策。</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2.3中标、成交供应商为残疾人福利性单位的，采购人或者其委托的采购代理机构应当随中标、成交结果同时公告其《残疾人福利性单位声明函》，接受社会监督。</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3、进一步明确政府采购支持监狱企业发展政策</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3.1在本次采购中，响应单位如为监狱企业，则视同小型、微型企业，享受评审中价格扣除等政府采购促进中小企业发展的政府采购政策。向监狱企业采购的金额，计入面向中小企业采购的统计数据。</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符合《关于政府采购支持监狱企业发展有关问题的通知》（财库〔2014〕68号）条件的监狱企业参加政府采购活动时，应当提供由省级以上监狱管理局、戒毒管理局（含新疆生产建设兵团）出具的属于监狱企业的证明文件。</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六、根据苏州市财政局《关于进一步做好政府采购正常贯彻执行工作的通知》（苏财购（2017）10号）文件规定：</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1、关于政府采购促进中小企业发展政策要求：</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1.1不同行业的中小微企业划分标准以工信部、国家统计局、国家发改委、财政部《关于印发中小企业划型标准规定的通知》（工信部联企业〔2011〕300号）为准。</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1.2小微企业提供中型企业制造或使用中型企业注册商标的货物的，视同为中型企业。小微企业提供大型企业制造或使用大型企业注册商标的货物的，视同为大型企业。</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中小微企业在投标（响应）文件中，签署《中小企业声明函》，并根据工信部联企业〔2011〕300号通知附带最新一期的企业中小微证明资料，证实企业的规模类型。未在投标（响应）文件中提供《中小企业声明函》的，不享受促进中小微企业发展的相关政府采购政策。</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1.4对小型和微型企业产品或服务的价格给予相关比例的扣除，用扣除后的价格参与评审，具体信息详见评分标准。</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1.5根据《政府采购促进中小企业发展管理办法》（财库〔2020〕46号）及《中小企业划型标准规定》（工信部联企业〔2011〕300号），本采购项目对应的中小企业划分标准所属行业为：其他未列明行业。</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七、实施本国产品标准及相关政策</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本项目为服务类项目，如提供服务中需提供货物，根据《国务院办公厅关于在政府采购中实施本国产品标准及相关政策的通知》（国办发〔2025〕34号）的规定，本项目对采购本国产品给予政策支持。</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3、本项目政府采购活动中既有本国产品又有非本国产品参与竞争的，依法对本国产品给予价格评审优惠，对本国产品的报价给予20%的价格扣除，用扣除后的价格参与评审。</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当采购项目或者采购包中含有多种产品，供应商为该采购项目或者采购包提供的符合本国产品标准的产品成本之和占该供应商提供的全部产品成本之和的比例达到80%以上时（供应商需在“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4、供应商需按照招标文件的要求提供《关于符合本国产品标准的声明函》（以下简称《声明函》）或财政部会同有关部门规定的有关证明文件的，如不提供或提供不符合要求的将不享受本国产品价格评审优惠。</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根据政府采购法及相关法规，以及苏州市财政局《关于印发苏州市市级政府采购信用记录查询和使用工作试行办法的通知》（苏财购（2017）11号）文件的规定，将对供应商进行信用查询，凡经评审小组确认不符合政府采购相关法律法规规定的，将拒绝其参与政府采购活动。</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1、关于对参与供应商信用记录的政府采购要求：</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1.1采购代理机构会在接收响应文件截止时间后，在中国政府采购网（www.ccgp.gov.cn）、信用中国（www.creditchina.gov.cn）、信用江苏（</w:t>
      </w:r>
      <w:hyperlink r:id="rId11" w:tooltip="http://www.jscredit.gov.cn/" w:history="1">
        <w:r>
          <w:rPr>
            <w:rStyle w:val="757"/>
            <w:rFonts w:ascii="SimSun" w:hAnsi="SimSun" w:eastAsia="SimSun" w:cs="SimSun"/>
            <w:color w:val="0000ee"/>
            <w:sz w:val="24"/>
            <w:u w:val="single"/>
          </w:rPr>
          <w:t xml:space="preserve">www.jscredit.gov.cn</w:t>
        </w:r>
      </w:hyperlink>
      <w:r>
        <w:rPr>
          <w:rFonts w:ascii="SimSun" w:hAnsi="SimSun" w:eastAsia="SimSun" w:cs="SimSun"/>
          <w:color w:val="000000"/>
          <w:sz w:val="24"/>
        </w:rPr>
        <w:t xml:space="preserve">）、诚信苏州（www.szcredit.gov.cn）的网站输入供应商全称或统一社会信用代码查询信用记录，并将查询结果递交评审小组。</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评审小组在对供应商进行资格性审查时，应根据查询结果对供应商的不良信用记录逐项甄别确认。按照《中华人民共和国政府采购法》第二十二条规定，下列信用记录属于应依法拒绝供应商参加政府采购的失信信息：</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（一）政府采购严重违法记录，即供应商被全国各级财政部门列入“政府采购严重违法失信行为记录名单”，且在处罚有效期内的。</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（二）财政部门与法院、工商、税务等部门联合惩戒的失信信息，包括：</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1）被列入失信被执行人名单；</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2）被列入重大税收违法案件当事人名单；</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企业经营异常名录中被责令停产停业、暂扣或者吊销许可证或者执照，或者对经营活动中的违法行为处以《中华人民共和国政府采购法实施条例》第十九条第一款规定的“较大数额罚款”认定为200万元以上的罚款信用记录（法律、行政法规以及国务院有关部门明确规定相关领域“较大数额罚款”标准高于200万元的，从其规定）。处罚生效日至递交（响应）文件日未满三年的。</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对存在失信信息的供应商，评审小组应填写《苏州市级政府采购供应商失信信息确认函》，由失信供应商应签名确认。同时，采购代理机构工作人员应根据评审小组确认的失信信息，登陆到相关来源网站页面进行复核并打印，作为证据留存。</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九、凡涉及采购文件的补充说明和修改，均以江苏省政府采购网，苏州市政府采购网发布的文件为准。</w:t>
      </w:r>
      <w:r/>
    </w:p>
    <w:p>
      <w:pPr>
        <w:ind w:left="0" w:right="0" w:firstLine="0"/>
        <w:jc w:val="center"/>
        <w:spacing w:before="0" w:after="0" w:line="360" w:lineRule="auto"/>
        <w:tabs>
          <w:tab w:val="left" w:pos="8930" w:leader="none"/>
          <w:tab w:val="left" w:pos="9306" w:leader="none"/>
        </w:tabs>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360" w:lineRule="auto"/>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3"/>
        </w:rPr>
        <w:t xml:space="preserve">第四章 评审办法及评分标准</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一、评审方法</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1、本次磋商评审方法为综合评分法。即在最大限度地满足磋商采购文件实质性要求前提下，按照磋商采购文件中规定的各项因素进行综合评审后，以评审总得分最高的供应商作为成交供应商的评审方法。</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2、综合评分的主要因素为：综合实力、业绩、技术、信誉、服务、对磋商采购文件的响应程度，以及相应的比重或者数值等。</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评审时，评审委员会各成员独立对每个有效供应商的响应文件进行评价、打分，计算出每个供应商的得分（计算结果均四舍五入保留两位小数），然后汇总，按算术平均方法，计算出每个供应商的得分；报价得分通过计算直接取得；报价得分加评委算术平均得分，为供应商的总得分。</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4、针对小型、微型企业的价格评审办法：</w:t>
      </w:r>
      <w:r/>
    </w:p>
    <w:p>
      <w:pPr>
        <w:ind w:left="0" w:right="0" w:firstLine="480"/>
        <w:spacing w:before="240" w:after="24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政府采购促进中小企业发展管理办法》（财库〔2020〕46号）、《关于促进残疾人就业政府采购政策的通知》（财库〔2017〕141号）、《关于政府采购支持监狱企业发展有关问题的通知》（财库〔2014〕68号）和《关于做好政府采购支持企业发展有关事项的通知》（苏财购〔2020〕52号）及《关于印发&lt;苏州市政府采购促进中小企业发展实施意见&gt;的通知》（苏财购〔2022〕16号）的有关规定，对于符合上述文件规定情形的小微企业、残疾人福利性单位及监狱企业报价给予20%的扣除，用扣除后的价格参与评审，如扣除后的价格为</w:t>
      </w:r>
      <w:r>
        <w:rPr>
          <w:rFonts w:ascii="SimSun" w:hAnsi="SimSun" w:eastAsia="SimSun" w:cs="SimSun"/>
          <w:color w:val="000000"/>
          <w:sz w:val="24"/>
        </w:rPr>
        <w:t xml:space="preserve">最低价的，则作为评标基准价，成交金额则以实际报价为准。残疾人福利性单位属于小型、微型企业的，不重复享受政策。服务类项目中供应商若使用退休人员，将不享受中小企业扶持政策。 小微企业提供《中小企业声明函》；监狱企业提供由省级以上监狱管理局、戒毒管理局（含新疆生产建设兵团）出具的属于监狱企业的证明文件；残疾人福利性单位提供《残疾人福利性单位声明函》。 注： ①填报“中小企业声明函”需严格按工信部联企业〔2011〕300号通知中的《中小企业划型标准规定》进行。 </w:t>
      </w:r>
      <w:r/>
    </w:p>
    <w:p>
      <w:pPr>
        <w:ind w:left="0" w:right="0" w:firstLine="480"/>
        <w:spacing w:before="240" w:after="24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②若供应商提供的声明函或认定证明为虚假材料，按“政府采购法”相关规定处理并报请政府监管部门给予行政处罚。 </w:t>
      </w:r>
      <w:r/>
    </w:p>
    <w:p>
      <w:pPr>
        <w:ind w:left="0" w:right="0" w:firstLine="482"/>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③若为专门面向中小企业采购的项目或者采购包，不再执行价格评审优惠的扶持政策。</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二、评分标准</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（一）价格基准分（10分）</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第一步：磋商报价低于或等于采购预算价格的，为有效磋商报价。超财政预算的磋商报价文件为未实质性响应文件，不参与评审。</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第二步：在所有有效磋商报价中满足采购文件要求，且磋商价格最低的磋商报价为评标基准价，其价格分为10分，其他磋商供应商的价格分按照下列公式计算（计算结果四舍五入保留两位小数）：</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磋商报价得分＝（评标基准价/磋商报价）×10%×100</w:t>
      </w:r>
      <w:r/>
    </w:p>
    <w:tbl>
      <w:tblPr>
        <w:tblStyle w:val="75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69"/>
        <w:gridCol w:w="1123"/>
        <w:gridCol w:w="7676"/>
        <w:gridCol w:w="257"/>
      </w:tblGrid>
      <w:tr>
        <w:trPr>
          <w:trHeight w:val="57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9"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23"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评分项目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676"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7"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分值</w:t>
            </w:r>
            <w:r/>
          </w:p>
        </w:tc>
      </w:tr>
      <w:tr>
        <w:trPr>
          <w:trHeight w:val="44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57"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针对本项目技术服务方案的比较（70分）</w:t>
            </w:r>
            <w:r/>
          </w:p>
        </w:tc>
      </w:tr>
      <w:tr>
        <w:trPr>
          <w:trHeight w:val="17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3"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针对本项目理解情况、现场勘测情况比较（9分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676"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响应单位针对本项目提供的现场勘测图（点位位置、现场情况、线路资源图纸等）进行综合比较，综合评定优秀，项目理解分析充分合理，现场勘测充分，内容科学完整真实准确，描述详细清晰准确的得9分；综合评定良好，理解分析比较合理，勘测比较科学完备，描述比较详细，能满足项目实施需要的得5分；综合评定较差，勘测内容及描述较差，不能满足项目实施需要的得2分。不提供的不得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7"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r>
      <w:tr>
        <w:trPr>
          <w:trHeight w:val="11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3"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针对本项目的服务质量保证方案（9分）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76"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单位针对本项目的服务质量保证方案包含但不限于项目的质量保证措施、进度计划方案、安全文明施工方案、安全保障措施方案等，方案完整、科学、合理、可行性高的得9分；方案完整、科学、合理、可行性良好的得5分；方案完整、科学、合理、可行性一般的得2分；不提供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r>
      <w:tr>
        <w:trPr>
          <w:trHeight w:val="8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3"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针对本项目的前端维护方案（9分）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76"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单位针对本项目的前端维护方案包含但不限于前端摄像机维护方案、线路外场维护方案、运维服务系统等，方案完整、科学、合理、可行性高的得9分；方案完整、科学、合理、可行性良好的得5分；方案完整、科学、合理、可行性一般的得2分；不提供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r>
      <w:tr>
        <w:trPr>
          <w:trHeight w:val="8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3"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针对本项目的网络维护方案（9分）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76"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单位针对本项目的网络维护方案包含但不限于项目的网络架构、网络系统规划、网络安全监测、网络维护系统等，方案完整、科学、合理、可行性高的得9分；方案完整、科学、合理、可行性良好的得5分；方案完整、科学、合理、可行性一般的得2分；不提供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r>
      <w:tr>
        <w:trPr>
          <w:trHeight w:val="8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3"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针对本项目的村村通云存储服务方案（9分）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76"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单位针对本项目的村村通云存储服务方案包含但不限于本项目村村通云存储的总体架构、功能设计等，方案完整、科学、合理、可行性高的得9分；方案完整、科学、合理、可行性良好的得5分；方案完整、科学、合理、可行性一般的得2分；不提供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r>
      <w:tr>
        <w:trPr>
          <w:trHeight w:val="11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3"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针对本项目的突发事件应急处理方案（9分）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76"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单位针对本项目的突发事件应急处理方案包含但不限于项目的软件平台系统故障应急预案、硬件系统故障应急预案、网络故障应急预案、服务器故障应急预案、应急措施、服务响应、应急保障人力及物资安排等，方案完整、科学、合理、可行性高的得9分；方案完整、科学、合理、可行性良好的得5分；方案完整、科学、合理、可行性一般的得2分；不提供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r>
      <w:tr>
        <w:trPr>
          <w:trHeight w:val="11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3"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针对本项目的对接方案（8分）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76"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单位针对本项目的对接方案包含但不限于本项目与吴江区视频应用能力支撑平台、吴江区公安局公共安全视频共享平台的对接等，方案完整、科学、合理、可行性高并能提供相关证明材料的得8分；方案完整、科学、合理、可行性高的得5分；方案描述简单、合理性较差的得2分；不提供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r>
      <w:tr>
        <w:trPr>
          <w:trHeight w:val="11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3"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针对本项目的平台协助维护方案（8分）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76"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单位针对本项目的平台协助维护方案包含但不限于一套完整的运维业务流程，视频监控图像质量检测的算法分析流程，与吴江区公安局智能运维管理平台对接等，方案完整、科学、合理、可行性高并能提供详细功能阐述与流程图的得8分；方案完整、科学、合理、可行性高的得5分；方案描述简单、合理性较差的得2分；不提供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99"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响应单位履约能力（20分）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3"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项目负责人配置（4分）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76" w:type="dxa"/>
            <w:vAlign w:val="center"/>
            <w:textDirection w:val="lrTb"/>
            <w:noWrap/>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拟投入本项目的项目负责人1名：工程师及以上职称证书、注册信息安全专业人员证书，以上证书每有一种得2分，最高4分。证明材料扫描件加盖响应单位公章，否则不得分。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7"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3" w:type="dxa"/>
            <w:vAlign w:val="center"/>
            <w:textDirection w:val="lrTb"/>
            <w:noWrap/>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技术负责人配置（4分）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76" w:type="dxa"/>
            <w:vAlign w:val="center"/>
            <w:textDirection w:val="lrTb"/>
            <w:noWrap/>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拟投入本项目的技术负责人1名：工程师及以上职称证书、注册信息安全专业人员证书，以上证书每有一种得2分，最高4分。证明材料扫描件加盖响应单位公章，否则不得分。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3" w:type="dxa"/>
            <w:vAlign w:val="center"/>
            <w:textDirection w:val="lrTb"/>
            <w:noWrap/>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其他项目组成员（4分）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76" w:type="dxa"/>
            <w:vAlign w:val="center"/>
            <w:textDirection w:val="lrTb"/>
            <w:noWrap/>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拟投入本项目的其他项目组成员（除项目负责人和技术负责人）：具有高空安装、维护、拆除作业的特种作业操作证的，有一个得0.5分，本项最高得4分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3" w:type="dxa"/>
            <w:vAlign w:val="center"/>
            <w:textDirection w:val="lrTb"/>
            <w:noWrap/>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其他项目组成员（4分）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76" w:type="dxa"/>
            <w:vAlign w:val="center"/>
            <w:textDirection w:val="lrTb"/>
            <w:noWrap/>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拟投入本项目的其他项目组成员（除项目负责人和技术负责人）：具有低压电工作业的特种作业操作证的，有一个得0.5分，本项最高得4分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r>
      <w:tr>
        <w:trPr>
          <w:trHeight w:val="8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3"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类似业绩（4分）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76"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响应单位2023年5月1日至今（以合同签订日期为准）完成过类似相关业绩的，每提供一个得1分，最高4分。（投标文件中提供业绩合同的原件扫描件并加盖响应单位公章，否则不得分）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r>
    </w:tbl>
    <w:p>
      <w:pPr>
        <w:ind w:left="0" w:right="0" w:firstLine="424"/>
        <w:jc w:val="both"/>
        <w:spacing w:before="0" w:after="0" w:line="360" w:lineRule="auto"/>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4"/>
        <w:jc w:val="both"/>
        <w:spacing w:before="0" w:after="0" w:line="360" w:lineRule="auto"/>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注：1、响应文件中需提供对应人员证书扫描件及近期社保缴纳证明，不提供或提供不全的不得分。</w:t>
      </w:r>
      <w:r/>
    </w:p>
    <w:p>
      <w:pPr>
        <w:ind w:left="0" w:right="0" w:firstLine="424"/>
        <w:jc w:val="both"/>
        <w:spacing w:before="0" w:after="0" w:line="360" w:lineRule="auto"/>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2、响应文件中需提供业绩的合同扫描件，不提供或提供不全不得分。</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spacing w:line="360" w:lineRule="auto"/>
        <w:shd w:val="nil" w:color="auto"/>
        <w:rPr>
          <w:sz w:val="21"/>
          <w:szCs w:val="21"/>
        </w:rPr>
      </w:pPr>
      <w:r>
        <w:rPr>
          <w:sz w:val="21"/>
        </w:rPr>
        <w:br w:type="page" w:clear="all"/>
      </w:r>
      <w:r>
        <w:rPr>
          <w:sz w:val="21"/>
        </w:rPr>
      </w:r>
      <w:r/>
    </w:p>
    <w:p>
      <w:pPr>
        <w:ind w:left="0" w:right="0" w:firstLine="0"/>
        <w:jc w:val="both"/>
        <w:spacing w:before="0" w:after="0" w:line="360" w:lineRule="auto"/>
        <w:rPr>
          <w:sz w:val="21"/>
          <w:szCs w:val="21"/>
        </w:rPr>
        <w:pBdr>
          <w:top w:val="none" w:color="000000" w:sz="4" w:space="0"/>
          <w:left w:val="none" w:color="000000" w:sz="4" w:space="0"/>
          <w:bottom w:val="none" w:color="000000" w:sz="4" w:space="0"/>
          <w:right w:val="none" w:color="000000" w:sz="4" w:space="0"/>
        </w:pBdr>
      </w:pPr>
      <w:r>
        <w:rPr>
          <w:sz w:val="21"/>
          <w:szCs w:val="21"/>
        </w:rPr>
      </w:r>
      <w:r/>
    </w:p>
    <w:p>
      <w:pPr>
        <w:ind w:left="0" w:right="0" w:firstLine="0"/>
        <w:jc w:val="center"/>
        <w:spacing w:before="0" w:after="0" w:line="360" w:lineRule="auto"/>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3"/>
        </w:rPr>
        <w:t xml:space="preserve">第五章 合同主要条款及格式</w:t>
      </w:r>
      <w:r/>
    </w:p>
    <w:p>
      <w:pPr>
        <w:ind w:left="0" w:right="0" w:firstLine="0"/>
        <w:jc w:val="both"/>
        <w:spacing w:before="0" w:after="160" w:line="360" w:lineRule="auto"/>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甲方（采购方）：</w:t>
      </w:r>
      <w:r>
        <w:rPr>
          <w:rFonts w:ascii="SimSun" w:hAnsi="SimSun" w:eastAsia="SimSun" w:cs="SimSun"/>
          <w:color w:val="000000"/>
          <w:sz w:val="24"/>
        </w:rPr>
        <w:t xml:space="preserve">苏州市吴江区七都镇人民政府</w:t>
      </w:r>
      <w:r/>
    </w:p>
    <w:p>
      <w:pPr>
        <w:ind w:left="0" w:right="0" w:firstLine="0"/>
        <w:jc w:val="both"/>
        <w:spacing w:before="0" w:after="160" w:line="360" w:lineRule="auto"/>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代表人：                                    </w:t>
      </w:r>
      <w:r/>
    </w:p>
    <w:p>
      <w:pPr>
        <w:ind w:left="0" w:right="0" w:firstLine="0"/>
        <w:jc w:val="both"/>
        <w:spacing w:before="0" w:after="160" w:line="360" w:lineRule="auto"/>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 </w:t>
      </w:r>
      <w:r/>
    </w:p>
    <w:p>
      <w:pPr>
        <w:ind w:left="0" w:right="0" w:firstLine="0"/>
        <w:jc w:val="both"/>
        <w:spacing w:before="0" w:after="160" w:line="360" w:lineRule="auto"/>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乙方（供应方）：  </w:t>
      </w:r>
      <w:r/>
    </w:p>
    <w:p>
      <w:pPr>
        <w:ind w:left="0" w:right="0" w:firstLine="0"/>
        <w:jc w:val="both"/>
        <w:spacing w:before="0" w:after="160" w:line="360" w:lineRule="auto"/>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代表人：</w:t>
      </w:r>
      <w:r/>
    </w:p>
    <w:p>
      <w:pPr>
        <w:ind w:left="0" w:right="0" w:firstLine="0"/>
        <w:jc w:val="both"/>
        <w:spacing w:before="0" w:after="160" w:line="360" w:lineRule="auto"/>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签订日期：签订地点：</w:t>
      </w:r>
      <w:r/>
    </w:p>
    <w:p>
      <w:pPr>
        <w:ind w:left="570" w:right="0" w:firstLine="0"/>
        <w:jc w:val="both"/>
        <w:spacing w:before="240" w:after="24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17"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根据苏州爱达招投标有限公司项目编号</w:t>
      </w:r>
      <w:r>
        <w:rPr>
          <w:rFonts w:ascii="SimSun" w:hAnsi="SimSun" w:eastAsia="SimSun" w:cs="SimSun"/>
          <w:color w:val="000000"/>
          <w:sz w:val="24"/>
          <w:u w:val="single"/>
        </w:rPr>
        <w:t xml:space="preserve">                 </w:t>
      </w:r>
      <w:r>
        <w:rPr>
          <w:rFonts w:ascii="SimSun" w:hAnsi="SimSun" w:eastAsia="SimSun" w:cs="SimSun"/>
          <w:color w:val="000000"/>
          <w:sz w:val="24"/>
        </w:rPr>
        <w:t xml:space="preserve">号政府采购文件及成交单位的响应文件和成交通知书，甲乙双方就此次成交的苏州市吴江区七都镇人民政府关于七都镇“村村通”视频监控维保项目的采购事宜，签订本合同书。</w:t>
      </w:r>
      <w:r/>
    </w:p>
    <w:p>
      <w:pPr>
        <w:ind w:left="0" w:right="0" w:firstLine="422"/>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一、采购内容：</w:t>
      </w:r>
      <w:r>
        <w:rPr>
          <w:rFonts w:ascii="SimSun" w:hAnsi="SimSun" w:eastAsia="SimSun" w:cs="SimSun"/>
          <w:b/>
          <w:color w:val="000000"/>
          <w:sz w:val="24"/>
          <w:u w:val="single"/>
        </w:rPr>
        <w:t xml:space="preserve">七都镇“村村通”视频监控维保项目</w:t>
      </w:r>
      <w:r/>
    </w:p>
    <w:p>
      <w:pPr>
        <w:ind w:left="0" w:right="0" w:firstLine="42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1、下列文件为本合同不可分割部分：</w:t>
      </w:r>
      <w:r/>
    </w:p>
    <w:p>
      <w:pPr>
        <w:ind w:left="0" w:right="0" w:firstLine="42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1.1、中标通知书；</w:t>
      </w:r>
      <w:r/>
    </w:p>
    <w:p>
      <w:pPr>
        <w:ind w:left="0" w:right="0" w:firstLine="42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1.2、采购文件及其补充文件（如有）；</w:t>
      </w:r>
      <w:r/>
    </w:p>
    <w:p>
      <w:pPr>
        <w:ind w:left="0" w:right="0" w:firstLine="42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1.3、乙方中标的投标文件；</w:t>
      </w:r>
      <w:r/>
    </w:p>
    <w:p>
      <w:pPr>
        <w:ind w:left="0" w:right="0" w:firstLine="42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1.4、乙方在招标过程中所作的其他承诺、声明、书面澄清等。</w:t>
      </w:r>
      <w:r/>
    </w:p>
    <w:p>
      <w:pPr>
        <w:ind w:left="0" w:right="0" w:firstLine="422"/>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二、价格与支付：</w:t>
      </w:r>
      <w:r/>
    </w:p>
    <w:p>
      <w:pPr>
        <w:ind w:left="0" w:right="0" w:firstLine="42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1、本项目的报价以人民币报价；</w:t>
      </w:r>
      <w:r/>
    </w:p>
    <w:p>
      <w:pPr>
        <w:ind w:left="0" w:right="0" w:firstLine="42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1.1、合同价格按此次中标价格执行，合同总金额为</w:t>
      </w:r>
      <w:r>
        <w:rPr>
          <w:rFonts w:ascii="SimSun" w:hAnsi="SimSun" w:eastAsia="SimSun" w:cs="SimSun"/>
          <w:color w:val="000000"/>
          <w:sz w:val="24"/>
          <w:u w:val="single"/>
        </w:rPr>
        <w:t xml:space="preserve">                     ，</w:t>
      </w:r>
      <w:r>
        <w:rPr>
          <w:rFonts w:ascii="SimSun" w:hAnsi="SimSun" w:eastAsia="SimSun" w:cs="SimSun"/>
          <w:color w:val="000000"/>
          <w:sz w:val="24"/>
        </w:rPr>
        <w:t xml:space="preserve">合同总价包含软件维护、劳务、制作、设备、安装、调试、维护、保险、利润、税金、报验、人员、交通、食宿、加班、验收、检测合格费、代理服务费等政策性文件规定及合同包含的所有风险、责任等各项应有费用。完成采购文件所确定的技术服务范围和内容所需的全部费用。</w:t>
      </w:r>
      <w:r/>
    </w:p>
    <w:p>
      <w:pPr>
        <w:ind w:left="0" w:right="0" w:firstLine="42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1.2、付款步骤：自合同签订之日起满 6个月后 ，甲方向乙方支付合同总价款的 50%，余款在服务期届满后以审计结果付清。</w:t>
      </w:r>
      <w:r/>
    </w:p>
    <w:p>
      <w:pPr>
        <w:ind w:left="0" w:right="0" w:firstLine="42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1.3、履约保证金：签订合同时，乙方须按中标金额的5%向甲方交纳履约保证金。履约保证金待合同全部履行完毕验收合格后且在乙方向保证金收取部门开具收款收据后5日内由保证金收取部门全额退回（不计息）。</w:t>
      </w:r>
      <w:r/>
    </w:p>
    <w:p>
      <w:pPr>
        <w:ind w:left="0" w:right="0" w:firstLine="42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1.4、乙方要求付款应提供以下资料，否则甲方不承担付款责任：</w:t>
      </w:r>
      <w:r/>
    </w:p>
    <w:p>
      <w:pPr>
        <w:ind w:left="420" w:right="0" w:firstLine="0"/>
        <w:spacing w:before="0" w:after="0" w:line="360" w:lineRule="auto"/>
        <w:tabs>
          <w:tab w:val="left" w:pos="99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（1）符合苏州市吴江区税务部门要求的合法有效的增值税发票。</w:t>
      </w:r>
      <w:r/>
    </w:p>
    <w:p>
      <w:pPr>
        <w:ind w:left="420" w:right="0" w:firstLine="0"/>
        <w:spacing w:before="0" w:after="0" w:line="360" w:lineRule="auto"/>
        <w:tabs>
          <w:tab w:val="left" w:pos="99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（2）由甲乙双方签章的《苏州市吴江区政府采购合同履行验收报告》。</w:t>
      </w:r>
      <w:r/>
    </w:p>
    <w:p>
      <w:pPr>
        <w:ind w:left="0" w:right="0" w:firstLine="42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1.5、付款方式：以转账方式直接转入乙方的账户。</w:t>
      </w:r>
      <w:r/>
    </w:p>
    <w:p>
      <w:pPr>
        <w:ind w:left="0" w:right="0" w:firstLine="422"/>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三、服务期限：</w:t>
      </w:r>
      <w:r>
        <w:rPr>
          <w:rFonts w:ascii="SimSun" w:hAnsi="SimSun" w:eastAsia="SimSun" w:cs="SimSun"/>
          <w:color w:val="000000"/>
          <w:sz w:val="24"/>
          <w:u w:val="single"/>
        </w:rPr>
        <w:t xml:space="preserve">一年，自年月日到年月日 。</w:t>
      </w:r>
      <w:r/>
    </w:p>
    <w:p>
      <w:pPr>
        <w:ind w:left="0" w:right="0" w:firstLine="422"/>
        <w:spacing w:before="0" w:after="0" w:line="360" w:lineRule="auto"/>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四、服务质量要求：</w:t>
      </w:r>
      <w:r/>
    </w:p>
    <w:p>
      <w:pPr>
        <w:ind w:left="0" w:right="0" w:firstLine="420"/>
        <w:spacing w:before="0" w:after="0" w:line="360" w:lineRule="auto"/>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1.1、乙方应按采购文件的有关规定提供合格的服务。</w:t>
      </w:r>
      <w:r/>
    </w:p>
    <w:p>
      <w:pPr>
        <w:ind w:left="0" w:right="0" w:firstLine="420"/>
        <w:spacing w:before="0" w:after="0" w:line="360" w:lineRule="auto"/>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1.2、乙方应保证所提供服务符合国家相关法律法规规定。</w:t>
      </w:r>
      <w:r/>
    </w:p>
    <w:p>
      <w:pPr>
        <w:ind w:left="0" w:right="0" w:firstLine="420"/>
        <w:spacing w:before="0" w:after="0" w:line="360" w:lineRule="auto"/>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1.3、乙方在服务过程中，发生自身及第三方人员人身伤害、伤亡事故，均由乙方负责处理并承担经济和法律上的责任，甲方对此不承担任何责任。</w:t>
      </w:r>
      <w:r/>
    </w:p>
    <w:p>
      <w:pPr>
        <w:ind w:left="0" w:right="0" w:firstLine="420"/>
        <w:spacing w:before="0" w:after="0" w:line="360" w:lineRule="auto"/>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1.4、服务地点：甲方指定地点。</w:t>
      </w:r>
      <w:r/>
    </w:p>
    <w:p>
      <w:pPr>
        <w:ind w:left="0" w:right="0" w:firstLine="420"/>
        <w:spacing w:before="0" w:after="0" w:line="360" w:lineRule="auto"/>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1.5、乙方不得擅自更换项目组人员，如因特殊情况需要更换，应征得甲方的事先书面同意。乙方擅自更换项目负责人，甲方有权解除合同且不承担违约责任。</w:t>
      </w:r>
      <w:r/>
    </w:p>
    <w:p>
      <w:pPr>
        <w:ind w:left="0" w:right="0" w:firstLine="422"/>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五、验收标准：</w:t>
      </w:r>
      <w:r/>
    </w:p>
    <w:p>
      <w:pPr>
        <w:ind w:left="0" w:right="0" w:firstLine="420"/>
        <w:jc w:val="both"/>
        <w:spacing w:before="0" w:after="0" w:line="360" w:lineRule="auto"/>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1.1履约验收标准：根据国家相关法律法规、行业相关标准、政府采购合同要求、采购文件要求、响应文件规定。</w:t>
      </w:r>
      <w:r/>
    </w:p>
    <w:p>
      <w:pPr>
        <w:ind w:left="0" w:right="0" w:firstLine="420"/>
        <w:jc w:val="both"/>
        <w:spacing w:before="0" w:after="0" w:line="360" w:lineRule="auto"/>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1.2履约验收主体：由甲方进行验收。</w:t>
      </w:r>
      <w:r/>
    </w:p>
    <w:p>
      <w:pPr>
        <w:ind w:left="0" w:right="0" w:firstLine="420"/>
        <w:jc w:val="both"/>
        <w:spacing w:before="0" w:after="0" w:line="360" w:lineRule="auto"/>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履约验收方式：乙方应当按照政府采购合同的约定，配合甲方做好项目验收，提供与验收相关的生产、技术、服务、数量、质量、安全等资料，根据实际需要做好技术说明等工作，并对所提供资料和材料的真实性负责。验收结束后，出具验收书，列明各分项标准的验收情况及项目总体评价，由验收双方共同签署。</w:t>
      </w:r>
      <w:r/>
    </w:p>
    <w:p>
      <w:pPr>
        <w:ind w:left="0" w:right="0" w:firstLine="420"/>
        <w:jc w:val="both"/>
        <w:spacing w:before="0" w:after="0" w:line="360" w:lineRule="auto"/>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1.4验收程序：</w:t>
      </w:r>
      <w:r/>
    </w:p>
    <w:p>
      <w:pPr>
        <w:ind w:left="0" w:right="0" w:firstLine="420"/>
        <w:jc w:val="both"/>
        <w:spacing w:before="0" w:after="0" w:line="360" w:lineRule="auto"/>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1.4.1履约验收时间：甲方对乙方提供的服务进行考核。</w:t>
      </w:r>
      <w:r/>
    </w:p>
    <w:p>
      <w:pPr>
        <w:ind w:left="0" w:right="0" w:firstLine="420"/>
        <w:spacing w:before="0" w:after="0" w:line="360" w:lineRule="auto"/>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1.4.2政府采购合同约定的履约验收条件达到时，甲方应当在5个工作日内启动履约验收工作，并向乙方发出《政府采购履约验收通知单》。 在政府采购合同约定的履行验收条件达到时，乙方可以主动联系甲方启动履约验收工作。</w:t>
      </w:r>
      <w:r/>
    </w:p>
    <w:p>
      <w:pPr>
        <w:ind w:left="0" w:right="0" w:firstLine="420"/>
        <w:jc w:val="both"/>
        <w:spacing w:before="0" w:after="0" w:line="360" w:lineRule="auto"/>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1.4.3甲方成立验收小组，负责采购项目履约验收具体工作。</w:t>
      </w:r>
      <w:r/>
    </w:p>
    <w:p>
      <w:pPr>
        <w:ind w:left="0" w:right="0" w:firstLine="420"/>
        <w:jc w:val="both"/>
        <w:spacing w:before="0" w:after="0" w:line="360" w:lineRule="auto"/>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1.4.4验收小组应当按照验收工作实施方案开展验收，对乙方提供的服务按照采购文件、响应文件、政府采购合同等进行逐一核对、验收，并做好验收记录。 </w:t>
      </w:r>
      <w:r/>
    </w:p>
    <w:p>
      <w:pPr>
        <w:ind w:left="0" w:right="0" w:firstLine="420"/>
        <w:jc w:val="both"/>
        <w:spacing w:before="0" w:after="0" w:line="360" w:lineRule="auto"/>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1.4.5履约验收工作结束后，验收小组应形成书面验收意见，列明各项标准的验收情况及项目总体评价。验收小组所有成员应当在书面验收意见上签字并报送甲方。验收小组成员意见不一致时，按照少数服从多数的原则作出验收意见，并将不一致意见如实记录。</w:t>
      </w:r>
      <w:r/>
    </w:p>
    <w:p>
      <w:pPr>
        <w:ind w:left="0" w:right="0" w:firstLine="420"/>
        <w:spacing w:before="0" w:after="0" w:line="360" w:lineRule="auto"/>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经双方共同验收，项目履约验收合格的，甲方根据政府采购合同约定及时向乙方支付采购资金、退还履约保证金（如有），不得拖延、拖欠或非法扣留；项目验收不合格的，甲方应当停止支付采购资金，并按照政府采购合同约定追究乙方违约责任。</w:t>
      </w:r>
      <w:r/>
    </w:p>
    <w:p>
      <w:pPr>
        <w:ind w:left="0" w:right="0" w:firstLine="420"/>
        <w:spacing w:before="0" w:after="0" w:line="360" w:lineRule="auto"/>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1.6其他验收要求按照《江苏省政府采购履约验收管理办法》规定执行。</w:t>
      </w:r>
      <w:r/>
    </w:p>
    <w:p>
      <w:pPr>
        <w:ind w:left="0" w:right="0" w:firstLine="422"/>
        <w:spacing w:before="0" w:after="0" w:line="360" w:lineRule="auto"/>
        <w:tabs>
          <w:tab w:val="left" w:pos="540" w:leader="none"/>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六、违约责任</w:t>
      </w:r>
      <w:r/>
    </w:p>
    <w:p>
      <w:pPr>
        <w:ind w:left="0" w:right="0" w:firstLine="420"/>
        <w:spacing w:before="0" w:after="0" w:line="360" w:lineRule="auto"/>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甲方违约责任及违约金支付：</w:t>
      </w:r>
      <w:r/>
    </w:p>
    <w:p>
      <w:pPr>
        <w:ind w:left="0" w:right="0" w:firstLine="420"/>
        <w:spacing w:before="0" w:after="0" w:line="360" w:lineRule="auto"/>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（1）在合同生效后，甲方无理由要求终止服务的，应向乙方偿付合同总价款的5%作为违约金，违约金不足以补偿损失的，乙方有权要求甲方补足。</w:t>
      </w:r>
      <w:r/>
    </w:p>
    <w:p>
      <w:pPr>
        <w:ind w:left="0" w:right="0" w:firstLine="420"/>
        <w:spacing w:before="0" w:after="0" w:line="360" w:lineRule="auto"/>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2、乙方违约责任及违约金支付：</w:t>
      </w:r>
      <w:r/>
    </w:p>
    <w:p>
      <w:pPr>
        <w:ind w:left="0" w:right="0" w:firstLine="420"/>
        <w:spacing w:before="0" w:after="0" w:line="360" w:lineRule="auto"/>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（2）乙方不能提供服务的，或服务不合格从而影响甲方按期正常使用的，应向甲方偿付合同总价款5%的违约金，违约金不足以补偿损失的甲方有权要求乙方补足。</w:t>
      </w:r>
      <w:r>
        <w:rPr>
          <w:sz w:val="21"/>
        </w:rPr>
      </w:r>
      <w:r/>
    </w:p>
    <w:p>
      <w:pPr>
        <w:ind w:left="0" w:right="0" w:firstLine="422"/>
        <w:spacing w:before="0" w:after="0" w:line="360" w:lineRule="auto"/>
        <w:tabs>
          <w:tab w:val="left" w:pos="567" w:leader="none"/>
        </w:tabs>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七、不可抗力</w:t>
      </w:r>
      <w:r/>
    </w:p>
    <w:p>
      <w:pPr>
        <w:ind w:left="0" w:right="0" w:firstLine="420"/>
        <w:spacing w:before="0" w:after="0" w:line="360" w:lineRule="auto"/>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1、因不可抗力不能履行合同的，根据不可抗力的影响，部分或者全部免除责任。但合同一方延迟履行后发生不可抗力的，不能免除责任。</w:t>
      </w:r>
      <w:r/>
    </w:p>
    <w:p>
      <w:pPr>
        <w:ind w:left="0" w:right="0" w:firstLine="420"/>
        <w:spacing w:before="0" w:after="0" w:line="360" w:lineRule="auto"/>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2、合同一方因不可抗力不能履行合同的，应当及时通知对方，采取合理措施以减轻可能给对方造成的损失，并应当在合理期限内提供证明。</w:t>
      </w:r>
      <w:r/>
    </w:p>
    <w:p>
      <w:pPr>
        <w:ind w:left="0" w:right="0" w:firstLine="422"/>
        <w:spacing w:before="0" w:after="0" w:line="360" w:lineRule="auto"/>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八、合同修改</w:t>
      </w:r>
      <w:r/>
    </w:p>
    <w:p>
      <w:pPr>
        <w:ind w:left="0" w:right="0" w:firstLine="420"/>
        <w:spacing w:before="0" w:after="0" w:line="360" w:lineRule="auto"/>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1、甲方和乙方都不得擅自变更本合同，但合同继续履行将损害国家和社会公共利益的除外。</w:t>
      </w:r>
      <w:r/>
    </w:p>
    <w:p>
      <w:pPr>
        <w:ind w:left="0" w:right="0" w:firstLine="422"/>
        <w:spacing w:before="0" w:after="0" w:line="360" w:lineRule="auto"/>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九、转让和分包</w:t>
      </w:r>
      <w:r/>
    </w:p>
    <w:p>
      <w:pPr>
        <w:ind w:left="0" w:right="0" w:firstLine="420"/>
        <w:spacing w:before="0" w:after="0" w:line="360" w:lineRule="auto"/>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2、政府采购合同的部分和全部都不得转让或分包。</w:t>
      </w:r>
      <w:r/>
    </w:p>
    <w:p>
      <w:pPr>
        <w:ind w:left="0" w:right="0" w:firstLine="422"/>
        <w:spacing w:before="0" w:after="0" w:line="360" w:lineRule="auto"/>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十、合同的解除</w:t>
      </w:r>
      <w:r/>
    </w:p>
    <w:p>
      <w:pPr>
        <w:ind w:left="0" w:right="0" w:firstLine="420"/>
        <w:spacing w:before="0" w:after="0" w:line="360" w:lineRule="auto"/>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1、有下列情形之一，合同一方可以解除合同：</w:t>
      </w:r>
      <w:r/>
    </w:p>
    <w:p>
      <w:pPr>
        <w:numPr>
          <w:ilvl w:val="0"/>
          <w:numId w:val="28"/>
        </w:numPr>
        <w:spacing w:before="0" w:after="0" w:line="360" w:lineRule="auto"/>
        <w:tabs>
          <w:tab w:val="left" w:pos="1080" w:leader="none"/>
          <w:tab w:val="left" w:pos="257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因不可抗力致使不能实现合同目的，未受不可抗力影响的一方有权解除合同；</w:t>
      </w:r>
      <w:r/>
    </w:p>
    <w:p>
      <w:pPr>
        <w:numPr>
          <w:ilvl w:val="0"/>
          <w:numId w:val="28"/>
        </w:numPr>
        <w:spacing w:before="0" w:after="0" w:line="360" w:lineRule="auto"/>
        <w:tabs>
          <w:tab w:val="left" w:pos="1080" w:leader="none"/>
          <w:tab w:val="left" w:pos="257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因合同一方违约导致合同不能履行，另一方有权解除合同。</w:t>
      </w:r>
      <w:r/>
    </w:p>
    <w:p>
      <w:pPr>
        <w:ind w:left="0" w:right="0" w:firstLine="420"/>
        <w:spacing w:before="0" w:after="0" w:line="360" w:lineRule="auto"/>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2、有权解除合同的一方，应当在违约事实或不可抗力发生之后三十天内书面通知对方以主张解除合同，合同在书面通知到达对方时解除。</w:t>
      </w:r>
      <w:r/>
    </w:p>
    <w:p>
      <w:pPr>
        <w:ind w:left="0" w:right="0" w:firstLine="422"/>
        <w:spacing w:before="0" w:after="0" w:line="360" w:lineRule="auto"/>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十一、争议解决办法</w:t>
      </w:r>
      <w:r/>
    </w:p>
    <w:p>
      <w:pPr>
        <w:ind w:left="0" w:right="0" w:firstLine="42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因本合同或与本合同有关的一切事项发生争议，由双方友好协商解决。协商不成的，任何一方均可向甲方所在地的人民法院起诉。</w:t>
      </w:r>
      <w:r/>
    </w:p>
    <w:p>
      <w:pPr>
        <w:ind w:left="0" w:right="0" w:firstLine="422"/>
        <w:spacing w:before="0" w:after="0" w:line="360" w:lineRule="auto"/>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十二、合同生效及其他</w:t>
      </w:r>
      <w:r/>
    </w:p>
    <w:p>
      <w:pPr>
        <w:ind w:left="0" w:right="0" w:firstLine="420"/>
        <w:spacing w:before="0" w:after="0" w:line="360" w:lineRule="auto"/>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1、合同经招标代理机构加盖骑缝章，甲乙双方代表签字（或盖章）并加盖公章（或合同章）后生效，生效合同甲方在合同签订后2个工作日内上传系统网上公示。</w:t>
      </w:r>
      <w:r/>
    </w:p>
    <w:p>
      <w:pPr>
        <w:ind w:left="0" w:right="0" w:firstLine="422"/>
        <w:spacing w:before="0" w:after="0" w:line="360" w:lineRule="auto"/>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十三、未尽事宜</w:t>
      </w:r>
      <w:r/>
    </w:p>
    <w:p>
      <w:pPr>
        <w:ind w:left="0" w:right="0" w:firstLine="420"/>
        <w:spacing w:before="0" w:after="0" w:line="360" w:lineRule="auto"/>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应参照《中华人民共和国民法典》、《中华人民共和国政府采购法》等相关法律法规之规定解释。</w:t>
      </w:r>
      <w:r/>
    </w:p>
    <w:p>
      <w:pPr>
        <w:ind w:left="0" w:right="0" w:firstLine="422"/>
        <w:spacing w:before="0" w:after="0" w:line="360" w:lineRule="auto"/>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十四、附则</w:t>
      </w:r>
      <w:r/>
    </w:p>
    <w:p>
      <w:pPr>
        <w:ind w:left="0" w:right="0" w:firstLine="42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本合同一式五份，甲、乙方各执贰份，采购代理机构一份。</w:t>
      </w:r>
      <w:r/>
    </w:p>
    <w:p>
      <w:pPr>
        <w:ind w:left="0" w:right="0" w:firstLine="422"/>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（以下无正文）</w:t>
      </w:r>
      <w:r/>
    </w:p>
    <w:p>
      <w:pPr>
        <w:ind w:left="0" w:right="0" w:firstLine="0"/>
        <w:spacing w:before="240" w:after="24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br w:type="page" w:clear="all"/>
      </w:r>
      <w:r>
        <w:rPr>
          <w:sz w:val="21"/>
        </w:rPr>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附件一：《考核细则》</w:t>
      </w:r>
      <w:r/>
    </w:p>
    <w:p>
      <w:pPr>
        <w:ind w:left="0" w:right="0" w:firstLine="42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考核方式：每月五号（节假日顺延至工作日第一天）前提供上月维保记录表和监控点每日在线率表格（在线率须达到98%以上），月度考核打分表由吴江区公安局七都派出所打分并签字确认交甲方，最终成绩由甲方进行评定。</w:t>
      </w:r>
      <w:r/>
    </w:p>
    <w:tbl>
      <w:tblPr>
        <w:tblStyle w:val="75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57"/>
        <w:gridCol w:w="1744"/>
        <w:gridCol w:w="5938"/>
        <w:gridCol w:w="1015"/>
      </w:tblGrid>
      <w:tr>
        <w:trPr>
          <w:trHeight w:val="567"/>
        </w:trPr>
        <w:tc>
          <w:tcPr>
            <w:gridSpan w:val="4"/>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54"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七都镇“村村通”视频监控维保项目考核打分表</w:t>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44"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38"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考核分</w:t>
            </w:r>
            <w:r/>
          </w:p>
        </w:tc>
      </w:tr>
      <w:tr>
        <w:trPr>
          <w:trHeight w:val="77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7" w:type="dxa"/>
            <w:vAlign w:val="center"/>
            <w:vMerge w:val="restart"/>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基础管理（27分）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44" w:type="dxa"/>
            <w:vAlign w:val="center"/>
            <w:vMerge w:val="restart"/>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工作计划管理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38"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月度工作计划制定合理性：计划要贴合实际维保需求，任务安排要均衡。不符合扣3分。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3分</w:t>
            </w:r>
            <w:r/>
          </w:p>
        </w:tc>
      </w:tr>
      <w:tr>
        <w:trPr>
          <w:trHeight w:val="709"/>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38"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计划执行进度把控：实际执行要按计划推进，不得延误处理措施。不符合扣3分。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3分</w:t>
            </w:r>
            <w:r/>
          </w:p>
        </w:tc>
      </w:tr>
      <w:tr>
        <w:trPr>
          <w:trHeight w:val="794"/>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38"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计划调整的规范性：计划变更要有合理依据及规范程。不符合扣3分。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3分</w:t>
            </w:r>
            <w:r/>
          </w:p>
        </w:tc>
      </w:tr>
      <w:tr>
        <w:trPr>
          <w:trHeight w:val="809"/>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44" w:type="dxa"/>
            <w:vAlign w:val="center"/>
            <w:vMerge w:val="restart"/>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故障维修、巡检、保养记录</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38"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记录完整性：故障报修、维修过程、巡检轨迹、保养项目等记录要完整无遗漏。不符合扣3分。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3分</w:t>
            </w:r>
            <w:r/>
          </w:p>
        </w:tc>
      </w:tr>
      <w:tr>
        <w:trPr>
          <w:trHeight w:val="709"/>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38"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记录准确性：记录的数据、时间、处理措施等信息要准确无误。不符合扣3分。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3分</w:t>
            </w:r>
            <w:r/>
          </w:p>
        </w:tc>
      </w:tr>
      <w:tr>
        <w:trPr>
          <w:trHeight w:val="744"/>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38"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记录规范性：记录格式、存档方式要符合统一规范。不符合扣3分。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3分</w:t>
            </w:r>
            <w:r/>
          </w:p>
        </w:tc>
      </w:tr>
      <w:tr>
        <w:trPr>
          <w:trHeight w:val="744"/>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44" w:type="dxa"/>
            <w:vAlign w:val="center"/>
            <w:vMerge w:val="restart"/>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月、季、年的维护报表</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38"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报表及时性：要按规定时间节点报送各类报表。不符合扣3分。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3分</w:t>
            </w:r>
            <w:r/>
          </w:p>
        </w:tc>
      </w:tr>
      <w:tr>
        <w:trPr>
          <w:trHeight w:val="664"/>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38"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报表准确性：报表数据统计要精准，分析要合理。不符合扣3分。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3分</w:t>
            </w:r>
            <w:r/>
          </w:p>
        </w:tc>
      </w:tr>
      <w:tr>
        <w:trPr>
          <w:trHeight w:val="759"/>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38"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报表完整性：报表内容要涵盖所有必要信息，无缺项。不符合扣3分。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3分</w:t>
            </w:r>
            <w:r/>
          </w:p>
        </w:tc>
      </w:tr>
      <w:tr>
        <w:trPr>
          <w:trHeight w:val="99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7" w:type="dxa"/>
            <w:vAlign w:val="center"/>
            <w:vMerge w:val="restart"/>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质量管理（73分）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44" w:type="dxa"/>
            <w:vAlign w:val="center"/>
            <w:vMerge w:val="restart"/>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日常维护</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38"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设备清洁维护：对影响设备运行的积尘、污渍等及时清理。对因上述情况导致设备不能正常使用，每出现一次扣1分，累计最高扣5分。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5分</w:t>
            </w:r>
            <w:r/>
          </w:p>
        </w:tc>
      </w:tr>
      <w:tr>
        <w:trPr>
          <w:trHeight w:val="9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5938"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线路整理维护：监控线路要有序规整，不得出现乱搭等情况，对破损等情况要在规定时间内进行维护。不符合上述要求，每出现一次扣1分，累计最高扣5分。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5分</w:t>
            </w:r>
            <w:r/>
          </w:p>
        </w:tc>
      </w:tr>
      <w:tr>
        <w:trPr>
          <w:trHeight w:val="704"/>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44" w:type="dxa"/>
            <w:vAlign w:val="center"/>
            <w:vMerge w:val="restart"/>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定期巡检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38"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巡检周期达标率：要按照计划开展巡检工作，实际巡检次数与计划次数不符合的，每缺少一次扣1分，累计最高扣5分。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5分</w:t>
            </w:r>
            <w:r/>
          </w:p>
        </w:tc>
      </w:tr>
      <w:tr>
        <w:trPr>
          <w:trHeight w:val="689"/>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38"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维保措施有效性：维修过的设备再次发生故障，每出现一次扣1分，累计最高扣5分。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5分</w:t>
            </w:r>
            <w:r/>
          </w:p>
        </w:tc>
      </w:tr>
      <w:tr>
        <w:trPr>
          <w:trHeight w:val="714"/>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38"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修复反馈：修复完成后要在24小时内向相关部门或人员反馈情况。违反一次扣1分，累计最高扣3分。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3分</w:t>
            </w:r>
            <w:r/>
          </w:p>
        </w:tc>
      </w:tr>
      <w:tr>
        <w:trPr>
          <w:trHeight w:val="1308"/>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44" w:type="dxa"/>
            <w:vAlign w:val="center"/>
            <w:vMerge w:val="restart"/>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故障响应处理速度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38"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响应及时性：从接到故障报修到响应处理的时间间隔，要在规定时间内响应（成交单位应在2小时内予以响应）。响应处理时间在2小时以内不扣分，在2小时至4小时内扣8分，在4小时以上扣15分。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15分</w:t>
            </w:r>
            <w:r/>
          </w:p>
        </w:tc>
      </w:tr>
      <w:tr>
        <w:trPr>
          <w:trHeight w:val="864"/>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5938"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响应流程规范性：响应过程中是否遵循标准流程，有无推诿、拖延等情况。出现上述情况扣5分。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5分</w:t>
            </w:r>
            <w:r/>
          </w:p>
        </w:tc>
      </w:tr>
      <w:tr>
        <w:trPr>
          <w:trHeight w:val="1343"/>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44" w:type="dxa"/>
            <w:vAlign w:val="center"/>
            <w:vMerge w:val="restart"/>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软、硬件系统完好率</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38"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硬件完好率：监控摄像头、存储设备、传输设备等硬件正常运行数量占总硬件数量的比例。硬件完好率在98%以上，不扣分；在90%以下，扣15分；在90%-95%，扣10分；在95%-98%，扣5分。注：不含本数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15分</w:t>
            </w:r>
            <w:r/>
          </w:p>
        </w:tc>
      </w:tr>
      <w:tr>
        <w:trPr>
          <w:trHeight w:val="1398"/>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38"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软件完好率：监控系统软件功能正常情况，如画面显示、数据存储、检索等功能是否正常。硬件完好率在98%以上，不扣分；在90%以下，扣15分；在90%-95%，扣10分；在95%-98%，扣5分。注：不含本数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15分</w:t>
            </w:r>
            <w:r/>
          </w:p>
        </w:tc>
      </w:tr>
    </w:tbl>
    <w:p>
      <w:pPr>
        <w:ind w:left="0" w:right="0" w:firstLine="42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bl>
      <w:tblPr>
        <w:tblStyle w:val="75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54"/>
      </w:tblGrid>
      <w:tr>
        <w:trPr>
          <w:trHeight w:val="567"/>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354" w:type="dxa"/>
            <w:vAlign w:val="center"/>
            <w:textDirection w:val="lrTb"/>
            <w:noWrap/>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（1）每月考评结果≥90分，实际付款金额=应付金额*100%。</w:t>
            </w:r>
            <w:r/>
          </w:p>
        </w:tc>
      </w:tr>
      <w:tr>
        <w:trPr>
          <w:trHeight w:val="567"/>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354" w:type="dxa"/>
            <w:vAlign w:val="center"/>
            <w:textDirection w:val="lrTb"/>
            <w:noWrap/>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（2）90分＞每月考评结果≥80分，实际付款金额=应付金额*90%。</w:t>
            </w:r>
            <w:r/>
          </w:p>
        </w:tc>
      </w:tr>
      <w:tr>
        <w:trPr>
          <w:trHeight w:val="567"/>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354" w:type="dxa"/>
            <w:vAlign w:val="center"/>
            <w:textDirection w:val="lrTb"/>
            <w:noWrap/>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（3）80分＞每月考评结果≥70分，实际付款金额=应付金额*70%。</w:t>
            </w:r>
            <w:r/>
          </w:p>
        </w:tc>
      </w:tr>
      <w:tr>
        <w:trPr>
          <w:trHeight w:val="567"/>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354" w:type="dxa"/>
            <w:vAlign w:val="center"/>
            <w:textDirection w:val="lrTb"/>
            <w:noWrap/>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（4）70分＞每月考评结果≥60分，实际付款金额=应付金额*50%。</w:t>
            </w:r>
            <w:r/>
          </w:p>
        </w:tc>
      </w:tr>
      <w:tr>
        <w:trPr>
          <w:trHeight w:val="567"/>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354" w:type="dxa"/>
            <w:vAlign w:val="center"/>
            <w:textDirection w:val="lrTb"/>
            <w:noWrap/>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（5）每月考评结果＜60分，甲方有权拒绝支付当月费用。</w:t>
            </w:r>
            <w:r/>
          </w:p>
        </w:tc>
      </w:tr>
      <w:tr>
        <w:trPr>
          <w:trHeight w:val="567"/>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354" w:type="dxa"/>
            <w:vAlign w:val="center"/>
            <w:textDirection w:val="lrTb"/>
            <w:noWrap/>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（6）全年累计三次以上月考核＜60分，甲方有权解除合同。</w:t>
            </w:r>
            <w:r/>
          </w:p>
        </w:tc>
      </w:tr>
    </w:tbl>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bl>
      <w:tblPr>
        <w:tblStyle w:val="75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86"/>
        <w:gridCol w:w="786"/>
        <w:gridCol w:w="1324"/>
        <w:gridCol w:w="1592"/>
        <w:gridCol w:w="1324"/>
        <w:gridCol w:w="1324"/>
        <w:gridCol w:w="1324"/>
        <w:gridCol w:w="892"/>
      </w:tblGrid>
      <w:tr>
        <w:trPr>
          <w:trHeight w:val="567"/>
        </w:trPr>
        <w:tc>
          <w:tcPr>
            <w:gridSpan w:val="8"/>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354"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七都镇“村村通”视频监控维保项目维护记录表</w:t>
            </w:r>
            <w:r/>
          </w:p>
        </w:tc>
      </w:tr>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6"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86"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24"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所属单位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92"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监控点名称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24"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起始时间</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24"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完成时间</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24"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处理结果</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92"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6"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6" w:type="dxa"/>
            <w:vAlign w:val="center"/>
            <w:textDirection w:val="lrTb"/>
            <w:noWrap/>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4" w:type="dxa"/>
            <w:vAlign w:val="center"/>
            <w:textDirection w:val="lrTb"/>
            <w:noWrap/>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2" w:type="dxa"/>
            <w:vAlign w:val="center"/>
            <w:textDirection w:val="lrTb"/>
            <w:noWrap/>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4" w:type="dxa"/>
            <w:vAlign w:val="center"/>
            <w:textDirection w:val="lrTb"/>
            <w:noWrap/>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4" w:type="dxa"/>
            <w:vAlign w:val="center"/>
            <w:textDirection w:val="lrTb"/>
            <w:noWrap/>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4" w:type="dxa"/>
            <w:vAlign w:val="center"/>
            <w:textDirection w:val="lrTb"/>
            <w:noWrap/>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2" w:type="dxa"/>
            <w:vAlign w:val="center"/>
            <w:textDirection w:val="lrTb"/>
            <w:noWrap/>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6"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6" w:type="dxa"/>
            <w:vAlign w:val="center"/>
            <w:textDirection w:val="lrTb"/>
            <w:noWrap/>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4" w:type="dxa"/>
            <w:vAlign w:val="center"/>
            <w:textDirection w:val="lrTb"/>
            <w:noWrap/>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2" w:type="dxa"/>
            <w:vAlign w:val="center"/>
            <w:textDirection w:val="lrTb"/>
            <w:noWrap/>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4" w:type="dxa"/>
            <w:vAlign w:val="center"/>
            <w:textDirection w:val="lrTb"/>
            <w:noWrap/>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4" w:type="dxa"/>
            <w:vAlign w:val="center"/>
            <w:textDirection w:val="lrTb"/>
            <w:noWrap/>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4" w:type="dxa"/>
            <w:vAlign w:val="center"/>
            <w:textDirection w:val="lrTb"/>
            <w:noWrap/>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2" w:type="dxa"/>
            <w:vAlign w:val="center"/>
            <w:textDirection w:val="lrTb"/>
            <w:noWrap/>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6"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6" w:type="dxa"/>
            <w:vAlign w:val="center"/>
            <w:textDirection w:val="lrTb"/>
            <w:noWrap/>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4" w:type="dxa"/>
            <w:vAlign w:val="center"/>
            <w:textDirection w:val="lrTb"/>
            <w:noWrap/>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2" w:type="dxa"/>
            <w:vAlign w:val="center"/>
            <w:textDirection w:val="lrTb"/>
            <w:noWrap/>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4" w:type="dxa"/>
            <w:vAlign w:val="center"/>
            <w:textDirection w:val="lrTb"/>
            <w:noWrap/>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4" w:type="dxa"/>
            <w:vAlign w:val="center"/>
            <w:textDirection w:val="lrTb"/>
            <w:noWrap/>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4" w:type="dxa"/>
            <w:vAlign w:val="center"/>
            <w:textDirection w:val="lrTb"/>
            <w:noWrap/>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2" w:type="dxa"/>
            <w:vAlign w:val="center"/>
            <w:textDirection w:val="lrTb"/>
            <w:noWrap/>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6"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6" w:type="dxa"/>
            <w:vAlign w:val="center"/>
            <w:textDirection w:val="lrTb"/>
            <w:noWrap/>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4" w:type="dxa"/>
            <w:vAlign w:val="center"/>
            <w:textDirection w:val="lrTb"/>
            <w:noWrap/>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2" w:type="dxa"/>
            <w:vAlign w:val="center"/>
            <w:textDirection w:val="lrTb"/>
            <w:noWrap/>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4" w:type="dxa"/>
            <w:vAlign w:val="center"/>
            <w:textDirection w:val="lrTb"/>
            <w:noWrap/>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4" w:type="dxa"/>
            <w:vAlign w:val="center"/>
            <w:textDirection w:val="lrTb"/>
            <w:noWrap/>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4" w:type="dxa"/>
            <w:vAlign w:val="center"/>
            <w:textDirection w:val="lrTb"/>
            <w:noWrap/>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2" w:type="dxa"/>
            <w:vAlign w:val="center"/>
            <w:textDirection w:val="lrTb"/>
            <w:noWrap/>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6"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6" w:type="dxa"/>
            <w:vAlign w:val="center"/>
            <w:textDirection w:val="lrTb"/>
            <w:noWrap/>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4" w:type="dxa"/>
            <w:vAlign w:val="center"/>
            <w:textDirection w:val="lrTb"/>
            <w:noWrap/>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2" w:type="dxa"/>
            <w:vAlign w:val="center"/>
            <w:textDirection w:val="lrTb"/>
            <w:noWrap/>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4" w:type="dxa"/>
            <w:vAlign w:val="center"/>
            <w:textDirection w:val="lrTb"/>
            <w:noWrap/>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4" w:type="dxa"/>
            <w:vAlign w:val="center"/>
            <w:textDirection w:val="lrTb"/>
            <w:noWrap/>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4" w:type="dxa"/>
            <w:vAlign w:val="center"/>
            <w:textDirection w:val="lrTb"/>
            <w:noWrap/>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2" w:type="dxa"/>
            <w:vAlign w:val="center"/>
            <w:textDirection w:val="lrTb"/>
            <w:noWrap/>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6"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6" w:type="dxa"/>
            <w:vAlign w:val="center"/>
            <w:textDirection w:val="lrTb"/>
            <w:noWrap/>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4" w:type="dxa"/>
            <w:vAlign w:val="center"/>
            <w:textDirection w:val="lrTb"/>
            <w:noWrap/>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2" w:type="dxa"/>
            <w:vAlign w:val="center"/>
            <w:textDirection w:val="lrTb"/>
            <w:noWrap/>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4" w:type="dxa"/>
            <w:vAlign w:val="center"/>
            <w:textDirection w:val="lrTb"/>
            <w:noWrap/>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4" w:type="dxa"/>
            <w:vAlign w:val="center"/>
            <w:textDirection w:val="lrTb"/>
            <w:noWrap/>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4" w:type="dxa"/>
            <w:vAlign w:val="center"/>
            <w:textDirection w:val="lrTb"/>
            <w:noWrap/>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2" w:type="dxa"/>
            <w:vAlign w:val="center"/>
            <w:textDirection w:val="lrTb"/>
            <w:noWrap/>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6"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6" w:type="dxa"/>
            <w:vAlign w:val="center"/>
            <w:textDirection w:val="lrTb"/>
            <w:noWrap/>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4" w:type="dxa"/>
            <w:vAlign w:val="center"/>
            <w:textDirection w:val="lrTb"/>
            <w:noWrap/>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2" w:type="dxa"/>
            <w:vAlign w:val="center"/>
            <w:textDirection w:val="lrTb"/>
            <w:noWrap/>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4" w:type="dxa"/>
            <w:vAlign w:val="center"/>
            <w:textDirection w:val="lrTb"/>
            <w:noWrap/>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4" w:type="dxa"/>
            <w:vAlign w:val="center"/>
            <w:textDirection w:val="lrTb"/>
            <w:noWrap/>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4" w:type="dxa"/>
            <w:vAlign w:val="center"/>
            <w:textDirection w:val="lrTb"/>
            <w:noWrap/>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2" w:type="dxa"/>
            <w:vAlign w:val="center"/>
            <w:textDirection w:val="lrTb"/>
            <w:noWrap/>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6"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6" w:type="dxa"/>
            <w:vAlign w:val="center"/>
            <w:textDirection w:val="lrTb"/>
            <w:noWrap/>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4" w:type="dxa"/>
            <w:vAlign w:val="center"/>
            <w:textDirection w:val="lrTb"/>
            <w:noWrap/>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2" w:type="dxa"/>
            <w:vAlign w:val="center"/>
            <w:textDirection w:val="lrTb"/>
            <w:noWrap/>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4" w:type="dxa"/>
            <w:vAlign w:val="center"/>
            <w:textDirection w:val="lrTb"/>
            <w:noWrap/>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4" w:type="dxa"/>
            <w:vAlign w:val="center"/>
            <w:textDirection w:val="lrTb"/>
            <w:noWrap/>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4" w:type="dxa"/>
            <w:vAlign w:val="center"/>
            <w:textDirection w:val="lrTb"/>
            <w:noWrap/>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2" w:type="dxa"/>
            <w:vAlign w:val="center"/>
            <w:textDirection w:val="lrTb"/>
            <w:noWrap/>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6"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6" w:type="dxa"/>
            <w:vAlign w:val="center"/>
            <w:textDirection w:val="lrTb"/>
            <w:noWrap/>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4" w:type="dxa"/>
            <w:vAlign w:val="center"/>
            <w:textDirection w:val="lrTb"/>
            <w:noWrap/>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2" w:type="dxa"/>
            <w:vAlign w:val="center"/>
            <w:textDirection w:val="lrTb"/>
            <w:noWrap/>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4" w:type="dxa"/>
            <w:vAlign w:val="center"/>
            <w:textDirection w:val="lrTb"/>
            <w:noWrap/>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4" w:type="dxa"/>
            <w:vAlign w:val="center"/>
            <w:textDirection w:val="lrTb"/>
            <w:noWrap/>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4" w:type="dxa"/>
            <w:vAlign w:val="center"/>
            <w:textDirection w:val="lrTb"/>
            <w:noWrap/>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2" w:type="dxa"/>
            <w:vAlign w:val="center"/>
            <w:textDirection w:val="lrTb"/>
            <w:noWrap/>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360" w:lineRule="auto"/>
        <w:tabs>
          <w:tab w:val="left" w:pos="4201" w:leader="none"/>
          <w:tab w:val="left" w:pos="929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bl>
      <w:tblPr>
        <w:tblStyle w:val="75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05"/>
        <w:gridCol w:w="1116"/>
        <w:gridCol w:w="1354"/>
        <w:gridCol w:w="1901"/>
        <w:gridCol w:w="1901"/>
        <w:gridCol w:w="1354"/>
        <w:gridCol w:w="923"/>
      </w:tblGrid>
      <w:tr>
        <w:trPr>
          <w:trHeight w:val="567"/>
        </w:trPr>
        <w:tc>
          <w:tcPr>
            <w:gridSpan w:val="7"/>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354"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七都镇“村村通”视频监控维保项目摄像机更换记录</w:t>
            </w:r>
            <w:r/>
          </w:p>
        </w:tc>
      </w:tr>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05"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16"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监控IP</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54"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监控名称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01"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原摄像机型号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01"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新摄像机型号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54"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更换日期</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23"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5"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6" w:type="dxa"/>
            <w:vAlign w:val="center"/>
            <w:textDirection w:val="lrTb"/>
            <w:noWrap/>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4" w:type="dxa"/>
            <w:vAlign w:val="center"/>
            <w:textDirection w:val="lrTb"/>
            <w:noWrap/>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01" w:type="dxa"/>
            <w:vAlign w:val="center"/>
            <w:textDirection w:val="lrTb"/>
            <w:noWrap/>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01" w:type="dxa"/>
            <w:vAlign w:val="center"/>
            <w:textDirection w:val="lrTb"/>
            <w:noWrap/>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4" w:type="dxa"/>
            <w:vAlign w:val="center"/>
            <w:textDirection w:val="lrTb"/>
            <w:noWrap/>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 w:type="dxa"/>
            <w:vAlign w:val="center"/>
            <w:textDirection w:val="lrTb"/>
            <w:noWrap/>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5"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6" w:type="dxa"/>
            <w:vAlign w:val="center"/>
            <w:textDirection w:val="lrTb"/>
            <w:noWrap/>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4" w:type="dxa"/>
            <w:vAlign w:val="center"/>
            <w:textDirection w:val="lrTb"/>
            <w:noWrap/>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01" w:type="dxa"/>
            <w:vAlign w:val="center"/>
            <w:textDirection w:val="lrTb"/>
            <w:noWrap/>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01" w:type="dxa"/>
            <w:vAlign w:val="center"/>
            <w:textDirection w:val="lrTb"/>
            <w:noWrap/>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4" w:type="dxa"/>
            <w:vAlign w:val="center"/>
            <w:textDirection w:val="lrTb"/>
            <w:noWrap/>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 w:type="dxa"/>
            <w:vAlign w:val="center"/>
            <w:textDirection w:val="lrTb"/>
            <w:noWrap/>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5"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6" w:type="dxa"/>
            <w:vAlign w:val="center"/>
            <w:textDirection w:val="lrTb"/>
            <w:noWrap/>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4" w:type="dxa"/>
            <w:vAlign w:val="center"/>
            <w:textDirection w:val="lrTb"/>
            <w:noWrap/>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01" w:type="dxa"/>
            <w:vAlign w:val="center"/>
            <w:textDirection w:val="lrTb"/>
            <w:noWrap/>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01" w:type="dxa"/>
            <w:vAlign w:val="center"/>
            <w:textDirection w:val="lrTb"/>
            <w:noWrap/>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4" w:type="dxa"/>
            <w:vAlign w:val="center"/>
            <w:textDirection w:val="lrTb"/>
            <w:noWrap/>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 w:type="dxa"/>
            <w:vAlign w:val="center"/>
            <w:textDirection w:val="lrTb"/>
            <w:noWrap/>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5"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6" w:type="dxa"/>
            <w:vAlign w:val="center"/>
            <w:textDirection w:val="lrTb"/>
            <w:noWrap/>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4" w:type="dxa"/>
            <w:vAlign w:val="center"/>
            <w:textDirection w:val="lrTb"/>
            <w:noWrap/>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01" w:type="dxa"/>
            <w:vAlign w:val="center"/>
            <w:textDirection w:val="lrTb"/>
            <w:noWrap/>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01" w:type="dxa"/>
            <w:vAlign w:val="center"/>
            <w:textDirection w:val="lrTb"/>
            <w:noWrap/>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4" w:type="dxa"/>
            <w:vAlign w:val="center"/>
            <w:textDirection w:val="lrTb"/>
            <w:noWrap/>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 w:type="dxa"/>
            <w:vAlign w:val="center"/>
            <w:textDirection w:val="lrTb"/>
            <w:noWrap/>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附件二：保密协议</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保密协议</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甲方（委托方）：____________________</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法定代表人：____________________</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地址：____________________</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联系方式：____________________</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乙方（服务方）：____________________</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法定代表人：____________________</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地址：____________________</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联系方式：____________________</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鉴于乙方为甲方 “村村通” 视频监控维保项目提供服务，在项目实施过程中，乙方可能接触、获取甲方的保密信息。为保护双方合法权益，确保项目相关信息安全，根据《中华人民共和国民法典》《中华人民共和国保守国家秘密法》等相关法律法规，经双方友好协商，就保密事项达成如下协议：</w:t>
      </w:r>
      <w:r/>
    </w:p>
    <w:p>
      <w:pPr>
        <w:ind w:left="0" w:right="0" w:firstLine="48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一、保密信息定义</w:t>
      </w:r>
      <w:r/>
    </w:p>
    <w:p>
      <w:pPr>
        <w:ind w:left="0" w:right="0" w:firstLine="48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本协议所称保密信息，是指在 “村村通” 视频监控维保项目实施过程中，乙方因履行本协议项下义务而接触、获取的，与甲方相关的具有保密性的信息，包括但不限于：</w:t>
      </w:r>
      <w:r/>
    </w:p>
    <w:p>
      <w:pPr>
        <w:ind w:left="0" w:right="0" w:firstLine="48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1、视频监控数据：包含乡村各区域实时监控视频、历史录像资料、监控画面中的人员、车辆、场景等信息，以及通过视频监控系统采集的各类数据。</w:t>
      </w:r>
      <w:r/>
    </w:p>
    <w:p>
      <w:pPr>
        <w:ind w:left="0" w:right="0" w:firstLine="48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2、技术信息：甲方视频监控系统的技术方案、软件代码、系统架构、硬件配置、通信协议、加密算法、技术文档等。</w:t>
      </w:r>
      <w:r/>
    </w:p>
    <w:p>
      <w:pPr>
        <w:ind w:left="0" w:right="0" w:firstLine="48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3、业务信息：甲方关于 “村村通” 视频监控系统的运营模式、管理策略、使用计划、维护记录、故障处理方案等。</w:t>
      </w:r>
      <w:r/>
    </w:p>
    <w:p>
      <w:pPr>
        <w:ind w:left="0" w:right="0" w:firstLine="48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4、其他信息：甲方明确要求保密的其他信息，以及根据信息的性质和行业惯例应视为保密的信息。</w:t>
      </w:r>
      <w:r/>
    </w:p>
    <w:p>
      <w:pPr>
        <w:ind w:left="0" w:right="0" w:firstLine="48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二、保密义务</w:t>
      </w:r>
      <w:r/>
    </w:p>
    <w:p>
      <w:pPr>
        <w:ind w:left="0" w:right="0" w:firstLine="48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应采取合理且不少于保护自身商业秘密的保密措施，防止保密信息泄露、被不当使用或被未经授权的第三方获取。该等保密措施包括但不限于建立保密制度、限制接触保密信息的人员范围、对接触保密信息的人员进行保密培训、对保密信息进行加密存储和传输等。</w:t>
      </w:r>
      <w:r/>
    </w:p>
    <w:p>
      <w:pPr>
        <w:ind w:left="0" w:right="0" w:firstLine="48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未经甲方书面同意，乙方不得向任何第三方披露、传播、许可使用保密信息。但根据法律法规规定或有权机关要求必须披露的情形除外。在此情况下，乙方应在披露前及时通知甲方，并协助甲方采取必要的保护措施。</w:t>
      </w:r>
      <w:r/>
    </w:p>
    <w:p>
      <w:pPr>
        <w:ind w:left="0" w:right="0" w:firstLine="48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3、乙方仅可在履行本协议项下义务所需的范围内使用保密信息，且使用目的仅限于 “村村通” 视频监控维保项目。使用完毕后，乙方应按照甲方要求及时返还或销毁保密信息，不得留存任何副本或复制件。</w:t>
      </w:r>
      <w:r/>
    </w:p>
    <w:p>
      <w:pPr>
        <w:ind w:left="0" w:right="0" w:firstLine="48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乙方应确保其参与本项目的员工、代理人、合作伙伴等相关人员遵守本协议约定的保密义务，并对上述人员违反保密义务的行为承担连带责任。乙方应与上述人员签订书面保密协议，其保密义务的范围和强度不得低于本协议的约定。</w:t>
      </w:r>
      <w:r/>
    </w:p>
    <w:p>
      <w:pPr>
        <w:ind w:left="0" w:right="0" w:firstLine="48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三、保密期限</w:t>
      </w:r>
      <w:r/>
    </w:p>
    <w:p>
      <w:pPr>
        <w:ind w:left="0" w:right="0" w:firstLine="48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1、本协议的保密期限自双方签署本协议之日起开始，至 “村村通” 视频监控维保项目结束后。</w:t>
      </w:r>
      <w:r/>
    </w:p>
    <w:p>
      <w:pPr>
        <w:ind w:left="0" w:right="0" w:firstLine="48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2、保密期限届满后，乙方仍应继续对其在保密期限内知悉的保密信息承担保密义务，直至该保密信息被合法公开或甲方书面同意解除保密义务。</w:t>
      </w:r>
      <w:r/>
    </w:p>
    <w:p>
      <w:pPr>
        <w:ind w:left="0" w:right="0" w:firstLine="48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四、权利与义务</w:t>
      </w:r>
      <w:r/>
    </w:p>
    <w:p>
      <w:pPr>
        <w:ind w:left="0" w:right="0" w:firstLine="48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（一）甲方权利义务</w:t>
      </w:r>
      <w:r/>
    </w:p>
    <w:p>
      <w:pPr>
        <w:ind w:left="0" w:right="0" w:firstLine="48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1、甲方有权对乙方履行保密义务的情况进行监督和检查，有权要求乙方纠正任何违反保密义务的行为。</w:t>
      </w:r>
      <w:r/>
    </w:p>
    <w:p>
      <w:pPr>
        <w:ind w:left="0" w:right="0" w:firstLine="48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2、甲方应向乙方提供履行本协议项下义务所需的必要信息和协助，但提供的信息中涉及保密信息的，甲方应明确告知乙方并要求乙方遵守保密义务。</w:t>
      </w:r>
      <w:r/>
    </w:p>
    <w:p>
      <w:pPr>
        <w:ind w:left="0" w:right="0" w:firstLine="48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3、甲方应按照本协议约定向乙方支付服务费用。</w:t>
      </w:r>
      <w:r/>
    </w:p>
    <w:p>
      <w:pPr>
        <w:ind w:left="0" w:right="0" w:firstLine="48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（二）乙方权利义务</w:t>
      </w:r>
      <w:r/>
    </w:p>
    <w:p>
      <w:pPr>
        <w:ind w:left="0" w:right="0" w:firstLine="48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1、乙方有权按照本协议约定收取服务费用。</w:t>
      </w:r>
      <w:r/>
    </w:p>
    <w:p>
      <w:pPr>
        <w:ind w:left="0" w:right="0" w:firstLine="48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2、乙方应按照甲方要求，及时、高效地完成 “村村通” 视频监控维保项目，并确保服务质量符合相关标准和甲方要求。</w:t>
      </w:r>
      <w:r/>
    </w:p>
    <w:p>
      <w:pPr>
        <w:ind w:left="0" w:right="0" w:firstLine="48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3、乙方应遵守本协议约定的保密义务，妥善保管保密信息，不得利用保密信息谋取任何不正当利益。</w:t>
      </w:r>
      <w:r/>
    </w:p>
    <w:p>
      <w:pPr>
        <w:ind w:left="0" w:right="0" w:firstLine="48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五、违约责任</w:t>
      </w:r>
      <w:r/>
    </w:p>
    <w:p>
      <w:pPr>
        <w:ind w:left="0" w:right="0" w:firstLine="48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若乙方违反本协议约定的保密义务，应立即停止违约行为，并采取一切必要措施消除不良影响。同时，乙方应向甲方支付违约金，违约金金额为合同总价款的5%。若违约金不足以弥补甲方因此遭受的损失，乙方还应承担赔偿责任，赔偿范围包括但不限于甲方的直接损失、间接损失、调查费用、律师费等。</w:t>
      </w:r>
      <w:r/>
    </w:p>
    <w:p>
      <w:pPr>
        <w:ind w:left="0" w:right="0" w:firstLine="48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2、若乙方违反保密义务的行为涉嫌违法犯罪，甲方有权将相关情况报告有关部门，并要求乙方承担相应的法律责任。</w:t>
      </w:r>
      <w:r/>
    </w:p>
    <w:p>
      <w:pPr>
        <w:ind w:left="0" w:right="0" w:firstLine="48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六、争议解决</w:t>
      </w:r>
      <w:r/>
    </w:p>
    <w:p>
      <w:pPr>
        <w:ind w:left="0" w:right="0" w:firstLine="48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本协议的签订、履行、解释及争议解决均适用中华人民共和国法律。双方在履行本协议过程中发生的争议，应首先通过友好协商解决；协商不成的，任何一方均有权向有管辖权的人民法院提起诉讼。</w:t>
      </w:r>
      <w:r/>
    </w:p>
    <w:p>
      <w:pPr>
        <w:ind w:left="0" w:right="0" w:firstLine="48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七、其他条款</w:t>
      </w:r>
      <w:r/>
    </w:p>
    <w:p>
      <w:pPr>
        <w:ind w:left="0" w:right="0" w:firstLine="48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1、本协议自双方签字（或盖章）之日起生效。本协议一式两份，甲乙双方各执一份，具有同等法律效力。</w:t>
      </w:r>
      <w:r/>
    </w:p>
    <w:p>
      <w:pPr>
        <w:ind w:left="0" w:right="0" w:firstLine="48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2、本协议的任何修改、补充须经双方书面同意，并签订书面协议。</w:t>
      </w:r>
      <w:r/>
    </w:p>
    <w:p>
      <w:pPr>
        <w:ind w:left="0" w:right="0" w:firstLine="48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甲方（盖章）：____________________</w:t>
      </w:r>
      <w:r/>
    </w:p>
    <w:p>
      <w:pPr>
        <w:ind w:left="0" w:right="0" w:firstLine="48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法定代表人或授权代表（签字）：____________________</w:t>
      </w:r>
      <w:r/>
    </w:p>
    <w:p>
      <w:pPr>
        <w:ind w:left="0" w:right="0" w:firstLine="48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签订日期：______年____月____日</w:t>
      </w:r>
      <w:r/>
    </w:p>
    <w:p>
      <w:pPr>
        <w:ind w:left="0" w:right="0" w:firstLine="48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乙方（盖章）：____________________</w:t>
      </w:r>
      <w:r/>
    </w:p>
    <w:p>
      <w:pPr>
        <w:ind w:left="0" w:right="0" w:firstLine="48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法定代表人或授权代表（签字）：____________________</w:t>
      </w:r>
      <w:r/>
    </w:p>
    <w:p>
      <w:pPr>
        <w:ind w:left="0" w:right="0" w:firstLine="48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签订日期：______年____月____日</w:t>
      </w:r>
      <w:r/>
    </w:p>
    <w:p>
      <w:pPr>
        <w:ind w:left="0" w:right="0" w:firstLine="48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这份协议围绕核心保密需求拟定，若你觉得某些条款需调整，或有补充内容，欢迎随时告诉我进一步修改。</w:t>
      </w:r>
      <w:r/>
    </w:p>
    <w:p>
      <w:pPr>
        <w:spacing w:line="360" w:lineRule="auto"/>
        <w:shd w:val="nil" w:color="auto"/>
        <w:rPr>
          <w:sz w:val="21"/>
          <w:szCs w:val="21"/>
        </w:rPr>
      </w:pPr>
      <w:r>
        <w:rPr>
          <w:rFonts w:ascii="SimSun" w:hAnsi="SimSun" w:eastAsia="SimSun" w:cs="SimSun"/>
          <w:b/>
          <w:color w:val="000000"/>
          <w:sz w:val="43"/>
          <w:highlight w:val="none"/>
        </w:rPr>
        <w:br w:type="page" w:clear="all"/>
      </w:r>
      <w:r>
        <w:rPr>
          <w:rFonts w:ascii="SimSun" w:hAnsi="SimSun" w:eastAsia="SimSun" w:cs="SimSun"/>
          <w:b/>
          <w:color w:val="000000"/>
          <w:sz w:val="43"/>
          <w:highlight w:val="none"/>
        </w:rPr>
      </w:r>
      <w:r/>
    </w:p>
    <w:p>
      <w:pPr>
        <w:ind w:left="0" w:right="0" w:firstLine="0"/>
        <w:jc w:val="center"/>
        <w:spacing w:before="0" w:after="0" w:line="360" w:lineRule="auto"/>
        <w:tabs>
          <w:tab w:val="left" w:pos="8930" w:leader="none"/>
          <w:tab w:val="left" w:pos="9306" w:leader="none"/>
        </w:tabs>
        <w:rPr>
          <w:rFonts w:ascii="SimSun" w:hAnsi="SimSun" w:eastAsia="SimSun" w:cs="SimSun"/>
          <w:b/>
          <w:bCs/>
          <w:color w:val="000000"/>
          <w:sz w:val="43"/>
          <w:szCs w:val="43"/>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3"/>
        </w:rPr>
        <w:t xml:space="preserve">第六章 磋商响应文件格式</w:t>
      </w:r>
      <w:r/>
    </w:p>
    <w:p>
      <w:pPr>
        <w:ind w:left="0" w:right="0" w:firstLine="0"/>
        <w:spacing w:before="240" w:after="24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p>
      <w:pPr>
        <w:ind w:left="0" w:right="0" w:firstLine="480"/>
        <w:spacing w:before="240" w:after="24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对本章所有的格式，磋商供应商可根据自身情况进行补充和修改，但补充和修改不得造成与本格式内容有实质性的违背。</w:t>
      </w:r>
      <w:r>
        <w:rPr>
          <w:rFonts w:ascii="SimSun" w:hAnsi="SimSun" w:eastAsia="SimSun" w:cs="SimSun"/>
          <w:b/>
          <w:color w:val="000000"/>
          <w:sz w:val="24"/>
        </w:rPr>
        <w:t xml:space="preserve"> </w:t>
      </w:r>
      <w:r>
        <w:rPr>
          <w:sz w:val="24"/>
        </w:rPr>
      </w:r>
      <w:r/>
    </w:p>
    <w:p>
      <w:pPr>
        <w:ind w:left="0" w:right="0" w:firstLine="0"/>
        <w:spacing w:before="240" w:after="24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1、（供应商）法定代表人授权委托书</w:t>
      </w:r>
      <w:r/>
    </w:p>
    <w:p>
      <w:pPr>
        <w:ind w:left="0" w:right="0" w:firstLine="0"/>
        <w:jc w:val="both"/>
        <w:spacing w:before="240" w:after="24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法定代表人授权委托书</w:t>
      </w:r>
      <w:r/>
    </w:p>
    <w:p>
      <w:pPr>
        <w:ind w:left="0" w:right="0" w:firstLine="0"/>
        <w:spacing w:before="240" w:after="24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00"/>
        <w:spacing w:before="240" w:after="24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本授权委托书声明：我</w:t>
      </w:r>
      <w:r>
        <w:rPr>
          <w:rFonts w:ascii="SimSun" w:hAnsi="SimSun" w:eastAsia="SimSun" w:cs="SimSun"/>
          <w:color w:val="000000"/>
          <w:sz w:val="24"/>
          <w:u w:val="single"/>
        </w:rPr>
        <w:t xml:space="preserve">           </w:t>
      </w:r>
      <w:r>
        <w:rPr>
          <w:rFonts w:ascii="SimSun" w:hAnsi="SimSun" w:eastAsia="SimSun" w:cs="SimSun"/>
          <w:color w:val="000000"/>
          <w:sz w:val="24"/>
        </w:rPr>
        <w:t xml:space="preserve">（姓名）系</w:t>
      </w:r>
      <w:r>
        <w:rPr>
          <w:rFonts w:ascii="SimSun" w:hAnsi="SimSun" w:eastAsia="SimSun" w:cs="SimSun"/>
          <w:color w:val="000000"/>
          <w:sz w:val="24"/>
          <w:u w:val="single"/>
        </w:rPr>
        <w:t xml:space="preserve">             </w:t>
      </w:r>
      <w:r>
        <w:rPr>
          <w:rFonts w:ascii="SimSun" w:hAnsi="SimSun" w:eastAsia="SimSun" w:cs="SimSun"/>
          <w:color w:val="000000"/>
          <w:sz w:val="24"/>
        </w:rPr>
        <w:t xml:space="preserve">（供应商名称）的法定代表人，现授权委托</w:t>
      </w:r>
      <w:r>
        <w:rPr>
          <w:rFonts w:ascii="SimSun" w:hAnsi="SimSun" w:eastAsia="SimSun" w:cs="SimSun"/>
          <w:color w:val="000000"/>
          <w:sz w:val="24"/>
          <w:u w:val="single"/>
        </w:rPr>
        <w:t xml:space="preserve">              </w:t>
      </w:r>
      <w:r>
        <w:rPr>
          <w:rFonts w:ascii="SimSun" w:hAnsi="SimSun" w:eastAsia="SimSun" w:cs="SimSun"/>
          <w:color w:val="000000"/>
          <w:sz w:val="24"/>
        </w:rPr>
        <w:t xml:space="preserve">（单位名称）的</w:t>
      </w:r>
      <w:r>
        <w:rPr>
          <w:rFonts w:ascii="SimSun" w:hAnsi="SimSun" w:eastAsia="SimSun" w:cs="SimSun"/>
          <w:color w:val="000000"/>
          <w:sz w:val="24"/>
          <w:u w:val="single"/>
        </w:rPr>
        <w:t xml:space="preserve">         </w:t>
      </w:r>
      <w:r>
        <w:rPr>
          <w:rFonts w:ascii="SimSun" w:hAnsi="SimSun" w:eastAsia="SimSun" w:cs="SimSun"/>
          <w:color w:val="000000"/>
          <w:sz w:val="24"/>
        </w:rPr>
        <w:t xml:space="preserve">（姓名）为我公司代理人，以本公司的名义参加苏州爱达招投标有限公司组织实施的编号为</w:t>
      </w:r>
      <w:r>
        <w:rPr>
          <w:rFonts w:ascii="SimSun" w:hAnsi="SimSun" w:eastAsia="SimSun" w:cs="SimSun"/>
          <w:color w:val="000000"/>
          <w:sz w:val="24"/>
          <w:u w:val="single"/>
        </w:rPr>
        <w:t xml:space="preserve">           </w:t>
      </w:r>
      <w:r>
        <w:rPr>
          <w:rFonts w:ascii="SimSun" w:hAnsi="SimSun" w:eastAsia="SimSun" w:cs="SimSun"/>
          <w:color w:val="000000"/>
          <w:sz w:val="24"/>
        </w:rPr>
        <w:t xml:space="preserve">号的磋商邀请活动。代理人在磋商活动过程中所签署的一切文件和处理与这有关的一切事务，我均予以承认。</w:t>
      </w:r>
      <w:r/>
    </w:p>
    <w:p>
      <w:pPr>
        <w:ind w:left="0" w:right="0" w:firstLine="480"/>
        <w:spacing w:before="240" w:after="24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代理人在授权委托书有效期内签署的所有文件不因授权委托的撤销而失效，除非有撤销授权委托的书面通知，本授权委托书自磋商活动开始至合同履行完毕止。</w:t>
      </w:r>
      <w:r/>
    </w:p>
    <w:p>
      <w:pPr>
        <w:ind w:left="0" w:right="0" w:firstLine="0"/>
        <w:spacing w:before="240" w:after="24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代理人无转委托权。特此委托。</w:t>
      </w:r>
      <w:r/>
    </w:p>
    <w:p>
      <w:pPr>
        <w:ind w:left="0" w:right="0" w:firstLine="0"/>
        <w:spacing w:before="240" w:after="24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供应商：（单位盖章）</w:t>
      </w:r>
      <w:r/>
    </w:p>
    <w:p>
      <w:pPr>
        <w:ind w:left="0" w:right="0" w:firstLine="0"/>
        <w:spacing w:before="240" w:after="24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法定代表人：（签字或盖章）</w:t>
      </w:r>
      <w:r/>
    </w:p>
    <w:p>
      <w:pPr>
        <w:ind w:left="0" w:right="0" w:firstLine="0"/>
        <w:spacing w:before="240" w:after="24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授权委托人：（签字或盖章）</w:t>
      </w:r>
      <w:r/>
    </w:p>
    <w:p>
      <w:pPr>
        <w:ind w:left="0" w:right="0" w:firstLine="0"/>
        <w:spacing w:before="240" w:after="240" w:line="360" w:lineRule="auto"/>
        <w:rPr>
          <w:rFonts w:ascii="SimSun" w:hAnsi="SimSun" w:eastAsia="SimSun" w:cs="SimSun"/>
          <w:color w:val="000000"/>
          <w:sz w:val="24"/>
          <w:szCs w:val="24"/>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　　月　　日</w:t>
      </w:r>
      <w:r>
        <w:rPr>
          <w:rFonts w:ascii="SimSun" w:hAnsi="SimSun" w:eastAsia="SimSun" w:cs="SimSun"/>
          <w:color w:val="000000"/>
          <w:sz w:val="24"/>
          <w:szCs w:val="24"/>
        </w:rPr>
      </w:r>
      <w:r/>
    </w:p>
    <w:p>
      <w:pPr>
        <w:ind w:left="0" w:right="0" w:firstLine="0"/>
        <w:spacing w:before="240" w:after="240" w:line="360" w:lineRule="auto"/>
        <w:rPr>
          <w:rFonts w:ascii="SimSun" w:hAnsi="SimSun" w:eastAsia="SimSun" w:cs="SimSun"/>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r>
      <w:r>
        <w:rPr>
          <w:rFonts w:ascii="SimSun" w:hAnsi="SimSun" w:eastAsia="SimSun" w:cs="SimSun"/>
          <w:color w:val="000000"/>
          <w:sz w:val="24"/>
        </w:rPr>
        <w:t xml:space="preserve">2、磋商响应函</w:t>
      </w:r>
      <w:r>
        <w:rPr>
          <w:sz w:val="24"/>
        </w:rPr>
      </w:r>
      <w:r/>
    </w:p>
    <w:p>
      <w:pPr>
        <w:ind w:left="0" w:right="0" w:firstLine="0"/>
        <w:jc w:val="center"/>
        <w:spacing w:before="240" w:after="24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磋商响应函</w:t>
      </w:r>
      <w:r/>
    </w:p>
    <w:p>
      <w:pPr>
        <w:ind w:left="0" w:right="0" w:firstLine="0"/>
        <w:spacing w:before="240" w:after="24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0"/>
        <w:spacing w:before="240" w:after="24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我们收到贵公司</w:t>
      </w:r>
      <w:r>
        <w:rPr>
          <w:rFonts w:ascii="SimSun" w:hAnsi="SimSun" w:eastAsia="SimSun" w:cs="SimSun"/>
          <w:color w:val="000000"/>
          <w:sz w:val="24"/>
          <w:u w:val="single"/>
        </w:rPr>
        <w:t xml:space="preserve">                    </w:t>
      </w:r>
      <w:r>
        <w:rPr>
          <w:rFonts w:ascii="SimSun" w:hAnsi="SimSun" w:eastAsia="SimSun" w:cs="SimSun"/>
          <w:color w:val="000000"/>
          <w:sz w:val="24"/>
        </w:rPr>
        <w:t xml:space="preserve">号磋商邀请函，经仔细阅读和研究，我们决定参加该次磋商活动。</w:t>
      </w:r>
      <w:r/>
    </w:p>
    <w:p>
      <w:pPr>
        <w:ind w:left="0" w:right="0" w:firstLine="480"/>
        <w:spacing w:before="240" w:after="24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我们愿意按照磋商采购邀请函的一切要求，提供包括但不限于软件维护、劳务、制作、设备、安装、调试、维护、保险、利润、税金、报验、人员、交通、食宿、加班、验收、检测合格费、代理服务费等政策性文件规定及合同包含的所有风险、责任等各项应有费用。</w:t>
      </w:r>
      <w:r/>
    </w:p>
    <w:p>
      <w:pPr>
        <w:ind w:left="0" w:right="0" w:firstLine="480"/>
        <w:spacing w:before="240" w:after="24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2、如果我们磋商商务被接受，我们将严格履行磋商邀请函中规定的每一项要求，按期、按质、按量履行合同的义务。</w:t>
      </w:r>
      <w:r/>
    </w:p>
    <w:p>
      <w:pPr>
        <w:ind w:left="0" w:right="0" w:firstLine="480"/>
        <w:spacing w:before="240" w:after="24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3、我们愿意提供邀请方在磋商邀请函中要求的所有资料。</w:t>
      </w:r>
      <w:r/>
    </w:p>
    <w:p>
      <w:pPr>
        <w:ind w:left="0" w:right="0" w:firstLine="480"/>
        <w:spacing w:before="240" w:after="240" w:line="360" w:lineRule="auto"/>
        <w:rPr>
          <w:rFonts w:ascii="SimSun" w:hAnsi="SimSun" w:eastAsia="SimSun" w:cs="SimSun"/>
          <w:color w:val="000000"/>
          <w:sz w:val="24"/>
          <w:szCs w:val="24"/>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4、我们认为你们有权决定成交人者，还认为你们有权接受或拒绝所有的磋商供应商。</w:t>
      </w:r>
      <w:r>
        <w:rPr>
          <w:sz w:val="24"/>
        </w:rPr>
      </w:r>
      <w:r/>
    </w:p>
    <w:p>
      <w:pPr>
        <w:ind w:left="0" w:right="0" w:firstLine="480"/>
        <w:spacing w:before="240" w:after="240" w:line="360" w:lineRule="auto"/>
        <w:rPr>
          <w:sz w:val="24"/>
          <w:szCs w:val="24"/>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r>
      <w:r>
        <w:rPr>
          <w:rFonts w:ascii="SimSun" w:hAnsi="SimSun" w:eastAsia="SimSun" w:cs="SimSun"/>
          <w:color w:val="000000"/>
          <w:sz w:val="24"/>
        </w:rPr>
        <w:t xml:space="preserve">5、我们愿意遵守磋商邀请函中所列的收费标准。</w:t>
      </w:r>
      <w:r>
        <w:rPr>
          <w:sz w:val="24"/>
        </w:rPr>
      </w:r>
      <w:r/>
    </w:p>
    <w:p>
      <w:pPr>
        <w:ind w:left="0" w:right="0" w:firstLine="480"/>
        <w:spacing w:before="240" w:after="24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6、如果我们成交，我们愿意在签订合同时按前附表规定的支付成交服务费；</w:t>
      </w:r>
      <w:r/>
    </w:p>
    <w:p>
      <w:pPr>
        <w:ind w:left="0" w:right="0" w:firstLine="480"/>
        <w:spacing w:before="240" w:after="24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7、综合说明：</w:t>
      </w:r>
      <w:r/>
    </w:p>
    <w:p>
      <w:pPr>
        <w:ind w:left="0" w:right="0" w:firstLine="480"/>
        <w:spacing w:before="240" w:after="24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（1）伴随服务及配合措施；</w:t>
      </w:r>
      <w:r/>
    </w:p>
    <w:p>
      <w:pPr>
        <w:ind w:left="0" w:right="0" w:firstLine="480"/>
        <w:spacing w:before="240" w:after="24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（2）要求采购单位提供的配合；</w:t>
      </w:r>
      <w:r/>
    </w:p>
    <w:p>
      <w:pPr>
        <w:ind w:left="0" w:right="0" w:firstLine="480"/>
        <w:spacing w:before="240" w:after="24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（3）其它说明。</w:t>
      </w:r>
      <w:r/>
    </w:p>
    <w:p>
      <w:pPr>
        <w:ind w:left="0" w:right="0" w:firstLine="0"/>
        <w:spacing w:before="240" w:after="24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w:t>
      </w:r>
      <w:r/>
    </w:p>
    <w:p>
      <w:pPr>
        <w:ind w:left="0" w:right="0" w:firstLine="0"/>
        <w:spacing w:before="240" w:after="24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p>
    <w:p>
      <w:pPr>
        <w:ind w:left="0" w:right="0" w:firstLine="0"/>
        <w:spacing w:before="240" w:after="24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0" w:right="0" w:firstLine="0"/>
        <w:spacing w:before="240" w:after="24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邮政编码：</w:t>
      </w:r>
      <w:r/>
    </w:p>
    <w:p>
      <w:pPr>
        <w:ind w:left="0" w:right="0" w:firstLine="0"/>
        <w:spacing w:before="240" w:after="24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p>
      <w:pPr>
        <w:ind w:left="0" w:right="0" w:firstLine="0"/>
        <w:spacing w:before="240" w:after="24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w:t>
      </w:r>
      <w:r/>
    </w:p>
    <w:p>
      <w:pPr>
        <w:ind w:left="0" w:right="0" w:firstLine="0"/>
        <w:jc w:val="both"/>
        <w:spacing w:before="240" w:after="24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供应商：（单位盖章）</w:t>
      </w:r>
      <w:r/>
    </w:p>
    <w:p>
      <w:pPr>
        <w:ind w:left="0" w:right="0" w:firstLine="0"/>
        <w:jc w:val="both"/>
        <w:spacing w:before="240" w:after="24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法定代表人或授权委托人：（签字或盖章）</w:t>
      </w:r>
      <w:r/>
    </w:p>
    <w:p>
      <w:pPr>
        <w:ind w:left="0" w:right="0" w:firstLine="0"/>
        <w:jc w:val="both"/>
        <w:spacing w:before="240" w:after="24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rPr>
          <w:rFonts w:ascii="SimSun" w:hAnsi="SimSun" w:eastAsia="SimSun" w:cs="SimSun"/>
          <w:color w:val="000000"/>
          <w:sz w:val="24"/>
        </w:rPr>
        <w:br w:type="page" w:clear="all"/>
      </w:r>
      <w:r/>
    </w:p>
    <w:p>
      <w:pPr>
        <w:ind w:left="0" w:right="0" w:firstLine="0"/>
        <w:jc w:val="both"/>
        <w:spacing w:before="240" w:after="24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3、磋商报价表</w:t>
      </w:r>
      <w:r/>
    </w:p>
    <w:p>
      <w:pPr>
        <w:ind w:left="0" w:right="0" w:firstLine="0"/>
        <w:jc w:val="center"/>
        <w:spacing w:before="240" w:after="24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磋商报价表</w:t>
      </w:r>
      <w:r/>
    </w:p>
    <w:p>
      <w:pPr>
        <w:ind w:left="0" w:right="0" w:firstLine="0"/>
        <w:spacing w:before="240" w:after="24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项目编号：JSZC-320509-SZAD-C2026-0001                         单位：元</w:t>
      </w:r>
      <w:r/>
    </w:p>
    <w:tbl>
      <w:tblPr>
        <w:tblStyle w:val="75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54"/>
        <w:gridCol w:w="2073"/>
        <w:gridCol w:w="2944"/>
        <w:gridCol w:w="2959"/>
      </w:tblGrid>
      <w:tr>
        <w:trPr>
          <w:trHeight w:val="69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73"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944"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959"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6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3"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44"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59"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19"/>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44"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59"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290" w:firstLine="0"/>
        <w:jc w:val="both"/>
        <w:spacing w:before="0" w:after="0" w:line="360" w:lineRule="auto"/>
        <w:tabs>
          <w:tab w:val="left" w:pos="90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290" w:firstLine="0"/>
        <w:jc w:val="both"/>
        <w:spacing w:before="0" w:after="0" w:line="360" w:lineRule="auto"/>
        <w:tabs>
          <w:tab w:val="left" w:pos="90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290" w:firstLine="0"/>
        <w:jc w:val="both"/>
        <w:spacing w:before="0" w:after="0" w:line="360" w:lineRule="auto"/>
        <w:tabs>
          <w:tab w:val="left" w:pos="90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供应商：（单位盖章）</w:t>
      </w:r>
      <w:r/>
    </w:p>
    <w:p>
      <w:pPr>
        <w:ind w:left="0" w:right="-290" w:firstLine="0"/>
        <w:spacing w:before="0" w:after="0" w:line="360" w:lineRule="auto"/>
        <w:tabs>
          <w:tab w:val="left" w:pos="90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法定代表人或被授权人：（签字或盖章）</w:t>
      </w:r>
      <w:r/>
    </w:p>
    <w:p>
      <w:pPr>
        <w:ind w:left="0" w:right="-290" w:firstLine="0"/>
        <w:jc w:val="both"/>
        <w:spacing w:before="0" w:after="0" w:line="360" w:lineRule="auto"/>
        <w:tabs>
          <w:tab w:val="left" w:pos="90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4、响应分项组成明细表</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响应分项组成明细表</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响应单位：（单位盖章）</w:t>
      </w:r>
      <w:r>
        <w:rPr>
          <w:rFonts w:ascii="SimSun" w:hAnsi="SimSun" w:eastAsia="SimSun" w:cs="SimSun"/>
          <w:color w:val="000000"/>
          <w:sz w:val="24"/>
          <w:u w:val="single"/>
        </w:rPr>
        <w:t xml:space="preserve">                    </w:t>
      </w:r>
      <w:r/>
    </w:p>
    <w:tbl>
      <w:tblPr>
        <w:tblStyle w:val="75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55"/>
        <w:gridCol w:w="1469"/>
        <w:gridCol w:w="1067"/>
        <w:gridCol w:w="958"/>
        <w:gridCol w:w="1647"/>
        <w:gridCol w:w="2407"/>
      </w:tblGrid>
      <w:tr>
        <w:trPr>
          <w:trHeight w:val="53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69"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条目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67" w:type="dxa"/>
            <w:vAlign w:val="center"/>
            <w:textDirection w:val="lrTb"/>
            <w:noWrap w:val="false"/>
          </w:tcPr>
          <w:p>
            <w:pPr>
              <w:ind w:left="0" w:right="0" w:firstLine="0"/>
              <w:jc w:val="center"/>
              <w:spacing w:before="0" w:after="16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58" w:type="dxa"/>
            <w:vAlign w:val="center"/>
            <w:textDirection w:val="lrTb"/>
            <w:noWrap w:val="false"/>
          </w:tcPr>
          <w:p>
            <w:pPr>
              <w:ind w:left="0" w:right="0" w:firstLine="0"/>
              <w:jc w:val="center"/>
              <w:spacing w:before="0" w:after="16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47" w:type="dxa"/>
            <w:vAlign w:val="center"/>
            <w:textDirection w:val="lrTb"/>
            <w:noWrap w:val="false"/>
          </w:tcPr>
          <w:p>
            <w:pPr>
              <w:ind w:left="0" w:right="0" w:firstLine="0"/>
              <w:jc w:val="center"/>
              <w:spacing w:before="0" w:after="16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价格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07" w:type="dxa"/>
            <w:vAlign w:val="center"/>
            <w:textDirection w:val="lrTb"/>
            <w:noWrap w:val="false"/>
          </w:tcPr>
          <w:p>
            <w:pPr>
              <w:ind w:left="0" w:right="0" w:firstLine="0"/>
              <w:jc w:val="center"/>
              <w:spacing w:before="0" w:after="16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4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9" w:type="dxa"/>
            <w:vAlign w:val="center"/>
            <w:textDirection w:val="lrTb"/>
            <w:noWrap w:val="false"/>
          </w:tcPr>
          <w:p>
            <w:pPr>
              <w:ind w:left="0" w:right="0" w:firstLine="0"/>
              <w:jc w:val="center"/>
              <w:spacing w:before="0" w:after="16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7" w:type="dxa"/>
            <w:vAlign w:val="center"/>
            <w:textDirection w:val="lrTb"/>
            <w:noWrap w:val="false"/>
          </w:tcPr>
          <w:p>
            <w:pPr>
              <w:ind w:left="0" w:right="0" w:firstLine="0"/>
              <w:jc w:val="center"/>
              <w:spacing w:before="0" w:after="16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8" w:type="dxa"/>
            <w:vAlign w:val="center"/>
            <w:textDirection w:val="lrTb"/>
            <w:noWrap w:val="false"/>
          </w:tcPr>
          <w:p>
            <w:pPr>
              <w:ind w:left="0" w:right="0" w:firstLine="0"/>
              <w:jc w:val="center"/>
              <w:spacing w:before="0" w:after="16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7" w:type="dxa"/>
            <w:vAlign w:val="center"/>
            <w:textDirection w:val="lrTb"/>
            <w:noWrap w:val="false"/>
          </w:tcPr>
          <w:p>
            <w:pPr>
              <w:ind w:left="0" w:right="0" w:firstLine="0"/>
              <w:jc w:val="center"/>
              <w:spacing w:before="0" w:after="16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7" w:type="dxa"/>
            <w:vAlign w:val="center"/>
            <w:textDirection w:val="lrTb"/>
            <w:noWrap w:val="false"/>
          </w:tcPr>
          <w:p>
            <w:pPr>
              <w:ind w:left="0" w:right="0" w:firstLine="0"/>
              <w:jc w:val="center"/>
              <w:spacing w:before="0" w:after="16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9" w:type="dxa"/>
            <w:vAlign w:val="center"/>
            <w:textDirection w:val="lrTb"/>
            <w:noWrap w:val="false"/>
          </w:tcPr>
          <w:p>
            <w:pPr>
              <w:ind w:left="0" w:right="0" w:firstLine="0"/>
              <w:jc w:val="center"/>
              <w:spacing w:before="0" w:after="16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7" w:type="dxa"/>
            <w:vAlign w:val="center"/>
            <w:textDirection w:val="lrTb"/>
            <w:noWrap w:val="false"/>
          </w:tcPr>
          <w:p>
            <w:pPr>
              <w:ind w:left="0" w:right="0" w:firstLine="0"/>
              <w:jc w:val="center"/>
              <w:spacing w:before="0" w:after="16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8" w:type="dxa"/>
            <w:vAlign w:val="center"/>
            <w:textDirection w:val="lrTb"/>
            <w:noWrap w:val="false"/>
          </w:tcPr>
          <w:p>
            <w:pPr>
              <w:ind w:left="0" w:right="0" w:firstLine="0"/>
              <w:jc w:val="center"/>
              <w:spacing w:before="0" w:after="16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7" w:type="dxa"/>
            <w:vAlign w:val="center"/>
            <w:textDirection w:val="lrTb"/>
            <w:noWrap w:val="false"/>
          </w:tcPr>
          <w:p>
            <w:pPr>
              <w:ind w:left="0" w:right="0" w:firstLine="0"/>
              <w:jc w:val="center"/>
              <w:spacing w:before="0" w:after="16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7" w:type="dxa"/>
            <w:vAlign w:val="center"/>
            <w:textDirection w:val="lrTb"/>
            <w:noWrap w:val="false"/>
          </w:tcPr>
          <w:p>
            <w:pPr>
              <w:ind w:left="0" w:right="0" w:firstLine="0"/>
              <w:jc w:val="center"/>
              <w:spacing w:before="0" w:after="16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9" w:type="dxa"/>
            <w:vAlign w:val="center"/>
            <w:textDirection w:val="lrTb"/>
            <w:noWrap w:val="false"/>
          </w:tcPr>
          <w:p>
            <w:pPr>
              <w:ind w:left="0" w:right="0" w:firstLine="0"/>
              <w:jc w:val="center"/>
              <w:spacing w:before="0" w:after="16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7" w:type="dxa"/>
            <w:vAlign w:val="center"/>
            <w:textDirection w:val="lrTb"/>
            <w:noWrap w:val="false"/>
          </w:tcPr>
          <w:p>
            <w:pPr>
              <w:ind w:left="0" w:right="0" w:firstLine="0"/>
              <w:jc w:val="center"/>
              <w:spacing w:before="0" w:after="16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8" w:type="dxa"/>
            <w:vAlign w:val="center"/>
            <w:textDirection w:val="lrTb"/>
            <w:noWrap w:val="false"/>
          </w:tcPr>
          <w:p>
            <w:pPr>
              <w:ind w:left="0" w:right="0" w:firstLine="0"/>
              <w:jc w:val="center"/>
              <w:spacing w:before="0" w:after="16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7" w:type="dxa"/>
            <w:vAlign w:val="center"/>
            <w:textDirection w:val="lrTb"/>
            <w:noWrap w:val="false"/>
          </w:tcPr>
          <w:p>
            <w:pPr>
              <w:ind w:left="0" w:right="0" w:firstLine="0"/>
              <w:jc w:val="center"/>
              <w:spacing w:before="0" w:after="16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7" w:type="dxa"/>
            <w:vAlign w:val="center"/>
            <w:textDirection w:val="lrTb"/>
            <w:noWrap w:val="false"/>
          </w:tcPr>
          <w:p>
            <w:pPr>
              <w:ind w:left="0" w:right="0" w:firstLine="0"/>
              <w:jc w:val="center"/>
              <w:spacing w:before="0" w:after="16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9" w:type="dxa"/>
            <w:vAlign w:val="center"/>
            <w:textDirection w:val="lrTb"/>
            <w:noWrap w:val="false"/>
          </w:tcPr>
          <w:p>
            <w:pPr>
              <w:ind w:left="0" w:right="0" w:firstLine="0"/>
              <w:jc w:val="center"/>
              <w:spacing w:before="0" w:after="16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7" w:type="dxa"/>
            <w:vAlign w:val="center"/>
            <w:textDirection w:val="lrTb"/>
            <w:noWrap w:val="false"/>
          </w:tcPr>
          <w:p>
            <w:pPr>
              <w:ind w:left="0" w:right="0" w:firstLine="0"/>
              <w:jc w:val="center"/>
              <w:spacing w:before="0" w:after="16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8" w:type="dxa"/>
            <w:vAlign w:val="center"/>
            <w:textDirection w:val="lrTb"/>
            <w:noWrap w:val="false"/>
          </w:tcPr>
          <w:p>
            <w:pPr>
              <w:ind w:left="0" w:right="0" w:firstLine="0"/>
              <w:jc w:val="center"/>
              <w:spacing w:before="0" w:after="16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7" w:type="dxa"/>
            <w:vAlign w:val="center"/>
            <w:textDirection w:val="lrTb"/>
            <w:noWrap w:val="false"/>
          </w:tcPr>
          <w:p>
            <w:pPr>
              <w:ind w:left="0" w:right="0" w:firstLine="0"/>
              <w:jc w:val="center"/>
              <w:spacing w:before="0" w:after="16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7" w:type="dxa"/>
            <w:vAlign w:val="center"/>
            <w:textDirection w:val="lrTb"/>
            <w:noWrap w:val="false"/>
          </w:tcPr>
          <w:p>
            <w:pPr>
              <w:ind w:left="0" w:right="0" w:firstLine="0"/>
              <w:jc w:val="center"/>
              <w:spacing w:before="0" w:after="16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9" w:type="dxa"/>
            <w:vAlign w:val="center"/>
            <w:textDirection w:val="lrTb"/>
            <w:noWrap w:val="false"/>
          </w:tcPr>
          <w:p>
            <w:pPr>
              <w:ind w:left="0" w:right="0" w:firstLine="0"/>
              <w:jc w:val="center"/>
              <w:spacing w:before="0" w:after="16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7" w:type="dxa"/>
            <w:vAlign w:val="center"/>
            <w:textDirection w:val="lrTb"/>
            <w:noWrap w:val="false"/>
          </w:tcPr>
          <w:p>
            <w:pPr>
              <w:ind w:left="0" w:right="0" w:firstLine="0"/>
              <w:jc w:val="center"/>
              <w:spacing w:before="0" w:after="16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8" w:type="dxa"/>
            <w:vAlign w:val="center"/>
            <w:textDirection w:val="lrTb"/>
            <w:noWrap w:val="false"/>
          </w:tcPr>
          <w:p>
            <w:pPr>
              <w:ind w:left="0" w:right="0" w:firstLine="0"/>
              <w:jc w:val="center"/>
              <w:spacing w:before="0" w:after="16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7" w:type="dxa"/>
            <w:vAlign w:val="center"/>
            <w:textDirection w:val="lrTb"/>
            <w:noWrap w:val="false"/>
          </w:tcPr>
          <w:p>
            <w:pPr>
              <w:ind w:left="0" w:right="0" w:firstLine="0"/>
              <w:jc w:val="center"/>
              <w:spacing w:before="0" w:after="16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7" w:type="dxa"/>
            <w:vAlign w:val="center"/>
            <w:textDirection w:val="lrTb"/>
            <w:noWrap w:val="false"/>
          </w:tcPr>
          <w:p>
            <w:pPr>
              <w:ind w:left="0" w:right="0" w:firstLine="0"/>
              <w:jc w:val="center"/>
              <w:spacing w:before="0" w:after="16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9" w:type="dxa"/>
            <w:vAlign w:val="center"/>
            <w:textDirection w:val="lrTb"/>
            <w:noWrap w:val="false"/>
          </w:tcPr>
          <w:p>
            <w:pPr>
              <w:ind w:left="0" w:right="0" w:firstLine="0"/>
              <w:jc w:val="center"/>
              <w:spacing w:before="0" w:after="16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7" w:type="dxa"/>
            <w:vAlign w:val="center"/>
            <w:textDirection w:val="lrTb"/>
            <w:noWrap w:val="false"/>
          </w:tcPr>
          <w:p>
            <w:pPr>
              <w:ind w:left="0" w:right="0" w:firstLine="0"/>
              <w:jc w:val="center"/>
              <w:spacing w:before="0" w:after="16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8" w:type="dxa"/>
            <w:vAlign w:val="center"/>
            <w:textDirection w:val="lrTb"/>
            <w:noWrap w:val="false"/>
          </w:tcPr>
          <w:p>
            <w:pPr>
              <w:ind w:left="0" w:right="0" w:firstLine="0"/>
              <w:jc w:val="center"/>
              <w:spacing w:before="0" w:after="16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7" w:type="dxa"/>
            <w:vAlign w:val="center"/>
            <w:textDirection w:val="lrTb"/>
            <w:noWrap w:val="false"/>
          </w:tcPr>
          <w:p>
            <w:pPr>
              <w:ind w:left="0" w:right="0" w:firstLine="0"/>
              <w:jc w:val="center"/>
              <w:spacing w:before="0" w:after="16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7" w:type="dxa"/>
            <w:vAlign w:val="center"/>
            <w:textDirection w:val="lrTb"/>
            <w:noWrap w:val="false"/>
          </w:tcPr>
          <w:p>
            <w:pPr>
              <w:ind w:left="0" w:right="0" w:firstLine="0"/>
              <w:jc w:val="center"/>
              <w:spacing w:before="0" w:after="16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9" w:type="dxa"/>
            <w:vAlign w:val="center"/>
            <w:textDirection w:val="lrTb"/>
            <w:noWrap w:val="false"/>
          </w:tcPr>
          <w:p>
            <w:pPr>
              <w:ind w:left="0" w:right="0" w:firstLine="0"/>
              <w:jc w:val="center"/>
              <w:spacing w:before="0" w:after="16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7" w:type="dxa"/>
            <w:vAlign w:val="center"/>
            <w:textDirection w:val="lrTb"/>
            <w:noWrap w:val="false"/>
          </w:tcPr>
          <w:p>
            <w:pPr>
              <w:ind w:left="0" w:right="0" w:firstLine="0"/>
              <w:jc w:val="center"/>
              <w:spacing w:before="0" w:after="16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8" w:type="dxa"/>
            <w:vAlign w:val="center"/>
            <w:textDirection w:val="lrTb"/>
            <w:noWrap w:val="false"/>
          </w:tcPr>
          <w:p>
            <w:pPr>
              <w:ind w:left="0" w:right="0" w:firstLine="0"/>
              <w:jc w:val="center"/>
              <w:spacing w:before="0" w:after="16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7" w:type="dxa"/>
            <w:vAlign w:val="center"/>
            <w:textDirection w:val="lrTb"/>
            <w:noWrap w:val="false"/>
          </w:tcPr>
          <w:p>
            <w:pPr>
              <w:ind w:left="0" w:right="0" w:firstLine="0"/>
              <w:jc w:val="center"/>
              <w:spacing w:before="0" w:after="16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7" w:type="dxa"/>
            <w:vAlign w:val="center"/>
            <w:textDirection w:val="lrTb"/>
            <w:noWrap w:val="false"/>
          </w:tcPr>
          <w:p>
            <w:pPr>
              <w:ind w:left="0" w:right="0" w:firstLine="0"/>
              <w:jc w:val="center"/>
              <w:spacing w:before="0" w:after="16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9"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8"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0"/>
        </w:trPr>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03"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合计：</w:t>
            </w:r>
            <w:r/>
          </w:p>
        </w:tc>
      </w:tr>
    </w:tbl>
    <w:p>
      <w:pPr>
        <w:ind w:left="0" w:right="0" w:firstLine="24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注：所列项目必须核算明细，如有增加，可自行添加。</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供应商：（盖公章）</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法定代表人或被授权人：（签字或盖章）</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rPr>
          <w:rFonts w:ascii="SimSun" w:hAnsi="SimSun" w:eastAsia="SimSun" w:cs="SimSun"/>
          <w:color w:val="000000"/>
          <w:sz w:val="21"/>
        </w:rPr>
        <w:t xml:space="preserve">、</w:t>
      </w:r>
      <w:r>
        <w:rPr>
          <w:rFonts w:ascii="SimSun" w:hAnsi="SimSun" w:eastAsia="SimSun" w:cs="SimSun"/>
          <w:color w:val="000000"/>
          <w:sz w:val="24"/>
        </w:rPr>
        <w:t xml:space="preserve">人员配备一览表</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人员配备一览表</w:t>
      </w:r>
      <w:r/>
    </w:p>
    <w:tbl>
      <w:tblPr>
        <w:tblStyle w:val="75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30"/>
        <w:gridCol w:w="1040"/>
        <w:gridCol w:w="645"/>
        <w:gridCol w:w="1116"/>
        <w:gridCol w:w="1164"/>
        <w:gridCol w:w="1833"/>
        <w:gridCol w:w="1239"/>
      </w:tblGrid>
      <w:tr>
        <w:trPr>
          <w:trHeight w:val="85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4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岗位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1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年龄</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4"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33"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基本要求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39"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4"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3"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9"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4"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3"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9"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0"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0"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6"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4"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3"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9"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0"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0"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6"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4"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3"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9"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290" w:firstLine="0"/>
        <w:spacing w:before="240" w:after="240" w:line="360" w:lineRule="auto"/>
        <w:tabs>
          <w:tab w:val="left" w:pos="90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供应商：（单位盖章）</w:t>
      </w:r>
      <w:r/>
    </w:p>
    <w:p>
      <w:pPr>
        <w:ind w:left="0" w:right="-290" w:firstLine="0"/>
        <w:spacing w:before="240" w:after="240" w:line="360" w:lineRule="auto"/>
        <w:tabs>
          <w:tab w:val="left" w:pos="90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法定代表人或被授权人：（签字或盖章）</w:t>
      </w:r>
      <w:r/>
    </w:p>
    <w:p>
      <w:pPr>
        <w:ind w:left="0" w:right="-290" w:firstLine="0"/>
        <w:spacing w:before="240" w:after="240" w:line="360" w:lineRule="auto"/>
        <w:tabs>
          <w:tab w:val="left" w:pos="90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color w:val="000000"/>
          <w:sz w:val="24"/>
        </w:rPr>
        <w:t xml:space="preserve">6、项目业绩一览表</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项目业绩一览表</w:t>
      </w:r>
      <w:r/>
    </w:p>
    <w:tbl>
      <w:tblPr>
        <w:tblStyle w:val="75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55"/>
        <w:gridCol w:w="1284"/>
        <w:gridCol w:w="1229"/>
        <w:gridCol w:w="1294"/>
        <w:gridCol w:w="1797"/>
        <w:gridCol w:w="160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29"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项目时间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4"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合同金额</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（人民币）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9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业主单位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3"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9"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4"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7"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3"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9"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4"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7"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3"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9"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4"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7"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3"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9"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4"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7"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3"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9"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4"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7"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3"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9"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4"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7"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3"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9"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4"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7"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3"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9"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4"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7"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3"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9"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4"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7"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3"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290" w:firstLine="0"/>
        <w:spacing w:before="240" w:after="240" w:line="360" w:lineRule="auto"/>
        <w:tabs>
          <w:tab w:val="left" w:pos="90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供应商：（单位盖章）</w:t>
      </w:r>
      <w:r/>
    </w:p>
    <w:p>
      <w:pPr>
        <w:ind w:left="0" w:right="-290" w:firstLine="0"/>
        <w:spacing w:before="240" w:after="240" w:line="360" w:lineRule="auto"/>
        <w:tabs>
          <w:tab w:val="left" w:pos="90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法定代表人或被授权人：（签字或盖章）</w:t>
      </w:r>
      <w:r/>
    </w:p>
    <w:p>
      <w:pPr>
        <w:ind w:left="0" w:right="-290" w:firstLine="0"/>
        <w:spacing w:before="240" w:after="240" w:line="360" w:lineRule="auto"/>
        <w:tabs>
          <w:tab w:val="left" w:pos="90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spacing w:line="360" w:lineRule="auto"/>
        <w:shd w:val="nil" w:color="auto"/>
        <w:rPr>
          <w:sz w:val="24"/>
          <w:szCs w:val="24"/>
        </w:rPr>
      </w:pPr>
      <w:r>
        <w:rPr>
          <w:sz w:val="24"/>
        </w:rPr>
        <w:br w:type="page" w:clear="all"/>
      </w:r>
      <w:r>
        <w:rPr>
          <w:sz w:val="24"/>
        </w:rPr>
      </w:r>
      <w:r/>
    </w:p>
    <w:p>
      <w:pPr>
        <w:ind w:left="0" w:right="0" w:firstLine="0"/>
        <w:spacing w:before="240" w:after="240" w:line="360" w:lineRule="auto"/>
        <w:rPr>
          <w:sz w:val="24"/>
          <w:szCs w:val="24"/>
        </w:rPr>
        <w:pBdr>
          <w:top w:val="none" w:color="000000" w:sz="4" w:space="0"/>
          <w:left w:val="none" w:color="000000" w:sz="4" w:space="0"/>
          <w:bottom w:val="none" w:color="000000" w:sz="4" w:space="0"/>
          <w:right w:val="none" w:color="000000" w:sz="4" w:space="0"/>
        </w:pBdr>
      </w:pPr>
      <w:r>
        <w:rPr>
          <w:sz w:val="24"/>
        </w:rPr>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7、《商务条款偏离表》、《服务要求对照偏离表》</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（1）《商务条款偏离表》</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商务条款偏离表</w:t>
      </w:r>
      <w:r/>
    </w:p>
    <w:tbl>
      <w:tblPr>
        <w:tblStyle w:val="75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24"/>
        <w:gridCol w:w="1674"/>
        <w:gridCol w:w="2084"/>
        <w:gridCol w:w="2084"/>
        <w:gridCol w:w="125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24"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74"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采购文件条目号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84"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采购文件的商务条款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84"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响应文件的商务条款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56"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4"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4"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84"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84"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6"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4"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4"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84"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84"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6"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4"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4"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84"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84"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6"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4"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4"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84"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84"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6"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4"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4"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84"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84"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6"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4"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4"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84"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84"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6"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4"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4"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84"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84"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6"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4"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4"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84"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84"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6"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4"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4"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84"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84"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6"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4"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4"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84"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84"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6"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4"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4"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84"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84"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6"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注：响应单位的响应文件（除技术要求部分）与采购文件规定的有偏离的，应在此表中说明。未在上表中说明的，将被认为完全响应招标文件的规定。</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290" w:firstLine="0"/>
        <w:spacing w:before="240" w:after="240" w:line="360" w:lineRule="auto"/>
        <w:tabs>
          <w:tab w:val="left" w:pos="90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响应单位：（单位盖章）</w:t>
      </w:r>
      <w:r/>
    </w:p>
    <w:p>
      <w:pPr>
        <w:ind w:left="0" w:right="-290" w:firstLine="0"/>
        <w:spacing w:before="240" w:after="240" w:line="360" w:lineRule="auto"/>
        <w:tabs>
          <w:tab w:val="left" w:pos="90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法定代表人或被授权人：（签字或盖章）</w:t>
      </w:r>
      <w:r/>
    </w:p>
    <w:p>
      <w:pPr>
        <w:ind w:left="0" w:right="-290" w:firstLine="0"/>
        <w:spacing w:before="240" w:after="240" w:line="360" w:lineRule="auto"/>
        <w:tabs>
          <w:tab w:val="left" w:pos="90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spacing w:before="0" w:after="0" w:line="360" w:lineRule="auto"/>
        <w:tabs>
          <w:tab w:val="left" w:pos="8930" w:leader="none"/>
          <w:tab w:val="left" w:pos="9306" w:leader="none"/>
        </w:tabs>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360" w:lineRule="auto"/>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（2）《服务要求对照偏离表》</w:t>
      </w:r>
      <w:r/>
    </w:p>
    <w:p>
      <w:pPr>
        <w:ind w:left="0" w:right="0" w:firstLine="0"/>
        <w:jc w:val="center"/>
        <w:spacing w:before="0" w:after="0" w:line="360" w:lineRule="auto"/>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服务要求对照偏离表</w:t>
      </w:r>
      <w:r/>
    </w:p>
    <w:p>
      <w:pPr>
        <w:ind w:left="0" w:right="0" w:firstLine="0"/>
        <w:jc w:val="center"/>
        <w:spacing w:before="0" w:after="0" w:line="360" w:lineRule="auto"/>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360" w:lineRule="auto"/>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项目编号：JSZC-320509-SZAD-C2026-0001</w:t>
      </w:r>
      <w:r>
        <w:rPr>
          <w:rFonts w:ascii="SimSun" w:hAnsi="SimSun" w:eastAsia="SimSun" w:cs="SimSun"/>
          <w:color w:val="000000"/>
          <w:sz w:val="24"/>
          <w:u w:val="single"/>
        </w:rPr>
        <w:t xml:space="preserve">             </w:t>
      </w:r>
      <w:r>
        <w:rPr>
          <w:rFonts w:ascii="SimSun" w:hAnsi="SimSun" w:eastAsia="SimSun" w:cs="SimSun"/>
          <w:color w:val="000000"/>
          <w:sz w:val="24"/>
        </w:rPr>
        <w:t xml:space="preserve">号</w:t>
      </w:r>
      <w:r/>
    </w:p>
    <w:tbl>
      <w:tblPr>
        <w:tblStyle w:val="75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49"/>
        <w:gridCol w:w="1516"/>
        <w:gridCol w:w="1796"/>
        <w:gridCol w:w="1798"/>
        <w:gridCol w:w="1798"/>
      </w:tblGrid>
      <w:tr>
        <w:trPr>
          <w:trHeight w:val="60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49"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16" w:type="dxa"/>
            <w:vAlign w:val="center"/>
            <w:textDirection w:val="lrTb"/>
            <w:noWrap w:val="false"/>
          </w:tcPr>
          <w:p>
            <w:pPr>
              <w:ind w:left="54"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9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98"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98"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偏离说明</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9"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6" w:type="dxa"/>
            <w:vAlign w:val="top"/>
            <w:textDirection w:val="lrTb"/>
            <w:noWrap w:val="false"/>
          </w:tcPr>
          <w:p>
            <w:pPr>
              <w:ind w:left="0" w:right="0" w:firstLine="699"/>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6" w:type="dxa"/>
            <w:vAlign w:val="top"/>
            <w:textDirection w:val="lrTb"/>
            <w:noWrap w:val="false"/>
          </w:tcPr>
          <w:p>
            <w:pPr>
              <w:ind w:left="0" w:right="0" w:firstLine="699"/>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8" w:type="dxa"/>
            <w:vAlign w:val="top"/>
            <w:textDirection w:val="lrTb"/>
            <w:noWrap w:val="false"/>
          </w:tcPr>
          <w:p>
            <w:pPr>
              <w:ind w:left="0" w:right="0" w:firstLine="699"/>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8" w:type="dxa"/>
            <w:vAlign w:val="top"/>
            <w:textDirection w:val="lrTb"/>
            <w:noWrap w:val="false"/>
          </w:tcPr>
          <w:p>
            <w:pPr>
              <w:ind w:left="0" w:right="0" w:firstLine="699"/>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9"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6" w:type="dxa"/>
            <w:vAlign w:val="top"/>
            <w:textDirection w:val="lrTb"/>
            <w:noWrap w:val="false"/>
          </w:tcPr>
          <w:p>
            <w:pPr>
              <w:ind w:left="0" w:right="0" w:firstLine="699"/>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6" w:type="dxa"/>
            <w:vAlign w:val="top"/>
            <w:textDirection w:val="lrTb"/>
            <w:noWrap w:val="false"/>
          </w:tcPr>
          <w:p>
            <w:pPr>
              <w:ind w:left="0" w:right="0" w:firstLine="699"/>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8" w:type="dxa"/>
            <w:vAlign w:val="top"/>
            <w:textDirection w:val="lrTb"/>
            <w:noWrap w:val="false"/>
          </w:tcPr>
          <w:p>
            <w:pPr>
              <w:ind w:left="0" w:right="0" w:firstLine="699"/>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8" w:type="dxa"/>
            <w:vAlign w:val="top"/>
            <w:textDirection w:val="lrTb"/>
            <w:noWrap w:val="false"/>
          </w:tcPr>
          <w:p>
            <w:pPr>
              <w:ind w:left="0" w:right="0" w:firstLine="699"/>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9"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6" w:type="dxa"/>
            <w:vAlign w:val="top"/>
            <w:textDirection w:val="lrTb"/>
            <w:noWrap w:val="false"/>
          </w:tcPr>
          <w:p>
            <w:pPr>
              <w:ind w:left="0" w:right="0" w:firstLine="699"/>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6" w:type="dxa"/>
            <w:vAlign w:val="top"/>
            <w:textDirection w:val="lrTb"/>
            <w:noWrap w:val="false"/>
          </w:tcPr>
          <w:p>
            <w:pPr>
              <w:ind w:left="0" w:right="0" w:firstLine="699"/>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8" w:type="dxa"/>
            <w:vAlign w:val="top"/>
            <w:textDirection w:val="lrTb"/>
            <w:noWrap w:val="false"/>
          </w:tcPr>
          <w:p>
            <w:pPr>
              <w:ind w:left="0" w:right="0" w:firstLine="699"/>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8" w:type="dxa"/>
            <w:vAlign w:val="top"/>
            <w:textDirection w:val="lrTb"/>
            <w:noWrap w:val="false"/>
          </w:tcPr>
          <w:p>
            <w:pPr>
              <w:ind w:left="0" w:right="0" w:firstLine="699"/>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9"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6" w:type="dxa"/>
            <w:vAlign w:val="top"/>
            <w:textDirection w:val="lrTb"/>
            <w:noWrap w:val="false"/>
          </w:tcPr>
          <w:p>
            <w:pPr>
              <w:ind w:left="0" w:right="0" w:firstLine="699"/>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6" w:type="dxa"/>
            <w:vAlign w:val="top"/>
            <w:textDirection w:val="lrTb"/>
            <w:noWrap w:val="false"/>
          </w:tcPr>
          <w:p>
            <w:pPr>
              <w:ind w:left="0" w:right="0" w:firstLine="699"/>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8" w:type="dxa"/>
            <w:vAlign w:val="top"/>
            <w:textDirection w:val="lrTb"/>
            <w:noWrap w:val="false"/>
          </w:tcPr>
          <w:p>
            <w:pPr>
              <w:ind w:left="0" w:right="0" w:firstLine="699"/>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8" w:type="dxa"/>
            <w:vAlign w:val="top"/>
            <w:textDirection w:val="lrTb"/>
            <w:noWrap w:val="false"/>
          </w:tcPr>
          <w:p>
            <w:pPr>
              <w:ind w:left="0" w:right="0" w:firstLine="699"/>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9"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6" w:type="dxa"/>
            <w:vAlign w:val="top"/>
            <w:textDirection w:val="lrTb"/>
            <w:noWrap w:val="false"/>
          </w:tcPr>
          <w:p>
            <w:pPr>
              <w:ind w:left="0" w:right="0" w:firstLine="699"/>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6" w:type="dxa"/>
            <w:vAlign w:val="top"/>
            <w:textDirection w:val="lrTb"/>
            <w:noWrap w:val="false"/>
          </w:tcPr>
          <w:p>
            <w:pPr>
              <w:ind w:left="0" w:right="0" w:firstLine="699"/>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8" w:type="dxa"/>
            <w:vAlign w:val="top"/>
            <w:textDirection w:val="lrTb"/>
            <w:noWrap w:val="false"/>
          </w:tcPr>
          <w:p>
            <w:pPr>
              <w:ind w:left="0" w:right="0" w:firstLine="699"/>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8" w:type="dxa"/>
            <w:vAlign w:val="top"/>
            <w:textDirection w:val="lrTb"/>
            <w:noWrap w:val="false"/>
          </w:tcPr>
          <w:p>
            <w:pPr>
              <w:ind w:left="0" w:right="0" w:firstLine="699"/>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9"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6" w:type="dxa"/>
            <w:vAlign w:val="top"/>
            <w:textDirection w:val="lrTb"/>
            <w:noWrap w:val="false"/>
          </w:tcPr>
          <w:p>
            <w:pPr>
              <w:ind w:left="0" w:right="0" w:firstLine="699"/>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6" w:type="dxa"/>
            <w:vAlign w:val="top"/>
            <w:textDirection w:val="lrTb"/>
            <w:noWrap w:val="false"/>
          </w:tcPr>
          <w:p>
            <w:pPr>
              <w:ind w:left="0" w:right="0" w:firstLine="699"/>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8" w:type="dxa"/>
            <w:vAlign w:val="top"/>
            <w:textDirection w:val="lrTb"/>
            <w:noWrap w:val="false"/>
          </w:tcPr>
          <w:p>
            <w:pPr>
              <w:ind w:left="0" w:right="0" w:firstLine="699"/>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8" w:type="dxa"/>
            <w:vAlign w:val="top"/>
            <w:textDirection w:val="lrTb"/>
            <w:noWrap w:val="false"/>
          </w:tcPr>
          <w:p>
            <w:pPr>
              <w:ind w:left="0" w:right="0" w:firstLine="699"/>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9"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6" w:type="dxa"/>
            <w:vAlign w:val="top"/>
            <w:textDirection w:val="lrTb"/>
            <w:noWrap w:val="false"/>
          </w:tcPr>
          <w:p>
            <w:pPr>
              <w:ind w:left="0" w:right="0" w:firstLine="699"/>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6" w:type="dxa"/>
            <w:vAlign w:val="top"/>
            <w:textDirection w:val="lrTb"/>
            <w:noWrap w:val="false"/>
          </w:tcPr>
          <w:p>
            <w:pPr>
              <w:ind w:left="0" w:right="0" w:firstLine="699"/>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8" w:type="dxa"/>
            <w:vAlign w:val="top"/>
            <w:textDirection w:val="lrTb"/>
            <w:noWrap w:val="false"/>
          </w:tcPr>
          <w:p>
            <w:pPr>
              <w:ind w:left="0" w:right="0" w:firstLine="699"/>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8" w:type="dxa"/>
            <w:vAlign w:val="top"/>
            <w:textDirection w:val="lrTb"/>
            <w:noWrap w:val="false"/>
          </w:tcPr>
          <w:p>
            <w:pPr>
              <w:ind w:left="0" w:right="0" w:firstLine="699"/>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9"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6" w:type="dxa"/>
            <w:vAlign w:val="top"/>
            <w:textDirection w:val="lrTb"/>
            <w:noWrap w:val="false"/>
          </w:tcPr>
          <w:p>
            <w:pPr>
              <w:ind w:left="0" w:right="0" w:firstLine="699"/>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6" w:type="dxa"/>
            <w:vAlign w:val="top"/>
            <w:textDirection w:val="lrTb"/>
            <w:noWrap w:val="false"/>
          </w:tcPr>
          <w:p>
            <w:pPr>
              <w:ind w:left="0" w:right="0" w:firstLine="699"/>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8" w:type="dxa"/>
            <w:vAlign w:val="top"/>
            <w:textDirection w:val="lrTb"/>
            <w:noWrap w:val="false"/>
          </w:tcPr>
          <w:p>
            <w:pPr>
              <w:ind w:left="0" w:right="0" w:firstLine="699"/>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8" w:type="dxa"/>
            <w:vAlign w:val="top"/>
            <w:textDirection w:val="lrTb"/>
            <w:noWrap w:val="false"/>
          </w:tcPr>
          <w:p>
            <w:pPr>
              <w:ind w:left="0" w:right="0" w:firstLine="699"/>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9"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6" w:type="dxa"/>
            <w:vAlign w:val="top"/>
            <w:textDirection w:val="lrTb"/>
            <w:noWrap w:val="false"/>
          </w:tcPr>
          <w:p>
            <w:pPr>
              <w:ind w:left="0" w:right="0" w:firstLine="699"/>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6" w:type="dxa"/>
            <w:vAlign w:val="top"/>
            <w:textDirection w:val="lrTb"/>
            <w:noWrap w:val="false"/>
          </w:tcPr>
          <w:p>
            <w:pPr>
              <w:ind w:left="0" w:right="0" w:firstLine="699"/>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8" w:type="dxa"/>
            <w:vAlign w:val="top"/>
            <w:textDirection w:val="lrTb"/>
            <w:noWrap w:val="false"/>
          </w:tcPr>
          <w:p>
            <w:pPr>
              <w:ind w:left="0" w:right="0" w:firstLine="699"/>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8" w:type="dxa"/>
            <w:vAlign w:val="top"/>
            <w:textDirection w:val="lrTb"/>
            <w:noWrap w:val="false"/>
          </w:tcPr>
          <w:p>
            <w:pPr>
              <w:ind w:left="0" w:right="0" w:firstLine="699"/>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9"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6" w:type="dxa"/>
            <w:vAlign w:val="top"/>
            <w:textDirection w:val="lrTb"/>
            <w:noWrap w:val="false"/>
          </w:tcPr>
          <w:p>
            <w:pPr>
              <w:ind w:left="0" w:right="0" w:firstLine="699"/>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6" w:type="dxa"/>
            <w:vAlign w:val="top"/>
            <w:textDirection w:val="lrTb"/>
            <w:noWrap w:val="false"/>
          </w:tcPr>
          <w:p>
            <w:pPr>
              <w:ind w:left="0" w:right="0" w:firstLine="699"/>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8" w:type="dxa"/>
            <w:vAlign w:val="top"/>
            <w:textDirection w:val="lrTb"/>
            <w:noWrap w:val="false"/>
          </w:tcPr>
          <w:p>
            <w:pPr>
              <w:ind w:left="0" w:right="0" w:firstLine="699"/>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8" w:type="dxa"/>
            <w:vAlign w:val="top"/>
            <w:textDirection w:val="lrTb"/>
            <w:noWrap w:val="false"/>
          </w:tcPr>
          <w:p>
            <w:pPr>
              <w:ind w:left="0" w:right="0" w:firstLine="699"/>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0" w:after="0" w:line="360" w:lineRule="auto"/>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360" w:lineRule="auto"/>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响应单位：（单位盖章）</w:t>
      </w:r>
      <w:r/>
    </w:p>
    <w:p>
      <w:pPr>
        <w:ind w:left="0" w:right="0" w:firstLine="0"/>
        <w:jc w:val="both"/>
        <w:spacing w:before="0" w:after="0" w:line="360" w:lineRule="auto"/>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法定代表人或授权委托人：（签字或盖章）</w:t>
      </w:r>
      <w:r/>
    </w:p>
    <w:p>
      <w:pPr>
        <w:ind w:left="0" w:right="0" w:firstLine="0"/>
        <w:jc w:val="both"/>
        <w:spacing w:before="0" w:after="0" w:line="360" w:lineRule="auto"/>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8、有关资格证明文件</w:t>
      </w:r>
      <w:r/>
    </w:p>
    <w:p>
      <w:pPr>
        <w:ind w:left="0" w:right="0" w:firstLine="43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1）关于资格文件的声明函</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关于资格文件的声明函</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本公司愿就由贵公司组织实施的项目编号为</w:t>
      </w:r>
      <w:r>
        <w:rPr>
          <w:rFonts w:ascii="SimSun" w:hAnsi="SimSun" w:eastAsia="SimSun" w:cs="SimSun"/>
          <w:color w:val="000000"/>
          <w:sz w:val="24"/>
          <w:u w:val="single"/>
        </w:rPr>
        <w:t xml:space="preserve">        </w:t>
      </w:r>
      <w:r>
        <w:rPr>
          <w:rFonts w:ascii="SimSun" w:hAnsi="SimSun" w:eastAsia="SimSun" w:cs="SimSun"/>
          <w:color w:val="000000"/>
          <w:sz w:val="24"/>
        </w:rPr>
        <w:t xml:space="preserve">号的磋商采购活动进行商务磋商。本公司所提交的商务、技术及报价文件中所有关于磋商资格的文件、证明和陈述均是真实的、准确的。若与真实情况不符，本公司愿意承担由此而产生的一切后果。</w:t>
      </w:r>
      <w:r/>
    </w:p>
    <w:p>
      <w:pPr>
        <w:ind w:left="0" w:right="0" w:firstLine="43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ab/>
      </w:r>
      <w:r/>
    </w:p>
    <w:p>
      <w:pPr>
        <w:ind w:left="0" w:right="-290" w:firstLine="0"/>
        <w:jc w:val="both"/>
        <w:spacing w:before="0" w:after="0" w:line="360" w:lineRule="auto"/>
        <w:tabs>
          <w:tab w:val="left" w:pos="90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供应商：（单位盖章）</w:t>
      </w:r>
      <w:r/>
    </w:p>
    <w:p>
      <w:pPr>
        <w:ind w:left="0" w:right="-290" w:firstLine="0"/>
        <w:spacing w:before="0" w:after="0" w:line="360" w:lineRule="auto"/>
        <w:tabs>
          <w:tab w:val="left" w:pos="90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法定代表人或被授权人：（签字或盖章）</w:t>
      </w:r>
      <w:r/>
    </w:p>
    <w:p>
      <w:pPr>
        <w:ind w:left="0" w:right="-290" w:firstLine="0"/>
        <w:spacing w:before="0" w:after="0" w:line="360" w:lineRule="auto"/>
        <w:tabs>
          <w:tab w:val="left" w:pos="90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spacing w:before="240" w:after="24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360" w:lineRule="auto"/>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（2）响应单位情况表</w:t>
      </w:r>
      <w:r/>
    </w:p>
    <w:p>
      <w:pPr>
        <w:ind w:left="0" w:right="0" w:firstLine="0"/>
        <w:jc w:val="center"/>
        <w:spacing w:before="240" w:after="24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响应单位情况表</w:t>
      </w:r>
      <w:r/>
    </w:p>
    <w:p>
      <w:pPr>
        <w:ind w:left="0" w:right="0" w:firstLine="0"/>
        <w:spacing w:before="240" w:after="24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单位名称（盖章）</w:t>
      </w:r>
      <w:r/>
    </w:p>
    <w:tbl>
      <w:tblPr>
        <w:tblStyle w:val="75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798"/>
        <w:gridCol w:w="1702"/>
        <w:gridCol w:w="2055"/>
        <w:gridCol w:w="860"/>
        <w:gridCol w:w="112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98" w:type="dxa"/>
            <w:vAlign w:val="top"/>
            <w:textDirection w:val="lrTb"/>
            <w:noWrap w:val="false"/>
          </w:tcPr>
          <w:p>
            <w:pPr>
              <w:ind w:left="0" w:right="0" w:firstLine="0"/>
              <w:jc w:val="both"/>
              <w:spacing w:before="200" w:after="20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2" w:type="dxa"/>
            <w:vAlign w:val="top"/>
            <w:textDirection w:val="lrTb"/>
            <w:noWrap w:val="false"/>
          </w:tcPr>
          <w:p>
            <w:pPr>
              <w:ind w:left="0" w:right="0" w:firstLine="0"/>
              <w:jc w:val="both"/>
              <w:spacing w:before="200" w:after="20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55" w:type="dxa"/>
            <w:vAlign w:val="top"/>
            <w:textDirection w:val="lrTb"/>
            <w:noWrap w:val="false"/>
          </w:tcPr>
          <w:p>
            <w:pPr>
              <w:ind w:left="0" w:right="0" w:firstLine="0"/>
              <w:jc w:val="both"/>
              <w:spacing w:before="200" w:after="20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成立日期</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80" w:type="dxa"/>
            <w:vAlign w:val="top"/>
            <w:textDirection w:val="lrTb"/>
            <w:noWrap w:val="false"/>
          </w:tcPr>
          <w:p>
            <w:pPr>
              <w:ind w:left="0" w:right="0" w:firstLine="0"/>
              <w:spacing w:before="200" w:after="20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8" w:type="dxa"/>
            <w:vAlign w:val="top"/>
            <w:textDirection w:val="lrTb"/>
            <w:noWrap w:val="false"/>
          </w:tcPr>
          <w:p>
            <w:pPr>
              <w:ind w:left="0" w:right="0" w:firstLine="0"/>
              <w:jc w:val="both"/>
              <w:spacing w:before="200" w:after="20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企业地址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2" w:type="dxa"/>
            <w:vAlign w:val="top"/>
            <w:textDirection w:val="lrTb"/>
            <w:noWrap w:val="false"/>
          </w:tcPr>
          <w:p>
            <w:pPr>
              <w:ind w:left="0" w:right="0" w:firstLine="0"/>
              <w:jc w:val="both"/>
              <w:spacing w:before="200" w:after="20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5" w:type="dxa"/>
            <w:vAlign w:val="top"/>
            <w:textDirection w:val="lrTb"/>
            <w:noWrap w:val="false"/>
          </w:tcPr>
          <w:p>
            <w:pPr>
              <w:ind w:left="0" w:right="0" w:firstLine="0"/>
              <w:jc w:val="both"/>
              <w:spacing w:before="200" w:after="20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注册资本</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0" w:type="dxa"/>
            <w:vAlign w:val="top"/>
            <w:textDirection w:val="lrTb"/>
            <w:noWrap w:val="false"/>
          </w:tcPr>
          <w:p>
            <w:pPr>
              <w:ind w:left="0" w:right="0" w:firstLine="0"/>
              <w:jc w:val="both"/>
              <w:spacing w:before="200" w:after="20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8" w:type="dxa"/>
            <w:vAlign w:val="top"/>
            <w:textDirection w:val="lrTb"/>
            <w:noWrap w:val="false"/>
          </w:tcPr>
          <w:p>
            <w:pPr>
              <w:ind w:left="0" w:right="0" w:firstLine="0"/>
              <w:jc w:val="both"/>
              <w:spacing w:before="200" w:after="20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经营范围</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37" w:type="dxa"/>
            <w:vAlign w:val="top"/>
            <w:textDirection w:val="lrTb"/>
            <w:noWrap w:val="false"/>
          </w:tcPr>
          <w:p>
            <w:pPr>
              <w:ind w:left="0" w:right="0" w:firstLine="0"/>
              <w:jc w:val="both"/>
              <w:spacing w:before="200" w:after="20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8" w:type="dxa"/>
            <w:vAlign w:val="top"/>
            <w:textDirection w:val="lrTb"/>
            <w:noWrap w:val="false"/>
          </w:tcPr>
          <w:p>
            <w:pPr>
              <w:ind w:left="0" w:right="0" w:firstLine="0"/>
              <w:jc w:val="both"/>
              <w:spacing w:before="200" w:after="20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职工人数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2" w:type="dxa"/>
            <w:vAlign w:val="top"/>
            <w:textDirection w:val="lrTb"/>
            <w:noWrap w:val="false"/>
          </w:tcPr>
          <w:p>
            <w:pPr>
              <w:ind w:left="0" w:right="0" w:firstLine="0"/>
              <w:jc w:val="both"/>
              <w:spacing w:before="200" w:after="20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15" w:type="dxa"/>
            <w:vAlign w:val="top"/>
            <w:textDirection w:val="lrTb"/>
            <w:noWrap w:val="false"/>
          </w:tcPr>
          <w:p>
            <w:pPr>
              <w:ind w:left="0" w:right="0" w:firstLine="0"/>
              <w:jc w:val="both"/>
              <w:spacing w:before="200" w:after="20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其中：有中高级以上职称的人数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both"/>
              <w:spacing w:before="200" w:after="20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8" w:type="dxa"/>
            <w:vAlign w:val="top"/>
            <w:textDirection w:val="lrTb"/>
            <w:noWrap w:val="false"/>
          </w:tcPr>
          <w:p>
            <w:pPr>
              <w:ind w:left="0" w:right="0" w:firstLine="0"/>
              <w:jc w:val="both"/>
              <w:spacing w:before="200" w:after="20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资产总计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2" w:type="dxa"/>
            <w:vAlign w:val="top"/>
            <w:textDirection w:val="lrTb"/>
            <w:noWrap w:val="false"/>
          </w:tcPr>
          <w:p>
            <w:pPr>
              <w:ind w:left="0" w:right="0" w:firstLine="0"/>
              <w:jc w:val="both"/>
              <w:spacing w:before="200" w:after="20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5" w:type="dxa"/>
            <w:vAlign w:val="top"/>
            <w:textDirection w:val="lrTb"/>
            <w:noWrap w:val="false"/>
          </w:tcPr>
          <w:p>
            <w:pPr>
              <w:ind w:left="0" w:right="0" w:firstLine="0"/>
              <w:jc w:val="both"/>
              <w:spacing w:before="200" w:after="20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净资产</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0" w:type="dxa"/>
            <w:vAlign w:val="top"/>
            <w:textDirection w:val="lrTb"/>
            <w:noWrap w:val="false"/>
          </w:tcPr>
          <w:p>
            <w:pPr>
              <w:ind w:left="0" w:right="0" w:firstLine="1740"/>
              <w:jc w:val="both"/>
              <w:spacing w:before="200" w:after="20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8" w:type="dxa"/>
            <w:vAlign w:val="center"/>
            <w:textDirection w:val="lrTb"/>
            <w:noWrap w:val="false"/>
          </w:tcPr>
          <w:p>
            <w:pPr>
              <w:ind w:left="0" w:right="0" w:firstLine="0"/>
              <w:jc w:val="both"/>
              <w:spacing w:before="200" w:after="20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股东权益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0"/>
              <w:jc w:val="both"/>
              <w:spacing w:before="200" w:after="20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5" w:type="dxa"/>
            <w:vAlign w:val="center"/>
            <w:textDirection w:val="lrTb"/>
            <w:noWrap w:val="false"/>
          </w:tcPr>
          <w:p>
            <w:pPr>
              <w:ind w:left="0" w:right="0" w:firstLine="0"/>
              <w:jc w:val="both"/>
              <w:spacing w:before="200" w:after="20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销售收入</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0" w:type="dxa"/>
            <w:vAlign w:val="top"/>
            <w:textDirection w:val="lrTb"/>
            <w:noWrap w:val="false"/>
          </w:tcPr>
          <w:p>
            <w:pPr>
              <w:ind w:left="0" w:right="0" w:firstLine="0"/>
              <w:spacing w:before="200" w:after="20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2025年       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8" w:type="dxa"/>
            <w:vAlign w:val="top"/>
            <w:textDirection w:val="lrTb"/>
            <w:noWrap w:val="false"/>
          </w:tcPr>
          <w:p>
            <w:pPr>
              <w:ind w:left="0" w:right="0" w:firstLine="0"/>
              <w:jc w:val="both"/>
              <w:spacing w:before="200" w:after="20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实现利润</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37" w:type="dxa"/>
            <w:vAlign w:val="top"/>
            <w:textDirection w:val="lrTb"/>
            <w:noWrap w:val="false"/>
          </w:tcPr>
          <w:p>
            <w:pPr>
              <w:ind w:left="0" w:right="0" w:firstLine="0"/>
              <w:spacing w:before="200" w:after="20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2025年    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8" w:type="dxa"/>
            <w:vAlign w:val="center"/>
            <w:textDirection w:val="lrTb"/>
            <w:noWrap w:val="false"/>
          </w:tcPr>
          <w:p>
            <w:pPr>
              <w:ind w:left="0" w:right="0" w:firstLine="0"/>
              <w:jc w:val="both"/>
              <w:spacing w:before="200" w:after="20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经营面积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0"/>
              <w:jc w:val="both"/>
              <w:spacing w:before="200" w:after="20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平方米</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55" w:type="dxa"/>
            <w:vAlign w:val="center"/>
            <w:textDirection w:val="lrTb"/>
            <w:noWrap w:val="false"/>
          </w:tcPr>
          <w:p>
            <w:pPr>
              <w:ind w:left="0" w:right="0" w:firstLine="0"/>
              <w:spacing w:before="200" w:after="20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其中：</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80" w:type="dxa"/>
            <w:vAlign w:val="top"/>
            <w:textDirection w:val="lrTb"/>
            <w:noWrap w:val="false"/>
          </w:tcPr>
          <w:p>
            <w:pPr>
              <w:ind w:left="0" w:right="0" w:firstLine="0"/>
              <w:jc w:val="both"/>
              <w:spacing w:before="200" w:after="20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自有面积     平方米</w:t>
            </w:r>
            <w:r/>
          </w:p>
          <w:p>
            <w:pPr>
              <w:ind w:left="0" w:right="0" w:firstLine="0"/>
              <w:jc w:val="both"/>
              <w:spacing w:before="200" w:after="20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承租面积     平方米</w:t>
            </w:r>
            <w:r/>
          </w:p>
        </w:tc>
      </w:tr>
      <w:tr>
        <w:trPr>
          <w:trHeight w:val="38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8" w:type="dxa"/>
            <w:vAlign w:val="center"/>
            <w:textDirection w:val="lrTb"/>
            <w:noWrap w:val="false"/>
          </w:tcPr>
          <w:p>
            <w:pPr>
              <w:ind w:left="0" w:right="0" w:firstLine="0"/>
              <w:jc w:val="both"/>
              <w:spacing w:before="200" w:after="20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单位简历及内设机构情况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37" w:type="dxa"/>
            <w:vAlign w:val="top"/>
            <w:textDirection w:val="lrTb"/>
            <w:noWrap w:val="false"/>
          </w:tcPr>
          <w:p>
            <w:pPr>
              <w:ind w:left="0" w:right="0" w:firstLine="0"/>
              <w:jc w:val="both"/>
              <w:spacing w:before="200" w:after="20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8" w:type="dxa"/>
            <w:vAlign w:val="center"/>
            <w:textDirection w:val="lrTb"/>
            <w:noWrap w:val="false"/>
          </w:tcPr>
          <w:p>
            <w:pPr>
              <w:ind w:left="0" w:right="0" w:firstLine="0"/>
              <w:jc w:val="both"/>
              <w:spacing w:before="200" w:after="20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单位优势及特长</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37" w:type="dxa"/>
            <w:vAlign w:val="top"/>
            <w:textDirection w:val="lrTb"/>
            <w:noWrap w:val="false"/>
          </w:tcPr>
          <w:p>
            <w:pPr>
              <w:ind w:left="0" w:right="0" w:firstLine="0"/>
              <w:jc w:val="both"/>
              <w:spacing w:before="200" w:after="20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8" w:type="dxa"/>
            <w:vAlign w:val="top"/>
            <w:textDirection w:val="lrTb"/>
            <w:noWrap w:val="false"/>
          </w:tcPr>
          <w:p>
            <w:pPr>
              <w:ind w:left="0" w:right="0" w:firstLine="0"/>
              <w:jc w:val="both"/>
              <w:spacing w:before="200" w:after="20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近三年来完成或正在履行的重大合同情况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37" w:type="dxa"/>
            <w:vAlign w:val="top"/>
            <w:textDirection w:val="lrTb"/>
            <w:noWrap w:val="false"/>
          </w:tcPr>
          <w:p>
            <w:pPr>
              <w:ind w:left="0" w:right="0" w:firstLine="0"/>
              <w:jc w:val="both"/>
              <w:spacing w:before="200" w:after="20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8" w:type="dxa"/>
            <w:vAlign w:val="top"/>
            <w:textDirection w:val="lrTb"/>
            <w:noWrap w:val="false"/>
          </w:tcPr>
          <w:p>
            <w:pPr>
              <w:ind w:left="0" w:right="0" w:firstLine="0"/>
              <w:jc w:val="both"/>
              <w:spacing w:before="200" w:after="20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最近2年内在经营过程中受到何种奖励或处分</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37" w:type="dxa"/>
            <w:vAlign w:val="top"/>
            <w:textDirection w:val="lrTb"/>
            <w:noWrap w:val="false"/>
          </w:tcPr>
          <w:p>
            <w:pPr>
              <w:ind w:left="0" w:right="0" w:firstLine="0"/>
              <w:spacing w:before="200" w:after="20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（包括财政、工商、税务、物价、技监部门稽查情况和结果）</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8" w:type="dxa"/>
            <w:vAlign w:val="top"/>
            <w:textDirection w:val="lrTb"/>
            <w:noWrap w:val="false"/>
          </w:tcPr>
          <w:p>
            <w:pPr>
              <w:ind w:left="0" w:right="0" w:firstLine="0"/>
              <w:jc w:val="both"/>
              <w:spacing w:before="200" w:after="20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最近3年内有无因售假、售劣或是其他原因被消费者投诉或起诉的情况及说明</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37" w:type="dxa"/>
            <w:vAlign w:val="top"/>
            <w:textDirection w:val="lrTb"/>
            <w:noWrap w:val="false"/>
          </w:tcPr>
          <w:p>
            <w:pPr>
              <w:ind w:left="0" w:right="0" w:firstLine="0"/>
              <w:spacing w:before="200" w:after="20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（包括解决方式和结果）</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8" w:type="dxa"/>
            <w:vAlign w:val="top"/>
            <w:textDirection w:val="lrTb"/>
            <w:noWrap w:val="false"/>
          </w:tcPr>
          <w:p>
            <w:pPr>
              <w:ind w:left="0" w:right="0" w:firstLine="0"/>
              <w:jc w:val="both"/>
              <w:spacing w:before="200" w:after="20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最近3年内主要负责人有无经济犯罪被司法机关追究的情意及说明</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37" w:type="dxa"/>
            <w:vAlign w:val="top"/>
            <w:textDirection w:val="lrTb"/>
            <w:noWrap w:val="false"/>
          </w:tcPr>
          <w:p>
            <w:pPr>
              <w:ind w:left="0" w:right="0" w:firstLine="0"/>
              <w:jc w:val="both"/>
              <w:spacing w:before="200" w:after="20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8" w:type="dxa"/>
            <w:vAlign w:val="top"/>
            <w:textDirection w:val="lrTb"/>
            <w:noWrap w:val="false"/>
          </w:tcPr>
          <w:p>
            <w:pPr>
              <w:ind w:left="0" w:right="0" w:firstLine="0"/>
              <w:jc w:val="both"/>
              <w:spacing w:before="200" w:after="20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获得技术认证的工程师及简介</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37" w:type="dxa"/>
            <w:vAlign w:val="top"/>
            <w:textDirection w:val="lrTb"/>
            <w:noWrap w:val="false"/>
          </w:tcPr>
          <w:p>
            <w:pPr>
              <w:ind w:left="0" w:right="0" w:firstLine="0"/>
              <w:jc w:val="both"/>
              <w:spacing w:before="200" w:after="20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8" w:type="dxa"/>
            <w:vAlign w:val="top"/>
            <w:textDirection w:val="lrTb"/>
            <w:noWrap w:val="false"/>
          </w:tcPr>
          <w:p>
            <w:pPr>
              <w:ind w:left="0" w:right="0" w:firstLine="0"/>
              <w:jc w:val="both"/>
              <w:spacing w:before="200" w:after="20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其他需要说明的情况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37" w:type="dxa"/>
            <w:vAlign w:val="top"/>
            <w:textDirection w:val="lrTb"/>
            <w:noWrap w:val="false"/>
          </w:tcPr>
          <w:p>
            <w:pPr>
              <w:ind w:left="0" w:right="0" w:firstLine="0"/>
              <w:jc w:val="both"/>
              <w:spacing w:before="200" w:after="20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240" w:after="24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spacing w:line="360" w:lineRule="auto"/>
        <w:shd w:val="nil" w:color="auto"/>
        <w:rPr>
          <w:sz w:val="21"/>
          <w:szCs w:val="21"/>
        </w:rPr>
      </w:pPr>
      <w:r>
        <w:rPr>
          <w:rFonts w:ascii="SimSun" w:hAnsi="SimSun" w:eastAsia="SimSun" w:cs="SimSun"/>
          <w:color w:val="000000"/>
          <w:sz w:val="24"/>
          <w:highlight w:val="none"/>
        </w:rPr>
        <w:br w:type="page" w:clear="all"/>
      </w:r>
      <w:r>
        <w:rPr>
          <w:rFonts w:ascii="SimSun" w:hAnsi="SimSun" w:eastAsia="SimSun" w:cs="SimSun"/>
          <w:color w:val="000000"/>
          <w:sz w:val="24"/>
          <w:highlight w:val="none"/>
        </w:rPr>
      </w:r>
      <w:r/>
    </w:p>
    <w:p>
      <w:pPr>
        <w:ind w:left="0" w:right="0" w:firstLine="0"/>
        <w:jc w:val="both"/>
        <w:spacing w:before="0" w:after="0" w:line="360" w:lineRule="auto"/>
        <w:rPr>
          <w:rFonts w:ascii="SimSun" w:hAnsi="SimSun" w:eastAsia="SimSun" w:cs="SimSun"/>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9、中小企业声明函（格式）</w:t>
      </w:r>
      <w:r/>
    </w:p>
    <w:p>
      <w:pPr>
        <w:ind w:left="0" w:right="0" w:firstLine="0"/>
        <w:jc w:val="center"/>
        <w:spacing w:before="0" w:after="0" w:line="360" w:lineRule="auto"/>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中小企业声明函（货物）</w:t>
      </w:r>
      <w:r/>
    </w:p>
    <w:p>
      <w:pPr>
        <w:ind w:left="0" w:right="0" w:firstLine="480"/>
        <w:spacing w:before="0" w:after="0" w:line="360" w:lineRule="auto"/>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 企业发展管理办法》（财库﹝2020﹞46 号）的规定，本公司 （联合体）参加</w:t>
      </w:r>
      <w:r>
        <w:rPr>
          <w:rFonts w:ascii="SimSun" w:hAnsi="SimSun" w:eastAsia="SimSun" w:cs="SimSun"/>
          <w:color w:val="000000"/>
          <w:sz w:val="24"/>
          <w:u w:val="single"/>
        </w:rPr>
        <w:t xml:space="preserve">        </w:t>
      </w:r>
      <w:r>
        <w:rPr>
          <w:rFonts w:ascii="SimSun" w:hAnsi="SimSun" w:eastAsia="SimSun" w:cs="SimSun"/>
          <w:color w:val="000000"/>
          <w:sz w:val="24"/>
        </w:rPr>
        <w:t xml:space="preserve">（单位名称）的</w:t>
      </w:r>
      <w:r>
        <w:rPr>
          <w:rFonts w:ascii="SimSun" w:hAnsi="SimSun" w:eastAsia="SimSun" w:cs="SimSun"/>
          <w:color w:val="000000"/>
          <w:sz w:val="24"/>
          <w:u w:val="single"/>
        </w:rPr>
        <w:t xml:space="preserve">           </w:t>
      </w:r>
      <w:r>
        <w:rPr>
          <w:rFonts w:ascii="SimSun" w:hAnsi="SimSun" w:eastAsia="SimSun" w:cs="SimSun"/>
          <w:color w:val="000000"/>
          <w:sz w:val="24"/>
        </w:rPr>
        <w:t xml:space="preserve">（项目名称）采购活动，提供的货物全部由符合政策要求的中小企业制造。相关企业（含联合体中的中小企业、签订分包意向协议的中小企业） 的具体情况如下：</w:t>
      </w:r>
      <w:r/>
    </w:p>
    <w:p>
      <w:pPr>
        <w:numPr>
          <w:ilvl w:val="0"/>
          <w:numId w:val="29"/>
        </w:numPr>
        <w:spacing w:before="0" w:after="0" w:line="360" w:lineRule="auto"/>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rPr>
          <w:rFonts w:ascii="SimSun" w:hAnsi="SimSun" w:eastAsia="SimSun" w:cs="SimSun"/>
          <w:color w:val="000000"/>
          <w:sz w:val="24"/>
        </w:rPr>
        <w:t xml:space="preserve">（标的名称），属于</w:t>
      </w:r>
      <w:r>
        <w:rPr>
          <w:rFonts w:ascii="SimSun" w:hAnsi="SimSun" w:eastAsia="SimSun" w:cs="SimSun"/>
          <w:color w:val="000000"/>
          <w:sz w:val="24"/>
          <w:u w:val="single"/>
        </w:rPr>
        <w:t xml:space="preserve">           </w:t>
      </w:r>
      <w:r>
        <w:rPr>
          <w:rFonts w:ascii="SimSun" w:hAnsi="SimSun" w:eastAsia="SimSun" w:cs="SimSun"/>
          <w:color w:val="000000"/>
          <w:sz w:val="24"/>
        </w:rPr>
        <w:t xml:space="preserve">（采购文件中明确的所属行业） 行业；制造商为</w:t>
      </w:r>
      <w:r>
        <w:rPr>
          <w:rFonts w:ascii="SimSun" w:hAnsi="SimSun" w:eastAsia="SimSun" w:cs="SimSun"/>
          <w:color w:val="000000"/>
          <w:sz w:val="24"/>
          <w:u w:val="single"/>
        </w:rPr>
        <w:t xml:space="preserve">           </w:t>
      </w:r>
      <w:r>
        <w:rPr>
          <w:rFonts w:ascii="SimSun" w:hAnsi="SimSun" w:eastAsia="SimSun" w:cs="SimSun"/>
          <w:color w:val="000000"/>
          <w:sz w:val="24"/>
        </w:rPr>
        <w:t xml:space="preserve">（企业名称），从业人员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          </w:t>
      </w:r>
      <w:r>
        <w:rPr>
          <w:rFonts w:ascii="SimSun" w:hAnsi="SimSun" w:eastAsia="SimSun" w:cs="SimSun"/>
          <w:color w:val="000000"/>
          <w:sz w:val="24"/>
        </w:rPr>
        <w:t xml:space="preserve">（中型企业、小型企业、微型企业）； </w:t>
      </w:r>
      <w:r/>
    </w:p>
    <w:p>
      <w:pPr>
        <w:numPr>
          <w:ilvl w:val="0"/>
          <w:numId w:val="29"/>
        </w:numPr>
        <w:spacing w:before="0" w:after="0" w:line="360" w:lineRule="auto"/>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rPr>
          <w:rFonts w:ascii="SimSun" w:hAnsi="SimSun" w:eastAsia="SimSun" w:cs="SimSun"/>
          <w:color w:val="000000"/>
          <w:sz w:val="24"/>
        </w:rPr>
        <w:t xml:space="preserve">（标的名称），属于</w:t>
      </w:r>
      <w:r>
        <w:rPr>
          <w:rFonts w:ascii="SimSun" w:hAnsi="SimSun" w:eastAsia="SimSun" w:cs="SimSun"/>
          <w:color w:val="000000"/>
          <w:sz w:val="24"/>
          <w:u w:val="single"/>
        </w:rPr>
        <w:t xml:space="preserve">        </w:t>
      </w:r>
      <w:r>
        <w:rPr>
          <w:rFonts w:ascii="SimSun" w:hAnsi="SimSun" w:eastAsia="SimSun" w:cs="SimSun"/>
          <w:color w:val="000000"/>
          <w:sz w:val="24"/>
        </w:rPr>
        <w:t xml:space="preserve">（采购文件中明确的所属行业）行业；制造商为</w:t>
      </w:r>
      <w:r>
        <w:rPr>
          <w:rFonts w:ascii="SimSun" w:hAnsi="SimSun" w:eastAsia="SimSun" w:cs="SimSun"/>
          <w:color w:val="000000"/>
          <w:sz w:val="24"/>
          <w:u w:val="single"/>
        </w:rPr>
        <w:t xml:space="preserve">           </w:t>
      </w:r>
      <w:r>
        <w:rPr>
          <w:rFonts w:ascii="SimSun" w:hAnsi="SimSun" w:eastAsia="SimSun" w:cs="SimSun"/>
          <w:color w:val="000000"/>
          <w:sz w:val="24"/>
        </w:rPr>
        <w:t xml:space="preserve">（企业名称），从业人员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                 </w:t>
      </w:r>
      <w:r>
        <w:rPr>
          <w:rFonts w:ascii="SimSun" w:hAnsi="SimSun" w:eastAsia="SimSun" w:cs="SimSun"/>
          <w:color w:val="000000"/>
          <w:sz w:val="24"/>
        </w:rPr>
        <w:t xml:space="preserve">（中型企业、小型企业、微型企业）；</w:t>
      </w:r>
      <w:r/>
    </w:p>
    <w:p>
      <w:pPr>
        <w:ind w:left="0" w:right="0" w:firstLine="480"/>
        <w:spacing w:before="0" w:after="0" w:line="360" w:lineRule="auto"/>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360" w:lineRule="auto"/>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 </w:t>
      </w:r>
      <w:r/>
    </w:p>
    <w:p>
      <w:pPr>
        <w:ind w:left="0" w:right="0" w:firstLine="480"/>
        <w:spacing w:before="0" w:after="0" w:line="360" w:lineRule="auto"/>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 法承担相应责任。</w:t>
      </w:r>
      <w:r/>
    </w:p>
    <w:p>
      <w:pPr>
        <w:ind w:left="0" w:right="0" w:firstLine="480"/>
        <w:spacing w:before="0" w:after="0" w:line="360" w:lineRule="auto"/>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360" w:lineRule="auto"/>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center"/>
        <w:spacing w:before="0" w:after="0" w:line="360" w:lineRule="auto"/>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企业名称（盖章）： </w:t>
      </w:r>
      <w:r/>
    </w:p>
    <w:p>
      <w:pPr>
        <w:ind w:left="0" w:right="0" w:firstLine="480"/>
        <w:jc w:val="center"/>
        <w:spacing w:before="0" w:after="0" w:line="360" w:lineRule="auto"/>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 期：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注：从业人员、营业收入、资产总额填报上一年度数据，无上一年度数据的新成立企业可不填报。</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spacing w:line="360" w:lineRule="auto"/>
        <w:shd w:val="nil" w:color="auto"/>
        <w:rPr>
          <w:sz w:val="24"/>
          <w:szCs w:val="24"/>
        </w:rPr>
      </w:pPr>
      <w:r>
        <w:rPr>
          <w:sz w:val="24"/>
        </w:rPr>
        <w:br w:type="page" w:clear="all"/>
      </w:r>
      <w:r>
        <w:rPr>
          <w:sz w:val="24"/>
        </w:rPr>
      </w:r>
      <w:r/>
    </w:p>
    <w:p>
      <w:pPr>
        <w:ind w:left="0" w:right="0" w:firstLine="0"/>
        <w:spacing w:before="240" w:after="240" w:line="360" w:lineRule="auto"/>
        <w:rPr>
          <w:sz w:val="24"/>
          <w:szCs w:val="24"/>
        </w:rPr>
        <w:pBdr>
          <w:top w:val="none" w:color="000000" w:sz="4" w:space="0"/>
          <w:left w:val="none" w:color="000000" w:sz="4" w:space="0"/>
          <w:bottom w:val="none" w:color="000000" w:sz="4" w:space="0"/>
          <w:right w:val="none" w:color="000000" w:sz="4" w:space="0"/>
        </w:pBdr>
      </w:pPr>
      <w:r>
        <w:rPr>
          <w:sz w:val="24"/>
        </w:rPr>
      </w:r>
      <w:r/>
    </w:p>
    <w:p>
      <w:pPr>
        <w:ind w:left="0" w:right="0" w:firstLine="0"/>
        <w:jc w:val="center"/>
        <w:spacing w:before="0" w:after="0" w:line="360" w:lineRule="auto"/>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360" w:lineRule="auto"/>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中小企业声明函（工程、服务）</w:t>
      </w:r>
      <w:r/>
    </w:p>
    <w:p>
      <w:pPr>
        <w:ind w:left="0" w:right="0" w:firstLine="480"/>
        <w:spacing w:before="0" w:after="0" w:line="360" w:lineRule="auto"/>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 号）的规定，本公司（联合体）参加</w:t>
      </w:r>
      <w:r>
        <w:rPr>
          <w:rFonts w:ascii="SimSun" w:hAnsi="SimSun" w:eastAsia="SimSun" w:cs="SimSun"/>
          <w:color w:val="000000"/>
          <w:sz w:val="24"/>
          <w:u w:val="single"/>
        </w:rPr>
        <w:t xml:space="preserve">        </w:t>
      </w:r>
      <w:r>
        <w:rPr>
          <w:rFonts w:ascii="SimSun" w:hAnsi="SimSun" w:eastAsia="SimSun" w:cs="SimSun"/>
          <w:color w:val="000000"/>
          <w:sz w:val="24"/>
        </w:rPr>
        <w:t xml:space="preserve">（单位名称）的</w:t>
      </w:r>
      <w:r>
        <w:rPr>
          <w:rFonts w:ascii="SimSun" w:hAnsi="SimSun" w:eastAsia="SimSun" w:cs="SimSun"/>
          <w:color w:val="000000"/>
          <w:sz w:val="24"/>
          <w:u w:val="single"/>
        </w:rPr>
        <w:t xml:space="preserve">        </w:t>
      </w:r>
      <w:r>
        <w:rPr>
          <w:rFonts w:ascii="SimSun" w:hAnsi="SimSun" w:eastAsia="SimSun" w:cs="SimSun"/>
          <w:color w:val="000000"/>
          <w:sz w:val="24"/>
        </w:rPr>
        <w:t xml:space="preserve">（项目名称）采购活动，工程的施工单位全部为符合政策要求的中小企业（或者：服务全部由符合政策要求的中小企业承接）。相关企业（含联合体中的中小企业、签订分包意向协议的中小企业）的具体情况如下： </w:t>
      </w:r>
      <w:r/>
    </w:p>
    <w:p>
      <w:pPr>
        <w:numPr>
          <w:ilvl w:val="0"/>
          <w:numId w:val="30"/>
        </w:numPr>
        <w:spacing w:before="0" w:after="0" w:line="360" w:lineRule="auto"/>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rPr>
          <w:rFonts w:ascii="SimSun" w:hAnsi="SimSun" w:eastAsia="SimSun" w:cs="SimSun"/>
          <w:color w:val="000000"/>
          <w:sz w:val="24"/>
        </w:rPr>
        <w:t xml:space="preserve">（标的名称），属于</w:t>
      </w:r>
      <w:r>
        <w:rPr>
          <w:rFonts w:ascii="SimSun" w:hAnsi="SimSun" w:eastAsia="SimSun" w:cs="SimSun"/>
          <w:color w:val="000000"/>
          <w:sz w:val="24"/>
          <w:u w:val="single"/>
        </w:rPr>
        <w:t xml:space="preserve">        </w:t>
      </w:r>
      <w:r>
        <w:rPr>
          <w:rFonts w:ascii="SimSun" w:hAnsi="SimSun" w:eastAsia="SimSun" w:cs="SimSun"/>
          <w:color w:val="000000"/>
          <w:sz w:val="24"/>
        </w:rPr>
        <w:t xml:space="preserve">（采购文件中明确的所属行业）；承建（承接）企业为</w:t>
      </w:r>
      <w:r>
        <w:rPr>
          <w:rFonts w:ascii="SimSun" w:hAnsi="SimSun" w:eastAsia="SimSun" w:cs="SimSun"/>
          <w:color w:val="000000"/>
          <w:sz w:val="24"/>
          <w:u w:val="single"/>
        </w:rPr>
        <w:t xml:space="preserve">        </w:t>
      </w:r>
      <w:r>
        <w:rPr>
          <w:rFonts w:ascii="SimSun" w:hAnsi="SimSun" w:eastAsia="SimSun" w:cs="SimSun"/>
          <w:color w:val="000000"/>
          <w:sz w:val="24"/>
        </w:rPr>
        <w:t xml:space="preserve">（企业名称），从业人员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          </w:t>
      </w:r>
      <w:r>
        <w:rPr>
          <w:rFonts w:ascii="SimSun" w:hAnsi="SimSun" w:eastAsia="SimSun" w:cs="SimSun"/>
          <w:color w:val="000000"/>
          <w:sz w:val="24"/>
        </w:rPr>
        <w:t xml:space="preserve">（中型企业、小型企业、微型企业）； </w:t>
      </w:r>
      <w:r/>
    </w:p>
    <w:p>
      <w:pPr>
        <w:numPr>
          <w:ilvl w:val="0"/>
          <w:numId w:val="30"/>
        </w:numPr>
        <w:spacing w:before="0" w:after="0" w:line="360" w:lineRule="auto"/>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rPr>
          <w:rFonts w:ascii="SimSun" w:hAnsi="SimSun" w:eastAsia="SimSun" w:cs="SimSun"/>
          <w:color w:val="000000"/>
          <w:sz w:val="24"/>
        </w:rPr>
        <w:t xml:space="preserve"> （标的名称），属于</w:t>
      </w:r>
      <w:r>
        <w:rPr>
          <w:rFonts w:ascii="SimSun" w:hAnsi="SimSun" w:eastAsia="SimSun" w:cs="SimSun"/>
          <w:color w:val="000000"/>
          <w:sz w:val="24"/>
          <w:u w:val="single"/>
        </w:rPr>
        <w:t xml:space="preserve">        </w:t>
      </w:r>
      <w:r>
        <w:rPr>
          <w:rFonts w:ascii="SimSun" w:hAnsi="SimSun" w:eastAsia="SimSun" w:cs="SimSun"/>
          <w:color w:val="000000"/>
          <w:sz w:val="24"/>
        </w:rPr>
        <w:t xml:space="preserve">（采购文件中明确的所属行业）；承建（承接）企业为</w:t>
      </w:r>
      <w:r>
        <w:rPr>
          <w:rFonts w:ascii="SimSun" w:hAnsi="SimSun" w:eastAsia="SimSun" w:cs="SimSun"/>
          <w:color w:val="000000"/>
          <w:sz w:val="24"/>
          <w:u w:val="single"/>
        </w:rPr>
        <w:t xml:space="preserve">        </w:t>
      </w:r>
      <w:r>
        <w:rPr>
          <w:rFonts w:ascii="SimSun" w:hAnsi="SimSun" w:eastAsia="SimSun" w:cs="SimSun"/>
          <w:color w:val="000000"/>
          <w:sz w:val="24"/>
        </w:rPr>
        <w:t xml:space="preserve">（企业名称），从业人员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        </w:t>
      </w:r>
      <w:r>
        <w:rPr>
          <w:rFonts w:ascii="SimSun" w:hAnsi="SimSun" w:eastAsia="SimSun" w:cs="SimSun"/>
          <w:color w:val="000000"/>
          <w:sz w:val="24"/>
        </w:rPr>
        <w:t xml:space="preserve">（中型企业、 小型企业、微型企业）；</w:t>
      </w:r>
      <w:r/>
    </w:p>
    <w:p>
      <w:pPr>
        <w:ind w:left="420" w:right="0" w:firstLine="0"/>
        <w:spacing w:before="0" w:after="0" w:line="360" w:lineRule="auto"/>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 </w:t>
      </w:r>
      <w:r/>
    </w:p>
    <w:p>
      <w:pPr>
        <w:ind w:left="0" w:right="0" w:firstLine="480"/>
        <w:spacing w:before="0" w:after="0" w:line="360" w:lineRule="auto"/>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 </w:t>
      </w:r>
      <w:r/>
    </w:p>
    <w:p>
      <w:pPr>
        <w:ind w:left="0" w:right="0" w:firstLine="480"/>
        <w:spacing w:before="0" w:after="0" w:line="360" w:lineRule="auto"/>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 </w:t>
      </w:r>
      <w:r/>
    </w:p>
    <w:p>
      <w:pPr>
        <w:ind w:left="0" w:right="0" w:firstLine="480"/>
        <w:spacing w:before="0" w:after="0" w:line="360" w:lineRule="auto"/>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360" w:lineRule="auto"/>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80"/>
        <w:spacing w:before="0" w:after="0" w:line="360" w:lineRule="auto"/>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企业名称（盖章）： </w:t>
      </w:r>
      <w:r/>
    </w:p>
    <w:p>
      <w:pPr>
        <w:ind w:left="0" w:right="0" w:firstLine="6480"/>
        <w:spacing w:before="0" w:after="0" w:line="360" w:lineRule="auto"/>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 </w:t>
      </w:r>
      <w:r/>
    </w:p>
    <w:p>
      <w:pPr>
        <w:ind w:left="0" w:right="0" w:firstLine="0"/>
        <w:spacing w:before="0" w:after="0" w:line="360" w:lineRule="auto"/>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360" w:lineRule="auto"/>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注：从业人员、营业收入、资产总额填报上一年度数据，无上一年度数据的新成立企业可不填报。</w:t>
      </w:r>
      <w:r/>
    </w:p>
    <w:p>
      <w:pPr>
        <w:ind w:left="0" w:right="0" w:firstLine="0"/>
        <w:spacing w:before="0" w:after="0" w:line="360" w:lineRule="auto"/>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360" w:lineRule="auto"/>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360" w:lineRule="auto"/>
        <w:tabs>
          <w:tab w:val="left" w:pos="850" w:leader="none"/>
          <w:tab w:val="left" w:pos="8930" w:leader="none"/>
          <w:tab w:val="left" w:pos="9306" w:leader="none"/>
        </w:tabs>
        <w:rPr>
          <w:rFonts w:ascii="SimSun" w:hAnsi="SimSun" w:eastAsia="SimSun" w:cs="SimSun"/>
          <w:color w:val="000000"/>
          <w:sz w:val="24"/>
          <w:szCs w:val="24"/>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b/>
          <w:color w:val="000000"/>
          <w:sz w:val="24"/>
          <w:highlight w:val="none"/>
        </w:rPr>
        <w:br w:type="page" w:clear="all"/>
      </w:r>
      <w:r>
        <w:rPr>
          <w:rFonts w:ascii="SimSun" w:hAnsi="SimSun" w:eastAsia="SimSun" w:cs="SimSun"/>
          <w:color w:val="000000"/>
          <w:sz w:val="24"/>
          <w:szCs w:val="24"/>
        </w:rPr>
      </w:r>
      <w:r/>
    </w:p>
    <w:p>
      <w:pPr>
        <w:ind w:left="0" w:right="0" w:firstLine="0"/>
        <w:spacing w:before="0" w:after="0" w:line="360" w:lineRule="auto"/>
        <w:tabs>
          <w:tab w:val="left" w:pos="850" w:leader="none"/>
          <w:tab w:val="left" w:pos="8930" w:leader="none"/>
          <w:tab w:val="left" w:pos="9306" w:leader="none"/>
        </w:tabs>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r>
      <w:r>
        <w:rPr>
          <w:rFonts w:ascii="SimSun" w:hAnsi="SimSun" w:eastAsia="SimSun" w:cs="SimSun"/>
          <w:b/>
          <w:color w:val="000000"/>
          <w:sz w:val="24"/>
        </w:rPr>
        <w:t xml:space="preserve">附件：政府采购合同信用融资政策告知函</w:t>
      </w:r>
      <w:r>
        <w:rPr>
          <w:sz w:val="21"/>
        </w:rPr>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政府采购合同信用融资政策告知函</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各政府采购供应商:</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欢迎贵公司参加苏州市政府采购活动!</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中国人民银行南京分行《关于深入推进政府采购线上合同信用融资工作的通知》（苏财购[2021]82号）及苏州市财政局、人民银行苏州市分行相关文件要求，按照双方自愿的原则提供便捷、优惠的贷款服务。</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360" w:lineRule="auto"/>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10、投标（响应）保证承诺书（参考格式）</w:t>
      </w:r>
      <w:r/>
    </w:p>
    <w:p>
      <w:pPr>
        <w:ind w:left="0" w:right="0" w:firstLine="0"/>
        <w:jc w:val="center"/>
        <w:spacing w:before="0" w:after="0" w:line="360" w:lineRule="auto"/>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360" w:lineRule="auto"/>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 （采购代理机构名称）</w:t>
      </w:r>
      <w:r/>
    </w:p>
    <w:p>
      <w:pPr>
        <w:ind w:left="0" w:right="0" w:firstLine="480"/>
        <w:spacing w:before="0" w:after="0" w:line="360" w:lineRule="auto"/>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我（单位/本人，以下统称我单位）自愿参加</w:t>
      </w:r>
      <w:r>
        <w:rPr>
          <w:rFonts w:ascii="SimSun" w:hAnsi="SimSun" w:eastAsia="SimSun" w:cs="SimSun"/>
          <w:color w:val="000000"/>
          <w:sz w:val="24"/>
          <w:u w:val="single"/>
        </w:rPr>
        <w:t xml:space="preserve">     </w:t>
      </w:r>
      <w:r>
        <w:rPr>
          <w:rFonts w:ascii="SimSun" w:hAnsi="SimSun" w:eastAsia="SimSun" w:cs="SimSun"/>
          <w:color w:val="000000"/>
          <w:sz w:val="24"/>
        </w:rPr>
        <w:t xml:space="preserve">（项目名称和项目编号）的投标（响应）,并做出如下承诺：</w:t>
      </w:r>
      <w:r/>
    </w:p>
    <w:p>
      <w:pPr>
        <w:ind w:left="0" w:right="0" w:firstLine="480"/>
        <w:spacing w:before="0" w:after="0" w:line="360" w:lineRule="auto"/>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一、除不可抗力外，我单位如果发生以下行为，将在行为发生的10个工作日内，向贵方</w:t>
      </w:r>
      <w:r>
        <w:rPr>
          <w:rFonts w:ascii="SimSun" w:hAnsi="SimSun" w:eastAsia="SimSun" w:cs="SimSun"/>
          <w:color w:val="000000"/>
          <w:sz w:val="24"/>
          <w:u w:val="single"/>
        </w:rPr>
        <w:t xml:space="preserve">（或采购人）</w:t>
      </w:r>
      <w:r>
        <w:rPr>
          <w:rFonts w:ascii="SimSun" w:hAnsi="SimSun" w:eastAsia="SimSun" w:cs="SimSun"/>
          <w:color w:val="000000"/>
          <w:sz w:val="24"/>
        </w:rPr>
        <w:t xml:space="preserve">支付本采购文件公布的预算金额（或最高限价）的2%作为违约赔偿金（数量不确定的单价采购须约定具体金额）。</w:t>
      </w:r>
      <w:r/>
    </w:p>
    <w:p>
      <w:pPr>
        <w:ind w:left="0" w:right="0" w:firstLine="480"/>
        <w:spacing w:before="0" w:after="0" w:line="360" w:lineRule="auto"/>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1、自投标（响应）截止时间至本项目发布中标（成交）公告为止，撤销投标（响应）；</w:t>
      </w:r>
      <w:r/>
    </w:p>
    <w:p>
      <w:pPr>
        <w:ind w:left="0" w:right="0" w:firstLine="480"/>
        <w:spacing w:before="0" w:after="0" w:line="360" w:lineRule="auto"/>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2、中标（成交）后不依法与采购人签订合同；</w:t>
      </w:r>
      <w:r/>
    </w:p>
    <w:p>
      <w:pPr>
        <w:ind w:left="0" w:right="0" w:firstLine="480"/>
        <w:spacing w:before="0" w:after="0" w:line="360" w:lineRule="auto"/>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3、中标（成交）后不按本采购文件规定向采购人提交履约保证金；</w:t>
      </w:r>
      <w:r/>
    </w:p>
    <w:p>
      <w:pPr>
        <w:ind w:left="0" w:right="0" w:firstLine="480"/>
        <w:spacing w:before="0" w:after="0" w:line="360" w:lineRule="auto"/>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4、中标（成交）后不按本采购文件规定向贵方缴纳采购代理费。</w:t>
      </w:r>
      <w:r/>
    </w:p>
    <w:p>
      <w:pPr>
        <w:ind w:left="0" w:right="0" w:firstLine="480"/>
        <w:spacing w:before="0" w:after="0" w:line="360" w:lineRule="auto"/>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二、我单位知晓上述行为的法律后果，承认本承诺书作为贵方</w:t>
      </w:r>
      <w:r>
        <w:rPr>
          <w:rFonts w:ascii="SimSun" w:hAnsi="SimSun" w:eastAsia="SimSun" w:cs="SimSun"/>
          <w:color w:val="000000"/>
          <w:sz w:val="24"/>
          <w:u w:val="single"/>
        </w:rPr>
        <w:t xml:space="preserve">（或采购人）</w:t>
      </w:r>
      <w:r>
        <w:rPr>
          <w:rFonts w:ascii="SimSun" w:hAnsi="SimSun" w:eastAsia="SimSun" w:cs="SimSun"/>
          <w:color w:val="000000"/>
          <w:sz w:val="24"/>
        </w:rPr>
        <w:t xml:space="preserve">要求我单位履行违约赔偿义务的依据作用。</w:t>
      </w:r>
      <w:r/>
    </w:p>
    <w:p>
      <w:pPr>
        <w:ind w:left="0" w:right="0" w:firstLine="480"/>
        <w:spacing w:before="0" w:after="0" w:line="360" w:lineRule="auto"/>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360" w:lineRule="auto"/>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投标（响应）人：（盖公章）</w:t>
      </w:r>
      <w:r/>
    </w:p>
    <w:p>
      <w:pPr>
        <w:ind w:left="0" w:right="0" w:firstLine="480"/>
        <w:spacing w:before="0" w:after="0" w:line="360" w:lineRule="auto"/>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     </w:t>
      </w:r>
      <w:r/>
    </w:p>
    <w:p>
      <w:pPr>
        <w:ind w:left="0" w:right="0" w:firstLine="480"/>
        <w:spacing w:before="0" w:after="0" w:line="360" w:lineRule="auto"/>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                       </w:t>
      </w:r>
      <w:r/>
    </w:p>
    <w:p>
      <w:pPr>
        <w:ind w:left="0" w:right="0" w:firstLine="480"/>
        <w:spacing w:before="0" w:after="0" w:line="360" w:lineRule="auto"/>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     </w:t>
      </w:r>
      <w:r/>
    </w:p>
    <w:p>
      <w:pPr>
        <w:ind w:left="0" w:right="0" w:firstLine="480"/>
        <w:spacing w:before="0" w:after="0" w:line="360" w:lineRule="auto"/>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电子邮件：                          </w:t>
      </w:r>
      <w:r/>
    </w:p>
    <w:p>
      <w:pPr>
        <w:ind w:left="0" w:right="0" w:firstLine="480"/>
        <w:spacing w:before="0" w:after="0" w:line="360" w:lineRule="auto"/>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   </w:t>
      </w:r>
      <w:r/>
    </w:p>
    <w:p>
      <w:pPr>
        <w:ind w:left="0" w:right="0" w:firstLine="480"/>
        <w:spacing w:before="0" w:after="0" w:line="360" w:lineRule="auto"/>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法定代表人或委托代理人(签字或签章)：   </w:t>
      </w:r>
      <w:r/>
    </w:p>
    <w:p>
      <w:pPr>
        <w:ind w:left="0" w:right="0" w:firstLine="480"/>
        <w:spacing w:before="0" w:after="0" w:line="360" w:lineRule="auto"/>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w:t>
      </w:r>
      <w:r/>
    </w:p>
    <w:p>
      <w:pPr>
        <w:ind w:left="0" w:right="0" w:firstLine="480"/>
        <w:spacing w:before="0" w:after="0" w:line="360" w:lineRule="auto"/>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360" w:lineRule="auto"/>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360" w:lineRule="auto"/>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360" w:lineRule="auto"/>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360" w:lineRule="auto"/>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spacing w:before="0" w:after="0" w:line="360" w:lineRule="auto"/>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360" w:lineRule="auto"/>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11、残疾人福利性单位声明函（格式）</w:t>
      </w:r>
      <w:r/>
    </w:p>
    <w:p>
      <w:pPr>
        <w:ind w:left="0" w:right="0" w:firstLine="0"/>
        <w:spacing w:before="0" w:after="0" w:line="360" w:lineRule="auto"/>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360" w:lineRule="auto"/>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中国残疾人联合会关于促进残疾人就业政府采购政策的通知》（财库〔2017〕141号）的规定，本单位为符合条件的残疾人福利性单位，且本单位参加</w:t>
      </w:r>
      <w:r>
        <w:rPr>
          <w:rFonts w:ascii="SimSun" w:hAnsi="SimSun" w:eastAsia="SimSun" w:cs="SimSun"/>
          <w:color w:val="000000"/>
          <w:sz w:val="24"/>
          <w:u w:val="single"/>
        </w:rPr>
        <w:t xml:space="preserve">___       ___</w:t>
      </w:r>
      <w:r>
        <w:rPr>
          <w:rFonts w:ascii="SimSun" w:hAnsi="SimSun" w:eastAsia="SimSun" w:cs="SimSun"/>
          <w:color w:val="000000"/>
          <w:sz w:val="24"/>
        </w:rPr>
        <w:t xml:space="preserve">单位的___</w:t>
      </w:r>
      <w:r>
        <w:rPr>
          <w:rFonts w:ascii="SimSun" w:hAnsi="SimSun" w:eastAsia="SimSun" w:cs="SimSun"/>
          <w:color w:val="000000"/>
          <w:sz w:val="24"/>
          <w:u w:val="single"/>
        </w:rPr>
        <w:t xml:space="preserve">_      _</w:t>
      </w:r>
      <w:r>
        <w:rPr>
          <w:rFonts w:ascii="SimSun" w:hAnsi="SimSun" w:eastAsia="SimSun" w:cs="SimSun"/>
          <w:color w:val="000000"/>
          <w:sz w:val="24"/>
        </w:rPr>
        <w:t xml:space="preserve">_项目采购活动提供本单位制造的货物（由本单位承担工程/提供服务），或者提供其他残疾人福利性单位制造的货物（不包括使用非残疾人福利性单位注册商标的货物）。</w:t>
      </w:r>
      <w:r/>
    </w:p>
    <w:p>
      <w:pPr>
        <w:ind w:left="0" w:right="0" w:firstLine="0"/>
        <w:spacing w:before="0" w:after="0" w:line="360" w:lineRule="auto"/>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0"/>
        <w:spacing w:before="0" w:after="0" w:line="360" w:lineRule="auto"/>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360" w:lineRule="auto"/>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360" w:lineRule="auto"/>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单位名称（盖章）：</w:t>
      </w:r>
      <w:r/>
    </w:p>
    <w:p>
      <w:pPr>
        <w:ind w:left="0" w:right="0" w:firstLine="0"/>
        <w:spacing w:before="0" w:after="0" w:line="360" w:lineRule="auto"/>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  期：</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rPr>
          <w:rFonts w:ascii="SimSun" w:hAnsi="SimSun" w:eastAsia="SimSun" w:cs="SimSun"/>
          <w:b/>
          <w:color w:val="000000"/>
          <w:sz w:val="24"/>
        </w:rPr>
        <w:t xml:space="preserve">关于符合本国产品标准的声明函</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关于符合本国产品标准的声明函</w:t>
      </w:r>
      <w:r/>
    </w:p>
    <w:p>
      <w:pPr>
        <w:ind w:left="0" w:right="0" w:firstLine="420"/>
        <w:spacing w:before="15" w:after="15"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w:t>
      </w:r>
      <w:r>
        <w:rPr>
          <w:rFonts w:ascii="SimSun" w:hAnsi="SimSun" w:eastAsia="SimSun" w:cs="SimSun"/>
          <w:color w:val="000000"/>
          <w:sz w:val="24"/>
          <w:highlight w:val="white"/>
          <w:u w:val="single"/>
        </w:rPr>
        <w:t xml:space="preserve">（产品名称1）</w:t>
      </w:r>
      <w:r>
        <w:rPr>
          <w:rFonts w:ascii="SimSun" w:hAnsi="SimSun" w:eastAsia="SimSun" w:cs="SimSun"/>
          <w:color w:val="000000"/>
          <w:sz w:val="24"/>
          <w:highlight w:val="white"/>
          <w:vertAlign w:val="superscript"/>
        </w:rPr>
        <w:t xml:space="preserve">1</w:t>
      </w:r>
      <w:r>
        <w:rPr>
          <w:rFonts w:ascii="SimSun" w:hAnsi="SimSun" w:eastAsia="SimSun" w:cs="SimSun"/>
          <w:color w:val="000000"/>
          <w:sz w:val="24"/>
          <w:highlight w:val="white"/>
        </w:rPr>
        <w:t xml:space="preserve">，生产厂为</w:t>
      </w:r>
      <w:r>
        <w:rPr>
          <w:rFonts w:ascii="SimSun" w:hAnsi="SimSun" w:eastAsia="SimSun" w:cs="SimSun"/>
          <w:color w:val="000000"/>
          <w:sz w:val="24"/>
          <w:highlight w:val="white"/>
          <w:u w:val="single"/>
        </w:rPr>
        <w:t xml:space="preserve">（厂名）</w:t>
      </w:r>
      <w:r>
        <w:rPr>
          <w:rFonts w:ascii="SimSun" w:hAnsi="SimSun" w:eastAsia="SimSun" w:cs="SimSun"/>
          <w:color w:val="000000"/>
          <w:sz w:val="24"/>
          <w:highlight w:val="white"/>
          <w:vertAlign w:val="superscript"/>
        </w:rPr>
        <w:t xml:space="preserve">2</w:t>
      </w:r>
      <w:r>
        <w:rPr>
          <w:rFonts w:ascii="SimSun" w:hAnsi="SimSun" w:eastAsia="SimSun" w:cs="SimSun"/>
          <w:color w:val="000000"/>
          <w:sz w:val="24"/>
          <w:highlight w:val="white"/>
        </w:rPr>
        <w:t xml:space="preserve">，厂址为</w:t>
      </w:r>
      <w:r>
        <w:rPr>
          <w:rFonts w:ascii="SimSun" w:hAnsi="SimSun" w:eastAsia="SimSun" w:cs="SimSun"/>
          <w:color w:val="000000"/>
          <w:sz w:val="24"/>
          <w:highlight w:val="white"/>
          <w:u w:val="single"/>
        </w:rPr>
        <w:t xml:space="preserve">（生产厂址）</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的中国境内生产的组件成本占比≥</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vertAlign w:val="superscript"/>
        </w:rPr>
        <w:t xml:space="preserve">3</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vertAlign w:val="superscript"/>
        </w:rPr>
        <w:t xml:space="preserve">4</w:t>
      </w:r>
      <w:r>
        <w:rPr>
          <w:rFonts w:ascii="SimSun" w:hAnsi="SimSun" w:eastAsia="SimSun" w:cs="SimSun"/>
          <w:color w:val="000000"/>
          <w:sz w:val="24"/>
          <w:highlight w:val="white"/>
        </w:rPr>
        <w:t xml:space="preserve">在中国境内生产。</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vertAlign w:val="superscript"/>
        </w:rPr>
        <w:t xml:space="preserve">5</w:t>
      </w:r>
      <w:r>
        <w:rPr>
          <w:rFonts w:ascii="SimSun" w:hAnsi="SimSun" w:eastAsia="SimSun" w:cs="SimSun"/>
          <w:color w:val="000000"/>
          <w:sz w:val="24"/>
          <w:highlight w:val="white"/>
        </w:rPr>
        <w:t xml:space="preserve">在中国境内完成。</w:t>
      </w:r>
      <w:r/>
    </w:p>
    <w:p>
      <w:pPr>
        <w:ind w:left="0" w:right="0" w:firstLine="420"/>
        <w:spacing w:before="30" w:after="3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w:t>
      </w:r>
      <w:r>
        <w:rPr>
          <w:rFonts w:ascii="SimSun" w:hAnsi="SimSun" w:eastAsia="SimSun" w:cs="SimSun"/>
          <w:color w:val="000000"/>
          <w:sz w:val="24"/>
          <w:highlight w:val="white"/>
          <w:u w:val="single"/>
        </w:rPr>
        <w:t xml:space="preserve">（产品名称2）</w:t>
      </w:r>
      <w:r>
        <w:rPr>
          <w:rFonts w:ascii="SimSun" w:hAnsi="SimSun" w:eastAsia="SimSun" w:cs="SimSun"/>
          <w:color w:val="000000"/>
          <w:sz w:val="24"/>
          <w:highlight w:val="white"/>
        </w:rPr>
        <w:t xml:space="preserve">，生产厂为</w:t>
      </w:r>
      <w:r>
        <w:rPr>
          <w:rFonts w:ascii="SimSun" w:hAnsi="SimSun" w:eastAsia="SimSun" w:cs="SimSun"/>
          <w:color w:val="000000"/>
          <w:sz w:val="24"/>
          <w:highlight w:val="white"/>
          <w:u w:val="single"/>
        </w:rPr>
        <w:t xml:space="preserve">（厂名）</w:t>
      </w:r>
      <w:r>
        <w:rPr>
          <w:rFonts w:ascii="SimSun" w:hAnsi="SimSun" w:eastAsia="SimSun" w:cs="SimSun"/>
          <w:color w:val="000000"/>
          <w:sz w:val="24"/>
          <w:highlight w:val="white"/>
        </w:rPr>
        <w:t xml:space="preserve">，厂址为</w:t>
      </w:r>
      <w:r>
        <w:rPr>
          <w:rFonts w:ascii="SimSun" w:hAnsi="SimSun" w:eastAsia="SimSun" w:cs="SimSun"/>
          <w:color w:val="000000"/>
          <w:sz w:val="24"/>
          <w:highlight w:val="white"/>
          <w:u w:val="single"/>
        </w:rPr>
        <w:t xml:space="preserve">（生产厂址）</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的中国境内生产的组件成本占比≥</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在中国境内生产。</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在中国境内完成。</w:t>
      </w:r>
      <w:r/>
    </w:p>
    <w:p>
      <w:pPr>
        <w:ind w:left="0" w:right="0" w:firstLine="420"/>
        <w:spacing w:before="30" w:after="3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w:t>
      </w:r>
      <w:r/>
    </w:p>
    <w:p>
      <w:pPr>
        <w:ind w:left="0" w:right="0" w:firstLine="420"/>
        <w:spacing w:before="30" w:after="3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本公司（单位）对上述声明内容的真实性负责。如有虚假，愿承担相应法律责任。</w:t>
      </w:r>
      <w:r/>
    </w:p>
    <w:p>
      <w:pPr>
        <w:ind w:left="0" w:right="0" w:firstLine="0"/>
        <w:spacing w:before="30" w:after="3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p>
      <w:pPr>
        <w:ind w:left="0" w:right="0" w:firstLine="0"/>
        <w:jc w:val="right"/>
        <w:spacing w:before="30" w:after="3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公司（单位）名称（加盖CA电子公章）：         </w:t>
      </w:r>
      <w:r/>
    </w:p>
    <w:p>
      <w:pPr>
        <w:ind w:left="0" w:right="0" w:firstLine="0"/>
        <w:jc w:val="center"/>
        <w:spacing w:before="30" w:after="3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日期：      年   月   日         </w:t>
      </w:r>
      <w:r/>
    </w:p>
    <w:p>
      <w:pPr>
        <w:ind w:left="0" w:right="0" w:firstLine="0"/>
        <w:spacing w:before="30" w:after="3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p>
      <w:pPr>
        <w:ind w:left="0" w:right="0" w:firstLine="0"/>
        <w:spacing w:before="30" w:after="3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p>
      <w:pPr>
        <w:ind w:left="0" w:right="0" w:firstLine="0"/>
        <w:spacing w:before="30" w:after="3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_________________</w:t>
      </w:r>
      <w:r/>
    </w:p>
    <w:p>
      <w:pPr>
        <w:ind w:left="0" w:right="0" w:firstLine="0"/>
        <w:spacing w:before="30" w:after="3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1.产品如有型号，请在“产品名称”栏一并填写。</w:t>
      </w:r>
      <w:r/>
    </w:p>
    <w:p>
      <w:pPr>
        <w:ind w:left="0" w:right="0" w:firstLine="0"/>
        <w:spacing w:before="30" w:after="3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2.生产厂名与厂址应与生产厂营业执照载明的相关信息保持一致。</w:t>
      </w:r>
      <w:r/>
    </w:p>
    <w:p>
      <w:pPr>
        <w:ind w:left="0" w:right="0" w:firstLine="0"/>
        <w:spacing w:before="30" w:after="3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3.该产品的中国境内生产的组件成本占比相关要求实施前，“规定比例”栏可不填，下同。</w:t>
      </w:r>
      <w:r/>
    </w:p>
    <w:p>
      <w:pPr>
        <w:ind w:left="0" w:right="0" w:firstLine="0"/>
        <w:spacing w:before="30" w:after="3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4.该产品的关键组件要求实施前，“关键组件”栏可不填，下同。</w:t>
      </w:r>
      <w:r/>
    </w:p>
    <w:p>
      <w:pPr>
        <w:ind w:left="0" w:right="0" w:firstLine="0"/>
        <w:spacing w:before="30" w:after="3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5.该产品的关键工序要求实施前，“关键工序”栏可不填，下同。</w:t>
      </w:r>
      <w:r/>
    </w:p>
    <w:p>
      <w:pPr>
        <w:ind w:left="0" w:right="0" w:firstLine="0"/>
        <w:spacing w:before="30" w:after="3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6.《声明函》中标注“</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”的地方无需填写。</w:t>
      </w:r>
      <w:r/>
    </w:p>
    <w:p>
      <w:pPr>
        <w:ind w:left="0" w:right="0" w:firstLine="576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360" w:lineRule="auto"/>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13、供应商与其他单位存在控股、管理关系情况表</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3"/>
          <w:sz w:val="32"/>
        </w:rPr>
        <w:t xml:space="preserve">供应商与其他单位存在控股、管理关系情况表</w:t>
      </w:r>
      <w:r/>
    </w:p>
    <w:tbl>
      <w:tblPr>
        <w:tblStyle w:val="75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861"/>
        <w:gridCol w:w="4378"/>
      </w:tblGrid>
      <w:tr>
        <w:trPr>
          <w:trHeight w:val="624"/>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861" w:type="dxa"/>
            <w:vAlign w:val="top"/>
            <w:textDirection w:val="lrTb"/>
            <w:noWrap w:val="false"/>
          </w:tcPr>
          <w:p>
            <w:pPr>
              <w:ind w:left="0" w:right="0" w:firstLine="47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4"/>
              </w:rPr>
              <w:t xml:space="preserve">与供应商存在控股、管理关系的单位名称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4378" w:type="dxa"/>
            <w:vAlign w:val="top"/>
            <w:textDirection w:val="lrTb"/>
            <w:noWrap w:val="false"/>
          </w:tcPr>
          <w:p>
            <w:pPr>
              <w:ind w:left="0" w:right="0" w:firstLine="478"/>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
                <w:sz w:val="24"/>
              </w:rPr>
              <w:t xml:space="preserve">控股、管理关系情况说明</w:t>
            </w:r>
            <w:r/>
          </w:p>
        </w:tc>
      </w:tr>
      <w:tr>
        <w:trPr>
          <w:trHeight w:val="84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861" w:type="dxa"/>
            <w:vAlign w:val="top"/>
            <w:textDirection w:val="lrTb"/>
            <w:noWrap w:val="false"/>
          </w:tcPr>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78" w:type="dxa"/>
            <w:vAlign w:val="top"/>
            <w:textDirection w:val="lrTb"/>
            <w:noWrap w:val="false"/>
          </w:tcPr>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4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861" w:type="dxa"/>
            <w:vAlign w:val="top"/>
            <w:textDirection w:val="lrTb"/>
            <w:noWrap w:val="false"/>
          </w:tcPr>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78" w:type="dxa"/>
            <w:vAlign w:val="top"/>
            <w:textDirection w:val="lrTb"/>
            <w:noWrap w:val="false"/>
          </w:tcPr>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4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861" w:type="dxa"/>
            <w:vAlign w:val="top"/>
            <w:textDirection w:val="lrTb"/>
            <w:noWrap w:val="false"/>
          </w:tcPr>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78" w:type="dxa"/>
            <w:vAlign w:val="top"/>
            <w:textDirection w:val="lrTb"/>
            <w:noWrap w:val="false"/>
          </w:tcPr>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4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861" w:type="dxa"/>
            <w:vAlign w:val="top"/>
            <w:textDirection w:val="lrTb"/>
            <w:noWrap w:val="false"/>
          </w:tcPr>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78" w:type="dxa"/>
            <w:vAlign w:val="top"/>
            <w:textDirection w:val="lrTb"/>
            <w:noWrap w:val="false"/>
          </w:tcPr>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3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861" w:type="dxa"/>
            <w:vAlign w:val="top"/>
            <w:textDirection w:val="lrTb"/>
            <w:noWrap w:val="false"/>
          </w:tcPr>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78" w:type="dxa"/>
            <w:vAlign w:val="top"/>
            <w:textDirection w:val="lrTb"/>
            <w:noWrap w:val="false"/>
          </w:tcPr>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6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861" w:type="dxa"/>
            <w:vAlign w:val="top"/>
            <w:textDirection w:val="lrTb"/>
            <w:noWrap w:val="false"/>
          </w:tcPr>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78" w:type="dxa"/>
            <w:vAlign w:val="top"/>
            <w:textDirection w:val="lrTb"/>
            <w:noWrap w:val="false"/>
          </w:tcPr>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398"/>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1"/>
          <w:sz w:val="24"/>
        </w:rPr>
        <w:t xml:space="preserve">注：供应商应当按实填写所有与之有控股、管理关系的情况</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576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单位名称（盖章）：</w:t>
      </w:r>
      <w:r/>
    </w:p>
    <w:p>
      <w:pPr>
        <w:ind w:left="0" w:right="0" w:firstLine="576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（全文完）</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spacing w:line="360" w:lineRule="auto"/>
      </w:pPr>
      <w:r/>
      <w:r/>
    </w:p>
    <w:sectPr>
      <w:footerReference w:type="default" r:id="rId9"/>
      <w:footnotePr/>
      <w:endnotePr/>
      <w:type w:val="nextPage"/>
      <w:pgSz w:w="11906" w:h="16838" w:orient="portrait"/>
      <w:pgMar w:top="1247" w:right="1247" w:bottom="1247" w:left="124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方正仿宋简体">
    <w:panose1 w:val="020B0503020202020204"/>
  </w:font>
  <w:font w:name="楷体_GB2312">
    <w:panose1 w:val="02010609060101010101"/>
  </w:font>
  <w:font w:name="Calibri">
    <w:panose1 w:val="020F0502020204030204"/>
  </w:font>
  <w:font w:name="创艺简仿宋">
    <w:panose1 w:val="020B0503020202020204"/>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rPr>
        <w:rStyle w:val="950"/>
      </w:rPr>
      <w:framePr w:wrap="around" w:vAnchor="text" w:hAnchor="margin" w:xAlign="center" w:y="1"/>
    </w:pPr>
    <w:r>
      <w:fldChar w:fldCharType="begin"/>
    </w:r>
    <w:r>
      <w:rPr>
        <w:rStyle w:val="950"/>
      </w:rPr>
      <w:instrText xml:space="preserve">PAGE  </w:instrText>
    </w:r>
    <w:r>
      <w:fldChar w:fldCharType="separate"/>
    </w:r>
    <w:r>
      <w:rPr>
        <w:rStyle w:val="950"/>
      </w:rPr>
      <w:t xml:space="preserve">46</w:t>
    </w:r>
    <w:r>
      <w:fldChar w:fldCharType="end"/>
    </w:r>
    <w:r/>
  </w:p>
  <w:p>
    <w:pPr>
      <w:pStyle w:val="939"/>
      <w:jc w:val="center"/>
    </w:pPr>
    <w:r/>
    <w:r/>
  </w:p>
  <w:p>
    <w:pPr>
      <w:pStyle w:val="93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2579" w:hanging="420"/>
        <w:tabs>
          <w:tab w:val="left" w:pos="2579" w:leader="none"/>
        </w:tabs>
      </w:pPr>
      <w:rPr>
        <w:rFonts w:hint="eastAsia"/>
      </w:rPr>
    </w:lvl>
    <w:lvl w:ilvl="1">
      <w:start w:val="1"/>
      <w:numFmt w:val="lowerLetter"/>
      <w:isLgl w:val="false"/>
      <w:suff w:val="tab"/>
      <w:lvlText w:val="%2)"/>
      <w:lvlJc w:val="left"/>
      <w:pPr>
        <w:ind w:left="2579" w:hanging="420"/>
        <w:tabs>
          <w:tab w:val="left" w:pos="2579" w:leader="none"/>
        </w:tabs>
      </w:pPr>
    </w:lvl>
    <w:lvl w:ilvl="2">
      <w:start w:val="1"/>
      <w:numFmt w:val="lowerRoman"/>
      <w:isLgl w:val="false"/>
      <w:suff w:val="tab"/>
      <w:lvlText w:val="%3."/>
      <w:lvlJc w:val="right"/>
      <w:pPr>
        <w:ind w:left="2999" w:hanging="420"/>
        <w:tabs>
          <w:tab w:val="left" w:pos="2999" w:leader="none"/>
        </w:tabs>
      </w:pPr>
    </w:lvl>
    <w:lvl w:ilvl="3">
      <w:start w:val="1"/>
      <w:numFmt w:val="decimal"/>
      <w:isLgl w:val="false"/>
      <w:suff w:val="tab"/>
      <w:lvlText w:val="%4."/>
      <w:lvlJc w:val="left"/>
      <w:pPr>
        <w:ind w:left="3419" w:hanging="420"/>
        <w:tabs>
          <w:tab w:val="left" w:pos="3419" w:leader="none"/>
        </w:tabs>
      </w:pPr>
    </w:lvl>
    <w:lvl w:ilvl="4">
      <w:start w:val="1"/>
      <w:numFmt w:val="lowerLetter"/>
      <w:isLgl w:val="false"/>
      <w:suff w:val="tab"/>
      <w:lvlText w:val="%5)"/>
      <w:lvlJc w:val="left"/>
      <w:pPr>
        <w:ind w:left="3839" w:hanging="420"/>
        <w:tabs>
          <w:tab w:val="left" w:pos="3839" w:leader="none"/>
        </w:tabs>
      </w:pPr>
    </w:lvl>
    <w:lvl w:ilvl="5">
      <w:start w:val="1"/>
      <w:numFmt w:val="lowerRoman"/>
      <w:isLgl w:val="false"/>
      <w:suff w:val="tab"/>
      <w:lvlText w:val="%6."/>
      <w:lvlJc w:val="right"/>
      <w:pPr>
        <w:ind w:left="4259" w:hanging="420"/>
        <w:tabs>
          <w:tab w:val="left" w:pos="4259" w:leader="none"/>
        </w:tabs>
      </w:pPr>
    </w:lvl>
    <w:lvl w:ilvl="6">
      <w:start w:val="1"/>
      <w:numFmt w:val="decimal"/>
      <w:isLgl w:val="false"/>
      <w:suff w:val="tab"/>
      <w:lvlText w:val="%7."/>
      <w:lvlJc w:val="left"/>
      <w:pPr>
        <w:ind w:left="4679" w:hanging="420"/>
        <w:tabs>
          <w:tab w:val="left" w:pos="4679" w:leader="none"/>
        </w:tabs>
      </w:pPr>
    </w:lvl>
    <w:lvl w:ilvl="7">
      <w:start w:val="1"/>
      <w:numFmt w:val="lowerLetter"/>
      <w:isLgl w:val="false"/>
      <w:suff w:val="tab"/>
      <w:lvlText w:val="%8)"/>
      <w:lvlJc w:val="left"/>
      <w:pPr>
        <w:ind w:left="5099" w:hanging="420"/>
        <w:tabs>
          <w:tab w:val="left" w:pos="5099" w:leader="none"/>
        </w:tabs>
      </w:pPr>
    </w:lvl>
    <w:lvl w:ilvl="8">
      <w:start w:val="1"/>
      <w:numFmt w:val="lowerRoman"/>
      <w:isLgl w:val="false"/>
      <w:suff w:val="tab"/>
      <w:lvlText w:val="%9."/>
      <w:lvlJc w:val="right"/>
      <w:pPr>
        <w:ind w:left="5519" w:hanging="420"/>
        <w:tabs>
          <w:tab w:val="left" w:pos="5519" w:leader="none"/>
        </w:tabs>
      </w:p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2579" w:hanging="420"/>
        <w:tabs>
          <w:tab w:val="left" w:pos="2579" w:leader="none"/>
        </w:tabs>
      </w:pPr>
      <w:rPr>
        <w:rFonts w:hint="eastAsia" w:ascii="宋体" w:hAnsi="宋体" w:eastAsia="宋体"/>
      </w:rPr>
    </w:lvl>
    <w:lvl w:ilvl="1">
      <w:start w:val="1"/>
      <w:numFmt w:val="lowerLetter"/>
      <w:isLgl w:val="false"/>
      <w:suff w:val="tab"/>
      <w:lvlText w:val="%2)"/>
      <w:lvlJc w:val="left"/>
      <w:pPr>
        <w:ind w:left="2579" w:hanging="420"/>
        <w:tabs>
          <w:tab w:val="left" w:pos="2579" w:leader="none"/>
        </w:tabs>
      </w:pPr>
    </w:lvl>
    <w:lvl w:ilvl="2">
      <w:start w:val="1"/>
      <w:numFmt w:val="lowerRoman"/>
      <w:isLgl w:val="false"/>
      <w:suff w:val="tab"/>
      <w:lvlText w:val="%3."/>
      <w:lvlJc w:val="right"/>
      <w:pPr>
        <w:ind w:left="2999" w:hanging="420"/>
        <w:tabs>
          <w:tab w:val="left" w:pos="2999" w:leader="none"/>
        </w:tabs>
      </w:pPr>
    </w:lvl>
    <w:lvl w:ilvl="3">
      <w:start w:val="1"/>
      <w:numFmt w:val="decimal"/>
      <w:isLgl w:val="false"/>
      <w:suff w:val="tab"/>
      <w:lvlText w:val="%4."/>
      <w:lvlJc w:val="left"/>
      <w:pPr>
        <w:ind w:left="3419" w:hanging="420"/>
        <w:tabs>
          <w:tab w:val="left" w:pos="3419" w:leader="none"/>
        </w:tabs>
      </w:pPr>
    </w:lvl>
    <w:lvl w:ilvl="4">
      <w:start w:val="1"/>
      <w:numFmt w:val="lowerLetter"/>
      <w:isLgl w:val="false"/>
      <w:suff w:val="tab"/>
      <w:lvlText w:val="%5)"/>
      <w:lvlJc w:val="left"/>
      <w:pPr>
        <w:ind w:left="3839" w:hanging="420"/>
        <w:tabs>
          <w:tab w:val="left" w:pos="3839" w:leader="none"/>
        </w:tabs>
      </w:pPr>
    </w:lvl>
    <w:lvl w:ilvl="5">
      <w:start w:val="1"/>
      <w:numFmt w:val="lowerRoman"/>
      <w:isLgl w:val="false"/>
      <w:suff w:val="tab"/>
      <w:lvlText w:val="%6."/>
      <w:lvlJc w:val="right"/>
      <w:pPr>
        <w:ind w:left="4259" w:hanging="420"/>
        <w:tabs>
          <w:tab w:val="left" w:pos="4259" w:leader="none"/>
        </w:tabs>
      </w:pPr>
    </w:lvl>
    <w:lvl w:ilvl="6">
      <w:start w:val="1"/>
      <w:numFmt w:val="decimal"/>
      <w:isLgl w:val="false"/>
      <w:suff w:val="tab"/>
      <w:lvlText w:val="%7."/>
      <w:lvlJc w:val="left"/>
      <w:pPr>
        <w:ind w:left="4679" w:hanging="420"/>
        <w:tabs>
          <w:tab w:val="left" w:pos="4679" w:leader="none"/>
        </w:tabs>
      </w:pPr>
    </w:lvl>
    <w:lvl w:ilvl="7">
      <w:start w:val="1"/>
      <w:numFmt w:val="lowerLetter"/>
      <w:isLgl w:val="false"/>
      <w:suff w:val="tab"/>
      <w:lvlText w:val="%8)"/>
      <w:lvlJc w:val="left"/>
      <w:pPr>
        <w:ind w:left="5099" w:hanging="420"/>
        <w:tabs>
          <w:tab w:val="left" w:pos="5099" w:leader="none"/>
        </w:tabs>
      </w:pPr>
    </w:lvl>
    <w:lvl w:ilvl="8">
      <w:start w:val="1"/>
      <w:numFmt w:val="lowerRoman"/>
      <w:isLgl w:val="false"/>
      <w:suff w:val="tab"/>
      <w:lvlText w:val="%9."/>
      <w:lvlJc w:val="right"/>
      <w:pPr>
        <w:ind w:left="5519" w:hanging="420"/>
        <w:tabs>
          <w:tab w:val="left" w:pos="5519" w:leader="none"/>
        </w:tabs>
      </w:p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2579" w:hanging="420"/>
        <w:tabs>
          <w:tab w:val="left" w:pos="2579" w:leader="none"/>
        </w:tabs>
      </w:pPr>
      <w:rPr>
        <w:rFonts w:hint="eastAsia"/>
      </w:rPr>
    </w:lvl>
    <w:lvl w:ilvl="1">
      <w:start w:val="1"/>
      <w:numFmt w:val="lowerLetter"/>
      <w:isLgl w:val="false"/>
      <w:suff w:val="tab"/>
      <w:lvlText w:val="%2)"/>
      <w:lvlJc w:val="left"/>
      <w:pPr>
        <w:ind w:left="2579" w:hanging="420"/>
        <w:tabs>
          <w:tab w:val="left" w:pos="2579" w:leader="none"/>
        </w:tabs>
      </w:pPr>
    </w:lvl>
    <w:lvl w:ilvl="2">
      <w:start w:val="1"/>
      <w:numFmt w:val="lowerRoman"/>
      <w:isLgl w:val="false"/>
      <w:suff w:val="tab"/>
      <w:lvlText w:val="%3."/>
      <w:lvlJc w:val="right"/>
      <w:pPr>
        <w:ind w:left="2999" w:hanging="420"/>
        <w:tabs>
          <w:tab w:val="left" w:pos="2999" w:leader="none"/>
        </w:tabs>
      </w:pPr>
    </w:lvl>
    <w:lvl w:ilvl="3">
      <w:start w:val="1"/>
      <w:numFmt w:val="decimal"/>
      <w:isLgl w:val="false"/>
      <w:suff w:val="tab"/>
      <w:lvlText w:val="%4."/>
      <w:lvlJc w:val="left"/>
      <w:pPr>
        <w:ind w:left="3419" w:hanging="420"/>
        <w:tabs>
          <w:tab w:val="left" w:pos="3419" w:leader="none"/>
        </w:tabs>
      </w:pPr>
    </w:lvl>
    <w:lvl w:ilvl="4">
      <w:start w:val="1"/>
      <w:numFmt w:val="lowerLetter"/>
      <w:isLgl w:val="false"/>
      <w:suff w:val="tab"/>
      <w:lvlText w:val="%5)"/>
      <w:lvlJc w:val="left"/>
      <w:pPr>
        <w:ind w:left="3839" w:hanging="420"/>
        <w:tabs>
          <w:tab w:val="left" w:pos="3839" w:leader="none"/>
        </w:tabs>
      </w:pPr>
    </w:lvl>
    <w:lvl w:ilvl="5">
      <w:start w:val="1"/>
      <w:numFmt w:val="lowerRoman"/>
      <w:isLgl w:val="false"/>
      <w:suff w:val="tab"/>
      <w:lvlText w:val="%6."/>
      <w:lvlJc w:val="right"/>
      <w:pPr>
        <w:ind w:left="4259" w:hanging="420"/>
        <w:tabs>
          <w:tab w:val="left" w:pos="4259" w:leader="none"/>
        </w:tabs>
      </w:pPr>
    </w:lvl>
    <w:lvl w:ilvl="6">
      <w:start w:val="1"/>
      <w:numFmt w:val="decimal"/>
      <w:isLgl w:val="false"/>
      <w:suff w:val="tab"/>
      <w:lvlText w:val="%7."/>
      <w:lvlJc w:val="left"/>
      <w:pPr>
        <w:ind w:left="4679" w:hanging="420"/>
        <w:tabs>
          <w:tab w:val="left" w:pos="4679" w:leader="none"/>
        </w:tabs>
      </w:pPr>
    </w:lvl>
    <w:lvl w:ilvl="7">
      <w:start w:val="1"/>
      <w:numFmt w:val="lowerLetter"/>
      <w:isLgl w:val="false"/>
      <w:suff w:val="tab"/>
      <w:lvlText w:val="%8)"/>
      <w:lvlJc w:val="left"/>
      <w:pPr>
        <w:ind w:left="5099" w:hanging="420"/>
        <w:tabs>
          <w:tab w:val="left" w:pos="5099" w:leader="none"/>
        </w:tabs>
      </w:pPr>
    </w:lvl>
    <w:lvl w:ilvl="8">
      <w:start w:val="1"/>
      <w:numFmt w:val="lowerRoman"/>
      <w:isLgl w:val="false"/>
      <w:suff w:val="tab"/>
      <w:lvlText w:val="%9."/>
      <w:lvlJc w:val="right"/>
      <w:pPr>
        <w:ind w:left="5519" w:hanging="420"/>
        <w:tabs>
          <w:tab w:val="left" w:pos="5519" w:leader="none"/>
        </w:tabs>
      </w:p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2579" w:hanging="420"/>
      </w:pPr>
      <w:rPr>
        <w:rFonts w:ascii="SimSun" w:hAnsi="SimSun" w:eastAsia="SimSun" w:cs="SimSun"/>
      </w:rPr>
    </w:lvl>
    <w:lvl w:ilvl="1">
      <w:start w:val="1"/>
      <w:numFmt w:val="lowerLetter"/>
      <w:isLgl w:val="false"/>
      <w:suff w:val="tab"/>
      <w:lvlText w:val="%2)"/>
      <w:lvlJc w:val="left"/>
      <w:pPr>
        <w:ind w:left="2579" w:hanging="420"/>
      </w:pPr>
    </w:lvl>
    <w:lvl w:ilvl="2">
      <w:start w:val="1"/>
      <w:numFmt w:val="decimal"/>
      <w:isLgl w:val="false"/>
      <w:suff w:val="tab"/>
      <w:lvlText w:val="%3."/>
      <w:lvlJc w:val="right"/>
      <w:pPr>
        <w:ind w:left="2999" w:hanging="420"/>
      </w:pPr>
    </w:lvl>
    <w:lvl w:ilvl="3">
      <w:start w:val="1"/>
      <w:numFmt w:val="decimal"/>
      <w:isLgl w:val="false"/>
      <w:suff w:val="tab"/>
      <w:lvlText w:val="%4."/>
      <w:lvlJc w:val="left"/>
      <w:pPr>
        <w:ind w:left="3419" w:hanging="420"/>
      </w:pPr>
    </w:lvl>
    <w:lvl w:ilvl="4">
      <w:start w:val="1"/>
      <w:numFmt w:val="lowerLetter"/>
      <w:isLgl w:val="false"/>
      <w:suff w:val="tab"/>
      <w:lvlText w:val="%5)"/>
      <w:lvlJc w:val="left"/>
      <w:pPr>
        <w:ind w:left="3839" w:hanging="420"/>
      </w:pPr>
    </w:lvl>
    <w:lvl w:ilvl="5">
      <w:start w:val="1"/>
      <w:numFmt w:val="decimal"/>
      <w:isLgl w:val="false"/>
      <w:suff w:val="tab"/>
      <w:lvlText w:val="%6."/>
      <w:lvlJc w:val="right"/>
      <w:pPr>
        <w:ind w:left="4259" w:hanging="420"/>
      </w:pPr>
    </w:lvl>
    <w:lvl w:ilvl="6">
      <w:start w:val="1"/>
      <w:numFmt w:val="decimal"/>
      <w:isLgl w:val="false"/>
      <w:suff w:val="tab"/>
      <w:lvlText w:val="%7."/>
      <w:lvlJc w:val="left"/>
      <w:pPr>
        <w:ind w:left="4679" w:hanging="420"/>
      </w:pPr>
    </w:lvl>
    <w:lvl w:ilvl="7">
      <w:start w:val="1"/>
      <w:numFmt w:val="lowerLetter"/>
      <w:isLgl w:val="false"/>
      <w:suff w:val="tab"/>
      <w:lvlText w:val="%8)"/>
      <w:lvlJc w:val="left"/>
      <w:pPr>
        <w:ind w:left="5099" w:hanging="420"/>
      </w:pPr>
    </w:lvl>
    <w:lvl w:ilvl="8">
      <w:start w:val="1"/>
      <w:numFmt w:val="decimal"/>
      <w:isLgl w:val="false"/>
      <w:suff w:val="tab"/>
      <w:lvlText w:val="%9."/>
      <w:lvlJc w:val="right"/>
      <w:pPr>
        <w:ind w:left="5519" w:hanging="420"/>
      </w:pPr>
    </w:lvl>
  </w:abstractNum>
  <w:abstractNum w:abstractNumId="8">
    <w:multiLevelType w:val="hybridMultilevel"/>
    <w:lvl w:ilvl="0">
      <w:start w:val="1"/>
      <w:numFmt w:val="decimal"/>
      <w:isLgl w:val="false"/>
      <w:suff w:val="tab"/>
      <w:lvlText w:val="（%1）"/>
      <w:lvlJc w:val="left"/>
      <w:pPr>
        <w:ind w:left="2579" w:hanging="420"/>
      </w:pPr>
      <w:rPr>
        <w:rFonts w:ascii="SimSun" w:hAnsi="SimSun" w:eastAsia="SimSun" w:cs="SimSun"/>
      </w:rPr>
    </w:lvl>
    <w:lvl w:ilvl="1">
      <w:start w:val="1"/>
      <w:numFmt w:val="lowerLetter"/>
      <w:isLgl w:val="false"/>
      <w:suff w:val="tab"/>
      <w:lvlText w:val="%2)"/>
      <w:lvlJc w:val="left"/>
      <w:pPr>
        <w:ind w:left="2579" w:hanging="420"/>
      </w:pPr>
    </w:lvl>
    <w:lvl w:ilvl="2">
      <w:start w:val="1"/>
      <w:numFmt w:val="decimal"/>
      <w:isLgl w:val="false"/>
      <w:suff w:val="tab"/>
      <w:lvlText w:val="%3."/>
      <w:lvlJc w:val="right"/>
      <w:pPr>
        <w:ind w:left="2999" w:hanging="420"/>
      </w:pPr>
    </w:lvl>
    <w:lvl w:ilvl="3">
      <w:start w:val="1"/>
      <w:numFmt w:val="decimal"/>
      <w:isLgl w:val="false"/>
      <w:suff w:val="tab"/>
      <w:lvlText w:val="%4."/>
      <w:lvlJc w:val="left"/>
      <w:pPr>
        <w:ind w:left="3419" w:hanging="420"/>
      </w:pPr>
    </w:lvl>
    <w:lvl w:ilvl="4">
      <w:start w:val="1"/>
      <w:numFmt w:val="lowerLetter"/>
      <w:isLgl w:val="false"/>
      <w:suff w:val="tab"/>
      <w:lvlText w:val="%5)"/>
      <w:lvlJc w:val="left"/>
      <w:pPr>
        <w:ind w:left="3839" w:hanging="420"/>
      </w:pPr>
    </w:lvl>
    <w:lvl w:ilvl="5">
      <w:start w:val="1"/>
      <w:numFmt w:val="decimal"/>
      <w:isLgl w:val="false"/>
      <w:suff w:val="tab"/>
      <w:lvlText w:val="%6."/>
      <w:lvlJc w:val="right"/>
      <w:pPr>
        <w:ind w:left="4259" w:hanging="420"/>
      </w:pPr>
    </w:lvl>
    <w:lvl w:ilvl="6">
      <w:start w:val="1"/>
      <w:numFmt w:val="decimal"/>
      <w:isLgl w:val="false"/>
      <w:suff w:val="tab"/>
      <w:lvlText w:val="%7."/>
      <w:lvlJc w:val="left"/>
      <w:pPr>
        <w:ind w:left="4679" w:hanging="420"/>
      </w:pPr>
    </w:lvl>
    <w:lvl w:ilvl="7">
      <w:start w:val="1"/>
      <w:numFmt w:val="lowerLetter"/>
      <w:isLgl w:val="false"/>
      <w:suff w:val="tab"/>
      <w:lvlText w:val="%8)"/>
      <w:lvlJc w:val="left"/>
      <w:pPr>
        <w:ind w:left="5099" w:hanging="420"/>
      </w:pPr>
    </w:lvl>
    <w:lvl w:ilvl="8">
      <w:start w:val="1"/>
      <w:numFmt w:val="decimal"/>
      <w:isLgl w:val="false"/>
      <w:suff w:val="tab"/>
      <w:lvlText w:val="%9."/>
      <w:lvlJc w:val="right"/>
      <w:pPr>
        <w:ind w:left="5519" w:hanging="420"/>
      </w:pPr>
    </w:lvl>
  </w:abstractNum>
  <w:abstractNum w:abstractNumId="9">
    <w:multiLevelType w:val="hybridMultilevel"/>
    <w:lvl w:ilvl="0">
      <w:start w:val="1"/>
      <w:numFmt w:val="decimal"/>
      <w:isLgl w:val="false"/>
      <w:suff w:val="tab"/>
      <w:lvlText w:val="（%1）"/>
      <w:lvlJc w:val="left"/>
      <w:pPr>
        <w:ind w:left="2579" w:hanging="420"/>
      </w:pPr>
      <w:rPr>
        <w:rFonts w:ascii="SimSun" w:hAnsi="SimSun" w:eastAsia="SimSun" w:cs="SimSun"/>
      </w:rPr>
    </w:lvl>
    <w:lvl w:ilvl="1">
      <w:start w:val="1"/>
      <w:numFmt w:val="lowerLetter"/>
      <w:isLgl w:val="false"/>
      <w:suff w:val="tab"/>
      <w:lvlText w:val="%2)"/>
      <w:lvlJc w:val="left"/>
      <w:pPr>
        <w:ind w:left="2579" w:hanging="420"/>
      </w:pPr>
    </w:lvl>
    <w:lvl w:ilvl="2">
      <w:start w:val="1"/>
      <w:numFmt w:val="decimal"/>
      <w:isLgl w:val="false"/>
      <w:suff w:val="tab"/>
      <w:lvlText w:val="%3."/>
      <w:lvlJc w:val="right"/>
      <w:pPr>
        <w:ind w:left="2999" w:hanging="420"/>
      </w:pPr>
    </w:lvl>
    <w:lvl w:ilvl="3">
      <w:start w:val="1"/>
      <w:numFmt w:val="decimal"/>
      <w:isLgl w:val="false"/>
      <w:suff w:val="tab"/>
      <w:lvlText w:val="%4."/>
      <w:lvlJc w:val="left"/>
      <w:pPr>
        <w:ind w:left="3419" w:hanging="420"/>
      </w:pPr>
    </w:lvl>
    <w:lvl w:ilvl="4">
      <w:start w:val="1"/>
      <w:numFmt w:val="lowerLetter"/>
      <w:isLgl w:val="false"/>
      <w:suff w:val="tab"/>
      <w:lvlText w:val="%5)"/>
      <w:lvlJc w:val="left"/>
      <w:pPr>
        <w:ind w:left="3839" w:hanging="420"/>
      </w:pPr>
    </w:lvl>
    <w:lvl w:ilvl="5">
      <w:start w:val="1"/>
      <w:numFmt w:val="decimal"/>
      <w:isLgl w:val="false"/>
      <w:suff w:val="tab"/>
      <w:lvlText w:val="%6."/>
      <w:lvlJc w:val="right"/>
      <w:pPr>
        <w:ind w:left="4259" w:hanging="420"/>
      </w:pPr>
    </w:lvl>
    <w:lvl w:ilvl="6">
      <w:start w:val="1"/>
      <w:numFmt w:val="decimal"/>
      <w:isLgl w:val="false"/>
      <w:suff w:val="tab"/>
      <w:lvlText w:val="%7."/>
      <w:lvlJc w:val="left"/>
      <w:pPr>
        <w:ind w:left="4679" w:hanging="420"/>
      </w:pPr>
    </w:lvl>
    <w:lvl w:ilvl="7">
      <w:start w:val="1"/>
      <w:numFmt w:val="lowerLetter"/>
      <w:isLgl w:val="false"/>
      <w:suff w:val="tab"/>
      <w:lvlText w:val="%8)"/>
      <w:lvlJc w:val="left"/>
      <w:pPr>
        <w:ind w:left="5099" w:hanging="420"/>
      </w:pPr>
    </w:lvl>
    <w:lvl w:ilvl="8">
      <w:start w:val="1"/>
      <w:numFmt w:val="decimal"/>
      <w:isLgl w:val="false"/>
      <w:suff w:val="tab"/>
      <w:lvlText w:val="%9."/>
      <w:lvlJc w:val="right"/>
      <w:pPr>
        <w:ind w:left="5519" w:hanging="420"/>
      </w:pPr>
    </w:lvl>
  </w:abstractNum>
  <w:abstractNum w:abstractNumId="10">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ind w:left="2579" w:hanging="420"/>
      </w:pPr>
      <w:rPr>
        <w:rFonts w:ascii="SimSun" w:hAnsi="SimSun" w:eastAsia="SimSun" w:cs="SimSun"/>
      </w:rPr>
    </w:lvl>
    <w:lvl w:ilvl="1">
      <w:start w:val="1"/>
      <w:numFmt w:val="lowerLetter"/>
      <w:isLgl w:val="false"/>
      <w:suff w:val="tab"/>
      <w:lvlText w:val="%2)"/>
      <w:lvlJc w:val="left"/>
      <w:pPr>
        <w:ind w:left="2579" w:hanging="420"/>
      </w:pPr>
    </w:lvl>
    <w:lvl w:ilvl="2">
      <w:start w:val="1"/>
      <w:numFmt w:val="decimal"/>
      <w:isLgl w:val="false"/>
      <w:suff w:val="tab"/>
      <w:lvlText w:val="%3."/>
      <w:lvlJc w:val="right"/>
      <w:pPr>
        <w:ind w:left="2999" w:hanging="420"/>
      </w:pPr>
    </w:lvl>
    <w:lvl w:ilvl="3">
      <w:start w:val="1"/>
      <w:numFmt w:val="decimal"/>
      <w:isLgl w:val="false"/>
      <w:suff w:val="tab"/>
      <w:lvlText w:val="%4."/>
      <w:lvlJc w:val="left"/>
      <w:pPr>
        <w:ind w:left="3419" w:hanging="420"/>
      </w:pPr>
    </w:lvl>
    <w:lvl w:ilvl="4">
      <w:start w:val="1"/>
      <w:numFmt w:val="lowerLetter"/>
      <w:isLgl w:val="false"/>
      <w:suff w:val="tab"/>
      <w:lvlText w:val="%5)"/>
      <w:lvlJc w:val="left"/>
      <w:pPr>
        <w:ind w:left="3839" w:hanging="420"/>
      </w:pPr>
    </w:lvl>
    <w:lvl w:ilvl="5">
      <w:start w:val="1"/>
      <w:numFmt w:val="decimal"/>
      <w:isLgl w:val="false"/>
      <w:suff w:val="tab"/>
      <w:lvlText w:val="%6."/>
      <w:lvlJc w:val="right"/>
      <w:pPr>
        <w:ind w:left="4259" w:hanging="420"/>
      </w:pPr>
    </w:lvl>
    <w:lvl w:ilvl="6">
      <w:start w:val="1"/>
      <w:numFmt w:val="decimal"/>
      <w:isLgl w:val="false"/>
      <w:suff w:val="tab"/>
      <w:lvlText w:val="%7."/>
      <w:lvlJc w:val="left"/>
      <w:pPr>
        <w:ind w:left="4679" w:hanging="420"/>
      </w:pPr>
    </w:lvl>
    <w:lvl w:ilvl="7">
      <w:start w:val="1"/>
      <w:numFmt w:val="lowerLetter"/>
      <w:isLgl w:val="false"/>
      <w:suff w:val="tab"/>
      <w:lvlText w:val="%8)"/>
      <w:lvlJc w:val="left"/>
      <w:pPr>
        <w:ind w:left="5099" w:hanging="420"/>
      </w:pPr>
    </w:lvl>
    <w:lvl w:ilvl="8">
      <w:start w:val="1"/>
      <w:numFmt w:val="decimal"/>
      <w:isLgl w:val="false"/>
      <w:suff w:val="tab"/>
      <w:lvlText w:val="%9."/>
      <w:lvlJc w:val="right"/>
      <w:pPr>
        <w:ind w:left="5519" w:hanging="420"/>
      </w:pPr>
    </w:lvl>
  </w:abstractNum>
  <w:abstractNum w:abstractNumId="14">
    <w:multiLevelType w:val="hybridMultilevel"/>
    <w:lvl w:ilvl="0">
      <w:start w:val="1"/>
      <w:numFmt w:val="decimal"/>
      <w:isLgl w:val="false"/>
      <w:suff w:val="tab"/>
      <w:lvlText w:val="（%1）"/>
      <w:lvlJc w:val="left"/>
      <w:pPr>
        <w:ind w:left="2579" w:hanging="420"/>
      </w:pPr>
      <w:rPr>
        <w:rFonts w:ascii="SimSun" w:hAnsi="SimSun" w:eastAsia="SimSun" w:cs="SimSun"/>
      </w:rPr>
    </w:lvl>
    <w:lvl w:ilvl="1">
      <w:start w:val="1"/>
      <w:numFmt w:val="lowerLetter"/>
      <w:isLgl w:val="false"/>
      <w:suff w:val="tab"/>
      <w:lvlText w:val="%2)"/>
      <w:lvlJc w:val="left"/>
      <w:pPr>
        <w:ind w:left="2579" w:hanging="420"/>
      </w:pPr>
    </w:lvl>
    <w:lvl w:ilvl="2">
      <w:start w:val="1"/>
      <w:numFmt w:val="decimal"/>
      <w:isLgl w:val="false"/>
      <w:suff w:val="tab"/>
      <w:lvlText w:val="%3."/>
      <w:lvlJc w:val="right"/>
      <w:pPr>
        <w:ind w:left="2999" w:hanging="420"/>
      </w:pPr>
    </w:lvl>
    <w:lvl w:ilvl="3">
      <w:start w:val="1"/>
      <w:numFmt w:val="decimal"/>
      <w:isLgl w:val="false"/>
      <w:suff w:val="tab"/>
      <w:lvlText w:val="%4."/>
      <w:lvlJc w:val="left"/>
      <w:pPr>
        <w:ind w:left="3419" w:hanging="420"/>
      </w:pPr>
    </w:lvl>
    <w:lvl w:ilvl="4">
      <w:start w:val="1"/>
      <w:numFmt w:val="lowerLetter"/>
      <w:isLgl w:val="false"/>
      <w:suff w:val="tab"/>
      <w:lvlText w:val="%5)"/>
      <w:lvlJc w:val="left"/>
      <w:pPr>
        <w:ind w:left="3839" w:hanging="420"/>
      </w:pPr>
    </w:lvl>
    <w:lvl w:ilvl="5">
      <w:start w:val="1"/>
      <w:numFmt w:val="decimal"/>
      <w:isLgl w:val="false"/>
      <w:suff w:val="tab"/>
      <w:lvlText w:val="%6."/>
      <w:lvlJc w:val="right"/>
      <w:pPr>
        <w:ind w:left="4259" w:hanging="420"/>
      </w:pPr>
    </w:lvl>
    <w:lvl w:ilvl="6">
      <w:start w:val="1"/>
      <w:numFmt w:val="decimal"/>
      <w:isLgl w:val="false"/>
      <w:suff w:val="tab"/>
      <w:lvlText w:val="%7."/>
      <w:lvlJc w:val="left"/>
      <w:pPr>
        <w:ind w:left="4679" w:hanging="420"/>
      </w:pPr>
    </w:lvl>
    <w:lvl w:ilvl="7">
      <w:start w:val="1"/>
      <w:numFmt w:val="lowerLetter"/>
      <w:isLgl w:val="false"/>
      <w:suff w:val="tab"/>
      <w:lvlText w:val="%8)"/>
      <w:lvlJc w:val="left"/>
      <w:pPr>
        <w:ind w:left="5099" w:hanging="420"/>
      </w:pPr>
    </w:lvl>
    <w:lvl w:ilvl="8">
      <w:start w:val="1"/>
      <w:numFmt w:val="decimal"/>
      <w:isLgl w:val="false"/>
      <w:suff w:val="tab"/>
      <w:lvlText w:val="%9."/>
      <w:lvlJc w:val="right"/>
      <w:pPr>
        <w:ind w:left="5519" w:hanging="420"/>
      </w:pPr>
    </w:lvl>
  </w:abstractNum>
  <w:abstractNum w:abstractNumId="15">
    <w:multiLevelType w:val="hybridMultilevel"/>
    <w:lvl w:ilvl="0">
      <w:start w:val="1"/>
      <w:numFmt w:val="decimal"/>
      <w:isLgl w:val="false"/>
      <w:suff w:val="tab"/>
      <w:lvlText w:val="（%1）"/>
      <w:lvlJc w:val="left"/>
      <w:pPr>
        <w:ind w:left="2579" w:hanging="420"/>
      </w:pPr>
      <w:rPr>
        <w:rFonts w:ascii="SimSun" w:hAnsi="SimSun" w:eastAsia="SimSun" w:cs="SimSun"/>
      </w:rPr>
    </w:lvl>
    <w:lvl w:ilvl="1">
      <w:start w:val="1"/>
      <w:numFmt w:val="lowerLetter"/>
      <w:isLgl w:val="false"/>
      <w:suff w:val="tab"/>
      <w:lvlText w:val="%2)"/>
      <w:lvlJc w:val="left"/>
      <w:pPr>
        <w:ind w:left="2579" w:hanging="420"/>
      </w:pPr>
    </w:lvl>
    <w:lvl w:ilvl="2">
      <w:start w:val="1"/>
      <w:numFmt w:val="decimal"/>
      <w:isLgl w:val="false"/>
      <w:suff w:val="tab"/>
      <w:lvlText w:val="%3."/>
      <w:lvlJc w:val="right"/>
      <w:pPr>
        <w:ind w:left="2999" w:hanging="420"/>
      </w:pPr>
    </w:lvl>
    <w:lvl w:ilvl="3">
      <w:start w:val="1"/>
      <w:numFmt w:val="decimal"/>
      <w:isLgl w:val="false"/>
      <w:suff w:val="tab"/>
      <w:lvlText w:val="%4."/>
      <w:lvlJc w:val="left"/>
      <w:pPr>
        <w:ind w:left="3419" w:hanging="420"/>
      </w:pPr>
    </w:lvl>
    <w:lvl w:ilvl="4">
      <w:start w:val="1"/>
      <w:numFmt w:val="lowerLetter"/>
      <w:isLgl w:val="false"/>
      <w:suff w:val="tab"/>
      <w:lvlText w:val="%5)"/>
      <w:lvlJc w:val="left"/>
      <w:pPr>
        <w:ind w:left="3839" w:hanging="420"/>
      </w:pPr>
    </w:lvl>
    <w:lvl w:ilvl="5">
      <w:start w:val="1"/>
      <w:numFmt w:val="decimal"/>
      <w:isLgl w:val="false"/>
      <w:suff w:val="tab"/>
      <w:lvlText w:val="%6."/>
      <w:lvlJc w:val="right"/>
      <w:pPr>
        <w:ind w:left="4259" w:hanging="420"/>
      </w:pPr>
    </w:lvl>
    <w:lvl w:ilvl="6">
      <w:start w:val="1"/>
      <w:numFmt w:val="decimal"/>
      <w:isLgl w:val="false"/>
      <w:suff w:val="tab"/>
      <w:lvlText w:val="%7."/>
      <w:lvlJc w:val="left"/>
      <w:pPr>
        <w:ind w:left="4679" w:hanging="420"/>
      </w:pPr>
    </w:lvl>
    <w:lvl w:ilvl="7">
      <w:start w:val="1"/>
      <w:numFmt w:val="lowerLetter"/>
      <w:isLgl w:val="false"/>
      <w:suff w:val="tab"/>
      <w:lvlText w:val="%8)"/>
      <w:lvlJc w:val="left"/>
      <w:pPr>
        <w:ind w:left="5099" w:hanging="420"/>
      </w:pPr>
    </w:lvl>
    <w:lvl w:ilvl="8">
      <w:start w:val="1"/>
      <w:numFmt w:val="decimal"/>
      <w:isLgl w:val="false"/>
      <w:suff w:val="tab"/>
      <w:lvlText w:val="%9."/>
      <w:lvlJc w:val="right"/>
      <w:pPr>
        <w:ind w:left="5519" w:hanging="420"/>
      </w:pPr>
    </w:lvl>
  </w:abstractNum>
  <w:abstractNum w:abstractNumId="16">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tab"/>
      <w:lvlText w:val="（%1）"/>
      <w:lvlJc w:val="left"/>
      <w:pPr>
        <w:ind w:left="2579" w:hanging="420"/>
      </w:pPr>
      <w:rPr>
        <w:rFonts w:ascii="SimSun" w:hAnsi="SimSun" w:eastAsia="SimSun" w:cs="SimSun"/>
      </w:rPr>
    </w:lvl>
    <w:lvl w:ilvl="1">
      <w:start w:val="1"/>
      <w:numFmt w:val="lowerLetter"/>
      <w:isLgl w:val="false"/>
      <w:suff w:val="tab"/>
      <w:lvlText w:val="%2)"/>
      <w:lvlJc w:val="left"/>
      <w:pPr>
        <w:ind w:left="2579" w:hanging="420"/>
      </w:pPr>
    </w:lvl>
    <w:lvl w:ilvl="2">
      <w:start w:val="1"/>
      <w:numFmt w:val="decimal"/>
      <w:isLgl w:val="false"/>
      <w:suff w:val="tab"/>
      <w:lvlText w:val="%3."/>
      <w:lvlJc w:val="right"/>
      <w:pPr>
        <w:ind w:left="2999" w:hanging="420"/>
      </w:pPr>
    </w:lvl>
    <w:lvl w:ilvl="3">
      <w:start w:val="1"/>
      <w:numFmt w:val="decimal"/>
      <w:isLgl w:val="false"/>
      <w:suff w:val="tab"/>
      <w:lvlText w:val="%4."/>
      <w:lvlJc w:val="left"/>
      <w:pPr>
        <w:ind w:left="3419" w:hanging="420"/>
      </w:pPr>
    </w:lvl>
    <w:lvl w:ilvl="4">
      <w:start w:val="1"/>
      <w:numFmt w:val="lowerLetter"/>
      <w:isLgl w:val="false"/>
      <w:suff w:val="tab"/>
      <w:lvlText w:val="%5)"/>
      <w:lvlJc w:val="left"/>
      <w:pPr>
        <w:ind w:left="3839" w:hanging="420"/>
      </w:pPr>
    </w:lvl>
    <w:lvl w:ilvl="5">
      <w:start w:val="1"/>
      <w:numFmt w:val="decimal"/>
      <w:isLgl w:val="false"/>
      <w:suff w:val="tab"/>
      <w:lvlText w:val="%6."/>
      <w:lvlJc w:val="right"/>
      <w:pPr>
        <w:ind w:left="4259" w:hanging="420"/>
      </w:pPr>
    </w:lvl>
    <w:lvl w:ilvl="6">
      <w:start w:val="1"/>
      <w:numFmt w:val="decimal"/>
      <w:isLgl w:val="false"/>
      <w:suff w:val="tab"/>
      <w:lvlText w:val="%7."/>
      <w:lvlJc w:val="left"/>
      <w:pPr>
        <w:ind w:left="4679" w:hanging="420"/>
      </w:pPr>
    </w:lvl>
    <w:lvl w:ilvl="7">
      <w:start w:val="1"/>
      <w:numFmt w:val="lowerLetter"/>
      <w:isLgl w:val="false"/>
      <w:suff w:val="tab"/>
      <w:lvlText w:val="%8)"/>
      <w:lvlJc w:val="left"/>
      <w:pPr>
        <w:ind w:left="5099" w:hanging="420"/>
      </w:pPr>
    </w:lvl>
    <w:lvl w:ilvl="8">
      <w:start w:val="1"/>
      <w:numFmt w:val="decimal"/>
      <w:isLgl w:val="false"/>
      <w:suff w:val="tab"/>
      <w:lvlText w:val="%9."/>
      <w:lvlJc w:val="right"/>
      <w:pPr>
        <w:ind w:left="5519" w:hanging="420"/>
      </w:pPr>
    </w:lvl>
  </w:abstractNum>
  <w:abstractNum w:abstractNumId="20">
    <w:multiLevelType w:val="hybridMultilevel"/>
    <w:lvl w:ilvl="0">
      <w:start w:val="1"/>
      <w:numFmt w:val="decimal"/>
      <w:isLgl w:val="false"/>
      <w:suff w:val="tab"/>
      <w:lvlText w:val="（%1）"/>
      <w:lvlJc w:val="left"/>
      <w:pPr>
        <w:ind w:left="2579" w:hanging="420"/>
      </w:pPr>
      <w:rPr>
        <w:rFonts w:ascii="SimSun" w:hAnsi="SimSun" w:eastAsia="SimSun" w:cs="SimSun"/>
      </w:rPr>
    </w:lvl>
    <w:lvl w:ilvl="1">
      <w:start w:val="1"/>
      <w:numFmt w:val="lowerLetter"/>
      <w:isLgl w:val="false"/>
      <w:suff w:val="tab"/>
      <w:lvlText w:val="%2)"/>
      <w:lvlJc w:val="left"/>
      <w:pPr>
        <w:ind w:left="2579" w:hanging="420"/>
      </w:pPr>
    </w:lvl>
    <w:lvl w:ilvl="2">
      <w:start w:val="1"/>
      <w:numFmt w:val="decimal"/>
      <w:isLgl w:val="false"/>
      <w:suff w:val="tab"/>
      <w:lvlText w:val="%3."/>
      <w:lvlJc w:val="right"/>
      <w:pPr>
        <w:ind w:left="2999" w:hanging="420"/>
      </w:pPr>
    </w:lvl>
    <w:lvl w:ilvl="3">
      <w:start w:val="1"/>
      <w:numFmt w:val="decimal"/>
      <w:isLgl w:val="false"/>
      <w:suff w:val="tab"/>
      <w:lvlText w:val="%4."/>
      <w:lvlJc w:val="left"/>
      <w:pPr>
        <w:ind w:left="3419" w:hanging="420"/>
      </w:pPr>
    </w:lvl>
    <w:lvl w:ilvl="4">
      <w:start w:val="1"/>
      <w:numFmt w:val="lowerLetter"/>
      <w:isLgl w:val="false"/>
      <w:suff w:val="tab"/>
      <w:lvlText w:val="%5)"/>
      <w:lvlJc w:val="left"/>
      <w:pPr>
        <w:ind w:left="3839" w:hanging="420"/>
      </w:pPr>
    </w:lvl>
    <w:lvl w:ilvl="5">
      <w:start w:val="1"/>
      <w:numFmt w:val="decimal"/>
      <w:isLgl w:val="false"/>
      <w:suff w:val="tab"/>
      <w:lvlText w:val="%6."/>
      <w:lvlJc w:val="right"/>
      <w:pPr>
        <w:ind w:left="4259" w:hanging="420"/>
      </w:pPr>
    </w:lvl>
    <w:lvl w:ilvl="6">
      <w:start w:val="1"/>
      <w:numFmt w:val="decimal"/>
      <w:isLgl w:val="false"/>
      <w:suff w:val="tab"/>
      <w:lvlText w:val="%7."/>
      <w:lvlJc w:val="left"/>
      <w:pPr>
        <w:ind w:left="4679" w:hanging="420"/>
      </w:pPr>
    </w:lvl>
    <w:lvl w:ilvl="7">
      <w:start w:val="1"/>
      <w:numFmt w:val="lowerLetter"/>
      <w:isLgl w:val="false"/>
      <w:suff w:val="tab"/>
      <w:lvlText w:val="%8)"/>
      <w:lvlJc w:val="left"/>
      <w:pPr>
        <w:ind w:left="5099" w:hanging="420"/>
      </w:pPr>
    </w:lvl>
    <w:lvl w:ilvl="8">
      <w:start w:val="1"/>
      <w:numFmt w:val="decimal"/>
      <w:isLgl w:val="false"/>
      <w:suff w:val="tab"/>
      <w:lvlText w:val="%9."/>
      <w:lvlJc w:val="right"/>
      <w:pPr>
        <w:ind w:left="5519" w:hanging="420"/>
      </w:pPr>
    </w:lvl>
  </w:abstractNum>
  <w:abstractNum w:abstractNumId="21">
    <w:multiLevelType w:val="hybridMultilevel"/>
    <w:lvl w:ilvl="0">
      <w:start w:val="1"/>
      <w:numFmt w:val="decimal"/>
      <w:isLgl w:val="false"/>
      <w:suff w:val="tab"/>
      <w:lvlText w:val="（%1）"/>
      <w:lvlJc w:val="left"/>
      <w:pPr>
        <w:ind w:left="2579" w:hanging="420"/>
      </w:pPr>
      <w:rPr>
        <w:rFonts w:ascii="SimSun" w:hAnsi="SimSun" w:eastAsia="SimSun" w:cs="SimSun"/>
      </w:rPr>
    </w:lvl>
    <w:lvl w:ilvl="1">
      <w:start w:val="1"/>
      <w:numFmt w:val="lowerLetter"/>
      <w:isLgl w:val="false"/>
      <w:suff w:val="tab"/>
      <w:lvlText w:val="%2)"/>
      <w:lvlJc w:val="left"/>
      <w:pPr>
        <w:ind w:left="2579" w:hanging="420"/>
      </w:pPr>
    </w:lvl>
    <w:lvl w:ilvl="2">
      <w:start w:val="1"/>
      <w:numFmt w:val="decimal"/>
      <w:isLgl w:val="false"/>
      <w:suff w:val="tab"/>
      <w:lvlText w:val="%3."/>
      <w:lvlJc w:val="right"/>
      <w:pPr>
        <w:ind w:left="2999" w:hanging="420"/>
      </w:pPr>
    </w:lvl>
    <w:lvl w:ilvl="3">
      <w:start w:val="1"/>
      <w:numFmt w:val="decimal"/>
      <w:isLgl w:val="false"/>
      <w:suff w:val="tab"/>
      <w:lvlText w:val="%4."/>
      <w:lvlJc w:val="left"/>
      <w:pPr>
        <w:ind w:left="3419" w:hanging="420"/>
      </w:pPr>
    </w:lvl>
    <w:lvl w:ilvl="4">
      <w:start w:val="1"/>
      <w:numFmt w:val="lowerLetter"/>
      <w:isLgl w:val="false"/>
      <w:suff w:val="tab"/>
      <w:lvlText w:val="%5)"/>
      <w:lvlJc w:val="left"/>
      <w:pPr>
        <w:ind w:left="3839" w:hanging="420"/>
      </w:pPr>
    </w:lvl>
    <w:lvl w:ilvl="5">
      <w:start w:val="1"/>
      <w:numFmt w:val="decimal"/>
      <w:isLgl w:val="false"/>
      <w:suff w:val="tab"/>
      <w:lvlText w:val="%6."/>
      <w:lvlJc w:val="right"/>
      <w:pPr>
        <w:ind w:left="4259" w:hanging="420"/>
      </w:pPr>
    </w:lvl>
    <w:lvl w:ilvl="6">
      <w:start w:val="1"/>
      <w:numFmt w:val="decimal"/>
      <w:isLgl w:val="false"/>
      <w:suff w:val="tab"/>
      <w:lvlText w:val="%7."/>
      <w:lvlJc w:val="left"/>
      <w:pPr>
        <w:ind w:left="4679" w:hanging="420"/>
      </w:pPr>
    </w:lvl>
    <w:lvl w:ilvl="7">
      <w:start w:val="1"/>
      <w:numFmt w:val="lowerLetter"/>
      <w:isLgl w:val="false"/>
      <w:suff w:val="tab"/>
      <w:lvlText w:val="%8)"/>
      <w:lvlJc w:val="left"/>
      <w:pPr>
        <w:ind w:left="5099" w:hanging="420"/>
      </w:pPr>
    </w:lvl>
    <w:lvl w:ilvl="8">
      <w:start w:val="1"/>
      <w:numFmt w:val="decimal"/>
      <w:isLgl w:val="false"/>
      <w:suff w:val="tab"/>
      <w:lvlText w:val="%9."/>
      <w:lvlJc w:val="right"/>
      <w:pPr>
        <w:ind w:left="5519" w:hanging="420"/>
      </w:pPr>
    </w:lvl>
  </w:abstractNum>
  <w:abstractNum w:abstractNumId="22">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25">
    <w:multiLevelType w:val="hybridMultilevel"/>
    <w:lvl w:ilvl="0">
      <w:start w:val="1"/>
      <w:numFmt w:val="decimal"/>
      <w:isLgl w:val="false"/>
      <w:suff w:val="tab"/>
      <w:lvlText w:val="（%1）"/>
      <w:lvlJc w:val="left"/>
      <w:pPr>
        <w:ind w:left="2579" w:hanging="420"/>
      </w:pPr>
      <w:rPr>
        <w:rFonts w:ascii="SimSun" w:hAnsi="SimSun" w:eastAsia="SimSun" w:cs="SimSun"/>
      </w:rPr>
    </w:lvl>
    <w:lvl w:ilvl="1">
      <w:start w:val="1"/>
      <w:numFmt w:val="lowerLetter"/>
      <w:isLgl w:val="false"/>
      <w:suff w:val="tab"/>
      <w:lvlText w:val="%2)"/>
      <w:lvlJc w:val="left"/>
      <w:pPr>
        <w:ind w:left="2579" w:hanging="420"/>
      </w:pPr>
    </w:lvl>
    <w:lvl w:ilvl="2">
      <w:start w:val="1"/>
      <w:numFmt w:val="decimal"/>
      <w:isLgl w:val="false"/>
      <w:suff w:val="tab"/>
      <w:lvlText w:val="%3."/>
      <w:lvlJc w:val="right"/>
      <w:pPr>
        <w:ind w:left="2999" w:hanging="420"/>
      </w:pPr>
    </w:lvl>
    <w:lvl w:ilvl="3">
      <w:start w:val="1"/>
      <w:numFmt w:val="decimal"/>
      <w:isLgl w:val="false"/>
      <w:suff w:val="tab"/>
      <w:lvlText w:val="%4."/>
      <w:lvlJc w:val="left"/>
      <w:pPr>
        <w:ind w:left="3419" w:hanging="420"/>
      </w:pPr>
    </w:lvl>
    <w:lvl w:ilvl="4">
      <w:start w:val="1"/>
      <w:numFmt w:val="lowerLetter"/>
      <w:isLgl w:val="false"/>
      <w:suff w:val="tab"/>
      <w:lvlText w:val="%5)"/>
      <w:lvlJc w:val="left"/>
      <w:pPr>
        <w:ind w:left="3839" w:hanging="420"/>
      </w:pPr>
    </w:lvl>
    <w:lvl w:ilvl="5">
      <w:start w:val="1"/>
      <w:numFmt w:val="decimal"/>
      <w:isLgl w:val="false"/>
      <w:suff w:val="tab"/>
      <w:lvlText w:val="%6."/>
      <w:lvlJc w:val="right"/>
      <w:pPr>
        <w:ind w:left="4259" w:hanging="420"/>
      </w:pPr>
    </w:lvl>
    <w:lvl w:ilvl="6">
      <w:start w:val="1"/>
      <w:numFmt w:val="decimal"/>
      <w:isLgl w:val="false"/>
      <w:suff w:val="tab"/>
      <w:lvlText w:val="%7."/>
      <w:lvlJc w:val="left"/>
      <w:pPr>
        <w:ind w:left="4679" w:hanging="420"/>
      </w:pPr>
    </w:lvl>
    <w:lvl w:ilvl="7">
      <w:start w:val="1"/>
      <w:numFmt w:val="lowerLetter"/>
      <w:isLgl w:val="false"/>
      <w:suff w:val="tab"/>
      <w:lvlText w:val="%8)"/>
      <w:lvlJc w:val="left"/>
      <w:pPr>
        <w:ind w:left="5099" w:hanging="420"/>
      </w:pPr>
    </w:lvl>
    <w:lvl w:ilvl="8">
      <w:start w:val="1"/>
      <w:numFmt w:val="decimal"/>
      <w:isLgl w:val="false"/>
      <w:suff w:val="tab"/>
      <w:lvlText w:val="%9."/>
      <w:lvlJc w:val="right"/>
      <w:pPr>
        <w:ind w:left="5519" w:hanging="420"/>
      </w:pPr>
    </w:lvl>
  </w:abstractNum>
  <w:abstractNum w:abstractNumId="26">
    <w:multiLevelType w:val="hybridMultilevel"/>
    <w:lvl w:ilvl="0">
      <w:start w:val="1"/>
      <w:numFmt w:val="decimal"/>
      <w:isLgl w:val="false"/>
      <w:suff w:val="tab"/>
      <w:lvlText w:val="（%1）"/>
      <w:lvlJc w:val="left"/>
      <w:pPr>
        <w:ind w:left="2579" w:hanging="420"/>
      </w:pPr>
      <w:rPr>
        <w:rFonts w:ascii="SimSun" w:hAnsi="SimSun" w:eastAsia="SimSun" w:cs="SimSun"/>
      </w:rPr>
    </w:lvl>
    <w:lvl w:ilvl="1">
      <w:start w:val="1"/>
      <w:numFmt w:val="lowerLetter"/>
      <w:isLgl w:val="false"/>
      <w:suff w:val="tab"/>
      <w:lvlText w:val="%2)"/>
      <w:lvlJc w:val="left"/>
      <w:pPr>
        <w:ind w:left="2579" w:hanging="420"/>
      </w:pPr>
    </w:lvl>
    <w:lvl w:ilvl="2">
      <w:start w:val="1"/>
      <w:numFmt w:val="decimal"/>
      <w:isLgl w:val="false"/>
      <w:suff w:val="tab"/>
      <w:lvlText w:val="%3."/>
      <w:lvlJc w:val="right"/>
      <w:pPr>
        <w:ind w:left="2999" w:hanging="420"/>
      </w:pPr>
    </w:lvl>
    <w:lvl w:ilvl="3">
      <w:start w:val="1"/>
      <w:numFmt w:val="decimal"/>
      <w:isLgl w:val="false"/>
      <w:suff w:val="tab"/>
      <w:lvlText w:val="%4."/>
      <w:lvlJc w:val="left"/>
      <w:pPr>
        <w:ind w:left="3419" w:hanging="420"/>
      </w:pPr>
    </w:lvl>
    <w:lvl w:ilvl="4">
      <w:start w:val="1"/>
      <w:numFmt w:val="lowerLetter"/>
      <w:isLgl w:val="false"/>
      <w:suff w:val="tab"/>
      <w:lvlText w:val="%5)"/>
      <w:lvlJc w:val="left"/>
      <w:pPr>
        <w:ind w:left="3839" w:hanging="420"/>
      </w:pPr>
    </w:lvl>
    <w:lvl w:ilvl="5">
      <w:start w:val="1"/>
      <w:numFmt w:val="decimal"/>
      <w:isLgl w:val="false"/>
      <w:suff w:val="tab"/>
      <w:lvlText w:val="%6."/>
      <w:lvlJc w:val="right"/>
      <w:pPr>
        <w:ind w:left="4259" w:hanging="420"/>
      </w:pPr>
    </w:lvl>
    <w:lvl w:ilvl="6">
      <w:start w:val="1"/>
      <w:numFmt w:val="decimal"/>
      <w:isLgl w:val="false"/>
      <w:suff w:val="tab"/>
      <w:lvlText w:val="%7."/>
      <w:lvlJc w:val="left"/>
      <w:pPr>
        <w:ind w:left="4679" w:hanging="420"/>
      </w:pPr>
    </w:lvl>
    <w:lvl w:ilvl="7">
      <w:start w:val="1"/>
      <w:numFmt w:val="lowerLetter"/>
      <w:isLgl w:val="false"/>
      <w:suff w:val="tab"/>
      <w:lvlText w:val="%8)"/>
      <w:lvlJc w:val="left"/>
      <w:pPr>
        <w:ind w:left="5099" w:hanging="420"/>
      </w:pPr>
    </w:lvl>
    <w:lvl w:ilvl="8">
      <w:start w:val="1"/>
      <w:numFmt w:val="decimal"/>
      <w:isLgl w:val="false"/>
      <w:suff w:val="tab"/>
      <w:lvlText w:val="%9."/>
      <w:lvlJc w:val="right"/>
      <w:pPr>
        <w:ind w:left="5519" w:hanging="420"/>
      </w:pPr>
    </w:lvl>
  </w:abstractNum>
  <w:abstractNum w:abstractNumId="27">
    <w:multiLevelType w:val="hybridMultilevel"/>
    <w:lvl w:ilvl="0">
      <w:start w:val="1"/>
      <w:numFmt w:val="decimal"/>
      <w:isLgl w:val="false"/>
      <w:suff w:val="tab"/>
      <w:lvlText w:val="（%1）"/>
      <w:lvlJc w:val="left"/>
      <w:pPr>
        <w:ind w:left="2579" w:hanging="420"/>
      </w:pPr>
      <w:rPr>
        <w:rFonts w:ascii="SimSun" w:hAnsi="SimSun" w:eastAsia="SimSun" w:cs="SimSun"/>
      </w:rPr>
    </w:lvl>
    <w:lvl w:ilvl="1">
      <w:start w:val="1"/>
      <w:numFmt w:val="lowerLetter"/>
      <w:isLgl w:val="false"/>
      <w:suff w:val="tab"/>
      <w:lvlText w:val="%2)"/>
      <w:lvlJc w:val="left"/>
      <w:pPr>
        <w:ind w:left="2579" w:hanging="420"/>
      </w:pPr>
    </w:lvl>
    <w:lvl w:ilvl="2">
      <w:start w:val="1"/>
      <w:numFmt w:val="decimal"/>
      <w:isLgl w:val="false"/>
      <w:suff w:val="tab"/>
      <w:lvlText w:val="%3."/>
      <w:lvlJc w:val="right"/>
      <w:pPr>
        <w:ind w:left="2999" w:hanging="420"/>
      </w:pPr>
    </w:lvl>
    <w:lvl w:ilvl="3">
      <w:start w:val="1"/>
      <w:numFmt w:val="decimal"/>
      <w:isLgl w:val="false"/>
      <w:suff w:val="tab"/>
      <w:lvlText w:val="%4."/>
      <w:lvlJc w:val="left"/>
      <w:pPr>
        <w:ind w:left="3419" w:hanging="420"/>
      </w:pPr>
    </w:lvl>
    <w:lvl w:ilvl="4">
      <w:start w:val="1"/>
      <w:numFmt w:val="lowerLetter"/>
      <w:isLgl w:val="false"/>
      <w:suff w:val="tab"/>
      <w:lvlText w:val="%5)"/>
      <w:lvlJc w:val="left"/>
      <w:pPr>
        <w:ind w:left="3839" w:hanging="420"/>
      </w:pPr>
    </w:lvl>
    <w:lvl w:ilvl="5">
      <w:start w:val="1"/>
      <w:numFmt w:val="decimal"/>
      <w:isLgl w:val="false"/>
      <w:suff w:val="tab"/>
      <w:lvlText w:val="%6."/>
      <w:lvlJc w:val="right"/>
      <w:pPr>
        <w:ind w:left="4259" w:hanging="420"/>
      </w:pPr>
    </w:lvl>
    <w:lvl w:ilvl="6">
      <w:start w:val="1"/>
      <w:numFmt w:val="decimal"/>
      <w:isLgl w:val="false"/>
      <w:suff w:val="tab"/>
      <w:lvlText w:val="%7."/>
      <w:lvlJc w:val="left"/>
      <w:pPr>
        <w:ind w:left="4679" w:hanging="420"/>
      </w:pPr>
    </w:lvl>
    <w:lvl w:ilvl="7">
      <w:start w:val="1"/>
      <w:numFmt w:val="lowerLetter"/>
      <w:isLgl w:val="false"/>
      <w:suff w:val="tab"/>
      <w:lvlText w:val="%8)"/>
      <w:lvlJc w:val="left"/>
      <w:pPr>
        <w:ind w:left="5099" w:hanging="420"/>
      </w:pPr>
    </w:lvl>
    <w:lvl w:ilvl="8">
      <w:start w:val="1"/>
      <w:numFmt w:val="decimal"/>
      <w:isLgl w:val="false"/>
      <w:suff w:val="tab"/>
      <w:lvlText w:val="%9."/>
      <w:lvlJc w:val="right"/>
      <w:pPr>
        <w:ind w:left="5519" w:hanging="420"/>
      </w:pPr>
    </w:lvl>
  </w:abstractNum>
  <w:abstractNum w:abstractNumId="28">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29">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num w:numId="1">
    <w:abstractNumId w:val="5"/>
  </w:num>
  <w:num w:numId="2">
    <w:abstractNumId w:val="0"/>
  </w:num>
  <w:num w:numId="3">
    <w:abstractNumId w:val="2"/>
  </w:num>
  <w:num w:numId="4">
    <w:abstractNumId w:val="4"/>
  </w:num>
  <w:num w:numId="5">
    <w:abstractNumId w:val="3"/>
  </w:num>
  <w:num w:numId="6">
    <w:abstractNumId w:val="1"/>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6" w:default="1">
    <w:name w:val="Normal"/>
    <w:next w:val="728"/>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17">
    <w:name w:val="Heading 1"/>
    <w:basedOn w:val="716"/>
    <w:next w:val="716"/>
    <w:link w:val="779"/>
    <w:uiPriority w:val="9"/>
    <w:qFormat/>
    <w:pPr>
      <w:keepLines/>
      <w:keepNext/>
      <w:spacing w:before="480" w:after="200"/>
      <w:outlineLvl w:val="0"/>
    </w:pPr>
    <w:rPr>
      <w:rFonts w:ascii="Arial" w:hAnsi="Arial" w:eastAsia="Arial" w:cs="Arial"/>
      <w:sz w:val="40"/>
      <w:szCs w:val="40"/>
    </w:rPr>
  </w:style>
  <w:style w:type="paragraph" w:styleId="718">
    <w:name w:val="Heading 2"/>
    <w:basedOn w:val="716"/>
    <w:next w:val="716"/>
    <w:link w:val="780"/>
    <w:uiPriority w:val="9"/>
    <w:unhideWhenUsed/>
    <w:qFormat/>
    <w:pPr>
      <w:keepLines/>
      <w:keepNext/>
      <w:spacing w:before="360" w:after="200"/>
      <w:outlineLvl w:val="1"/>
    </w:pPr>
    <w:rPr>
      <w:rFonts w:ascii="Arial" w:hAnsi="Arial" w:eastAsia="Arial" w:cs="Arial"/>
      <w:sz w:val="34"/>
    </w:rPr>
  </w:style>
  <w:style w:type="paragraph" w:styleId="719">
    <w:name w:val="Heading 3"/>
    <w:basedOn w:val="716"/>
    <w:next w:val="716"/>
    <w:link w:val="781"/>
    <w:uiPriority w:val="9"/>
    <w:unhideWhenUsed/>
    <w:qFormat/>
    <w:pPr>
      <w:keepLines/>
      <w:keepNext/>
      <w:spacing w:before="320" w:after="200"/>
      <w:outlineLvl w:val="2"/>
    </w:pPr>
    <w:rPr>
      <w:rFonts w:ascii="Arial" w:hAnsi="Arial" w:eastAsia="Arial" w:cs="Arial"/>
      <w:sz w:val="30"/>
      <w:szCs w:val="30"/>
    </w:rPr>
  </w:style>
  <w:style w:type="paragraph" w:styleId="720">
    <w:name w:val="Heading 4"/>
    <w:basedOn w:val="716"/>
    <w:next w:val="716"/>
    <w:link w:val="782"/>
    <w:uiPriority w:val="9"/>
    <w:unhideWhenUsed/>
    <w:qFormat/>
    <w:pPr>
      <w:keepLines/>
      <w:keepNext/>
      <w:spacing w:before="320" w:after="200"/>
      <w:outlineLvl w:val="3"/>
    </w:pPr>
    <w:rPr>
      <w:rFonts w:ascii="Arial" w:hAnsi="Arial" w:eastAsia="Arial" w:cs="Arial"/>
      <w:b/>
      <w:bCs/>
      <w:sz w:val="26"/>
      <w:szCs w:val="26"/>
    </w:rPr>
  </w:style>
  <w:style w:type="paragraph" w:styleId="721">
    <w:name w:val="Heading 5"/>
    <w:basedOn w:val="716"/>
    <w:next w:val="716"/>
    <w:link w:val="783"/>
    <w:uiPriority w:val="9"/>
    <w:unhideWhenUsed/>
    <w:qFormat/>
    <w:pPr>
      <w:keepLines/>
      <w:keepNext/>
      <w:spacing w:before="320" w:after="200"/>
      <w:outlineLvl w:val="4"/>
    </w:pPr>
    <w:rPr>
      <w:rFonts w:ascii="Arial" w:hAnsi="Arial" w:eastAsia="Arial" w:cs="Arial"/>
      <w:b/>
      <w:bCs/>
      <w:sz w:val="24"/>
      <w:szCs w:val="24"/>
    </w:rPr>
  </w:style>
  <w:style w:type="paragraph" w:styleId="722">
    <w:name w:val="Heading 6"/>
    <w:basedOn w:val="716"/>
    <w:next w:val="716"/>
    <w:link w:val="784"/>
    <w:uiPriority w:val="9"/>
    <w:unhideWhenUsed/>
    <w:qFormat/>
    <w:pPr>
      <w:keepLines/>
      <w:keepNext/>
      <w:spacing w:before="320" w:after="200"/>
      <w:outlineLvl w:val="5"/>
    </w:pPr>
    <w:rPr>
      <w:rFonts w:ascii="Arial" w:hAnsi="Arial" w:eastAsia="Arial" w:cs="Arial"/>
      <w:b/>
      <w:bCs/>
      <w:sz w:val="22"/>
    </w:rPr>
  </w:style>
  <w:style w:type="paragraph" w:styleId="723">
    <w:name w:val="Heading 7"/>
    <w:basedOn w:val="716"/>
    <w:next w:val="716"/>
    <w:link w:val="785"/>
    <w:uiPriority w:val="9"/>
    <w:unhideWhenUsed/>
    <w:qFormat/>
    <w:pPr>
      <w:keepLines/>
      <w:keepNext/>
      <w:spacing w:before="320" w:after="200"/>
      <w:outlineLvl w:val="6"/>
    </w:pPr>
    <w:rPr>
      <w:rFonts w:ascii="Arial" w:hAnsi="Arial" w:eastAsia="Arial" w:cs="Arial"/>
      <w:b/>
      <w:bCs/>
      <w:i/>
      <w:iCs/>
      <w:sz w:val="22"/>
    </w:rPr>
  </w:style>
  <w:style w:type="paragraph" w:styleId="724">
    <w:name w:val="Heading 8"/>
    <w:basedOn w:val="716"/>
    <w:next w:val="716"/>
    <w:link w:val="786"/>
    <w:uiPriority w:val="9"/>
    <w:unhideWhenUsed/>
    <w:qFormat/>
    <w:pPr>
      <w:keepLines/>
      <w:keepNext/>
      <w:spacing w:before="320" w:after="200"/>
      <w:outlineLvl w:val="7"/>
    </w:pPr>
    <w:rPr>
      <w:rFonts w:ascii="Arial" w:hAnsi="Arial" w:eastAsia="Arial" w:cs="Arial"/>
      <w:i/>
      <w:iCs/>
      <w:sz w:val="22"/>
    </w:rPr>
  </w:style>
  <w:style w:type="paragraph" w:styleId="725">
    <w:name w:val="Heading 9"/>
    <w:basedOn w:val="716"/>
    <w:next w:val="716"/>
    <w:link w:val="787"/>
    <w:uiPriority w:val="9"/>
    <w:unhideWhenUsed/>
    <w:qFormat/>
    <w:pPr>
      <w:keepLines/>
      <w:keepNext/>
      <w:spacing w:before="320" w:after="200"/>
      <w:outlineLvl w:val="8"/>
    </w:pPr>
    <w:rPr>
      <w:rFonts w:ascii="Arial" w:hAnsi="Arial" w:eastAsia="Arial" w:cs="Arial"/>
      <w:i/>
      <w:iCs/>
      <w:szCs w:val="21"/>
    </w:rPr>
  </w:style>
  <w:style w:type="character" w:styleId="726" w:default="1">
    <w:name w:val="Default Paragraph Font"/>
    <w:uiPriority w:val="1"/>
    <w:unhideWhenUsed/>
    <w:qFormat/>
  </w:style>
  <w:style w:type="table" w:styleId="727" w:default="1">
    <w:name w:val="Normal Table"/>
    <w:uiPriority w:val="99"/>
    <w:semiHidden/>
    <w:unhideWhenUsed/>
    <w:qFormat/>
    <w:tblPr>
      <w:tblCellMar>
        <w:left w:w="108" w:type="dxa"/>
        <w:top w:w="0" w:type="dxa"/>
        <w:right w:w="108" w:type="dxa"/>
        <w:bottom w:w="0" w:type="dxa"/>
      </w:tblCellMar>
    </w:tblPr>
  </w:style>
  <w:style w:type="paragraph" w:styleId="728" w:customStyle="1">
    <w:name w:val="首行缩进"/>
    <w:basedOn w:val="716"/>
    <w:uiPriority w:val="0"/>
    <w:qFormat/>
    <w:pPr>
      <w:ind w:firstLine="480"/>
    </w:pPr>
    <w:rPr>
      <w:rFonts w:ascii="Calibri" w:hAnsi="Calibri"/>
      <w:szCs w:val="20"/>
      <w:lang w:val="zh-CN"/>
    </w:rPr>
  </w:style>
  <w:style w:type="paragraph" w:styleId="729">
    <w:name w:val="toc 7"/>
    <w:basedOn w:val="716"/>
    <w:next w:val="716"/>
    <w:uiPriority w:val="39"/>
    <w:unhideWhenUsed/>
    <w:qFormat/>
    <w:pPr>
      <w:ind w:left="1701"/>
      <w:spacing w:after="57"/>
    </w:pPr>
  </w:style>
  <w:style w:type="paragraph" w:styleId="730">
    <w:name w:val="Normal Indent"/>
    <w:basedOn w:val="716"/>
    <w:next w:val="716"/>
    <w:uiPriority w:val="0"/>
    <w:qFormat/>
    <w:pPr>
      <w:ind w:firstLine="420"/>
      <w:jc w:val="left"/>
    </w:pPr>
    <w:rPr>
      <w:rFonts w:eastAsia="楷体_GB2312"/>
      <w:sz w:val="24"/>
      <w:szCs w:val="20"/>
    </w:rPr>
  </w:style>
  <w:style w:type="paragraph" w:styleId="731">
    <w:name w:val="Caption"/>
    <w:basedOn w:val="716"/>
    <w:next w:val="71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2">
    <w:name w:val="Body Text"/>
    <w:basedOn w:val="716"/>
    <w:next w:val="730"/>
    <w:uiPriority w:val="0"/>
    <w:qFormat/>
    <w:pPr>
      <w:spacing w:line="400" w:lineRule="exact"/>
    </w:pPr>
    <w:rPr>
      <w:rFonts w:ascii="楷体_GB2312" w:eastAsia="楷体_GB2312"/>
      <w:sz w:val="28"/>
      <w:szCs w:val="20"/>
    </w:rPr>
  </w:style>
  <w:style w:type="paragraph" w:styleId="733">
    <w:name w:val="Body Text Indent"/>
    <w:basedOn w:val="716"/>
    <w:next w:val="716"/>
    <w:uiPriority w:val="0"/>
    <w:qFormat/>
    <w:pPr>
      <w:ind w:left="570"/>
      <w:spacing w:line="520" w:lineRule="exact"/>
    </w:pPr>
    <w:rPr>
      <w:rFonts w:ascii="方正仿宋简体" w:hAnsi="创艺简仿宋" w:eastAsia="方正仿宋简体"/>
      <w:sz w:val="24"/>
    </w:rPr>
  </w:style>
  <w:style w:type="paragraph" w:styleId="734">
    <w:name w:val="toc 5"/>
    <w:basedOn w:val="716"/>
    <w:next w:val="716"/>
    <w:uiPriority w:val="39"/>
    <w:unhideWhenUsed/>
    <w:qFormat/>
    <w:pPr>
      <w:ind w:left="1134"/>
      <w:spacing w:after="57"/>
    </w:pPr>
  </w:style>
  <w:style w:type="paragraph" w:styleId="735">
    <w:name w:val="toc 3"/>
    <w:basedOn w:val="716"/>
    <w:next w:val="716"/>
    <w:uiPriority w:val="39"/>
    <w:unhideWhenUsed/>
    <w:qFormat/>
    <w:pPr>
      <w:ind w:left="567"/>
      <w:spacing w:after="57"/>
    </w:pPr>
  </w:style>
  <w:style w:type="paragraph" w:styleId="736">
    <w:name w:val="Plain Text"/>
    <w:basedOn w:val="716"/>
    <w:uiPriority w:val="0"/>
    <w:qFormat/>
    <w:pPr>
      <w:jc w:val="left"/>
      <w:widowControl/>
    </w:pPr>
    <w:rPr>
      <w:rFonts w:ascii="宋体" w:hAnsi="Courier New"/>
      <w:szCs w:val="21"/>
    </w:rPr>
  </w:style>
  <w:style w:type="paragraph" w:styleId="737">
    <w:name w:val="toc 8"/>
    <w:basedOn w:val="716"/>
    <w:next w:val="716"/>
    <w:uiPriority w:val="39"/>
    <w:unhideWhenUsed/>
    <w:qFormat/>
    <w:pPr>
      <w:ind w:left="1984"/>
      <w:spacing w:after="57"/>
    </w:pPr>
  </w:style>
  <w:style w:type="paragraph" w:styleId="738">
    <w:name w:val="endnote text"/>
    <w:basedOn w:val="716"/>
    <w:link w:val="925"/>
    <w:uiPriority w:val="99"/>
    <w:semiHidden/>
    <w:unhideWhenUsed/>
    <w:qFormat/>
    <w:rPr>
      <w:sz w:val="20"/>
    </w:rPr>
  </w:style>
  <w:style w:type="paragraph" w:styleId="739">
    <w:name w:val="Footer"/>
    <w:basedOn w:val="716"/>
    <w:link w:val="798"/>
    <w:uiPriority w:val="99"/>
    <w:unhideWhenUsed/>
    <w:qFormat/>
    <w:pPr>
      <w:tabs>
        <w:tab w:val="center" w:pos="7143" w:leader="none"/>
        <w:tab w:val="right" w:pos="14287" w:leader="none"/>
      </w:tabs>
    </w:pPr>
  </w:style>
  <w:style w:type="paragraph" w:styleId="740">
    <w:name w:val="Header"/>
    <w:basedOn w:val="716"/>
    <w:link w:val="796"/>
    <w:uiPriority w:val="99"/>
    <w:unhideWhenUsed/>
    <w:qFormat/>
    <w:pPr>
      <w:tabs>
        <w:tab w:val="center" w:pos="7143" w:leader="none"/>
        <w:tab w:val="right" w:pos="14287" w:leader="none"/>
      </w:tabs>
    </w:pPr>
  </w:style>
  <w:style w:type="paragraph" w:styleId="741">
    <w:name w:val="toc 1"/>
    <w:basedOn w:val="716"/>
    <w:next w:val="716"/>
    <w:uiPriority w:val="39"/>
    <w:unhideWhenUsed/>
    <w:qFormat/>
    <w:pPr>
      <w:spacing w:after="57"/>
    </w:pPr>
  </w:style>
  <w:style w:type="paragraph" w:styleId="742">
    <w:name w:val="toc 4"/>
    <w:basedOn w:val="716"/>
    <w:next w:val="716"/>
    <w:uiPriority w:val="39"/>
    <w:unhideWhenUsed/>
    <w:qFormat/>
    <w:pPr>
      <w:ind w:left="850"/>
      <w:spacing w:after="57"/>
    </w:pPr>
  </w:style>
  <w:style w:type="paragraph" w:styleId="743">
    <w:name w:val="Subtitle"/>
    <w:basedOn w:val="716"/>
    <w:next w:val="716"/>
    <w:link w:val="791"/>
    <w:uiPriority w:val="11"/>
    <w:qFormat/>
    <w:pPr>
      <w:spacing w:before="200" w:after="200"/>
    </w:pPr>
    <w:rPr>
      <w:sz w:val="24"/>
      <w:szCs w:val="24"/>
    </w:rPr>
  </w:style>
  <w:style w:type="paragraph" w:styleId="744">
    <w:name w:val="footnote text"/>
    <w:basedOn w:val="716"/>
    <w:link w:val="924"/>
    <w:uiPriority w:val="99"/>
    <w:semiHidden/>
    <w:unhideWhenUsed/>
    <w:qFormat/>
    <w:pPr>
      <w:spacing w:after="40"/>
    </w:pPr>
    <w:rPr>
      <w:sz w:val="18"/>
    </w:rPr>
  </w:style>
  <w:style w:type="paragraph" w:styleId="745">
    <w:name w:val="toc 6"/>
    <w:basedOn w:val="716"/>
    <w:next w:val="716"/>
    <w:uiPriority w:val="39"/>
    <w:unhideWhenUsed/>
    <w:qFormat/>
    <w:pPr>
      <w:ind w:left="1417"/>
      <w:spacing w:after="57"/>
    </w:pPr>
  </w:style>
  <w:style w:type="paragraph" w:styleId="746">
    <w:name w:val="table of figures"/>
    <w:basedOn w:val="716"/>
    <w:next w:val="716"/>
    <w:uiPriority w:val="99"/>
    <w:unhideWhenUsed/>
    <w:qFormat/>
  </w:style>
  <w:style w:type="paragraph" w:styleId="747">
    <w:name w:val="toc 2"/>
    <w:basedOn w:val="716"/>
    <w:next w:val="716"/>
    <w:uiPriority w:val="39"/>
    <w:unhideWhenUsed/>
    <w:qFormat/>
    <w:pPr>
      <w:ind w:left="283"/>
      <w:spacing w:after="57"/>
    </w:pPr>
  </w:style>
  <w:style w:type="paragraph" w:styleId="748">
    <w:name w:val="toc 9"/>
    <w:basedOn w:val="716"/>
    <w:next w:val="716"/>
    <w:uiPriority w:val="39"/>
    <w:unhideWhenUsed/>
    <w:qFormat/>
    <w:pPr>
      <w:ind w:left="2268"/>
      <w:spacing w:after="57"/>
    </w:pPr>
  </w:style>
  <w:style w:type="paragraph" w:styleId="749">
    <w:name w:val="Normal (Web)"/>
    <w:basedOn w:val="716"/>
    <w:uiPriority w:val="99"/>
    <w:semiHidden/>
    <w:unhideWhenUsed/>
    <w:qFormat/>
    <w:pPr>
      <w:ind w:left="0" w:right="0"/>
      <w:jc w:val="left"/>
      <w:spacing w:before="0" w:beforeAutospacing="1" w:after="0" w:afterAutospacing="1"/>
    </w:pPr>
    <w:rPr>
      <w:sz w:val="24"/>
      <w:lang w:val="en-US" w:eastAsia="zh-CN" w:bidi="ar"/>
    </w:rPr>
  </w:style>
  <w:style w:type="paragraph" w:styleId="750">
    <w:name w:val="Title"/>
    <w:basedOn w:val="716"/>
    <w:next w:val="716"/>
    <w:link w:val="790"/>
    <w:uiPriority w:val="10"/>
    <w:qFormat/>
    <w:pPr>
      <w:contextualSpacing/>
      <w:spacing w:before="300" w:after="200"/>
    </w:pPr>
    <w:rPr>
      <w:sz w:val="48"/>
      <w:szCs w:val="48"/>
    </w:rPr>
  </w:style>
  <w:style w:type="paragraph" w:styleId="751">
    <w:name w:val="Body Text First Indent 2"/>
    <w:uiPriority w:val="99"/>
    <w:unhideWhenUsed/>
    <w:qFormat/>
    <w:pPr>
      <w:ind w:left="420" w:firstLine="420"/>
      <w:jc w:val="both"/>
      <w:spacing w:after="120"/>
      <w:widowControl w:val="off"/>
    </w:pPr>
    <w:rPr>
      <w:rFonts w:hint="default" w:ascii="Calibri" w:hAnsi="Calibri" w:eastAsia="宋体" w:cs="Times New Roman"/>
      <w:sz w:val="21"/>
      <w:lang w:val="en-US" w:eastAsia="zh-CN" w:bidi="ar-SA"/>
    </w:rPr>
  </w:style>
  <w:style w:type="table" w:styleId="75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3">
    <w:name w:val="Strong"/>
    <w:basedOn w:val="726"/>
    <w:uiPriority w:val="22"/>
    <w:qFormat/>
    <w:rPr>
      <w:b/>
    </w:rPr>
  </w:style>
  <w:style w:type="character" w:styleId="754">
    <w:name w:val="endnote reference"/>
    <w:uiPriority w:val="99"/>
    <w:semiHidden/>
    <w:unhideWhenUsed/>
    <w:qFormat/>
    <w:rPr>
      <w:vertAlign w:val="superscript"/>
    </w:rPr>
  </w:style>
  <w:style w:type="character" w:styleId="755">
    <w:name w:val="FollowedHyperlink"/>
    <w:basedOn w:val="726"/>
    <w:uiPriority w:val="99"/>
    <w:semiHidden/>
    <w:unhideWhenUsed/>
    <w:qFormat/>
    <w:rPr>
      <w:color w:val="333333"/>
      <w:u w:val="none"/>
    </w:rPr>
  </w:style>
  <w:style w:type="character" w:styleId="756">
    <w:name w:val="Emphasis"/>
    <w:basedOn w:val="726"/>
    <w:uiPriority w:val="20"/>
    <w:qFormat/>
  </w:style>
  <w:style w:type="character" w:styleId="757">
    <w:name w:val="Hyperlink"/>
    <w:uiPriority w:val="99"/>
    <w:unhideWhenUsed/>
    <w:qFormat/>
    <w:rPr>
      <w:color w:val="0000ff" w:themeColor="hyperlink"/>
      <w:u w:val="single"/>
      <w14:textFill>
        <w14:solidFill>
          <w14:schemeClr w14:val="hlink"/>
        </w14:solidFill>
      </w14:textFill>
    </w:rPr>
  </w:style>
  <w:style w:type="character" w:styleId="758">
    <w:name w:val="footnote reference"/>
    <w:uiPriority w:val="99"/>
    <w:unhideWhenUsed/>
    <w:qFormat/>
    <w:rPr>
      <w:vertAlign w:val="superscript"/>
    </w:rPr>
  </w:style>
  <w:style w:type="paragraph" w:styleId="759" w:customStyle="1">
    <w:name w:val="段"/>
    <w:next w:val="716"/>
    <w:uiPriority w:val="0"/>
    <w:qFormat/>
    <w:pPr>
      <w:ind w:firstLine="200"/>
      <w:jc w:val="both"/>
    </w:pPr>
    <w:rPr>
      <w:rFonts w:hint="default" w:ascii="宋体" w:hAnsi="Times New Roman" w:eastAsia="宋体" w:cs="Times New Roman"/>
      <w:sz w:val="21"/>
      <w:lang w:val="en-US" w:eastAsia="zh-CN" w:bidi="ar-SA"/>
    </w:rPr>
  </w:style>
  <w:style w:type="character" w:styleId="760" w:customStyle="1">
    <w:name w:val="Heading 1 Char"/>
    <w:basedOn w:val="726"/>
    <w:uiPriority w:val="9"/>
    <w:qFormat/>
    <w:rPr>
      <w:rFonts w:ascii="Arial" w:hAnsi="Arial" w:eastAsia="Arial" w:cs="Arial"/>
      <w:sz w:val="40"/>
      <w:szCs w:val="40"/>
    </w:rPr>
  </w:style>
  <w:style w:type="character" w:styleId="761" w:customStyle="1">
    <w:name w:val="Heading 2 Char"/>
    <w:basedOn w:val="726"/>
    <w:uiPriority w:val="9"/>
    <w:qFormat/>
    <w:rPr>
      <w:rFonts w:ascii="Arial" w:hAnsi="Arial" w:eastAsia="Arial" w:cs="Arial"/>
      <w:sz w:val="34"/>
    </w:rPr>
  </w:style>
  <w:style w:type="character" w:styleId="762" w:customStyle="1">
    <w:name w:val="Heading 3 Char"/>
    <w:basedOn w:val="726"/>
    <w:uiPriority w:val="9"/>
    <w:qFormat/>
    <w:rPr>
      <w:rFonts w:ascii="Arial" w:hAnsi="Arial" w:eastAsia="Arial" w:cs="Arial"/>
      <w:sz w:val="30"/>
      <w:szCs w:val="30"/>
    </w:rPr>
  </w:style>
  <w:style w:type="character" w:styleId="763" w:customStyle="1">
    <w:name w:val="Heading 4 Char"/>
    <w:basedOn w:val="726"/>
    <w:uiPriority w:val="9"/>
    <w:qFormat/>
    <w:rPr>
      <w:rFonts w:ascii="Arial" w:hAnsi="Arial" w:eastAsia="Arial" w:cs="Arial"/>
      <w:b/>
      <w:bCs/>
      <w:sz w:val="26"/>
      <w:szCs w:val="26"/>
    </w:rPr>
  </w:style>
  <w:style w:type="character" w:styleId="764" w:customStyle="1">
    <w:name w:val="Heading 5 Char"/>
    <w:basedOn w:val="726"/>
    <w:uiPriority w:val="9"/>
    <w:qFormat/>
    <w:rPr>
      <w:rFonts w:ascii="Arial" w:hAnsi="Arial" w:eastAsia="Arial" w:cs="Arial"/>
      <w:b/>
      <w:bCs/>
      <w:sz w:val="24"/>
      <w:szCs w:val="24"/>
    </w:rPr>
  </w:style>
  <w:style w:type="character" w:styleId="765" w:customStyle="1">
    <w:name w:val="Heading 6 Char"/>
    <w:basedOn w:val="726"/>
    <w:uiPriority w:val="9"/>
    <w:qFormat/>
    <w:rPr>
      <w:rFonts w:ascii="Arial" w:hAnsi="Arial" w:eastAsia="Arial" w:cs="Arial"/>
      <w:b/>
      <w:bCs/>
      <w:sz w:val="22"/>
      <w:szCs w:val="22"/>
    </w:rPr>
  </w:style>
  <w:style w:type="character" w:styleId="766" w:customStyle="1">
    <w:name w:val="Heading 7 Char"/>
    <w:basedOn w:val="726"/>
    <w:uiPriority w:val="9"/>
    <w:qFormat/>
    <w:rPr>
      <w:rFonts w:ascii="Arial" w:hAnsi="Arial" w:eastAsia="Arial" w:cs="Arial"/>
      <w:b/>
      <w:bCs/>
      <w:i/>
      <w:iCs/>
      <w:sz w:val="22"/>
      <w:szCs w:val="22"/>
    </w:rPr>
  </w:style>
  <w:style w:type="character" w:styleId="767" w:customStyle="1">
    <w:name w:val="Heading 8 Char"/>
    <w:basedOn w:val="726"/>
    <w:uiPriority w:val="9"/>
    <w:qFormat/>
    <w:rPr>
      <w:rFonts w:ascii="Arial" w:hAnsi="Arial" w:eastAsia="Arial" w:cs="Arial"/>
      <w:i/>
      <w:iCs/>
      <w:sz w:val="22"/>
      <w:szCs w:val="22"/>
    </w:rPr>
  </w:style>
  <w:style w:type="character" w:styleId="768" w:customStyle="1">
    <w:name w:val="Heading 9 Char"/>
    <w:basedOn w:val="726"/>
    <w:uiPriority w:val="9"/>
    <w:qFormat/>
    <w:rPr>
      <w:rFonts w:ascii="Arial" w:hAnsi="Arial" w:eastAsia="Arial" w:cs="Arial"/>
      <w:i/>
      <w:iCs/>
      <w:sz w:val="21"/>
      <w:szCs w:val="21"/>
    </w:rPr>
  </w:style>
  <w:style w:type="character" w:styleId="769" w:customStyle="1">
    <w:name w:val="Title Char"/>
    <w:basedOn w:val="726"/>
    <w:uiPriority w:val="10"/>
    <w:qFormat/>
    <w:rPr>
      <w:sz w:val="48"/>
      <w:szCs w:val="48"/>
    </w:rPr>
  </w:style>
  <w:style w:type="character" w:styleId="770" w:customStyle="1">
    <w:name w:val="Subtitle Char"/>
    <w:basedOn w:val="726"/>
    <w:uiPriority w:val="11"/>
    <w:qFormat/>
    <w:rPr>
      <w:sz w:val="24"/>
      <w:szCs w:val="24"/>
    </w:rPr>
  </w:style>
  <w:style w:type="character" w:styleId="771" w:customStyle="1">
    <w:name w:val="Quote Char"/>
    <w:uiPriority w:val="29"/>
    <w:qFormat/>
    <w:rPr>
      <w:i/>
    </w:rPr>
  </w:style>
  <w:style w:type="character" w:styleId="772" w:customStyle="1">
    <w:name w:val="Intense Quote Char"/>
    <w:uiPriority w:val="30"/>
    <w:qFormat/>
    <w:rPr>
      <w:i/>
    </w:rPr>
  </w:style>
  <w:style w:type="character" w:styleId="773" w:customStyle="1">
    <w:name w:val="Header Char"/>
    <w:basedOn w:val="726"/>
    <w:uiPriority w:val="99"/>
    <w:qFormat/>
  </w:style>
  <w:style w:type="character" w:styleId="774" w:customStyle="1">
    <w:name w:val="Caption Char"/>
    <w:uiPriority w:val="99"/>
    <w:qFormat/>
  </w:style>
  <w:style w:type="character" w:styleId="775" w:customStyle="1">
    <w:name w:val="Footnote Text Char"/>
    <w:uiPriority w:val="99"/>
    <w:qFormat/>
    <w:rPr>
      <w:sz w:val="18"/>
    </w:rPr>
  </w:style>
  <w:style w:type="character" w:styleId="776" w:customStyle="1">
    <w:name w:val="Endnote Text Char"/>
    <w:uiPriority w:val="99"/>
    <w:qFormat/>
    <w:rPr>
      <w:sz w:val="20"/>
    </w:rPr>
  </w:style>
  <w:style w:type="paragraph" w:styleId="777" w:customStyle="1">
    <w:name w:val="TOC Heading"/>
    <w:uiPriority w:val="39"/>
    <w:unhideWhenUsed/>
    <w:qFormat/>
    <w:rPr>
      <w:rFonts w:hint="default" w:ascii="Calibri" w:hAnsi="Calibri" w:eastAsia="宋体" w:cs="Times New Roman"/>
    </w:rPr>
  </w:style>
  <w:style w:type="paragraph" w:styleId="778" w:customStyle="1">
    <w:name w:val="文档结构图1"/>
    <w:basedOn w:val="716"/>
    <w:next w:val="716"/>
    <w:uiPriority w:val="0"/>
    <w:qFormat/>
    <w:rPr>
      <w:rFonts w:ascii="Calibri" w:hAnsi="Calibri" w:cs="Calibri"/>
      <w:color w:val="000000"/>
      <w:szCs w:val="21"/>
    </w:rPr>
  </w:style>
  <w:style w:type="character" w:styleId="779" w:customStyle="1">
    <w:name w:val="标题 1 Char"/>
    <w:link w:val="717"/>
    <w:uiPriority w:val="9"/>
    <w:qFormat/>
    <w:rPr>
      <w:rFonts w:ascii="Arial" w:hAnsi="Arial" w:eastAsia="Arial" w:cs="Arial"/>
      <w:sz w:val="40"/>
      <w:szCs w:val="40"/>
    </w:rPr>
  </w:style>
  <w:style w:type="character" w:styleId="780" w:customStyle="1">
    <w:name w:val="标题 2 Char"/>
    <w:link w:val="718"/>
    <w:uiPriority w:val="9"/>
    <w:qFormat/>
    <w:rPr>
      <w:rFonts w:ascii="Arial" w:hAnsi="Arial" w:eastAsia="Arial" w:cs="Arial"/>
      <w:sz w:val="34"/>
    </w:rPr>
  </w:style>
  <w:style w:type="character" w:styleId="781" w:customStyle="1">
    <w:name w:val="标题 3 Char"/>
    <w:link w:val="719"/>
    <w:uiPriority w:val="9"/>
    <w:qFormat/>
    <w:rPr>
      <w:rFonts w:ascii="Arial" w:hAnsi="Arial" w:eastAsia="Arial" w:cs="Arial"/>
      <w:sz w:val="30"/>
      <w:szCs w:val="30"/>
    </w:rPr>
  </w:style>
  <w:style w:type="character" w:styleId="782" w:customStyle="1">
    <w:name w:val="标题 4 Char"/>
    <w:link w:val="720"/>
    <w:uiPriority w:val="9"/>
    <w:qFormat/>
    <w:rPr>
      <w:rFonts w:ascii="Arial" w:hAnsi="Arial" w:eastAsia="Arial" w:cs="Arial"/>
      <w:b/>
      <w:bCs/>
      <w:sz w:val="26"/>
      <w:szCs w:val="26"/>
    </w:rPr>
  </w:style>
  <w:style w:type="character" w:styleId="783" w:customStyle="1">
    <w:name w:val="标题 5 Char"/>
    <w:link w:val="721"/>
    <w:uiPriority w:val="9"/>
    <w:qFormat/>
    <w:rPr>
      <w:rFonts w:ascii="Arial" w:hAnsi="Arial" w:eastAsia="Arial" w:cs="Arial"/>
      <w:b/>
      <w:bCs/>
      <w:sz w:val="24"/>
      <w:szCs w:val="24"/>
    </w:rPr>
  </w:style>
  <w:style w:type="character" w:styleId="784" w:customStyle="1">
    <w:name w:val="标题 6 Char"/>
    <w:link w:val="722"/>
    <w:uiPriority w:val="9"/>
    <w:qFormat/>
    <w:rPr>
      <w:rFonts w:ascii="Arial" w:hAnsi="Arial" w:eastAsia="Arial" w:cs="Arial"/>
      <w:b/>
      <w:bCs/>
      <w:sz w:val="22"/>
      <w:szCs w:val="22"/>
    </w:rPr>
  </w:style>
  <w:style w:type="character" w:styleId="785" w:customStyle="1">
    <w:name w:val="标题 7 Char"/>
    <w:link w:val="723"/>
    <w:uiPriority w:val="9"/>
    <w:qFormat/>
    <w:rPr>
      <w:rFonts w:ascii="Arial" w:hAnsi="Arial" w:eastAsia="Arial" w:cs="Arial"/>
      <w:b/>
      <w:bCs/>
      <w:i/>
      <w:iCs/>
      <w:sz w:val="22"/>
      <w:szCs w:val="22"/>
    </w:rPr>
  </w:style>
  <w:style w:type="character" w:styleId="786" w:customStyle="1">
    <w:name w:val="标题 8 Char"/>
    <w:link w:val="724"/>
    <w:uiPriority w:val="9"/>
    <w:qFormat/>
    <w:rPr>
      <w:rFonts w:ascii="Arial" w:hAnsi="Arial" w:eastAsia="Arial" w:cs="Arial"/>
      <w:i/>
      <w:iCs/>
      <w:sz w:val="22"/>
      <w:szCs w:val="22"/>
    </w:rPr>
  </w:style>
  <w:style w:type="character" w:styleId="787" w:customStyle="1">
    <w:name w:val="标题 9 Char"/>
    <w:link w:val="725"/>
    <w:uiPriority w:val="9"/>
    <w:qFormat/>
    <w:rPr>
      <w:rFonts w:ascii="Arial" w:hAnsi="Arial" w:eastAsia="Arial" w:cs="Arial"/>
      <w:i/>
      <w:iCs/>
      <w:sz w:val="21"/>
      <w:szCs w:val="21"/>
    </w:rPr>
  </w:style>
  <w:style w:type="paragraph" w:styleId="788">
    <w:name w:val="List Paragraph"/>
    <w:basedOn w:val="716"/>
    <w:uiPriority w:val="34"/>
    <w:qFormat/>
    <w:pPr>
      <w:contextualSpacing/>
      <w:ind w:left="720"/>
    </w:pPr>
  </w:style>
  <w:style w:type="paragraph" w:styleId="789">
    <w:name w:val="No Spacing"/>
    <w:uiPriority w:val="1"/>
    <w:qFormat/>
    <w:rPr>
      <w:rFonts w:hint="default" w:ascii="Times New Roman" w:hAnsi="Times New Roman" w:eastAsia="宋体" w:cs="Times New Roman"/>
      <w:lang w:val="en-US" w:eastAsia="zh-CN" w:bidi="ar-SA"/>
    </w:rPr>
  </w:style>
  <w:style w:type="character" w:styleId="790" w:customStyle="1">
    <w:name w:val="标题 Char"/>
    <w:link w:val="750"/>
    <w:uiPriority w:val="10"/>
    <w:qFormat/>
    <w:rPr>
      <w:sz w:val="48"/>
      <w:szCs w:val="48"/>
    </w:rPr>
  </w:style>
  <w:style w:type="character" w:styleId="791" w:customStyle="1">
    <w:name w:val="副标题 Char"/>
    <w:link w:val="743"/>
    <w:uiPriority w:val="11"/>
    <w:qFormat/>
    <w:rPr>
      <w:sz w:val="24"/>
      <w:szCs w:val="24"/>
    </w:rPr>
  </w:style>
  <w:style w:type="paragraph" w:styleId="792">
    <w:name w:val="Quote"/>
    <w:basedOn w:val="716"/>
    <w:next w:val="716"/>
    <w:link w:val="793"/>
    <w:uiPriority w:val="29"/>
    <w:qFormat/>
    <w:pPr>
      <w:ind w:left="720" w:right="720"/>
    </w:pPr>
    <w:rPr>
      <w:i/>
    </w:rPr>
  </w:style>
  <w:style w:type="character" w:styleId="793" w:customStyle="1">
    <w:name w:val="引用 Char"/>
    <w:link w:val="792"/>
    <w:uiPriority w:val="29"/>
    <w:qFormat/>
    <w:rPr>
      <w:i/>
    </w:rPr>
  </w:style>
  <w:style w:type="paragraph" w:styleId="794">
    <w:name w:val="Intense Quote"/>
    <w:basedOn w:val="716"/>
    <w:next w:val="716"/>
    <w:link w:val="79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5" w:customStyle="1">
    <w:name w:val="明显引用 Char"/>
    <w:link w:val="794"/>
    <w:uiPriority w:val="30"/>
    <w:qFormat/>
    <w:rPr>
      <w:i/>
    </w:rPr>
  </w:style>
  <w:style w:type="character" w:styleId="796" w:customStyle="1">
    <w:name w:val="页眉 Char1"/>
    <w:link w:val="740"/>
    <w:uiPriority w:val="99"/>
    <w:qFormat/>
  </w:style>
  <w:style w:type="character" w:styleId="797" w:customStyle="1">
    <w:name w:val="Footer Char"/>
    <w:uiPriority w:val="99"/>
    <w:qFormat/>
  </w:style>
  <w:style w:type="character" w:styleId="798" w:customStyle="1">
    <w:name w:val="页脚 Char1"/>
    <w:link w:val="739"/>
    <w:uiPriority w:val="99"/>
    <w:qFormat/>
  </w:style>
  <w:style w:type="table" w:styleId="799"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0"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1"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2"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3"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4"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5"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6"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07"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8"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09"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0"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1"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2"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3"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14"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15"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16"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7"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8"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9"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7"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8"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29"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0"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1"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2"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3"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4"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5"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6"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7"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8"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9"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0"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1"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42"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43"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44"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45"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6"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7"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8"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9"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0"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51"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2"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3"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4"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5"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6"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7"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8"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9"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0"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1"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2"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3"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64"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5"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6"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7"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8"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9"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0"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1"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2"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3"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4"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5"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6"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7"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8"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9"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0"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1"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2"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3"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4"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5"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6"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7"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8"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9"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0"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91"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92"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93"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94"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95"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96"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7"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8"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9"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0"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1"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2"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3"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4"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5"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6"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7"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8"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9"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0"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1"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2"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3"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4"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5"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6"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7"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8"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9"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0"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1"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2"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3"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4" w:customStyle="1">
    <w:name w:val="脚注文本 Char"/>
    <w:link w:val="744"/>
    <w:uiPriority w:val="99"/>
    <w:qFormat/>
    <w:rPr>
      <w:sz w:val="18"/>
    </w:rPr>
  </w:style>
  <w:style w:type="character" w:styleId="925" w:customStyle="1">
    <w:name w:val="尾注文本 Char"/>
    <w:link w:val="738"/>
    <w:uiPriority w:val="99"/>
    <w:qFormat/>
    <w:rPr>
      <w:sz w:val="20"/>
    </w:rPr>
  </w:style>
  <w:style w:type="paragraph" w:styleId="926" w:customStyle="1">
    <w:name w:val="TOC 标题1"/>
    <w:uiPriority w:val="39"/>
    <w:unhideWhenUsed/>
    <w:qFormat/>
    <w:rPr>
      <w:rFonts w:hint="default" w:ascii="Times New Roman" w:hAnsi="Times New Roman" w:eastAsia="宋体" w:cs="Times New Roman"/>
      <w:lang w:val="en-US" w:eastAsia="zh-CN" w:bidi="ar-SA"/>
    </w:rPr>
  </w:style>
  <w:style w:type="character" w:styleId="927" w:customStyle="1">
    <w:name w:val="默认段落字体1"/>
    <w:uiPriority w:val="1"/>
    <w:unhideWhenUsed/>
    <w:qFormat/>
  </w:style>
  <w:style w:type="table" w:styleId="928" w:customStyle="1">
    <w:name w:val="普通表格1"/>
    <w:uiPriority w:val="99"/>
    <w:unhideWhenUsed/>
    <w:qFormat/>
    <w:tblPr>
      <w:tblCellMar>
        <w:left w:w="0" w:type="dxa"/>
        <w:top w:w="0" w:type="dxa"/>
        <w:right w:w="0" w:type="dxa"/>
        <w:bottom w:w="0" w:type="dxa"/>
      </w:tblCellMar>
    </w:tblPr>
  </w:style>
  <w:style w:type="paragraph" w:styleId="929" w:customStyle="1">
    <w:name w:val="正文缩进11"/>
    <w:basedOn w:val="716"/>
    <w:next w:val="716"/>
    <w:uiPriority w:val="0"/>
    <w:qFormat/>
    <w:pPr>
      <w:ind w:firstLine="420"/>
      <w:jc w:val="left"/>
    </w:pPr>
    <w:rPr>
      <w:rFonts w:eastAsia="楷体_GB2312"/>
      <w:sz w:val="24"/>
      <w:szCs w:val="20"/>
    </w:rPr>
  </w:style>
  <w:style w:type="paragraph" w:styleId="930" w:customStyle="1">
    <w:name w:val="正文文本1"/>
    <w:basedOn w:val="716"/>
    <w:link w:val="931"/>
    <w:uiPriority w:val="99"/>
    <w:unhideWhenUsed/>
    <w:qFormat/>
    <w:pPr>
      <w:spacing w:after="120"/>
    </w:pPr>
    <w:rPr>
      <w:szCs w:val="24"/>
    </w:rPr>
  </w:style>
  <w:style w:type="character" w:styleId="931" w:customStyle="1">
    <w:name w:val="正文文本 Char"/>
    <w:basedOn w:val="927"/>
    <w:link w:val="930"/>
    <w:uiPriority w:val="99"/>
    <w:qFormat/>
    <w:rPr>
      <w:rFonts w:ascii="Times New Roman" w:hAnsi="Times New Roman" w:eastAsia="宋体" w:cs="Times New Roman"/>
      <w:szCs w:val="24"/>
    </w:rPr>
  </w:style>
  <w:style w:type="paragraph" w:styleId="932" w:customStyle="1">
    <w:name w:val="正文文本缩进11"/>
    <w:basedOn w:val="716"/>
    <w:next w:val="933"/>
    <w:link w:val="934"/>
    <w:uiPriority w:val="0"/>
    <w:qFormat/>
    <w:pPr>
      <w:ind w:left="570"/>
      <w:spacing w:line="520" w:lineRule="exact"/>
    </w:pPr>
    <w:rPr>
      <w:rFonts w:ascii="方正仿宋简体" w:hAnsi="创艺简仿宋" w:eastAsia="方正仿宋简体"/>
      <w:sz w:val="24"/>
      <w:szCs w:val="20"/>
    </w:rPr>
  </w:style>
  <w:style w:type="paragraph" w:styleId="933" w:customStyle="1">
    <w:name w:val="目录 51"/>
    <w:next w:val="716"/>
    <w:uiPriority w:val="0"/>
    <w:qFormat/>
    <w:pPr>
      <w:ind w:left="1275"/>
      <w:jc w:val="both"/>
    </w:pPr>
    <w:rPr>
      <w:rFonts w:hint="default" w:ascii="Times New Roman" w:hAnsi="Times New Roman" w:eastAsia="宋体" w:cs="Times New Roman"/>
      <w:sz w:val="21"/>
      <w:lang w:val="en-US" w:eastAsia="zh-CN" w:bidi="ar-SA"/>
    </w:rPr>
  </w:style>
  <w:style w:type="character" w:styleId="934" w:customStyle="1">
    <w:name w:val="正文文本缩进 Char"/>
    <w:basedOn w:val="927"/>
    <w:link w:val="932"/>
    <w:uiPriority w:val="0"/>
    <w:qFormat/>
    <w:rPr>
      <w:rFonts w:ascii="方正仿宋简体" w:hAnsi="创艺简仿宋" w:eastAsia="方正仿宋简体" w:cs="Times New Roman"/>
      <w:sz w:val="24"/>
      <w:szCs w:val="20"/>
    </w:rPr>
  </w:style>
  <w:style w:type="paragraph" w:styleId="935" w:customStyle="1">
    <w:name w:val="日期1"/>
    <w:basedOn w:val="716"/>
    <w:next w:val="716"/>
    <w:link w:val="936"/>
    <w:uiPriority w:val="99"/>
    <w:unhideWhenUsed/>
    <w:qFormat/>
    <w:pPr>
      <w:ind w:left="100"/>
    </w:pPr>
  </w:style>
  <w:style w:type="character" w:styleId="936" w:customStyle="1">
    <w:name w:val="日期 Char"/>
    <w:basedOn w:val="927"/>
    <w:link w:val="935"/>
    <w:uiPriority w:val="99"/>
    <w:semiHidden/>
    <w:qFormat/>
    <w:rPr>
      <w:sz w:val="21"/>
      <w:szCs w:val="22"/>
    </w:rPr>
  </w:style>
  <w:style w:type="paragraph" w:styleId="937" w:customStyle="1">
    <w:name w:val="批注框文本1"/>
    <w:basedOn w:val="716"/>
    <w:link w:val="938"/>
    <w:uiPriority w:val="99"/>
    <w:unhideWhenUsed/>
    <w:qFormat/>
    <w:rPr>
      <w:sz w:val="18"/>
      <w:szCs w:val="18"/>
    </w:rPr>
  </w:style>
  <w:style w:type="character" w:styleId="938" w:customStyle="1">
    <w:name w:val="批注框文本 Char"/>
    <w:basedOn w:val="927"/>
    <w:link w:val="937"/>
    <w:uiPriority w:val="99"/>
    <w:semiHidden/>
    <w:qFormat/>
    <w:rPr>
      <w:sz w:val="18"/>
      <w:szCs w:val="18"/>
    </w:rPr>
  </w:style>
  <w:style w:type="paragraph" w:styleId="939" w:customStyle="1">
    <w:name w:val="页脚1"/>
    <w:basedOn w:val="716"/>
    <w:link w:val="940"/>
    <w:uiPriority w:val="99"/>
    <w:qFormat/>
    <w:pPr>
      <w:jc w:val="left"/>
      <w:tabs>
        <w:tab w:val="center" w:pos="4153" w:leader="none"/>
        <w:tab w:val="right" w:pos="8306" w:leader="none"/>
      </w:tabs>
    </w:pPr>
    <w:rPr>
      <w:rFonts w:ascii="Calibri" w:hAnsi="Calibri"/>
      <w:sz w:val="18"/>
      <w:szCs w:val="18"/>
    </w:rPr>
  </w:style>
  <w:style w:type="character" w:styleId="940" w:customStyle="1">
    <w:name w:val="页脚 Char"/>
    <w:basedOn w:val="927"/>
    <w:link w:val="939"/>
    <w:uiPriority w:val="99"/>
    <w:qFormat/>
    <w:rPr>
      <w:rFonts w:ascii="Calibri" w:hAnsi="Calibri" w:eastAsia="宋体" w:cs="Times New Roman"/>
      <w:sz w:val="18"/>
      <w:szCs w:val="18"/>
    </w:rPr>
  </w:style>
  <w:style w:type="paragraph" w:styleId="941" w:customStyle="1">
    <w:name w:val="寄信人地址1"/>
    <w:basedOn w:val="716"/>
    <w:uiPriority w:val="0"/>
    <w:qFormat/>
    <w:rPr>
      <w:rFonts w:ascii="Arial" w:hAnsi="Arial" w:eastAsia="楷体_GB2312"/>
      <w:sz w:val="26"/>
      <w:szCs w:val="20"/>
    </w:rPr>
  </w:style>
  <w:style w:type="paragraph" w:styleId="942" w:customStyle="1">
    <w:name w:val="页眉1"/>
    <w:basedOn w:val="716"/>
    <w:link w:val="943"/>
    <w:uiPriority w:val="99"/>
    <w:unhideWhenUsed/>
    <w:qFormat/>
    <w:pPr>
      <w:jc w:val="center"/>
      <w:tabs>
        <w:tab w:val="center" w:pos="4153" w:leader="none"/>
        <w:tab w:val="right" w:pos="8306" w:leader="none"/>
      </w:tabs>
    </w:pPr>
    <w:rPr>
      <w:sz w:val="18"/>
      <w:szCs w:val="18"/>
    </w:rPr>
  </w:style>
  <w:style w:type="character" w:styleId="943" w:customStyle="1">
    <w:name w:val="页眉 Char"/>
    <w:basedOn w:val="927"/>
    <w:link w:val="942"/>
    <w:uiPriority w:val="99"/>
    <w:semiHidden/>
    <w:qFormat/>
    <w:rPr>
      <w:sz w:val="18"/>
      <w:szCs w:val="18"/>
    </w:rPr>
  </w:style>
  <w:style w:type="paragraph" w:styleId="944" w:customStyle="1">
    <w:name w:val="目录 11"/>
    <w:basedOn w:val="716"/>
    <w:next w:val="716"/>
    <w:uiPriority w:val="0"/>
    <w:qFormat/>
    <w:pPr>
      <w:jc w:val="left"/>
    </w:pPr>
    <w:rPr>
      <w:rFonts w:ascii="Calibri" w:hAnsi="Calibri"/>
      <w:sz w:val="24"/>
      <w:szCs w:val="24"/>
    </w:rPr>
  </w:style>
  <w:style w:type="paragraph" w:styleId="945" w:customStyle="1">
    <w:name w:val="正文文本缩进 31"/>
    <w:basedOn w:val="716"/>
    <w:link w:val="946"/>
    <w:uiPriority w:val="0"/>
    <w:qFormat/>
    <w:pPr>
      <w:ind w:firstLine="617"/>
      <w:spacing w:line="360" w:lineRule="auto"/>
    </w:pPr>
    <w:rPr>
      <w:sz w:val="24"/>
      <w:szCs w:val="24"/>
    </w:rPr>
  </w:style>
  <w:style w:type="character" w:styleId="946" w:customStyle="1">
    <w:name w:val="正文文本缩进 3 Char"/>
    <w:basedOn w:val="927"/>
    <w:link w:val="945"/>
    <w:uiPriority w:val="0"/>
    <w:qFormat/>
    <w:rPr>
      <w:rFonts w:ascii="Times New Roman" w:hAnsi="Times New Roman" w:eastAsia="宋体" w:cs="Times New Roman"/>
      <w:sz w:val="24"/>
      <w:szCs w:val="24"/>
    </w:rPr>
  </w:style>
  <w:style w:type="paragraph" w:styleId="947" w:customStyle="1">
    <w:name w:val="普通(网站)1"/>
    <w:basedOn w:val="716"/>
    <w:uiPriority w:val="99"/>
    <w:qFormat/>
    <w:pPr>
      <w:jc w:val="left"/>
      <w:spacing w:beforeAutospacing="1" w:afterAutospacing="1"/>
    </w:pPr>
    <w:rPr>
      <w:rFonts w:ascii="Calibri" w:hAnsi="Calibri"/>
      <w:sz w:val="24"/>
      <w:szCs w:val="24"/>
    </w:rPr>
  </w:style>
  <w:style w:type="paragraph" w:styleId="948" w:customStyle="1">
    <w:name w:val="正文首行缩进 211"/>
    <w:basedOn w:val="932"/>
    <w:uiPriority w:val="0"/>
    <w:qFormat/>
    <w:pPr>
      <w:ind w:left="420" w:firstLine="420"/>
      <w:spacing w:after="120" w:line="240" w:lineRule="auto"/>
    </w:pPr>
    <w:rPr>
      <w:rFonts w:ascii="Times New Roman" w:hAnsi="Times New Roman" w:eastAsia="宋体"/>
      <w:sz w:val="21"/>
      <w:szCs w:val="24"/>
    </w:rPr>
  </w:style>
  <w:style w:type="character" w:styleId="949" w:customStyle="1">
    <w:name w:val="要点1"/>
    <w:basedOn w:val="927"/>
    <w:uiPriority w:val="0"/>
    <w:qFormat/>
    <w:rPr>
      <w:rFonts w:ascii="Times New Roman" w:hAnsi="Times New Roman" w:eastAsia="宋体" w:cs="Times New Roman"/>
      <w:b/>
    </w:rPr>
  </w:style>
  <w:style w:type="character" w:styleId="950" w:customStyle="1">
    <w:name w:val="页码1"/>
    <w:basedOn w:val="927"/>
    <w:uiPriority w:val="99"/>
    <w:unhideWhenUsed/>
    <w:qFormat/>
  </w:style>
  <w:style w:type="character" w:styleId="951" w:customStyle="1">
    <w:name w:val="超链接11"/>
    <w:uiPriority w:val="99"/>
    <w:qFormat/>
    <w:rPr>
      <w:rFonts w:ascii="Times New Roman" w:hAnsi="Times New Roman" w:eastAsia="宋体" w:cs="Times New Roman"/>
      <w:color w:val="0000ff"/>
      <w:u w:val="single"/>
    </w:rPr>
  </w:style>
  <w:style w:type="character" w:styleId="952" w:customStyle="1">
    <w:name w:val="超链接1"/>
    <w:uiPriority w:val="99"/>
    <w:qFormat/>
    <w:rPr>
      <w:sz w:val="21"/>
      <w:szCs w:val="22"/>
      <w:lang w:val="en-US" w:eastAsia="zh-CN" w:bidi="ar-SA"/>
    </w:rPr>
  </w:style>
  <w:style w:type="paragraph" w:styleId="953"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954" w:customStyle="1">
    <w:name w:val="正文首行缩进 21"/>
    <w:basedOn w:val="955"/>
    <w:uiPriority w:val="0"/>
    <w:qFormat/>
    <w:pPr>
      <w:ind w:firstLine="420"/>
    </w:pPr>
    <w:rPr>
      <w:rFonts w:eastAsia="楷体_GB2312"/>
      <w:sz w:val="28"/>
    </w:rPr>
  </w:style>
  <w:style w:type="paragraph" w:styleId="955" w:customStyle="1">
    <w:name w:val="正文文本缩进1"/>
    <w:basedOn w:val="716"/>
    <w:next w:val="716"/>
    <w:uiPriority w:val="0"/>
    <w:qFormat/>
    <w:pPr>
      <w:ind w:left="570"/>
      <w:spacing w:line="520" w:lineRule="exact"/>
    </w:pPr>
    <w:rPr>
      <w:rFonts w:ascii="方正仿宋简体" w:hAnsi="创艺简仿宋" w:eastAsia="方正仿宋简体"/>
      <w:sz w:val="24"/>
      <w:szCs w:val="20"/>
    </w:rPr>
  </w:style>
  <w:style w:type="paragraph" w:styleId="956" w:customStyle="1">
    <w:name w:val="正文缩进1"/>
    <w:basedOn w:val="716"/>
    <w:next w:val="716"/>
    <w:uiPriority w:val="0"/>
    <w:qFormat/>
    <w:pPr>
      <w:ind w:firstLine="420"/>
      <w:jc w:val="left"/>
    </w:pPr>
    <w:rPr>
      <w:rFonts w:eastAsia="楷体_GB2312"/>
      <w:sz w:val="24"/>
      <w:szCs w:val="20"/>
    </w:rPr>
  </w:style>
  <w:style w:type="paragraph" w:styleId="957" w:customStyle="1">
    <w:name w:val="正文 A"/>
    <w:next w:val="759"/>
    <w:uiPriority w:val="0"/>
    <w:qFormat/>
    <w:pPr>
      <w:jc w:val="both"/>
      <w:widowControl w:val="off"/>
      <w:framePr w:wrap="around" w:vAnchor="margin" w:hAnchor="text" w:yAlign="top"/>
    </w:pPr>
    <w:rPr>
      <w:rFonts w:hint="default" w:ascii="Calibri" w:hAnsi="Calibri" w:eastAsia="Times New Roman" w:cs="Times New Roman"/>
      <w:color w:val="000000"/>
      <w:sz w:val="21"/>
      <w:szCs w:val="21"/>
      <w:lang w:val="en-US" w:eastAsia="zh-CN" w:bidi="ar-SA"/>
    </w:rPr>
  </w:style>
  <w:style w:type="paragraph" w:styleId="958" w:customStyle="1">
    <w:name w:val="纯文本111"/>
    <w:basedOn w:val="716"/>
    <w:uiPriority w:val="0"/>
    <w:qFormat/>
    <w:rPr>
      <w:rFonts w:ascii="宋体" w:hAnsi="Courier New" w:eastAsia="楷体_GB2312"/>
      <w:sz w:val="28"/>
      <w:szCs w:val="20"/>
    </w:rPr>
  </w:style>
  <w:style w:type="paragraph" w:styleId="959" w:customStyle="1">
    <w:name w:val="Plain Text1"/>
    <w:basedOn w:val="716"/>
    <w:uiPriority w:val="0"/>
    <w:qFormat/>
    <w:rPr>
      <w:rFonts w:ascii="宋体" w:hAnsi="Courier New"/>
      <w:sz w:val="26"/>
      <w:szCs w:val="20"/>
    </w:rPr>
  </w:style>
  <w:style w:type="paragraph" w:styleId="960" w:customStyle="1">
    <w:name w:val="列出段落1"/>
    <w:basedOn w:val="716"/>
    <w:uiPriority w:val="0"/>
    <w:qFormat/>
    <w:pPr>
      <w:ind w:firstLine="420"/>
    </w:pPr>
    <w:rPr>
      <w:rFonts w:ascii="Calibri" w:hAnsi="Calibri"/>
    </w:rPr>
  </w:style>
  <w:style w:type="paragraph" w:styleId="961" w:customStyle="1">
    <w:name w:val="纯文本1"/>
    <w:basedOn w:val="716"/>
    <w:uiPriority w:val="0"/>
    <w:qFormat/>
    <w:rPr>
      <w:rFonts w:hint="eastAsia" w:ascii="宋体" w:hAnsi="Courier New" w:eastAsia="楷体_GB2312"/>
      <w:sz w:val="28"/>
      <w:szCs w:val="20"/>
    </w:rPr>
  </w:style>
  <w:style w:type="character" w:styleId="962" w:customStyle="1">
    <w:name w:val="font71"/>
    <w:basedOn w:val="726"/>
    <w:uiPriority w:val="0"/>
    <w:qFormat/>
    <w:rPr>
      <w:rFonts w:hint="eastAsia" w:ascii="宋体" w:hAnsi="宋体" w:eastAsia="宋体" w:cs="宋体"/>
      <w:color w:val="000000"/>
      <w:sz w:val="20"/>
      <w:szCs w:val="20"/>
      <w:u w:val="none"/>
    </w:rPr>
  </w:style>
  <w:style w:type="table" w:styleId="963" w:customStyle="1">
    <w:name w:val="Table Normal"/>
    <w:uiPriority w:val="0"/>
    <w:qFormat/>
    <w:rPr>
      <w:rFonts w:ascii="Times New Roman" w:hAnsi="Times New Roman" w:eastAsia="Times New Roman" w:cs="Times New Roman"/>
      <w:sz w:val="20"/>
      <w:szCs w:val="20"/>
    </w:rPr>
    <w:tblPr>
      <w:tblCellMar>
        <w:left w:w="0" w:type="dxa"/>
        <w:top w:w="0" w:type="dxa"/>
        <w:right w:w="0" w:type="dxa"/>
        <w:bottom w:w="0" w:type="dxa"/>
      </w:tblCellMar>
    </w:tblPr>
  </w:style>
  <w:style w:type="numbering" w:styleId="96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hyperlink" Target="http://www.jscredit.gov.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江苏修齐城市</dc:creator>
  <cp:lastModifiedBy>苏州爱达招投标有限公司</cp:lastModifiedBy>
  <cp:revision>9</cp:revision>
  <dcterms:created xsi:type="dcterms:W3CDTF">2025-02-17T03:11:00Z</dcterms:created>
  <dcterms:modified xsi:type="dcterms:W3CDTF">2026-06-10T08:55:33Z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C49C12D291BC44CCB09815F54CB2E0FB_13</vt:lpwstr>
  </property>
  <property fmtid="{D5CDD505-2E9C-101B-9397-08002B2CF9AE}" pid="4" name="KSOTemplateDocerSaveRecord">
    <vt:lpwstr>eyJoZGlkIjoiNDM0YWZkOTE2ZmM4MmEyNjE5Zjg5MWZlNTBjZGViNWYiLCJ1c2VySWQiOiIyNjEyNzk2NDEifQ==</vt:lpwstr>
  </property>
</Properties>
</file>