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rPr>
      </w:pPr>
      <w:r>
        <w:rPr>
          <w:rFonts w:hint="eastAsia"/>
        </w:rPr>
      </w:r>
      <w:r/>
    </w:p>
    <w:p>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r/>
      <w:r/>
    </w:p>
    <w:p>
      <w:pPr>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ind w:firstLine="1506"/>
        <w:rPr>
          <w:rFonts w:hint="eastAsia"/>
          <w:b/>
          <w:sz w:val="30"/>
          <w:szCs w:val="30"/>
        </w:rPr>
      </w:pPr>
      <w:r>
        <w:rPr>
          <w:rFonts w:hint="eastAsia" w:ascii="Times New Roman" w:hAnsi="Times New Roman" w:cs="宋体"/>
          <w:b/>
          <w:sz w:val="30"/>
          <w:szCs w:val="30"/>
          <w:lang w:bidi="ar"/>
        </w:rPr>
        <w:t xml:space="preserve">项目名称：</w:t>
      </w:r>
      <w:r>
        <w:rPr>
          <w:rFonts w:hint="eastAsia" w:ascii="Times New Roman" w:hAnsi="Times New Roman"/>
          <w:b/>
          <w:sz w:val="30"/>
          <w:szCs w:val="30"/>
          <w:highlight w:val="none"/>
          <w:lang w:bidi="ar"/>
        </w:rPr>
        <w:t xml:space="preserve">宿迁市传染病医院、新沂河管理处2026年物业服务采购项目</w:t>
      </w:r>
      <w:r>
        <w:rPr>
          <w:rFonts w:hint="eastAsia" w:ascii="Times New Roman" w:hAnsi="Times New Roman" w:cs="宋体"/>
          <w:b/>
          <w:sz w:val="30"/>
          <w:szCs w:val="30"/>
          <w:highlight w:val="none"/>
          <w:lang w:bidi="ar"/>
        </w:rPr>
        <w:t xml:space="preserve"> </w:t>
      </w:r>
      <w:r/>
    </w:p>
    <w:p>
      <w:pPr>
        <w:ind w:firstLine="1506"/>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b/>
          <w:sz w:val="30"/>
          <w:szCs w:val="30"/>
          <w:highlight w:val="none"/>
          <w:lang w:bidi="ar"/>
        </w:rPr>
        <w:t xml:space="preserve">JSZC-321300-JZCG-G2026-0035</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Style w:val="785"/>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vMerge w:val="restart"/>
            <w:textDirection w:val="lrTb"/>
            <w:noWrap w:val="false"/>
          </w:tcPr>
          <w:p>
            <w:pPr>
              <w:jc w:val="left"/>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752"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宿迁市传染病医院</w:t>
            </w:r>
            <w:r/>
          </w:p>
        </w:tc>
      </w:tr>
      <w:tr>
        <w:trPr>
          <w:trHeight w:val="586"/>
        </w:trPr>
        <w:tc>
          <w:tcPr>
            <w:tcW w:w="2675" w:type="dxa"/>
            <w:vAlign w:val="center"/>
            <w:vMerge w:val="continue"/>
            <w:textDirection w:val="lrTb"/>
            <w:noWrap w:val="false"/>
          </w:tcPr>
          <w:p>
            <w:pPr>
              <w:jc w:val="left"/>
              <w:spacing w:line="500" w:lineRule="exact"/>
              <w:rPr>
                <w:rFonts w:hint="eastAsia" w:ascii="Times New Roman" w:hAnsi="Times New Roman"/>
                <w:b/>
                <w:bCs/>
                <w:spacing w:val="45"/>
                <w:sz w:val="32"/>
                <w:szCs w:val="24"/>
              </w:rPr>
            </w:pPr>
            <w:r>
              <w:rPr>
                <w:rFonts w:hint="eastAsia" w:ascii="Times New Roman" w:hAnsi="Times New Roman"/>
                <w:b/>
                <w:bCs/>
                <w:spacing w:val="45"/>
                <w:sz w:val="32"/>
                <w:szCs w:val="24"/>
              </w:rPr>
            </w:r>
            <w:r/>
          </w:p>
        </w:tc>
        <w:tc>
          <w:tcPr>
            <w:tcW w:w="4752"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宿迁市新沂河调度工程管理处</w:t>
            </w:r>
            <w:r/>
          </w:p>
        </w:tc>
      </w:tr>
      <w:tr>
        <w:trPr>
          <w:trHeight w:val="617"/>
        </w:trPr>
        <w:tc>
          <w:tcPr>
            <w:tcW w:w="2675" w:type="dxa"/>
            <w:vAlign w:val="center"/>
            <w:textDirection w:val="lrTb"/>
            <w:noWrap w:val="false"/>
          </w:tcPr>
          <w:p>
            <w:pPr>
              <w:jc w:val="left"/>
              <w:spacing w:line="500" w:lineRule="exact"/>
              <w:rPr>
                <w:rFonts w:hint="eastAsia"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4752" w:type="dxa"/>
            <w:vAlign w:val="center"/>
            <w:textDirection w:val="lrTb"/>
            <w:noWrap w:val="false"/>
          </w:tcPr>
          <w:p>
            <w:pPr>
              <w:jc w:val="left"/>
              <w:spacing w:line="500" w:lineRule="exact"/>
              <w:rPr>
                <w:rFonts w:hint="eastAsia" w:ascii="仿宋" w:hAnsi="仿宋" w:cs="仿宋"/>
                <w:sz w:val="24"/>
                <w:szCs w:val="24"/>
                <w:highlight w:val="yellow"/>
              </w:rPr>
            </w:pPr>
            <w:r>
              <w:rPr>
                <w:rFonts w:hint="eastAsia" w:ascii="Times New Roman" w:hAnsi="Times New Roman"/>
                <w:b/>
                <w:bCs/>
                <w:sz w:val="32"/>
                <w:szCs w:val="24"/>
              </w:rPr>
              <w:t xml:space="preserve">宿迁市公共资源交易中心</w:t>
            </w:r>
            <w:r/>
          </w:p>
        </w:tc>
      </w:tr>
    </w:tbl>
    <w:p>
      <w:pPr>
        <w:jc w:val="left"/>
        <w:spacing w:line="360" w:lineRule="auto"/>
        <w:rPr>
          <w:rFonts w:ascii="宋体" w:hAnsi="宋体" w:cs="宋体"/>
          <w:sz w:val="24"/>
          <w:szCs w:val="24"/>
        </w:rPr>
      </w:pPr>
      <w:r>
        <w:rPr>
          <w:rFonts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w:t>
      </w:r>
      <w:r>
        <w:rPr>
          <w:rFonts w:hint="eastAsia" w:ascii="Arial" w:hAnsi="Arial" w:cs="宋体"/>
          <w:b/>
          <w:sz w:val="32"/>
          <w:szCs w:val="24"/>
          <w:lang w:val="en-US" w:eastAsia="zh-CN" w:bidi="ar"/>
        </w:rPr>
        <w:t xml:space="preserve">6</w:t>
      </w:r>
      <w:r>
        <w:rPr>
          <w:rFonts w:hint="eastAsia" w:ascii="Arial" w:hAnsi="Arial" w:cs="宋体"/>
          <w:b/>
          <w:sz w:val="32"/>
          <w:szCs w:val="24"/>
          <w:lang w:bidi="ar"/>
        </w:rPr>
        <w:t xml:space="preserve">月</w:t>
      </w:r>
      <w:r>
        <w:rPr>
          <w:rFonts w:hint="eastAsia" w:ascii="Arial" w:hAnsi="Arial" w:cs="宋体"/>
          <w:b/>
          <w:sz w:val="32"/>
          <w:szCs w:val="24"/>
          <w:lang w:val="en-US" w:eastAsia="zh-CN" w:bidi="ar"/>
        </w:rPr>
        <w:t xml:space="preserve">17</w:t>
      </w:r>
      <w:r>
        <w:rPr>
          <w:rFonts w:hint="eastAsia" w:ascii="Arial" w:hAnsi="Arial" w:cs="宋体"/>
          <w:b/>
          <w:sz w:val="32"/>
          <w:szCs w:val="24"/>
          <w:lang w:bidi="ar"/>
        </w:rPr>
        <w:t xml:space="preserve">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 录</w:t>
      </w:r>
      <w:r/>
    </w:p>
    <w:p>
      <w:pPr>
        <w:pStyle w:val="81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1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1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14"/>
        <w:spacing w:before="0" w:after="0" w:line="600" w:lineRule="exact"/>
        <w:tabs>
          <w:tab w:val="right" w:pos="9185" w:leader="middleDot"/>
        </w:tabs>
        <w:rPr>
          <w:rFonts w:hint="eastAsia" w:ascii="Times New Roman" w:hAnsi="Times New Roman" w:eastAsia="黑体"/>
          <w:b w:val="0"/>
          <w:caps w:val="0"/>
          <w:sz w:val="32"/>
          <w:lang w:val="en-US" w:eastAsia="zh-CN"/>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14"/>
        <w:spacing w:before="0" w:after="0" w:line="600" w:lineRule="exact"/>
        <w:tabs>
          <w:tab w:val="right" w:pos="9185" w:leader="middleDot"/>
        </w:tabs>
        <w:rPr>
          <w:rFonts w:hint="eastAsia" w:ascii="Times New Roman" w:hAnsi="Times New Roman" w:eastAsia="黑体"/>
          <w:b w:val="0"/>
          <w:caps w:val="0"/>
          <w:sz w:val="32"/>
          <w:lang w:val="en-US" w:eastAsia="zh-CN"/>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hint="eastAsia" w:ascii="Times New Roman" w:hAnsi="Times New Roman" w:eastAsia="黑体"/>
          <w:b w:val="0"/>
          <w:caps w:val="0"/>
          <w:sz w:val="32"/>
          <w:lang w:val="en-US" w:eastAsia="zh-CN"/>
        </w:rPr>
        <w:t xml:space="preserve">4</w:t>
      </w:r>
      <w:r>
        <w:rPr>
          <w:rFonts w:ascii="Times New Roman" w:hAnsi="Times New Roman" w:eastAsia="黑体"/>
          <w:b w:val="0"/>
          <w:caps w:val="0"/>
          <w:sz w:val="32"/>
        </w:rPr>
        <w:fldChar w:fldCharType="end"/>
      </w:r>
      <w:r>
        <w:rPr>
          <w:rFonts w:hint="eastAsia" w:ascii="Times New Roman" w:hAnsi="Times New Roman" w:eastAsia="黑体"/>
          <w:b w:val="0"/>
          <w:caps w:val="0"/>
          <w:sz w:val="32"/>
          <w:lang w:val="en-US" w:eastAsia="zh-CN"/>
        </w:rPr>
        <w:t xml:space="preserve">7</w:t>
      </w:r>
      <w:r/>
    </w:p>
    <w:p>
      <w:pPr>
        <w:pStyle w:val="814"/>
        <w:spacing w:before="0" w:after="0" w:line="600" w:lineRule="exact"/>
        <w:tabs>
          <w:tab w:val="right" w:pos="9185" w:leader="middleDot"/>
        </w:tabs>
        <w:rPr>
          <w:rFonts w:hint="eastAsia" w:ascii="Times New Roman" w:hAnsi="Times New Roman" w:eastAsia="黑体"/>
          <w:b w:val="0"/>
          <w:caps w:val="0"/>
          <w:sz w:val="32"/>
          <w:lang w:val="en-US" w:eastAsia="zh-CN"/>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hint="eastAsia" w:ascii="Times New Roman" w:hAnsi="Times New Roman" w:eastAsia="黑体"/>
          <w:b w:val="0"/>
          <w:caps w:val="0"/>
          <w:sz w:val="32"/>
          <w:lang w:val="en-US" w:eastAsia="zh-CN"/>
        </w:rPr>
        <w:t xml:space="preserve">5</w:t>
      </w:r>
      <w:r>
        <w:rPr>
          <w:rFonts w:ascii="Times New Roman" w:hAnsi="Times New Roman" w:eastAsia="黑体"/>
          <w:b w:val="0"/>
          <w:caps w:val="0"/>
          <w:sz w:val="32"/>
        </w:rPr>
        <w:fldChar w:fldCharType="end"/>
      </w:r>
      <w:r>
        <w:rPr>
          <w:rFonts w:hint="eastAsia" w:ascii="Times New Roman" w:hAnsi="Times New Roman" w:eastAsia="黑体"/>
          <w:b w:val="0"/>
          <w:caps w:val="0"/>
          <w:sz w:val="32"/>
          <w:lang w:val="en-US" w:eastAsia="zh-CN"/>
        </w:rPr>
        <w:t xml:space="preserve">6</w:t>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89"/>
      <w:r/>
      <w:bookmarkStart w:id="3" w:name="_Toc81575152"/>
      <w:r/>
      <w:r/>
    </w:p>
    <w:p>
      <w:pPr>
        <w:pStyle w:val="775"/>
        <w:jc w:val="center"/>
        <w:spacing w:before="200"/>
        <w:rPr>
          <w:rFonts w:hint="eastAsia" w:eastAsia="黑体"/>
          <w:sz w:val="44"/>
        </w:rPr>
      </w:pPr>
      <w:r/>
      <w:bookmarkStart w:id="4" w:name="_Toc30943"/>
      <w:r/>
      <w:bookmarkStart w:id="5" w:name="_Toc12738"/>
      <w:r/>
      <w:bookmarkStart w:id="6" w:name="_Toc25722"/>
      <w:r>
        <w:rPr>
          <w:rFonts w:hint="eastAsia" w:eastAsia="黑体"/>
          <w:sz w:val="44"/>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受宿迁市传染病医院、宿迁市新沂河调度工程管理处的委托，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highlight w:val="none"/>
          <w:u w:val="single"/>
        </w:rPr>
        <w:t xml:space="preserve">宿迁市传染病医院、新沂河管理处2026年物业服务采购项目</w:t>
      </w:r>
      <w:r>
        <w:rPr>
          <w:rFonts w:hint="eastAsia" w:ascii="宋体" w:hAnsi="宋体"/>
          <w:sz w:val="24"/>
          <w:szCs w:val="24"/>
        </w:rPr>
        <w:t xml:space="preserve">(</w:t>
      </w:r>
      <w:r>
        <w:rPr>
          <w:rFonts w:hint="eastAsia" w:ascii="宋体" w:hAnsi="宋体"/>
          <w:sz w:val="24"/>
          <w:szCs w:val="24"/>
          <w:highlight w:val="none"/>
          <w:u w:val="single"/>
        </w:rPr>
        <w:t xml:space="preserve">JSZC-321300-JZCG-G2026-0035</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auto" w:sz="4" w:space="1"/>
          <w:left w:val="single" w:color="auto" w:sz="4" w:space="4"/>
          <w:bottom w:val="single" w:color="auto" w:sz="4" w:space="1"/>
          <w:right w:val="single" w:color="auto" w:sz="4" w:space="4"/>
        </w:pBdr>
      </w:pPr>
      <w:r>
        <w:rPr>
          <w:rFonts w:hint="eastAsia" w:ascii="Times New Roman" w:hAnsi="Times New Roman" w:cs="方正仿宋_GBK"/>
          <w:sz w:val="24"/>
          <w:szCs w:val="24"/>
        </w:rPr>
        <w:t xml:space="preserve">项目概况</w:t>
      </w:r>
      <w:r/>
    </w:p>
    <w:p>
      <w:pPr>
        <w:ind w:firstLine="480"/>
        <w:spacing w:line="480" w:lineRule="exact"/>
        <w:rPr>
          <w:rFonts w:ascii="方正仿宋_GBK" w:hAnsi="方正仿宋_GBK" w:eastAsia="方正仿宋_GBK" w:cs="方正仿宋_GBK"/>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u w:val="single"/>
        </w:rPr>
        <w:t xml:space="preserve">宿迁市传染病医院、新沂河管理处2026年物业服务采购项目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highlight w:val="none"/>
          <w:u w:val="single"/>
          <w:lang w:val="en-US" w:eastAsia="zh-CN"/>
        </w:rPr>
        <w:t xml:space="preserve">7</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8</w:t>
      </w:r>
      <w:r>
        <w:rPr>
          <w:rFonts w:hint="eastAsia" w:ascii="宋体" w:hAnsi="宋体"/>
          <w:bCs/>
          <w:sz w:val="24"/>
          <w:szCs w:val="24"/>
          <w:highlight w:val="none"/>
          <w:u w:val="single"/>
        </w:rPr>
        <w:t xml:space="preserve">日</w:t>
      </w:r>
      <w:r>
        <w:rPr>
          <w:rFonts w:hint="eastAsia" w:ascii="宋体" w:hAnsi="宋体"/>
          <w:bCs/>
          <w:sz w:val="24"/>
          <w:szCs w:val="24"/>
          <w:u w:val="single"/>
        </w:rPr>
        <w:t xml:space="preserve">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776"/>
        <w:ind w:firstLine="643"/>
        <w:spacing w:before="0" w:after="0" w:line="480" w:lineRule="exact"/>
        <w:rPr>
          <w:rFonts w:hint="eastAsia" w:eastAsia="宋体" w:cs="Arial"/>
          <w:bCs/>
          <w:szCs w:val="22"/>
        </w:rPr>
      </w:pPr>
      <w:r/>
      <w:bookmarkStart w:id="7" w:name="_Toc28359079"/>
      <w:r/>
      <w:bookmarkStart w:id="8" w:name="_Toc28359002"/>
      <w:r/>
      <w:bookmarkStart w:id="9" w:name="_Toc2584"/>
      <w:r/>
      <w:bookmarkStart w:id="10" w:name="_Toc38985263"/>
      <w:r/>
      <w:bookmarkStart w:id="11" w:name="_Toc35393790"/>
      <w:r/>
      <w:bookmarkStart w:id="12" w:name="_Toc35393621"/>
      <w:r/>
      <w:bookmarkStart w:id="13" w:name="_Hlk24379207"/>
      <w:r>
        <w:rPr>
          <w:rFonts w:hint="eastAsia" w:eastAsia="宋体" w:cs="Arial"/>
          <w:bCs/>
          <w:szCs w:val="2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1.项目编号</w:t>
      </w:r>
      <w:r>
        <w:rPr>
          <w:rFonts w:hint="eastAsia" w:ascii="Times New Roman" w:hAnsi="Times New Roman" w:cs="仿宋"/>
          <w:sz w:val="24"/>
          <w:szCs w:val="24"/>
          <w:highlight w:val="none"/>
        </w:rPr>
        <w:t xml:space="preserve">：JSZC-321300-JZCG-G2026-0035</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End w:id="13"/>
      <w:r>
        <w:rPr>
          <w:rFonts w:hint="eastAsia" w:ascii="Times New Roman" w:hAnsi="Times New Roman" w:cs="仿宋"/>
          <w:sz w:val="24"/>
          <w:szCs w:val="24"/>
          <w:highlight w:val="none"/>
        </w:rPr>
        <w:t xml:space="preserve">宿迁市传染病医院、新沂河管理处2026年物业服务采购项目</w:t>
      </w:r>
      <w:r/>
    </w:p>
    <w:p>
      <w:pPr>
        <w:ind w:firstLine="480"/>
        <w:spacing w:line="480" w:lineRule="exact"/>
        <w:rPr>
          <w:rFonts w:ascii="仿宋" w:hAnsi="仿宋"/>
          <w:sz w:val="24"/>
          <w:szCs w:val="24"/>
        </w:rPr>
      </w:pPr>
      <w:r>
        <w:rPr>
          <w:rFonts w:hint="eastAsia" w:ascii="Times New Roman" w:hAnsi="Times New Roman" w:cs="仿宋"/>
          <w:sz w:val="24"/>
          <w:szCs w:val="24"/>
        </w:rPr>
        <w:t xml:space="preserve">3.预算金额：61万元</w:t>
      </w:r>
      <w:r>
        <w:rPr>
          <w:rFonts w:hint="eastAsia" w:ascii="Times New Roman" w:hAnsi="Times New Roman" w:cs="仿宋"/>
          <w:color w:val="000000"/>
          <w:sz w:val="24"/>
          <w:szCs w:val="24"/>
        </w:rPr>
        <w:t xml:space="preserve">（</w:t>
      </w:r>
      <w:r>
        <w:rPr>
          <w:rFonts w:hint="eastAsia" w:ascii="宋体" w:hAnsi="宋体"/>
          <w:sz w:val="24"/>
          <w:szCs w:val="24"/>
        </w:rPr>
        <w:t xml:space="preserve">宿迁市传染病医院</w:t>
      </w:r>
      <w:r>
        <w:rPr>
          <w:rFonts w:hint="eastAsia" w:ascii="Times New Roman" w:hAnsi="Times New Roman" w:cs="仿宋"/>
          <w:color w:val="000000"/>
          <w:sz w:val="24"/>
          <w:szCs w:val="24"/>
        </w:rPr>
        <w:t xml:space="preserve">预算金额48</w:t>
      </w:r>
      <w:r>
        <w:rPr>
          <w:rFonts w:hint="eastAsia" w:ascii="宋体" w:hAnsi="宋体"/>
          <w:color w:val="000000"/>
          <w:sz w:val="24"/>
          <w:szCs w:val="24"/>
        </w:rPr>
        <w:t xml:space="preserve">万元；</w:t>
      </w:r>
      <w:r>
        <w:rPr>
          <w:rFonts w:hint="eastAsia" w:ascii="宋体" w:hAnsi="宋体"/>
          <w:sz w:val="24"/>
          <w:szCs w:val="24"/>
        </w:rPr>
        <w:t xml:space="preserve">宿迁市新沂河调度工程管理处</w:t>
      </w:r>
      <w:r>
        <w:rPr>
          <w:rFonts w:hint="eastAsia" w:ascii="Times New Roman" w:hAnsi="Times New Roman" w:cs="仿宋"/>
          <w:color w:val="000000"/>
          <w:sz w:val="24"/>
          <w:szCs w:val="24"/>
        </w:rPr>
        <w:t xml:space="preserve">预算金额13</w:t>
      </w:r>
      <w:r>
        <w:rPr>
          <w:rFonts w:hint="eastAsia" w:ascii="宋体" w:hAnsi="宋体"/>
          <w:color w:val="000000"/>
          <w:sz w:val="24"/>
          <w:szCs w:val="24"/>
        </w:rPr>
        <w:t xml:space="preserve">万元</w:t>
      </w:r>
      <w:r>
        <w:rPr>
          <w:rFonts w:hint="eastAsia" w:ascii="Times New Roman" w:hAnsi="Times New Roman" w:cs="仿宋"/>
          <w:color w:val="000000"/>
          <w:sz w:val="24"/>
          <w:szCs w:val="24"/>
        </w:rPr>
        <w:t xml:space="preserve">）</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4" w:name="EB6c1f3d39c6914ae1bada8ccaa777b37a"/>
      <w:r>
        <w:rPr>
          <w:rFonts w:hint="eastAsia" w:ascii="Times New Roman" w:hAnsi="Times New Roman" w:cs="仿宋"/>
          <w:sz w:val="24"/>
          <w:szCs w:val="24"/>
        </w:rPr>
        <w:t xml:space="preserve">61万元</w:t>
      </w:r>
      <w:r>
        <w:rPr>
          <w:rFonts w:hint="eastAsia" w:ascii="Times New Roman" w:hAnsi="Times New Roman" w:cs="仿宋"/>
          <w:color w:val="000000"/>
          <w:sz w:val="24"/>
          <w:szCs w:val="24"/>
        </w:rPr>
        <w:t xml:space="preserve">（</w:t>
      </w:r>
      <w:r>
        <w:rPr>
          <w:rFonts w:hint="eastAsia" w:ascii="宋体" w:hAnsi="宋体"/>
          <w:sz w:val="24"/>
          <w:szCs w:val="24"/>
        </w:rPr>
        <w:t xml:space="preserve">宿迁市传染病医院</w:t>
      </w:r>
      <w:r>
        <w:rPr>
          <w:rFonts w:hint="eastAsia" w:ascii="Times New Roman" w:hAnsi="Times New Roman" w:cs="仿宋"/>
          <w:color w:val="000000"/>
          <w:sz w:val="24"/>
          <w:szCs w:val="24"/>
        </w:rPr>
        <w:t xml:space="preserve">预算金额48</w:t>
      </w:r>
      <w:r>
        <w:rPr>
          <w:rFonts w:hint="eastAsia" w:ascii="宋体" w:hAnsi="宋体"/>
          <w:color w:val="000000"/>
          <w:sz w:val="24"/>
          <w:szCs w:val="24"/>
        </w:rPr>
        <w:t xml:space="preserve">万元；</w:t>
      </w:r>
      <w:r>
        <w:rPr>
          <w:rFonts w:hint="eastAsia" w:ascii="宋体" w:hAnsi="宋体"/>
          <w:sz w:val="24"/>
          <w:szCs w:val="24"/>
        </w:rPr>
        <w:t xml:space="preserve">宿迁市新沂河调度工程管理处</w:t>
      </w:r>
      <w:r>
        <w:rPr>
          <w:rFonts w:hint="eastAsia" w:ascii="Times New Roman" w:hAnsi="Times New Roman" w:cs="仿宋"/>
          <w:color w:val="000000"/>
          <w:sz w:val="24"/>
          <w:szCs w:val="24"/>
        </w:rPr>
        <w:t xml:space="preserve">预算金额13</w:t>
      </w:r>
      <w:r>
        <w:rPr>
          <w:rFonts w:hint="eastAsia" w:ascii="宋体" w:hAnsi="宋体"/>
          <w:color w:val="000000"/>
          <w:sz w:val="24"/>
          <w:szCs w:val="24"/>
        </w:rPr>
        <w:t xml:space="preserve">万元</w:t>
      </w:r>
      <w:r>
        <w:rPr>
          <w:rFonts w:hint="eastAsia" w:ascii="Times New Roman" w:hAnsi="Times New Roman" w:cs="仿宋"/>
          <w:color w:val="000000"/>
          <w:sz w:val="24"/>
          <w:szCs w:val="24"/>
        </w:rPr>
        <w:t xml:space="preserve">）</w:t>
      </w:r>
      <w:bookmarkEnd w:id="14"/>
      <w:r/>
      <w:r/>
    </w:p>
    <w:p>
      <w:pPr>
        <w:pStyle w:val="776"/>
        <w:ind w:firstLine="480"/>
        <w:spacing w:before="0" w:after="0" w:line="480" w:lineRule="exact"/>
        <w:rPr>
          <w:rFonts w:hint="eastAsia" w:ascii="Times New Roman" w:hAnsi="Times New Roman" w:cs="仿宋"/>
          <w:sz w:val="24"/>
          <w:szCs w:val="24"/>
        </w:rPr>
      </w:pPr>
      <w:r>
        <w:rPr>
          <w:rFonts w:hint="eastAsia" w:ascii="宋体" w:hAnsi="宋体" w:eastAsia="宋体"/>
          <w:b w:val="0"/>
          <w:sz w:val="24"/>
          <w:szCs w:val="24"/>
        </w:rPr>
        <w:t xml:space="preserve">5.采购需求</w:t>
      </w:r>
      <w:r>
        <w:rPr>
          <w:rFonts w:hint="eastAsia" w:ascii="Times New Roman" w:hAnsi="Times New Roman" w:eastAsia="宋体" w:cs="仿宋"/>
          <w:b w:val="0"/>
          <w:sz w:val="24"/>
          <w:szCs w:val="24"/>
        </w:rPr>
        <w:t xml:space="preserve">（简介）：包含保洁服务、保安服务、消防水电管理服务等。具体内容详见采购需求。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6.合同履行期限：1年</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776"/>
        <w:ind w:firstLine="643"/>
        <w:spacing w:before="0" w:after="0" w:line="480" w:lineRule="exact"/>
        <w:rPr>
          <w:rFonts w:hint="eastAsia" w:eastAsia="宋体" w:cs="Arial"/>
          <w:bCs/>
          <w:szCs w:val="22"/>
        </w:rPr>
      </w:pPr>
      <w:r/>
      <w:bookmarkStart w:id="15" w:name="_Toc35393791"/>
      <w:r/>
      <w:bookmarkStart w:id="16" w:name="_Toc28359003"/>
      <w:r/>
      <w:bookmarkStart w:id="17" w:name="_Toc38985264"/>
      <w:r/>
      <w:bookmarkStart w:id="18" w:name="_Toc35393622"/>
      <w:r/>
      <w:bookmarkStart w:id="19" w:name="_Toc27291"/>
      <w:r/>
      <w:bookmarkStart w:id="20" w:name="_Toc28359080"/>
      <w:r>
        <w:rPr>
          <w:rFonts w:hint="eastAsia" w:eastAsia="宋体" w:cs="Arial"/>
          <w:bCs/>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Times New Roman" w:hAnsi="Times New Roman" w:cs="仿宋"/>
          <w:sz w:val="24"/>
          <w:szCs w:val="24"/>
        </w:rPr>
      </w:pPr>
      <w:r/>
      <w:bookmarkStart w:id="21" w:name="_Toc28359081"/>
      <w:r/>
      <w:bookmarkStart w:id="22" w:name="_Toc35393623"/>
      <w:r/>
      <w:bookmarkStart w:id="23" w:name="_Toc38985265"/>
      <w:r/>
      <w:bookmarkStart w:id="24" w:name="_Toc28359004"/>
      <w:r/>
      <w:bookmarkStart w:id="25" w:name="_Toc35393792"/>
      <w:r>
        <w:rPr>
          <w:rFonts w:hint="eastAsia" w:ascii="Times New Roman" w:hAnsi="Times New Roman" w:cs="仿宋"/>
          <w:sz w:val="24"/>
          <w:szCs w:val="24"/>
        </w:rPr>
        <w:t xml:space="preserve">（一）通用资格要求</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3.落实政府采购政策需满足的资格要求：本项目专门面向中小企业采购（提供中小企业声明函或残疾人福利性单位声明函或监狱企业证明文件）。</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776"/>
        <w:ind w:firstLine="643"/>
        <w:spacing w:before="0" w:after="0" w:line="480" w:lineRule="exact"/>
        <w:rPr>
          <w:rFonts w:hint="eastAsia" w:eastAsia="宋体" w:cs="Arial"/>
          <w:bCs/>
          <w:szCs w:val="22"/>
        </w:rPr>
      </w:pPr>
      <w:r/>
      <w:bookmarkStart w:id="26" w:name="_Toc22204"/>
      <w:r>
        <w:rPr>
          <w:rFonts w:hint="eastAsia" w:eastAsia="宋体" w:cs="Arial"/>
          <w:bCs/>
          <w:szCs w:val="22"/>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sz w:val="24"/>
          <w:szCs w:val="24"/>
        </w:rPr>
      </w:pPr>
      <w:r/>
      <w:bookmarkStart w:id="27" w:name="_Toc28359082"/>
      <w:r/>
      <w:bookmarkStart w:id="28" w:name="_Toc28359005"/>
      <w:r/>
      <w:bookmarkStart w:id="29" w:name="_Toc38985266"/>
      <w:r/>
      <w:bookmarkStart w:id="30" w:name="_Toc35393793"/>
      <w:r/>
      <w:bookmarkStart w:id="31" w:name="_Toc35393624"/>
      <w:r>
        <w:rPr>
          <w:rFonts w:hint="eastAsia" w:ascii="Times New Roman" w:hAnsi="Times New Roman" w:cs="仿宋"/>
          <w:sz w:val="24"/>
          <w:szCs w:val="24"/>
        </w:rPr>
        <w:t xml:space="preserve">1.时间：招标公告发布之日起5个工作日。</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pStyle w:val="776"/>
        <w:ind w:firstLine="643"/>
        <w:spacing w:before="0" w:after="0" w:line="480" w:lineRule="exact"/>
        <w:rPr>
          <w:rFonts w:hint="eastAsia" w:eastAsia="宋体" w:cs="Arial"/>
          <w:bCs/>
          <w:szCs w:val="22"/>
        </w:rPr>
      </w:pPr>
      <w:r/>
      <w:bookmarkStart w:id="32" w:name="_Toc19148"/>
      <w:r>
        <w:rPr>
          <w:rFonts w:hint="eastAsia" w:eastAsia="宋体" w:cs="Arial"/>
          <w:bCs/>
          <w:szCs w:val="22"/>
        </w:rPr>
        <w:t xml:space="preserve">四、提交投标文件</w:t>
      </w:r>
      <w:bookmarkEnd w:id="27"/>
      <w:r/>
      <w:bookmarkEnd w:id="28"/>
      <w:r>
        <w:rPr>
          <w:rFonts w:hint="eastAsia" w:eastAsia="宋体" w:cs="Arial"/>
          <w:bCs/>
          <w:szCs w:val="22"/>
        </w:rPr>
        <w:t xml:space="preserve">截止时间、开标时间和地点</w:t>
      </w:r>
      <w:bookmarkEnd w:id="29"/>
      <w:r/>
      <w:bookmarkEnd w:id="30"/>
      <w:r/>
      <w:bookmarkEnd w:id="31"/>
      <w:r/>
      <w:bookmarkEnd w:id="32"/>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w:t>
      </w:r>
      <w:r>
        <w:rPr>
          <w:rFonts w:hint="eastAsia" w:ascii="Times New Roman" w:hAnsi="Times New Roman" w:cs="仿宋"/>
          <w:sz w:val="24"/>
          <w:szCs w:val="24"/>
          <w:highlight w:val="none"/>
        </w:rPr>
        <w:t xml:space="preserve">年</w:t>
      </w:r>
      <w:r>
        <w:rPr>
          <w:rFonts w:hint="eastAsia" w:ascii="Times New Roman" w:hAnsi="Times New Roman" w:cs="仿宋"/>
          <w:sz w:val="24"/>
          <w:szCs w:val="24"/>
          <w:highlight w:val="none"/>
          <w:lang w:val="en-US" w:eastAsia="zh-CN"/>
        </w:rPr>
        <w:t xml:space="preserve">7</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lang w:val="en-US" w:eastAsia="zh-CN"/>
        </w:rPr>
        <w:t xml:space="preserve">8</w:t>
      </w:r>
      <w:r>
        <w:rPr>
          <w:rFonts w:hint="eastAsia" w:ascii="Times New Roman" w:hAnsi="Times New Roman" w:cs="仿宋"/>
          <w:sz w:val="24"/>
          <w:szCs w:val="24"/>
          <w:highlight w:val="none"/>
        </w:rPr>
        <w:t xml:space="preserve">日</w:t>
      </w:r>
      <w:r>
        <w:rPr>
          <w:rFonts w:hint="eastAsia" w:ascii="Times New Roman" w:hAnsi="Times New Roman" w:cs="仿宋"/>
          <w:sz w:val="24"/>
          <w:szCs w:val="24"/>
        </w:rPr>
        <w:t xml:space="preserve">09点30分（北京时间）</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776"/>
        <w:ind w:firstLine="643"/>
        <w:spacing w:before="0" w:after="0" w:line="480" w:lineRule="exact"/>
        <w:rPr>
          <w:rFonts w:hint="eastAsia" w:eastAsia="宋体" w:cs="Arial"/>
          <w:bCs/>
          <w:szCs w:val="22"/>
        </w:rPr>
      </w:pPr>
      <w:r/>
      <w:bookmarkStart w:id="33" w:name="_Toc35393794"/>
      <w:r/>
      <w:bookmarkStart w:id="34" w:name="_Toc24820"/>
      <w:r/>
      <w:bookmarkStart w:id="35" w:name="_Toc35393625"/>
      <w:r/>
      <w:bookmarkStart w:id="36" w:name="_Toc38985267"/>
      <w:r/>
      <w:bookmarkStart w:id="37" w:name="_Toc28359084"/>
      <w:r/>
      <w:bookmarkStart w:id="38" w:name="_Toc28359007"/>
      <w:r>
        <w:rPr>
          <w:rFonts w:hint="eastAsia" w:eastAsia="宋体" w:cs="Arial"/>
          <w:bCs/>
          <w:szCs w:val="22"/>
        </w:rPr>
        <w:t xml:space="preserve">五、公告期限</w:t>
      </w:r>
      <w:bookmarkEnd w:id="33"/>
      <w:r/>
      <w:bookmarkEnd w:id="34"/>
      <w:r/>
      <w:bookmarkEnd w:id="35"/>
      <w:r/>
      <w:bookmarkEnd w:id="36"/>
      <w:r/>
      <w:bookmarkEnd w:id="37"/>
      <w:r/>
      <w:bookmarkEnd w:id="38"/>
      <w:r/>
      <w:r/>
    </w:p>
    <w:p>
      <w:pPr>
        <w:ind w:firstLine="480"/>
        <w:spacing w:line="480" w:lineRule="exact"/>
        <w:rPr>
          <w:rFonts w:hint="eastAsia" w:ascii="Times New Roman" w:hAnsi="Times New Roman" w:cs="仿宋"/>
          <w:sz w:val="24"/>
          <w:szCs w:val="24"/>
        </w:rPr>
      </w:pPr>
      <w:r/>
      <w:bookmarkStart w:id="39" w:name="_Toc35393626"/>
      <w:r/>
      <w:bookmarkStart w:id="40" w:name="_Toc38985268"/>
      <w:r/>
      <w:bookmarkStart w:id="41" w:name="_Toc35393795"/>
      <w:r>
        <w:rPr>
          <w:rFonts w:hint="eastAsia" w:ascii="Times New Roman" w:hAnsi="Times New Roman" w:cs="仿宋"/>
          <w:sz w:val="24"/>
          <w:szCs w:val="24"/>
        </w:rPr>
        <w:t xml:space="preserve">招标公告及招标文件公告期限为自本公告发布之日起5个工作日。</w:t>
      </w:r>
      <w:r/>
    </w:p>
    <w:p>
      <w:pPr>
        <w:pStyle w:val="776"/>
        <w:ind w:firstLine="643"/>
        <w:spacing w:before="0" w:after="0" w:line="480" w:lineRule="exact"/>
        <w:rPr>
          <w:rFonts w:hint="eastAsia" w:eastAsia="宋体" w:cs="Arial"/>
          <w:bCs/>
          <w:szCs w:val="22"/>
        </w:rPr>
      </w:pPr>
      <w:r/>
      <w:bookmarkStart w:id="42" w:name="_Toc13415"/>
      <w:r>
        <w:rPr>
          <w:rFonts w:hint="eastAsia" w:eastAsia="宋体" w:cs="Arial"/>
          <w:bCs/>
          <w:szCs w:val="22"/>
        </w:rPr>
        <w:t xml:space="preserve">六、其他补充事宜</w:t>
      </w:r>
      <w:bookmarkEnd w:id="39"/>
      <w:r/>
      <w:bookmarkEnd w:id="40"/>
      <w:r/>
      <w:bookmarkEnd w:id="41"/>
      <w:r/>
      <w:bookmarkEnd w:id="42"/>
      <w:r/>
      <w:r/>
    </w:p>
    <w:p>
      <w:pPr>
        <w:ind w:firstLine="480"/>
        <w:spacing w:line="480" w:lineRule="exact"/>
        <w:rPr>
          <w:rFonts w:hint="eastAsia" w:ascii="Times New Roman" w:hAnsi="Times New Roman" w:cs="仿宋"/>
          <w:sz w:val="24"/>
          <w:szCs w:val="24"/>
        </w:rPr>
      </w:pPr>
      <w:r/>
      <w:bookmarkStart w:id="43" w:name="EB64e1f522fd8c43fcb4d3ba471386b3e7"/>
      <w:r/>
      <w:bookmarkStart w:id="44" w:name="_Toc35393627"/>
      <w:r/>
      <w:bookmarkStart w:id="45" w:name="_Toc28359008"/>
      <w:r/>
      <w:bookmarkStart w:id="46" w:name="_Toc35393796"/>
      <w:r/>
      <w:bookmarkStart w:id="47" w:name="_Toc28359085"/>
      <w:r/>
      <w:bookmarkStart w:id="48" w:name="_Toc38985269"/>
      <w:r>
        <w:rPr>
          <w:rFonts w:hint="eastAsia" w:ascii="Times New Roman" w:hAnsi="Times New Roman" w:cs="仿宋"/>
          <w:sz w:val="24"/>
          <w:szCs w:val="24"/>
        </w:rPr>
        <w:t xml:space="preserve">1.招标公告发布媒体：</w:t>
      </w:r>
      <w:bookmarkStart w:id="49" w:name="OLE_LINK3"/>
      <w:r>
        <w:rPr>
          <w:rFonts w:hint="eastAsia" w:ascii="Times New Roman" w:hAnsi="Times New Roman" w:cs="仿宋"/>
          <w:sz w:val="24"/>
          <w:szCs w:val="24"/>
        </w:rPr>
        <w:t xml:space="preserve">江苏政府采购网</w:t>
      </w:r>
      <w:bookmarkEnd w:id="49"/>
      <w:r>
        <w:rPr>
          <w:rFonts w:hint="eastAsia" w:ascii="Times New Roman" w:hAnsi="Times New Roman" w:cs="仿宋"/>
          <w:sz w:val="24"/>
          <w:szCs w:val="24"/>
        </w:rPr>
        <w:t xml:space="preserve">、宿迁市政府采购网等。</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43"/>
      <w:r/>
      <w:r/>
    </w:p>
    <w:p>
      <w:pPr>
        <w:ind w:firstLine="480"/>
        <w:spacing w:line="480" w:lineRule="exact"/>
        <w:rPr>
          <w:rFonts w:hint="eastAsia" w:ascii="Times New Roman" w:hAnsi="Times New Roman" w:cs="仿宋"/>
          <w:sz w:val="24"/>
        </w:rPr>
      </w:pPr>
      <w:r/>
      <w:bookmarkStart w:id="50"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p>
    <w:p>
      <w:pPr>
        <w:pStyle w:val="776"/>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44"/>
      <w:r/>
      <w:bookmarkEnd w:id="45"/>
      <w:r/>
      <w:bookmarkEnd w:id="46"/>
      <w:r/>
      <w:bookmarkEnd w:id="47"/>
      <w:r/>
      <w:bookmarkEnd w:id="48"/>
      <w:r/>
      <w:bookmarkEnd w:id="50"/>
      <w:r/>
      <w:r/>
    </w:p>
    <w:p>
      <w:pPr>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名   称：</w:t>
      </w:r>
      <w:r>
        <w:rPr>
          <w:rFonts w:hint="eastAsia" w:ascii="宋体" w:hAnsi="宋体"/>
          <w:sz w:val="24"/>
          <w:szCs w:val="24"/>
          <w:u w:val="single"/>
        </w:rPr>
        <w:t xml:space="preserve">宿迁市传染病医院、宿迁市新沂河调度工程管理处</w:t>
      </w:r>
      <w:r/>
    </w:p>
    <w:p>
      <w:pPr>
        <w:ind w:firstLine="480"/>
        <w:jc w:val="left"/>
        <w:spacing w:line="48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宿迁市宿新路550号、沭阳县大连西路中洋石油西侧</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Times New Roman" w:hAnsi="Times New Roman" w:cs="仿宋"/>
          <w:sz w:val="24"/>
          <w:u w:val="single"/>
        </w:rPr>
        <w:t xml:space="preserve">谢将军、魏云路</w:t>
      </w:r>
      <w:r/>
    </w:p>
    <w:p>
      <w:pPr>
        <w:ind w:firstLine="480"/>
        <w:jc w:val="left"/>
        <w:spacing w:line="48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15996729568、</w:t>
      </w:r>
      <w:bookmarkStart w:id="51" w:name="_Toc28359086"/>
      <w:r/>
      <w:bookmarkStart w:id="52" w:name="_Toc28359009"/>
      <w:r>
        <w:rPr>
          <w:rFonts w:hint="eastAsia" w:ascii="宋体" w:hAnsi="宋体"/>
          <w:sz w:val="24"/>
          <w:szCs w:val="24"/>
          <w:u w:val="single"/>
        </w:rPr>
        <w:t xml:space="preserve">0527-83901185</w:t>
      </w:r>
      <w:r/>
    </w:p>
    <w:p>
      <w:pPr>
        <w:ind w:firstLine="480"/>
        <w:jc w:val="left"/>
        <w:spacing w:line="480" w:lineRule="exact"/>
        <w:rPr>
          <w:rFonts w:ascii="宋体" w:hAnsi="宋体"/>
          <w:sz w:val="24"/>
          <w:szCs w:val="24"/>
        </w:rPr>
      </w:pPr>
      <w:r>
        <w:rPr>
          <w:rFonts w:hint="eastAsia" w:ascii="宋体" w:hAnsi="宋体" w:cs="宋体"/>
          <w:sz w:val="24"/>
          <w:szCs w:val="24"/>
        </w:rPr>
        <w:t xml:space="preserve">2.</w:t>
      </w:r>
      <w:bookmarkEnd w:id="51"/>
      <w:r/>
      <w:bookmarkEnd w:id="52"/>
      <w:r>
        <w:rPr>
          <w:rFonts w:hint="eastAsia" w:ascii="宋体" w:hAnsi="宋体" w:cs="宋体"/>
          <w:sz w:val="24"/>
          <w:szCs w:val="24"/>
        </w:rPr>
        <w:t xml:space="preserve">采购代理机构信息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p>
    <w:p>
      <w:pPr>
        <w:ind w:firstLine="480"/>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宿迁市洪泽湖路889 号，便民方舟2号楼</w:t>
      </w:r>
      <w:r/>
    </w:p>
    <w:p>
      <w:pPr>
        <w:ind w:firstLine="480"/>
        <w:spacing w:line="480" w:lineRule="exact"/>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张毅</w:t>
      </w:r>
      <w:r/>
    </w:p>
    <w:p>
      <w:pPr>
        <w:ind w:firstLine="480"/>
        <w:spacing w:line="480" w:lineRule="exact"/>
        <w:rPr>
          <w:rFonts w:hint="eastAsia" w:ascii="仿宋_GB2312"/>
          <w:sz w:val="24"/>
        </w:rPr>
      </w:pPr>
      <w:r>
        <w:rPr>
          <w:rFonts w:hint="eastAsia" w:ascii="宋体" w:hAnsi="宋体"/>
          <w:sz w:val="24"/>
          <w:szCs w:val="24"/>
        </w:rPr>
        <w:t xml:space="preserve">联系方式：</w:t>
      </w:r>
      <w:bookmarkStart w:id="53" w:name="_Toc28359010"/>
      <w:r/>
      <w:bookmarkStart w:id="54" w:name="_Toc28359087"/>
      <w:r>
        <w:rPr>
          <w:rFonts w:hint="eastAsia" w:ascii="宋体" w:hAnsi="宋体"/>
          <w:sz w:val="24"/>
          <w:szCs w:val="24"/>
          <w:u w:val="single"/>
        </w:rPr>
        <w:t xml:space="preserve">0527-8439603</w:t>
      </w:r>
      <w:bookmarkEnd w:id="53"/>
      <w:r/>
      <w:bookmarkEnd w:id="54"/>
      <w:r>
        <w:rPr>
          <w:rFonts w:hint="eastAsia" w:ascii="宋体" w:hAnsi="宋体"/>
          <w:sz w:val="24"/>
          <w:szCs w:val="24"/>
          <w:u w:val="single"/>
        </w:rPr>
        <w:t xml:space="preserve">5</w:t>
      </w:r>
      <w:r/>
    </w:p>
    <w:p>
      <w:pPr>
        <w:ind w:firstLine="480"/>
        <w:spacing w:line="480" w:lineRule="exact"/>
        <w:rPr>
          <w:rFonts w:ascii="仿宋_GB2312" w:eastAsia="仿宋_GB2312"/>
          <w:sz w:val="24"/>
        </w:rPr>
      </w:pPr>
      <w:r>
        <w:rPr>
          <w:rFonts w:ascii="仿宋_GB2312" w:eastAsia="仿宋_GB2312"/>
          <w:sz w:val="24"/>
        </w:rPr>
      </w:r>
      <w:r/>
    </w:p>
    <w:p>
      <w:pPr>
        <w:ind w:firstLine="480"/>
        <w:jc w:val="center"/>
        <w:spacing w:line="480" w:lineRule="exact"/>
        <w:rPr>
          <w:rFonts w:hint="eastAsia" w:eastAsia="黑体"/>
          <w:sz w:val="44"/>
        </w:rPr>
        <w:outlineLvl w:val="0"/>
      </w:pPr>
      <w:r>
        <w:rPr>
          <w:rFonts w:hint="eastAsia" w:ascii="仿宋_GB2312" w:eastAsia="仿宋_GB2312"/>
          <w:sz w:val="24"/>
        </w:rPr>
        <w:br w:type="page" w:clear="all"/>
      </w:r>
      <w:bookmarkStart w:id="55" w:name="_Toc81575153"/>
      <w:r/>
      <w:bookmarkStart w:id="56" w:name="_Toc15265"/>
      <w:r/>
      <w:bookmarkStart w:id="57" w:name="_Toc81575190"/>
      <w:r/>
      <w:bookmarkStart w:id="58" w:name="_Toc9624"/>
      <w:r/>
      <w:bookmarkStart w:id="59" w:name="_Toc11687"/>
      <w:r>
        <w:rPr>
          <w:rFonts w:hint="eastAsia" w:eastAsia="黑体"/>
          <w:sz w:val="44"/>
        </w:rPr>
        <w:t xml:space="preserve">第二章  投标人须知</w:t>
      </w:r>
      <w:bookmarkEnd w:id="55"/>
      <w:r/>
      <w:bookmarkEnd w:id="56"/>
      <w:r/>
      <w:bookmarkEnd w:id="57"/>
      <w:r/>
      <w:bookmarkEnd w:id="58"/>
      <w:r/>
      <w:bookmarkEnd w:id="59"/>
      <w:r/>
      <w:r/>
    </w:p>
    <w:p>
      <w:pPr>
        <w:pStyle w:val="776"/>
        <w:spacing w:before="0" w:after="120" w:line="520" w:lineRule="exact"/>
        <w:rPr>
          <w:rFonts w:hint="eastAsia" w:eastAsia="宋体" w:cs="Arial"/>
          <w:bCs/>
          <w:szCs w:val="22"/>
        </w:rPr>
      </w:pPr>
      <w:r/>
      <w:bookmarkStart w:id="60" w:name="_Toc4529"/>
      <w:r>
        <w:rPr>
          <w:rFonts w:hint="eastAsia" w:eastAsia="宋体" w:cs="Arial"/>
          <w:bCs/>
          <w:szCs w:val="22"/>
        </w:rPr>
        <w:t xml:space="preserve">投标人须知前附表：</w:t>
      </w:r>
      <w:bookmarkEnd w:id="60"/>
      <w:r/>
      <w:r/>
    </w:p>
    <w:tbl>
      <w:tblPr>
        <w:tblStyle w:val="785"/>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仿宋_GB2312" w:hAnsi="仿宋"/>
                <w:b/>
                <w:sz w:val="24"/>
                <w:szCs w:val="24"/>
              </w:rPr>
            </w:pPr>
            <w:r/>
            <w:bookmarkStart w:id="61" w:name="_Toc81575154"/>
            <w:r/>
            <w:bookmarkStart w:id="62" w:name="_Toc29262"/>
            <w:r/>
            <w:bookmarkStart w:id="63" w:name="_Toc81575191"/>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4" w:name="EB9a5853ee094f4f0ea6ec3169265f6f2c"/>
            <w:r>
              <w:rPr>
                <w:rFonts w:hint="eastAsia" w:ascii="Times New Roman" w:hAnsi="Times New Roman" w:cs="仿宋"/>
                <w:sz w:val="24"/>
                <w:szCs w:val="24"/>
              </w:rPr>
              <w:t xml:space="preserve">属性按以下第</w:t>
            </w:r>
            <w:bookmarkEnd w:id="64"/>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种确定：</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1.货物</w:t>
            </w:r>
            <w:bookmarkStart w:id="65" w:name="EBd5c6c026f9674c39b21b31ecd0c1e7fa"/>
            <w:r>
              <w:rPr>
                <w:rFonts w:hint="eastAsia" w:ascii="Times New Roman" w:hAnsi="Times New Roman" w:cs="仿宋"/>
                <w:sz w:val="24"/>
                <w:szCs w:val="24"/>
              </w:rPr>
              <w:t xml:space="preserve">采购；2.</w:t>
            </w:r>
            <w:bookmarkEnd w:id="65"/>
            <w:r>
              <w:rPr>
                <w:rFonts w:hint="eastAsia" w:ascii="Times New Roman" w:hAnsi="Times New Roman" w:cs="仿宋"/>
                <w:sz w:val="24"/>
                <w:szCs w:val="24"/>
              </w:rPr>
              <w:t xml:space="preserve">服务</w:t>
            </w:r>
            <w:bookmarkStart w:id="66" w:name="EBf7d2a4f44ecb4166a93ea852e73be69f"/>
            <w:r>
              <w:rPr>
                <w:rFonts w:hint="eastAsia" w:ascii="Times New Roman" w:hAnsi="Times New Roman" w:cs="仿宋"/>
                <w:sz w:val="24"/>
                <w:szCs w:val="24"/>
              </w:rPr>
              <w:t xml:space="preserve">采购；3.</w:t>
            </w:r>
            <w:bookmarkEnd w:id="66"/>
            <w:r>
              <w:rPr>
                <w:rFonts w:hint="eastAsia" w:ascii="Times New Roman" w:hAnsi="Times New Roman"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rPr>
            </w:pPr>
            <w:r/>
            <w:bookmarkStart w:id="67" w:name="EBd40b5fb42f2944a3b45e579ce3941f02"/>
            <w:r/>
            <w:bookmarkEnd w:id="67"/>
            <w:r>
              <w:rPr>
                <w:rFonts w:hint="eastAsia" w:ascii="Times New Roman" w:hAnsi="Times New Roman" w:cs="仿宋"/>
                <w:sz w:val="24"/>
                <w:szCs w:val="24"/>
              </w:rPr>
              <w:t xml:space="preserve">90日（从提交投标文件截止之日起算）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rPr>
            </w:pPr>
            <w:r/>
            <w:bookmarkStart w:id="68" w:name="EBebac1462c5d9459fbda8a75065c2455d"/>
            <w:r>
              <w:rPr>
                <w:rFonts w:hint="eastAsia" w:ascii="Times New Roman" w:hAnsi="Times New Roman" w:cs="仿宋"/>
                <w:sz w:val="24"/>
                <w:szCs w:val="24"/>
              </w:rPr>
              <w:t xml:space="preserve">本项目的非主体、非关键性工作是否允许分包</w:t>
            </w:r>
            <w:bookmarkEnd w:id="68"/>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1.允许分包，</w:t>
            </w:r>
            <w:bookmarkStart w:id="69"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69"/>
            <w:r>
              <w:rPr>
                <w:rFonts w:hint="eastAsia" w:ascii="Times New Roman" w:hAnsi="Times New Roman" w:cs="仿宋"/>
                <w:sz w:val="24"/>
                <w:szCs w:val="24"/>
              </w:rPr>
              <w:t xml:space="preserve">无</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rPr>
            </w:pPr>
            <w:r/>
            <w:bookmarkStart w:id="70" w:name="EBfe735bb6fc4d4e5e9e350f940db98c5f"/>
            <w:r/>
            <w:bookmarkEnd w:id="70"/>
            <w:r>
              <w:rPr>
                <w:rFonts w:hint="eastAsia" w:ascii="Times New Roman" w:hAnsi="Times New Roman" w:cs="仿宋"/>
                <w:sz w:val="24"/>
                <w:szCs w:val="24"/>
              </w:rPr>
              <w:t xml:space="preserve">本项目不收取代理费。</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其他</w:t>
            </w:r>
            <w:bookmarkEnd w:id="61"/>
            <w:r/>
            <w:bookmarkEnd w:id="62"/>
            <w:r/>
            <w:bookmarkEnd w:id="63"/>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pStyle w:val="776"/>
        <w:ind w:firstLine="321"/>
        <w:spacing w:before="0" w:after="0" w:line="480" w:lineRule="exact"/>
        <w:rPr>
          <w:rFonts w:hint="eastAsia" w:eastAsia="宋体" w:cs="Arial"/>
          <w:bCs/>
          <w:szCs w:val="22"/>
        </w:rPr>
      </w:pPr>
      <w:r/>
      <w:bookmarkStart w:id="71" w:name="EB6eaaf474639940df900ef4965d71f450"/>
      <w:r/>
      <w:bookmarkEnd w:id="71"/>
      <w:r/>
      <w:bookmarkStart w:id="72" w:name="_Toc8239"/>
      <w:r/>
      <w:bookmarkStart w:id="73" w:name="_Toc30953"/>
      <w:r/>
      <w:bookmarkStart w:id="74" w:name="_Toc81575192"/>
      <w:r/>
      <w:bookmarkStart w:id="75" w:name="_Toc81575155"/>
      <w:r>
        <w:rPr>
          <w:rFonts w:hint="eastAsia" w:eastAsia="宋体" w:cs="Arial"/>
          <w:bCs/>
          <w:szCs w:val="22"/>
        </w:rPr>
        <w:br w:type="page" w:clear="all"/>
      </w:r>
      <w:r>
        <w:rPr>
          <w:rFonts w:hint="eastAsia" w:eastAsia="宋体" w:cs="Arial"/>
          <w:bCs/>
          <w:szCs w:val="22"/>
        </w:rPr>
        <w:t xml:space="preserve">一、总 则</w:t>
      </w:r>
      <w:bookmarkEnd w:id="72"/>
      <w:r/>
      <w:bookmarkEnd w:id="73"/>
      <w:r/>
      <w:bookmarkEnd w:id="74"/>
      <w:r/>
      <w:bookmarkEnd w:id="75"/>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776"/>
        <w:ind w:firstLine="321"/>
        <w:spacing w:before="0" w:after="0" w:line="480" w:lineRule="exact"/>
        <w:rPr>
          <w:rFonts w:hint="eastAsia" w:eastAsia="宋体" w:cs="Arial"/>
          <w:bCs/>
          <w:szCs w:val="22"/>
        </w:rPr>
      </w:pPr>
      <w:r/>
      <w:bookmarkStart w:id="76" w:name="_Toc15995"/>
      <w:r/>
      <w:bookmarkStart w:id="77" w:name="_Toc81575193"/>
      <w:r/>
      <w:bookmarkStart w:id="78" w:name="_Toc81575156"/>
      <w:r/>
      <w:bookmarkStart w:id="79" w:name="_Toc29306"/>
      <w:r>
        <w:rPr>
          <w:rFonts w:hint="eastAsia" w:eastAsia="宋体" w:cs="Arial"/>
          <w:bCs/>
          <w:szCs w:val="22"/>
        </w:rPr>
        <w:t xml:space="preserve">二、招标文件</w:t>
      </w:r>
      <w:bookmarkEnd w:id="76"/>
      <w:r/>
      <w:bookmarkEnd w:id="77"/>
      <w:r/>
      <w:bookmarkEnd w:id="78"/>
      <w:r/>
      <w:bookmarkEnd w:id="79"/>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（1）</w:t>
      </w:r>
      <w:r>
        <w:rPr>
          <w:rFonts w:hint="eastAsia" w:ascii="Times New Roman" w:hAnsi="Times New Roman" w:cs="仿宋"/>
          <w:sz w:val="24"/>
        </w:rPr>
        <w:t xml:space="preserve">种政策落实：</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w:t>
      </w:r>
      <w:bookmarkStart w:id="80"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bookmarkEnd w:id="80"/>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p>
    <w:p>
      <w:pPr>
        <w:pStyle w:val="776"/>
        <w:ind w:firstLine="321"/>
        <w:spacing w:before="0" w:after="0" w:line="480" w:lineRule="exact"/>
        <w:rPr>
          <w:rFonts w:hint="eastAsia" w:eastAsia="宋体" w:cs="Arial"/>
          <w:bCs/>
          <w:szCs w:val="22"/>
        </w:rPr>
      </w:pPr>
      <w:r/>
      <w:bookmarkStart w:id="81" w:name="_Toc5574"/>
      <w:r/>
      <w:bookmarkStart w:id="82" w:name="_Toc81575157"/>
      <w:r/>
      <w:bookmarkStart w:id="83" w:name="_Toc81575194"/>
      <w:r/>
      <w:bookmarkStart w:id="84" w:name="_Toc11461"/>
      <w:r>
        <w:rPr>
          <w:rFonts w:hint="eastAsia" w:eastAsia="宋体" w:cs="Arial"/>
          <w:bCs/>
          <w:szCs w:val="22"/>
        </w:rPr>
        <w:t xml:space="preserve">三、投标文件的编制</w:t>
      </w:r>
      <w:bookmarkEnd w:id="81"/>
      <w:r/>
      <w:bookmarkEnd w:id="82"/>
      <w:r/>
      <w:bookmarkEnd w:id="83"/>
      <w:r/>
      <w:bookmarkEnd w:id="84"/>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85"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86"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6"/>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776"/>
        <w:ind w:firstLine="321"/>
        <w:spacing w:before="0" w:after="0" w:line="480" w:lineRule="exact"/>
        <w:rPr>
          <w:rFonts w:hint="eastAsia" w:eastAsia="宋体" w:cs="Arial"/>
          <w:bCs/>
          <w:szCs w:val="22"/>
        </w:rPr>
      </w:pPr>
      <w:r/>
      <w:bookmarkStart w:id="87" w:name="_Toc2773"/>
      <w:r/>
      <w:bookmarkStart w:id="88" w:name="_Toc81575158"/>
      <w:r/>
      <w:bookmarkStart w:id="89" w:name="_Toc81575195"/>
      <w:r/>
      <w:bookmarkStart w:id="90" w:name="_Toc23443"/>
      <w:r>
        <w:rPr>
          <w:rFonts w:hint="eastAsia" w:eastAsia="宋体" w:cs="Arial"/>
          <w:bCs/>
          <w:szCs w:val="22"/>
        </w:rPr>
        <w:t xml:space="preserve">四、投标文件的提交</w:t>
      </w:r>
      <w:bookmarkEnd w:id="87"/>
      <w:r/>
      <w:bookmarkEnd w:id="88"/>
      <w:r/>
      <w:bookmarkEnd w:id="89"/>
      <w:r/>
      <w:bookmarkEnd w:id="90"/>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776"/>
        <w:ind w:firstLine="321"/>
        <w:spacing w:before="0" w:after="0" w:line="520" w:lineRule="exact"/>
        <w:rPr>
          <w:rFonts w:hint="eastAsia" w:eastAsia="宋体" w:cs="Arial"/>
          <w:bCs/>
          <w:szCs w:val="22"/>
        </w:rPr>
      </w:pPr>
      <w:r/>
      <w:bookmarkStart w:id="91" w:name="_Toc81575197"/>
      <w:r/>
      <w:bookmarkStart w:id="92" w:name="_Toc81575160"/>
      <w:r/>
      <w:bookmarkStart w:id="93" w:name="_Toc959"/>
      <w:r/>
      <w:bookmarkStart w:id="94" w:name="_Toc20026"/>
      <w:r>
        <w:rPr>
          <w:rFonts w:hint="eastAsia" w:eastAsia="宋体" w:cs="Arial"/>
          <w:bCs/>
          <w:szCs w:val="22"/>
        </w:rPr>
        <w:t xml:space="preserve">五、开标、评标程序</w:t>
      </w:r>
      <w:bookmarkEnd w:id="91"/>
      <w:r/>
      <w:bookmarkEnd w:id="92"/>
      <w:r/>
      <w:bookmarkEnd w:id="93"/>
      <w:r/>
      <w:bookmarkEnd w:id="94"/>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95" w:name="EBa9c0a2c9e523494487594c65b2a92370"/>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5"/>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6"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6"/>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97" w:name="OLE_LINK10"/>
      <w:r>
        <w:rPr>
          <w:rFonts w:hint="eastAsia" w:ascii="Times New Roman" w:hAnsi="Times New Roman" w:cs="仿宋"/>
          <w:sz w:val="24"/>
        </w:rPr>
        <w:t xml:space="preserve">多家投标人提供的核心产品品牌相同的，</w:t>
      </w:r>
      <w:bookmarkEnd w:id="97"/>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17.7 异常低价投标审查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776"/>
        <w:ind w:firstLine="321"/>
        <w:spacing w:before="0" w:after="0" w:line="480" w:lineRule="exact"/>
        <w:rPr>
          <w:rFonts w:hint="eastAsia" w:eastAsia="宋体" w:cs="Arial"/>
          <w:bCs/>
          <w:color w:val="000000"/>
          <w:szCs w:val="22"/>
        </w:rPr>
      </w:pPr>
      <w:r/>
      <w:bookmarkStart w:id="98" w:name="_Toc8841"/>
      <w:r/>
      <w:bookmarkStart w:id="99" w:name="_Toc8712"/>
      <w:r/>
      <w:bookmarkStart w:id="100" w:name="_Toc81575159"/>
      <w:r/>
      <w:bookmarkStart w:id="101" w:name="_Toc81575196"/>
      <w:r>
        <w:rPr>
          <w:rFonts w:hint="eastAsia" w:eastAsia="宋体" w:cs="Arial"/>
          <w:bCs/>
          <w:color w:val="000000"/>
          <w:szCs w:val="22"/>
        </w:rPr>
        <w:t xml:space="preserve">六、无效投标、废标、串通投标</w:t>
      </w:r>
      <w:bookmarkEnd w:id="98"/>
      <w:r/>
      <w:bookmarkEnd w:id="99"/>
      <w:r/>
      <w:bookmarkEnd w:id="100"/>
      <w:r/>
      <w:bookmarkEnd w:id="101"/>
      <w:r>
        <w:rPr>
          <w:rFonts w:hint="eastAsia" w:eastAsia="宋体" w:cs="Arial"/>
          <w:bCs/>
          <w:color w:val="000000"/>
          <w:szCs w:val="22"/>
        </w:rPr>
        <w:t xml:space="preserve">及取消中标候选人资格情形</w:t>
      </w:r>
      <w:r/>
    </w:p>
    <w:p>
      <w:pPr>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02" w:name="OLE_LINK4"/>
      <w:r>
        <w:rPr>
          <w:rFonts w:hint="eastAsia" w:ascii="Times New Roman" w:hAnsi="Times New Roman" w:cs="仿宋"/>
          <w:b/>
          <w:sz w:val="24"/>
        </w:rPr>
        <w:t xml:space="preserve">取消中标候选人资格情形</w:t>
      </w:r>
      <w:bookmarkEnd w:id="102"/>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03" w:name="_Toc6494"/>
      <w:r/>
      <w:bookmarkStart w:id="104" w:name="_Toc2391"/>
      <w:r/>
      <w:bookmarkStart w:id="105" w:name="_Toc81575198"/>
      <w:r/>
      <w:bookmarkStart w:id="106" w:name="_Toc81575161"/>
      <w:r/>
      <w:r/>
    </w:p>
    <w:p>
      <w:pPr>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03"/>
      <w:r/>
      <w:bookmarkEnd w:id="104"/>
      <w:r/>
      <w:bookmarkEnd w:id="105"/>
      <w:r/>
      <w:bookmarkEnd w:id="106"/>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07" w:name="OLE_LINK5"/>
      <w:r>
        <w:rPr>
          <w:rFonts w:hint="eastAsia" w:ascii="Times New Roman" w:hAnsi="Times New Roman" w:cs="仿宋"/>
          <w:sz w:val="24"/>
        </w:rPr>
        <w:t xml:space="preserve">自己的评审得分及排序情况。</w:t>
      </w:r>
      <w:bookmarkEnd w:id="107"/>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hint="eastAsia"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 /</w:t>
      </w:r>
      <w:r>
        <w:rPr>
          <w:rFonts w:hint="eastAsia" w:ascii="Times New Roman" w:hAnsi="Times New Roman" w:cs="仿宋"/>
          <w:sz w:val="24"/>
        </w:rPr>
        <w:t xml:space="preserve"> %</w:t>
      </w:r>
      <w:r>
        <w:rPr>
          <w:rFonts w:hint="eastAsia" w:ascii="Times New Roman" w:hAnsi="Times New Roman" w:cs="仿宋"/>
          <w:sz w:val="24"/>
          <w:u w:val="single"/>
        </w:rPr>
        <w:t xml:space="preserve">（以履约保证金原提交金额的6折）</w:t>
      </w:r>
      <w:r>
        <w:rPr>
          <w:rFonts w:hint="eastAsia" w:ascii="Times New Roman" w:hAnsi="Times New Roman" w:cs="仿宋"/>
          <w:sz w:val="24"/>
        </w:rPr>
        <w:t xml:space="preserve">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776"/>
        <w:spacing w:before="0" w:after="0" w:line="520" w:lineRule="exact"/>
        <w:rPr>
          <w:rFonts w:hint="eastAsia" w:eastAsia="宋体" w:cs="Arial"/>
          <w:bCs/>
          <w:szCs w:val="22"/>
        </w:rPr>
      </w:pPr>
      <w:r/>
      <w:bookmarkStart w:id="108" w:name="_Toc22084"/>
      <w:r/>
      <w:bookmarkStart w:id="109" w:name="_Toc81575199"/>
      <w:r/>
      <w:bookmarkStart w:id="110" w:name="_Toc81575162"/>
      <w:r/>
      <w:bookmarkStart w:id="111" w:name="_Toc7550"/>
      <w:r>
        <w:rPr>
          <w:rFonts w:hint="eastAsia" w:eastAsia="宋体" w:cs="Arial"/>
          <w:bCs/>
          <w:szCs w:val="22"/>
        </w:rPr>
        <w:t xml:space="preserve">八、</w:t>
      </w:r>
      <w:bookmarkEnd w:id="108"/>
      <w:r/>
      <w:bookmarkEnd w:id="109"/>
      <w:r/>
      <w:bookmarkEnd w:id="110"/>
      <w:r/>
      <w:bookmarkEnd w:id="111"/>
      <w:r/>
      <w:bookmarkStart w:id="112" w:name="_Toc81575163"/>
      <w:r/>
      <w:bookmarkStart w:id="113" w:name="_Toc81575200"/>
      <w:r/>
      <w:bookmarkStart w:id="114" w:name="_Toc31888"/>
      <w:r/>
      <w:bookmarkStart w:id="115" w:name="_Toc12263"/>
      <w:r>
        <w:rPr>
          <w:rFonts w:hint="eastAsia" w:eastAsia="宋体" w:cs="Arial"/>
          <w:bCs/>
          <w:szCs w:val="22"/>
        </w:rPr>
        <w:t xml:space="preserve">质疑与投诉</w:t>
      </w:r>
      <w:bookmarkEnd w:id="112"/>
      <w:r/>
      <w:bookmarkEnd w:id="113"/>
      <w:r/>
      <w:bookmarkEnd w:id="114"/>
      <w:r/>
      <w:bookmarkEnd w:id="115"/>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16" w:name="OLE_LINK2"/>
      <w:r>
        <w:rPr>
          <w:rFonts w:hint="eastAsia" w:ascii="Times New Roman" w:hAnsi="Times New Roman" w:cs="仿宋"/>
          <w:b/>
          <w:bCs/>
          <w:sz w:val="24"/>
        </w:rPr>
        <w:t xml:space="preserve">登录“苏采云”系统，从“项目质疑申请”模块向采购人提出质疑</w:t>
      </w:r>
      <w:bookmarkEnd w:id="116"/>
      <w:r>
        <w:rPr>
          <w:rFonts w:hint="eastAsia" w:ascii="Times New Roman" w:hAnsi="Times New Roman" w:cs="仿宋"/>
          <w:b/>
          <w:bCs/>
          <w:sz w:val="24"/>
        </w:rPr>
        <w:t xml:space="preserve">。</w:t>
      </w:r>
      <w:bookmarkStart w:id="117" w:name="OLE_LINK1"/>
      <w:r>
        <w:rPr>
          <w:rFonts w:hint="eastAsia" w:ascii="Times New Roman" w:hAnsi="Times New Roman" w:cs="仿宋"/>
          <w:sz w:val="24"/>
        </w:rPr>
        <w:t xml:space="preserve">质疑联系部门、联系电话、通讯地址详见采购公告。</w:t>
      </w:r>
      <w:bookmarkEnd w:id="117"/>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hint="eastAsia" w:ascii="Times New Roman" w:hAnsi="Times New Roman" w:cs="仿宋"/>
          <w:sz w:val="24"/>
        </w:rPr>
      </w:pPr>
      <w:r>
        <w:rPr>
          <w:rFonts w:hint="eastAsia" w:ascii="Times New Roman" w:hAnsi="Times New Roman" w:cs="仿宋"/>
          <w:sz w:val="24"/>
        </w:rPr>
      </w:r>
      <w:r/>
    </w:p>
    <w:p>
      <w:pPr>
        <w:pStyle w:val="775"/>
        <w:jc w:val="center"/>
        <w:spacing w:before="200"/>
      </w:pPr>
      <w:r/>
      <w:bookmarkStart w:id="118" w:name="EB4d341233595e4bf8ad7006b4bd78d974"/>
      <w:r/>
      <w:bookmarkEnd w:id="118"/>
      <w:r/>
      <w:bookmarkStart w:id="119" w:name="_Toc81575164"/>
      <w:r/>
      <w:bookmarkStart w:id="120" w:name="_Toc81575201"/>
      <w:r/>
      <w:bookmarkStart w:id="121" w:name="_Hlk166141273"/>
      <w:r>
        <w:rPr>
          <w:rFonts w:hint="eastAsia"/>
        </w:rPr>
        <w:br w:type="page" w:clear="all"/>
      </w:r>
      <w:bookmarkStart w:id="122" w:name="_Toc17961"/>
      <w:r>
        <w:rPr>
          <w:rFonts w:hint="eastAsia" w:ascii="Calibri" w:hAnsi="Calibri" w:eastAsia="宋体" w:cs="Times New Roman"/>
          <w:b/>
          <w:sz w:val="44"/>
          <w:szCs w:val="44"/>
        </w:rPr>
        <w:t xml:space="preserve">第三章  资格审查及评标</w:t>
      </w:r>
      <w:bookmarkEnd w:id="119"/>
      <w:r/>
      <w:bookmarkEnd w:id="120"/>
      <w:r>
        <w:rPr>
          <w:rFonts w:hint="eastAsia" w:ascii="Calibri" w:hAnsi="Calibri" w:eastAsia="宋体" w:cs="Times New Roman"/>
          <w:b/>
          <w:sz w:val="44"/>
          <w:szCs w:val="44"/>
        </w:rPr>
        <w:t xml:space="preserve">方法</w:t>
      </w:r>
      <w:bookmarkEnd w:id="122"/>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78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投标函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00" w:lineRule="exact"/>
              <w:rPr>
                <w:rFonts w:hint="eastAsia" w:ascii="Times New Roman" w:hAnsi="Times New Roman" w:cs="仿宋"/>
              </w:rPr>
            </w:pPr>
            <w:r>
              <w:rPr>
                <w:rFonts w:hint="eastAsia" w:ascii="Times New Roman" w:hAnsi="Times New Roman" w:cs="仿宋"/>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00" w:lineRule="exact"/>
              <w:rPr>
                <w:rFonts w:hint="eastAsia"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78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人员配备承诺函</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hint="eastAsia" w:ascii="Times New Roman" w:hAnsi="Times New Roman" w:cs="仿宋"/>
          <w:color w:val="ff0000"/>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p>
    <w:p>
      <w:pPr>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四、评标标准</w:t>
      </w:r>
      <w:r/>
    </w:p>
    <w:tbl>
      <w:tblPr>
        <w:tblStyle w:val="785"/>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1028"/>
        <w:gridCol w:w="6431"/>
      </w:tblGrid>
      <w:tr>
        <w:trPr>
          <w:jc w:val="center"/>
          <w:trHeight w:val="572"/>
        </w:trPr>
        <w:tc>
          <w:tcPr>
            <w:tcW w:w="1646" w:type="dxa"/>
            <w:vAlign w:val="center"/>
            <w:textDirection w:val="lrTb"/>
            <w:noWrap w:val="false"/>
          </w:tcPr>
          <w:p>
            <w:pPr>
              <w:jc w:val="center"/>
              <w:widowControl/>
              <w:rPr>
                <w:rFonts w:ascii="Times New Roman" w:hAnsi="Times New Roman" w:cs="宋体"/>
                <w:color w:val="000000"/>
                <w:sz w:val="24"/>
                <w:szCs w:val="24"/>
              </w:rPr>
            </w:pPr>
            <w:r/>
            <w:bookmarkStart w:id="123" w:name="RANGE!A1"/>
            <w:r/>
            <w:bookmarkStart w:id="124" w:name="_Toc2916"/>
            <w:r/>
            <w:bookmarkStart w:id="125" w:name="_Toc81575205"/>
            <w:r/>
            <w:bookmarkStart w:id="126" w:name="_Toc12255"/>
            <w:r/>
            <w:bookmarkStart w:id="127" w:name="_Toc81575168"/>
            <w:r/>
            <w:bookmarkStart w:id="128" w:name="_Toc14442"/>
            <w:r>
              <w:rPr>
                <w:rFonts w:hint="eastAsia" w:ascii="Times New Roman" w:hAnsi="Times New Roman" w:cs="宋体"/>
                <w:color w:val="000000"/>
                <w:sz w:val="24"/>
                <w:szCs w:val="24"/>
              </w:rPr>
              <w:t xml:space="preserve">评审因素</w:t>
            </w:r>
            <w:r/>
          </w:p>
        </w:tc>
        <w:tc>
          <w:tcPr>
            <w:tcW w:w="1028" w:type="dxa"/>
            <w:vAlign w:val="center"/>
            <w:textDirection w:val="lrTb"/>
            <w:noWrap w:val="false"/>
          </w:tcPr>
          <w:p>
            <w:pPr>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分数</w:t>
            </w:r>
            <w:r/>
          </w:p>
        </w:tc>
        <w:tc>
          <w:tcPr>
            <w:tcW w:w="6431" w:type="dxa"/>
            <w:vAlign w:val="center"/>
            <w:textDirection w:val="lrTb"/>
            <w:noWrap w:val="false"/>
          </w:tcPr>
          <w:p>
            <w:pPr>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评审标准</w:t>
            </w:r>
            <w:r/>
          </w:p>
        </w:tc>
      </w:tr>
      <w:tr>
        <w:trPr>
          <w:jc w:val="center"/>
          <w:trHeight w:val="274"/>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投标报价</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25.00分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采用低价优先法计算，即满足招标文件要求且投标价格最低的投标报价为评标基准价，其价格分为满分。其他投标人投标报价得分＝（评标基准价/投标报价）*25。</w:t>
            </w:r>
            <w:r/>
          </w:p>
        </w:tc>
      </w:tr>
      <w:tr>
        <w:trPr>
          <w:jc w:val="center"/>
          <w:trHeight w:val="302"/>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服务要求承诺（一）及相关服务方案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14.00分</w:t>
            </w:r>
            <w:r/>
          </w:p>
        </w:tc>
        <w:tc>
          <w:tcPr>
            <w:tcW w:w="6431" w:type="dxa"/>
            <w:vAlign w:val="center"/>
            <w:textDirection w:val="lrTb"/>
            <w:noWrap w:val="false"/>
          </w:tcPr>
          <w:p>
            <w:pPr>
              <w:spacing w:line="400" w:lineRule="exact"/>
              <w:widowControl/>
              <w:rPr>
                <w:rFonts w:ascii="Times New Roman" w:hAnsi="Times New Roman"/>
                <w:color w:val="000000"/>
                <w:highlight w:val="yellow"/>
              </w:rPr>
            </w:pPr>
            <w:r>
              <w:rPr>
                <w:rFonts w:hint="eastAsia" w:ascii="Times New Roman" w:hAnsi="Times New Roman" w:cs="宋体"/>
                <w:color w:val="000000"/>
                <w:szCs w:val="24"/>
              </w:rPr>
              <w:t xml:space="preserve">1.投标人承诺中标后按照“第四部分、采购需求-三、物业管理服务内容及标准-3.1基本服务、3.2保洁服务、3.3保安服务”标准服务的，得13分。注：投标文件中需提供加盖本单位公章的承诺函电子件，格式见招</w:t>
            </w:r>
            <w:r>
              <w:rPr>
                <w:rFonts w:hint="eastAsia" w:ascii="Times New Roman" w:hAnsi="Times New Roman"/>
                <w:color w:val="000000"/>
              </w:rPr>
              <w:t xml:space="preserve">标文件“第六部分”，未提供不得分。</w:t>
            </w:r>
            <w:r/>
          </w:p>
          <w:p>
            <w:pPr>
              <w:spacing w:line="400" w:lineRule="exact"/>
              <w:widowControl/>
              <w:rPr>
                <w:rFonts w:ascii="Times New Roman" w:hAnsi="Times New Roman"/>
                <w:color w:val="000000"/>
              </w:rPr>
            </w:pPr>
            <w:r>
              <w:rPr>
                <w:rFonts w:hint="eastAsia" w:ascii="Times New Roman" w:hAnsi="Times New Roman" w:cs="宋体"/>
                <w:color w:val="000000"/>
                <w:szCs w:val="24"/>
              </w:rPr>
              <w:t xml:space="preserve">2.投标人</w:t>
            </w:r>
            <w:r>
              <w:rPr>
                <w:rFonts w:hint="eastAsia" w:ascii="Times New Roman" w:hAnsi="Times New Roman"/>
                <w:color w:val="000000"/>
              </w:rPr>
              <w:t xml:space="preserve">对</w:t>
            </w:r>
            <w:r>
              <w:rPr>
                <w:rFonts w:hint="eastAsia" w:ascii="Times New Roman" w:hAnsi="Times New Roman" w:cs="宋体"/>
                <w:color w:val="000000"/>
                <w:szCs w:val="24"/>
              </w:rPr>
              <w:t xml:space="preserve">3.1基本服务、3.2保洁服务、3.3保安服务</w:t>
            </w:r>
            <w:r>
              <w:rPr>
                <w:rFonts w:hint="eastAsia" w:ascii="Times New Roman" w:hAnsi="Times New Roman"/>
                <w:color w:val="000000"/>
              </w:rPr>
              <w:t xml:space="preserve">的采购需求内容，自行提供上述服务方案，服务方案全部优于采购需求的，得1分；未提供不得分。</w:t>
            </w:r>
            <w:r/>
          </w:p>
        </w:tc>
      </w:tr>
      <w:tr>
        <w:trPr>
          <w:jc w:val="center"/>
          <w:trHeight w:val="1751"/>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服务要求承诺（二）及相关服务方案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14.00分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1.投标人承诺中标后按照“第四部分、采购需求-三、物业管理服务内容及标准-3.4消防服务、3.5供配电系统维护服务”的标准服务的，得13分。注：投标文件中需提供加盖本单位公章的承诺函电子件，格式见招标文件“第六部分”，未提供不得分。</w:t>
            </w:r>
            <w:r/>
          </w:p>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2.投标人对3.4消防服务、3.5供配电系统维护服务的采购需求内容，自行提供上述服务方案，服务方案全部优于采购需求的，得1分；未提供不得分。</w:t>
            </w:r>
            <w:r/>
          </w:p>
        </w:tc>
      </w:tr>
      <w:tr>
        <w:trPr>
          <w:jc w:val="center"/>
          <w:trHeight w:val="819"/>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考核标准承诺</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14.00分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投标人承诺中标后按照第四部分、采购需求中“五、考核标准”要求实施，得14分。</w:t>
            </w:r>
            <w:r/>
          </w:p>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注：投标文件中需提供加盖本单位公章的承诺函电子件，格式见招标文件“第六部分”，未提供不得分。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企业业绩</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12.00分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投标人自</w:t>
            </w:r>
            <w:r>
              <w:rPr>
                <w:rFonts w:ascii="Times New Roman" w:hAnsi="Times New Roman" w:cs="宋体"/>
                <w:color w:val="000000"/>
                <w:szCs w:val="24"/>
              </w:rPr>
              <w:t xml:space="preserve">202</w:t>
            </w:r>
            <w:r>
              <w:rPr>
                <w:rFonts w:hint="eastAsia" w:ascii="Times New Roman" w:hAnsi="Times New Roman" w:cs="宋体"/>
                <w:color w:val="000000"/>
                <w:szCs w:val="24"/>
              </w:rPr>
              <w:t xml:space="preserve">3年</w:t>
            </w:r>
            <w:r>
              <w:rPr>
                <w:rFonts w:ascii="Times New Roman" w:hAnsi="Times New Roman" w:cs="宋体"/>
                <w:color w:val="000000"/>
                <w:szCs w:val="24"/>
              </w:rPr>
              <w:t xml:space="preserve">1</w:t>
            </w:r>
            <w:r>
              <w:rPr>
                <w:rFonts w:hint="eastAsia" w:ascii="Times New Roman" w:hAnsi="Times New Roman" w:cs="宋体"/>
                <w:color w:val="000000"/>
                <w:szCs w:val="24"/>
              </w:rPr>
              <w:t xml:space="preserve">月</w:t>
            </w:r>
            <w:r>
              <w:rPr>
                <w:rFonts w:ascii="Times New Roman" w:hAnsi="Times New Roman" w:cs="宋体"/>
                <w:color w:val="000000"/>
                <w:szCs w:val="24"/>
              </w:rPr>
              <w:t xml:space="preserve">1</w:t>
            </w:r>
            <w:r>
              <w:rPr>
                <w:rFonts w:hint="eastAsia" w:ascii="Times New Roman" w:hAnsi="Times New Roman" w:cs="宋体"/>
                <w:color w:val="000000"/>
                <w:szCs w:val="24"/>
              </w:rPr>
              <w:t xml:space="preserve">日以来（以合同签订时间为准），具有类似非住宅物业服务项目业绩（服务合同中至少包含保洁和保安），每有一个得</w:t>
            </w:r>
            <w:r>
              <w:rPr>
                <w:rFonts w:ascii="Times New Roman" w:hAnsi="Times New Roman" w:cs="宋体"/>
                <w:color w:val="000000"/>
                <w:szCs w:val="24"/>
              </w:rPr>
              <w:t xml:space="preserve">3</w:t>
            </w:r>
            <w:r>
              <w:rPr>
                <w:rFonts w:hint="eastAsia" w:ascii="Times New Roman" w:hAnsi="Times New Roman" w:cs="宋体"/>
                <w:color w:val="000000"/>
                <w:szCs w:val="24"/>
              </w:rPr>
              <w:t xml:space="preserve">分，本项最高得</w:t>
            </w:r>
            <w:r>
              <w:rPr>
                <w:rFonts w:ascii="Times New Roman" w:hAnsi="Times New Roman" w:cs="宋体"/>
                <w:color w:val="000000"/>
                <w:szCs w:val="24"/>
              </w:rPr>
              <w:t xml:space="preserve">12</w:t>
            </w:r>
            <w:r>
              <w:rPr>
                <w:rFonts w:hint="eastAsia" w:ascii="Times New Roman" w:hAnsi="Times New Roman" w:cs="宋体"/>
                <w:color w:val="000000"/>
                <w:szCs w:val="24"/>
              </w:rPr>
              <w:t xml:space="preserve">分。</w:t>
            </w:r>
            <w:r/>
          </w:p>
          <w:p>
            <w:pPr>
              <w:spacing w:line="40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注：</w:t>
            </w:r>
            <w:r>
              <w:rPr>
                <w:rFonts w:ascii="Times New Roman" w:hAnsi="Times New Roman" w:cs="宋体"/>
                <w:color w:val="000000"/>
                <w:szCs w:val="24"/>
              </w:rPr>
              <w:t xml:space="preserve">1</w:t>
            </w:r>
            <w:r>
              <w:rPr>
                <w:rFonts w:hint="eastAsia" w:ascii="Times New Roman" w:hAnsi="Times New Roman" w:cs="宋体"/>
                <w:color w:val="000000"/>
                <w:szCs w:val="24"/>
              </w:rPr>
              <w:t xml:space="preserve">、同时提供合同、合同甲方出具的验收合格证明材料（或合同甲方出具的履约评价证明材料）、任意一张合同服务费发票电子件，未提供或提供不齐全不得分；</w:t>
            </w:r>
            <w:r>
              <w:rPr>
                <w:rFonts w:ascii="Times New Roman" w:hAnsi="Times New Roman" w:cs="宋体"/>
                <w:color w:val="000000"/>
                <w:szCs w:val="24"/>
              </w:rPr>
              <w:t xml:space="preserve">2</w:t>
            </w:r>
            <w:r>
              <w:rPr>
                <w:rFonts w:hint="eastAsia" w:ascii="Times New Roman" w:hAnsi="Times New Roman" w:cs="宋体"/>
                <w:color w:val="000000"/>
                <w:szCs w:val="24"/>
              </w:rPr>
              <w:t xml:space="preserve">、合同甲方出具的履约评价中出现“不满意”或“差”或“不合格”或同等意思表达的，该业绩不得分。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相关证书</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3.00分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投标人具有有效期内的质量管理体系认证证书、环境管理体系认证证书、职业健康安全管理体系认证证书，每有一项得1分，本项最高得3分。</w:t>
            </w:r>
            <w:r/>
          </w:p>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注：提供上述相关证书电子件和在国家市场监督管理总局全国认证认可信息公共服务平台查询认证有效的页面截图，未提供的不得分。</w:t>
            </w:r>
            <w:r/>
          </w:p>
        </w:tc>
      </w:tr>
      <w:tr>
        <w:trPr>
          <w:jc w:val="center"/>
          <w:trHeight w:val="558"/>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重大活动保障及应急预案</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4.00分</w:t>
            </w:r>
            <w:r/>
          </w:p>
        </w:tc>
        <w:tc>
          <w:tcPr>
            <w:tcW w:w="6431" w:type="dxa"/>
            <w:vAlign w:val="center"/>
            <w:textDirection w:val="lrTb"/>
            <w:noWrap w:val="false"/>
          </w:tcPr>
          <w:p>
            <w:pPr>
              <w:spacing w:line="400" w:lineRule="exact"/>
              <w:widowControl/>
              <w:rPr>
                <w:rFonts w:ascii="Times New Roman" w:hAnsi="Times New Roman" w:cs="宋体"/>
                <w:szCs w:val="24"/>
              </w:rPr>
            </w:pPr>
            <w:r>
              <w:rPr>
                <w:rFonts w:hint="eastAsia" w:ascii="Times New Roman" w:hAnsi="Times New Roman" w:cs="宋体"/>
                <w:color w:val="000000"/>
                <w:szCs w:val="24"/>
              </w:rPr>
              <w:t xml:space="preserve">根据投标人提供的重大活动保障及应急预案（包括</w:t>
            </w:r>
            <w:r>
              <w:rPr>
                <w:rFonts w:hint="eastAsia" w:ascii="Times New Roman" w:hAnsi="Times New Roman" w:cs="宋体"/>
                <w:color w:val="000000"/>
                <w:szCs w:val="24"/>
                <w:lang w:val="zh-CN"/>
              </w:rPr>
              <w:t xml:space="preserve">制订流程</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实施保障</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重点区域及安全隐患排查以及应急预案的建立等</w:t>
            </w:r>
            <w:r>
              <w:rPr>
                <w:rFonts w:hint="eastAsia" w:ascii="Times New Roman" w:hAnsi="Times New Roman" w:cs="宋体"/>
                <w:color w:val="000000"/>
                <w:szCs w:val="24"/>
              </w:rPr>
              <w:t xml:space="preserve">）进行打分。优于采购需求得4分；满足采购需求得2.5分；没有内容不得分。</w:t>
            </w:r>
            <w:r/>
          </w:p>
        </w:tc>
      </w:tr>
      <w:tr>
        <w:trPr>
          <w:jc w:val="center"/>
          <w:trHeight w:val="506"/>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设备、工具、服装要求</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4.00分</w:t>
            </w:r>
            <w:r/>
          </w:p>
        </w:tc>
        <w:tc>
          <w:tcPr>
            <w:tcW w:w="6431" w:type="dxa"/>
            <w:vAlign w:val="center"/>
            <w:textDirection w:val="lrTb"/>
            <w:noWrap w:val="false"/>
          </w:tcPr>
          <w:p>
            <w:pPr>
              <w:spacing w:line="400" w:lineRule="exact"/>
              <w:widowControl/>
              <w:rPr>
                <w:rFonts w:ascii="Times New Roman" w:hAnsi="Times New Roman" w:cs="宋体"/>
                <w:szCs w:val="24"/>
              </w:rPr>
            </w:pPr>
            <w:r>
              <w:rPr>
                <w:rFonts w:hint="eastAsia" w:ascii="Times New Roman" w:hAnsi="Times New Roman" w:cs="宋体"/>
                <w:szCs w:val="24"/>
              </w:rPr>
              <w:t xml:space="preserve">在满足采购需求基础之上，根据投标人对拟投入本项目服务的设备、工具、服装方面打分。优于采购需求得</w:t>
            </w:r>
            <w:r>
              <w:rPr>
                <w:rFonts w:hint="eastAsia" w:ascii="Times New Roman" w:hAnsi="Times New Roman" w:cs="宋体"/>
                <w:color w:val="ff0000"/>
                <w:szCs w:val="24"/>
              </w:rPr>
              <w:t xml:space="preserve">4</w:t>
            </w:r>
            <w:r>
              <w:rPr>
                <w:rFonts w:hint="eastAsia" w:ascii="Times New Roman" w:hAnsi="Times New Roman" w:cs="宋体"/>
                <w:szCs w:val="24"/>
              </w:rPr>
              <w:t xml:space="preserve">分；满足采购需求得2.5分；没有内容不得分。</w:t>
            </w:r>
            <w:r/>
          </w:p>
        </w:tc>
      </w:tr>
      <w:tr>
        <w:trPr>
          <w:jc w:val="center"/>
          <w:trHeight w:val="90"/>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进退场交接</w:t>
            </w:r>
            <w:r/>
          </w:p>
          <w:p>
            <w:pPr>
              <w:jc w:val="center"/>
              <w:widowControl/>
              <w:rPr>
                <w:rFonts w:ascii="Times New Roman" w:hAnsi="Times New Roman" w:cs="宋体"/>
                <w:szCs w:val="21"/>
              </w:rPr>
            </w:pPr>
            <w:r>
              <w:rPr>
                <w:rFonts w:hint="eastAsia" w:ascii="Times New Roman" w:hAnsi="Times New Roman" w:cs="宋体"/>
                <w:szCs w:val="21"/>
              </w:rPr>
              <w:t xml:space="preserve">方案</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3.00分</w:t>
            </w:r>
            <w:r/>
          </w:p>
        </w:tc>
        <w:tc>
          <w:tcPr>
            <w:tcW w:w="6431" w:type="dxa"/>
            <w:vAlign w:val="center"/>
            <w:textDirection w:val="lrTb"/>
            <w:noWrap w:val="false"/>
          </w:tcPr>
          <w:p>
            <w:pPr>
              <w:spacing w:line="400" w:lineRule="exact"/>
              <w:widowControl/>
              <w:rPr>
                <w:rFonts w:ascii="Times New Roman" w:hAnsi="Times New Roman" w:cs="宋体"/>
                <w:szCs w:val="24"/>
              </w:rPr>
            </w:pPr>
            <w:r>
              <w:rPr>
                <w:rFonts w:hint="eastAsia" w:ascii="Times New Roman" w:hAnsi="Times New Roman" w:cs="宋体"/>
                <w:szCs w:val="24"/>
              </w:rPr>
              <w:t xml:space="preserve">根据投标人提供的进退场交接方案进行打分。优于采购需求得3分；满足采购需求得2分；没有内容不得分。</w:t>
            </w:r>
            <w:r/>
          </w:p>
        </w:tc>
      </w:tr>
      <w:tr>
        <w:trPr>
          <w:jc w:val="center"/>
          <w:trHeight w:val="90"/>
        </w:trPr>
        <w:tc>
          <w:tcPr>
            <w:tcW w:w="1646" w:type="dxa"/>
            <w:vAlign w:val="center"/>
            <w:textDirection w:val="lrTb"/>
            <w:noWrap w:val="false"/>
          </w:tcPr>
          <w:p>
            <w:pPr>
              <w:jc w:val="center"/>
              <w:widowControl/>
              <w:rPr>
                <w:rFonts w:ascii="Times New Roman" w:hAnsi="Times New Roman" w:cs="宋体"/>
                <w:color w:val="ff0000"/>
                <w:szCs w:val="24"/>
              </w:rPr>
            </w:pPr>
            <w:r>
              <w:rPr>
                <w:rFonts w:hint="eastAsia" w:ascii="Times New Roman" w:hAnsi="Times New Roman" w:cs="宋体"/>
                <w:szCs w:val="21"/>
              </w:rPr>
              <w:t xml:space="preserve">项目组成员</w:t>
            </w:r>
            <w:r/>
          </w:p>
        </w:tc>
        <w:tc>
          <w:tcPr>
            <w:tcW w:w="1028" w:type="dxa"/>
            <w:vAlign w:val="center"/>
            <w:textDirection w:val="lrTb"/>
            <w:noWrap w:val="false"/>
          </w:tcPr>
          <w:p>
            <w:pPr>
              <w:jc w:val="center"/>
              <w:widowControl/>
              <w:rPr>
                <w:rFonts w:ascii="Times New Roman" w:hAnsi="Times New Roman" w:cs="宋体"/>
                <w:color w:val="ff0000"/>
                <w:szCs w:val="24"/>
              </w:rPr>
            </w:pPr>
            <w:r>
              <w:rPr>
                <w:rFonts w:hint="eastAsia" w:ascii="Times New Roman" w:hAnsi="Times New Roman" w:cs="宋体"/>
                <w:szCs w:val="21"/>
              </w:rPr>
              <w:t xml:space="preserve">6.00分</w:t>
            </w:r>
            <w:r/>
          </w:p>
        </w:tc>
        <w:tc>
          <w:tcPr>
            <w:tcW w:w="6431" w:type="dxa"/>
            <w:vAlign w:val="center"/>
            <w:textDirection w:val="lrTb"/>
            <w:noWrap w:val="false"/>
          </w:tcPr>
          <w:p>
            <w:pPr>
              <w:spacing w:line="40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1.投标人对本项目拟派的项目经理具有大专学历的，得2分，本科及以上学历的，得4分。</w:t>
            </w:r>
            <w:r/>
          </w:p>
          <w:p>
            <w:pPr>
              <w:spacing w:line="400" w:lineRule="exact"/>
              <w:widowControl/>
              <w:rPr>
                <w:rFonts w:ascii="Times New Roman" w:hAnsi="Times New Roman" w:cs="宋体"/>
                <w:color w:val="ff0000"/>
                <w:szCs w:val="24"/>
              </w:rPr>
            </w:pPr>
            <w:r>
              <w:rPr>
                <w:rFonts w:hint="eastAsia" w:ascii="Times New Roman" w:hAnsi="Times New Roman" w:cs="宋体"/>
                <w:color w:val="000000"/>
                <w:szCs w:val="24"/>
              </w:rPr>
              <w:t xml:space="preserve">2.投</w:t>
            </w:r>
            <w:r>
              <w:rPr>
                <w:rFonts w:hint="eastAsia" w:ascii="Times New Roman" w:hAnsi="Times New Roman" w:eastAsia="宋体" w:cs="宋体"/>
                <w:color w:val="000000"/>
                <w:szCs w:val="24"/>
              </w:rPr>
              <w:t xml:space="preserve">标人对本项目拟派的</w:t>
            </w:r>
            <w:r>
              <w:rPr>
                <w:rFonts w:hint="eastAsia" w:ascii="Times New Roman" w:hAnsi="Times New Roman" w:eastAsia="宋体" w:cs="宋体"/>
                <w:color w:val="000000"/>
                <w:szCs w:val="24"/>
                <w:lang w:val="en-US" w:eastAsia="zh-CN"/>
              </w:rPr>
              <w:t xml:space="preserve">消防员年龄优势：</w:t>
            </w:r>
            <w:r>
              <w:rPr>
                <w:rFonts w:hint="eastAsia" w:ascii="Times New Roman" w:hAnsi="Times New Roman" w:eastAsia="宋体" w:cs="宋体"/>
                <w:color w:val="000000"/>
                <w:szCs w:val="24"/>
              </w:rPr>
              <w:t xml:space="preserve">男5</w:t>
            </w:r>
            <w:r>
              <w:rPr>
                <w:rFonts w:hint="eastAsia" w:ascii="Times New Roman" w:hAnsi="Times New Roman" w:eastAsia="宋体" w:cs="宋体"/>
                <w:color w:val="000000"/>
                <w:szCs w:val="24"/>
                <w:lang w:val="en-US" w:eastAsia="zh-CN"/>
              </w:rPr>
              <w:t xml:space="preserve">0</w:t>
            </w:r>
            <w:r>
              <w:rPr>
                <w:rFonts w:hint="eastAsia" w:ascii="Times New Roman" w:hAnsi="Times New Roman" w:eastAsia="宋体" w:cs="宋体"/>
                <w:color w:val="000000"/>
                <w:szCs w:val="24"/>
              </w:rPr>
              <w:t xml:space="preserve">周岁（含）以下，女</w:t>
            </w:r>
            <w:r>
              <w:rPr>
                <w:rFonts w:hint="eastAsia" w:ascii="Times New Roman" w:hAnsi="Times New Roman" w:eastAsia="宋体" w:cs="宋体"/>
                <w:color w:val="000000"/>
                <w:szCs w:val="24"/>
                <w:lang w:val="en-US" w:eastAsia="zh-CN"/>
              </w:rPr>
              <w:t xml:space="preserve">45</w:t>
            </w:r>
            <w:r>
              <w:rPr>
                <w:rFonts w:hint="eastAsia" w:ascii="Times New Roman" w:hAnsi="Times New Roman" w:eastAsia="宋体" w:cs="宋体"/>
                <w:color w:val="000000"/>
                <w:szCs w:val="24"/>
              </w:rPr>
              <w:t xml:space="preserve">周岁（含）以下</w:t>
            </w:r>
            <w:r>
              <w:rPr>
                <w:rFonts w:hint="eastAsia" w:ascii="Times New Roman" w:hAnsi="Times New Roman" w:eastAsia="宋体" w:cs="宋体"/>
                <w:color w:val="000000"/>
                <w:szCs w:val="24"/>
                <w:lang w:eastAsia="zh-CN"/>
              </w:rPr>
              <w:t xml:space="preserve">，</w:t>
            </w:r>
            <w:r>
              <w:rPr>
                <w:rFonts w:hint="eastAsia" w:ascii="Times New Roman" w:hAnsi="Times New Roman" w:eastAsia="宋体" w:cs="宋体"/>
                <w:color w:val="000000"/>
                <w:szCs w:val="24"/>
              </w:rPr>
              <w:t xml:space="preserve">符合条件的每有1人得</w:t>
            </w:r>
            <w:r>
              <w:rPr>
                <w:rFonts w:hint="eastAsia" w:ascii="Times New Roman" w:hAnsi="Times New Roman" w:eastAsia="宋体" w:cs="宋体"/>
                <w:color w:val="000000"/>
                <w:szCs w:val="24"/>
                <w:lang w:val="en-US" w:eastAsia="zh-CN"/>
              </w:rPr>
              <w:t xml:space="preserve">1</w:t>
            </w:r>
            <w:r>
              <w:rPr>
                <w:rFonts w:hint="eastAsia" w:ascii="Times New Roman" w:hAnsi="Times New Roman" w:eastAsia="宋体" w:cs="宋体"/>
                <w:color w:val="000000"/>
                <w:szCs w:val="24"/>
              </w:rPr>
              <w:t xml:space="preserve">分，最高得</w:t>
            </w:r>
            <w:r>
              <w:rPr>
                <w:rFonts w:hint="eastAsia" w:ascii="Times New Roman" w:hAnsi="Times New Roman" w:eastAsia="宋体" w:cs="宋体"/>
                <w:color w:val="000000"/>
                <w:szCs w:val="24"/>
                <w:lang w:val="en-US" w:eastAsia="zh-CN"/>
              </w:rPr>
              <w:t xml:space="preserve">2</w:t>
            </w:r>
            <w:r>
              <w:rPr>
                <w:rFonts w:hint="eastAsia" w:ascii="Times New Roman" w:hAnsi="Times New Roman" w:eastAsia="宋体" w:cs="宋体"/>
                <w:color w:val="000000"/>
                <w:szCs w:val="24"/>
              </w:rPr>
              <w:t xml:space="preserve">分。</w:t>
            </w:r>
            <w:r/>
          </w:p>
          <w:p>
            <w:pPr>
              <w:spacing w:line="400" w:lineRule="exact"/>
              <w:widowControl/>
              <w:rPr>
                <w:rFonts w:ascii="Times New Roman" w:hAnsi="Times New Roman" w:cs="宋体"/>
                <w:szCs w:val="24"/>
              </w:rPr>
            </w:pPr>
            <w:r>
              <w:rPr>
                <w:rFonts w:hint="eastAsia" w:ascii="Times New Roman" w:hAnsi="Times New Roman" w:cs="宋体"/>
                <w:color w:val="000000"/>
                <w:szCs w:val="24"/>
              </w:rPr>
              <w:t xml:space="preserve">注：1、以上人员年龄均以居民身份证为准；2、提供上述证明资料电子件及</w:t>
            </w:r>
            <w:r>
              <w:rPr>
                <w:rFonts w:ascii="Times New Roman" w:hAnsi="Times New Roman" w:cs="宋体"/>
                <w:color w:val="000000"/>
                <w:szCs w:val="24"/>
              </w:rPr>
              <w:t xml:space="preserve">202</w:t>
            </w:r>
            <w:r>
              <w:rPr>
                <w:rFonts w:hint="eastAsia" w:ascii="Times New Roman" w:hAnsi="Times New Roman" w:cs="宋体"/>
                <w:color w:val="000000"/>
                <w:szCs w:val="24"/>
              </w:rPr>
              <w:t xml:space="preserve">6年2月（含）以来投标人为以上人员缴纳的任意一个月社保证明（以社保主管部门出具的证明材料为准），未按要求提供或提供不全的不得分。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服务费用分配方案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根据投标人分项报价表中所列的各项费用提供费用分配方案和费用测算分析说明，对分配方案和测算分析说明进行打分。有利于保障并提高服务质量，优于采购需求的得1分，能够实现采购需求的得0.5分，其他不得分。分项报价表中如出现“主动让利、优惠、折扣”等视为报价不合理，本项不得分。</w:t>
            </w:r>
            <w:bookmarkEnd w:id="123"/>
            <w:r/>
            <w:r/>
          </w:p>
        </w:tc>
      </w:tr>
    </w:tbl>
    <w:p>
      <w:pPr>
        <w:pStyle w:val="775"/>
        <w:jc w:val="center"/>
        <w:rPr>
          <w:rFonts w:hint="eastAsia" w:ascii="黑体" w:hAnsi="黑体" w:eastAsia="黑体" w:cs="黑体"/>
          <w:sz w:val="44"/>
          <w:szCs w:val="44"/>
        </w:rPr>
      </w:pPr>
      <w:r/>
      <w:bookmarkStart w:id="129" w:name="_Toc2628"/>
      <w:r/>
      <w:r/>
    </w:p>
    <w:p>
      <w:pPr>
        <w:pStyle w:val="775"/>
        <w:rPr>
          <w:rFonts w:hint="eastAsia" w:ascii="黑体" w:hAnsi="黑体" w:eastAsia="黑体" w:cs="黑体"/>
          <w:sz w:val="44"/>
          <w:szCs w:val="44"/>
        </w:rPr>
      </w:pPr>
      <w:r>
        <w:rPr>
          <w:rFonts w:hint="eastAsia" w:ascii="黑体" w:hAnsi="黑体" w:eastAsia="黑体" w:cs="黑体"/>
          <w:sz w:val="44"/>
          <w:szCs w:val="44"/>
        </w:rPr>
      </w:r>
      <w:r/>
    </w:p>
    <w:p>
      <w:pPr>
        <w:rPr>
          <w:rFonts w:hint="eastAsia" w:ascii="黑体" w:hAnsi="黑体" w:eastAsia="黑体" w:cs="黑体"/>
          <w:sz w:val="44"/>
          <w:szCs w:val="44"/>
        </w:rPr>
      </w:pPr>
      <w:r>
        <w:rPr>
          <w:rFonts w:hint="eastAsia" w:ascii="黑体" w:hAnsi="黑体" w:eastAsia="黑体" w:cs="黑体"/>
          <w:sz w:val="44"/>
          <w:szCs w:val="44"/>
        </w:rPr>
      </w:r>
      <w:r>
        <w:rPr>
          <w:rFonts w:hint="eastAsia" w:ascii="黑体" w:hAnsi="黑体" w:eastAsia="黑体" w:cs="黑体"/>
          <w:sz w:val="44"/>
          <w:szCs w:val="44"/>
        </w:rPr>
      </w:r>
      <w:r/>
    </w:p>
    <w:p>
      <w:pPr>
        <w:rPr>
          <w:rFonts w:hint="eastAsia" w:ascii="黑体" w:hAnsi="黑体" w:eastAsia="黑体" w:cs="黑体"/>
          <w:sz w:val="44"/>
          <w:szCs w:val="44"/>
        </w:rPr>
      </w:pPr>
      <w:r>
        <w:rPr>
          <w:rFonts w:hint="eastAsia" w:ascii="黑体" w:hAnsi="黑体" w:eastAsia="黑体" w:cs="黑体"/>
          <w:sz w:val="44"/>
          <w:szCs w:val="44"/>
        </w:rPr>
      </w:r>
      <w:r>
        <w:rPr>
          <w:rFonts w:hint="eastAsia" w:ascii="黑体" w:hAnsi="黑体" w:eastAsia="黑体" w:cs="黑体"/>
          <w:sz w:val="44"/>
          <w:szCs w:val="44"/>
        </w:rPr>
      </w:r>
      <w:r/>
    </w:p>
    <w:p>
      <w:pPr>
        <w:rPr>
          <w:rFonts w:hint="eastAsia" w:ascii="黑体" w:hAnsi="黑体" w:eastAsia="黑体" w:cs="黑体"/>
          <w:sz w:val="44"/>
          <w:szCs w:val="44"/>
        </w:rPr>
      </w:pPr>
      <w:r>
        <w:rPr>
          <w:rFonts w:hint="eastAsia" w:ascii="黑体" w:hAnsi="黑体" w:eastAsia="黑体" w:cs="黑体"/>
          <w:sz w:val="44"/>
          <w:szCs w:val="44"/>
        </w:rPr>
      </w:r>
      <w:r>
        <w:rPr>
          <w:rFonts w:hint="eastAsia" w:ascii="黑体" w:hAnsi="黑体" w:eastAsia="黑体" w:cs="黑体"/>
          <w:sz w:val="44"/>
          <w:szCs w:val="44"/>
        </w:rPr>
      </w:r>
      <w:r/>
    </w:p>
    <w:p>
      <w:pPr>
        <w:rPr>
          <w:rFonts w:hint="eastAsia" w:ascii="黑体" w:hAnsi="黑体" w:eastAsia="黑体" w:cs="黑体"/>
          <w:sz w:val="44"/>
          <w:szCs w:val="44"/>
        </w:rPr>
      </w:pPr>
      <w:r>
        <w:rPr>
          <w:rFonts w:hint="eastAsia" w:ascii="黑体" w:hAnsi="黑体" w:eastAsia="黑体" w:cs="黑体"/>
          <w:sz w:val="44"/>
          <w:szCs w:val="44"/>
        </w:rPr>
      </w:r>
      <w:r>
        <w:rPr>
          <w:rFonts w:hint="eastAsia" w:ascii="黑体" w:hAnsi="黑体" w:eastAsia="黑体" w:cs="黑体"/>
          <w:sz w:val="44"/>
          <w:szCs w:val="44"/>
        </w:rPr>
      </w:r>
      <w:r/>
    </w:p>
    <w:p>
      <w:pPr>
        <w:rPr>
          <w:rFonts w:hint="eastAsia" w:ascii="黑体" w:hAnsi="黑体" w:eastAsia="黑体" w:cs="黑体"/>
          <w:sz w:val="44"/>
          <w:szCs w:val="44"/>
        </w:rPr>
      </w:pPr>
      <w:r>
        <w:rPr>
          <w:rFonts w:hint="eastAsia" w:ascii="黑体" w:hAnsi="黑体" w:eastAsia="黑体" w:cs="黑体"/>
          <w:sz w:val="44"/>
          <w:szCs w:val="44"/>
        </w:rPr>
      </w:r>
      <w:r>
        <w:rPr>
          <w:rFonts w:hint="eastAsia" w:ascii="黑体" w:hAnsi="黑体" w:eastAsia="黑体" w:cs="黑体"/>
          <w:sz w:val="44"/>
          <w:szCs w:val="44"/>
        </w:rPr>
      </w:r>
      <w:r/>
    </w:p>
    <w:p>
      <w:pPr>
        <w:rPr>
          <w:rFonts w:hint="eastAsia" w:ascii="黑体" w:hAnsi="黑体" w:eastAsia="黑体" w:cs="黑体"/>
          <w:sz w:val="44"/>
          <w:szCs w:val="44"/>
        </w:rPr>
      </w:pPr>
      <w:r>
        <w:rPr>
          <w:rFonts w:hint="eastAsia" w:ascii="黑体" w:hAnsi="黑体" w:eastAsia="黑体" w:cs="黑体"/>
          <w:sz w:val="44"/>
          <w:szCs w:val="44"/>
        </w:rPr>
      </w:r>
      <w:r/>
    </w:p>
    <w:p>
      <w:pPr>
        <w:rPr>
          <w:rFonts w:hint="eastAsia" w:ascii="黑体" w:hAnsi="黑体" w:eastAsia="黑体" w:cs="黑体"/>
          <w:sz w:val="44"/>
          <w:szCs w:val="44"/>
        </w:rPr>
      </w:pPr>
      <w:r>
        <w:rPr>
          <w:rFonts w:hint="eastAsia" w:ascii="黑体" w:hAnsi="黑体" w:eastAsia="黑体" w:cs="黑体"/>
          <w:sz w:val="44"/>
          <w:szCs w:val="44"/>
        </w:rPr>
      </w:r>
      <w:r/>
    </w:p>
    <w:p>
      <w:pPr>
        <w:rPr>
          <w:rFonts w:hint="eastAsia" w:ascii="黑体" w:hAnsi="黑体" w:eastAsia="黑体" w:cs="黑体"/>
          <w:sz w:val="44"/>
          <w:szCs w:val="44"/>
        </w:rPr>
      </w:pPr>
      <w:r>
        <w:rPr>
          <w:rFonts w:hint="eastAsia" w:ascii="黑体" w:hAnsi="黑体" w:eastAsia="黑体" w:cs="黑体"/>
          <w:sz w:val="44"/>
          <w:szCs w:val="44"/>
        </w:rPr>
      </w:r>
      <w:r/>
    </w:p>
    <w:p>
      <w:pPr>
        <w:pStyle w:val="775"/>
        <w:jc w:val="center"/>
        <w:rPr>
          <w:rFonts w:hint="eastAsia" w:ascii="黑体" w:hAnsi="黑体" w:eastAsia="黑体" w:cs="黑体"/>
          <w:sz w:val="44"/>
          <w:szCs w:val="44"/>
        </w:rPr>
      </w:pPr>
      <w:r>
        <w:rPr>
          <w:rFonts w:hint="eastAsia" w:ascii="黑体" w:hAnsi="黑体" w:eastAsia="黑体" w:cs="黑体"/>
          <w:sz w:val="44"/>
          <w:szCs w:val="44"/>
        </w:rPr>
        <w:t xml:space="preserve">第章  采购需求</w:t>
      </w:r>
      <w:bookmarkEnd w:id="129"/>
      <w:r/>
      <w:r/>
    </w:p>
    <w:p>
      <w:pPr>
        <w:pStyle w:val="1086"/>
        <w:spacing w:before="40" w:after="40"/>
        <w:rPr>
          <w:rFonts w:hint="eastAsia" w:ascii="仿宋" w:hAnsi="仿宋" w:eastAsia="仿宋" w:cs="仿宋"/>
          <w:b/>
          <w:bCs/>
          <w:sz w:val="28"/>
          <w:szCs w:val="28"/>
        </w:rPr>
      </w:pPr>
      <w:r>
        <w:rPr>
          <w:rFonts w:hint="eastAsia" w:ascii="仿宋" w:hAnsi="仿宋" w:eastAsia="仿宋" w:cs="仿宋"/>
          <w:b/>
          <w:bCs/>
          <w:sz w:val="28"/>
          <w:szCs w:val="28"/>
        </w:rPr>
      </w:r>
      <w:r/>
    </w:p>
    <w:p>
      <w:pPr>
        <w:pStyle w:val="1086"/>
        <w:spacing w:before="40" w:after="40"/>
        <w:rPr>
          <w:rFonts w:hint="eastAsia" w:ascii="宋体" w:hAnsi="宋体" w:cs="宋体"/>
          <w:b/>
          <w:bCs/>
          <w:sz w:val="28"/>
          <w:szCs w:val="28"/>
        </w:rPr>
      </w:pPr>
      <w:r>
        <w:rPr>
          <w:rFonts w:hint="eastAsia" w:ascii="宋体" w:hAnsi="宋体" w:cs="宋体"/>
          <w:b/>
          <w:bCs/>
          <w:sz w:val="28"/>
          <w:szCs w:val="28"/>
        </w:rPr>
        <w:t xml:space="preserve">采购标的清单</w:t>
      </w:r>
      <w:r/>
    </w:p>
    <w:tbl>
      <w:tblPr>
        <w:tblStyle w:val="785"/>
        <w:tblW w:w="9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5687"/>
        <w:gridCol w:w="2448"/>
      </w:tblGrid>
      <w:tr>
        <w:trPr>
          <w:cantSplit/>
          <w:jc w:val="center"/>
          <w:trHeight w:val="754"/>
        </w:trPr>
        <w:tc>
          <w:tcPr>
            <w:tcW w:w="1603"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568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采购标的</w:t>
            </w:r>
            <w:r/>
          </w:p>
        </w:tc>
        <w:tc>
          <w:tcPr>
            <w:tcW w:w="2448"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对应中小企业划分标准所属行业</w:t>
            </w:r>
            <w:r/>
          </w:p>
        </w:tc>
      </w:tr>
      <w:tr>
        <w:trPr>
          <w:cantSplit/>
          <w:jc w:val="center"/>
          <w:trHeight w:val="774"/>
        </w:trPr>
        <w:tc>
          <w:tcPr>
            <w:tcW w:w="1603" w:type="dxa"/>
            <w:vAlign w:val="center"/>
            <w:textDirection w:val="lrTb"/>
            <w:noWrap w:val="false"/>
          </w:tcPr>
          <w:p>
            <w:pPr>
              <w:jc w:val="center"/>
              <w:spacing w:line="360" w:lineRule="exact"/>
              <w:tabs>
                <w:tab w:val="left" w:pos="2020" w:leader="none"/>
              </w:tabs>
              <w:rPr>
                <w:rFonts w:hint="eastAsia" w:ascii="宋体" w:hAnsi="宋体" w:cs="宋体"/>
                <w:sz w:val="24"/>
                <w:szCs w:val="24"/>
              </w:rPr>
            </w:pPr>
            <w:r>
              <w:rPr>
                <w:rFonts w:hint="eastAsia" w:ascii="宋体" w:hAnsi="宋体" w:cs="宋体"/>
                <w:sz w:val="24"/>
                <w:szCs w:val="24"/>
              </w:rPr>
              <w:t xml:space="preserve">1</w:t>
            </w:r>
            <w:r/>
          </w:p>
        </w:tc>
        <w:tc>
          <w:tcPr>
            <w:tcW w:w="5687" w:type="dxa"/>
            <w:vAlign w:val="center"/>
            <w:textDirection w:val="lrTb"/>
            <w:noWrap w:val="false"/>
          </w:tcPr>
          <w:p>
            <w:pPr>
              <w:jc w:val="center"/>
              <w:spacing w:line="360" w:lineRule="exact"/>
              <w:tabs>
                <w:tab w:val="left" w:pos="2020" w:leader="none"/>
              </w:tabs>
              <w:rPr>
                <w:rFonts w:hint="eastAsia" w:ascii="宋体" w:hAnsi="宋体" w:cs="宋体"/>
                <w:sz w:val="24"/>
                <w:szCs w:val="24"/>
              </w:rPr>
            </w:pPr>
            <w:r>
              <w:rPr>
                <w:rFonts w:hint="eastAsia" w:ascii="宋体" w:hAnsi="宋体" w:cs="宋体"/>
                <w:sz w:val="24"/>
                <w:szCs w:val="24"/>
                <w:highlight w:val="none"/>
              </w:rPr>
              <w:t xml:space="preserve">宿迁市传染病医院、新沂河管理处2026年物业服务采购项目</w:t>
            </w:r>
            <w:r/>
          </w:p>
        </w:tc>
        <w:tc>
          <w:tcPr>
            <w:tcW w:w="2448"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物业管理</w:t>
            </w:r>
            <w:r/>
          </w:p>
        </w:tc>
      </w:tr>
    </w:tbl>
    <w:p>
      <w:pPr>
        <w:pStyle w:val="1086"/>
        <w:spacing w:before="40" w:after="40"/>
        <w:rPr>
          <w:rFonts w:hint="eastAsia" w:ascii="宋体" w:hAnsi="宋体" w:cs="宋体"/>
          <w:b/>
          <w:bCs/>
          <w:sz w:val="32"/>
          <w:szCs w:val="32"/>
        </w:rPr>
      </w:pPr>
      <w:r>
        <w:rPr>
          <w:rFonts w:hint="eastAsia" w:ascii="宋体" w:hAnsi="宋体" w:cs="宋体"/>
          <w:b/>
          <w:bCs/>
          <w:sz w:val="32"/>
          <w:szCs w:val="32"/>
        </w:rPr>
      </w:r>
      <w:r/>
    </w:p>
    <w:p>
      <w:pPr>
        <w:pStyle w:val="1086"/>
        <w:spacing w:before="40" w:after="40"/>
        <w:rPr>
          <w:rFonts w:hint="eastAsia" w:ascii="宋体" w:hAnsi="宋体" w:cs="宋体"/>
          <w:b/>
          <w:bCs/>
          <w:sz w:val="32"/>
          <w:szCs w:val="32"/>
        </w:rPr>
      </w:pPr>
      <w:r>
        <w:rPr>
          <w:rFonts w:hint="eastAsia" w:ascii="宋体" w:hAnsi="宋体" w:cs="宋体"/>
          <w:b/>
          <w:bCs/>
          <w:sz w:val="32"/>
          <w:szCs w:val="32"/>
        </w:rPr>
        <w:t xml:space="preserve">一、项目概况</w:t>
      </w:r>
      <w:r/>
    </w:p>
    <w:tbl>
      <w:tblPr>
        <w:tblStyle w:val="785"/>
        <w:tblW w:w="9795"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52"/>
        <w:gridCol w:w="5343"/>
      </w:tblGrid>
      <w:tr>
        <w:trPr>
          <w:trHeight w:val="270"/>
        </w:trPr>
        <w:tc>
          <w:tcPr>
            <w:gridSpan w:val="2"/>
            <w:tcW w:w="9795" w:type="dxa"/>
            <w:vAlign w:val="center"/>
            <w:textDirection w:val="lrTb"/>
            <w:noWrap/>
          </w:tcPr>
          <w:p>
            <w:pPr>
              <w:spacing w:line="500" w:lineRule="exact"/>
              <w:rPr>
                <w:rFonts w:hint="eastAsia" w:ascii="宋体" w:hAnsi="宋体" w:cs="宋体"/>
                <w:color w:val="000000"/>
                <w:sz w:val="24"/>
                <w:szCs w:val="24"/>
              </w:rPr>
            </w:pPr>
            <w:r>
              <w:rPr>
                <w:rFonts w:hint="eastAsia" w:ascii="宋体" w:hAnsi="宋体" w:cs="宋体"/>
                <w:b/>
                <w:bCs/>
                <w:color w:val="000000"/>
                <w:sz w:val="24"/>
                <w:szCs w:val="24"/>
              </w:rPr>
              <w:t xml:space="preserve">宿迁市传染病医院</w:t>
            </w:r>
            <w:r/>
          </w:p>
        </w:tc>
      </w:tr>
      <w:tr>
        <w:trPr>
          <w:trHeight w:val="270"/>
        </w:trPr>
        <w:tc>
          <w:tcPr>
            <w:gridSpan w:val="2"/>
            <w:tcW w:w="9795" w:type="dxa"/>
            <w:vAlign w:val="center"/>
            <w:textDirection w:val="lrTb"/>
            <w:noWrap/>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1.基本情况</w:t>
            </w:r>
            <w:r/>
          </w:p>
        </w:tc>
      </w:tr>
      <w:tr>
        <w:trPr>
          <w:trHeight w:val="457"/>
        </w:trPr>
        <w:tc>
          <w:tcPr>
            <w:gridSpan w:val="2"/>
            <w:tcW w:w="9795" w:type="dxa"/>
            <w:vAlign w:val="center"/>
            <w:textDirection w:val="lrTb"/>
            <w:noWrap/>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1.1物业情况</w:t>
            </w:r>
            <w:r/>
          </w:p>
        </w:tc>
      </w:tr>
      <w:tr>
        <w:trPr>
          <w:trHeight w:val="270"/>
        </w:trPr>
        <w:tc>
          <w:tcPr>
            <w:tcW w:w="4452" w:type="dxa"/>
            <w:vAlign w:val="center"/>
            <w:textDirection w:val="lrTb"/>
            <w:noWrap/>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物业名称</w:t>
            </w:r>
            <w:r/>
          </w:p>
        </w:tc>
        <w:tc>
          <w:tcPr>
            <w:tcW w:w="5343" w:type="dxa"/>
            <w:vAlign w:val="center"/>
            <w:textDirection w:val="lrTb"/>
            <w:noWrap/>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物业地址</w:t>
            </w:r>
            <w:r/>
          </w:p>
        </w:tc>
      </w:tr>
      <w:tr>
        <w:trPr>
          <w:trHeight w:val="270"/>
        </w:trPr>
        <w:tc>
          <w:tcPr>
            <w:tcW w:w="4452" w:type="dxa"/>
            <w:vAlign w:val="center"/>
            <w:textDirection w:val="lrTb"/>
            <w:noWrap/>
          </w:tcPr>
          <w:p>
            <w:pPr>
              <w:spacing w:line="500" w:lineRule="exact"/>
              <w:rPr>
                <w:rFonts w:hint="eastAsia" w:ascii="宋体" w:hAnsi="宋体" w:cs="宋体"/>
                <w:color w:val="000000"/>
                <w:sz w:val="24"/>
                <w:szCs w:val="24"/>
              </w:rPr>
            </w:pPr>
            <w:r>
              <w:rPr>
                <w:rFonts w:hint="eastAsia" w:ascii="宋体" w:hAnsi="宋体" w:cs="宋体"/>
                <w:sz w:val="24"/>
                <w:szCs w:val="24"/>
              </w:rPr>
              <w:t xml:space="preserve">宿迁市传染病医院2026年度物业服务外包项目</w:t>
            </w:r>
            <w:r/>
          </w:p>
        </w:tc>
        <w:tc>
          <w:tcPr>
            <w:tcW w:w="5343" w:type="dxa"/>
            <w:vAlign w:val="center"/>
            <w:textDirection w:val="lrTb"/>
            <w:noWrap/>
          </w:tcPr>
          <w:p>
            <w:pPr>
              <w:spacing w:line="500" w:lineRule="exact"/>
              <w:rPr>
                <w:rFonts w:hint="eastAsia" w:ascii="宋体" w:hAnsi="宋体" w:cs="宋体"/>
                <w:color w:val="000000"/>
                <w:sz w:val="24"/>
                <w:szCs w:val="24"/>
              </w:rPr>
            </w:pPr>
            <w:r>
              <w:rPr>
                <w:rFonts w:hint="eastAsia" w:ascii="宋体" w:hAnsi="宋体" w:cs="宋体"/>
                <w:sz w:val="24"/>
                <w:szCs w:val="24"/>
              </w:rPr>
              <w:t xml:space="preserve">宿迁市宿新路550号</w:t>
            </w:r>
            <w:r/>
          </w:p>
        </w:tc>
      </w:tr>
      <w:tr>
        <w:trPr>
          <w:trHeight w:val="270"/>
        </w:trPr>
        <w:tc>
          <w:tcPr>
            <w:gridSpan w:val="2"/>
            <w:tcW w:w="9795" w:type="dxa"/>
            <w:vAlign w:val="center"/>
            <w:textDirection w:val="lrTb"/>
            <w:noWrap/>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1.2采购人提供供应商使用的场地、设施、设备、材料等</w:t>
            </w:r>
            <w:r/>
          </w:p>
        </w:tc>
      </w:tr>
      <w:tr>
        <w:trPr>
          <w:trHeight w:val="270"/>
        </w:trPr>
        <w:tc>
          <w:tcPr>
            <w:gridSpan w:val="2"/>
            <w:tcW w:w="9795" w:type="dxa"/>
            <w:vAlign w:val="center"/>
            <w:textDirection w:val="lrTb"/>
            <w:noWrap/>
          </w:tcPr>
          <w:p>
            <w:pPr>
              <w:spacing w:line="460" w:lineRule="exact"/>
              <w:rPr>
                <w:rFonts w:hint="eastAsia" w:ascii="宋体" w:hAnsi="宋体" w:cs="宋体"/>
                <w:color w:val="000000"/>
                <w:sz w:val="24"/>
                <w:szCs w:val="24"/>
              </w:rPr>
            </w:pPr>
            <w:r>
              <w:rPr>
                <w:rFonts w:hint="eastAsia" w:ascii="宋体" w:hAnsi="宋体" w:cs="宋体"/>
                <w:bCs/>
                <w:sz w:val="24"/>
                <w:szCs w:val="24"/>
              </w:rPr>
              <w:t xml:space="preserve">（1）提供物业办公室一间约</w:t>
            </w:r>
            <w:r>
              <w:rPr>
                <w:rFonts w:hint="eastAsia" w:ascii="宋体" w:hAnsi="宋体" w:cs="宋体"/>
                <w:bCs/>
                <w:sz w:val="24"/>
                <w:szCs w:val="24"/>
                <w:u w:val="single"/>
              </w:rPr>
              <w:t xml:space="preserve"> 10  </w:t>
            </w:r>
            <w:r>
              <w:rPr>
                <w:rFonts w:hint="eastAsia" w:ascii="宋体" w:hAnsi="宋体" w:cs="宋体"/>
                <w:bCs/>
                <w:sz w:val="24"/>
                <w:szCs w:val="24"/>
              </w:rPr>
              <w:t xml:space="preserve">平方米，配备普通办公桌椅等；</w:t>
            </w:r>
            <w:r/>
          </w:p>
        </w:tc>
      </w:tr>
      <w:tr>
        <w:trPr>
          <w:trHeight w:val="280"/>
        </w:trPr>
        <w:tc>
          <w:tcPr>
            <w:gridSpan w:val="2"/>
            <w:tcW w:w="9795" w:type="dxa"/>
            <w:vAlign w:val="center"/>
            <w:textDirection w:val="lrTb"/>
            <w:noWrap w:val="false"/>
          </w:tcPr>
          <w:p>
            <w:pPr>
              <w:spacing w:line="460" w:lineRule="exact"/>
              <w:rPr>
                <w:rFonts w:hint="eastAsia" w:ascii="宋体" w:hAnsi="宋体" w:cs="宋体"/>
                <w:color w:val="000000"/>
                <w:sz w:val="24"/>
                <w:szCs w:val="24"/>
              </w:rPr>
            </w:pPr>
            <w:r>
              <w:rPr>
                <w:rFonts w:hint="eastAsia" w:ascii="宋体" w:hAnsi="宋体" w:cs="宋体"/>
                <w:bCs/>
                <w:sz w:val="24"/>
                <w:szCs w:val="24"/>
              </w:rPr>
              <w:t xml:space="preserve">（2）提供的物业管理服务设备，包括1台计算机等；</w:t>
            </w:r>
            <w:r/>
          </w:p>
        </w:tc>
      </w:tr>
      <w:tr>
        <w:trPr>
          <w:trHeight w:val="280"/>
        </w:trPr>
        <w:tc>
          <w:tcPr>
            <w:gridSpan w:val="2"/>
            <w:tcW w:w="9795" w:type="dxa"/>
            <w:vAlign w:val="center"/>
            <w:textDirection w:val="lrTb"/>
            <w:noWrap w:val="false"/>
          </w:tcPr>
          <w:p>
            <w:pPr>
              <w:spacing w:line="460" w:lineRule="exact"/>
              <w:rPr>
                <w:rFonts w:hint="eastAsia" w:ascii="宋体" w:hAnsi="宋体" w:cs="宋体"/>
                <w:color w:val="000000"/>
                <w:sz w:val="24"/>
                <w:szCs w:val="24"/>
              </w:rPr>
            </w:pPr>
            <w:r>
              <w:rPr>
                <w:rFonts w:hint="eastAsia" w:ascii="宋体" w:hAnsi="宋体" w:cs="宋体"/>
                <w:bCs/>
                <w:sz w:val="24"/>
                <w:szCs w:val="24"/>
              </w:rPr>
              <w:t xml:space="preserve">（3）提供零星维修材料；</w:t>
            </w:r>
            <w:r/>
          </w:p>
        </w:tc>
      </w:tr>
      <w:tr>
        <w:trPr>
          <w:trHeight w:val="280"/>
        </w:trPr>
        <w:tc>
          <w:tcPr>
            <w:gridSpan w:val="2"/>
            <w:tcW w:w="9795" w:type="dxa"/>
            <w:vAlign w:val="center"/>
            <w:textDirection w:val="lrTb"/>
            <w:noWrap w:val="false"/>
          </w:tcPr>
          <w:p>
            <w:pPr>
              <w:spacing w:line="460" w:lineRule="exact"/>
              <w:rPr>
                <w:rFonts w:hint="eastAsia" w:ascii="宋体" w:hAnsi="宋体" w:cs="宋体"/>
                <w:color w:val="000000"/>
                <w:sz w:val="24"/>
                <w:szCs w:val="24"/>
              </w:rPr>
            </w:pPr>
            <w:r>
              <w:rPr>
                <w:rFonts w:hint="eastAsia" w:ascii="宋体" w:hAnsi="宋体" w:cs="宋体"/>
                <w:bCs/>
                <w:sz w:val="24"/>
                <w:szCs w:val="24"/>
              </w:rPr>
              <w:t xml:space="preserve">（4）提供的会务用品，如：瓷杯、水壶等；</w:t>
            </w:r>
            <w:r/>
          </w:p>
        </w:tc>
      </w:tr>
      <w:tr>
        <w:trPr>
          <w:trHeight w:val="280"/>
        </w:trPr>
        <w:tc>
          <w:tcPr>
            <w:gridSpan w:val="2"/>
            <w:tcW w:w="9795" w:type="dxa"/>
            <w:vAlign w:val="center"/>
            <w:textDirection w:val="lrTb"/>
            <w:noWrap w:val="false"/>
          </w:tcPr>
          <w:p>
            <w:pPr>
              <w:spacing w:line="460" w:lineRule="exact"/>
              <w:rPr>
                <w:rFonts w:hint="eastAsia" w:ascii="宋体" w:hAnsi="宋体" w:cs="宋体"/>
                <w:sz w:val="24"/>
                <w:szCs w:val="24"/>
              </w:rPr>
            </w:pPr>
            <w:r>
              <w:rPr>
                <w:rFonts w:hint="eastAsia" w:ascii="宋体" w:hAnsi="宋体" w:cs="宋体"/>
                <w:bCs/>
                <w:sz w:val="24"/>
                <w:szCs w:val="24"/>
              </w:rPr>
              <w:t xml:space="preserve">（5）提供的保洁用品：垃圾袋、清洁工具</w:t>
            </w:r>
            <w:r>
              <w:rPr>
                <w:rFonts w:hint="eastAsia" w:ascii="宋体" w:hAnsi="宋体" w:cs="宋体"/>
                <w:bCs/>
                <w:sz w:val="24"/>
                <w:szCs w:val="24"/>
                <w:lang w:bidi="ar"/>
              </w:rPr>
              <w:t xml:space="preserve">等</w:t>
            </w:r>
            <w:r>
              <w:rPr>
                <w:rFonts w:hint="eastAsia" w:ascii="宋体" w:hAnsi="宋体" w:cs="宋体"/>
                <w:bCs/>
                <w:sz w:val="24"/>
                <w:szCs w:val="24"/>
              </w:rPr>
              <w:t xml:space="preserve">；</w:t>
            </w:r>
            <w:r/>
          </w:p>
        </w:tc>
      </w:tr>
    </w:tbl>
    <w:p>
      <w:pPr>
        <w:rPr>
          <w:vanish/>
        </w:rPr>
      </w:pPr>
      <w:r>
        <w:rPr>
          <w:vanish/>
        </w:rPr>
      </w:r>
      <w:r/>
    </w:p>
    <w:tbl>
      <w:tblPr>
        <w:tblStyle w:val="785"/>
        <w:tblpPr w:horzAnchor="page" w:tblpX="1155" w:vertAnchor="text" w:tblpY="275" w:leftFromText="180" w:topFromText="0" w:rightFromText="180" w:bottomFromText="0"/>
        <w:tblW w:w="97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52"/>
        <w:gridCol w:w="5343"/>
      </w:tblGrid>
      <w:tr>
        <w:trPr>
          <w:trHeight w:val="270"/>
        </w:trPr>
        <w:tc>
          <w:tcPr>
            <w:gridSpan w:val="2"/>
            <w:tcW w:w="9795" w:type="dxa"/>
            <w:vAlign w:val="center"/>
            <w:textDirection w:val="lrTb"/>
            <w:noWrap/>
          </w:tcPr>
          <w:p>
            <w:pPr>
              <w:spacing w:line="500" w:lineRule="exact"/>
              <w:rPr>
                <w:rFonts w:hint="eastAsia" w:ascii="宋体" w:hAnsi="宋体" w:cs="宋体"/>
                <w:color w:val="000000"/>
                <w:sz w:val="24"/>
                <w:szCs w:val="24"/>
              </w:rPr>
            </w:pPr>
            <w:r>
              <w:rPr>
                <w:rFonts w:hint="eastAsia" w:ascii="宋体" w:hAnsi="宋体" w:cs="宋体"/>
                <w:b/>
                <w:bCs/>
                <w:color w:val="000000"/>
                <w:sz w:val="24"/>
                <w:szCs w:val="24"/>
              </w:rPr>
              <w:t xml:space="preserve">宿迁市新沂河调度工程管理处</w:t>
            </w:r>
            <w:r/>
          </w:p>
        </w:tc>
      </w:tr>
      <w:tr>
        <w:trPr>
          <w:trHeight w:val="270"/>
        </w:trPr>
        <w:tc>
          <w:tcPr>
            <w:gridSpan w:val="2"/>
            <w:tcW w:w="9795" w:type="dxa"/>
            <w:vAlign w:val="center"/>
            <w:textDirection w:val="lrTb"/>
            <w:noWrap/>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1.基本情况</w:t>
            </w:r>
            <w:r/>
          </w:p>
        </w:tc>
      </w:tr>
      <w:tr>
        <w:trPr>
          <w:trHeight w:val="457"/>
        </w:trPr>
        <w:tc>
          <w:tcPr>
            <w:gridSpan w:val="2"/>
            <w:tcW w:w="9795" w:type="dxa"/>
            <w:vAlign w:val="center"/>
            <w:textDirection w:val="lrTb"/>
            <w:noWrap/>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1.1物业情况</w:t>
            </w:r>
            <w:r/>
          </w:p>
        </w:tc>
      </w:tr>
      <w:tr>
        <w:trPr>
          <w:trHeight w:val="270"/>
        </w:trPr>
        <w:tc>
          <w:tcPr>
            <w:tcW w:w="4452" w:type="dxa"/>
            <w:vAlign w:val="center"/>
            <w:textDirection w:val="lrTb"/>
            <w:noWrap/>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物业名称</w:t>
            </w:r>
            <w:r/>
          </w:p>
        </w:tc>
        <w:tc>
          <w:tcPr>
            <w:tcW w:w="5343" w:type="dxa"/>
            <w:vAlign w:val="center"/>
            <w:textDirection w:val="lrTb"/>
            <w:noWrap/>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物业地址</w:t>
            </w:r>
            <w:r/>
          </w:p>
        </w:tc>
      </w:tr>
      <w:tr>
        <w:trPr>
          <w:trHeight w:val="270"/>
        </w:trPr>
        <w:tc>
          <w:tcPr>
            <w:tcW w:w="4452" w:type="dxa"/>
            <w:vAlign w:val="center"/>
            <w:textDirection w:val="lrTb"/>
            <w:noWrap/>
          </w:tcPr>
          <w:p>
            <w:pPr>
              <w:spacing w:line="500" w:lineRule="exact"/>
              <w:rPr>
                <w:rFonts w:hint="eastAsia" w:ascii="宋体" w:hAnsi="宋体" w:cs="宋体"/>
                <w:color w:val="000000"/>
                <w:sz w:val="24"/>
                <w:szCs w:val="24"/>
              </w:rPr>
            </w:pPr>
            <w:r>
              <w:rPr>
                <w:rFonts w:hint="eastAsia" w:ascii="宋体" w:hAnsi="宋体" w:cs="宋体"/>
                <w:sz w:val="24"/>
                <w:szCs w:val="24"/>
              </w:rPr>
              <w:t xml:space="preserve">宿迁市新沂河调度工程管理处</w:t>
            </w:r>
            <w:r/>
          </w:p>
        </w:tc>
        <w:tc>
          <w:tcPr>
            <w:tcW w:w="5343" w:type="dxa"/>
            <w:vAlign w:val="center"/>
            <w:textDirection w:val="lrTb"/>
            <w:noWrap/>
          </w:tcPr>
          <w:p>
            <w:pPr>
              <w:spacing w:line="500" w:lineRule="exact"/>
              <w:rPr>
                <w:rFonts w:hint="eastAsia" w:ascii="宋体" w:hAnsi="宋体" w:cs="宋体"/>
                <w:color w:val="000000"/>
                <w:sz w:val="24"/>
                <w:szCs w:val="24"/>
              </w:rPr>
            </w:pPr>
            <w:r>
              <w:rPr>
                <w:rFonts w:hint="eastAsia" w:ascii="宋体" w:hAnsi="宋体" w:cs="宋体"/>
                <w:sz w:val="24"/>
                <w:szCs w:val="24"/>
              </w:rPr>
              <w:t xml:space="preserve">（沭阳县大连西路）及新沂河沭阳枢纽管理区</w:t>
            </w:r>
            <w:r/>
          </w:p>
        </w:tc>
      </w:tr>
      <w:tr>
        <w:trPr>
          <w:trHeight w:val="270"/>
        </w:trPr>
        <w:tc>
          <w:tcPr>
            <w:gridSpan w:val="2"/>
            <w:tcW w:w="9795" w:type="dxa"/>
            <w:vAlign w:val="center"/>
            <w:textDirection w:val="lrTb"/>
            <w:noWrap/>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1.2采购人提供供应商使用的场地、设施、设备、材料等</w:t>
            </w:r>
            <w:r/>
          </w:p>
        </w:tc>
      </w:tr>
      <w:tr>
        <w:trPr>
          <w:trHeight w:val="270"/>
        </w:trPr>
        <w:tc>
          <w:tcPr>
            <w:gridSpan w:val="2"/>
            <w:tcW w:w="9795" w:type="dxa"/>
            <w:vAlign w:val="center"/>
            <w:textDirection w:val="lrTb"/>
            <w:noWrap/>
          </w:tcPr>
          <w:p>
            <w:pPr>
              <w:spacing w:line="460" w:lineRule="exact"/>
              <w:rPr>
                <w:rFonts w:hint="eastAsia" w:ascii="宋体" w:hAnsi="宋体" w:cs="宋体"/>
                <w:color w:val="000000"/>
                <w:sz w:val="24"/>
                <w:szCs w:val="24"/>
              </w:rPr>
            </w:pPr>
            <w:r>
              <w:rPr>
                <w:rFonts w:hint="eastAsia" w:ascii="宋体" w:hAnsi="宋体" w:cs="宋体"/>
                <w:bCs/>
                <w:sz w:val="24"/>
                <w:szCs w:val="24"/>
              </w:rPr>
              <w:t xml:space="preserve">（1）提供物业办公室一间约</w:t>
            </w:r>
            <w:r>
              <w:rPr>
                <w:rFonts w:hint="eastAsia" w:ascii="宋体" w:hAnsi="宋体" w:cs="宋体"/>
                <w:bCs/>
                <w:sz w:val="24"/>
                <w:szCs w:val="24"/>
                <w:u w:val="single"/>
              </w:rPr>
              <w:t xml:space="preserve"> 10  </w:t>
            </w:r>
            <w:r>
              <w:rPr>
                <w:rFonts w:hint="eastAsia" w:ascii="宋体" w:hAnsi="宋体" w:cs="宋体"/>
                <w:bCs/>
                <w:sz w:val="24"/>
                <w:szCs w:val="24"/>
              </w:rPr>
              <w:t xml:space="preserve">平方米，配备普通办公桌椅等；</w:t>
            </w:r>
            <w:r/>
          </w:p>
        </w:tc>
      </w:tr>
      <w:tr>
        <w:trPr>
          <w:trHeight w:val="280"/>
        </w:trPr>
        <w:tc>
          <w:tcPr>
            <w:gridSpan w:val="2"/>
            <w:tcW w:w="9795" w:type="dxa"/>
            <w:vAlign w:val="center"/>
            <w:textDirection w:val="lrTb"/>
            <w:noWrap w:val="false"/>
          </w:tcPr>
          <w:p>
            <w:pPr>
              <w:spacing w:line="460" w:lineRule="exact"/>
              <w:rPr>
                <w:rFonts w:hint="eastAsia" w:ascii="宋体" w:hAnsi="宋体" w:cs="宋体"/>
                <w:color w:val="000000"/>
                <w:sz w:val="24"/>
                <w:szCs w:val="24"/>
              </w:rPr>
            </w:pPr>
            <w:r>
              <w:rPr>
                <w:rFonts w:hint="eastAsia" w:ascii="宋体" w:hAnsi="宋体" w:cs="宋体"/>
                <w:bCs/>
                <w:sz w:val="24"/>
                <w:szCs w:val="24"/>
              </w:rPr>
              <w:t xml:space="preserve">（2）提供的物业管理服务设备，包括1台计算机等；</w:t>
            </w:r>
            <w:r/>
          </w:p>
        </w:tc>
      </w:tr>
      <w:tr>
        <w:trPr>
          <w:trHeight w:val="280"/>
        </w:trPr>
        <w:tc>
          <w:tcPr>
            <w:gridSpan w:val="2"/>
            <w:tcW w:w="9795" w:type="dxa"/>
            <w:vAlign w:val="center"/>
            <w:textDirection w:val="lrTb"/>
            <w:noWrap w:val="false"/>
          </w:tcPr>
          <w:p>
            <w:pPr>
              <w:spacing w:line="460" w:lineRule="exact"/>
              <w:rPr>
                <w:rFonts w:hint="eastAsia" w:ascii="宋体" w:hAnsi="宋体" w:cs="宋体"/>
                <w:color w:val="000000"/>
                <w:sz w:val="24"/>
                <w:szCs w:val="24"/>
              </w:rPr>
            </w:pPr>
            <w:r>
              <w:rPr>
                <w:rFonts w:hint="eastAsia" w:ascii="宋体" w:hAnsi="宋体" w:cs="宋体"/>
                <w:bCs/>
                <w:sz w:val="24"/>
                <w:szCs w:val="24"/>
              </w:rPr>
              <w:t xml:space="preserve">（3）提供零星维修材料；</w:t>
            </w:r>
            <w:r/>
          </w:p>
        </w:tc>
      </w:tr>
      <w:tr>
        <w:trPr>
          <w:trHeight w:val="280"/>
        </w:trPr>
        <w:tc>
          <w:tcPr>
            <w:gridSpan w:val="2"/>
            <w:tcW w:w="9795" w:type="dxa"/>
            <w:vAlign w:val="center"/>
            <w:textDirection w:val="lrTb"/>
            <w:noWrap w:val="false"/>
          </w:tcPr>
          <w:p>
            <w:pPr>
              <w:spacing w:line="460" w:lineRule="exact"/>
              <w:rPr>
                <w:rFonts w:hint="eastAsia" w:ascii="宋体" w:hAnsi="宋体" w:cs="宋体"/>
                <w:color w:val="000000"/>
                <w:sz w:val="24"/>
                <w:szCs w:val="24"/>
              </w:rPr>
            </w:pPr>
            <w:r>
              <w:rPr>
                <w:rFonts w:hint="eastAsia" w:ascii="宋体" w:hAnsi="宋体" w:cs="宋体"/>
                <w:bCs/>
                <w:sz w:val="24"/>
                <w:szCs w:val="24"/>
              </w:rPr>
              <w:t xml:space="preserve">（4）提供的会务用品，如：瓷杯、水壶等；</w:t>
            </w:r>
            <w:r/>
          </w:p>
        </w:tc>
      </w:tr>
      <w:tr>
        <w:trPr>
          <w:trHeight w:val="280"/>
        </w:trPr>
        <w:tc>
          <w:tcPr>
            <w:gridSpan w:val="2"/>
            <w:tcW w:w="9795" w:type="dxa"/>
            <w:vAlign w:val="center"/>
            <w:textDirection w:val="lrTb"/>
            <w:noWrap w:val="false"/>
          </w:tcPr>
          <w:p>
            <w:pPr>
              <w:spacing w:line="460" w:lineRule="exact"/>
              <w:rPr>
                <w:rFonts w:hint="eastAsia" w:ascii="宋体" w:hAnsi="宋体" w:cs="宋体"/>
                <w:sz w:val="24"/>
                <w:szCs w:val="24"/>
              </w:rPr>
            </w:pPr>
            <w:r>
              <w:rPr>
                <w:rFonts w:hint="eastAsia" w:ascii="宋体" w:hAnsi="宋体" w:cs="宋体"/>
                <w:bCs/>
                <w:sz w:val="24"/>
                <w:szCs w:val="24"/>
              </w:rPr>
              <w:t xml:space="preserve">（5）提供的保洁用品：垃圾袋、清洁工具</w:t>
            </w:r>
            <w:r>
              <w:rPr>
                <w:rFonts w:hint="eastAsia" w:ascii="宋体" w:hAnsi="宋体" w:cs="宋体"/>
                <w:bCs/>
                <w:sz w:val="24"/>
                <w:szCs w:val="24"/>
                <w:lang w:bidi="ar"/>
              </w:rPr>
              <w:t xml:space="preserve">等</w:t>
            </w:r>
            <w:r>
              <w:rPr>
                <w:rFonts w:hint="eastAsia" w:ascii="宋体" w:hAnsi="宋体" w:cs="宋体"/>
                <w:bCs/>
                <w:sz w:val="24"/>
                <w:szCs w:val="24"/>
              </w:rPr>
              <w:t xml:space="preserve">；</w:t>
            </w:r>
            <w:r/>
          </w:p>
        </w:tc>
      </w:tr>
    </w:tbl>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供应商应当承担除以上所列场地、设施、设备、材料外，与物业管理服务有关的其他场地、设施、设备、材料等。</w:t>
      </w:r>
      <w:r/>
    </w:p>
    <w:p>
      <w:pPr>
        <w:pStyle w:val="1086"/>
        <w:spacing w:before="40" w:after="40"/>
        <w:rPr>
          <w:rFonts w:hint="eastAsia" w:ascii="宋体" w:hAnsi="宋体" w:cs="宋体"/>
          <w:b/>
          <w:bCs/>
          <w:sz w:val="28"/>
          <w:szCs w:val="28"/>
        </w:rPr>
      </w:pPr>
      <w:r>
        <w:rPr>
          <w:rFonts w:hint="eastAsia" w:ascii="宋体" w:hAnsi="宋体" w:cs="宋体"/>
          <w:b/>
          <w:bCs/>
          <w:sz w:val="28"/>
          <w:szCs w:val="28"/>
        </w:rPr>
      </w:r>
      <w:r/>
    </w:p>
    <w:p>
      <w:pPr>
        <w:pStyle w:val="1086"/>
        <w:spacing w:before="40" w:after="40"/>
        <w:rPr>
          <w:rFonts w:hint="eastAsia" w:ascii="宋体" w:hAnsi="宋体" w:cs="宋体"/>
          <w:b/>
          <w:bCs/>
          <w:sz w:val="32"/>
          <w:szCs w:val="32"/>
        </w:rPr>
      </w:pPr>
      <w:r>
        <w:rPr>
          <w:rFonts w:hint="eastAsia" w:ascii="宋体" w:hAnsi="宋体" w:cs="宋体"/>
          <w:b/>
          <w:bCs/>
          <w:sz w:val="32"/>
          <w:szCs w:val="32"/>
        </w:rPr>
        <w:t xml:space="preserve">二、物业服务范围</w:t>
      </w:r>
      <w:r/>
    </w:p>
    <w:p>
      <w:pPr>
        <w:pStyle w:val="777"/>
        <w:rPr>
          <w:rFonts w:hint="eastAsia" w:ascii="宋体" w:hAnsi="宋体" w:eastAsia="宋体" w:cs="宋体"/>
          <w:bCs/>
          <w:sz w:val="24"/>
          <w:szCs w:val="24"/>
        </w:rPr>
      </w:pPr>
      <w:r>
        <w:rPr>
          <w:rFonts w:hint="eastAsia" w:ascii="宋体" w:hAnsi="宋体" w:eastAsia="宋体" w:cs="宋体"/>
          <w:bCs/>
          <w:sz w:val="24"/>
          <w:szCs w:val="24"/>
        </w:rPr>
        <w:t xml:space="preserve">（一）物业管理（建筑物）</w:t>
      </w:r>
      <w:r/>
    </w:p>
    <w:tbl>
      <w:tblPr>
        <w:tblStyle w:val="785"/>
        <w:tblW w:w="50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2372"/>
        <w:gridCol w:w="6152"/>
      </w:tblGrid>
      <w:tr>
        <w:trPr>
          <w:trHeight w:val="454"/>
        </w:trPr>
        <w:tc>
          <w:tcPr>
            <w:gridSpan w:val="2"/>
            <w:tcW w:w="3412" w:type="dxa"/>
            <w:vAlign w:val="center"/>
            <w:textDirection w:val="lrTb"/>
            <w:noWrap w:val="false"/>
          </w:tcPr>
          <w:p>
            <w:pPr>
              <w:jc w:val="center"/>
              <w:spacing w:line="300" w:lineRule="auto"/>
              <w:rPr>
                <w:rFonts w:hint="eastAsia" w:ascii="宋体" w:hAnsi="宋体" w:cs="宋体"/>
                <w:b/>
                <w:bCs/>
                <w:sz w:val="24"/>
                <w:szCs w:val="24"/>
              </w:rPr>
            </w:pPr>
            <w:r>
              <w:rPr>
                <w:rFonts w:hint="eastAsia" w:ascii="宋体" w:hAnsi="宋体" w:cs="宋体"/>
                <w:b/>
                <w:bCs/>
                <w:sz w:val="24"/>
                <w:szCs w:val="24"/>
              </w:rPr>
              <w:t xml:space="preserve">建筑1名称</w:t>
            </w:r>
            <w:r/>
          </w:p>
        </w:tc>
        <w:tc>
          <w:tcPr>
            <w:tcW w:w="6152" w:type="dxa"/>
            <w:vAlign w:val="center"/>
            <w:textDirection w:val="lrTb"/>
            <w:noWrap w:val="false"/>
          </w:tcPr>
          <w:p>
            <w:pPr>
              <w:spacing w:line="300" w:lineRule="auto"/>
              <w:rPr>
                <w:rFonts w:hint="eastAsia" w:ascii="宋体" w:hAnsi="宋体" w:cs="宋体"/>
                <w:b/>
                <w:bCs/>
                <w:sz w:val="24"/>
                <w:szCs w:val="24"/>
              </w:rPr>
            </w:pPr>
            <w:r>
              <w:rPr>
                <w:rFonts w:hint="eastAsia" w:ascii="宋体" w:hAnsi="宋体" w:cs="宋体"/>
                <w:b/>
                <w:bCs/>
                <w:sz w:val="24"/>
                <w:szCs w:val="24"/>
              </w:rPr>
              <w:t xml:space="preserve">宿迁市传染病医院：行政楼、1-5号病房楼、1-3号宿舍楼、门诊楼、负压病区、洗消中心、消防水泵房、洗涤中心、污水处理站、配电间、锅炉房</w:t>
            </w:r>
            <w:r/>
          </w:p>
        </w:tc>
      </w:tr>
      <w:tr>
        <w:trPr>
          <w:trHeight w:val="454"/>
        </w:trPr>
        <w:tc>
          <w:tcPr>
            <w:gridSpan w:val="2"/>
            <w:tcW w:w="3412" w:type="dxa"/>
            <w:vAlign w:val="center"/>
            <w:textDirection w:val="lrTb"/>
            <w:noWrap w:val="false"/>
          </w:tcPr>
          <w:p>
            <w:pPr>
              <w:jc w:val="center"/>
              <w:spacing w:line="300" w:lineRule="auto"/>
              <w:rPr>
                <w:rFonts w:hint="eastAsia" w:ascii="宋体" w:hAnsi="宋体" w:cs="宋体"/>
                <w:b/>
                <w:bCs/>
                <w:sz w:val="24"/>
                <w:szCs w:val="24"/>
              </w:rPr>
            </w:pPr>
            <w:r>
              <w:rPr>
                <w:rFonts w:hint="eastAsia" w:ascii="宋体" w:hAnsi="宋体" w:cs="宋体"/>
                <w:b/>
                <w:bCs/>
                <w:sz w:val="24"/>
                <w:szCs w:val="24"/>
              </w:rPr>
              <w:t xml:space="preserve">名称</w:t>
            </w:r>
            <w:r/>
          </w:p>
        </w:tc>
        <w:tc>
          <w:tcPr>
            <w:tcW w:w="6152" w:type="dxa"/>
            <w:vAlign w:val="center"/>
            <w:textDirection w:val="lrTb"/>
            <w:noWrap w:val="false"/>
          </w:tcPr>
          <w:p>
            <w:pPr>
              <w:jc w:val="center"/>
              <w:spacing w:line="300" w:lineRule="auto"/>
              <w:rPr>
                <w:rFonts w:hint="eastAsia" w:ascii="宋体" w:hAnsi="宋体" w:cs="宋体"/>
                <w:b/>
                <w:bCs/>
                <w:sz w:val="24"/>
                <w:szCs w:val="24"/>
              </w:rPr>
            </w:pPr>
            <w:r>
              <w:rPr>
                <w:rFonts w:hint="eastAsia" w:ascii="宋体" w:hAnsi="宋体" w:cs="宋体"/>
                <w:b/>
                <w:bCs/>
                <w:sz w:val="24"/>
                <w:szCs w:val="24"/>
              </w:rPr>
              <w:t xml:space="preserve">明细</w:t>
            </w:r>
            <w:r/>
          </w:p>
        </w:tc>
      </w:tr>
      <w:tr>
        <w:trPr>
          <w:trHeight w:val="454"/>
        </w:trPr>
        <w:tc>
          <w:tcPr>
            <w:tcW w:w="1040" w:type="dxa"/>
            <w:vAlign w:val="center"/>
            <w:vMerge w:val="restart"/>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总面积</w:t>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建筑面积（㎡）</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u w:val="single"/>
              </w:rPr>
              <w:t xml:space="preserve">35640</w:t>
            </w:r>
            <w:r/>
          </w:p>
        </w:tc>
      </w:tr>
      <w:tr>
        <w:trPr>
          <w:trHeight w:val="454"/>
        </w:trPr>
        <w:tc>
          <w:tcPr>
            <w:tcW w:w="1040" w:type="dxa"/>
            <w:vAlign w:val="center"/>
            <w:vMerge w:val="continue"/>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需保洁面积（㎡）</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u w:val="single"/>
              </w:rPr>
              <w:t xml:space="preserve">130000</w:t>
            </w:r>
            <w:r/>
          </w:p>
        </w:tc>
      </w:tr>
      <w:tr>
        <w:trPr>
          <w:trHeight w:val="454"/>
        </w:trPr>
        <w:tc>
          <w:tcPr>
            <w:tcW w:w="1040"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地面</w:t>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地面各材质及总面积（㎡）</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庭院为石材、柏油、水泥地面，室内均为瓷砖，总面积约</w:t>
            </w:r>
            <w:r>
              <w:rPr>
                <w:rFonts w:hint="eastAsia" w:ascii="宋体" w:hAnsi="宋体" w:cs="宋体"/>
                <w:sz w:val="24"/>
                <w:szCs w:val="24"/>
                <w:u w:val="single"/>
              </w:rPr>
              <w:t xml:space="preserve">76720</w:t>
            </w:r>
            <w:r>
              <w:rPr>
                <w:rFonts w:hint="eastAsia" w:ascii="宋体" w:hAnsi="宋体" w:cs="宋体"/>
                <w:sz w:val="24"/>
                <w:szCs w:val="24"/>
              </w:rPr>
              <w:t xml:space="preserve">平方米。</w:t>
            </w:r>
            <w:r/>
          </w:p>
        </w:tc>
      </w:tr>
      <w:tr>
        <w:trPr>
          <w:trHeight w:val="454"/>
        </w:trPr>
        <w:tc>
          <w:tcPr>
            <w:tcW w:w="1040"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顶面</w:t>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顶面各材质及总面积（㎡）</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顶面主要为铝合金框架等。</w:t>
            </w:r>
            <w:r/>
          </w:p>
        </w:tc>
      </w:tr>
      <w:tr>
        <w:trPr>
          <w:trHeight w:val="454"/>
        </w:trPr>
        <w:tc>
          <w:tcPr>
            <w:tcW w:w="1040" w:type="dxa"/>
            <w:vAlign w:val="center"/>
            <w:vMerge w:val="restart"/>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会议室</w:t>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室内设施说明</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室内设施主要有：会议桌、会议椅、茶水柜、电视、显示屏及其他音视频设备等。</w:t>
            </w:r>
            <w:r/>
          </w:p>
        </w:tc>
      </w:tr>
      <w:tr>
        <w:trPr>
          <w:trHeight w:val="454"/>
        </w:trPr>
        <w:tc>
          <w:tcPr>
            <w:tcW w:w="1040" w:type="dxa"/>
            <w:vAlign w:val="center"/>
            <w:vMerge w:val="continue"/>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会议室数量（个）及总面积（㎡）</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会议室数量</w:t>
            </w:r>
            <w:r>
              <w:rPr>
                <w:rFonts w:hint="eastAsia" w:ascii="宋体" w:hAnsi="宋体" w:cs="宋体"/>
                <w:sz w:val="24"/>
                <w:szCs w:val="24"/>
                <w:u w:val="single"/>
              </w:rPr>
              <w:t xml:space="preserve">2</w:t>
            </w:r>
            <w:r>
              <w:rPr>
                <w:rFonts w:hint="eastAsia" w:ascii="宋体" w:hAnsi="宋体" w:cs="宋体"/>
                <w:sz w:val="24"/>
                <w:szCs w:val="24"/>
              </w:rPr>
              <w:t xml:space="preserve">个。面积约</w:t>
            </w:r>
            <w:r>
              <w:rPr>
                <w:rFonts w:hint="eastAsia" w:ascii="宋体" w:hAnsi="宋体" w:cs="宋体"/>
                <w:sz w:val="24"/>
                <w:szCs w:val="24"/>
                <w:u w:val="single"/>
              </w:rPr>
              <w:t xml:space="preserve">230</w:t>
            </w:r>
            <w:r>
              <w:rPr>
                <w:rFonts w:hint="eastAsia" w:ascii="宋体" w:hAnsi="宋体" w:cs="宋体"/>
                <w:sz w:val="24"/>
                <w:szCs w:val="24"/>
              </w:rPr>
              <w:t xml:space="preserve">平方米。</w:t>
            </w:r>
            <w:r/>
          </w:p>
        </w:tc>
      </w:tr>
      <w:tr>
        <w:trPr>
          <w:trHeight w:val="454"/>
        </w:trPr>
        <w:tc>
          <w:tcPr>
            <w:tcW w:w="1040" w:type="dxa"/>
            <w:vAlign w:val="center"/>
            <w:vMerge w:val="restart"/>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垃圾存放点卫生间</w:t>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卫生间数量（个）及总面积（㎡）</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卫生间（包括残疾人卫生间）</w:t>
            </w:r>
            <w:r>
              <w:rPr>
                <w:rFonts w:hint="eastAsia" w:ascii="宋体" w:hAnsi="宋体" w:cs="宋体"/>
                <w:sz w:val="24"/>
                <w:szCs w:val="24"/>
                <w:u w:val="single"/>
              </w:rPr>
              <w:t xml:space="preserve">500</w:t>
            </w:r>
            <w:r>
              <w:rPr>
                <w:rFonts w:hint="eastAsia" w:ascii="宋体" w:hAnsi="宋体" w:cs="宋体"/>
                <w:sz w:val="24"/>
                <w:szCs w:val="24"/>
              </w:rPr>
              <w:t xml:space="preserve">个及总面积约</w:t>
            </w:r>
            <w:r>
              <w:rPr>
                <w:rFonts w:hint="eastAsia" w:ascii="宋体" w:hAnsi="宋体" w:cs="宋体"/>
                <w:sz w:val="24"/>
                <w:szCs w:val="24"/>
                <w:u w:val="single"/>
              </w:rPr>
              <w:t xml:space="preserve">2000  </w:t>
            </w:r>
            <w:r>
              <w:rPr>
                <w:rFonts w:hint="eastAsia" w:ascii="宋体" w:hAnsi="宋体" w:cs="宋体"/>
                <w:sz w:val="24"/>
                <w:szCs w:val="24"/>
              </w:rPr>
              <w:t xml:space="preserve">平方米，开水间</w:t>
            </w:r>
            <w:r>
              <w:rPr>
                <w:rFonts w:hint="eastAsia" w:ascii="宋体" w:hAnsi="宋体" w:cs="宋体"/>
                <w:sz w:val="24"/>
                <w:szCs w:val="24"/>
                <w:u w:val="single"/>
              </w:rPr>
              <w:t xml:space="preserve">18</w:t>
            </w:r>
            <w:r>
              <w:rPr>
                <w:rFonts w:hint="eastAsia" w:ascii="宋体" w:hAnsi="宋体" w:cs="宋体"/>
                <w:sz w:val="24"/>
                <w:szCs w:val="24"/>
              </w:rPr>
              <w:t xml:space="preserve">个，约</w:t>
            </w:r>
            <w:r>
              <w:rPr>
                <w:rFonts w:hint="eastAsia" w:ascii="宋体" w:hAnsi="宋体" w:cs="宋体"/>
                <w:sz w:val="24"/>
                <w:szCs w:val="24"/>
                <w:u w:val="single"/>
              </w:rPr>
              <w:t xml:space="preserve">54</w:t>
            </w:r>
            <w:r>
              <w:rPr>
                <w:rFonts w:hint="eastAsia" w:ascii="宋体" w:hAnsi="宋体" w:cs="宋体"/>
                <w:sz w:val="24"/>
                <w:szCs w:val="24"/>
              </w:rPr>
              <w:t xml:space="preserve">平方米。</w:t>
            </w:r>
            <w:r/>
          </w:p>
        </w:tc>
      </w:tr>
      <w:tr>
        <w:trPr>
          <w:trHeight w:val="454"/>
        </w:trPr>
        <w:tc>
          <w:tcPr>
            <w:tcW w:w="1040" w:type="dxa"/>
            <w:vAlign w:val="center"/>
            <w:vMerge w:val="continue"/>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各垃圾存放点位置、面积（㎡）及数量（个）</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垃圾集中存放点1个，</w:t>
            </w:r>
            <w:r>
              <w:rPr>
                <w:rFonts w:hint="eastAsia" w:ascii="宋体" w:hAnsi="宋体" w:cs="宋体"/>
                <w:sz w:val="24"/>
                <w:szCs w:val="24"/>
                <w:u w:val="single"/>
              </w:rPr>
              <w:t xml:space="preserve">20L</w:t>
            </w:r>
            <w:r>
              <w:rPr>
                <w:rFonts w:hint="eastAsia" w:ascii="宋体" w:hAnsi="宋体" w:cs="宋体"/>
                <w:sz w:val="24"/>
                <w:szCs w:val="24"/>
              </w:rPr>
              <w:t xml:space="preserve">桶</w:t>
            </w:r>
            <w:r>
              <w:rPr>
                <w:rFonts w:hint="eastAsia" w:ascii="宋体" w:hAnsi="宋体" w:cs="宋体"/>
                <w:sz w:val="24"/>
                <w:szCs w:val="24"/>
                <w:u w:val="single"/>
              </w:rPr>
              <w:t xml:space="preserve"> 30</w:t>
            </w:r>
            <w:r>
              <w:rPr>
                <w:rFonts w:hint="eastAsia" w:ascii="宋体" w:hAnsi="宋体" w:cs="宋体"/>
                <w:sz w:val="24"/>
                <w:szCs w:val="24"/>
              </w:rPr>
              <w:t xml:space="preserve">个，面积约</w:t>
            </w:r>
            <w:r>
              <w:rPr>
                <w:rFonts w:hint="eastAsia" w:ascii="宋体" w:hAnsi="宋体" w:cs="宋体"/>
                <w:sz w:val="24"/>
                <w:szCs w:val="24"/>
                <w:u w:val="single"/>
              </w:rPr>
              <w:t xml:space="preserve">300</w:t>
            </w:r>
            <w:r>
              <w:rPr>
                <w:rFonts w:hint="eastAsia" w:ascii="宋体" w:hAnsi="宋体" w:cs="宋体"/>
                <w:sz w:val="24"/>
                <w:szCs w:val="24"/>
              </w:rPr>
              <w:t xml:space="preserve">平方米。</w:t>
            </w:r>
            <w:r/>
          </w:p>
        </w:tc>
      </w:tr>
      <w:tr>
        <w:trPr>
          <w:trHeight w:val="454"/>
        </w:trPr>
        <w:tc>
          <w:tcPr>
            <w:tcW w:w="1040"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车位数</w:t>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地面车位数</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广场地面车位数量</w:t>
            </w:r>
            <w:r>
              <w:rPr>
                <w:rFonts w:hint="eastAsia" w:ascii="宋体" w:hAnsi="宋体" w:cs="宋体"/>
                <w:sz w:val="24"/>
                <w:szCs w:val="24"/>
                <w:u w:val="single"/>
              </w:rPr>
              <w:t xml:space="preserve">200</w:t>
            </w:r>
            <w:r>
              <w:rPr>
                <w:rFonts w:hint="eastAsia" w:ascii="宋体" w:hAnsi="宋体" w:cs="宋体"/>
                <w:sz w:val="24"/>
                <w:szCs w:val="24"/>
              </w:rPr>
              <w:t xml:space="preserve">个，无充电桩车位。</w:t>
            </w:r>
            <w:r/>
          </w:p>
        </w:tc>
      </w:tr>
      <w:tr>
        <w:trPr>
          <w:trHeight w:val="454"/>
        </w:trPr>
        <w:tc>
          <w:tcPr>
            <w:tcW w:w="1040" w:type="dxa"/>
            <w:vAlign w:val="center"/>
            <w:vMerge w:val="restart"/>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车行/人行口</w:t>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车行口</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u w:val="single"/>
              </w:rPr>
              <w:t xml:space="preserve"> 1 </w:t>
            </w:r>
            <w:r>
              <w:rPr>
                <w:rFonts w:hint="eastAsia" w:ascii="宋体" w:hAnsi="宋体" w:cs="宋体"/>
                <w:sz w:val="24"/>
                <w:szCs w:val="24"/>
              </w:rPr>
              <w:t xml:space="preserve">个：西门入口</w:t>
            </w:r>
            <w:r>
              <w:rPr>
                <w:rFonts w:hint="eastAsia" w:ascii="宋体" w:hAnsi="宋体" w:cs="宋体"/>
                <w:sz w:val="24"/>
                <w:szCs w:val="24"/>
                <w:u w:val="single"/>
              </w:rPr>
              <w:t xml:space="preserve">  1 </w:t>
            </w:r>
            <w:r>
              <w:rPr>
                <w:rFonts w:hint="eastAsia" w:ascii="宋体" w:hAnsi="宋体" w:cs="宋体"/>
                <w:sz w:val="24"/>
                <w:szCs w:val="24"/>
              </w:rPr>
              <w:t xml:space="preserve">个。</w:t>
            </w:r>
            <w:r/>
          </w:p>
        </w:tc>
      </w:tr>
      <w:tr>
        <w:trPr>
          <w:trHeight w:val="454"/>
        </w:trPr>
        <w:tc>
          <w:tcPr>
            <w:tcW w:w="1040" w:type="dxa"/>
            <w:vAlign w:val="center"/>
            <w:vMerge w:val="continue"/>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人行口</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u w:val="single"/>
              </w:rPr>
              <w:t xml:space="preserve">1 </w:t>
            </w:r>
            <w:r>
              <w:rPr>
                <w:rFonts w:hint="eastAsia" w:ascii="宋体" w:hAnsi="宋体" w:cs="宋体"/>
                <w:sz w:val="24"/>
                <w:szCs w:val="24"/>
              </w:rPr>
              <w:t xml:space="preserve">个：西门入口</w:t>
            </w:r>
            <w:r>
              <w:rPr>
                <w:rFonts w:hint="eastAsia" w:ascii="宋体" w:hAnsi="宋体" w:cs="宋体"/>
                <w:sz w:val="24"/>
                <w:szCs w:val="24"/>
                <w:u w:val="single"/>
              </w:rPr>
              <w:t xml:space="preserve">  1 </w:t>
            </w:r>
            <w:r>
              <w:rPr>
                <w:rFonts w:hint="eastAsia" w:ascii="宋体" w:hAnsi="宋体" w:cs="宋体"/>
                <w:sz w:val="24"/>
                <w:szCs w:val="24"/>
              </w:rPr>
              <w:t xml:space="preserve">个。</w:t>
            </w:r>
            <w:r/>
          </w:p>
        </w:tc>
      </w:tr>
      <w:tr>
        <w:trPr>
          <w:trHeight w:val="454"/>
        </w:trPr>
        <w:tc>
          <w:tcPr>
            <w:tcW w:w="1040" w:type="dxa"/>
            <w:vAlign w:val="center"/>
            <w:vMerge w:val="restart"/>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设施设备（可另行附表）</w:t>
            </w:r>
            <w:r/>
          </w:p>
          <w:p>
            <w:pPr>
              <w:spacing w:line="300" w:lineRule="auto"/>
              <w:rPr>
                <w:rFonts w:hint="eastAsia" w:ascii="宋体" w:hAnsi="宋体" w:cs="宋体"/>
                <w:sz w:val="24"/>
                <w:szCs w:val="24"/>
              </w:rPr>
            </w:pPr>
            <w:r>
              <w:rPr>
                <w:rFonts w:hint="eastAsia" w:ascii="宋体" w:hAnsi="宋体" w:cs="宋体"/>
                <w:sz w:val="24"/>
                <w:szCs w:val="24"/>
              </w:rPr>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电梯系统</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客梯13部，不在质保期内，正常维保。</w:t>
            </w:r>
            <w:r/>
          </w:p>
        </w:tc>
      </w:tr>
      <w:tr>
        <w:trPr>
          <w:trHeight w:val="454"/>
        </w:trPr>
        <w:tc>
          <w:tcPr>
            <w:tcW w:w="1040" w:type="dxa"/>
            <w:vAlign w:val="center"/>
            <w:vMerge w:val="continue"/>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消防系统</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消防系统包括：火灾自动报警及消防联动系统、消防栓系统、自动喷淋系统、ABC干粉固定式灭火装置。主要设备：消防喷淋泵</w:t>
            </w:r>
            <w:r>
              <w:rPr>
                <w:rFonts w:hint="eastAsia" w:ascii="宋体" w:hAnsi="宋体" w:cs="宋体"/>
                <w:sz w:val="24"/>
                <w:szCs w:val="24"/>
                <w:u w:val="single"/>
              </w:rPr>
              <w:t xml:space="preserve">1</w:t>
            </w:r>
            <w:r>
              <w:rPr>
                <w:rFonts w:hint="eastAsia" w:ascii="宋体" w:hAnsi="宋体" w:cs="宋体"/>
                <w:sz w:val="24"/>
                <w:szCs w:val="24"/>
              </w:rPr>
              <w:t xml:space="preserve">台、消防水箱</w:t>
            </w:r>
            <w:r>
              <w:rPr>
                <w:rFonts w:hint="eastAsia" w:ascii="宋体" w:hAnsi="宋体" w:cs="宋体"/>
                <w:sz w:val="24"/>
                <w:szCs w:val="24"/>
                <w:u w:val="single"/>
              </w:rPr>
              <w:t xml:space="preserve">1</w:t>
            </w:r>
            <w:r>
              <w:rPr>
                <w:rFonts w:hint="eastAsia" w:ascii="宋体" w:hAnsi="宋体" w:cs="宋体"/>
                <w:sz w:val="24"/>
                <w:szCs w:val="24"/>
              </w:rPr>
              <w:t xml:space="preserve">个、消防水池</w:t>
            </w:r>
            <w:r>
              <w:rPr>
                <w:rFonts w:hint="eastAsia" w:ascii="宋体" w:hAnsi="宋体" w:cs="宋体"/>
                <w:sz w:val="24"/>
                <w:szCs w:val="24"/>
                <w:u w:val="single"/>
              </w:rPr>
              <w:t xml:space="preserve">1 </w:t>
            </w:r>
            <w:r>
              <w:rPr>
                <w:rFonts w:hint="eastAsia" w:ascii="宋体" w:hAnsi="宋体" w:cs="宋体"/>
                <w:sz w:val="24"/>
                <w:szCs w:val="24"/>
              </w:rPr>
              <w:t xml:space="preserve">个，喷淋头</w:t>
            </w:r>
            <w:r>
              <w:rPr>
                <w:rFonts w:hint="eastAsia" w:ascii="宋体" w:hAnsi="宋体" w:cs="宋体"/>
                <w:sz w:val="24"/>
                <w:szCs w:val="24"/>
                <w:u w:val="single"/>
              </w:rPr>
              <w:t xml:space="preserve">773</w:t>
            </w:r>
            <w:r>
              <w:rPr>
                <w:rFonts w:hint="eastAsia" w:ascii="宋体" w:hAnsi="宋体" w:cs="宋体"/>
                <w:sz w:val="24"/>
                <w:szCs w:val="24"/>
              </w:rPr>
              <w:t xml:space="preserve">只。在每层的消防栓中配备了相应数量的干粉手提式灭火器。不在质保期内，正常维保。</w:t>
            </w:r>
            <w:r/>
          </w:p>
        </w:tc>
      </w:tr>
      <w:tr>
        <w:trPr>
          <w:trHeight w:val="639"/>
        </w:trPr>
        <w:tc>
          <w:tcPr>
            <w:tcW w:w="1040" w:type="dxa"/>
            <w:vAlign w:val="center"/>
            <w:vMerge w:val="continue"/>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安防系统</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安全防范系统包括电视监控系统。不在质保期内，正常维保。</w:t>
            </w:r>
            <w:r/>
          </w:p>
        </w:tc>
      </w:tr>
      <w:tr>
        <w:trPr>
          <w:trHeight w:val="454"/>
        </w:trPr>
        <w:tc>
          <w:tcPr>
            <w:tcW w:w="1040" w:type="dxa"/>
            <w:vAlign w:val="center"/>
            <w:vMerge w:val="continue"/>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照明系统</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填照明系统主要有室内外公共照明、应急照明、景观照明等，不在质保期内，正常维保。</w:t>
            </w:r>
            <w:r/>
          </w:p>
        </w:tc>
      </w:tr>
      <w:tr>
        <w:trPr>
          <w:trHeight w:val="454"/>
        </w:trPr>
        <w:tc>
          <w:tcPr>
            <w:tcW w:w="1040" w:type="dxa"/>
            <w:vAlign w:val="center"/>
            <w:vMerge w:val="continue"/>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供配电系统</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电气系统包括10KV变电所系统、380/220V低压配电系统、照明系统、防雷与接地系统。</w:t>
            </w:r>
            <w:r/>
          </w:p>
        </w:tc>
      </w:tr>
      <w:tr>
        <w:trPr>
          <w:trHeight w:val="454"/>
        </w:trPr>
        <w:tc>
          <w:tcPr>
            <w:gridSpan w:val="2"/>
            <w:tcW w:w="3412" w:type="dxa"/>
            <w:vAlign w:val="center"/>
            <w:textDirection w:val="lrTb"/>
            <w:noWrap w:val="false"/>
          </w:tcPr>
          <w:p>
            <w:pPr>
              <w:jc w:val="center"/>
              <w:spacing w:line="300" w:lineRule="auto"/>
              <w:rPr>
                <w:rFonts w:hint="eastAsia" w:ascii="宋体" w:hAnsi="宋体" w:cs="宋体"/>
                <w:b/>
                <w:bCs/>
                <w:sz w:val="24"/>
                <w:szCs w:val="24"/>
              </w:rPr>
            </w:pPr>
            <w:r>
              <w:rPr>
                <w:rFonts w:hint="eastAsia" w:ascii="宋体" w:hAnsi="宋体" w:cs="宋体"/>
                <w:b/>
                <w:bCs/>
                <w:sz w:val="24"/>
                <w:szCs w:val="24"/>
              </w:rPr>
              <w:t xml:space="preserve">建筑2名称</w:t>
            </w:r>
            <w:r/>
          </w:p>
        </w:tc>
        <w:tc>
          <w:tcPr>
            <w:tcW w:w="6152" w:type="dxa"/>
            <w:vAlign w:val="center"/>
            <w:textDirection w:val="lrTb"/>
            <w:noWrap w:val="false"/>
          </w:tcPr>
          <w:p>
            <w:pPr>
              <w:spacing w:line="300" w:lineRule="auto"/>
              <w:rPr>
                <w:rFonts w:hint="eastAsia" w:ascii="宋体" w:hAnsi="宋体" w:cs="宋体"/>
                <w:b/>
                <w:bCs/>
                <w:sz w:val="24"/>
                <w:szCs w:val="24"/>
              </w:rPr>
            </w:pPr>
            <w:r>
              <w:rPr>
                <w:rFonts w:hint="eastAsia" w:ascii="宋体" w:hAnsi="宋体" w:cs="宋体"/>
                <w:b/>
                <w:bCs/>
                <w:sz w:val="24"/>
                <w:szCs w:val="24"/>
              </w:rPr>
              <w:t xml:space="preserve">宿迁市新沂河调度工程管理处（沭阳县大连西路）及新沂河沭阳枢纽管理区</w:t>
            </w:r>
            <w:r/>
          </w:p>
        </w:tc>
      </w:tr>
      <w:tr>
        <w:trPr>
          <w:trHeight w:val="454"/>
        </w:trPr>
        <w:tc>
          <w:tcPr>
            <w:gridSpan w:val="2"/>
            <w:tcW w:w="3412" w:type="dxa"/>
            <w:vAlign w:val="center"/>
            <w:textDirection w:val="lrTb"/>
            <w:noWrap w:val="false"/>
          </w:tcPr>
          <w:p>
            <w:pPr>
              <w:jc w:val="center"/>
              <w:spacing w:line="300" w:lineRule="auto"/>
              <w:rPr>
                <w:rFonts w:hint="eastAsia" w:ascii="宋体" w:hAnsi="宋体" w:cs="宋体"/>
                <w:b/>
                <w:bCs/>
                <w:sz w:val="24"/>
                <w:szCs w:val="24"/>
              </w:rPr>
            </w:pPr>
            <w:r>
              <w:rPr>
                <w:rFonts w:hint="eastAsia" w:ascii="宋体" w:hAnsi="宋体" w:cs="宋体"/>
                <w:b/>
                <w:bCs/>
                <w:sz w:val="24"/>
                <w:szCs w:val="24"/>
              </w:rPr>
              <w:t xml:space="preserve">名称</w:t>
            </w:r>
            <w:r/>
          </w:p>
        </w:tc>
        <w:tc>
          <w:tcPr>
            <w:tcW w:w="6152" w:type="dxa"/>
            <w:vAlign w:val="center"/>
            <w:textDirection w:val="lrTb"/>
            <w:noWrap w:val="false"/>
          </w:tcPr>
          <w:p>
            <w:pPr>
              <w:jc w:val="center"/>
              <w:spacing w:line="300" w:lineRule="auto"/>
              <w:rPr>
                <w:rFonts w:hint="eastAsia" w:ascii="宋体" w:hAnsi="宋体" w:cs="宋体"/>
                <w:b/>
                <w:bCs/>
                <w:sz w:val="24"/>
                <w:szCs w:val="24"/>
              </w:rPr>
            </w:pPr>
            <w:r>
              <w:rPr>
                <w:rFonts w:hint="eastAsia" w:ascii="宋体" w:hAnsi="宋体" w:cs="宋体"/>
                <w:b/>
                <w:bCs/>
                <w:sz w:val="24"/>
                <w:szCs w:val="24"/>
              </w:rPr>
              <w:t xml:space="preserve">明细</w:t>
            </w:r>
            <w:r/>
          </w:p>
        </w:tc>
      </w:tr>
      <w:tr>
        <w:trPr>
          <w:trHeight w:val="454"/>
        </w:trPr>
        <w:tc>
          <w:tcPr>
            <w:tcW w:w="1040" w:type="dxa"/>
            <w:vAlign w:val="center"/>
            <w:vMerge w:val="restart"/>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总面积</w:t>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建筑面积（㎡）</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11000平方米</w:t>
            </w:r>
            <w:r/>
          </w:p>
        </w:tc>
      </w:tr>
      <w:tr>
        <w:trPr>
          <w:trHeight w:val="454"/>
        </w:trPr>
        <w:tc>
          <w:tcPr>
            <w:tcW w:w="1040" w:type="dxa"/>
            <w:vAlign w:val="center"/>
            <w:vMerge w:val="continue"/>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需保洁面积（㎡）</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约9000平方米</w:t>
            </w:r>
            <w:r/>
          </w:p>
        </w:tc>
      </w:tr>
      <w:tr>
        <w:trPr>
          <w:trHeight w:val="454"/>
        </w:trPr>
        <w:tc>
          <w:tcPr>
            <w:tcW w:w="1040"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门窗</w:t>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门窗总数量（个）及总面积（㎡）</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门40个，面积约108平方米</w:t>
            </w:r>
            <w:r/>
          </w:p>
          <w:p>
            <w:pPr>
              <w:spacing w:line="300" w:lineRule="auto"/>
              <w:rPr>
                <w:rFonts w:hint="eastAsia" w:ascii="宋体" w:hAnsi="宋体" w:cs="宋体"/>
                <w:sz w:val="24"/>
                <w:szCs w:val="24"/>
              </w:rPr>
            </w:pPr>
            <w:r>
              <w:rPr>
                <w:rFonts w:hint="eastAsia" w:ascii="宋体" w:hAnsi="宋体" w:cs="宋体"/>
                <w:sz w:val="24"/>
                <w:szCs w:val="24"/>
              </w:rPr>
              <w:t xml:space="preserve">窗80个，面积约 300平方米</w:t>
            </w:r>
            <w:r/>
          </w:p>
        </w:tc>
      </w:tr>
      <w:tr>
        <w:trPr>
          <w:trHeight w:val="454"/>
        </w:trPr>
        <w:tc>
          <w:tcPr>
            <w:tcW w:w="1040"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地面</w:t>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地面各材质及总面积（㎡）</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办公室、卫生间、食堂、启闭机房等为瓷砖，总面积约2054平方米</w:t>
            </w:r>
            <w:r/>
          </w:p>
        </w:tc>
      </w:tr>
      <w:tr>
        <w:trPr>
          <w:trHeight w:val="454"/>
        </w:trPr>
        <w:tc>
          <w:tcPr>
            <w:tcW w:w="1040" w:type="dxa"/>
            <w:vAlign w:val="center"/>
            <w:vMerge w:val="restart"/>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会议室</w:t>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室内设施说明</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室内设施主要有：会议桌、会议椅、茶水柜、电视机、话筒及其他音视频设备等</w:t>
            </w:r>
            <w:r/>
          </w:p>
        </w:tc>
      </w:tr>
      <w:tr>
        <w:trPr>
          <w:trHeight w:val="454"/>
        </w:trPr>
        <w:tc>
          <w:tcPr>
            <w:tcW w:w="1040" w:type="dxa"/>
            <w:vAlign w:val="top"/>
            <w:vMerge w:val="continue"/>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会议室数量（个）及总面积（㎡）</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会议室总数量1个，总面积约150平方米</w:t>
            </w:r>
            <w:r/>
          </w:p>
        </w:tc>
      </w:tr>
      <w:tr>
        <w:trPr>
          <w:trHeight w:val="454"/>
        </w:trPr>
        <w:tc>
          <w:tcPr>
            <w:tcW w:w="1040"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卫生间</w:t>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卫生间数量（个）及总面积（㎡）</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卫生间2个及总面积约  120 平方米。</w:t>
            </w:r>
            <w:r/>
          </w:p>
        </w:tc>
      </w:tr>
      <w:tr>
        <w:trPr>
          <w:trHeight w:val="454"/>
        </w:trPr>
        <w:tc>
          <w:tcPr>
            <w:tcW w:w="1040"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垃圾存放点</w:t>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各垃圾存放点位置、面积（㎡）及数量（个）</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每处一个垃圾集中存放点，每处2个垃圾分类桶，每日一清</w:t>
            </w:r>
            <w:r/>
          </w:p>
        </w:tc>
      </w:tr>
      <w:tr>
        <w:trPr>
          <w:trHeight w:val="454"/>
        </w:trPr>
        <w:tc>
          <w:tcPr>
            <w:tcW w:w="1040"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车位数</w:t>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地面车位数</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地面车位10个</w:t>
            </w:r>
            <w:r/>
          </w:p>
        </w:tc>
      </w:tr>
      <w:tr>
        <w:trPr>
          <w:trHeight w:val="454"/>
        </w:trPr>
        <w:tc>
          <w:tcPr>
            <w:tcW w:w="1040"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车行口</w:t>
            </w:r>
            <w:r/>
          </w:p>
        </w:tc>
        <w:tc>
          <w:tcPr>
            <w:tcW w:w="237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车行口</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 1个</w:t>
            </w:r>
            <w:r/>
          </w:p>
        </w:tc>
      </w:tr>
      <w:tr>
        <w:trPr>
          <w:trHeight w:val="454"/>
        </w:trPr>
        <w:tc>
          <w:tcPr>
            <w:gridSpan w:val="2"/>
            <w:tcW w:w="341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绿化</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绿化3000 平方米</w:t>
            </w:r>
            <w:r/>
          </w:p>
        </w:tc>
      </w:tr>
      <w:tr>
        <w:trPr>
          <w:trHeight w:val="454"/>
        </w:trPr>
        <w:tc>
          <w:tcPr>
            <w:gridSpan w:val="2"/>
            <w:tcW w:w="341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单位内部道路</w:t>
            </w:r>
            <w:r/>
          </w:p>
        </w:tc>
        <w:tc>
          <w:tcPr>
            <w:tcW w:w="6152"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1500平方</w:t>
            </w:r>
            <w:r/>
          </w:p>
        </w:tc>
      </w:tr>
    </w:tbl>
    <w:p>
      <w:pPr>
        <w:pStyle w:val="777"/>
        <w:rPr>
          <w:rFonts w:hint="eastAsia" w:ascii="宋体" w:hAnsi="宋体" w:eastAsia="宋体" w:cs="宋体"/>
          <w:bCs/>
          <w:sz w:val="24"/>
          <w:szCs w:val="24"/>
        </w:rPr>
      </w:pPr>
      <w:r>
        <w:rPr>
          <w:rFonts w:hint="eastAsia" w:ascii="宋体" w:hAnsi="宋体" w:eastAsia="宋体" w:cs="宋体"/>
          <w:bCs/>
          <w:sz w:val="24"/>
          <w:szCs w:val="24"/>
        </w:rPr>
        <w:t xml:space="preserve">（2）物业管理（室外）</w:t>
      </w:r>
      <w:r/>
    </w:p>
    <w:tbl>
      <w:tblPr>
        <w:tblStyle w:val="785"/>
        <w:tblW w:w="50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71"/>
        <w:gridCol w:w="6893"/>
      </w:tblGrid>
      <w:tr>
        <w:trPr>
          <w:trHeight w:val="454"/>
        </w:trPr>
        <w:tc>
          <w:tcPr>
            <w:gridSpan w:val="2"/>
            <w:tcW w:w="9564" w:type="dxa"/>
            <w:vAlign w:val="center"/>
            <w:textDirection w:val="lrTb"/>
            <w:noWrap w:val="false"/>
          </w:tcPr>
          <w:p>
            <w:pPr>
              <w:jc w:val="center"/>
              <w:spacing w:line="300" w:lineRule="auto"/>
              <w:rPr>
                <w:rFonts w:hint="eastAsia" w:ascii="宋体" w:hAnsi="宋体" w:cs="宋体"/>
                <w:b/>
                <w:bCs/>
                <w:sz w:val="24"/>
                <w:szCs w:val="24"/>
              </w:rPr>
            </w:pPr>
            <w:r>
              <w:rPr>
                <w:rFonts w:hint="eastAsia" w:ascii="宋体" w:hAnsi="宋体" w:cs="宋体"/>
                <w:b/>
                <w:bCs/>
                <w:sz w:val="24"/>
                <w:szCs w:val="24"/>
              </w:rPr>
              <w:t xml:space="preserve">宿迁市传染病医院</w:t>
            </w:r>
            <w:r/>
          </w:p>
        </w:tc>
      </w:tr>
      <w:tr>
        <w:trPr>
          <w:trHeight w:val="454"/>
        </w:trPr>
        <w:tc>
          <w:tcPr>
            <w:tcW w:w="2671" w:type="dxa"/>
            <w:vAlign w:val="center"/>
            <w:textDirection w:val="lrTb"/>
            <w:noWrap w:val="false"/>
          </w:tcPr>
          <w:p>
            <w:pPr>
              <w:jc w:val="center"/>
              <w:spacing w:line="300" w:lineRule="auto"/>
              <w:rPr>
                <w:rFonts w:hint="eastAsia" w:ascii="宋体" w:hAnsi="宋体" w:cs="宋体"/>
                <w:b/>
                <w:bCs/>
                <w:sz w:val="24"/>
                <w:szCs w:val="24"/>
              </w:rPr>
            </w:pPr>
            <w:r>
              <w:rPr>
                <w:rFonts w:hint="eastAsia" w:ascii="宋体" w:hAnsi="宋体" w:cs="宋体"/>
                <w:b/>
                <w:bCs/>
                <w:sz w:val="24"/>
                <w:szCs w:val="24"/>
              </w:rPr>
              <w:t xml:space="preserve">名称</w:t>
            </w:r>
            <w:r/>
          </w:p>
        </w:tc>
        <w:tc>
          <w:tcPr>
            <w:tcW w:w="6893" w:type="dxa"/>
            <w:vAlign w:val="center"/>
            <w:textDirection w:val="lrTb"/>
            <w:noWrap w:val="false"/>
          </w:tcPr>
          <w:p>
            <w:pPr>
              <w:jc w:val="center"/>
              <w:spacing w:line="300" w:lineRule="auto"/>
              <w:rPr>
                <w:rFonts w:hint="eastAsia" w:ascii="宋体" w:hAnsi="宋体" w:cs="宋体"/>
                <w:b/>
                <w:bCs/>
                <w:sz w:val="24"/>
                <w:szCs w:val="24"/>
              </w:rPr>
            </w:pPr>
            <w:r>
              <w:rPr>
                <w:rFonts w:hint="eastAsia" w:ascii="宋体" w:hAnsi="宋体" w:cs="宋体"/>
                <w:b/>
                <w:bCs/>
                <w:sz w:val="24"/>
                <w:szCs w:val="24"/>
              </w:rPr>
              <w:t xml:space="preserve">明细</w:t>
            </w:r>
            <w:r/>
          </w:p>
        </w:tc>
      </w:tr>
      <w:tr>
        <w:trPr>
          <w:trHeight w:val="454"/>
        </w:trPr>
        <w:tc>
          <w:tcPr>
            <w:tcW w:w="26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室外面积</w:t>
            </w:r>
            <w:r/>
          </w:p>
        </w:tc>
        <w:tc>
          <w:tcPr>
            <w:tcW w:w="689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94384平方米</w:t>
            </w:r>
            <w:r/>
          </w:p>
        </w:tc>
      </w:tr>
      <w:tr>
        <w:trPr>
          <w:trHeight w:val="454"/>
        </w:trPr>
        <w:tc>
          <w:tcPr>
            <w:tcW w:w="26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绿化</w:t>
            </w:r>
            <w:r/>
          </w:p>
        </w:tc>
        <w:tc>
          <w:tcPr>
            <w:tcW w:w="6893" w:type="dxa"/>
            <w:vAlign w:val="center"/>
            <w:textDirection w:val="lrTb"/>
            <w:noWrap w:val="false"/>
          </w:tcPr>
          <w:p>
            <w:pPr>
              <w:rPr>
                <w:rFonts w:hint="eastAsia" w:ascii="宋体" w:hAnsi="宋体" w:cs="宋体"/>
                <w:sz w:val="24"/>
                <w:szCs w:val="24"/>
              </w:rPr>
            </w:pPr>
            <w:r>
              <w:rPr>
                <w:rFonts w:hint="eastAsia" w:ascii="宋体" w:hAnsi="宋体" w:cs="宋体"/>
                <w:spacing w:val="-2"/>
                <w:sz w:val="24"/>
                <w:szCs w:val="24"/>
              </w:rPr>
              <w:t xml:space="preserve">53280平方米</w:t>
            </w:r>
            <w:r/>
          </w:p>
        </w:tc>
      </w:tr>
      <w:tr>
        <w:trPr>
          <w:trHeight w:val="454"/>
        </w:trPr>
        <w:tc>
          <w:tcPr>
            <w:tcW w:w="26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路灯、草坪灯</w:t>
            </w:r>
            <w:r/>
          </w:p>
        </w:tc>
        <w:tc>
          <w:tcPr>
            <w:tcW w:w="689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路灯61个</w:t>
            </w:r>
            <w:r/>
          </w:p>
        </w:tc>
      </w:tr>
      <w:tr>
        <w:trPr>
          <w:trHeight w:val="454"/>
        </w:trPr>
        <w:tc>
          <w:tcPr>
            <w:tcW w:w="26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消防栓</w:t>
            </w:r>
            <w:r/>
          </w:p>
        </w:tc>
        <w:tc>
          <w:tcPr>
            <w:tcW w:w="689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室外消防火栓24个</w:t>
            </w:r>
            <w:r/>
          </w:p>
        </w:tc>
      </w:tr>
      <w:tr>
        <w:trPr>
          <w:trHeight w:val="454"/>
        </w:trPr>
        <w:tc>
          <w:tcPr>
            <w:tcW w:w="26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室外配电箱</w:t>
            </w:r>
            <w:r/>
          </w:p>
        </w:tc>
        <w:tc>
          <w:tcPr>
            <w:tcW w:w="689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室外配电箱4个</w:t>
            </w:r>
            <w:r/>
          </w:p>
        </w:tc>
      </w:tr>
      <w:tr>
        <w:trPr>
          <w:trHeight w:val="454"/>
        </w:trPr>
        <w:tc>
          <w:tcPr>
            <w:tcW w:w="26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监控</w:t>
            </w:r>
            <w:r/>
          </w:p>
        </w:tc>
        <w:tc>
          <w:tcPr>
            <w:tcW w:w="689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300个</w:t>
            </w:r>
            <w:r/>
          </w:p>
        </w:tc>
      </w:tr>
      <w:tr>
        <w:trPr>
          <w:trHeight w:val="454"/>
        </w:trPr>
        <w:tc>
          <w:tcPr>
            <w:tcW w:w="26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显示屏</w:t>
            </w:r>
            <w:r/>
          </w:p>
        </w:tc>
        <w:tc>
          <w:tcPr>
            <w:tcW w:w="689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电子显示屏1个</w:t>
            </w:r>
            <w:r/>
          </w:p>
        </w:tc>
      </w:tr>
      <w:tr>
        <w:trPr>
          <w:trHeight w:val="454"/>
        </w:trPr>
        <w:tc>
          <w:tcPr>
            <w:gridSpan w:val="2"/>
            <w:tcW w:w="9564" w:type="dxa"/>
            <w:vAlign w:val="center"/>
            <w:textDirection w:val="lrTb"/>
            <w:noWrap w:val="false"/>
          </w:tcPr>
          <w:p>
            <w:pPr>
              <w:jc w:val="center"/>
              <w:rPr>
                <w:rFonts w:hint="eastAsia" w:ascii="宋体" w:hAnsi="宋体" w:cs="宋体"/>
                <w:sz w:val="24"/>
                <w:szCs w:val="24"/>
              </w:rPr>
            </w:pPr>
            <w:r>
              <w:rPr>
                <w:rFonts w:hint="eastAsia" w:ascii="宋体" w:hAnsi="宋体" w:cs="宋体"/>
                <w:b/>
                <w:bCs/>
                <w:sz w:val="24"/>
                <w:szCs w:val="24"/>
              </w:rPr>
              <w:t xml:space="preserve">宿迁市新沂河调度工程管理处</w:t>
            </w:r>
            <w:r/>
          </w:p>
        </w:tc>
      </w:tr>
      <w:tr>
        <w:trPr>
          <w:trHeight w:val="454"/>
        </w:trPr>
        <w:tc>
          <w:tcPr>
            <w:tcW w:w="2671" w:type="dxa"/>
            <w:vAlign w:val="center"/>
            <w:textDirection w:val="lrTb"/>
            <w:noWrap w:val="false"/>
          </w:tcPr>
          <w:p>
            <w:pPr>
              <w:rPr>
                <w:rFonts w:hint="eastAsia" w:ascii="宋体" w:hAnsi="宋体" w:cs="宋体"/>
              </w:rPr>
            </w:pPr>
            <w:r>
              <w:rPr>
                <w:rFonts w:hint="eastAsia" w:ascii="宋体" w:hAnsi="宋体" w:cs="宋体"/>
              </w:rPr>
              <w:t xml:space="preserve">绿化</w:t>
            </w:r>
            <w:r/>
          </w:p>
        </w:tc>
        <w:tc>
          <w:tcPr>
            <w:tcW w:w="6893" w:type="dxa"/>
            <w:vAlign w:val="center"/>
            <w:textDirection w:val="lrTb"/>
            <w:noWrap w:val="false"/>
          </w:tcPr>
          <w:p>
            <w:pPr>
              <w:rPr>
                <w:rFonts w:hint="eastAsia" w:ascii="宋体" w:hAnsi="宋体" w:cs="宋体"/>
              </w:rPr>
            </w:pPr>
            <w:r>
              <w:rPr>
                <w:rFonts w:hint="eastAsia" w:ascii="宋体" w:hAnsi="宋体" w:cs="宋体"/>
              </w:rPr>
              <w:t xml:space="preserve">绿化3000 平方米</w:t>
            </w:r>
            <w:r/>
          </w:p>
        </w:tc>
      </w:tr>
      <w:tr>
        <w:trPr>
          <w:trHeight w:val="454"/>
        </w:trPr>
        <w:tc>
          <w:tcPr>
            <w:tcW w:w="2671" w:type="dxa"/>
            <w:vAlign w:val="center"/>
            <w:textDirection w:val="lrTb"/>
            <w:noWrap w:val="false"/>
          </w:tcPr>
          <w:p>
            <w:pPr>
              <w:rPr>
                <w:rFonts w:hint="eastAsia" w:ascii="宋体" w:hAnsi="宋体" w:cs="宋体"/>
              </w:rPr>
            </w:pPr>
            <w:r>
              <w:rPr>
                <w:rFonts w:hint="eastAsia" w:ascii="宋体" w:hAnsi="宋体" w:cs="宋体"/>
              </w:rPr>
              <w:t xml:space="preserve">单位内部道路</w:t>
            </w:r>
            <w:r/>
          </w:p>
        </w:tc>
        <w:tc>
          <w:tcPr>
            <w:tcW w:w="6893" w:type="dxa"/>
            <w:vAlign w:val="center"/>
            <w:textDirection w:val="lrTb"/>
            <w:noWrap w:val="false"/>
          </w:tcPr>
          <w:p>
            <w:pPr>
              <w:rPr>
                <w:rFonts w:hint="eastAsia" w:ascii="宋体" w:hAnsi="宋体" w:cs="宋体"/>
              </w:rPr>
            </w:pPr>
            <w:r>
              <w:rPr>
                <w:rFonts w:hint="eastAsia" w:ascii="宋体" w:hAnsi="宋体" w:cs="宋体"/>
              </w:rPr>
              <w:t xml:space="preserve">1500平方</w:t>
            </w:r>
            <w:r/>
          </w:p>
        </w:tc>
      </w:tr>
    </w:tbl>
    <w:p>
      <w:pPr>
        <w:pStyle w:val="1240"/>
        <w:spacing w:before="0" w:after="0" w:line="360" w:lineRule="auto"/>
        <w:rPr>
          <w:rFonts w:hint="eastAsia" w:ascii="宋体" w:hAnsi="宋体" w:eastAsia="宋体" w:cs="宋体"/>
          <w:bCs/>
          <w:szCs w:val="32"/>
        </w:rPr>
      </w:pPr>
      <w:r>
        <w:rPr>
          <w:rFonts w:hint="eastAsia" w:ascii="宋体" w:hAnsi="宋体" w:eastAsia="宋体" w:cs="宋体"/>
          <w:bCs/>
          <w:szCs w:val="32"/>
        </w:rPr>
      </w:r>
      <w:r/>
    </w:p>
    <w:p>
      <w:pPr>
        <w:pStyle w:val="1240"/>
        <w:spacing w:before="0" w:after="0" w:line="360" w:lineRule="auto"/>
        <w:rPr>
          <w:rFonts w:hint="eastAsia" w:ascii="宋体" w:hAnsi="宋体" w:eastAsia="宋体" w:cs="宋体"/>
          <w:b w:val="0"/>
          <w:sz w:val="21"/>
          <w:szCs w:val="22"/>
          <w:highlight w:val="yellow"/>
        </w:rPr>
      </w:pPr>
      <w:r>
        <w:rPr>
          <w:rFonts w:hint="eastAsia" w:ascii="宋体" w:hAnsi="宋体" w:eastAsia="宋体" w:cs="宋体"/>
          <w:bCs/>
          <w:szCs w:val="32"/>
        </w:rPr>
        <w:t xml:space="preserve">三、物业管理服务内容及标准</w:t>
      </w:r>
      <w:r/>
    </w:p>
    <w:p>
      <w:pPr>
        <w:ind w:firstLine="420"/>
        <w:spacing w:line="360" w:lineRule="auto"/>
        <w:rPr>
          <w:rFonts w:hint="eastAsia" w:ascii="宋体" w:hAnsi="宋体" w:cs="宋体"/>
        </w:rPr>
      </w:pPr>
      <w:r/>
      <w:bookmarkStart w:id="130" w:name="_Toc26485"/>
      <w:r/>
      <w:bookmarkStart w:id="131" w:name="_Toc26156"/>
      <w:r/>
      <w:bookmarkStart w:id="132" w:name="_Toc10498"/>
      <w:r>
        <w:rPr>
          <w:rFonts w:hint="eastAsia" w:ascii="宋体" w:hAnsi="宋体" w:cs="宋体"/>
        </w:rPr>
        <w:t xml:space="preserve">物业管理服务包括基本服务、保洁服务、保安服务、消防服务、供配电系统维护服务等。</w:t>
      </w:r>
      <w:r/>
    </w:p>
    <w:p>
      <w:pPr>
        <w:pStyle w:val="788"/>
        <w:ind w:firstLine="420"/>
        <w:spacing w:before="0" w:after="0"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bookmarkEnd w:id="130"/>
      <w:r/>
      <w:bookmarkEnd w:id="131"/>
      <w:r/>
      <w:bookmarkEnd w:id="132"/>
      <w:r>
        <w:rPr>
          <w:rFonts w:hint="eastAsia" w:ascii="宋体" w:hAnsi="宋体" w:eastAsia="宋体" w:cs="宋体"/>
          <w:b/>
          <w:bCs/>
          <w:sz w:val="24"/>
          <w:szCs w:val="24"/>
        </w:rPr>
        <w:t xml:space="preserve">1基本服务</w:t>
      </w:r>
      <w:r/>
    </w:p>
    <w:tbl>
      <w:tblPr>
        <w:tblStyle w:val="785"/>
        <w:tblW w:w="5127" w:type="pct"/>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98"/>
        <w:gridCol w:w="7666"/>
      </w:tblGrid>
      <w:tr>
        <w:trPr>
          <w:trHeight w:val="454"/>
        </w:trPr>
        <w:tc>
          <w:tcPr>
            <w:tcW w:w="675" w:type="dxa"/>
            <w:vAlign w:val="center"/>
            <w:textDirection w:val="lrTb"/>
            <w:noWrap w:val="false"/>
          </w:tcPr>
          <w:p>
            <w:pPr>
              <w:jc w:val="center"/>
              <w:spacing w:line="360" w:lineRule="exact"/>
              <w:widowControl/>
              <w:rPr>
                <w:rFonts w:hint="eastAsia" w:ascii="Times New Roman" w:hAnsi="Times New Roman" w:cs="宋体"/>
                <w:b/>
                <w:bCs/>
              </w:rPr>
            </w:pPr>
            <w:r>
              <w:rPr>
                <w:rFonts w:hint="eastAsia" w:ascii="Times New Roman" w:hAnsi="Times New Roman" w:cs="宋体"/>
                <w:b/>
                <w:bCs/>
              </w:rPr>
              <w:t xml:space="preserve">序号</w:t>
            </w:r>
            <w:r/>
          </w:p>
        </w:tc>
        <w:tc>
          <w:tcPr>
            <w:tcW w:w="1298" w:type="dxa"/>
            <w:vAlign w:val="center"/>
            <w:textDirection w:val="lrTb"/>
            <w:noWrap w:val="false"/>
          </w:tcPr>
          <w:p>
            <w:pPr>
              <w:jc w:val="center"/>
              <w:spacing w:line="360" w:lineRule="exact"/>
              <w:widowControl/>
              <w:rPr>
                <w:rFonts w:hint="eastAsia" w:ascii="Times New Roman" w:hAnsi="Times New Roman" w:cs="宋体"/>
                <w:b/>
                <w:bCs/>
              </w:rPr>
            </w:pPr>
            <w:r>
              <w:rPr>
                <w:rFonts w:hint="eastAsia" w:ascii="Times New Roman" w:hAnsi="Times New Roman" w:cs="宋体"/>
                <w:b/>
                <w:bCs/>
              </w:rPr>
              <w:t xml:space="preserve">服务内容</w:t>
            </w:r>
            <w:r/>
          </w:p>
        </w:tc>
        <w:tc>
          <w:tcPr>
            <w:tcW w:w="7666" w:type="dxa"/>
            <w:vAlign w:val="center"/>
            <w:textDirection w:val="lrTb"/>
            <w:noWrap w:val="false"/>
          </w:tcPr>
          <w:p>
            <w:pPr>
              <w:jc w:val="center"/>
              <w:spacing w:line="360" w:lineRule="exact"/>
              <w:widowControl/>
              <w:rPr>
                <w:rFonts w:hint="eastAsia" w:ascii="Times New Roman" w:hAnsi="Times New Roman" w:cs="宋体"/>
                <w:b/>
                <w:bCs/>
              </w:rPr>
            </w:pPr>
            <w:r>
              <w:rPr>
                <w:rFonts w:hint="eastAsia" w:ascii="Times New Roman" w:hAnsi="Times New Roman" w:cs="宋体"/>
                <w:b/>
                <w:bCs/>
              </w:rPr>
              <w:t xml:space="preserve">服务标准</w:t>
            </w:r>
            <w:r/>
          </w:p>
        </w:tc>
      </w:tr>
      <w:tr>
        <w:trPr>
          <w:cantSplit/>
          <w:trHeight w:val="454"/>
        </w:trPr>
        <w:tc>
          <w:tcPr>
            <w:tcW w:w="675" w:type="dxa"/>
            <w:vAlign w:val="center"/>
            <w:vMerge w:val="restart"/>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t xml:space="preserve">1</w:t>
            </w:r>
            <w:r/>
          </w:p>
        </w:tc>
        <w:tc>
          <w:tcPr>
            <w:tcW w:w="1298" w:type="dxa"/>
            <w:vAlign w:val="center"/>
            <w:vMerge w:val="restart"/>
            <w:textDirection w:val="lrTb"/>
            <w:noWrap w:val="false"/>
          </w:tcPr>
          <w:p>
            <w:pPr>
              <w:spacing w:line="360" w:lineRule="exact"/>
              <w:widowControl/>
              <w:rPr>
                <w:rFonts w:hint="eastAsia" w:ascii="Times New Roman" w:hAnsi="Times New Roman" w:cs="宋体"/>
              </w:rPr>
            </w:pPr>
            <w:r>
              <w:rPr>
                <w:rFonts w:hint="eastAsia" w:ascii="Times New Roman" w:hAnsi="Times New Roman" w:cs="宋体"/>
              </w:rPr>
              <w:t xml:space="preserve">目标与责任</w:t>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（1）结合采购人要求及物业服务实际情况，制定年度管理目标，明确责任分工，并制定配套实施方案。</w:t>
            </w:r>
            <w:r/>
          </w:p>
        </w:tc>
      </w:tr>
      <w:tr>
        <w:trPr>
          <w:cantSplit/>
          <w:trHeight w:val="454"/>
        </w:trPr>
        <w:tc>
          <w:tcPr>
            <w:tcW w:w="675" w:type="dxa"/>
            <w:vAlign w:val="center"/>
            <w:vMerge w:val="continue"/>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r>
            <w:r/>
          </w:p>
        </w:tc>
        <w:tc>
          <w:tcPr>
            <w:tcW w:w="1298" w:type="dxa"/>
            <w:vAlign w:val="center"/>
            <w:vMerge w:val="continue"/>
            <w:textDirection w:val="lrTb"/>
            <w:noWrap w:val="false"/>
          </w:tcPr>
          <w:p>
            <w:pPr>
              <w:spacing w:line="360" w:lineRule="exact"/>
              <w:widowControl/>
              <w:rPr>
                <w:rFonts w:hint="eastAsia" w:ascii="Times New Roman" w:hAnsi="Times New Roman" w:cs="宋体"/>
              </w:rPr>
            </w:pPr>
            <w:r>
              <w:rPr>
                <w:rFonts w:hint="eastAsia" w:ascii="Times New Roman" w:hAnsi="Times New Roman" w:cs="宋体"/>
              </w:rPr>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（2）配合采购人各类重大活动现场保洁、秩序维护、会务保障等。</w:t>
            </w:r>
            <w:r/>
          </w:p>
        </w:tc>
      </w:tr>
      <w:tr>
        <w:trPr>
          <w:cantSplit/>
          <w:trHeight w:val="454"/>
        </w:trPr>
        <w:tc>
          <w:tcPr>
            <w:tcW w:w="675" w:type="dxa"/>
            <w:vAlign w:val="center"/>
            <w:vMerge w:val="restart"/>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t xml:space="preserve">2</w:t>
            </w:r>
            <w:r/>
          </w:p>
        </w:tc>
        <w:tc>
          <w:tcPr>
            <w:tcW w:w="1298" w:type="dxa"/>
            <w:vAlign w:val="center"/>
            <w:vMerge w:val="restart"/>
            <w:textDirection w:val="lrTb"/>
            <w:noWrap w:val="false"/>
          </w:tcPr>
          <w:p>
            <w:pPr>
              <w:spacing w:line="360" w:lineRule="exact"/>
              <w:widowControl/>
              <w:rPr>
                <w:rFonts w:hint="eastAsia" w:ascii="Times New Roman" w:hAnsi="Times New Roman" w:cs="宋体"/>
              </w:rPr>
            </w:pPr>
            <w:r>
              <w:rPr>
                <w:rFonts w:hint="eastAsia" w:ascii="Times New Roman" w:hAnsi="Times New Roman" w:cs="宋体"/>
              </w:rPr>
              <w:t xml:space="preserve">服务人员要求</w:t>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（1）每季度至少开展1次岗位技能、职业素质、服务知识、客户文化、绿色节能环保等教育培训，并进行适当形式的考核。</w:t>
            </w:r>
            <w:r/>
          </w:p>
        </w:tc>
      </w:tr>
      <w:tr>
        <w:trPr>
          <w:cantSplit/>
          <w:trHeight w:val="454"/>
        </w:trPr>
        <w:tc>
          <w:tcPr>
            <w:tcW w:w="675" w:type="dxa"/>
            <w:vAlign w:val="center"/>
            <w:vMerge w:val="continue"/>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r>
            <w:r/>
          </w:p>
        </w:tc>
        <w:tc>
          <w:tcPr>
            <w:tcW w:w="1298" w:type="dxa"/>
            <w:vAlign w:val="center"/>
            <w:vMerge w:val="continue"/>
            <w:textDirection w:val="lrTb"/>
            <w:noWrap w:val="false"/>
          </w:tcPr>
          <w:p>
            <w:pPr>
              <w:spacing w:line="360" w:lineRule="exact"/>
              <w:rPr>
                <w:rFonts w:hint="eastAsia" w:ascii="Times New Roman" w:hAnsi="Times New Roman" w:cs="宋体"/>
              </w:rPr>
            </w:pPr>
            <w:r>
              <w:rPr>
                <w:rFonts w:hint="eastAsia" w:ascii="Times New Roman" w:hAnsi="Times New Roman" w:cs="宋体"/>
              </w:rPr>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（2）根据采购人要求对服务人员进行从业资格审查，审查结果向采购人报备。</w:t>
            </w:r>
            <w:r/>
          </w:p>
        </w:tc>
      </w:tr>
      <w:tr>
        <w:trPr>
          <w:cantSplit/>
          <w:trHeight w:val="454"/>
        </w:trPr>
        <w:tc>
          <w:tcPr>
            <w:tcW w:w="675" w:type="dxa"/>
            <w:vAlign w:val="center"/>
            <w:vMerge w:val="continue"/>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r>
            <w:r/>
          </w:p>
        </w:tc>
        <w:tc>
          <w:tcPr>
            <w:tcW w:w="1298" w:type="dxa"/>
            <w:vAlign w:val="center"/>
            <w:vMerge w:val="continue"/>
            <w:textDirection w:val="lrTb"/>
            <w:noWrap w:val="false"/>
          </w:tcPr>
          <w:p>
            <w:pPr>
              <w:spacing w:line="360" w:lineRule="exact"/>
              <w:rPr>
                <w:rFonts w:hint="eastAsia" w:ascii="Times New Roman" w:hAnsi="Times New Roman" w:cs="宋体"/>
              </w:rPr>
            </w:pPr>
            <w:r>
              <w:rPr>
                <w:rFonts w:hint="eastAsia" w:ascii="Times New Roman" w:hAnsi="Times New Roman" w:cs="宋体"/>
              </w:rPr>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（3）</w:t>
            </w:r>
            <w:r>
              <w:rPr>
                <w:rFonts w:hint="eastAsia" w:ascii="Times New Roman" w:hAnsi="Times New Roman" w:cs="宋体"/>
                <w:bCs/>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trHeight w:val="454"/>
        </w:trPr>
        <w:tc>
          <w:tcPr>
            <w:tcW w:w="675" w:type="dxa"/>
            <w:vAlign w:val="center"/>
            <w:vMerge w:val="continue"/>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r>
            <w:r/>
          </w:p>
        </w:tc>
        <w:tc>
          <w:tcPr>
            <w:tcW w:w="1298" w:type="dxa"/>
            <w:vAlign w:val="center"/>
            <w:vMerge w:val="continue"/>
            <w:textDirection w:val="lrTb"/>
            <w:noWrap w:val="false"/>
          </w:tcPr>
          <w:p>
            <w:pPr>
              <w:spacing w:line="360" w:lineRule="exact"/>
              <w:rPr>
                <w:rFonts w:hint="eastAsia" w:ascii="Times New Roman" w:hAnsi="Times New Roman" w:cs="宋体"/>
              </w:rPr>
            </w:pPr>
            <w:r>
              <w:rPr>
                <w:rFonts w:hint="eastAsia" w:ascii="Times New Roman" w:hAnsi="Times New Roman" w:cs="宋体"/>
              </w:rPr>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（4）</w:t>
            </w:r>
            <w:r>
              <w:rPr>
                <w:rFonts w:hint="eastAsia" w:ascii="Times New Roman" w:hAnsi="Times New Roman" w:cs="宋体"/>
                <w:bCs/>
              </w:rPr>
              <w:t xml:space="preserve">如采购人认为服务人员不适应岗位要求或存在其他影响工作的，可要求供应商进行调换。如因供应商原因对服务人员进行调换，应当经采购人同意，更换比例不得超过本项目服务人员总数的15%。本项目服务人员不得在其他项目兼职。</w:t>
            </w:r>
            <w:r/>
          </w:p>
        </w:tc>
      </w:tr>
      <w:tr>
        <w:trPr>
          <w:cantSplit/>
          <w:trHeight w:val="454"/>
        </w:trPr>
        <w:tc>
          <w:tcPr>
            <w:tcW w:w="675" w:type="dxa"/>
            <w:vAlign w:val="center"/>
            <w:vMerge w:val="continue"/>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r>
            <w:r/>
          </w:p>
        </w:tc>
        <w:tc>
          <w:tcPr>
            <w:tcW w:w="1298" w:type="dxa"/>
            <w:vAlign w:val="center"/>
            <w:vMerge w:val="continue"/>
            <w:textDirection w:val="lrTb"/>
            <w:noWrap w:val="false"/>
          </w:tcPr>
          <w:p>
            <w:pPr>
              <w:spacing w:line="360" w:lineRule="exact"/>
              <w:rPr>
                <w:rFonts w:hint="eastAsia" w:ascii="Times New Roman" w:hAnsi="Times New Roman" w:cs="宋体"/>
              </w:rPr>
            </w:pPr>
            <w:r>
              <w:rPr>
                <w:rFonts w:hint="eastAsia" w:ascii="Times New Roman" w:hAnsi="Times New Roman" w:cs="宋体"/>
              </w:rPr>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（5）着装分类统一，佩戴标识。仪容整洁、姿态端正、举止文明。用语文明礼貌，态度温和耐心。</w:t>
            </w:r>
            <w:r/>
          </w:p>
        </w:tc>
      </w:tr>
      <w:tr>
        <w:trPr>
          <w:cantSplit/>
          <w:trHeight w:val="454"/>
        </w:trPr>
        <w:tc>
          <w:tcPr>
            <w:tcW w:w="675" w:type="dxa"/>
            <w:vAlign w:val="center"/>
            <w:vMerge w:val="restart"/>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t xml:space="preserve">3</w:t>
            </w:r>
            <w:r/>
          </w:p>
        </w:tc>
        <w:tc>
          <w:tcPr>
            <w:tcW w:w="1298" w:type="dxa"/>
            <w:vAlign w:val="center"/>
            <w:vMerge w:val="restart"/>
            <w:textDirection w:val="lrTb"/>
            <w:noWrap w:val="false"/>
          </w:tcPr>
          <w:p>
            <w:pPr>
              <w:spacing w:line="360" w:lineRule="exact"/>
              <w:widowControl/>
              <w:rPr>
                <w:rFonts w:hint="eastAsia" w:ascii="Times New Roman" w:hAnsi="Times New Roman" w:cs="宋体"/>
              </w:rPr>
            </w:pPr>
            <w:r>
              <w:rPr>
                <w:rFonts w:hint="eastAsia" w:ascii="Times New Roman" w:hAnsi="Times New Roman" w:cs="宋体"/>
              </w:rPr>
              <w:t xml:space="preserve">档案管理</w:t>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（1）建立物业信息，准确、及时地对文件资料和服务记录进行归档保存，并确保其物理安全。</w:t>
            </w:r>
            <w:r/>
          </w:p>
        </w:tc>
      </w:tr>
      <w:tr>
        <w:trPr>
          <w:cantSplit/>
          <w:trHeight w:val="454"/>
        </w:trPr>
        <w:tc>
          <w:tcPr>
            <w:tcW w:w="675" w:type="dxa"/>
            <w:vAlign w:val="center"/>
            <w:vMerge w:val="continue"/>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r>
            <w:r/>
          </w:p>
        </w:tc>
        <w:tc>
          <w:tcPr>
            <w:tcW w:w="1298" w:type="dxa"/>
            <w:vAlign w:val="center"/>
            <w:vMerge w:val="continue"/>
            <w:textDirection w:val="lrTb"/>
            <w:noWrap w:val="false"/>
          </w:tcPr>
          <w:p>
            <w:pPr>
              <w:spacing w:line="360" w:lineRule="exact"/>
              <w:widowControl/>
              <w:rPr>
                <w:rFonts w:hint="eastAsia" w:ascii="Times New Roman" w:hAnsi="Times New Roman" w:cs="宋体"/>
              </w:rPr>
            </w:pPr>
            <w:r>
              <w:rPr>
                <w:rFonts w:hint="eastAsia" w:ascii="Times New Roman" w:hAnsi="Times New Roman" w:cs="宋体"/>
              </w:rPr>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⑦其他：客户信息、财务明细、合同协议、信报信息登记、大件物品进出登记等。</w:t>
            </w:r>
            <w:r/>
          </w:p>
        </w:tc>
      </w:tr>
      <w:tr>
        <w:trPr>
          <w:cantSplit/>
          <w:trHeight w:val="454"/>
        </w:trPr>
        <w:tc>
          <w:tcPr>
            <w:tcW w:w="675" w:type="dxa"/>
            <w:vAlign w:val="center"/>
            <w:vMerge w:val="continue"/>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r>
            <w:r/>
          </w:p>
        </w:tc>
        <w:tc>
          <w:tcPr>
            <w:tcW w:w="1298" w:type="dxa"/>
            <w:vAlign w:val="center"/>
            <w:vMerge w:val="continue"/>
            <w:textDirection w:val="lrTb"/>
            <w:noWrap w:val="false"/>
          </w:tcPr>
          <w:p>
            <w:pPr>
              <w:spacing w:line="360" w:lineRule="exact"/>
              <w:widowControl/>
              <w:rPr>
                <w:rFonts w:hint="eastAsia" w:ascii="Times New Roman" w:hAnsi="Times New Roman" w:cs="宋体"/>
              </w:rPr>
            </w:pPr>
            <w:r>
              <w:rPr>
                <w:rFonts w:hint="eastAsia" w:ascii="Times New Roman" w:hAnsi="Times New Roman" w:cs="宋体"/>
              </w:rPr>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（3）遵守采购人的信息、档案资料保密要求，未经许可，不得将建筑物平面图等资料转作其他用途或向其他单位、个人提供。</w:t>
            </w:r>
            <w:r/>
          </w:p>
        </w:tc>
      </w:tr>
      <w:tr>
        <w:trPr>
          <w:cantSplit/>
          <w:trHeight w:val="454"/>
        </w:trPr>
        <w:tc>
          <w:tcPr>
            <w:tcW w:w="675" w:type="dxa"/>
            <w:vAlign w:val="center"/>
            <w:vMerge w:val="continue"/>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r>
            <w:r/>
          </w:p>
        </w:tc>
        <w:tc>
          <w:tcPr>
            <w:tcW w:w="1298" w:type="dxa"/>
            <w:vAlign w:val="center"/>
            <w:vMerge w:val="continue"/>
            <w:textDirection w:val="lrTb"/>
            <w:noWrap w:val="false"/>
          </w:tcPr>
          <w:p>
            <w:pPr>
              <w:spacing w:line="360" w:lineRule="exact"/>
              <w:widowControl/>
              <w:rPr>
                <w:rFonts w:hint="eastAsia" w:ascii="Times New Roman" w:hAnsi="Times New Roman" w:cs="宋体"/>
              </w:rPr>
            </w:pPr>
            <w:r>
              <w:rPr>
                <w:rFonts w:hint="eastAsia" w:ascii="Times New Roman" w:hAnsi="Times New Roman" w:cs="宋体"/>
              </w:rPr>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（4）履约结束后，相关资料交还采购人，采购人按政府采购相关规定存档。</w:t>
            </w:r>
            <w:r/>
          </w:p>
        </w:tc>
      </w:tr>
      <w:tr>
        <w:trPr>
          <w:cantSplit/>
          <w:trHeight w:val="454"/>
        </w:trPr>
        <w:tc>
          <w:tcPr>
            <w:tcW w:w="675" w:type="dxa"/>
            <w:vAlign w:val="center"/>
            <w:vMerge w:val="restart"/>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t xml:space="preserve">4</w:t>
            </w:r>
            <w:r/>
          </w:p>
        </w:tc>
        <w:tc>
          <w:tcPr>
            <w:tcW w:w="1298" w:type="dxa"/>
            <w:vAlign w:val="center"/>
            <w:vMerge w:val="restart"/>
            <w:textDirection w:val="lrTb"/>
            <w:noWrap w:val="false"/>
          </w:tcPr>
          <w:p>
            <w:pPr>
              <w:spacing w:line="360" w:lineRule="exact"/>
              <w:widowControl/>
              <w:rPr>
                <w:rFonts w:hint="eastAsia" w:ascii="Times New Roman" w:hAnsi="Times New Roman" w:cs="宋体"/>
              </w:rPr>
            </w:pPr>
            <w:r>
              <w:rPr>
                <w:rFonts w:hint="eastAsia" w:ascii="Times New Roman" w:hAnsi="Times New Roman" w:cs="宋体"/>
              </w:rPr>
              <w:t xml:space="preserve">服务改进</w:t>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（1）明确负责人，定期对物业服务过程进行自查，结合反馈意见与评价结果采取改进措施，持续提升管理与服务水平。</w:t>
            </w:r>
            <w:r/>
          </w:p>
        </w:tc>
      </w:tr>
      <w:tr>
        <w:trPr>
          <w:cantSplit/>
          <w:trHeight w:val="454"/>
        </w:trPr>
        <w:tc>
          <w:tcPr>
            <w:tcW w:w="675" w:type="dxa"/>
            <w:vAlign w:val="center"/>
            <w:vMerge w:val="continue"/>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r>
            <w:r/>
          </w:p>
        </w:tc>
        <w:tc>
          <w:tcPr>
            <w:tcW w:w="1298" w:type="dxa"/>
            <w:vAlign w:val="center"/>
            <w:vMerge w:val="continue"/>
            <w:textDirection w:val="lrTb"/>
            <w:noWrap w:val="false"/>
          </w:tcPr>
          <w:p>
            <w:pPr>
              <w:spacing w:line="360" w:lineRule="exact"/>
              <w:widowControl/>
              <w:rPr>
                <w:rFonts w:hint="eastAsia" w:ascii="Times New Roman" w:hAnsi="Times New Roman" w:cs="宋体"/>
              </w:rPr>
            </w:pPr>
            <w:r>
              <w:rPr>
                <w:rFonts w:hint="eastAsia" w:ascii="Times New Roman" w:hAnsi="Times New Roman" w:cs="宋体"/>
              </w:rPr>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（2）对不合格服务进行控制，对不合格服务的原因进行识别和分析，及时采取纠正措施，消除不合格的原因，防止不合格再发生。</w:t>
            </w:r>
            <w:r/>
          </w:p>
        </w:tc>
      </w:tr>
      <w:tr>
        <w:trPr>
          <w:cantSplit/>
          <w:trHeight w:val="454"/>
        </w:trPr>
        <w:tc>
          <w:tcPr>
            <w:tcW w:w="675" w:type="dxa"/>
            <w:vAlign w:val="center"/>
            <w:vMerge w:val="continue"/>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r>
            <w:r/>
          </w:p>
        </w:tc>
        <w:tc>
          <w:tcPr>
            <w:tcW w:w="1298" w:type="dxa"/>
            <w:vAlign w:val="center"/>
            <w:vMerge w:val="continue"/>
            <w:textDirection w:val="lrTb"/>
            <w:noWrap w:val="false"/>
          </w:tcPr>
          <w:p>
            <w:pPr>
              <w:spacing w:line="360" w:lineRule="exact"/>
              <w:widowControl/>
              <w:rPr>
                <w:rFonts w:hint="eastAsia" w:ascii="Times New Roman" w:hAnsi="Times New Roman" w:cs="宋体"/>
              </w:rPr>
            </w:pPr>
            <w:r>
              <w:rPr>
                <w:rFonts w:hint="eastAsia" w:ascii="Times New Roman" w:hAnsi="Times New Roman" w:cs="宋体"/>
              </w:rPr>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（3）需整改问题及时整改完成。</w:t>
            </w:r>
            <w:r/>
          </w:p>
        </w:tc>
      </w:tr>
      <w:tr>
        <w:trPr>
          <w:cantSplit/>
          <w:trHeight w:val="454"/>
        </w:trPr>
        <w:tc>
          <w:tcPr>
            <w:tcW w:w="675" w:type="dxa"/>
            <w:vAlign w:val="center"/>
            <w:vMerge w:val="restart"/>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t xml:space="preserve">5</w:t>
            </w:r>
            <w:r/>
          </w:p>
        </w:tc>
        <w:tc>
          <w:tcPr>
            <w:tcW w:w="1298" w:type="dxa"/>
            <w:vAlign w:val="center"/>
            <w:vMerge w:val="restart"/>
            <w:textDirection w:val="lrTb"/>
            <w:noWrap w:val="false"/>
          </w:tcPr>
          <w:p>
            <w:pPr>
              <w:spacing w:line="360" w:lineRule="exact"/>
              <w:widowControl/>
              <w:rPr>
                <w:rFonts w:hint="eastAsia" w:ascii="Times New Roman" w:hAnsi="Times New Roman" w:cs="宋体"/>
              </w:rPr>
            </w:pPr>
            <w:r>
              <w:rPr>
                <w:rFonts w:hint="eastAsia" w:ascii="Times New Roman" w:hAnsi="Times New Roman" w:cs="宋体"/>
              </w:rPr>
              <w:t xml:space="preserve">服务方案及工作制度</w:t>
            </w:r>
            <w:r/>
          </w:p>
        </w:tc>
        <w:tc>
          <w:tcPr>
            <w:tcW w:w="7666" w:type="dxa"/>
            <w:vAlign w:val="center"/>
            <w:textDirection w:val="lrTb"/>
            <w:noWrap w:val="false"/>
          </w:tcPr>
          <w:p>
            <w:pPr>
              <w:jc w:val="left"/>
              <w:spacing w:line="360" w:lineRule="exact"/>
              <w:widowControl/>
              <w:rPr>
                <w:rFonts w:hint="eastAsia" w:ascii="Times New Roman" w:hAnsi="Times New Roman" w:cs="宋体"/>
                <w:bCs/>
              </w:rPr>
            </w:pPr>
            <w:r>
              <w:rPr>
                <w:rFonts w:hint="eastAsia" w:ascii="Times New Roman" w:hAnsi="Times New Roman" w:cs="宋体"/>
              </w:rPr>
              <w:t xml:space="preserve">（1）制定工作制度，</w:t>
            </w:r>
            <w:r>
              <w:rPr>
                <w:rFonts w:hint="eastAsia" w:ascii="Times New Roman" w:hAnsi="Times New Roman" w:cs="宋体"/>
                <w:bCs/>
              </w:rPr>
              <w:t xml:space="preserve">主要包括：人员录用制度、</w:t>
            </w:r>
            <w:r>
              <w:rPr>
                <w:rFonts w:hint="eastAsia" w:ascii="Times New Roman" w:hAnsi="Times New Roman" w:cs="宋体"/>
              </w:rPr>
              <w:t xml:space="preserve">档案管理制度、</w:t>
            </w:r>
            <w:r>
              <w:rPr>
                <w:rFonts w:hint="eastAsia" w:ascii="Times New Roman" w:hAnsi="Times New Roman" w:cs="宋体"/>
                <w:bCs/>
              </w:rPr>
              <w:t xml:space="preserve">物业服务管理制度、</w:t>
            </w:r>
            <w:r>
              <w:rPr>
                <w:rFonts w:hint="eastAsia" w:ascii="Times New Roman" w:hAnsi="Times New Roman" w:cs="宋体"/>
              </w:rPr>
              <w:t xml:space="preserve">公用设施设备相关管理制度等</w:t>
            </w:r>
            <w:r>
              <w:rPr>
                <w:rFonts w:hint="eastAsia" w:ascii="Times New Roman" w:hAnsi="Times New Roman" w:cs="宋体"/>
                <w:bCs/>
              </w:rPr>
              <w:t xml:space="preserve">。</w:t>
            </w:r>
            <w:r/>
          </w:p>
        </w:tc>
      </w:tr>
      <w:tr>
        <w:trPr>
          <w:cantSplit/>
          <w:trHeight w:val="454"/>
        </w:trPr>
        <w:tc>
          <w:tcPr>
            <w:tcW w:w="675" w:type="dxa"/>
            <w:vAlign w:val="center"/>
            <w:vMerge w:val="continue"/>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r>
            <w:r/>
          </w:p>
        </w:tc>
        <w:tc>
          <w:tcPr>
            <w:tcW w:w="1298" w:type="dxa"/>
            <w:vAlign w:val="center"/>
            <w:vMerge w:val="continue"/>
            <w:textDirection w:val="lrTb"/>
            <w:noWrap w:val="false"/>
          </w:tcPr>
          <w:p>
            <w:pPr>
              <w:spacing w:line="360" w:lineRule="exact"/>
              <w:widowControl/>
              <w:rPr>
                <w:rFonts w:hint="eastAsia" w:ascii="Times New Roman" w:hAnsi="Times New Roman" w:cs="宋体"/>
              </w:rPr>
            </w:pPr>
            <w:r>
              <w:rPr>
                <w:rFonts w:hint="eastAsia" w:ascii="Times New Roman" w:hAnsi="Times New Roman" w:cs="宋体"/>
              </w:rPr>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（2）制定</w:t>
            </w:r>
            <w:r>
              <w:rPr>
                <w:rFonts w:hint="eastAsia" w:ascii="Times New Roman" w:hAnsi="Times New Roman" w:cs="宋体"/>
                <w:bCs/>
              </w:rPr>
              <w:t xml:space="preserve">项目实施方案，主要包括：交接方案、人员培训方案、人员稳定性方案、保密方案等。</w:t>
            </w:r>
            <w:r/>
          </w:p>
        </w:tc>
      </w:tr>
      <w:tr>
        <w:trPr>
          <w:cantSplit/>
          <w:trHeight w:val="454"/>
        </w:trPr>
        <w:tc>
          <w:tcPr>
            <w:tcW w:w="675" w:type="dxa"/>
            <w:vAlign w:val="center"/>
            <w:vMerge w:val="continue"/>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r>
            <w:r/>
          </w:p>
        </w:tc>
        <w:tc>
          <w:tcPr>
            <w:tcW w:w="1298" w:type="dxa"/>
            <w:vAlign w:val="center"/>
            <w:vMerge w:val="continue"/>
            <w:textDirection w:val="lrTb"/>
            <w:noWrap w:val="false"/>
          </w:tcPr>
          <w:p>
            <w:pPr>
              <w:spacing w:line="360" w:lineRule="exact"/>
              <w:widowControl/>
              <w:rPr>
                <w:rFonts w:hint="eastAsia" w:ascii="Times New Roman" w:hAnsi="Times New Roman" w:cs="宋体"/>
              </w:rPr>
            </w:pPr>
            <w:r>
              <w:rPr>
                <w:rFonts w:hint="eastAsia" w:ascii="Times New Roman" w:hAnsi="Times New Roman" w:cs="宋体"/>
              </w:rPr>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（3）制定</w:t>
            </w:r>
            <w:r>
              <w:rPr>
                <w:rFonts w:hint="eastAsia" w:ascii="Times New Roman" w:hAnsi="Times New Roman" w:cs="宋体"/>
                <w:bCs/>
              </w:rPr>
              <w:t xml:space="preserve">物业服务方案，主要包括：公用设施设备维护服务方案、保洁服务方案、保安服务方案等。</w:t>
            </w:r>
            <w:r/>
          </w:p>
        </w:tc>
      </w:tr>
      <w:tr>
        <w:trPr>
          <w:trHeight w:val="454"/>
        </w:trPr>
        <w:tc>
          <w:tcPr>
            <w:tcW w:w="675" w:type="dxa"/>
            <w:vAlign w:val="center"/>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t xml:space="preserve">6</w:t>
            </w:r>
            <w:r/>
          </w:p>
        </w:tc>
        <w:tc>
          <w:tcPr>
            <w:tcW w:w="1298" w:type="dxa"/>
            <w:vAlign w:val="center"/>
            <w:textDirection w:val="lrTb"/>
            <w:noWrap w:val="false"/>
          </w:tcPr>
          <w:p>
            <w:pPr>
              <w:spacing w:line="360" w:lineRule="exact"/>
              <w:widowControl/>
              <w:rPr>
                <w:rFonts w:hint="eastAsia" w:ascii="Times New Roman" w:hAnsi="Times New Roman" w:cs="宋体"/>
              </w:rPr>
            </w:pPr>
            <w:r>
              <w:rPr>
                <w:rFonts w:hint="eastAsia" w:ascii="Times New Roman" w:hAnsi="Times New Roman" w:cs="宋体"/>
              </w:rPr>
              <w:t xml:space="preserve">物品出入服务</w:t>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（1）大件物品出入向采购人报告，待采购人确认无误后放行。</w:t>
            </w:r>
            <w:r/>
          </w:p>
        </w:tc>
      </w:tr>
      <w:tr>
        <w:trPr>
          <w:cantSplit/>
          <w:trHeight w:val="454"/>
        </w:trPr>
        <w:tc>
          <w:tcPr>
            <w:tcW w:w="675" w:type="dxa"/>
            <w:vAlign w:val="center"/>
            <w:vMerge w:val="restart"/>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t xml:space="preserve">7</w:t>
            </w:r>
            <w:r/>
          </w:p>
        </w:tc>
        <w:tc>
          <w:tcPr>
            <w:tcW w:w="1298" w:type="dxa"/>
            <w:vAlign w:val="center"/>
            <w:vMerge w:val="restart"/>
            <w:textDirection w:val="lrTb"/>
            <w:noWrap w:val="false"/>
          </w:tcPr>
          <w:p>
            <w:pPr>
              <w:spacing w:line="360" w:lineRule="exact"/>
              <w:widowControl/>
              <w:rPr>
                <w:rFonts w:hint="eastAsia" w:ascii="Times New Roman" w:hAnsi="Times New Roman" w:cs="宋体"/>
              </w:rPr>
            </w:pPr>
            <w:r>
              <w:rPr>
                <w:rFonts w:hint="eastAsia" w:ascii="Times New Roman" w:hAnsi="Times New Roman" w:cs="宋体"/>
              </w:rPr>
              <w:t xml:space="preserve">服务热线及紧急维修</w:t>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（1）设置24小时报修服务热线，随时有人响应报修、求助等服务需求。</w:t>
            </w:r>
            <w:r/>
          </w:p>
        </w:tc>
      </w:tr>
      <w:tr>
        <w:trPr>
          <w:cantSplit/>
          <w:trHeight w:val="454"/>
        </w:trPr>
        <w:tc>
          <w:tcPr>
            <w:tcW w:w="675" w:type="dxa"/>
            <w:vAlign w:val="center"/>
            <w:vMerge w:val="continue"/>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r>
            <w:r/>
          </w:p>
        </w:tc>
        <w:tc>
          <w:tcPr>
            <w:tcW w:w="1298" w:type="dxa"/>
            <w:vAlign w:val="center"/>
            <w:vMerge w:val="continue"/>
            <w:textDirection w:val="lrTb"/>
            <w:noWrap w:val="false"/>
          </w:tcPr>
          <w:p>
            <w:pPr>
              <w:spacing w:line="360" w:lineRule="exact"/>
              <w:widowControl/>
              <w:rPr>
                <w:rFonts w:hint="eastAsia" w:ascii="Times New Roman" w:hAnsi="Times New Roman" w:cs="宋体"/>
              </w:rPr>
            </w:pPr>
            <w:r>
              <w:rPr>
                <w:rFonts w:hint="eastAsia" w:ascii="Times New Roman" w:hAnsi="Times New Roman" w:cs="宋体"/>
              </w:rPr>
            </w:r>
            <w:r/>
          </w:p>
        </w:tc>
        <w:tc>
          <w:tcPr>
            <w:tcW w:w="7666" w:type="dxa"/>
            <w:vAlign w:val="center"/>
            <w:textDirection w:val="lrTb"/>
            <w:noWrap w:val="false"/>
          </w:tcPr>
          <w:p>
            <w:pPr>
              <w:jc w:val="left"/>
              <w:spacing w:line="360" w:lineRule="exact"/>
              <w:widowControl/>
              <w:rPr>
                <w:rFonts w:hint="eastAsia" w:ascii="Times New Roman" w:hAnsi="Times New Roman" w:cs="宋体"/>
              </w:rPr>
            </w:pPr>
            <w:r>
              <w:rPr>
                <w:rFonts w:hint="eastAsia" w:ascii="Times New Roman" w:hAnsi="Times New Roman" w:cs="宋体"/>
              </w:rPr>
              <w:t xml:space="preserve">（2）紧急维修应当5分钟内到达现场，不间断维修直至修复。</w:t>
            </w:r>
            <w:r/>
          </w:p>
        </w:tc>
      </w:tr>
    </w:tbl>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2"/>
        <w:jc w:val="left"/>
        <w:spacing w:line="500" w:lineRule="exact"/>
        <w:rPr>
          <w:rFonts w:hint="eastAsia" w:ascii="宋体" w:hAnsi="宋体" w:cs="宋体"/>
          <w:b/>
          <w:bCs/>
          <w:sz w:val="24"/>
          <w:szCs w:val="24"/>
        </w:rPr>
      </w:pPr>
      <w:r>
        <w:rPr>
          <w:rFonts w:hint="eastAsia" w:ascii="宋体" w:hAnsi="宋体" w:cs="宋体"/>
          <w:b/>
          <w:bCs/>
          <w:sz w:val="24"/>
          <w:szCs w:val="24"/>
        </w:rPr>
        <w:t xml:space="preserve">3.2保洁服务</w:t>
      </w:r>
      <w:r/>
    </w:p>
    <w:p>
      <w:pPr>
        <w:numPr>
          <w:ilvl w:val="0"/>
          <w:numId w:val="3"/>
        </w:numPr>
        <w:ind w:firstLine="482"/>
        <w:jc w:val="left"/>
        <w:spacing w:line="500" w:lineRule="exact"/>
        <w:rPr>
          <w:rFonts w:hint="eastAsia" w:ascii="宋体" w:hAnsi="宋体" w:cs="宋体"/>
          <w:b/>
          <w:bCs/>
          <w:sz w:val="24"/>
          <w:szCs w:val="24"/>
        </w:rPr>
      </w:pPr>
      <w:r>
        <w:rPr>
          <w:rFonts w:hint="eastAsia" w:ascii="宋体" w:hAnsi="宋体" w:cs="宋体"/>
          <w:b/>
          <w:bCs/>
          <w:sz w:val="24"/>
          <w:szCs w:val="24"/>
        </w:rPr>
        <w:t xml:space="preserve">宿迁市传染病医院</w:t>
      </w:r>
      <w:r/>
    </w:p>
    <w:tbl>
      <w:tblPr>
        <w:tblStyle w:val="785"/>
        <w:tblW w:w="507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2179"/>
        <w:gridCol w:w="6571"/>
      </w:tblGrid>
      <w:tr>
        <w:trPr>
          <w:trHeight w:val="454"/>
        </w:trPr>
        <w:tc>
          <w:tcPr>
            <w:tcW w:w="791"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2179"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服务内容</w:t>
            </w:r>
            <w:r/>
          </w:p>
        </w:tc>
        <w:tc>
          <w:tcPr>
            <w:tcW w:w="6571"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服务标准</w:t>
            </w:r>
            <w:r/>
          </w:p>
        </w:tc>
      </w:tr>
      <w:tr>
        <w:trPr>
          <w:trHeight w:val="454"/>
        </w:trPr>
        <w:tc>
          <w:tcPr>
            <w:tcW w:w="791"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W w:w="2179"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基本要求</w:t>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（1）建立保洁服务的工作制度及工作计划，并按照执行。</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（2）做好保洁服务工作记录，记录填写规范、保存完好。</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（3）作业时采取安全防护措施，防止对作业人员或他人造成伤害。相关耗材的环保、安全性等应当符合国家相关规定要求。</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（4）如遇紧急事故或突发事件等需要紧急处理，无条件服从甲方调用进行突击抢险和处理紧急任务。</w:t>
            </w:r>
            <w:r/>
          </w:p>
        </w:tc>
      </w:tr>
      <w:tr>
        <w:trPr>
          <w:trHeight w:val="1507"/>
        </w:trPr>
        <w:tc>
          <w:tcPr>
            <w:tcW w:w="791"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W w:w="2179"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办公用房区域保洁</w:t>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（1）大厅、楼内公共通道：</w:t>
            </w:r>
            <w:r/>
          </w:p>
          <w:p>
            <w:pPr>
              <w:jc w:val="left"/>
              <w:widowControl/>
              <w:rPr>
                <w:rFonts w:hint="eastAsia" w:ascii="宋体" w:hAnsi="宋体" w:cs="宋体"/>
                <w:sz w:val="24"/>
                <w:szCs w:val="24"/>
              </w:rPr>
            </w:pPr>
            <w:r>
              <w:rPr>
                <w:rFonts w:hint="eastAsia" w:ascii="宋体" w:hAnsi="宋体" w:cs="宋体"/>
                <w:sz w:val="24"/>
                <w:szCs w:val="24"/>
              </w:rPr>
              <w:t xml:space="preserve">①公共通道保持干净，无异味、无杂物、无积水。</w:t>
            </w:r>
            <w:r/>
          </w:p>
          <w:p>
            <w:pPr>
              <w:jc w:val="left"/>
              <w:widowControl/>
              <w:rPr>
                <w:rFonts w:hint="eastAsia" w:ascii="宋体" w:hAnsi="宋体" w:cs="宋体"/>
                <w:sz w:val="24"/>
                <w:szCs w:val="24"/>
              </w:rPr>
            </w:pPr>
            <w:r>
              <w:rPr>
                <w:rFonts w:hint="eastAsia" w:ascii="宋体" w:hAnsi="宋体" w:cs="宋体"/>
                <w:sz w:val="24"/>
                <w:szCs w:val="24"/>
              </w:rPr>
              <w:t xml:space="preserve">②门窗玻璃干净无尘，透光性好，每周至少开展1次清洁作业。</w:t>
            </w:r>
            <w:r/>
          </w:p>
        </w:tc>
      </w:tr>
      <w:tr>
        <w:trPr>
          <w:trHeight w:val="1095"/>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（2）电器、消防等设施设备：</w:t>
            </w:r>
            <w:r/>
          </w:p>
          <w:p>
            <w:pPr>
              <w:jc w:val="left"/>
              <w:widowControl/>
              <w:rPr>
                <w:rFonts w:hint="eastAsia" w:ascii="宋体" w:hAnsi="宋体" w:cs="宋体"/>
                <w:sz w:val="24"/>
                <w:szCs w:val="24"/>
              </w:rPr>
            </w:pPr>
            <w:r>
              <w:rPr>
                <w:rFonts w:hint="eastAsia" w:ascii="宋体" w:hAnsi="宋体" w:cs="宋体"/>
                <w:sz w:val="24"/>
                <w:szCs w:val="24"/>
              </w:rPr>
              <w:t xml:space="preserve">①配电箱、设备机房、会议室音视频设备、消防栓及开关插座等保持表面干净，无尘无污迹，每月至少开展1次清洁作业。</w:t>
            </w:r>
            <w:r/>
          </w:p>
          <w:p>
            <w:pPr>
              <w:jc w:val="left"/>
              <w:widowControl/>
              <w:rPr>
                <w:rFonts w:hint="eastAsia" w:ascii="宋体" w:hAnsi="宋体" w:cs="宋体"/>
                <w:sz w:val="24"/>
                <w:szCs w:val="24"/>
              </w:rPr>
            </w:pPr>
            <w:r>
              <w:rPr>
                <w:rFonts w:hint="eastAsia" w:ascii="宋体" w:hAnsi="宋体" w:cs="宋体"/>
                <w:sz w:val="24"/>
                <w:szCs w:val="24"/>
              </w:rPr>
              <w:t xml:space="preserve">②监控摄像头、门禁系统等表面光亮，无尘、无斑点，每月至少开展1次清洁作业。</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（3）楼梯及楼梯间保持干净、无异味、无杂物、无积水。</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（4）开水间保持干净、无异味、无杂物、无积水。</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（5）作业工具间：</w:t>
            </w:r>
            <w:r/>
          </w:p>
          <w:p>
            <w:pPr>
              <w:jc w:val="left"/>
              <w:widowControl/>
              <w:rPr>
                <w:rFonts w:hint="eastAsia" w:ascii="宋体" w:hAnsi="宋体" w:cs="宋体"/>
                <w:sz w:val="24"/>
                <w:szCs w:val="24"/>
              </w:rPr>
            </w:pPr>
            <w:r>
              <w:rPr>
                <w:rFonts w:hint="eastAsia" w:ascii="宋体" w:hAnsi="宋体" w:cs="宋体"/>
                <w:sz w:val="24"/>
                <w:szCs w:val="24"/>
              </w:rPr>
              <w:t xml:space="preserve">①保持干净，无异味、无杂物、无积水。</w:t>
            </w:r>
            <w:r/>
          </w:p>
          <w:p>
            <w:pPr>
              <w:jc w:val="left"/>
              <w:widowControl/>
              <w:rPr>
                <w:rFonts w:hint="eastAsia" w:ascii="宋体" w:hAnsi="宋体" w:cs="宋体"/>
                <w:sz w:val="24"/>
                <w:szCs w:val="24"/>
              </w:rPr>
            </w:pPr>
            <w:r>
              <w:rPr>
                <w:rFonts w:hint="eastAsia" w:ascii="宋体" w:hAnsi="宋体" w:cs="宋体"/>
                <w:sz w:val="24"/>
                <w:szCs w:val="24"/>
              </w:rPr>
              <w:t xml:space="preserve">②作业工具摆放整齐有序，表面干净无渍，定期消毒。</w:t>
            </w:r>
            <w:r/>
          </w:p>
        </w:tc>
      </w:tr>
      <w:tr>
        <w:trPr>
          <w:trHeight w:val="335"/>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（6）公共卫生间：</w:t>
            </w:r>
            <w:r/>
          </w:p>
          <w:p>
            <w:pPr>
              <w:jc w:val="left"/>
              <w:widowControl/>
              <w:rPr>
                <w:rFonts w:hint="eastAsia" w:ascii="宋体" w:hAnsi="宋体" w:cs="宋体"/>
                <w:sz w:val="24"/>
                <w:szCs w:val="24"/>
              </w:rPr>
            </w:pPr>
            <w:r>
              <w:rPr>
                <w:rFonts w:hint="eastAsia" w:ascii="宋体" w:hAnsi="宋体" w:cs="宋体"/>
                <w:sz w:val="24"/>
                <w:szCs w:val="24"/>
              </w:rPr>
              <w:t xml:space="preserve">①保持干净，无异味，垃圾无溢出，每日至少开展1次清洁作业。</w:t>
            </w:r>
            <w:r/>
          </w:p>
          <w:p>
            <w:pPr>
              <w:jc w:val="left"/>
              <w:widowControl/>
              <w:rPr>
                <w:rFonts w:hint="eastAsia" w:ascii="宋体" w:hAnsi="宋体" w:cs="宋体"/>
                <w:sz w:val="24"/>
                <w:szCs w:val="24"/>
              </w:rPr>
            </w:pPr>
            <w:r>
              <w:rPr>
                <w:rFonts w:hint="eastAsia" w:ascii="宋体" w:hAnsi="宋体" w:cs="宋体"/>
                <w:sz w:val="24"/>
                <w:szCs w:val="24"/>
              </w:rPr>
              <w:t xml:space="preserve">②负责卫生间洁具、灯具、隔板等公物安全管理维护，发现违纪破坏公物的及时拍照核实信息，并第一时间上报。若因管理失职造成损坏，物业公司须承担相应赔偿责任。</w:t>
            </w:r>
            <w:r/>
          </w:p>
        </w:tc>
      </w:tr>
      <w:tr>
        <w:trPr>
          <w:trHeight w:val="182"/>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（7）电梯轿厢：</w:t>
            </w:r>
            <w:r/>
          </w:p>
          <w:p>
            <w:pPr>
              <w:jc w:val="left"/>
              <w:widowControl/>
              <w:rPr>
                <w:rFonts w:hint="eastAsia" w:ascii="宋体" w:hAnsi="宋体" w:cs="宋体"/>
                <w:sz w:val="24"/>
                <w:szCs w:val="24"/>
              </w:rPr>
            </w:pPr>
            <w:r>
              <w:rPr>
                <w:rFonts w:hint="eastAsia" w:ascii="宋体" w:hAnsi="宋体" w:cs="宋体"/>
                <w:sz w:val="24"/>
                <w:szCs w:val="24"/>
              </w:rPr>
              <w:t xml:space="preserve">①保持干净，无污渍、无粘贴物、无异味。</w:t>
            </w:r>
            <w:r/>
          </w:p>
          <w:p>
            <w:pPr>
              <w:jc w:val="left"/>
              <w:widowControl/>
              <w:rPr>
                <w:rFonts w:hint="eastAsia" w:ascii="宋体" w:hAnsi="宋体" w:cs="宋体"/>
                <w:sz w:val="24"/>
                <w:szCs w:val="24"/>
              </w:rPr>
            </w:pPr>
            <w:r>
              <w:rPr>
                <w:rFonts w:hint="eastAsia" w:ascii="宋体" w:hAnsi="宋体" w:cs="宋体"/>
                <w:sz w:val="24"/>
                <w:szCs w:val="24"/>
              </w:rPr>
              <w:t xml:space="preserve">②灯具、操作指示板明亮。</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（8）平台、屋顶、天沟保持干净，有杂物及时清扫，每月至少开展1次清洁作业。</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（9）石材地面、内墙做好养护工作，每季度开展1次清洁作业。（各类材质地面、内墙服务管理标准详见3.2.1）</w:t>
            </w:r>
            <w:r/>
          </w:p>
        </w:tc>
      </w:tr>
      <w:tr>
        <w:trPr>
          <w:trHeight w:val="454"/>
        </w:trPr>
        <w:tc>
          <w:tcPr>
            <w:tcW w:w="791"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W w:w="2179"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公共场地区域保洁</w:t>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（1）每日清扫道路地面等公共区域，保持干净、无杂物、无积水。</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（2）雪、冰冻等恶劣天气时及时清扫积水、积雪，并采取安全防护措施。</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（3）各种路标、宣传栏等保持干净，每月至少开展1次清洁作业。</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（4）清洁室外照明设备，每月至少开展1次清洁作业。</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（5）绿地内无杂物、无改变用途和破坏、践踏、占用现象，每天至少开展1次巡查。</w:t>
            </w:r>
            <w:r/>
          </w:p>
        </w:tc>
      </w:tr>
      <w:tr>
        <w:trPr>
          <w:trHeight w:val="520"/>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（6）办公区外立面定期清洗、2米以下外窗玻璃擦拭，每年至少开展1次清洗。（各类材质外立面服务标准详见3.2.1）</w:t>
            </w:r>
            <w:r/>
          </w:p>
        </w:tc>
      </w:tr>
      <w:tr>
        <w:trPr>
          <w:trHeight w:val="454"/>
        </w:trPr>
        <w:tc>
          <w:tcPr>
            <w:tcW w:w="791"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W w:w="2179"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垃圾处理要求</w:t>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 医疗垃圾标准要求：</w:t>
            </w:r>
            <w:r/>
          </w:p>
          <w:p>
            <w:pPr>
              <w:jc w:val="left"/>
              <w:widowControl/>
              <w:rPr>
                <w:rFonts w:hint="eastAsia" w:ascii="宋体" w:hAnsi="宋体" w:cs="宋体"/>
                <w:sz w:val="24"/>
                <w:szCs w:val="24"/>
              </w:rPr>
            </w:pPr>
            <w:r>
              <w:rPr>
                <w:rFonts w:hint="eastAsia" w:ascii="宋体" w:hAnsi="宋体" w:cs="宋体"/>
                <w:sz w:val="24"/>
                <w:szCs w:val="24"/>
              </w:rPr>
              <w:t xml:space="preserve">①必须在医院感染管理处的监管下，严格使用黄色垃圾袋收集密封转运；</w:t>
            </w:r>
            <w:r/>
          </w:p>
          <w:p>
            <w:pPr>
              <w:jc w:val="left"/>
              <w:widowControl/>
              <w:rPr>
                <w:rFonts w:hint="eastAsia" w:ascii="宋体" w:hAnsi="宋体" w:cs="宋体"/>
                <w:sz w:val="24"/>
                <w:szCs w:val="24"/>
              </w:rPr>
            </w:pPr>
            <w:r>
              <w:rPr>
                <w:rFonts w:hint="eastAsia" w:ascii="宋体" w:hAnsi="宋体" w:cs="宋体"/>
                <w:sz w:val="24"/>
                <w:szCs w:val="24"/>
              </w:rPr>
              <w:t xml:space="preserve">②实行智能化信息技术下的收集、转运的闭环管理；</w:t>
            </w:r>
            <w:r/>
          </w:p>
          <w:p>
            <w:pPr>
              <w:jc w:val="left"/>
              <w:widowControl/>
              <w:rPr>
                <w:rFonts w:hint="eastAsia" w:ascii="宋体" w:hAnsi="宋体" w:cs="宋体"/>
                <w:sz w:val="24"/>
                <w:szCs w:val="24"/>
              </w:rPr>
            </w:pPr>
            <w:r>
              <w:rPr>
                <w:rFonts w:hint="eastAsia" w:ascii="宋体" w:hAnsi="宋体" w:cs="宋体"/>
                <w:sz w:val="24"/>
                <w:szCs w:val="24"/>
              </w:rPr>
              <w:t xml:space="preserve">③按规定时间、规定路线转运，严禁将医疗废弃物与生活垃圾、未被污染输液瓶 (袋)等混装运送，途中严禁抛洒滴漏，严禁超量盛装；</w:t>
            </w:r>
            <w:r/>
          </w:p>
          <w:p>
            <w:pPr>
              <w:jc w:val="left"/>
              <w:widowControl/>
              <w:rPr>
                <w:rFonts w:hint="eastAsia" w:ascii="宋体" w:hAnsi="宋体" w:cs="宋体"/>
                <w:sz w:val="24"/>
                <w:szCs w:val="24"/>
              </w:rPr>
            </w:pPr>
            <w:r>
              <w:rPr>
                <w:rFonts w:hint="eastAsia" w:ascii="宋体" w:hAnsi="宋体" w:cs="宋体"/>
                <w:sz w:val="24"/>
                <w:szCs w:val="24"/>
              </w:rPr>
              <w:t xml:space="preserve">④正确佩戴个人防护用品；</w:t>
            </w:r>
            <w:r/>
          </w:p>
          <w:p>
            <w:pPr>
              <w:jc w:val="left"/>
              <w:widowControl/>
              <w:rPr>
                <w:rFonts w:hint="eastAsia" w:ascii="宋体" w:hAnsi="宋体" w:cs="宋体"/>
                <w:sz w:val="24"/>
                <w:szCs w:val="24"/>
              </w:rPr>
            </w:pPr>
            <w:r>
              <w:rPr>
                <w:rFonts w:hint="eastAsia" w:ascii="宋体" w:hAnsi="宋体" w:cs="宋体"/>
                <w:sz w:val="24"/>
                <w:szCs w:val="24"/>
              </w:rPr>
              <w:t xml:space="preserve">⑤台账管理规范，交接记录完整准确；</w:t>
            </w:r>
            <w:r/>
          </w:p>
          <w:p>
            <w:pPr>
              <w:jc w:val="left"/>
              <w:widowControl/>
              <w:rPr>
                <w:rFonts w:hint="eastAsia" w:ascii="宋体" w:hAnsi="宋体" w:cs="宋体"/>
                <w:sz w:val="24"/>
                <w:szCs w:val="24"/>
              </w:rPr>
            </w:pPr>
            <w:r>
              <w:rPr>
                <w:rFonts w:hint="eastAsia" w:ascii="宋体" w:hAnsi="宋体" w:cs="宋体"/>
                <w:sz w:val="24"/>
                <w:szCs w:val="24"/>
              </w:rPr>
              <w:t xml:space="preserve">⑥每次运送工作结束后，运送工具及时进行清洗消毒处理、规范停放；</w:t>
            </w:r>
            <w:r/>
          </w:p>
          <w:p>
            <w:pPr>
              <w:jc w:val="left"/>
              <w:widowControl/>
              <w:rPr>
                <w:rFonts w:hint="eastAsia" w:ascii="宋体" w:hAnsi="宋体" w:cs="宋体"/>
                <w:sz w:val="24"/>
                <w:szCs w:val="24"/>
              </w:rPr>
            </w:pPr>
            <w:r>
              <w:rPr>
                <w:rFonts w:hint="eastAsia" w:ascii="宋体" w:hAnsi="宋体" w:cs="宋体"/>
                <w:sz w:val="24"/>
                <w:szCs w:val="24"/>
              </w:rPr>
              <w:t xml:space="preserve">⑦暂存地环境整洁，保持清洁无异味、无污水、污垢，防止发生危害及污染。定时消毒，记录完整。</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（2）生活垃圾服务标准要求：</w:t>
            </w:r>
            <w:r/>
          </w:p>
          <w:p>
            <w:pPr>
              <w:jc w:val="left"/>
              <w:widowControl/>
              <w:rPr>
                <w:rFonts w:hint="eastAsia" w:ascii="宋体" w:hAnsi="宋体" w:cs="宋体"/>
                <w:sz w:val="24"/>
                <w:szCs w:val="24"/>
              </w:rPr>
            </w:pPr>
            <w:r>
              <w:rPr>
                <w:rFonts w:hint="eastAsia" w:ascii="宋体" w:hAnsi="宋体" w:cs="宋体"/>
                <w:sz w:val="24"/>
                <w:szCs w:val="24"/>
              </w:rPr>
              <w:t xml:space="preserve">①按规定时间、规定路线转运，严禁将生活垃圾与医疗废弃物、未被污染输液瓶 (袋)等混装运送，途中严禁抛洒滴漏；严禁超量盛装；</w:t>
            </w:r>
            <w:r/>
          </w:p>
          <w:p>
            <w:pPr>
              <w:jc w:val="left"/>
              <w:widowControl/>
              <w:rPr>
                <w:rFonts w:hint="eastAsia" w:ascii="宋体" w:hAnsi="宋体" w:cs="宋体"/>
                <w:sz w:val="24"/>
                <w:szCs w:val="24"/>
              </w:rPr>
            </w:pPr>
            <w:r>
              <w:rPr>
                <w:rFonts w:hint="eastAsia" w:ascii="宋体" w:hAnsi="宋体" w:cs="宋体"/>
                <w:sz w:val="24"/>
                <w:szCs w:val="24"/>
              </w:rPr>
              <w:t xml:space="preserve">②正确佩戴个人防护用品；</w:t>
            </w:r>
            <w:r/>
          </w:p>
          <w:p>
            <w:pPr>
              <w:jc w:val="left"/>
              <w:widowControl/>
              <w:rPr>
                <w:rFonts w:hint="eastAsia" w:ascii="宋体" w:hAnsi="宋体" w:cs="宋体"/>
                <w:sz w:val="24"/>
                <w:szCs w:val="24"/>
              </w:rPr>
            </w:pPr>
            <w:r>
              <w:rPr>
                <w:rFonts w:hint="eastAsia" w:ascii="宋体" w:hAnsi="宋体" w:cs="宋体"/>
                <w:sz w:val="24"/>
                <w:szCs w:val="24"/>
              </w:rPr>
              <w:t xml:space="preserve">③每次运送工作结束后，运送工具及时进行清洗消毒处理、规范停放；</w:t>
            </w:r>
            <w:r/>
          </w:p>
          <w:p>
            <w:pPr>
              <w:jc w:val="left"/>
              <w:widowControl/>
              <w:rPr>
                <w:rFonts w:hint="eastAsia" w:ascii="宋体" w:hAnsi="宋体" w:cs="宋体"/>
                <w:sz w:val="24"/>
                <w:szCs w:val="24"/>
              </w:rPr>
            </w:pPr>
            <w:r>
              <w:rPr>
                <w:rFonts w:hint="eastAsia" w:ascii="宋体" w:hAnsi="宋体" w:cs="宋体"/>
                <w:sz w:val="24"/>
                <w:szCs w:val="24"/>
              </w:rPr>
              <w:t xml:space="preserve">④暂存地环境整洁，喷洒消毒每日一次，保持清洁无异味、无污水、污垢，防止 发生危害及污染。</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（3）未被污染的输液瓶(袋)、塑料桶等服务标准要求：</w:t>
            </w:r>
            <w:r/>
          </w:p>
          <w:p>
            <w:pPr>
              <w:jc w:val="left"/>
              <w:widowControl/>
              <w:rPr>
                <w:rFonts w:hint="eastAsia" w:ascii="宋体" w:hAnsi="宋体" w:cs="宋体"/>
                <w:sz w:val="24"/>
                <w:szCs w:val="24"/>
              </w:rPr>
            </w:pPr>
            <w:r>
              <w:rPr>
                <w:rFonts w:hint="eastAsia" w:ascii="宋体" w:hAnsi="宋体" w:cs="宋体"/>
                <w:sz w:val="24"/>
                <w:szCs w:val="24"/>
              </w:rPr>
              <w:t xml:space="preserve">①必须在医院感染管理处的监管下，严格使用白色垃圾袋收集密封转运；</w:t>
            </w:r>
            <w:r/>
          </w:p>
          <w:p>
            <w:pPr>
              <w:jc w:val="left"/>
              <w:widowControl/>
              <w:rPr>
                <w:rFonts w:hint="eastAsia" w:ascii="宋体" w:hAnsi="宋体" w:cs="宋体"/>
                <w:sz w:val="24"/>
                <w:szCs w:val="24"/>
              </w:rPr>
            </w:pPr>
            <w:r>
              <w:rPr>
                <w:rFonts w:hint="eastAsia" w:ascii="宋体" w:hAnsi="宋体" w:cs="宋体"/>
                <w:sz w:val="24"/>
                <w:szCs w:val="24"/>
              </w:rPr>
              <w:t xml:space="preserve">②实行智能化信息技术下的收集、转运的闭环管理；</w:t>
            </w:r>
            <w:r/>
          </w:p>
          <w:p>
            <w:pPr>
              <w:jc w:val="left"/>
              <w:widowControl/>
              <w:rPr>
                <w:rFonts w:hint="eastAsia" w:ascii="宋体" w:hAnsi="宋体" w:cs="宋体"/>
                <w:sz w:val="24"/>
                <w:szCs w:val="24"/>
              </w:rPr>
            </w:pPr>
            <w:r>
              <w:rPr>
                <w:rFonts w:hint="eastAsia" w:ascii="宋体" w:hAnsi="宋体" w:cs="宋体"/>
                <w:sz w:val="24"/>
                <w:szCs w:val="24"/>
              </w:rPr>
              <w:t xml:space="preserve">③按规定时间、规定路线转运；</w:t>
            </w:r>
            <w:r/>
          </w:p>
          <w:p>
            <w:pPr>
              <w:jc w:val="left"/>
              <w:widowControl/>
              <w:rPr>
                <w:rFonts w:hint="eastAsia" w:ascii="宋体" w:hAnsi="宋体" w:cs="宋体"/>
                <w:sz w:val="24"/>
                <w:szCs w:val="24"/>
              </w:rPr>
            </w:pPr>
            <w:r>
              <w:rPr>
                <w:rFonts w:hint="eastAsia" w:ascii="宋体" w:hAnsi="宋体" w:cs="宋体"/>
                <w:sz w:val="24"/>
                <w:szCs w:val="24"/>
              </w:rPr>
              <w:t xml:space="preserve">④正确佩戴个人防护用品；</w:t>
            </w:r>
            <w:r/>
          </w:p>
          <w:p>
            <w:pPr>
              <w:jc w:val="left"/>
              <w:widowControl/>
              <w:rPr>
                <w:rFonts w:hint="eastAsia" w:ascii="宋体" w:hAnsi="宋体" w:cs="宋体"/>
                <w:sz w:val="24"/>
                <w:szCs w:val="24"/>
              </w:rPr>
            </w:pPr>
            <w:r>
              <w:rPr>
                <w:rFonts w:hint="eastAsia" w:ascii="宋体" w:hAnsi="宋体" w:cs="宋体"/>
                <w:sz w:val="24"/>
                <w:szCs w:val="24"/>
              </w:rPr>
              <w:t xml:space="preserve">⑤台账管理规范，交接记录完整准确；</w:t>
            </w:r>
            <w:r/>
          </w:p>
          <w:p>
            <w:pPr>
              <w:jc w:val="left"/>
              <w:widowControl/>
              <w:rPr>
                <w:rFonts w:hint="eastAsia" w:ascii="宋体" w:hAnsi="宋体" w:cs="宋体"/>
                <w:sz w:val="24"/>
                <w:szCs w:val="24"/>
              </w:rPr>
            </w:pPr>
            <w:r>
              <w:rPr>
                <w:rFonts w:hint="eastAsia" w:ascii="宋体" w:hAnsi="宋体" w:cs="宋体"/>
                <w:sz w:val="24"/>
                <w:szCs w:val="24"/>
              </w:rPr>
              <w:t xml:space="preserve">⑥每次运送工作结束后，运送工具及时进行清洗消毒处理、规范停放；爱护运输车辆，损坏及时报修，因使用不当造成的损坏由中标人承担维修费用；</w:t>
            </w:r>
            <w:r/>
          </w:p>
          <w:p>
            <w:pPr>
              <w:jc w:val="left"/>
              <w:widowControl/>
              <w:rPr>
                <w:rFonts w:ascii="宋体" w:hAnsi="宋体" w:cs="宋体"/>
                <w:sz w:val="24"/>
                <w:szCs w:val="24"/>
              </w:rPr>
            </w:pPr>
            <w:r>
              <w:rPr>
                <w:rFonts w:hint="eastAsia" w:ascii="宋体" w:hAnsi="宋体" w:cs="宋体"/>
                <w:sz w:val="24"/>
                <w:szCs w:val="24"/>
              </w:rPr>
              <w:t xml:space="preserve">⑦暂存地环境整洁，保持清洁无异味、无污水、污垢，防止发生危害及污染，定时消毒，记录完整。</w:t>
            </w:r>
            <w:r/>
          </w:p>
        </w:tc>
      </w:tr>
      <w:tr>
        <w:trPr>
          <w:trHeight w:val="454"/>
        </w:trPr>
        <w:tc>
          <w:tcPr>
            <w:tcW w:w="791"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W w:w="2179"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运送服务内容及要求</w:t>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(1)运送信息化管理要求：在本项目运用运送管理软件，具体要求：科室医务 人员通过电脑系统下单、电话下单、手机APP下单(陪检运送、标本运送、药品运送等运送服务),调度中心登记受理，根据运送人员实际情况进行派工，运送人员接单扫码确认，电脑系统能反应运送人员工况，实时查看至运送任务结束，扫码完工。承诺运送的准确性、及时性，安全性满足医院运送管理要求。</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2179"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657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(2)常规要求：</w:t>
            </w:r>
            <w:r/>
          </w:p>
          <w:p>
            <w:pPr>
              <w:jc w:val="left"/>
              <w:widowControl/>
              <w:rPr>
                <w:rFonts w:hint="eastAsia" w:ascii="宋体" w:hAnsi="宋体" w:cs="宋体"/>
                <w:sz w:val="24"/>
                <w:szCs w:val="24"/>
              </w:rPr>
            </w:pPr>
            <w:r>
              <w:rPr>
                <w:rFonts w:hint="eastAsia" w:ascii="宋体" w:hAnsi="宋体" w:cs="宋体"/>
                <w:sz w:val="24"/>
                <w:szCs w:val="24"/>
              </w:rPr>
              <w:t xml:space="preserve">①标本送检：血液、体液、大小便、组织、空气培养等标本送检，及检验报告的 取回；取送血及血制品(不负责核对);</w:t>
            </w:r>
            <w:r/>
          </w:p>
          <w:p>
            <w:pPr>
              <w:jc w:val="left"/>
              <w:widowControl/>
              <w:rPr>
                <w:rFonts w:hint="eastAsia" w:ascii="宋体" w:hAnsi="宋体" w:cs="宋体"/>
                <w:sz w:val="24"/>
                <w:szCs w:val="24"/>
              </w:rPr>
            </w:pPr>
            <w:r>
              <w:rPr>
                <w:rFonts w:hint="eastAsia" w:ascii="宋体" w:hAnsi="宋体" w:cs="宋体"/>
                <w:sz w:val="24"/>
                <w:szCs w:val="24"/>
              </w:rPr>
              <w:t xml:space="preserve">②病员接送：手术病人接送；门诊(重、弱、残及其他需要帮助的就诊病人)和 住院病人转诊；急诊病人接诊、送检、入院等运送：住院病人(危重、行动不便)的 科室内转床；</w:t>
            </w:r>
            <w:r/>
          </w:p>
          <w:p>
            <w:pPr>
              <w:jc w:val="left"/>
              <w:widowControl/>
              <w:rPr>
                <w:rFonts w:hint="eastAsia" w:ascii="宋体" w:hAnsi="宋体" w:cs="宋体"/>
                <w:sz w:val="24"/>
                <w:szCs w:val="24"/>
              </w:rPr>
            </w:pPr>
            <w:r>
              <w:rPr>
                <w:rFonts w:hint="eastAsia" w:ascii="宋体" w:hAnsi="宋体" w:cs="宋体"/>
                <w:sz w:val="24"/>
                <w:szCs w:val="24"/>
              </w:rPr>
              <w:t xml:space="preserve">③药品配送：住院病人常规和临时药品取送(不负责核对);出院病人的退药； 取送药车到中心药房；大输液、配液中心药品取送；</w:t>
            </w:r>
            <w:r/>
          </w:p>
          <w:p>
            <w:pPr>
              <w:jc w:val="left"/>
              <w:widowControl/>
              <w:rPr>
                <w:rFonts w:hint="eastAsia" w:ascii="宋体" w:hAnsi="宋体" w:cs="宋体"/>
                <w:sz w:val="24"/>
                <w:szCs w:val="24"/>
              </w:rPr>
            </w:pPr>
            <w:r>
              <w:rPr>
                <w:rFonts w:hint="eastAsia" w:ascii="宋体" w:hAnsi="宋体" w:cs="宋体"/>
                <w:sz w:val="24"/>
                <w:szCs w:val="24"/>
              </w:rPr>
              <w:t xml:space="preserve">④物品运送：消毒液下送、供应室消毒包送取、部分试管取送(大小便盒、痰盒、 培养管等)、小型仪器维修送取、办公及医用材料物资的申领配送；医疗、行政设备  送修/领取/借还；</w:t>
            </w:r>
            <w:r/>
          </w:p>
          <w:p>
            <w:pPr>
              <w:jc w:val="left"/>
              <w:widowControl/>
              <w:rPr>
                <w:rFonts w:hint="eastAsia" w:ascii="宋体" w:hAnsi="宋体" w:cs="宋体"/>
                <w:sz w:val="24"/>
                <w:szCs w:val="24"/>
              </w:rPr>
            </w:pPr>
            <w:r>
              <w:rPr>
                <w:rFonts w:hint="eastAsia" w:ascii="宋体" w:hAnsi="宋体" w:cs="宋体"/>
                <w:sz w:val="24"/>
                <w:szCs w:val="24"/>
              </w:rPr>
              <w:t xml:space="preserve">⑤单据递送：各类检查(CT、MRI、ECT、B 超、动态心电图、脑电图、胃镜等)预约；各类诊断报告(包含影像片)、手术通知单、会诊通知单的送取；调取及递送、各类行政文书递送；取送科室报刊信件等；</w:t>
            </w:r>
            <w:r/>
          </w:p>
          <w:p>
            <w:pPr>
              <w:jc w:val="left"/>
              <w:widowControl/>
              <w:rPr>
                <w:rFonts w:hint="eastAsia" w:ascii="宋体" w:hAnsi="宋体" w:cs="宋体"/>
                <w:sz w:val="24"/>
                <w:szCs w:val="24"/>
              </w:rPr>
            </w:pPr>
            <w:r>
              <w:rPr>
                <w:rFonts w:hint="eastAsia" w:ascii="宋体" w:hAnsi="宋体" w:cs="宋体"/>
                <w:sz w:val="24"/>
                <w:szCs w:val="24"/>
              </w:rPr>
              <w:t xml:space="preserve">⑥协助护士长与洗涤公司进行被服、织品的清点、交接；</w:t>
            </w:r>
            <w:r/>
          </w:p>
          <w:p>
            <w:pPr>
              <w:jc w:val="left"/>
              <w:widowControl/>
              <w:rPr>
                <w:rFonts w:hint="eastAsia" w:ascii="宋体" w:hAnsi="宋体" w:cs="宋体"/>
                <w:sz w:val="24"/>
                <w:szCs w:val="24"/>
              </w:rPr>
            </w:pPr>
            <w:r>
              <w:rPr>
                <w:rFonts w:hint="eastAsia" w:ascii="宋体" w:hAnsi="宋体" w:cs="宋体"/>
                <w:sz w:val="24"/>
                <w:szCs w:val="24"/>
              </w:rPr>
              <w:t xml:space="preserve">⑦协助领取福利用品；</w:t>
            </w:r>
            <w:r/>
          </w:p>
          <w:p>
            <w:pPr>
              <w:jc w:val="left"/>
              <w:widowControl/>
              <w:rPr>
                <w:rFonts w:hint="eastAsia" w:ascii="宋体" w:hAnsi="宋体" w:cs="宋体"/>
                <w:sz w:val="24"/>
                <w:szCs w:val="24"/>
              </w:rPr>
            </w:pPr>
            <w:r>
              <w:rPr>
                <w:rFonts w:hint="eastAsia" w:ascii="宋体" w:hAnsi="宋体" w:cs="宋体"/>
                <w:sz w:val="24"/>
                <w:szCs w:val="24"/>
              </w:rPr>
              <w:t xml:space="preserve">⑧回收空瓶和可回收废品(纸箱、报纸等);办公区报纸、杂志等废物回收；</w:t>
            </w:r>
            <w:r/>
          </w:p>
          <w:p>
            <w:pPr>
              <w:jc w:val="left"/>
              <w:widowControl/>
              <w:rPr>
                <w:rFonts w:hint="eastAsia" w:ascii="宋体" w:hAnsi="宋体" w:cs="宋体"/>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6349365</wp:posOffset>
                      </wp:positionH>
                      <wp:positionV relativeFrom="paragraph">
                        <wp:posOffset>321310</wp:posOffset>
                      </wp:positionV>
                      <wp:extent cx="96520" cy="17653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96520" cy="176530"/>
                              </a:xfrm>
                              <a:prstGeom prst="rect">
                                <a:avLst/>
                              </a:prstGeom>
                              <a:noFill/>
                              <a:ln>
                                <a:noFill/>
                              </a:ln>
                              <a:effectLst/>
                            </wps:spPr>
                            <wps:txbx>
                              <w:txbxContent>
                                <w:p>
                                  <w:pPr>
                                    <w:ind w:left="20"/>
                                    <w:spacing w:before="20" w:line="183" w:lineRule="auto"/>
                                    <w:rPr>
                                      <w:rFonts w:ascii="宋体" w:hAnsi="宋体" w:cs="宋体"/>
                                      <w:sz w:val="24"/>
                                      <w:szCs w:val="24"/>
                                    </w:rPr>
                                  </w:pPr>
                                  <w:r>
                                    <w:rPr>
                                      <w:rFonts w:ascii="宋体" w:hAnsi="宋体" w:cs="宋体"/>
                                      <w:sz w:val="24"/>
                                      <w:szCs w:val="24"/>
                                    </w:rPr>
                                    <w:t xml:space="preserve">O</w:t>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text;margin-left:499.9pt;mso-position-horizontal:absolute;mso-position-vertical-relative:text;margin-top:25.3pt;mso-position-vertical:absolute;width:7.6pt;height:13.9pt;mso-wrap-distance-left:9.0pt;mso-wrap-distance-top:0.0pt;mso-wrap-distance-right:9.0pt;mso-wrap-distance-bottom:0.0pt;visibility:visible;" filled="f" stroked="f">
                      <v:textbox inset="0,0,0,0">
                        <w:txbxContent>
                          <w:p>
                            <w:pPr>
                              <w:ind w:left="20"/>
                              <w:spacing w:before="20" w:line="183" w:lineRule="auto"/>
                              <w:rPr>
                                <w:rFonts w:ascii="宋体" w:hAnsi="宋体" w:cs="宋体"/>
                                <w:sz w:val="24"/>
                                <w:szCs w:val="24"/>
                              </w:rPr>
                            </w:pPr>
                            <w:r>
                              <w:rPr>
                                <w:rFonts w:ascii="宋体" w:hAnsi="宋体" w:cs="宋体"/>
                                <w:sz w:val="24"/>
                                <w:szCs w:val="24"/>
                              </w:rPr>
                              <w:t xml:space="preserve">O</w:t>
                            </w:r>
                            <w:r/>
                          </w:p>
                        </w:txbxContent>
                      </v:textbox>
                    </v:shape>
                  </w:pict>
                </mc:Fallback>
              </mc:AlternateContent>
            </w:r>
            <w:r>
              <w:rPr>
                <w:rFonts w:hint="eastAsia" w:ascii="宋体" w:hAnsi="宋体" w:cs="宋体"/>
                <w:sz w:val="24"/>
                <w:szCs w:val="24"/>
              </w:rPr>
              <w:t xml:space="preserve">⑨临时加床、重大活动及会议物质搬运、科室物质搬运、装卸；家具和设备搬运；</w:t>
            </w:r>
            <w:r/>
          </w:p>
          <w:p>
            <w:pPr>
              <w:jc w:val="left"/>
              <w:widowControl/>
              <w:rPr>
                <w:rFonts w:hint="eastAsia" w:ascii="宋体" w:hAnsi="宋体" w:cs="宋体"/>
                <w:sz w:val="24"/>
                <w:szCs w:val="24"/>
              </w:rPr>
            </w:pPr>
            <w:r>
              <w:rPr>
                <w:rFonts w:hint="eastAsia" w:ascii="宋体" w:hAnsi="宋体" w:cs="宋体"/>
                <w:sz w:val="24"/>
                <w:szCs w:val="24"/>
              </w:rPr>
              <w:t xml:space="preserve">⑩临时加床和其他运送。</w:t>
            </w:r>
            <w:r/>
          </w:p>
        </w:tc>
      </w:tr>
    </w:tbl>
    <w:p>
      <w:pPr>
        <w:numPr>
          <w:ilvl w:val="0"/>
          <w:numId w:val="3"/>
        </w:numPr>
        <w:ind w:firstLine="482"/>
        <w:spacing w:line="500" w:lineRule="exact"/>
        <w:rPr>
          <w:rFonts w:ascii="仿宋" w:hAnsi="仿宋" w:eastAsia="仿宋" w:cs="仿宋"/>
          <w:b/>
          <w:bCs/>
          <w:sz w:val="24"/>
          <w:szCs w:val="24"/>
        </w:rPr>
      </w:pPr>
      <w:r>
        <w:rPr>
          <w:rFonts w:hint="eastAsia" w:ascii="Times New Roman" w:hAnsi="Times New Roman"/>
          <w:b/>
          <w:bCs/>
          <w:sz w:val="24"/>
        </w:rPr>
        <w:t xml:space="preserve">宿迁市新沂河调度工程管理处</w:t>
      </w:r>
      <w:r/>
    </w:p>
    <w:tbl>
      <w:tblPr>
        <w:tblStyle w:val="785"/>
        <w:tblpPr w:horzAnchor="page" w:tblpX="1420" w:vertAnchor="text" w:tblpY="481" w:leftFromText="180" w:topFromText="0" w:rightFromText="180" w:bottomFromText="0"/>
        <w:tblW w:w="507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145"/>
        <w:gridCol w:w="6577"/>
      </w:tblGrid>
      <w:tr>
        <w:trPr>
          <w:cantSplit/>
          <w:trHeight w:val="536"/>
        </w:trPr>
        <w:tc>
          <w:tcPr>
            <w:tcW w:w="810"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2145"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服务内容</w:t>
            </w:r>
            <w:r/>
          </w:p>
        </w:tc>
        <w:tc>
          <w:tcPr>
            <w:tcW w:w="6577"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服务标准</w:t>
            </w:r>
            <w:r/>
          </w:p>
        </w:tc>
      </w:tr>
      <w:tr>
        <w:trPr>
          <w:cantSplit/>
          <w:trHeight w:val="536"/>
        </w:trPr>
        <w:tc>
          <w:tcPr>
            <w:tcW w:w="81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2145" w:type="dxa"/>
            <w:vAlign w:val="center"/>
            <w:vMerge w:val="restart"/>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t xml:space="preserve">基本要求</w:t>
            </w:r>
            <w:r/>
          </w:p>
        </w:tc>
        <w:tc>
          <w:tcPr>
            <w:tcW w:w="6577"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sz w:val="24"/>
                <w:szCs w:val="24"/>
              </w:rPr>
              <w:t xml:space="preserve">1、保洁员上岗期间需着工作服，并严格遵守上岗纪律，严禁酒后上岗。</w:t>
            </w:r>
            <w:r/>
          </w:p>
        </w:tc>
      </w:tr>
      <w:tr>
        <w:trPr>
          <w:cantSplit/>
          <w:trHeight w:val="536"/>
        </w:trPr>
        <w:tc>
          <w:tcPr>
            <w:tcW w:w="810" w:type="dxa"/>
            <w:vAlign w:val="top"/>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2145" w:type="dxa"/>
            <w:vAlign w:val="top"/>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c>
          <w:tcPr>
            <w:tcW w:w="6577"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sz w:val="24"/>
                <w:szCs w:val="24"/>
              </w:rPr>
              <w:t xml:space="preserve">2、</w:t>
            </w:r>
            <w:r>
              <w:rPr>
                <w:rFonts w:ascii="宋体" w:hAnsi="宋体" w:cs="宋体"/>
                <w:sz w:val="24"/>
                <w:szCs w:val="24"/>
              </w:rPr>
              <w:t xml:space="preserve">每天打扫两次，08:00前所有区域卫生完成第一次打扫，13:30（夏令时14:00）前完成所有区域卫生完成第二次打扫</w:t>
            </w:r>
            <w:r>
              <w:rPr>
                <w:rFonts w:hint="eastAsia" w:ascii="宋体" w:hAnsi="宋体" w:cs="宋体"/>
                <w:sz w:val="24"/>
                <w:szCs w:val="24"/>
              </w:rPr>
              <w:t xml:space="preserve">。每个星期对水闸启闭机房进行一次打扫，每月对区域内绿化进行一次管养，保证责任区内干净卫生，绿化整理有序并做好相关记录。</w:t>
            </w:r>
            <w:r/>
          </w:p>
        </w:tc>
      </w:tr>
      <w:tr>
        <w:trPr>
          <w:cantSplit/>
          <w:trHeight w:val="536"/>
        </w:trPr>
        <w:tc>
          <w:tcPr>
            <w:tcW w:w="810" w:type="dxa"/>
            <w:vAlign w:val="top"/>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2145" w:type="dxa"/>
            <w:vAlign w:val="top"/>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c>
          <w:tcPr>
            <w:tcW w:w="6577" w:type="dxa"/>
            <w:vAlign w:val="center"/>
            <w:textDirection w:val="lrTb"/>
            <w:noWrap w:val="false"/>
          </w:tcPr>
          <w:p>
            <w:pPr>
              <w:pStyle w:val="1083"/>
              <w:rPr>
                <w:rFonts w:hint="eastAsia" w:ascii="宋体" w:hAnsi="宋体" w:cs="宋体"/>
                <w:color w:val="000000"/>
                <w:sz w:val="24"/>
                <w:szCs w:val="24"/>
              </w:rPr>
            </w:pPr>
            <w:r>
              <w:rPr>
                <w:rFonts w:hint="eastAsia" w:ascii="宋体" w:hAnsi="宋体" w:cs="宋体"/>
                <w:sz w:val="24"/>
                <w:szCs w:val="24"/>
              </w:rPr>
              <w:t xml:space="preserve">3、</w:t>
            </w:r>
            <w:r>
              <w:rPr>
                <w:rFonts w:ascii="宋体" w:hAnsi="宋体" w:cs="宋体"/>
                <w:sz w:val="24"/>
                <w:szCs w:val="24"/>
              </w:rPr>
              <w:t xml:space="preserve">实行动态保洁，遇特殊情况（如会议、迎接上级检查、观摩等），按要求，集中调配或增加人力、物力，无条件配合完成其提出的特殊物业服务要求。</w:t>
            </w:r>
            <w:r/>
          </w:p>
        </w:tc>
      </w:tr>
      <w:tr>
        <w:trPr>
          <w:cantSplit/>
          <w:trHeight w:val="536"/>
        </w:trPr>
        <w:tc>
          <w:tcPr>
            <w:tcW w:w="810" w:type="dxa"/>
            <w:vAlign w:val="top"/>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2145" w:type="dxa"/>
            <w:vAlign w:val="top"/>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c>
          <w:tcPr>
            <w:tcW w:w="6577" w:type="dxa"/>
            <w:vAlign w:val="center"/>
            <w:textDirection w:val="lrTb"/>
            <w:noWrap w:val="false"/>
          </w:tcPr>
          <w:p>
            <w:pPr>
              <w:rPr>
                <w:rFonts w:hint="eastAsia" w:ascii="宋体" w:hAnsi="宋体" w:cs="宋体"/>
                <w:color w:val="000000"/>
                <w:sz w:val="24"/>
                <w:szCs w:val="24"/>
              </w:rPr>
            </w:pPr>
            <w:r>
              <w:rPr>
                <w:rFonts w:hint="eastAsia" w:ascii="宋体" w:hAnsi="宋体" w:cs="宋体"/>
                <w:sz w:val="24"/>
                <w:szCs w:val="24"/>
              </w:rPr>
              <w:t xml:space="preserve">4、</w:t>
            </w:r>
            <w:r>
              <w:rPr>
                <w:rFonts w:ascii="宋体" w:hAnsi="宋体" w:cs="宋体"/>
                <w:sz w:val="24"/>
                <w:szCs w:val="24"/>
              </w:rPr>
              <w:t xml:space="preserve">办公室</w:t>
            </w:r>
            <w:r>
              <w:rPr>
                <w:rFonts w:hint="eastAsia" w:ascii="宋体" w:hAnsi="宋体" w:cs="宋体"/>
                <w:sz w:val="24"/>
                <w:szCs w:val="24"/>
              </w:rPr>
              <w:t xml:space="preserve">、会议室</w:t>
            </w:r>
            <w:r>
              <w:rPr>
                <w:rFonts w:ascii="宋体" w:hAnsi="宋体" w:cs="宋体"/>
                <w:sz w:val="24"/>
                <w:szCs w:val="24"/>
              </w:rPr>
              <w:t xml:space="preserve">要求每天清扫一次，做到干净、敞亮、无灰尘、无纸屑。</w:t>
            </w:r>
            <w:r/>
          </w:p>
        </w:tc>
      </w:tr>
      <w:tr>
        <w:trPr>
          <w:cantSplit/>
          <w:trHeight w:val="536"/>
        </w:trPr>
        <w:tc>
          <w:tcPr>
            <w:tcW w:w="810" w:type="dxa"/>
            <w:vAlign w:val="top"/>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2145" w:type="dxa"/>
            <w:vAlign w:val="top"/>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c>
          <w:tcPr>
            <w:tcW w:w="6577" w:type="dxa"/>
            <w:vAlign w:val="center"/>
            <w:textDirection w:val="lrTb"/>
            <w:noWrap w:val="false"/>
          </w:tcPr>
          <w:p>
            <w:pPr>
              <w:rPr>
                <w:rFonts w:hint="eastAsia" w:ascii="宋体" w:hAnsi="宋体" w:cs="宋体"/>
                <w:color w:val="000000"/>
                <w:sz w:val="24"/>
                <w:szCs w:val="24"/>
              </w:rPr>
            </w:pPr>
            <w:r>
              <w:rPr>
                <w:rFonts w:hint="eastAsia" w:ascii="宋体" w:hAnsi="宋体" w:cs="宋体"/>
                <w:sz w:val="24"/>
                <w:szCs w:val="24"/>
              </w:rPr>
              <w:t xml:space="preserve">5、庭院内路面</w:t>
            </w:r>
            <w:r>
              <w:rPr>
                <w:rFonts w:ascii="宋体" w:hAnsi="宋体" w:cs="宋体"/>
                <w:sz w:val="24"/>
                <w:szCs w:val="24"/>
              </w:rPr>
              <w:t xml:space="preserve">、绿化带内、食堂、无杂物、无纸屑、无污迹，做到清洁、干净</w:t>
            </w:r>
            <w:r>
              <w:rPr>
                <w:rFonts w:hint="eastAsia" w:ascii="宋体" w:hAnsi="宋体" w:cs="宋体"/>
                <w:sz w:val="24"/>
                <w:szCs w:val="24"/>
              </w:rPr>
              <w:t xml:space="preserve">；</w:t>
            </w:r>
            <w:r>
              <w:rPr>
                <w:rFonts w:ascii="宋体" w:hAnsi="宋体" w:cs="宋体"/>
                <w:sz w:val="24"/>
                <w:szCs w:val="24"/>
              </w:rPr>
              <w:t xml:space="preserve">定时清运垃圾，对办公楼的垃圾每天</w:t>
            </w:r>
            <w:r>
              <w:rPr>
                <w:rFonts w:hint="eastAsia" w:ascii="宋体" w:hAnsi="宋体" w:cs="宋体"/>
                <w:sz w:val="24"/>
                <w:szCs w:val="24"/>
              </w:rPr>
              <w:t xml:space="preserve">及时清运</w:t>
            </w:r>
            <w:r>
              <w:rPr>
                <w:rFonts w:ascii="宋体" w:hAnsi="宋体" w:cs="宋体"/>
                <w:sz w:val="24"/>
                <w:szCs w:val="24"/>
              </w:rPr>
              <w:t xml:space="preserve">，特殊情况随时清运</w:t>
            </w:r>
            <w:r>
              <w:rPr>
                <w:rFonts w:hint="eastAsia" w:ascii="宋体" w:hAnsi="宋体" w:cs="宋体"/>
                <w:sz w:val="24"/>
                <w:szCs w:val="24"/>
              </w:rPr>
              <w:t xml:space="preserve">。</w:t>
            </w:r>
            <w:r/>
          </w:p>
        </w:tc>
      </w:tr>
      <w:tr>
        <w:trPr>
          <w:cantSplit/>
          <w:trHeight w:val="536"/>
        </w:trPr>
        <w:tc>
          <w:tcPr>
            <w:tcW w:w="810" w:type="dxa"/>
            <w:vAlign w:val="top"/>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2145" w:type="dxa"/>
            <w:vAlign w:val="top"/>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c>
          <w:tcPr>
            <w:tcW w:w="6577"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sz w:val="24"/>
                <w:szCs w:val="24"/>
              </w:rPr>
              <w:t xml:space="preserve">6、</w:t>
            </w:r>
            <w:r>
              <w:rPr>
                <w:rFonts w:ascii="宋体" w:hAnsi="宋体" w:cs="宋体"/>
                <w:sz w:val="24"/>
                <w:szCs w:val="24"/>
              </w:rPr>
              <w:t xml:space="preserve">根据当地实际情况定期对办公楼外的公共区的蚊虫、鼠害等进行消杀，达到无蝇、无蚊、无虫、无鼠害，确保无“四害”。</w:t>
            </w:r>
            <w:r/>
          </w:p>
        </w:tc>
      </w:tr>
      <w:tr>
        <w:trPr>
          <w:cantSplit/>
          <w:trHeight w:val="492"/>
        </w:trPr>
        <w:tc>
          <w:tcPr>
            <w:tcW w:w="810" w:type="dxa"/>
            <w:vAlign w:val="top"/>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2145" w:type="dxa"/>
            <w:vAlign w:val="top"/>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c>
          <w:tcPr>
            <w:tcW w:w="6577"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sz w:val="24"/>
                <w:szCs w:val="24"/>
              </w:rPr>
              <w:t xml:space="preserve">7、保洁员请假期间，物业需安排其它人员顶岗，按时完成保洁工作。</w:t>
            </w:r>
            <w:r/>
          </w:p>
        </w:tc>
      </w:tr>
      <w:tr>
        <w:trPr>
          <w:cantSplit/>
          <w:trHeight w:val="456"/>
        </w:trPr>
        <w:tc>
          <w:tcPr>
            <w:tcW w:w="810" w:type="dxa"/>
            <w:vAlign w:val="top"/>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2145" w:type="dxa"/>
            <w:vAlign w:val="top"/>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c>
          <w:tcPr>
            <w:tcW w:w="6577"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sz w:val="24"/>
                <w:szCs w:val="24"/>
              </w:rPr>
              <w:t xml:space="preserve">8、保洁员上岗期间，不得擅自离开岗位或做与工作无关的事。</w:t>
            </w:r>
            <w:r/>
          </w:p>
        </w:tc>
      </w:tr>
      <w:tr>
        <w:trPr>
          <w:cantSplit/>
          <w:trHeight w:val="536"/>
        </w:trPr>
        <w:tc>
          <w:tcPr>
            <w:tcW w:w="810" w:type="dxa"/>
            <w:vAlign w:val="top"/>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2145" w:type="dxa"/>
            <w:vAlign w:val="top"/>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c>
          <w:tcPr>
            <w:tcW w:w="6577" w:type="dxa"/>
            <w:vAlign w:val="center"/>
            <w:textDirection w:val="lrTb"/>
            <w:noWrap w:val="false"/>
          </w:tcPr>
          <w:p>
            <w:pPr>
              <w:pStyle w:val="1083"/>
              <w:rPr>
                <w:rFonts w:hint="eastAsia" w:ascii="宋体" w:hAnsi="宋体" w:cs="宋体"/>
                <w:sz w:val="24"/>
                <w:szCs w:val="24"/>
              </w:rPr>
            </w:pPr>
            <w:r>
              <w:rPr>
                <w:rFonts w:hint="eastAsia" w:ascii="宋体" w:hAnsi="宋体" w:cs="宋体"/>
                <w:sz w:val="24"/>
                <w:szCs w:val="24"/>
              </w:rPr>
              <w:t xml:space="preserve">9、负责南偏泓水电站水草打捞及清运工作。</w:t>
            </w:r>
            <w:r/>
          </w:p>
        </w:tc>
      </w:tr>
      <w:tr>
        <w:trPr>
          <w:cantSplit/>
          <w:trHeight w:val="478"/>
        </w:trPr>
        <w:tc>
          <w:tcPr>
            <w:tcW w:w="810" w:type="dxa"/>
            <w:vAlign w:val="top"/>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2145" w:type="dxa"/>
            <w:vAlign w:val="top"/>
            <w:vMerge w:val="continue"/>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tc>
        <w:tc>
          <w:tcPr>
            <w:tcW w:w="6577" w:type="dxa"/>
            <w:vAlign w:val="center"/>
            <w:textDirection w:val="lrTb"/>
            <w:noWrap w:val="false"/>
          </w:tcPr>
          <w:p>
            <w:pPr>
              <w:pStyle w:val="1083"/>
              <w:rPr>
                <w:rFonts w:hint="eastAsia" w:ascii="宋体" w:hAnsi="宋体" w:cs="宋体"/>
                <w:sz w:val="24"/>
                <w:szCs w:val="24"/>
              </w:rPr>
            </w:pPr>
            <w:r>
              <w:rPr>
                <w:rFonts w:hint="eastAsia" w:ascii="宋体" w:hAnsi="宋体" w:cs="宋体"/>
                <w:sz w:val="24"/>
                <w:szCs w:val="24"/>
              </w:rPr>
              <w:t xml:space="preserve">10、严格遵守新沂河管理处相关规章制度。</w:t>
            </w:r>
            <w:r/>
          </w:p>
        </w:tc>
      </w:tr>
    </w:tbl>
    <w:p>
      <w:pPr>
        <w:pStyle w:val="1242"/>
        <w:ind w:firstLine="482"/>
        <w:jc w:val="both"/>
        <w:rPr>
          <w:rFonts w:hint="eastAsia" w:ascii="Times New Roman" w:hAnsi="Times New Roman" w:eastAsia="宋体"/>
          <w:b/>
          <w:bCs/>
          <w:sz w:val="24"/>
        </w:rPr>
      </w:pPr>
      <w:r>
        <w:rPr>
          <w:rFonts w:hint="eastAsia" w:ascii="Times New Roman" w:hAnsi="Times New Roman" w:eastAsia="宋体"/>
          <w:b/>
          <w:bCs/>
          <w:sz w:val="24"/>
        </w:rPr>
      </w:r>
      <w:r/>
    </w:p>
    <w:p>
      <w:pPr>
        <w:pStyle w:val="1242"/>
        <w:ind w:firstLine="482"/>
        <w:jc w:val="both"/>
        <w:rPr>
          <w:rFonts w:hint="eastAsia" w:ascii="Times New Roman" w:hAnsi="Times New Roman" w:eastAsia="宋体"/>
          <w:b/>
          <w:bCs/>
          <w:sz w:val="24"/>
        </w:rPr>
      </w:pPr>
      <w:r>
        <w:rPr>
          <w:rFonts w:hint="eastAsia" w:ascii="Times New Roman" w:hAnsi="Times New Roman" w:eastAsia="宋体"/>
          <w:b/>
          <w:bCs/>
          <w:sz w:val="24"/>
        </w:rPr>
        <w:t xml:space="preserve">3.2.1具体清洁要求</w:t>
      </w:r>
      <w:r/>
    </w:p>
    <w:p>
      <w:pPr>
        <w:ind w:firstLine="482"/>
        <w:jc w:val="left"/>
        <w:spacing w:line="500" w:lineRule="exact"/>
        <w:rPr>
          <w:rFonts w:hint="eastAsia" w:ascii="宋体" w:hAnsi="宋体" w:cs="宋体"/>
          <w:b/>
          <w:bCs/>
          <w:sz w:val="24"/>
          <w:szCs w:val="24"/>
        </w:rPr>
      </w:pPr>
      <w:r>
        <w:rPr>
          <w:rFonts w:hint="eastAsia" w:ascii="Times New Roman" w:hAnsi="Times New Roman"/>
          <w:b/>
          <w:bCs/>
          <w:sz w:val="24"/>
        </w:rPr>
        <w:t xml:space="preserve">（一）</w:t>
      </w:r>
      <w:r>
        <w:rPr>
          <w:rFonts w:hint="eastAsia" w:ascii="宋体" w:hAnsi="宋体" w:cs="宋体"/>
          <w:b/>
          <w:bCs/>
          <w:sz w:val="24"/>
          <w:szCs w:val="24"/>
        </w:rPr>
        <w:t xml:space="preserve">宿迁市传染病医院</w:t>
      </w:r>
      <w:r/>
    </w:p>
    <w:tbl>
      <w:tblPr>
        <w:tblStyle w:val="785"/>
        <w:tblW w:w="506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145"/>
        <w:gridCol w:w="6570"/>
      </w:tblGrid>
      <w:tr>
        <w:trPr>
          <w:trHeight w:val="454"/>
        </w:trPr>
        <w:tc>
          <w:tcPr>
            <w:tcW w:w="811"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序号</w:t>
            </w:r>
            <w:r/>
          </w:p>
        </w:tc>
        <w:tc>
          <w:tcPr>
            <w:tcW w:w="2145"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材质</w:t>
            </w:r>
            <w:r/>
          </w:p>
        </w:tc>
        <w:tc>
          <w:tcPr>
            <w:tcW w:w="6570"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清洁要求</w:t>
            </w:r>
            <w:r/>
          </w:p>
        </w:tc>
      </w:tr>
      <w:tr>
        <w:trPr>
          <w:trHeight w:val="454"/>
        </w:trPr>
        <w:tc>
          <w:tcPr>
            <w:tcW w:w="811"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2145"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瓷砖地面</w:t>
            </w:r>
            <w:r/>
          </w:p>
        </w:tc>
        <w:tc>
          <w:tcPr>
            <w:tcW w:w="657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（1）日常清洁：推尘，保持地面干净无杂物。</w:t>
            </w:r>
            <w:r/>
          </w:p>
        </w:tc>
      </w:tr>
      <w:tr>
        <w:trPr>
          <w:trHeight w:val="454"/>
        </w:trPr>
        <w:tc>
          <w:tcPr>
            <w:tcW w:w="811"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14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W w:w="657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（2）深度清洁：使用洗洁精或肥皂水清理。</w:t>
            </w:r>
            <w:r/>
          </w:p>
        </w:tc>
      </w:tr>
      <w:tr>
        <w:trPr>
          <w:trHeight w:val="454"/>
        </w:trPr>
        <w:tc>
          <w:tcPr>
            <w:tcW w:w="811"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2145"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石材地面</w:t>
            </w:r>
            <w:r/>
          </w:p>
        </w:tc>
        <w:tc>
          <w:tcPr>
            <w:tcW w:w="657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（1）根据各区域的人流量及大理石的实际磨损程度制定大理石的晶面保养计划。</w:t>
            </w:r>
            <w:r/>
          </w:p>
        </w:tc>
      </w:tr>
      <w:tr>
        <w:trPr>
          <w:trHeight w:val="454"/>
        </w:trPr>
        <w:tc>
          <w:tcPr>
            <w:tcW w:w="811"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14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W w:w="657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（2）启动晶面机，使用中性清洁剂清洁，避免使用强酸或强碱清洁剂，定期进行基础维护。</w:t>
            </w:r>
            <w:r/>
          </w:p>
        </w:tc>
      </w:tr>
      <w:tr>
        <w:trPr>
          <w:trHeight w:val="454"/>
        </w:trPr>
        <w:tc>
          <w:tcPr>
            <w:tcW w:w="811"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2145"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水磨石地面</w:t>
            </w:r>
            <w:r/>
          </w:p>
        </w:tc>
        <w:tc>
          <w:tcPr>
            <w:tcW w:w="657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（1）日常清洁：推尘，保持地面干净无杂物。</w:t>
            </w:r>
            <w:r/>
          </w:p>
        </w:tc>
      </w:tr>
      <w:tr>
        <w:trPr>
          <w:trHeight w:val="454"/>
        </w:trPr>
        <w:tc>
          <w:tcPr>
            <w:tcW w:w="811"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14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W w:w="657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（2）深度清洁：使用洗洁精或肥皂水清理。</w:t>
            </w:r>
            <w:r/>
          </w:p>
        </w:tc>
      </w:tr>
      <w:tr>
        <w:trPr>
          <w:trHeight w:val="454"/>
        </w:trPr>
        <w:tc>
          <w:tcPr>
            <w:tcW w:w="8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W w:w="214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乳胶漆内墙</w:t>
            </w:r>
            <w:r/>
          </w:p>
        </w:tc>
        <w:tc>
          <w:tcPr>
            <w:tcW w:w="657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有污渍时用半干布擦拭。</w:t>
            </w:r>
            <w:r/>
          </w:p>
        </w:tc>
      </w:tr>
      <w:tr>
        <w:trPr>
          <w:trHeight w:val="454"/>
        </w:trPr>
        <w:tc>
          <w:tcPr>
            <w:tcW w:w="8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W w:w="214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石材内墙</w:t>
            </w:r>
            <w:r/>
          </w:p>
        </w:tc>
        <w:tc>
          <w:tcPr>
            <w:tcW w:w="657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有污渍时用半干布擦拭。</w:t>
            </w:r>
            <w:r/>
          </w:p>
        </w:tc>
      </w:tr>
      <w:tr>
        <w:trPr>
          <w:trHeight w:val="454"/>
        </w:trPr>
        <w:tc>
          <w:tcPr>
            <w:tcW w:w="8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W w:w="214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金属板内墙</w:t>
            </w:r>
            <w:r/>
          </w:p>
        </w:tc>
        <w:tc>
          <w:tcPr>
            <w:tcW w:w="657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有污渍时用半干布擦拭。</w:t>
            </w:r>
            <w:r/>
          </w:p>
        </w:tc>
      </w:tr>
      <w:tr>
        <w:trPr>
          <w:trHeight w:val="454"/>
        </w:trPr>
        <w:tc>
          <w:tcPr>
            <w:tcW w:w="8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tcW w:w="214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涂料外墙</w:t>
            </w:r>
            <w:r/>
          </w:p>
        </w:tc>
        <w:tc>
          <w:tcPr>
            <w:tcW w:w="657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定期专业清洗。</w:t>
            </w:r>
            <w:r/>
          </w:p>
        </w:tc>
      </w:tr>
      <w:tr>
        <w:trPr>
          <w:trHeight w:val="454"/>
        </w:trPr>
        <w:tc>
          <w:tcPr>
            <w:tcW w:w="8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8</w:t>
            </w:r>
            <w:r/>
          </w:p>
        </w:tc>
        <w:tc>
          <w:tcPr>
            <w:tcW w:w="214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真石漆外墙</w:t>
            </w:r>
            <w:r/>
          </w:p>
        </w:tc>
        <w:tc>
          <w:tcPr>
            <w:tcW w:w="657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定期专业清洗。</w:t>
            </w:r>
            <w:r/>
          </w:p>
        </w:tc>
      </w:tr>
      <w:tr>
        <w:trPr>
          <w:trHeight w:val="454"/>
        </w:trPr>
        <w:tc>
          <w:tcPr>
            <w:tcW w:w="8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9</w:t>
            </w:r>
            <w:r/>
          </w:p>
        </w:tc>
        <w:tc>
          <w:tcPr>
            <w:tcW w:w="214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瓷砖外墙</w:t>
            </w:r>
            <w:r/>
          </w:p>
        </w:tc>
        <w:tc>
          <w:tcPr>
            <w:tcW w:w="657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定期专业清洗。</w:t>
            </w:r>
            <w:r/>
          </w:p>
        </w:tc>
      </w:tr>
      <w:tr>
        <w:trPr>
          <w:trHeight w:val="454"/>
        </w:trPr>
        <w:tc>
          <w:tcPr>
            <w:tcW w:w="8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c>
          <w:tcPr>
            <w:tcW w:w="214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保温一体板外墙</w:t>
            </w:r>
            <w:r/>
          </w:p>
        </w:tc>
        <w:tc>
          <w:tcPr>
            <w:tcW w:w="657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定期专业清洗。</w:t>
            </w:r>
            <w:r/>
          </w:p>
        </w:tc>
      </w:tr>
      <w:tr>
        <w:trPr>
          <w:trHeight w:val="454"/>
        </w:trPr>
        <w:tc>
          <w:tcPr>
            <w:tcW w:w="8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11</w:t>
            </w:r>
            <w:r/>
          </w:p>
        </w:tc>
        <w:tc>
          <w:tcPr>
            <w:tcW w:w="214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铝板外墙</w:t>
            </w:r>
            <w:r/>
          </w:p>
        </w:tc>
        <w:tc>
          <w:tcPr>
            <w:tcW w:w="657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定期专业清洗。</w:t>
            </w:r>
            <w:r/>
          </w:p>
        </w:tc>
      </w:tr>
      <w:tr>
        <w:trPr>
          <w:trHeight w:val="454"/>
        </w:trPr>
        <w:tc>
          <w:tcPr>
            <w:tcW w:w="8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12</w:t>
            </w:r>
            <w:r/>
          </w:p>
        </w:tc>
        <w:tc>
          <w:tcPr>
            <w:tcW w:w="214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干挂石材外墙</w:t>
            </w:r>
            <w:r/>
          </w:p>
        </w:tc>
        <w:tc>
          <w:tcPr>
            <w:tcW w:w="657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定期专业清洗。</w:t>
            </w:r>
            <w:r/>
          </w:p>
        </w:tc>
      </w:tr>
      <w:tr>
        <w:trPr>
          <w:trHeight w:val="454"/>
        </w:trPr>
        <w:tc>
          <w:tcPr>
            <w:tcW w:w="81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13</w:t>
            </w:r>
            <w:r/>
          </w:p>
        </w:tc>
        <w:tc>
          <w:tcPr>
            <w:tcW w:w="214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玻璃幕墙外墙</w:t>
            </w:r>
            <w:r/>
          </w:p>
        </w:tc>
        <w:tc>
          <w:tcPr>
            <w:tcW w:w="657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定期专业清洗。</w:t>
            </w:r>
            <w:r/>
          </w:p>
        </w:tc>
      </w:tr>
    </w:tbl>
    <w:p>
      <w:pPr>
        <w:spacing w:line="500" w:lineRule="exact"/>
        <w:rPr>
          <w:rFonts w:hint="eastAsia" w:ascii="Times New Roman" w:hAnsi="Times New Roman"/>
          <w:b/>
          <w:bCs/>
          <w:sz w:val="24"/>
        </w:rPr>
      </w:pPr>
      <w:r>
        <w:rPr>
          <w:rFonts w:hint="eastAsia" w:ascii="Times New Roman" w:hAnsi="Times New Roman"/>
          <w:b/>
          <w:bCs/>
          <w:sz w:val="24"/>
        </w:rPr>
      </w:r>
      <w:r/>
    </w:p>
    <w:p>
      <w:pPr>
        <w:ind w:firstLine="482"/>
        <w:spacing w:line="500" w:lineRule="exact"/>
        <w:rPr>
          <w:rFonts w:hint="eastAsia" w:ascii="Times New Roman" w:hAnsi="Times New Roman"/>
          <w:b/>
          <w:bCs/>
          <w:sz w:val="24"/>
        </w:rPr>
      </w:pPr>
      <w:r>
        <w:rPr>
          <w:rFonts w:hint="eastAsia" w:ascii="Times New Roman" w:hAnsi="Times New Roman"/>
          <w:b/>
          <w:bCs/>
          <w:sz w:val="24"/>
        </w:rPr>
      </w:r>
      <w:r/>
    </w:p>
    <w:p>
      <w:pPr>
        <w:ind w:firstLine="482"/>
        <w:spacing w:line="500" w:lineRule="exact"/>
        <w:rPr>
          <w:rFonts w:hint="eastAsia" w:ascii="Times New Roman" w:hAnsi="Times New Roman"/>
          <w:b/>
          <w:bCs/>
          <w:sz w:val="24"/>
        </w:rPr>
      </w:pPr>
      <w:r>
        <w:rPr>
          <w:rFonts w:hint="eastAsia" w:ascii="Times New Roman" w:hAnsi="Times New Roman"/>
          <w:b/>
          <w:bCs/>
          <w:sz w:val="24"/>
        </w:rPr>
        <w:t xml:space="preserve">（二）宿迁市新沂河调度工程管理处</w:t>
      </w:r>
      <w:r/>
    </w:p>
    <w:tbl>
      <w:tblPr>
        <w:tblStyle w:val="785"/>
        <w:tblW w:w="5082" w:type="pct"/>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2145"/>
        <w:gridCol w:w="6584"/>
      </w:tblGrid>
      <w:tr>
        <w:trPr>
          <w:trHeight w:val="454"/>
        </w:trPr>
        <w:tc>
          <w:tcPr>
            <w:tcW w:w="825" w:type="dxa"/>
            <w:vAlign w:val="center"/>
            <w:textDirection w:val="lrTb"/>
            <w:noWrap w:val="false"/>
          </w:tcPr>
          <w:p>
            <w:pPr>
              <w:jc w:val="center"/>
              <w:rPr>
                <w:rFonts w:hint="eastAsia" w:ascii="宋体" w:hAnsi="宋体" w:cs="宋体"/>
                <w:b/>
                <w:bCs/>
                <w:color w:val="000000"/>
              </w:rPr>
            </w:pPr>
            <w:r>
              <w:rPr>
                <w:rFonts w:hint="eastAsia" w:ascii="宋体" w:hAnsi="宋体" w:cs="宋体"/>
                <w:b/>
                <w:bCs/>
                <w:color w:val="000000"/>
              </w:rPr>
              <w:t xml:space="preserve">序号</w:t>
            </w:r>
            <w:r/>
          </w:p>
        </w:tc>
        <w:tc>
          <w:tcPr>
            <w:tcW w:w="2145" w:type="dxa"/>
            <w:vAlign w:val="center"/>
            <w:textDirection w:val="lrTb"/>
            <w:noWrap w:val="false"/>
          </w:tcPr>
          <w:p>
            <w:pPr>
              <w:jc w:val="center"/>
              <w:rPr>
                <w:rFonts w:hint="eastAsia" w:ascii="宋体" w:hAnsi="宋体" w:cs="宋体"/>
                <w:b/>
                <w:bCs/>
                <w:color w:val="000000"/>
              </w:rPr>
            </w:pPr>
            <w:r>
              <w:rPr>
                <w:rFonts w:hint="eastAsia" w:ascii="宋体" w:hAnsi="宋体" w:cs="宋体"/>
                <w:b/>
                <w:bCs/>
                <w:color w:val="000000"/>
              </w:rPr>
              <w:t xml:space="preserve">材质</w:t>
            </w:r>
            <w:r/>
          </w:p>
        </w:tc>
        <w:tc>
          <w:tcPr>
            <w:tcW w:w="6585" w:type="dxa"/>
            <w:vAlign w:val="center"/>
            <w:textDirection w:val="lrTb"/>
            <w:noWrap w:val="false"/>
          </w:tcPr>
          <w:p>
            <w:pPr>
              <w:jc w:val="center"/>
              <w:rPr>
                <w:rFonts w:hint="eastAsia" w:ascii="宋体" w:hAnsi="宋体" w:cs="宋体"/>
                <w:b/>
                <w:bCs/>
                <w:color w:val="000000"/>
              </w:rPr>
            </w:pPr>
            <w:r>
              <w:rPr>
                <w:rFonts w:hint="eastAsia" w:ascii="宋体" w:hAnsi="宋体" w:cs="宋体"/>
                <w:b/>
                <w:bCs/>
                <w:color w:val="000000"/>
              </w:rPr>
              <w:t xml:space="preserve">清洁要求</w:t>
            </w:r>
            <w:r/>
          </w:p>
        </w:tc>
      </w:tr>
      <w:tr>
        <w:trPr>
          <w:cantSplit/>
          <w:trHeight w:val="454"/>
        </w:trPr>
        <w:tc>
          <w:tcPr>
            <w:tcW w:w="825"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2145" w:type="dxa"/>
            <w:vAlign w:val="center"/>
            <w:vMerge w:val="restart"/>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环氧地坪地面</w:t>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（1）清理垃圾：清理地面上的垃圾和杂物。</w:t>
            </w:r>
            <w:r/>
          </w:p>
        </w:tc>
      </w:tr>
      <w:tr>
        <w:trPr>
          <w:cantSplit/>
          <w:trHeight w:val="454"/>
        </w:trPr>
        <w:tc>
          <w:tcPr>
            <w:tcW w:w="82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45" w:type="dxa"/>
            <w:vAlign w:val="center"/>
            <w:vMerge w:val="continue"/>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（2）清洗地面：用专业的清洁剂或去污剂清洗地面。清洁剂和去污剂的选取要根据污垢的性质而定。环氧地坪一般使用弱酸性或弱碱性的清洁剂，避免使用酸性或碱性强的清洁剂。</w:t>
            </w:r>
            <w:r/>
          </w:p>
        </w:tc>
      </w:tr>
      <w:tr>
        <w:trPr>
          <w:cantSplit/>
          <w:trHeight w:val="454"/>
        </w:trPr>
        <w:tc>
          <w:tcPr>
            <w:tcW w:w="82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45" w:type="dxa"/>
            <w:vAlign w:val="center"/>
            <w:vMerge w:val="continue"/>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（3）滚刷或颗粒机进行深层清洗：对于顽固沉积物，需要使用滚刷或颗粒机进行深层清洗。</w:t>
            </w:r>
            <w:r/>
          </w:p>
        </w:tc>
      </w:tr>
      <w:tr>
        <w:trPr>
          <w:cantSplit/>
          <w:trHeight w:val="454"/>
        </w:trPr>
        <w:tc>
          <w:tcPr>
            <w:tcW w:w="82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45" w:type="dxa"/>
            <w:vAlign w:val="center"/>
            <w:vMerge w:val="continue"/>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（4）浸泡：将清洁剂或去污剂浸泡在环氧地坪上，加强去除污渍的效果。</w:t>
            </w:r>
            <w:r/>
          </w:p>
        </w:tc>
      </w:tr>
      <w:tr>
        <w:trPr>
          <w:cantSplit/>
          <w:trHeight w:val="454"/>
        </w:trPr>
        <w:tc>
          <w:tcPr>
            <w:tcW w:w="82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45" w:type="dxa"/>
            <w:vAlign w:val="center"/>
            <w:vMerge w:val="continue"/>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（5）冲洗：用清水将地面冲洗干净，以去除残留的清洁剂或去污剂。</w:t>
            </w:r>
            <w:r/>
          </w:p>
        </w:tc>
      </w:tr>
      <w:tr>
        <w:trPr>
          <w:cantSplit/>
          <w:trHeight w:val="454"/>
        </w:trPr>
        <w:tc>
          <w:tcPr>
            <w:tcW w:w="825"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2145" w:type="dxa"/>
            <w:vAlign w:val="center"/>
            <w:vMerge w:val="restart"/>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耐磨漆地面</w:t>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trHeight w:val="454"/>
        </w:trPr>
        <w:tc>
          <w:tcPr>
            <w:tcW w:w="82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45" w:type="dxa"/>
            <w:vAlign w:val="center"/>
            <w:vMerge w:val="continue"/>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（2）打蜡：为了增加耐磨地面的光亮度和耐磨性，可以进行打蜡处理。使用适合聚氨酯地面的蜡进行均匀涂抹，待蜡干燥后使用抛光机或拖把清理地面，使其变得光滑而有光泽。</w:t>
            </w:r>
            <w:r/>
          </w:p>
        </w:tc>
      </w:tr>
      <w:tr>
        <w:trPr>
          <w:cantSplit/>
          <w:trHeight w:val="454"/>
        </w:trPr>
        <w:tc>
          <w:tcPr>
            <w:tcW w:w="825"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2145" w:type="dxa"/>
            <w:vAlign w:val="center"/>
            <w:vMerge w:val="restart"/>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瓷砖地面</w:t>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（1）日常清洁：推尘，保持地面干净无杂物。</w:t>
            </w:r>
            <w:r/>
          </w:p>
        </w:tc>
      </w:tr>
      <w:tr>
        <w:trPr>
          <w:cantSplit/>
          <w:trHeight w:val="454"/>
        </w:trPr>
        <w:tc>
          <w:tcPr>
            <w:tcW w:w="82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45" w:type="dxa"/>
            <w:vAlign w:val="center"/>
            <w:vMerge w:val="continue"/>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（2）深度清洁：使用洗洁精或肥皂水清理。</w:t>
            </w:r>
            <w:r/>
          </w:p>
        </w:tc>
      </w:tr>
      <w:tr>
        <w:trPr>
          <w:cantSplit/>
          <w:trHeight w:val="454"/>
        </w:trPr>
        <w:tc>
          <w:tcPr>
            <w:tcW w:w="825"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2145" w:type="dxa"/>
            <w:vAlign w:val="center"/>
            <w:vMerge w:val="restart"/>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石材地面</w:t>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（1）根据各区域的人流量及大理石的实际磨损程度制定大理石的晶面保养计划。</w:t>
            </w:r>
            <w:r/>
          </w:p>
        </w:tc>
      </w:tr>
      <w:tr>
        <w:trPr>
          <w:cantSplit/>
          <w:trHeight w:val="454"/>
        </w:trPr>
        <w:tc>
          <w:tcPr>
            <w:tcW w:w="82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45" w:type="dxa"/>
            <w:vAlign w:val="center"/>
            <w:vMerge w:val="continue"/>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（2）启动晶面机，使用中性清洁剂清洁，避免使用强酸或强碱清洁剂，定期进行基础维护。</w:t>
            </w:r>
            <w:r/>
          </w:p>
        </w:tc>
      </w:tr>
      <w:tr>
        <w:trPr>
          <w:cantSplit/>
          <w:trHeight w:val="454"/>
        </w:trPr>
        <w:tc>
          <w:tcPr>
            <w:tcW w:w="825"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2145" w:type="dxa"/>
            <w:vAlign w:val="center"/>
            <w:vMerge w:val="restart"/>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水磨石地面</w:t>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（1）日常清洁：推尘，保持地面干净无杂物。</w:t>
            </w:r>
            <w:r/>
          </w:p>
        </w:tc>
      </w:tr>
      <w:tr>
        <w:trPr>
          <w:cantSplit/>
          <w:trHeight w:val="454"/>
        </w:trPr>
        <w:tc>
          <w:tcPr>
            <w:tcW w:w="82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45" w:type="dxa"/>
            <w:vAlign w:val="center"/>
            <w:vMerge w:val="continue"/>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（2）深度清洁：使用洗洁精或肥皂水清理。</w:t>
            </w:r>
            <w:r/>
          </w:p>
        </w:tc>
      </w:tr>
      <w:tr>
        <w:trPr>
          <w:cantSplit/>
          <w:trHeight w:val="454"/>
        </w:trPr>
        <w:tc>
          <w:tcPr>
            <w:tcW w:w="825"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2145" w:type="dxa"/>
            <w:vAlign w:val="center"/>
            <w:vMerge w:val="restart"/>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地胶板地面</w:t>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（1）定期保养。使用中性清洁剂清洁，避免使用强酸或强碱清洁剂，定期进行基础维护。</w:t>
            </w:r>
            <w:r/>
          </w:p>
        </w:tc>
      </w:tr>
      <w:tr>
        <w:trPr>
          <w:cantSplit/>
          <w:trHeight w:val="454"/>
        </w:trPr>
        <w:tc>
          <w:tcPr>
            <w:tcW w:w="82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45" w:type="dxa"/>
            <w:vAlign w:val="center"/>
            <w:vMerge w:val="continue"/>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（2）日常维护。使用湿润的拖把清洁，污染严重时局部清洁，每月对地胶板地面进行打蜡处理。</w:t>
            </w:r>
            <w:r/>
          </w:p>
        </w:tc>
      </w:tr>
      <w:tr>
        <w:trPr>
          <w:cantSplit/>
          <w:trHeight w:val="454"/>
        </w:trPr>
        <w:tc>
          <w:tcPr>
            <w:tcW w:w="825"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7</w:t>
            </w:r>
            <w:r/>
          </w:p>
        </w:tc>
        <w:tc>
          <w:tcPr>
            <w:tcW w:w="2145" w:type="dxa"/>
            <w:vAlign w:val="center"/>
            <w:vMerge w:val="restart"/>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地板地面</w:t>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（1）定期保养。使用中性清洁剂清洁，避免使用强酸或强碱清洁剂，定期进行基础维护。</w:t>
            </w:r>
            <w:r/>
          </w:p>
        </w:tc>
      </w:tr>
      <w:tr>
        <w:trPr>
          <w:cantSplit/>
          <w:trHeight w:val="454"/>
        </w:trPr>
        <w:tc>
          <w:tcPr>
            <w:tcW w:w="82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45" w:type="dxa"/>
            <w:vAlign w:val="center"/>
            <w:vMerge w:val="continue"/>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（2）日常维护。使用湿润的拖把清洁，污染严重时局部清洁，每月对地板进行打蜡处理。</w:t>
            </w:r>
            <w:r/>
          </w:p>
        </w:tc>
      </w:tr>
      <w:tr>
        <w:trPr>
          <w:cantSplit/>
          <w:trHeight w:val="454"/>
        </w:trPr>
        <w:tc>
          <w:tcPr>
            <w:tcW w:w="825" w:type="dxa"/>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8</w:t>
            </w:r>
            <w:r/>
          </w:p>
        </w:tc>
        <w:tc>
          <w:tcPr>
            <w:tcW w:w="2145" w:type="dxa"/>
            <w:vAlign w:val="center"/>
            <w:vMerge w:val="restart"/>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地毯地面</w:t>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（1）日常用吸尘机除尘，局部脏污用湿布配中性清洁液重点清洁。</w:t>
            </w:r>
            <w:r/>
          </w:p>
        </w:tc>
      </w:tr>
      <w:tr>
        <w:trPr>
          <w:cantSplit/>
          <w:trHeight w:val="454"/>
        </w:trPr>
        <w:tc>
          <w:tcPr>
            <w:tcW w:w="825"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45" w:type="dxa"/>
            <w:vAlign w:val="center"/>
            <w:vMerge w:val="continue"/>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（2）用地毯清洗机进行整体清洗，除螨。</w:t>
            </w:r>
            <w:r/>
          </w:p>
        </w:tc>
      </w:tr>
      <w:tr>
        <w:trPr>
          <w:trHeight w:val="454"/>
        </w:trPr>
        <w:tc>
          <w:tcPr>
            <w:tcW w:w="82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9</w:t>
            </w:r>
            <w:r/>
          </w:p>
        </w:tc>
        <w:tc>
          <w:tcPr>
            <w:tcW w:w="214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乳胶漆内墙</w:t>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有污渍时用半干布擦拭。</w:t>
            </w:r>
            <w:r/>
          </w:p>
        </w:tc>
      </w:tr>
      <w:tr>
        <w:trPr>
          <w:trHeight w:val="454"/>
        </w:trPr>
        <w:tc>
          <w:tcPr>
            <w:tcW w:w="82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10</w:t>
            </w:r>
            <w:r/>
          </w:p>
        </w:tc>
        <w:tc>
          <w:tcPr>
            <w:tcW w:w="214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墙纸内墙</w:t>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有污渍时用半干布擦拭。</w:t>
            </w:r>
            <w:r/>
          </w:p>
        </w:tc>
      </w:tr>
      <w:tr>
        <w:trPr>
          <w:trHeight w:val="454"/>
        </w:trPr>
        <w:tc>
          <w:tcPr>
            <w:tcW w:w="82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11</w:t>
            </w:r>
            <w:r/>
          </w:p>
        </w:tc>
        <w:tc>
          <w:tcPr>
            <w:tcW w:w="214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木饰面内墙</w:t>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有污渍时用中性清洁剂、半干布擦拭。</w:t>
            </w:r>
            <w:r/>
          </w:p>
        </w:tc>
      </w:tr>
      <w:tr>
        <w:trPr>
          <w:trHeight w:val="454"/>
        </w:trPr>
        <w:tc>
          <w:tcPr>
            <w:tcW w:w="82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214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石材内墙</w:t>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有污渍时用半干布擦拭。</w:t>
            </w:r>
            <w:r/>
          </w:p>
        </w:tc>
      </w:tr>
      <w:tr>
        <w:trPr>
          <w:trHeight w:val="454"/>
        </w:trPr>
        <w:tc>
          <w:tcPr>
            <w:tcW w:w="82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13</w:t>
            </w:r>
            <w:r/>
          </w:p>
        </w:tc>
        <w:tc>
          <w:tcPr>
            <w:tcW w:w="214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金属板内墙</w:t>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有污渍时用半干布擦拭。</w:t>
            </w:r>
            <w:r/>
          </w:p>
        </w:tc>
      </w:tr>
      <w:tr>
        <w:trPr>
          <w:trHeight w:val="454"/>
        </w:trPr>
        <w:tc>
          <w:tcPr>
            <w:tcW w:w="82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14</w:t>
            </w:r>
            <w:r/>
          </w:p>
        </w:tc>
        <w:tc>
          <w:tcPr>
            <w:tcW w:w="214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铝板外墙</w:t>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定期专业清洗。</w:t>
            </w:r>
            <w:r/>
          </w:p>
        </w:tc>
      </w:tr>
      <w:tr>
        <w:trPr>
          <w:trHeight w:val="454"/>
        </w:trPr>
        <w:tc>
          <w:tcPr>
            <w:tcW w:w="82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15</w:t>
            </w:r>
            <w:r/>
          </w:p>
        </w:tc>
        <w:tc>
          <w:tcPr>
            <w:tcW w:w="214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干挂石材外墙</w:t>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定期专业清洗。</w:t>
            </w:r>
            <w:r/>
          </w:p>
        </w:tc>
      </w:tr>
      <w:tr>
        <w:trPr>
          <w:trHeight w:val="454"/>
        </w:trPr>
        <w:tc>
          <w:tcPr>
            <w:tcW w:w="82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16</w:t>
            </w:r>
            <w:r/>
          </w:p>
        </w:tc>
        <w:tc>
          <w:tcPr>
            <w:tcW w:w="214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玻璃幕墙外墙</w:t>
            </w:r>
            <w:r/>
          </w:p>
        </w:tc>
        <w:tc>
          <w:tcPr>
            <w:tcW w:w="6585"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定期专业清洗。</w:t>
            </w:r>
            <w:r/>
          </w:p>
        </w:tc>
      </w:tr>
    </w:tbl>
    <w:p>
      <w:pPr>
        <w:ind w:firstLine="482"/>
        <w:spacing w:line="500" w:lineRule="exact"/>
        <w:rPr>
          <w:rFonts w:hint="eastAsia" w:ascii="宋体" w:hAnsi="宋体" w:cs="宋体"/>
          <w:b/>
          <w:sz w:val="24"/>
          <w:szCs w:val="24"/>
        </w:rPr>
      </w:pPr>
      <w:r>
        <w:rPr>
          <w:rFonts w:hint="eastAsia" w:ascii="宋体" w:hAnsi="宋体" w:cs="宋体"/>
          <w:b/>
          <w:sz w:val="24"/>
          <w:szCs w:val="24"/>
        </w:rPr>
        <w:t xml:space="preserve">3.3保安服务</w:t>
      </w:r>
      <w:r/>
    </w:p>
    <w:p>
      <w:pPr>
        <w:ind w:left="420"/>
        <w:spacing w:line="500" w:lineRule="exact"/>
        <w:rPr>
          <w:rFonts w:hint="eastAsia" w:ascii="宋体" w:hAnsi="宋体" w:cs="宋体"/>
          <w:b/>
          <w:sz w:val="24"/>
          <w:szCs w:val="24"/>
        </w:rPr>
      </w:pPr>
      <w:r>
        <w:rPr>
          <w:rFonts w:hint="eastAsia" w:ascii="宋体" w:hAnsi="宋体" w:cs="宋体"/>
          <w:b/>
          <w:sz w:val="24"/>
          <w:szCs w:val="24"/>
        </w:rPr>
        <w:t xml:space="preserve">（一）</w:t>
      </w:r>
      <w:r>
        <w:rPr>
          <w:rFonts w:hint="eastAsia" w:ascii="宋体" w:hAnsi="宋体" w:cs="宋体"/>
          <w:b/>
          <w:bCs/>
          <w:sz w:val="24"/>
          <w:szCs w:val="24"/>
        </w:rPr>
        <w:t xml:space="preserve">宿迁市传染病医院</w:t>
      </w:r>
      <w:r/>
    </w:p>
    <w:tbl>
      <w:tblPr>
        <w:tblStyle w:val="785"/>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2179"/>
        <w:gridCol w:w="6436"/>
      </w:tblGrid>
      <w:tr>
        <w:trPr>
          <w:trHeight w:val="454"/>
        </w:trPr>
        <w:tc>
          <w:tcPr>
            <w:tcW w:w="791"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2179"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服务内容</w:t>
            </w:r>
            <w:r/>
          </w:p>
        </w:tc>
        <w:tc>
          <w:tcPr>
            <w:tcW w:w="6436" w:type="dxa"/>
            <w:vAlign w:val="center"/>
            <w:textDirection w:val="lrTb"/>
            <w:noWrap w:val="false"/>
          </w:tcPr>
          <w:p>
            <w:pPr>
              <w:jc w:val="center"/>
              <w:spacing w:line="300" w:lineRule="auto"/>
              <w:widowControl/>
              <w:rPr>
                <w:rFonts w:hint="eastAsia" w:ascii="宋体" w:hAnsi="宋体" w:cs="宋体"/>
                <w:b/>
                <w:bCs/>
                <w:sz w:val="24"/>
                <w:szCs w:val="24"/>
              </w:rPr>
            </w:pPr>
            <w:r>
              <w:rPr>
                <w:rFonts w:hint="eastAsia" w:ascii="宋体" w:hAnsi="宋体" w:cs="宋体"/>
                <w:b/>
                <w:bCs/>
                <w:sz w:val="24"/>
                <w:szCs w:val="24"/>
              </w:rPr>
              <w:t xml:space="preserve">服务标准</w:t>
            </w:r>
            <w:r/>
          </w:p>
        </w:tc>
      </w:tr>
      <w:tr>
        <w:trPr>
          <w:trHeight w:val="454"/>
        </w:trPr>
        <w:tc>
          <w:tcPr>
            <w:tcW w:w="791"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2179" w:type="dxa"/>
            <w:vAlign w:val="center"/>
            <w:vMerge w:val="restart"/>
            <w:textDirection w:val="lrTb"/>
            <w:noWrap w:val="false"/>
          </w:tcPr>
          <w:p>
            <w:pPr>
              <w:widowControl/>
              <w:rPr>
                <w:rFonts w:hint="eastAsia" w:ascii="宋体" w:hAnsi="宋体" w:cs="宋体"/>
                <w:szCs w:val="21"/>
              </w:rPr>
            </w:pPr>
            <w:r>
              <w:rPr>
                <w:rFonts w:hint="eastAsia" w:ascii="宋体" w:hAnsi="宋体" w:cs="宋体"/>
                <w:szCs w:val="21"/>
              </w:rPr>
              <w:t xml:space="preserve">基本要求</w:t>
            </w:r>
            <w:r/>
          </w:p>
        </w:tc>
        <w:tc>
          <w:tcPr>
            <w:tcW w:w="643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（1）建立安保服务的工作制度及工作计划，并按照执行。</w:t>
            </w:r>
            <w:r/>
          </w:p>
        </w:tc>
      </w:tr>
      <w:tr>
        <w:trPr>
          <w:trHeight w:val="454"/>
        </w:trPr>
        <w:tc>
          <w:tcPr>
            <w:tcW w:w="791"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2179" w:type="dxa"/>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W w:w="643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（2）做好安保服务工作记录，记录填写规范、保存完好。</w:t>
            </w:r>
            <w:r/>
          </w:p>
        </w:tc>
      </w:tr>
      <w:tr>
        <w:trPr>
          <w:trHeight w:val="454"/>
        </w:trPr>
        <w:tc>
          <w:tcPr>
            <w:tcW w:w="791"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2179" w:type="dxa"/>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W w:w="643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（3）作业时采取安全防护措施，防止对作业人员或他人造成伤害。</w:t>
            </w:r>
            <w:r/>
          </w:p>
        </w:tc>
      </w:tr>
      <w:tr>
        <w:trPr>
          <w:trHeight w:val="454"/>
        </w:trPr>
        <w:tc>
          <w:tcPr>
            <w:tcW w:w="791"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2179" w:type="dxa"/>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W w:w="643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（4）如遇紧急事故或突发事件等需要紧急处理，无条件服从甲方调用进行突击抢险和处理紧急任务。</w:t>
            </w:r>
            <w:r/>
          </w:p>
        </w:tc>
      </w:tr>
      <w:tr>
        <w:trPr>
          <w:trHeight w:val="1507"/>
        </w:trPr>
        <w:tc>
          <w:tcPr>
            <w:tcW w:w="79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2179"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服务要求</w:t>
            </w:r>
            <w:r/>
          </w:p>
        </w:tc>
        <w:tc>
          <w:tcPr>
            <w:tcW w:w="643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治安防范和安全巡逻；消防管理(巡查);社会综合治理联勤联防；车辆管理；各种突发事件处理；医患沟通、重点会议等专项工作安全工作。具体工作内容如下：</w:t>
            </w:r>
            <w:r/>
          </w:p>
          <w:p>
            <w:pPr>
              <w:jc w:val="left"/>
              <w:widowControl/>
              <w:rPr>
                <w:rFonts w:hint="eastAsia" w:ascii="宋体" w:hAnsi="宋体" w:cs="宋体"/>
                <w:szCs w:val="21"/>
              </w:rPr>
            </w:pPr>
            <w:r>
              <w:rPr>
                <w:rFonts w:hint="eastAsia" w:ascii="宋体" w:hAnsi="宋体" w:cs="宋体"/>
                <w:szCs w:val="21"/>
              </w:rPr>
              <w:t xml:space="preserve">①医护人员和患者的人身、财产安全；</w:t>
            </w:r>
            <w:r/>
          </w:p>
          <w:p>
            <w:pPr>
              <w:jc w:val="left"/>
              <w:widowControl/>
              <w:rPr>
                <w:rFonts w:hint="eastAsia" w:ascii="宋体" w:hAnsi="宋体" w:cs="宋体"/>
                <w:szCs w:val="21"/>
              </w:rPr>
            </w:pPr>
            <w:r>
              <w:rPr>
                <w:rFonts w:hint="eastAsia" w:ascii="宋体" w:hAnsi="宋体" w:cs="宋体"/>
                <w:szCs w:val="21"/>
              </w:rPr>
              <w:t xml:space="preserve">②进行防火、防盗、防伤害、防破坏和治安宣传；</w:t>
            </w:r>
            <w:r/>
          </w:p>
          <w:p>
            <w:pPr>
              <w:jc w:val="left"/>
              <w:widowControl/>
              <w:rPr>
                <w:rFonts w:hint="eastAsia" w:ascii="宋体" w:hAnsi="宋体" w:cs="宋体"/>
                <w:szCs w:val="21"/>
              </w:rPr>
            </w:pPr>
            <w:r>
              <w:rPr>
                <w:rFonts w:hint="eastAsia" w:ascii="宋体" w:hAnsi="宋体" w:cs="宋体"/>
                <w:szCs w:val="21"/>
              </w:rPr>
              <w:t xml:space="preserve">③维持挂号、缴费、取药、就诊等医疗项目的排队就诊秩序；</w:t>
            </w:r>
            <w:r/>
          </w:p>
          <w:p>
            <w:pPr>
              <w:jc w:val="left"/>
              <w:widowControl/>
              <w:rPr>
                <w:rFonts w:hint="eastAsia" w:ascii="宋体" w:hAnsi="宋体" w:cs="宋体"/>
                <w:szCs w:val="21"/>
              </w:rPr>
            </w:pPr>
            <w:r>
              <w:rPr>
                <w:rFonts w:hint="eastAsia" w:ascii="宋体" w:hAnsi="宋体" w:cs="宋体"/>
                <w:szCs w:val="21"/>
              </w:rPr>
              <w:t xml:space="preserve">④打击医托、制止散发广告、限制医药代表在院内随意出入；</w:t>
            </w:r>
            <w:r/>
          </w:p>
          <w:p>
            <w:pPr>
              <w:jc w:val="left"/>
              <w:widowControl/>
              <w:rPr>
                <w:rFonts w:hint="eastAsia" w:ascii="宋体" w:hAnsi="宋体" w:cs="宋体"/>
                <w:szCs w:val="21"/>
              </w:rPr>
            </w:pPr>
            <w:r>
              <w:rPr>
                <w:rFonts w:hint="eastAsia" w:ascii="宋体" w:hAnsi="宋体" w:cs="宋体"/>
                <w:szCs w:val="21"/>
              </w:rPr>
              <w:t xml:space="preserve">⑤制止、调解、处理院内各类纠纷；</w:t>
            </w:r>
            <w:r/>
          </w:p>
          <w:p>
            <w:pPr>
              <w:jc w:val="left"/>
              <w:widowControl/>
              <w:rPr>
                <w:rFonts w:hint="eastAsia" w:ascii="宋体" w:hAnsi="宋体" w:cs="宋体"/>
                <w:szCs w:val="21"/>
              </w:rPr>
            </w:pPr>
            <w:r>
              <w:rPr>
                <w:rFonts w:hint="eastAsia" w:ascii="宋体" w:hAnsi="宋体" w:cs="宋体"/>
                <w:szCs w:val="21"/>
              </w:rPr>
              <w:t xml:space="preserve">⑥进行安检，阻止非法携带易燃、易爆危险物品和管制器具进入；</w:t>
            </w:r>
            <w:r/>
          </w:p>
          <w:p>
            <w:pPr>
              <w:jc w:val="left"/>
              <w:widowControl/>
              <w:rPr>
                <w:rFonts w:hint="eastAsia" w:ascii="宋体" w:hAnsi="宋体" w:cs="宋体"/>
                <w:szCs w:val="21"/>
              </w:rPr>
            </w:pPr>
            <w:r>
              <w:rPr>
                <w:rFonts w:hint="eastAsia" w:ascii="宋体" w:hAnsi="宋体" w:cs="宋体"/>
                <w:szCs w:val="21"/>
              </w:rPr>
              <w:t xml:space="preserve">⑦处理各类突发事件、医 疗纠纷，阻止焚烧纸钱、摆设灵堂、摆放花圈、违规停尸、聚众滋事的发生；</w:t>
            </w:r>
            <w:r/>
          </w:p>
          <w:p>
            <w:pPr>
              <w:jc w:val="left"/>
              <w:widowControl/>
              <w:rPr>
                <w:rFonts w:hint="eastAsia" w:ascii="宋体" w:hAnsi="宋体" w:cs="宋体"/>
                <w:szCs w:val="21"/>
              </w:rPr>
            </w:pPr>
            <w:r>
              <w:rPr>
                <w:rFonts w:hint="eastAsia" w:ascii="宋体" w:hAnsi="宋体" w:cs="宋体"/>
                <w:szCs w:val="21"/>
              </w:rPr>
              <w:t xml:space="preserve">⑧向就医者提供咨询、指引以及其他便捷服务；</w:t>
            </w:r>
            <w:r/>
          </w:p>
          <w:p>
            <w:pPr>
              <w:jc w:val="left"/>
              <w:widowControl/>
              <w:rPr>
                <w:rFonts w:hint="eastAsia" w:ascii="宋体" w:hAnsi="宋体" w:cs="宋体"/>
                <w:szCs w:val="21"/>
              </w:rPr>
            </w:pPr>
            <w:r>
              <w:rPr>
                <w:rFonts w:hint="eastAsia" w:ascii="宋体" w:hAnsi="宋体" w:cs="宋体"/>
                <w:szCs w:val="21"/>
              </w:rPr>
              <w:t xml:space="preserve">⑨其他临时性的工作任务。</w:t>
            </w:r>
            <w:r/>
          </w:p>
        </w:tc>
      </w:tr>
    </w:tbl>
    <w:p>
      <w:pPr>
        <w:ind w:left="420"/>
        <w:spacing w:line="500" w:lineRule="exact"/>
      </w:pPr>
      <w:r>
        <w:rPr>
          <w:rFonts w:hint="eastAsia"/>
          <w:b/>
          <w:bCs/>
        </w:rPr>
        <w:t xml:space="preserve">（二）</w:t>
      </w:r>
      <w:r>
        <w:rPr>
          <w:rFonts w:hint="eastAsia" w:ascii="宋体" w:hAnsi="宋体" w:cs="宋体"/>
          <w:b/>
          <w:sz w:val="24"/>
          <w:szCs w:val="24"/>
        </w:rPr>
        <w:t xml:space="preserve">宿迁市新沂河调度工程管理处</w:t>
      </w:r>
      <w:r/>
    </w:p>
    <w:p>
      <w:pPr>
        <w:rPr>
          <w:rFonts w:hint="eastAsia"/>
        </w:rPr>
      </w:pPr>
      <w:r>
        <w:rPr>
          <w:rFonts w:hint="eastAsia"/>
        </w:rPr>
      </w:r>
      <w:r/>
    </w:p>
    <w:tbl>
      <w:tblPr>
        <w:tblStyle w:val="785"/>
        <w:tblW w:w="5186" w:type="pct"/>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190"/>
        <w:gridCol w:w="6780"/>
      </w:tblGrid>
      <w:tr>
        <w:trPr>
          <w:trHeight w:val="454"/>
        </w:trPr>
        <w:tc>
          <w:tcPr>
            <w:tcW w:w="78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W w:w="219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服务内容</w:t>
            </w:r>
            <w:r/>
          </w:p>
        </w:tc>
        <w:tc>
          <w:tcPr>
            <w:tcW w:w="678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服务标准</w:t>
            </w:r>
            <w:r/>
          </w:p>
        </w:tc>
      </w:tr>
      <w:tr>
        <w:trPr>
          <w:cantSplit/>
          <w:trHeight w:val="639"/>
        </w:trPr>
        <w:tc>
          <w:tcPr>
            <w:tcW w:w="78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2190" w:type="dxa"/>
            <w:vAlign w:val="center"/>
            <w:vMerge w:val="restart"/>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基本要求</w:t>
            </w:r>
            <w:r/>
          </w:p>
        </w:tc>
        <w:tc>
          <w:tcPr>
            <w:tcW w:w="6780" w:type="dxa"/>
            <w:vAlign w:val="center"/>
            <w:textDirection w:val="lrTb"/>
            <w:noWrap w:val="false"/>
          </w:tcPr>
          <w:p>
            <w:pPr>
              <w:pStyle w:val="1083"/>
              <w:numPr>
                <w:ilvl w:val="0"/>
                <w:numId w:val="4"/>
              </w:numPr>
              <w:rPr>
                <w:rFonts w:hint="eastAsia" w:ascii="宋体" w:hAnsi="宋体" w:cs="宋体"/>
                <w:color w:val="000000"/>
                <w:szCs w:val="21"/>
              </w:rPr>
            </w:pPr>
            <w:r>
              <w:rPr>
                <w:rFonts w:hint="eastAsia" w:ascii="宋体" w:hAnsi="宋体" w:cs="宋体"/>
                <w:szCs w:val="21"/>
              </w:rPr>
              <w:t xml:space="preserve">接受过安全护卫或相关训练，掌握基本安全护卫技能，并定期进行安全防范学习，增强安全防范能力。</w:t>
            </w:r>
            <w:r/>
          </w:p>
        </w:tc>
      </w:tr>
      <w:tr>
        <w:trPr>
          <w:cantSplit/>
          <w:trHeight w:val="699"/>
        </w:trPr>
        <w:tc>
          <w:tcPr>
            <w:tcW w:w="78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2190" w:type="dxa"/>
            <w:vAlign w:val="center"/>
            <w:vMerge w:val="continue"/>
            <w:textDirection w:val="lrTb"/>
            <w:noWrap w:val="false"/>
          </w:tcPr>
          <w:p>
            <w:pPr>
              <w:widowControl/>
              <w:rPr>
                <w:rFonts w:hint="eastAsia" w:ascii="宋体" w:hAnsi="宋体" w:cs="宋体"/>
                <w:color w:val="000000"/>
                <w:szCs w:val="21"/>
              </w:rPr>
            </w:pPr>
            <w:r>
              <w:rPr>
                <w:rFonts w:hint="eastAsia" w:ascii="宋体" w:hAnsi="宋体" w:cs="宋体"/>
                <w:color w:val="000000"/>
                <w:szCs w:val="21"/>
              </w:rPr>
            </w:r>
            <w:r/>
          </w:p>
        </w:tc>
        <w:tc>
          <w:tcPr>
            <w:tcW w:w="6780" w:type="dxa"/>
            <w:vAlign w:val="center"/>
            <w:textDirection w:val="lrTb"/>
            <w:noWrap w:val="false"/>
          </w:tcPr>
          <w:p>
            <w:pPr>
              <w:pStyle w:val="1083"/>
              <w:numPr>
                <w:ilvl w:val="0"/>
                <w:numId w:val="4"/>
              </w:numPr>
              <w:rPr>
                <w:rFonts w:hint="eastAsia" w:ascii="宋体" w:hAnsi="宋体" w:cs="宋体"/>
                <w:color w:val="000000"/>
                <w:szCs w:val="21"/>
              </w:rPr>
            </w:pPr>
            <w:r>
              <w:rPr>
                <w:rFonts w:hint="eastAsia" w:ascii="宋体" w:hAnsi="宋体" w:cs="宋体"/>
                <w:szCs w:val="21"/>
              </w:rPr>
              <w:t xml:space="preserve">熟悉单位环境，熟悉物业管理及有关法律法规，能恰当的处理和应对护卫工作；品质好，作风正派，热爱安全护卫工作，无犯罪记录；</w:t>
            </w:r>
            <w:r/>
          </w:p>
        </w:tc>
      </w:tr>
      <w:tr>
        <w:trPr>
          <w:cantSplit/>
          <w:trHeight w:val="639"/>
        </w:trPr>
        <w:tc>
          <w:tcPr>
            <w:tcW w:w="78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2190" w:type="dxa"/>
            <w:vAlign w:val="center"/>
            <w:vMerge w:val="continue"/>
            <w:textDirection w:val="lrTb"/>
            <w:noWrap w:val="false"/>
          </w:tcPr>
          <w:p>
            <w:pPr>
              <w:widowControl/>
              <w:rPr>
                <w:rFonts w:hint="eastAsia" w:ascii="宋体" w:hAnsi="宋体" w:cs="宋体"/>
                <w:color w:val="000000"/>
                <w:szCs w:val="21"/>
              </w:rPr>
            </w:pPr>
            <w:r>
              <w:rPr>
                <w:rFonts w:hint="eastAsia" w:ascii="宋体" w:hAnsi="宋体" w:cs="宋体"/>
                <w:color w:val="000000"/>
                <w:szCs w:val="21"/>
              </w:rPr>
            </w:r>
            <w:r/>
          </w:p>
        </w:tc>
        <w:tc>
          <w:tcPr>
            <w:tcW w:w="6780" w:type="dxa"/>
            <w:vAlign w:val="center"/>
            <w:textDirection w:val="lrTb"/>
            <w:noWrap w:val="false"/>
          </w:tcPr>
          <w:p>
            <w:pPr>
              <w:pStyle w:val="1083"/>
              <w:numPr>
                <w:ilvl w:val="0"/>
                <w:numId w:val="4"/>
              </w:numPr>
              <w:rPr>
                <w:rFonts w:hint="eastAsia" w:ascii="宋体" w:hAnsi="宋体" w:cs="宋体"/>
                <w:color w:val="000000"/>
                <w:szCs w:val="21"/>
              </w:rPr>
            </w:pPr>
            <w:r>
              <w:rPr>
                <w:rFonts w:hint="eastAsia" w:ascii="宋体" w:hAnsi="宋体" w:cs="宋体"/>
                <w:szCs w:val="21"/>
              </w:rPr>
              <w:t xml:space="preserve">严格遵守上岗纪律，上班期间需着工作服，坚守岗位，不得擅自离岗，严禁酒后上岗。</w:t>
            </w:r>
            <w:r/>
          </w:p>
        </w:tc>
      </w:tr>
      <w:tr>
        <w:trPr>
          <w:cantSplit/>
          <w:trHeight w:val="972"/>
        </w:trPr>
        <w:tc>
          <w:tcPr>
            <w:tcW w:w="78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2190" w:type="dxa"/>
            <w:vAlign w:val="center"/>
            <w:vMerge w:val="continue"/>
            <w:textDirection w:val="lrTb"/>
            <w:noWrap w:val="false"/>
          </w:tcPr>
          <w:p>
            <w:pPr>
              <w:widowControl/>
              <w:rPr>
                <w:rFonts w:hint="eastAsia" w:ascii="宋体" w:hAnsi="宋体" w:cs="宋体"/>
                <w:color w:val="000000"/>
                <w:szCs w:val="21"/>
              </w:rPr>
            </w:pPr>
            <w:r>
              <w:rPr>
                <w:rFonts w:hint="eastAsia" w:ascii="宋体" w:hAnsi="宋体" w:cs="宋体"/>
                <w:color w:val="000000"/>
                <w:szCs w:val="21"/>
              </w:rPr>
            </w:r>
            <w:r/>
          </w:p>
        </w:tc>
        <w:tc>
          <w:tcPr>
            <w:tcW w:w="6780" w:type="dxa"/>
            <w:vAlign w:val="center"/>
            <w:textDirection w:val="lrTb"/>
            <w:noWrap w:val="false"/>
          </w:tcPr>
          <w:p>
            <w:pPr>
              <w:pStyle w:val="1083"/>
              <w:rPr>
                <w:rFonts w:hint="eastAsia" w:ascii="宋体" w:hAnsi="宋体" w:cs="宋体"/>
                <w:color w:val="000000"/>
                <w:szCs w:val="21"/>
              </w:rPr>
            </w:pPr>
            <w:r>
              <w:rPr>
                <w:rFonts w:hint="eastAsia" w:ascii="宋体" w:hAnsi="宋体" w:cs="宋体"/>
                <w:szCs w:val="21"/>
              </w:rPr>
              <w:t xml:space="preserve">5、上班期间，需对管理区域进行巡逻，重点检查有无明火、暗火及火种、门窗关闭上锁等情况，切实做好防火、防盗工作，保证单位内部安全并做好相应的记录。</w:t>
            </w:r>
            <w:r/>
          </w:p>
        </w:tc>
      </w:tr>
      <w:tr>
        <w:trPr>
          <w:cantSplit/>
          <w:trHeight w:val="639"/>
        </w:trPr>
        <w:tc>
          <w:tcPr>
            <w:tcW w:w="78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2190" w:type="dxa"/>
            <w:vAlign w:val="center"/>
            <w:vMerge w:val="continue"/>
            <w:textDirection w:val="lrTb"/>
            <w:noWrap w:val="false"/>
          </w:tcPr>
          <w:p>
            <w:pPr>
              <w:widowControl/>
              <w:rPr>
                <w:rFonts w:hint="eastAsia" w:ascii="宋体" w:hAnsi="宋体" w:cs="宋体"/>
                <w:color w:val="000000"/>
                <w:szCs w:val="21"/>
              </w:rPr>
            </w:pPr>
            <w:r>
              <w:rPr>
                <w:rFonts w:hint="eastAsia" w:ascii="宋体" w:hAnsi="宋体" w:cs="宋体"/>
                <w:color w:val="000000"/>
                <w:szCs w:val="21"/>
              </w:rPr>
            </w:r>
            <w:r/>
          </w:p>
        </w:tc>
        <w:tc>
          <w:tcPr>
            <w:tcW w:w="6780" w:type="dxa"/>
            <w:vAlign w:val="center"/>
            <w:textDirection w:val="lrTb"/>
            <w:noWrap w:val="false"/>
          </w:tcPr>
          <w:p>
            <w:pPr>
              <w:pStyle w:val="1083"/>
              <w:rPr>
                <w:rFonts w:hint="eastAsia" w:ascii="宋体" w:hAnsi="宋体" w:cs="宋体"/>
                <w:color w:val="000000"/>
                <w:szCs w:val="21"/>
              </w:rPr>
            </w:pPr>
            <w:r>
              <w:rPr>
                <w:rFonts w:hint="eastAsia" w:ascii="宋体" w:hAnsi="宋体" w:cs="宋体"/>
                <w:szCs w:val="21"/>
              </w:rPr>
              <w:t xml:space="preserve">6、工作日期间，外来车辆、人员进入单位时，门卫需上前检查询问，切实履行登记手续。</w:t>
            </w:r>
            <w:r/>
          </w:p>
        </w:tc>
      </w:tr>
      <w:tr>
        <w:trPr>
          <w:cantSplit/>
          <w:trHeight w:val="454"/>
        </w:trPr>
        <w:tc>
          <w:tcPr>
            <w:tcW w:w="78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2190" w:type="dxa"/>
            <w:vAlign w:val="center"/>
            <w:vMerge w:val="continue"/>
            <w:textDirection w:val="lrTb"/>
            <w:noWrap w:val="false"/>
          </w:tcPr>
          <w:p>
            <w:pPr>
              <w:widowControl/>
              <w:rPr>
                <w:rFonts w:hint="eastAsia" w:ascii="宋体" w:hAnsi="宋体" w:cs="宋体"/>
                <w:color w:val="000000"/>
                <w:szCs w:val="21"/>
              </w:rPr>
            </w:pPr>
            <w:r>
              <w:rPr>
                <w:rFonts w:hint="eastAsia" w:ascii="宋体" w:hAnsi="宋体" w:cs="宋体"/>
                <w:color w:val="000000"/>
                <w:szCs w:val="21"/>
              </w:rPr>
            </w:r>
            <w:r/>
          </w:p>
        </w:tc>
        <w:tc>
          <w:tcPr>
            <w:tcW w:w="6780" w:type="dxa"/>
            <w:vAlign w:val="center"/>
            <w:textDirection w:val="lrTb"/>
            <w:noWrap w:val="false"/>
          </w:tcPr>
          <w:p>
            <w:pPr>
              <w:pStyle w:val="1083"/>
              <w:rPr>
                <w:rFonts w:hint="eastAsia" w:ascii="宋体" w:hAnsi="宋体" w:cs="宋体"/>
                <w:color w:val="000000"/>
                <w:szCs w:val="21"/>
              </w:rPr>
            </w:pPr>
            <w:r>
              <w:rPr>
                <w:rFonts w:hint="eastAsia" w:ascii="宋体" w:hAnsi="宋体" w:cs="宋体"/>
                <w:szCs w:val="21"/>
              </w:rPr>
              <w:t xml:space="preserve">7、非工作日期间，关闭大门，实行封闭管理，禁止外来人员进入。</w:t>
            </w:r>
            <w:r/>
          </w:p>
        </w:tc>
      </w:tr>
      <w:tr>
        <w:trPr>
          <w:cantSplit/>
          <w:trHeight w:val="454"/>
        </w:trPr>
        <w:tc>
          <w:tcPr>
            <w:tcW w:w="78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2190" w:type="dxa"/>
            <w:vAlign w:val="center"/>
            <w:vMerge w:val="continue"/>
            <w:textDirection w:val="lrTb"/>
            <w:noWrap w:val="false"/>
          </w:tcPr>
          <w:p>
            <w:pPr>
              <w:widowControl/>
              <w:rPr>
                <w:rFonts w:hint="eastAsia" w:ascii="宋体" w:hAnsi="宋体" w:cs="宋体"/>
                <w:color w:val="000000"/>
                <w:szCs w:val="21"/>
              </w:rPr>
            </w:pPr>
            <w:r>
              <w:rPr>
                <w:rFonts w:hint="eastAsia" w:ascii="宋体" w:hAnsi="宋体" w:cs="宋体"/>
                <w:color w:val="000000"/>
                <w:szCs w:val="21"/>
              </w:rPr>
            </w:r>
            <w:r/>
          </w:p>
        </w:tc>
        <w:tc>
          <w:tcPr>
            <w:tcW w:w="6780" w:type="dxa"/>
            <w:vAlign w:val="center"/>
            <w:textDirection w:val="lrTb"/>
            <w:noWrap w:val="false"/>
          </w:tcPr>
          <w:p>
            <w:pPr>
              <w:pStyle w:val="1083"/>
              <w:rPr>
                <w:rFonts w:hint="eastAsia" w:ascii="宋体" w:hAnsi="宋体" w:cs="宋体"/>
                <w:color w:val="000000"/>
                <w:szCs w:val="21"/>
              </w:rPr>
            </w:pPr>
            <w:r>
              <w:rPr>
                <w:rFonts w:hint="eastAsia" w:ascii="宋体" w:hAnsi="宋体" w:cs="宋体"/>
                <w:szCs w:val="21"/>
              </w:rPr>
              <w:t xml:space="preserve">8、自觉爱护公物，做好门卫室内务工作。</w:t>
            </w:r>
            <w:r/>
          </w:p>
        </w:tc>
      </w:tr>
      <w:tr>
        <w:trPr>
          <w:cantSplit/>
          <w:trHeight w:val="454"/>
        </w:trPr>
        <w:tc>
          <w:tcPr>
            <w:tcW w:w="780"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2190" w:type="dxa"/>
            <w:vAlign w:val="center"/>
            <w:vMerge w:val="continue"/>
            <w:textDirection w:val="lrTb"/>
            <w:noWrap w:val="false"/>
          </w:tcPr>
          <w:p>
            <w:pPr>
              <w:widowControl/>
              <w:rPr>
                <w:rFonts w:hint="eastAsia" w:ascii="宋体" w:hAnsi="宋体" w:cs="宋体"/>
                <w:color w:val="000000"/>
                <w:szCs w:val="21"/>
              </w:rPr>
            </w:pPr>
            <w:r>
              <w:rPr>
                <w:rFonts w:hint="eastAsia" w:ascii="宋体" w:hAnsi="宋体" w:cs="宋体"/>
                <w:color w:val="000000"/>
                <w:szCs w:val="21"/>
              </w:rPr>
            </w:r>
            <w:r/>
          </w:p>
        </w:tc>
        <w:tc>
          <w:tcPr>
            <w:tcW w:w="6780" w:type="dxa"/>
            <w:vAlign w:val="center"/>
            <w:textDirection w:val="lrTb"/>
            <w:noWrap w:val="false"/>
          </w:tcPr>
          <w:p>
            <w:pPr>
              <w:pStyle w:val="1083"/>
              <w:rPr>
                <w:rFonts w:hint="eastAsia" w:ascii="宋体" w:hAnsi="宋体" w:cs="宋体"/>
                <w:color w:val="000000"/>
                <w:szCs w:val="21"/>
              </w:rPr>
            </w:pPr>
            <w:r>
              <w:rPr>
                <w:rFonts w:hint="eastAsia" w:ascii="宋体" w:hAnsi="宋体" w:cs="宋体"/>
                <w:szCs w:val="21"/>
              </w:rPr>
              <w:t xml:space="preserve">9、严格遵守新沂河管理处相关规章制度。</w:t>
            </w:r>
            <w:r/>
          </w:p>
        </w:tc>
      </w:tr>
    </w:tbl>
    <w:p>
      <w:pPr>
        <w:ind w:firstLine="238"/>
        <w:jc w:val="left"/>
        <w:rPr>
          <w:rFonts w:hint="eastAsia"/>
        </w:rPr>
      </w:pPr>
      <w:r>
        <w:rPr>
          <w:rFonts w:hint="eastAsia"/>
        </w:rPr>
      </w:r>
      <w:r/>
    </w:p>
    <w:p>
      <w:pPr>
        <w:ind w:left="420"/>
        <w:spacing w:line="500" w:lineRule="exact"/>
        <w:rPr>
          <w:rFonts w:hint="eastAsia" w:ascii="宋体" w:hAnsi="宋体" w:cs="宋体"/>
          <w:b/>
          <w:bCs/>
          <w:sz w:val="24"/>
          <w:highlight w:val="none"/>
        </w:rPr>
      </w:pPr>
      <w:r>
        <w:rPr>
          <w:rFonts w:hint="eastAsia" w:ascii="宋体" w:hAnsi="宋体" w:cs="宋体"/>
          <w:b/>
          <w:bCs/>
          <w:sz w:val="24"/>
          <w:highlight w:val="none"/>
        </w:rPr>
        <w:t xml:space="preserve">3.4消防服务</w:t>
      </w:r>
      <w:r/>
    </w:p>
    <w:p>
      <w:pPr>
        <w:ind w:left="420"/>
        <w:spacing w:line="500" w:lineRule="exact"/>
        <w:rPr>
          <w:rFonts w:hint="eastAsia" w:ascii="宋体" w:hAnsi="宋体" w:cs="宋体"/>
          <w:b/>
          <w:sz w:val="24"/>
          <w:szCs w:val="24"/>
          <w:highlight w:val="none"/>
        </w:rPr>
      </w:pPr>
      <w:r>
        <w:rPr>
          <w:rFonts w:hint="eastAsia" w:ascii="宋体" w:hAnsi="宋体" w:cs="宋体"/>
          <w:b/>
          <w:sz w:val="24"/>
          <w:szCs w:val="24"/>
          <w:highlight w:val="none"/>
        </w:rPr>
        <w:t xml:space="preserve">宿迁市新沂河调度工程管理处不涉及此部分服务需求。</w:t>
      </w:r>
      <w:r/>
    </w:p>
    <w:p>
      <w:pPr>
        <w:ind w:left="420"/>
        <w:spacing w:line="500" w:lineRule="exact"/>
        <w:rPr>
          <w:rFonts w:hint="eastAsia" w:ascii="宋体" w:hAnsi="宋体" w:cs="宋体"/>
          <w:b/>
          <w:sz w:val="24"/>
          <w:szCs w:val="24"/>
          <w:highlight w:val="none"/>
        </w:rPr>
      </w:pPr>
      <w:r>
        <w:rPr>
          <w:rFonts w:hint="eastAsia" w:ascii="宋体" w:hAnsi="宋体" w:cs="宋体"/>
          <w:b/>
          <w:bCs/>
          <w:sz w:val="24"/>
          <w:szCs w:val="24"/>
          <w:highlight w:val="none"/>
        </w:rPr>
        <w:t xml:space="preserve">宿迁市传染病医院</w:t>
      </w:r>
      <w:r/>
    </w:p>
    <w:tbl>
      <w:tblPr>
        <w:tblStyle w:val="785"/>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2179"/>
        <w:gridCol w:w="6436"/>
      </w:tblGrid>
      <w:tr>
        <w:trPr>
          <w:trHeight w:val="454"/>
        </w:trPr>
        <w:tc>
          <w:tcPr>
            <w:tcW w:w="791" w:type="dxa"/>
            <w:vAlign w:val="center"/>
            <w:textDirection w:val="lrTb"/>
            <w:noWrap w:val="false"/>
          </w:tcPr>
          <w:p>
            <w:pPr>
              <w:jc w:val="center"/>
              <w:spacing w:line="30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p>
        </w:tc>
        <w:tc>
          <w:tcPr>
            <w:tcW w:w="2179" w:type="dxa"/>
            <w:vAlign w:val="center"/>
            <w:textDirection w:val="lrTb"/>
            <w:noWrap w:val="false"/>
          </w:tcPr>
          <w:p>
            <w:pPr>
              <w:jc w:val="center"/>
              <w:spacing w:line="30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服务内容</w:t>
            </w:r>
            <w:r/>
          </w:p>
        </w:tc>
        <w:tc>
          <w:tcPr>
            <w:tcW w:w="6436" w:type="dxa"/>
            <w:vAlign w:val="center"/>
            <w:textDirection w:val="lrTb"/>
            <w:noWrap w:val="false"/>
          </w:tcPr>
          <w:p>
            <w:pPr>
              <w:jc w:val="center"/>
              <w:spacing w:line="30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服务标准</w:t>
            </w:r>
            <w:r/>
          </w:p>
        </w:tc>
      </w:tr>
      <w:tr>
        <w:trPr>
          <w:trHeight w:val="454"/>
        </w:trPr>
        <w:tc>
          <w:tcPr>
            <w:tcW w:w="791" w:type="dxa"/>
            <w:vAlign w:val="center"/>
            <w:vMerge w:val="restart"/>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2179" w:type="dxa"/>
            <w:vAlign w:val="center"/>
            <w:vMerge w:val="restart"/>
            <w:textDirection w:val="lrTb"/>
            <w:noWrap w:val="false"/>
          </w:tcPr>
          <w:p>
            <w:pPr>
              <w:widowControl/>
              <w:rPr>
                <w:rFonts w:hint="eastAsia" w:ascii="宋体" w:hAnsi="宋体" w:cs="宋体"/>
                <w:sz w:val="24"/>
                <w:szCs w:val="24"/>
                <w:highlight w:val="none"/>
              </w:rPr>
            </w:pPr>
            <w:r>
              <w:rPr>
                <w:rFonts w:hint="eastAsia" w:ascii="宋体" w:hAnsi="宋体" w:cs="宋体"/>
                <w:sz w:val="24"/>
                <w:szCs w:val="24"/>
                <w:highlight w:val="none"/>
              </w:rPr>
              <w:t xml:space="preserve">基本要求</w:t>
            </w:r>
            <w:r/>
          </w:p>
        </w:tc>
        <w:tc>
          <w:tcPr>
            <w:tcW w:w="6436"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（1）建立消防服务的工作制度及工作计划，并按照执行。</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rPr>
            </w:r>
            <w:r/>
          </w:p>
        </w:tc>
        <w:tc>
          <w:tcPr>
            <w:tcW w:w="2179" w:type="dxa"/>
            <w:vAlign w:val="center"/>
            <w:vMerge w:val="continue"/>
            <w:textDirection w:val="lrTb"/>
            <w:noWrap w:val="false"/>
          </w:tcPr>
          <w:p>
            <w:pPr>
              <w:widowControl/>
              <w:rPr>
                <w:rFonts w:hint="eastAsia" w:ascii="宋体" w:hAnsi="宋体" w:cs="宋体"/>
                <w:sz w:val="24"/>
                <w:szCs w:val="24"/>
                <w:highlight w:val="none"/>
              </w:rPr>
            </w:pPr>
            <w:r>
              <w:rPr>
                <w:rFonts w:hint="eastAsia" w:ascii="宋体" w:hAnsi="宋体" w:cs="宋体"/>
                <w:sz w:val="24"/>
                <w:szCs w:val="24"/>
                <w:highlight w:val="none"/>
              </w:rPr>
            </w:r>
            <w:r/>
          </w:p>
        </w:tc>
        <w:tc>
          <w:tcPr>
            <w:tcW w:w="6436"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（2）做好消防服务工作记录，记录填写规范、保存完好。</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rPr>
            </w:r>
            <w:r/>
          </w:p>
        </w:tc>
        <w:tc>
          <w:tcPr>
            <w:tcW w:w="2179" w:type="dxa"/>
            <w:vAlign w:val="center"/>
            <w:vMerge w:val="continue"/>
            <w:textDirection w:val="lrTb"/>
            <w:noWrap w:val="false"/>
          </w:tcPr>
          <w:p>
            <w:pPr>
              <w:widowControl/>
              <w:rPr>
                <w:rFonts w:hint="eastAsia" w:ascii="宋体" w:hAnsi="宋体" w:cs="宋体"/>
                <w:sz w:val="24"/>
                <w:szCs w:val="24"/>
                <w:highlight w:val="none"/>
              </w:rPr>
            </w:pPr>
            <w:r>
              <w:rPr>
                <w:rFonts w:hint="eastAsia" w:ascii="宋体" w:hAnsi="宋体" w:cs="宋体"/>
                <w:sz w:val="24"/>
                <w:szCs w:val="24"/>
                <w:highlight w:val="none"/>
              </w:rPr>
            </w:r>
            <w:r/>
          </w:p>
        </w:tc>
        <w:tc>
          <w:tcPr>
            <w:tcW w:w="6436"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（3）作业时采取安全防护措施，防止对作业人员或他人造成伤害。</w:t>
            </w:r>
            <w:r/>
          </w:p>
        </w:tc>
      </w:tr>
      <w:tr>
        <w:trPr>
          <w:trHeight w:val="454"/>
        </w:trPr>
        <w:tc>
          <w:tcPr>
            <w:tcW w:w="791" w:type="dxa"/>
            <w:vAlign w:val="center"/>
            <w:vMerge w:val="continue"/>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rPr>
            </w:r>
            <w:r/>
          </w:p>
        </w:tc>
        <w:tc>
          <w:tcPr>
            <w:tcW w:w="2179" w:type="dxa"/>
            <w:vAlign w:val="center"/>
            <w:vMerge w:val="continue"/>
            <w:textDirection w:val="lrTb"/>
            <w:noWrap w:val="false"/>
          </w:tcPr>
          <w:p>
            <w:pPr>
              <w:widowControl/>
              <w:rPr>
                <w:rFonts w:hint="eastAsia" w:ascii="宋体" w:hAnsi="宋体" w:cs="宋体"/>
                <w:sz w:val="24"/>
                <w:szCs w:val="24"/>
                <w:highlight w:val="none"/>
              </w:rPr>
            </w:pPr>
            <w:r>
              <w:rPr>
                <w:rFonts w:hint="eastAsia" w:ascii="宋体" w:hAnsi="宋体" w:cs="宋体"/>
                <w:sz w:val="24"/>
                <w:szCs w:val="24"/>
                <w:highlight w:val="none"/>
              </w:rPr>
            </w:r>
            <w:r/>
          </w:p>
        </w:tc>
        <w:tc>
          <w:tcPr>
            <w:tcW w:w="6436"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（4）如遇紧急事故或突发事件等需要紧急处理，无条件服从甲方调用进行突击抢险和处理紧急任务。</w:t>
            </w:r>
            <w:r/>
          </w:p>
        </w:tc>
      </w:tr>
      <w:tr>
        <w:trPr>
          <w:trHeight w:val="1507"/>
        </w:trPr>
        <w:tc>
          <w:tcPr>
            <w:tcW w:w="791" w:type="dxa"/>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2179" w:type="dxa"/>
            <w:vAlign w:val="center"/>
            <w:textDirection w:val="lrTb"/>
            <w:noWrap w:val="false"/>
          </w:tcPr>
          <w:p>
            <w:pPr>
              <w:widowControl/>
              <w:rPr>
                <w:rFonts w:hint="eastAsia" w:ascii="宋体" w:hAnsi="宋体" w:cs="宋体"/>
                <w:sz w:val="24"/>
                <w:szCs w:val="24"/>
                <w:highlight w:val="none"/>
              </w:rPr>
            </w:pPr>
            <w:r>
              <w:rPr>
                <w:rFonts w:hint="eastAsia" w:ascii="宋体" w:hAnsi="宋体" w:cs="宋体"/>
                <w:sz w:val="24"/>
                <w:szCs w:val="24"/>
                <w:highlight w:val="none"/>
              </w:rPr>
              <w:t xml:space="preserve">服务要求</w:t>
            </w:r>
            <w:r/>
          </w:p>
        </w:tc>
        <w:tc>
          <w:tcPr>
            <w:tcW w:w="6436"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消防服务具体工作要求：</w:t>
            </w:r>
            <w:r/>
          </w:p>
          <w:p>
            <w:pPr>
              <w:jc w:val="left"/>
              <w:widowControl/>
              <w:rPr>
                <w:rFonts w:hint="eastAsia" w:ascii="宋体" w:hAnsi="宋体" w:cs="宋体"/>
                <w:szCs w:val="21"/>
                <w:highlight w:val="none"/>
              </w:rPr>
            </w:pPr>
            <w:r>
              <w:rPr>
                <w:rFonts w:hint="eastAsia" w:ascii="宋体" w:hAnsi="宋体" w:cs="宋体"/>
                <w:szCs w:val="21"/>
                <w:highlight w:val="none"/>
              </w:rPr>
              <w:t xml:space="preserve">①建立义务消防队并组织培训、演练，同时做好台账；</w:t>
            </w:r>
            <w:r/>
          </w:p>
          <w:p>
            <w:pPr>
              <w:jc w:val="left"/>
              <w:widowControl/>
              <w:rPr>
                <w:rFonts w:hint="eastAsia" w:ascii="宋体" w:hAnsi="宋体" w:cs="宋体"/>
                <w:szCs w:val="21"/>
                <w:highlight w:val="none"/>
              </w:rPr>
            </w:pPr>
            <w:r>
              <w:rPr>
                <w:rFonts w:hint="eastAsia" w:ascii="宋体" w:hAnsi="宋体" w:cs="宋体"/>
                <w:szCs w:val="21"/>
                <w:highlight w:val="none"/>
              </w:rPr>
              <w:t xml:space="preserve">②建立完善消防应急预案和组织演练；</w:t>
            </w:r>
            <w:r/>
          </w:p>
          <w:p>
            <w:pPr>
              <w:jc w:val="left"/>
              <w:widowControl/>
              <w:rPr>
                <w:rFonts w:hint="eastAsia" w:ascii="宋体" w:hAnsi="宋体" w:cs="宋体"/>
                <w:szCs w:val="21"/>
                <w:highlight w:val="none"/>
              </w:rPr>
            </w:pPr>
            <w:r>
              <w:rPr>
                <w:rFonts w:hint="eastAsia" w:ascii="宋体" w:hAnsi="宋体" w:cs="宋体"/>
                <w:szCs w:val="21"/>
                <w:highlight w:val="none"/>
              </w:rPr>
              <w:t xml:space="preserve">③消防安全知识宣传普及；</w:t>
            </w:r>
            <w:r/>
          </w:p>
          <w:p>
            <w:pPr>
              <w:jc w:val="left"/>
              <w:widowControl/>
              <w:rPr>
                <w:rFonts w:hint="eastAsia" w:ascii="宋体" w:hAnsi="宋体" w:cs="宋体"/>
                <w:szCs w:val="21"/>
                <w:highlight w:val="none"/>
              </w:rPr>
            </w:pPr>
            <w:r>
              <w:rPr>
                <w:rFonts w:hint="eastAsia" w:ascii="宋体" w:hAnsi="宋体" w:cs="宋体"/>
                <w:szCs w:val="21"/>
                <w:highlight w:val="none"/>
              </w:rPr>
              <w:t xml:space="preserve">④火灾情况处理。</w:t>
            </w:r>
            <w:r/>
          </w:p>
          <w:p>
            <w:pPr>
              <w:jc w:val="left"/>
              <w:widowControl/>
              <w:rPr>
                <w:rFonts w:hint="eastAsia" w:ascii="宋体" w:hAnsi="宋体" w:cs="宋体"/>
                <w:szCs w:val="21"/>
                <w:highlight w:val="none"/>
              </w:rPr>
            </w:pPr>
            <w:r>
              <w:rPr>
                <w:rFonts w:hint="eastAsia" w:ascii="宋体" w:hAnsi="宋体" w:cs="宋体"/>
                <w:szCs w:val="21"/>
                <w:highlight w:val="none"/>
              </w:rPr>
              <w:t xml:space="preserve">⑤对进出医院易燃、易爆物品的管理；</w:t>
            </w:r>
            <w:r/>
          </w:p>
          <w:p>
            <w:pPr>
              <w:jc w:val="left"/>
              <w:widowControl/>
              <w:rPr>
                <w:rFonts w:hint="eastAsia" w:ascii="宋体" w:hAnsi="宋体" w:cs="宋体"/>
                <w:szCs w:val="21"/>
                <w:highlight w:val="none"/>
              </w:rPr>
            </w:pPr>
            <w:r>
              <w:rPr>
                <w:rFonts w:hint="eastAsia" w:ascii="宋体" w:hAnsi="宋体" w:cs="宋体"/>
                <w:szCs w:val="21"/>
                <w:highlight w:val="none"/>
              </w:rPr>
              <w:t xml:space="preserve">⑥室内、外各类消防设施的日常巡查及养护，科室、仓库、病区、办公室等区域的防火检查(巡查);</w:t>
            </w:r>
            <w:r/>
          </w:p>
          <w:p>
            <w:pPr>
              <w:jc w:val="left"/>
              <w:widowControl/>
              <w:rPr>
                <w:rFonts w:hint="eastAsia" w:ascii="宋体" w:hAnsi="宋体" w:cs="宋体"/>
                <w:szCs w:val="21"/>
                <w:highlight w:val="none"/>
              </w:rPr>
            </w:pPr>
            <w:r>
              <w:rPr>
                <w:rFonts w:hint="eastAsia" w:ascii="宋体" w:hAnsi="宋体" w:cs="宋体"/>
                <w:szCs w:val="21"/>
                <w:highlight w:val="none"/>
              </w:rPr>
              <w:t xml:space="preserve">⑦安全用电特别是大功率电器的使用管理，电动车辆充电管理；</w:t>
            </w:r>
            <w:r/>
          </w:p>
          <w:p>
            <w:pPr>
              <w:jc w:val="left"/>
              <w:widowControl/>
              <w:rPr>
                <w:rFonts w:hint="eastAsia" w:ascii="宋体" w:hAnsi="宋体" w:cs="宋体"/>
                <w:szCs w:val="21"/>
                <w:highlight w:val="none"/>
              </w:rPr>
            </w:pPr>
            <w:r>
              <w:rPr>
                <w:rFonts w:hint="eastAsia" w:ascii="宋体" w:hAnsi="宋体" w:cs="宋体"/>
                <w:szCs w:val="21"/>
                <w:highlight w:val="none"/>
              </w:rPr>
              <w:t xml:space="preserve">⑧</w:t>
            </w: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6368415</wp:posOffset>
                      </wp:positionH>
                      <wp:positionV relativeFrom="paragraph">
                        <wp:posOffset>358140</wp:posOffset>
                      </wp:positionV>
                      <wp:extent cx="97155" cy="17653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97155" cy="176530"/>
                              </a:xfrm>
                              <a:prstGeom prst="rect">
                                <a:avLst/>
                              </a:prstGeom>
                              <a:noFill/>
                              <a:ln>
                                <a:noFill/>
                              </a:ln>
                              <a:effectLst/>
                            </wps:spPr>
                            <wps:txbx>
                              <w:txbxContent>
                                <w:p>
                                  <w:pPr>
                                    <w:ind w:left="20"/>
                                    <w:spacing w:before="20" w:line="183" w:lineRule="auto"/>
                                    <w:rPr>
                                      <w:rFonts w:ascii="宋体" w:hAnsi="宋体" w:cs="宋体"/>
                                      <w:sz w:val="24"/>
                                      <w:szCs w:val="24"/>
                                    </w:rPr>
                                  </w:pPr>
                                  <w:r>
                                    <w:rPr>
                                      <w:rFonts w:ascii="宋体" w:hAnsi="宋体" w:cs="宋体"/>
                                      <w:sz w:val="24"/>
                                      <w:szCs w:val="24"/>
                                    </w:rPr>
                                    <w:t xml:space="preserve">C</w:t>
                                  </w:r>
                                  <w:r/>
                                </w:p>
                              </w:txbxContent>
                            </wps:txbx>
                            <wps:bodyPr wrap="square" lIns="0" tIns="0" rIns="0" bIns="0" upright="1"/>
                          </wps:wsp>
                        </a:graphicData>
                      </a:graphic>
                    </wp:anchor>
                  </w:drawing>
                </mc:Choice>
                <mc:Fallback>
                  <w:pict>
                    <v:shape id="shape 4" o:spid="_x0000_s4" o:spt="202" type="#_x0000_t202" style="position:absolute;z-index:251660288;o:allowoverlap:true;o:allowincell:true;mso-position-horizontal-relative:text;margin-left:501.4pt;mso-position-horizontal:absolute;mso-position-vertical-relative:text;margin-top:28.2pt;mso-position-vertical:absolute;width:7.6pt;height:13.9pt;mso-wrap-distance-left:9.0pt;mso-wrap-distance-top:0.0pt;mso-wrap-distance-right:9.0pt;mso-wrap-distance-bottom:0.0pt;visibility:visible;" filled="f" stroked="f">
                      <v:textbox inset="0,0,0,0">
                        <w:txbxContent>
                          <w:p>
                            <w:pPr>
                              <w:ind w:left="20"/>
                              <w:spacing w:before="20" w:line="183" w:lineRule="auto"/>
                              <w:rPr>
                                <w:rFonts w:ascii="宋体" w:hAnsi="宋体" w:cs="宋体"/>
                                <w:sz w:val="24"/>
                                <w:szCs w:val="24"/>
                              </w:rPr>
                            </w:pPr>
                            <w:r>
                              <w:rPr>
                                <w:rFonts w:ascii="宋体" w:hAnsi="宋体" w:cs="宋体"/>
                                <w:sz w:val="24"/>
                                <w:szCs w:val="24"/>
                              </w:rPr>
                              <w:t xml:space="preserve">C</w:t>
                            </w:r>
                            <w:r/>
                          </w:p>
                        </w:txbxContent>
                      </v:textbox>
                    </v:shape>
                  </w:pict>
                </mc:Fallback>
              </mc:AlternateContent>
            </w:r>
            <w:r>
              <w:rPr>
                <w:rFonts w:hint="eastAsia" w:ascii="宋体" w:hAnsi="宋体" w:cs="宋体"/>
                <w:szCs w:val="21"/>
                <w:highlight w:val="none"/>
              </w:rPr>
              <w:t xml:space="preserve">消防通道通畅情况的检查及协助整改；</w:t>
            </w:r>
            <w:r/>
          </w:p>
          <w:p>
            <w:pPr>
              <w:jc w:val="left"/>
              <w:widowControl/>
              <w:rPr>
                <w:rFonts w:hint="eastAsia" w:ascii="宋体" w:hAnsi="宋体" w:cs="宋体"/>
                <w:szCs w:val="21"/>
                <w:highlight w:val="none"/>
              </w:rPr>
            </w:pPr>
            <w:r>
              <w:rPr>
                <w:rFonts w:hint="eastAsia" w:ascii="宋体" w:hAnsi="宋体" w:cs="宋体"/>
                <w:szCs w:val="21"/>
                <w:highlight w:val="none"/>
              </w:rPr>
              <w:t xml:space="preserve">⑨施工场所动火作业的监控管理；</w:t>
            </w:r>
            <w:r/>
          </w:p>
          <w:p>
            <w:pPr>
              <w:jc w:val="left"/>
              <w:widowControl/>
              <w:rPr>
                <w:rFonts w:hint="eastAsia" w:ascii="宋体" w:hAnsi="宋体" w:cs="宋体"/>
                <w:szCs w:val="21"/>
                <w:highlight w:val="none"/>
              </w:rPr>
            </w:pPr>
            <w:r>
              <w:rPr>
                <w:rFonts w:hint="eastAsia" w:ascii="宋体" w:hAnsi="宋体" w:cs="宋体"/>
                <w:szCs w:val="21"/>
                <w:highlight w:val="none"/>
              </w:rPr>
              <w:t xml:space="preserve">⑩院内禁止吸烟场所的管理；</w:t>
            </w:r>
            <w:r/>
          </w:p>
          <w:p>
            <w:pPr>
              <w:jc w:val="left"/>
              <w:widowControl/>
              <w:rPr>
                <w:rFonts w:hint="eastAsia" w:ascii="宋体" w:hAnsi="宋体" w:cs="宋体"/>
                <w:szCs w:val="21"/>
                <w:highlight w:val="none"/>
              </w:rPr>
            </w:pPr>
            <w:r>
              <w:rPr>
                <w:rFonts w:hint="eastAsia" w:ascii="宋体" w:hAnsi="宋体" w:cs="宋体"/>
                <w:szCs w:val="21"/>
                <w:highlight w:val="none"/>
              </w:rPr>
              <w:t xml:space="preserve">⑪其他临时性的消防工作任务。</w:t>
            </w:r>
            <w:r/>
          </w:p>
        </w:tc>
      </w:tr>
    </w:tbl>
    <w:p>
      <w:pPr>
        <w:ind w:firstLine="238"/>
        <w:jc w:val="left"/>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jc w:val="left"/>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3.5供配电系统维护服务</w:t>
      </w:r>
      <w:r/>
    </w:p>
    <w:p>
      <w:pPr>
        <w:ind w:firstLine="482"/>
        <w:spacing w:line="500" w:lineRule="exact"/>
        <w:rPr>
          <w:rFonts w:hint="eastAsia" w:ascii="宋体" w:hAnsi="宋体" w:cs="宋体"/>
          <w:b/>
          <w:sz w:val="24"/>
          <w:szCs w:val="24"/>
        </w:rPr>
      </w:pPr>
      <w:r>
        <w:rPr>
          <w:rFonts w:hint="eastAsia" w:ascii="宋体" w:hAnsi="宋体" w:cs="宋体"/>
          <w:b/>
          <w:bCs/>
          <w:sz w:val="24"/>
          <w:szCs w:val="24"/>
        </w:rPr>
        <w:t xml:space="preserve">宿迁市传染病医院</w:t>
      </w:r>
      <w:r>
        <w:rPr>
          <w:rFonts w:hint="eastAsia" w:ascii="宋体" w:hAnsi="宋体" w:cs="宋体"/>
          <w:b/>
          <w:sz w:val="24"/>
          <w:szCs w:val="24"/>
        </w:rPr>
        <w:t xml:space="preserve">不涉及此部分服务需求。</w:t>
      </w:r>
      <w:r/>
    </w:p>
    <w:p>
      <w:pPr>
        <w:ind w:firstLine="482"/>
        <w:spacing w:line="500" w:lineRule="exact"/>
        <w:rPr>
          <w:rFonts w:ascii="宋体" w:hAnsi="宋体" w:cs="宋体"/>
          <w:b/>
          <w:sz w:val="24"/>
          <w:szCs w:val="24"/>
        </w:rPr>
      </w:pPr>
      <w:r>
        <w:rPr>
          <w:rFonts w:hint="eastAsia" w:ascii="宋体" w:hAnsi="宋体" w:cs="宋体"/>
          <w:b/>
          <w:sz w:val="24"/>
          <w:szCs w:val="24"/>
        </w:rPr>
        <w:t xml:space="preserve">宿迁市新沂河调度工程管理处</w:t>
      </w:r>
      <w:r/>
    </w:p>
    <w:tbl>
      <w:tblPr>
        <w:tblStyle w:val="785"/>
        <w:tblW w:w="5270" w:type="pct"/>
        <w:tblInd w:w="-1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245"/>
        <w:gridCol w:w="7926"/>
      </w:tblGrid>
      <w:tr>
        <w:trPr>
          <w:trHeight w:val="454"/>
        </w:trPr>
        <w:tc>
          <w:tcPr>
            <w:tcW w:w="737"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序号</w:t>
            </w:r>
            <w:r/>
          </w:p>
        </w:tc>
        <w:tc>
          <w:tcPr>
            <w:tcW w:w="1245"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服务内容</w:t>
            </w:r>
            <w:r/>
          </w:p>
        </w:tc>
        <w:tc>
          <w:tcPr>
            <w:tcW w:w="7926"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服务标准</w:t>
            </w:r>
            <w:r/>
          </w:p>
        </w:tc>
      </w:tr>
      <w:tr>
        <w:trPr>
          <w:cantSplit/>
          <w:trHeight w:val="454"/>
        </w:trPr>
        <w:tc>
          <w:tcPr>
            <w:tcW w:w="737"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1245" w:type="dxa"/>
            <w:vAlign w:val="center"/>
            <w:vMerge w:val="restart"/>
            <w:textDirection w:val="lrTb"/>
            <w:noWrap w:val="false"/>
          </w:tcPr>
          <w:p>
            <w:pPr>
              <w:widowControl/>
              <w:rPr>
                <w:rFonts w:hint="eastAsia" w:ascii="宋体" w:hAnsi="宋体" w:cs="宋体"/>
                <w:szCs w:val="21"/>
              </w:rPr>
            </w:pPr>
            <w:r>
              <w:rPr>
                <w:rFonts w:hint="eastAsia" w:ascii="宋体" w:hAnsi="宋体" w:cs="宋体"/>
                <w:szCs w:val="21"/>
              </w:rPr>
              <w:t xml:space="preserve">基本要求</w:t>
            </w:r>
            <w:r/>
          </w:p>
        </w:tc>
        <w:tc>
          <w:tcPr>
            <w:tcW w:w="79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（1）建立健全设施设备台帐，配合做好设施设备全生命周期管理服务。</w:t>
            </w:r>
            <w:r/>
          </w:p>
        </w:tc>
      </w:tr>
      <w:tr>
        <w:trPr>
          <w:cantSplit/>
          <w:trHeight w:val="454"/>
        </w:trPr>
        <w:tc>
          <w:tcPr>
            <w:tcW w:w="737"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245" w:type="dxa"/>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W w:w="792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（2）重大节假日及恶劣天气前后，组织系统巡检1次。</w:t>
            </w:r>
            <w:r/>
          </w:p>
        </w:tc>
      </w:tr>
      <w:tr>
        <w:trPr>
          <w:cantSplit/>
          <w:trHeight w:val="684"/>
        </w:trPr>
        <w:tc>
          <w:tcPr>
            <w:tcW w:w="737"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245" w:type="dxa"/>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W w:w="792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（3）具备设施设备安全、稳定运行的环境和场所（含有限空间），温湿度、照度、粉尘和烟雾浓度等符合相关安全规范。</w:t>
            </w:r>
            <w:r/>
          </w:p>
        </w:tc>
      </w:tr>
      <w:tr>
        <w:trPr>
          <w:cantSplit/>
          <w:trHeight w:val="454"/>
        </w:trPr>
        <w:tc>
          <w:tcPr>
            <w:tcW w:w="737"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1245" w:type="dxa"/>
            <w:vAlign w:val="center"/>
            <w:vMerge w:val="restart"/>
            <w:textDirection w:val="lrTb"/>
            <w:noWrap w:val="false"/>
          </w:tcPr>
          <w:p>
            <w:pPr>
              <w:widowControl/>
              <w:rPr>
                <w:rFonts w:hint="eastAsia" w:ascii="宋体" w:hAnsi="宋体" w:cs="宋体"/>
                <w:szCs w:val="21"/>
              </w:rPr>
            </w:pPr>
            <w:r>
              <w:rPr>
                <w:rFonts w:hint="eastAsia" w:ascii="宋体" w:hAnsi="宋体" w:cs="宋体"/>
                <w:szCs w:val="21"/>
              </w:rPr>
              <w:t xml:space="preserve">供配电系统</w:t>
            </w:r>
            <w:r/>
          </w:p>
        </w:tc>
        <w:tc>
          <w:tcPr>
            <w:tcW w:w="792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（1）配合配电房维保单位做好配电房维护工作</w:t>
            </w:r>
            <w:r/>
          </w:p>
        </w:tc>
      </w:tr>
      <w:tr>
        <w:trPr>
          <w:cantSplit/>
          <w:trHeight w:val="339"/>
        </w:trPr>
        <w:tc>
          <w:tcPr>
            <w:tcW w:w="737"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245" w:type="dxa"/>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W w:w="792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（2）公共使用的照明、指示灯具线路、开关、接地等保持完好，确保用电安全。</w:t>
            </w:r>
            <w:r/>
          </w:p>
        </w:tc>
      </w:tr>
      <w:tr>
        <w:trPr>
          <w:cantSplit/>
          <w:trHeight w:val="454"/>
        </w:trPr>
        <w:tc>
          <w:tcPr>
            <w:tcW w:w="737"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245" w:type="dxa"/>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W w:w="792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（3）发生非计划性停电的，应当在事件发生后及时通知采购人，快速恢复或启用应急电源，并做好应急事件上报及处理工作。</w:t>
            </w:r>
            <w:r/>
          </w:p>
        </w:tc>
      </w:tr>
      <w:tr>
        <w:trPr>
          <w:cantSplit/>
          <w:trHeight w:val="454"/>
        </w:trPr>
        <w:tc>
          <w:tcPr>
            <w:tcW w:w="737"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245" w:type="dxa"/>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W w:w="792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（4）复杂故障涉及供电部门维修处置的及时与供电部门联系，并向采购人报告。</w:t>
            </w:r>
            <w:r/>
          </w:p>
        </w:tc>
      </w:tr>
      <w:tr>
        <w:trPr>
          <w:cantSplit/>
          <w:trHeight w:val="454"/>
        </w:trPr>
        <w:tc>
          <w:tcPr>
            <w:tcW w:w="737" w:type="dxa"/>
            <w:vAlign w:val="top"/>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245" w:type="dxa"/>
            <w:vAlign w:val="top"/>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W w:w="792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（5）配合配电房维保单位做好配电房维护工作</w:t>
            </w:r>
            <w:r/>
          </w:p>
        </w:tc>
      </w:tr>
      <w:tr>
        <w:trPr>
          <w:cantSplit/>
          <w:trHeight w:val="454"/>
        </w:trPr>
        <w:tc>
          <w:tcPr>
            <w:tcW w:w="737"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W w:w="1245" w:type="dxa"/>
            <w:vAlign w:val="center"/>
            <w:vMerge w:val="restart"/>
            <w:textDirection w:val="lrTb"/>
            <w:noWrap w:val="false"/>
          </w:tcPr>
          <w:p>
            <w:pPr>
              <w:widowControl/>
              <w:rPr>
                <w:rFonts w:hint="eastAsia" w:ascii="宋体" w:hAnsi="宋体" w:cs="宋体"/>
                <w:szCs w:val="21"/>
              </w:rPr>
            </w:pPr>
            <w:r>
              <w:rPr>
                <w:rFonts w:hint="eastAsia" w:ascii="宋体" w:hAnsi="宋体" w:cs="宋体"/>
                <w:szCs w:val="21"/>
              </w:rPr>
              <w:t xml:space="preserve">弱电系统</w:t>
            </w:r>
            <w:r/>
          </w:p>
        </w:tc>
        <w:tc>
          <w:tcPr>
            <w:tcW w:w="792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（1）安全防范系统维护保养符合《安全防范系统维护保养规范》（GA/T 1081）的相关要求。</w:t>
            </w:r>
            <w:r/>
          </w:p>
        </w:tc>
      </w:tr>
      <w:tr>
        <w:trPr>
          <w:cantSplit/>
          <w:trHeight w:val="454"/>
        </w:trPr>
        <w:tc>
          <w:tcPr>
            <w:tcW w:w="737" w:type="dxa"/>
            <w:vAlign w:val="top"/>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245" w:type="dxa"/>
            <w:vAlign w:val="top"/>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W w:w="792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（2）保持监控系统、门禁系统、安全防范系统等运行正常，简单故障及时排除。</w:t>
            </w:r>
            <w:r/>
          </w:p>
        </w:tc>
      </w:tr>
      <w:tr>
        <w:trPr>
          <w:cantSplit/>
          <w:trHeight w:val="454"/>
        </w:trPr>
        <w:tc>
          <w:tcPr>
            <w:tcW w:w="737"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W w:w="1245" w:type="dxa"/>
            <w:vAlign w:val="center"/>
            <w:vMerge w:val="restart"/>
            <w:textDirection w:val="lrTb"/>
            <w:noWrap w:val="false"/>
          </w:tcPr>
          <w:p>
            <w:pPr>
              <w:widowControl/>
              <w:rPr>
                <w:rFonts w:hint="eastAsia" w:ascii="宋体" w:hAnsi="宋体" w:cs="宋体"/>
                <w:szCs w:val="21"/>
              </w:rPr>
            </w:pPr>
            <w:r>
              <w:rPr>
                <w:rFonts w:hint="eastAsia" w:ascii="宋体" w:hAnsi="宋体" w:cs="宋体"/>
                <w:szCs w:val="21"/>
              </w:rPr>
              <w:t xml:space="preserve">照明系统</w:t>
            </w:r>
            <w:r/>
          </w:p>
        </w:tc>
        <w:tc>
          <w:tcPr>
            <w:tcW w:w="79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（1）外观整洁无缺损、无松落。</w:t>
            </w:r>
            <w:r/>
          </w:p>
        </w:tc>
      </w:tr>
      <w:tr>
        <w:trPr>
          <w:cantSplit/>
          <w:trHeight w:val="454"/>
        </w:trPr>
        <w:tc>
          <w:tcPr>
            <w:tcW w:w="737" w:type="dxa"/>
            <w:vAlign w:val="top"/>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245" w:type="dxa"/>
            <w:vAlign w:val="top"/>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W w:w="79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（2）更换的照明灯具应当选用节能环保产品，亮度与更换前保持一致。</w:t>
            </w:r>
            <w:r/>
          </w:p>
        </w:tc>
      </w:tr>
      <w:tr>
        <w:trPr>
          <w:cantSplit/>
          <w:trHeight w:val="454"/>
        </w:trPr>
        <w:tc>
          <w:tcPr>
            <w:tcW w:w="737" w:type="dxa"/>
            <w:vAlign w:val="top"/>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245" w:type="dxa"/>
            <w:vAlign w:val="top"/>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W w:w="79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（3）定期开展1次公共区域照明设备巡视。</w:t>
            </w:r>
            <w:r/>
          </w:p>
        </w:tc>
      </w:tr>
      <w:tr>
        <w:trPr>
          <w:cantSplit/>
          <w:trHeight w:val="454"/>
        </w:trPr>
        <w:tc>
          <w:tcPr>
            <w:tcW w:w="737" w:type="dxa"/>
            <w:vAlign w:val="top"/>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245" w:type="dxa"/>
            <w:vAlign w:val="top"/>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W w:w="79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（4）定期检查泛光照明和航空障碍灯。</w:t>
            </w:r>
            <w:r/>
          </w:p>
        </w:tc>
      </w:tr>
      <w:tr>
        <w:trPr>
          <w:cantSplit/>
          <w:trHeight w:val="454"/>
        </w:trPr>
        <w:tc>
          <w:tcPr>
            <w:tcW w:w="737" w:type="dxa"/>
            <w:vAlign w:val="top"/>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245" w:type="dxa"/>
            <w:vAlign w:val="top"/>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W w:w="79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（5）每年两次对办公室内部进行全面检查，及时维修处理故障，确保完好率。</w:t>
            </w:r>
            <w:r/>
          </w:p>
        </w:tc>
      </w:tr>
    </w:tbl>
    <w:p>
      <w:pPr>
        <w:pStyle w:val="1086"/>
        <w:spacing w:before="40" w:after="40"/>
        <w:rPr>
          <w:rFonts w:hint="eastAsia" w:ascii="仿宋" w:hAnsi="仿宋" w:eastAsia="仿宋" w:cs="仿宋"/>
          <w:b/>
          <w:bCs/>
          <w:sz w:val="32"/>
          <w:szCs w:val="32"/>
        </w:rPr>
      </w:pPr>
      <w:r>
        <w:rPr>
          <w:rFonts w:hint="eastAsia" w:ascii="仿宋" w:hAnsi="仿宋" w:eastAsia="仿宋" w:cs="仿宋"/>
          <w:b/>
          <w:bCs/>
          <w:sz w:val="32"/>
          <w:szCs w:val="32"/>
        </w:rPr>
      </w:r>
      <w:r/>
    </w:p>
    <w:p>
      <w:pPr>
        <w:pStyle w:val="1086"/>
        <w:spacing w:before="40" w:after="40"/>
        <w:rPr>
          <w:rFonts w:hint="eastAsia" w:ascii="宋体" w:hAnsi="宋体" w:cs="宋体"/>
          <w:b/>
          <w:bCs/>
          <w:sz w:val="32"/>
          <w:szCs w:val="32"/>
        </w:rPr>
      </w:pPr>
      <w:r>
        <w:rPr>
          <w:rFonts w:hint="eastAsia" w:ascii="宋体" w:hAnsi="宋体" w:cs="宋体"/>
          <w:b/>
          <w:bCs/>
          <w:sz w:val="32"/>
          <w:szCs w:val="32"/>
        </w:rPr>
        <w:t xml:space="preserve">四、物业管理服务人员要求</w:t>
      </w:r>
      <w:r/>
    </w:p>
    <w:p>
      <w:pPr>
        <w:ind w:firstLine="482"/>
        <w:spacing w:line="500" w:lineRule="exact"/>
        <w:rPr>
          <w:rFonts w:hint="eastAsia" w:ascii="仿宋" w:hAnsi="仿宋" w:eastAsia="仿宋" w:cs="仿宋"/>
          <w:b/>
          <w:bCs/>
          <w:i/>
          <w:iCs/>
          <w:sz w:val="24"/>
          <w:szCs w:val="24"/>
        </w:rPr>
      </w:pPr>
      <w:r>
        <w:rPr>
          <w:rFonts w:hint="eastAsia" w:ascii="仿宋" w:hAnsi="仿宋" w:eastAsia="仿宋" w:cs="仿宋"/>
          <w:b/>
          <w:bCs/>
          <w:i/>
          <w:iCs/>
          <w:sz w:val="24"/>
          <w:szCs w:val="24"/>
        </w:rPr>
        <w:t xml:space="preserve">以下人员配备为最低要求，不接受负偏离，投标文件中提供全部响应要求的承诺函电子件（加盖公章，承诺函格式附后），否则按无效标处理。</w:t>
      </w:r>
      <w:r/>
    </w:p>
    <w:tbl>
      <w:tblPr>
        <w:tblStyle w:val="785"/>
        <w:tblW w:w="9439" w:type="dxa"/>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0"/>
        <w:gridCol w:w="1280"/>
        <w:gridCol w:w="739"/>
        <w:gridCol w:w="5469"/>
        <w:gridCol w:w="681"/>
      </w:tblGrid>
      <w:tr>
        <w:trPr>
          <w:trHeight w:val="810"/>
        </w:trPr>
        <w:tc>
          <w:tcPr>
            <w:tcW w:w="1270" w:type="dxa"/>
            <w:vAlign w:val="center"/>
            <w:textDirection w:val="lrTb"/>
            <w:noWrap w:val="false"/>
          </w:tcPr>
          <w:p>
            <w:pPr>
              <w:jc w:val="center"/>
              <w:spacing w:line="360" w:lineRule="exact"/>
              <w:widowControl/>
              <w:rPr>
                <w:rFonts w:hint="eastAsia" w:ascii="Times New Roman" w:hAnsi="Times New Roman" w:cs="宋体"/>
                <w:b/>
                <w:bCs/>
                <w:sz w:val="24"/>
                <w:szCs w:val="24"/>
              </w:rPr>
            </w:pPr>
            <w:r>
              <w:rPr>
                <w:rFonts w:hint="eastAsia" w:ascii="Times New Roman" w:hAnsi="Times New Roman" w:cs="宋体"/>
                <w:b/>
                <w:bCs/>
                <w:sz w:val="24"/>
                <w:szCs w:val="24"/>
              </w:rPr>
              <w:t xml:space="preserve">工作单位</w:t>
            </w:r>
            <w:r/>
          </w:p>
          <w:p>
            <w:pPr>
              <w:jc w:val="center"/>
              <w:spacing w:line="360" w:lineRule="exact"/>
              <w:widowControl/>
              <w:rPr>
                <w:rFonts w:hint="eastAsia" w:ascii="Times New Roman" w:hAnsi="Times New Roman" w:cs="宋体"/>
                <w:b/>
                <w:bCs/>
                <w:sz w:val="24"/>
                <w:szCs w:val="24"/>
              </w:rPr>
            </w:pPr>
            <w:r>
              <w:rPr>
                <w:rFonts w:hint="eastAsia" w:ascii="Times New Roman" w:hAnsi="Times New Roman" w:cs="宋体"/>
                <w:b/>
                <w:bCs/>
                <w:sz w:val="24"/>
                <w:szCs w:val="24"/>
              </w:rPr>
              <w:t xml:space="preserve">（地点）</w:t>
            </w:r>
            <w:r/>
          </w:p>
        </w:tc>
        <w:tc>
          <w:tcPr>
            <w:tcW w:w="1280" w:type="dxa"/>
            <w:vAlign w:val="center"/>
            <w:textDirection w:val="lrTb"/>
            <w:noWrap w:val="false"/>
          </w:tcPr>
          <w:p>
            <w:pPr>
              <w:jc w:val="center"/>
              <w:spacing w:line="360" w:lineRule="exact"/>
              <w:widowControl/>
              <w:rPr>
                <w:rFonts w:hint="eastAsia" w:ascii="Times New Roman" w:hAnsi="Times New Roman" w:cs="宋体"/>
                <w:b/>
                <w:bCs/>
                <w:sz w:val="24"/>
                <w:szCs w:val="24"/>
              </w:rPr>
            </w:pPr>
            <w:r>
              <w:rPr>
                <w:rFonts w:hint="eastAsia" w:ascii="Times New Roman" w:hAnsi="Times New Roman" w:cs="宋体"/>
                <w:b/>
                <w:bCs/>
                <w:sz w:val="24"/>
                <w:szCs w:val="24"/>
              </w:rPr>
              <w:t xml:space="preserve">岗位</w:t>
            </w:r>
            <w:r/>
          </w:p>
        </w:tc>
        <w:tc>
          <w:tcPr>
            <w:tcW w:w="739" w:type="dxa"/>
            <w:vAlign w:val="center"/>
            <w:textDirection w:val="lrTb"/>
            <w:noWrap w:val="false"/>
          </w:tcPr>
          <w:p>
            <w:pPr>
              <w:jc w:val="center"/>
              <w:spacing w:line="360" w:lineRule="exact"/>
              <w:widowControl/>
              <w:rPr>
                <w:rFonts w:hint="eastAsia" w:ascii="Times New Roman" w:hAnsi="Times New Roman" w:cs="宋体"/>
                <w:b/>
                <w:bCs/>
                <w:sz w:val="24"/>
                <w:szCs w:val="24"/>
              </w:rPr>
            </w:pPr>
            <w:r>
              <w:rPr>
                <w:rFonts w:hint="eastAsia" w:ascii="Times New Roman" w:hAnsi="Times New Roman" w:cs="宋体"/>
                <w:b/>
                <w:bCs/>
                <w:sz w:val="24"/>
                <w:szCs w:val="24"/>
              </w:rPr>
              <w:t xml:space="preserve">岗位所需总人数</w:t>
            </w:r>
            <w:r/>
          </w:p>
        </w:tc>
        <w:tc>
          <w:tcPr>
            <w:tcW w:w="5469" w:type="dxa"/>
            <w:vAlign w:val="center"/>
            <w:textDirection w:val="lrTb"/>
            <w:noWrap w:val="false"/>
          </w:tcPr>
          <w:p>
            <w:pPr>
              <w:jc w:val="center"/>
              <w:spacing w:line="360" w:lineRule="exact"/>
              <w:widowControl/>
              <w:rPr>
                <w:rFonts w:hint="eastAsia" w:ascii="Times New Roman" w:hAnsi="Times New Roman" w:cs="宋体"/>
                <w:b/>
                <w:bCs/>
                <w:color w:val="000000"/>
                <w:sz w:val="24"/>
                <w:szCs w:val="24"/>
              </w:rPr>
            </w:pPr>
            <w:r>
              <w:rPr>
                <w:rFonts w:hint="eastAsia" w:ascii="Times New Roman" w:hAnsi="Times New Roman" w:cs="宋体"/>
                <w:b/>
                <w:bCs/>
                <w:sz w:val="24"/>
                <w:szCs w:val="24"/>
              </w:rPr>
              <w:t xml:space="preserve">相关要求</w:t>
            </w:r>
            <w:r/>
          </w:p>
        </w:tc>
        <w:tc>
          <w:tcPr>
            <w:tcW w:w="681" w:type="dxa"/>
            <w:vAlign w:val="center"/>
            <w:textDirection w:val="lrTb"/>
            <w:noWrap w:val="false"/>
          </w:tcPr>
          <w:p>
            <w:pPr>
              <w:jc w:val="center"/>
              <w:spacing w:line="360" w:lineRule="exact"/>
              <w:widowControl/>
              <w:rPr>
                <w:rFonts w:hint="eastAsia" w:ascii="Times New Roman" w:hAnsi="Times New Roman" w:cs="宋体"/>
                <w:b/>
                <w:bCs/>
                <w:sz w:val="24"/>
                <w:szCs w:val="24"/>
              </w:rPr>
            </w:pPr>
            <w:r>
              <w:rPr>
                <w:rFonts w:hint="eastAsia" w:ascii="Times New Roman" w:hAnsi="Times New Roman" w:cs="宋体"/>
                <w:b/>
                <w:bCs/>
                <w:sz w:val="24"/>
                <w:szCs w:val="24"/>
              </w:rPr>
              <w:t xml:space="preserve">备注</w:t>
            </w:r>
            <w:r/>
          </w:p>
        </w:tc>
      </w:tr>
      <w:tr>
        <w:trPr>
          <w:trHeight w:val="663"/>
        </w:trPr>
        <w:tc>
          <w:tcPr>
            <w:tcW w:w="1270" w:type="dxa"/>
            <w:vAlign w:val="center"/>
            <w:vMerge w:val="restart"/>
            <w:textDirection w:val="lrTb"/>
            <w:noWrap/>
          </w:tcPr>
          <w:p>
            <w:pPr>
              <w:spacing w:line="400" w:lineRule="exact"/>
              <w:widowControl/>
              <w:rPr>
                <w:rFonts w:hint="eastAsia" w:ascii="宋体" w:hAnsi="宋体" w:cs="宋体"/>
                <w:color w:val="000000"/>
                <w:szCs w:val="21"/>
              </w:rPr>
            </w:pPr>
            <w:r>
              <w:rPr>
                <w:rFonts w:hint="eastAsia" w:ascii="宋体" w:hAnsi="宋体" w:cs="宋体"/>
                <w:bCs/>
                <w:szCs w:val="21"/>
              </w:rPr>
              <w:t xml:space="preserve">宿迁市传染病医院</w:t>
            </w:r>
            <w:r/>
          </w:p>
        </w:tc>
        <w:tc>
          <w:tcPr>
            <w:tcW w:w="1280" w:type="dxa"/>
            <w:vAlign w:val="center"/>
            <w:textDirection w:val="lrTb"/>
            <w:noWrap/>
          </w:tcPr>
          <w:p>
            <w:pPr>
              <w:contextualSpacing/>
              <w:jc w:val="center"/>
              <w:spacing w:line="400" w:lineRule="exact"/>
              <w:rPr>
                <w:rFonts w:hint="eastAsia" w:ascii="宋体" w:hAnsi="宋体" w:cs="宋体"/>
                <w:b/>
                <w:bCs/>
                <w:szCs w:val="21"/>
              </w:rPr>
            </w:pPr>
            <w:r>
              <w:rPr>
                <w:rFonts w:hint="eastAsia" w:ascii="宋体" w:hAnsi="宋体" w:cs="宋体"/>
                <w:szCs w:val="21"/>
              </w:rPr>
              <w:t xml:space="preserve">项目经理</w:t>
            </w:r>
            <w:r/>
          </w:p>
        </w:tc>
        <w:tc>
          <w:tcPr>
            <w:tcW w:w="739" w:type="dxa"/>
            <w:vAlign w:val="center"/>
            <w:textDirection w:val="lrTb"/>
            <w:noWrap/>
          </w:tcPr>
          <w:p>
            <w:pPr>
              <w:contextualSpacing/>
              <w:jc w:val="center"/>
              <w:spacing w:line="400" w:lineRule="exact"/>
              <w:rPr>
                <w:rFonts w:hint="eastAsia" w:ascii="宋体" w:hAnsi="宋体" w:cs="宋体"/>
                <w:b/>
                <w:bCs/>
                <w:szCs w:val="21"/>
              </w:rPr>
            </w:pPr>
            <w:r>
              <w:rPr>
                <w:rFonts w:hint="eastAsia" w:ascii="宋体" w:hAnsi="宋体" w:cs="宋体"/>
                <w:szCs w:val="21"/>
              </w:rPr>
              <w:t xml:space="preserve">1人</w:t>
            </w:r>
            <w:r/>
          </w:p>
        </w:tc>
        <w:tc>
          <w:tcPr>
            <w:tcW w:w="5469" w:type="dxa"/>
            <w:vAlign w:val="top"/>
            <w:textDirection w:val="lrTb"/>
            <w:noWrap/>
          </w:tcPr>
          <w:p>
            <w:pPr>
              <w:contextualSpacing/>
              <w:spacing w:line="400" w:lineRule="exact"/>
              <w:rPr>
                <w:rFonts w:hint="eastAsia" w:ascii="宋体" w:hAnsi="宋体" w:cs="宋体"/>
                <w:szCs w:val="21"/>
              </w:rPr>
            </w:pPr>
            <w:r>
              <w:rPr>
                <w:rFonts w:hint="eastAsia" w:ascii="宋体" w:hAnsi="宋体" w:cs="宋体"/>
                <w:szCs w:val="21"/>
              </w:rPr>
              <w:t xml:space="preserve">男55周岁（含）以下（以居民身份证为准），女50周岁（含）以下（以居民身份证为准）。</w:t>
            </w:r>
            <w:r/>
          </w:p>
          <w:p>
            <w:pPr>
              <w:contextualSpacing/>
              <w:spacing w:line="400" w:lineRule="exact"/>
              <w:rPr>
                <w:rFonts w:hint="eastAsia" w:ascii="宋体" w:hAnsi="宋体" w:cs="宋体"/>
                <w:b/>
                <w:bCs/>
                <w:szCs w:val="21"/>
              </w:rPr>
            </w:pPr>
            <w:r>
              <w:rPr>
                <w:rFonts w:hint="eastAsia" w:ascii="宋体" w:hAnsi="宋体" w:cs="宋体"/>
                <w:szCs w:val="21"/>
              </w:rPr>
              <w:t xml:space="preserve">主要负责物业服务相关人员的管理、监督、培训、考核和协调等工作。熟悉物业服务相关法规，并能规范组织管理服务工作，有3年以上的医院物业管理工作经历、知识面广，专业技能熟练，有较强的组织领导能力和协调能力必须常驻现场，合同期内在岗率100％。</w:t>
            </w:r>
            <w:r/>
          </w:p>
        </w:tc>
        <w:tc>
          <w:tcPr>
            <w:tcW w:w="681" w:type="dxa"/>
            <w:vAlign w:val="center"/>
            <w:textDirection w:val="lrTb"/>
            <w:noWrap/>
          </w:tcPr>
          <w:p>
            <w:pPr>
              <w:spacing w:line="400" w:lineRule="exact"/>
              <w:widowControl/>
              <w:rPr>
                <w:rFonts w:ascii="Times New Roman" w:hAnsi="Times New Roman" w:cs="宋体"/>
                <w:szCs w:val="21"/>
              </w:rPr>
            </w:pPr>
            <w:r>
              <w:rPr>
                <w:rFonts w:ascii="Times New Roman" w:hAnsi="Times New Roman" w:cs="宋体"/>
                <w:szCs w:val="21"/>
              </w:rPr>
            </w:r>
            <w:r/>
          </w:p>
        </w:tc>
      </w:tr>
      <w:tr>
        <w:trPr>
          <w:trHeight w:val="663"/>
        </w:trPr>
        <w:tc>
          <w:tcPr>
            <w:tcW w:w="1270" w:type="dxa"/>
            <w:vAlign w:val="center"/>
            <w:vMerge w:val="continue"/>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r>
            <w:r/>
          </w:p>
        </w:tc>
        <w:tc>
          <w:tcPr>
            <w:tcW w:w="1280" w:type="dxa"/>
            <w:vAlign w:val="center"/>
            <w:textDirection w:val="lrTb"/>
            <w:noWrap/>
          </w:tcPr>
          <w:p>
            <w:pPr>
              <w:contextualSpacing/>
              <w:jc w:val="center"/>
              <w:spacing w:line="400" w:lineRule="exact"/>
              <w:rPr>
                <w:rFonts w:hint="eastAsia" w:ascii="宋体" w:hAnsi="宋体" w:cs="宋体"/>
                <w:szCs w:val="21"/>
              </w:rPr>
            </w:pPr>
            <w:r>
              <w:rPr>
                <w:rFonts w:hint="eastAsia" w:ascii="宋体" w:hAnsi="宋体" w:cs="宋体"/>
                <w:szCs w:val="21"/>
              </w:rPr>
              <w:t xml:space="preserve">保洁员</w:t>
            </w:r>
            <w:r/>
          </w:p>
        </w:tc>
        <w:tc>
          <w:tcPr>
            <w:tcW w:w="739" w:type="dxa"/>
            <w:vAlign w:val="center"/>
            <w:textDirection w:val="lrTb"/>
            <w:noWrap/>
          </w:tcPr>
          <w:p>
            <w:pPr>
              <w:contextualSpacing/>
              <w:jc w:val="center"/>
              <w:spacing w:line="400" w:lineRule="exact"/>
              <w:rPr>
                <w:rFonts w:hint="eastAsia" w:ascii="宋体" w:hAnsi="宋体" w:cs="宋体"/>
                <w:szCs w:val="21"/>
              </w:rPr>
            </w:pPr>
            <w:r>
              <w:rPr>
                <w:rFonts w:hint="eastAsia" w:ascii="宋体" w:hAnsi="宋体" w:cs="宋体"/>
                <w:szCs w:val="21"/>
              </w:rPr>
              <w:t xml:space="preserve">2人</w:t>
            </w:r>
            <w:r/>
          </w:p>
        </w:tc>
        <w:tc>
          <w:tcPr>
            <w:tcW w:w="5469" w:type="dxa"/>
            <w:vAlign w:val="top"/>
            <w:textDirection w:val="lrTb"/>
            <w:noWrap/>
          </w:tcPr>
          <w:p>
            <w:pPr>
              <w:spacing w:line="400" w:lineRule="exact"/>
              <w:widowControl/>
              <w:rPr>
                <w:rFonts w:hint="eastAsia" w:ascii="宋体" w:hAnsi="宋体" w:cs="宋体"/>
                <w:szCs w:val="21"/>
              </w:rPr>
            </w:pPr>
            <w:r>
              <w:rPr>
                <w:rFonts w:hint="eastAsia" w:ascii="宋体" w:hAnsi="宋体" w:cs="宋体"/>
                <w:szCs w:val="21"/>
              </w:rPr>
              <w:t xml:space="preserve">男65周岁（含）以下（以居民身份证为准）；女58周岁（含）以下（以居民身份证为准）。</w:t>
            </w:r>
            <w:r/>
          </w:p>
          <w:p>
            <w:pPr>
              <w:jc w:val="left"/>
              <w:spacing w:line="400" w:lineRule="exact"/>
              <w:widowControl/>
              <w:rPr>
                <w:rFonts w:hint="eastAsia" w:ascii="宋体" w:hAnsi="宋体" w:cs="宋体"/>
                <w:b/>
                <w:bCs/>
                <w:szCs w:val="21"/>
              </w:rPr>
            </w:pPr>
            <w:r>
              <w:rPr>
                <w:rFonts w:hint="eastAsia" w:ascii="宋体" w:hAnsi="宋体" w:cs="宋体"/>
                <w:color w:val="auto"/>
                <w:szCs w:val="21"/>
              </w:rPr>
              <w:t xml:space="preserve">能够识字，</w:t>
            </w:r>
            <w:r>
              <w:rPr>
                <w:rFonts w:hint="eastAsia" w:ascii="宋体" w:hAnsi="宋体" w:cs="宋体"/>
                <w:szCs w:val="21"/>
              </w:rPr>
              <w:t xml:space="preserve">有吃苦耐劳精神，责任心强，负责宿迁市传染病医院的保洁工作，遵守医院各项制度，采购人有权根据现场情况对保洁人员配备进行调整。打扫女厕所的必须为女性。</w:t>
            </w:r>
            <w:r/>
          </w:p>
        </w:tc>
        <w:tc>
          <w:tcPr>
            <w:tcW w:w="681" w:type="dxa"/>
            <w:vAlign w:val="center"/>
            <w:textDirection w:val="lrTb"/>
            <w:noWrap/>
          </w:tcPr>
          <w:p>
            <w:pPr>
              <w:jc w:val="left"/>
              <w:spacing w:line="400" w:lineRule="exact"/>
              <w:widowControl/>
              <w:rPr>
                <w:rFonts w:ascii="Times New Roman" w:hAnsi="Times New Roman" w:cs="宋体"/>
                <w:color w:val="000000"/>
                <w:szCs w:val="21"/>
                <w:lang w:bidi="ar"/>
              </w:rPr>
            </w:pPr>
            <w:r>
              <w:rPr>
                <w:rFonts w:ascii="Times New Roman" w:hAnsi="Times New Roman" w:cs="宋体"/>
                <w:color w:val="000000"/>
                <w:szCs w:val="21"/>
                <w:lang w:bidi="ar"/>
              </w:rPr>
            </w:r>
            <w:r/>
          </w:p>
        </w:tc>
      </w:tr>
      <w:tr>
        <w:trPr>
          <w:trHeight w:val="90"/>
        </w:trPr>
        <w:tc>
          <w:tcPr>
            <w:tcW w:w="1270" w:type="dxa"/>
            <w:vAlign w:val="center"/>
            <w:vMerge w:val="continue"/>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r>
            <w:r/>
          </w:p>
        </w:tc>
        <w:tc>
          <w:tcPr>
            <w:tcW w:w="1280" w:type="dxa"/>
            <w:vAlign w:val="center"/>
            <w:textDirection w:val="lrTb"/>
            <w:noWrap/>
          </w:tcPr>
          <w:p>
            <w:pPr>
              <w:contextualSpacing/>
              <w:jc w:val="center"/>
              <w:spacing w:line="400" w:lineRule="exact"/>
              <w:rPr>
                <w:rFonts w:hint="eastAsia" w:ascii="宋体" w:hAnsi="宋体" w:cs="宋体"/>
                <w:szCs w:val="21"/>
              </w:rPr>
            </w:pPr>
            <w:r>
              <w:rPr>
                <w:rFonts w:hint="eastAsia" w:ascii="宋体" w:hAnsi="宋体" w:cs="宋体"/>
                <w:szCs w:val="21"/>
              </w:rPr>
              <w:t xml:space="preserve">安保员</w:t>
            </w:r>
            <w:r/>
          </w:p>
        </w:tc>
        <w:tc>
          <w:tcPr>
            <w:tcW w:w="739" w:type="dxa"/>
            <w:vAlign w:val="center"/>
            <w:textDirection w:val="lrTb"/>
            <w:noWrap/>
          </w:tcPr>
          <w:p>
            <w:pPr>
              <w:contextualSpacing/>
              <w:jc w:val="center"/>
              <w:spacing w:line="400" w:lineRule="exact"/>
              <w:rPr>
                <w:rFonts w:hint="eastAsia" w:ascii="宋体" w:hAnsi="宋体" w:cs="宋体"/>
                <w:szCs w:val="21"/>
              </w:rPr>
            </w:pPr>
            <w:r>
              <w:rPr>
                <w:rFonts w:hint="eastAsia" w:ascii="宋体" w:hAnsi="宋体" w:cs="宋体"/>
                <w:szCs w:val="21"/>
              </w:rPr>
              <w:t xml:space="preserve">6人</w:t>
            </w:r>
            <w:r/>
          </w:p>
        </w:tc>
        <w:tc>
          <w:tcPr>
            <w:tcW w:w="5469" w:type="dxa"/>
            <w:vAlign w:val="top"/>
            <w:textDirection w:val="lrTb"/>
            <w:noWrap/>
          </w:tcPr>
          <w:p>
            <w:pPr>
              <w:spacing w:line="400" w:lineRule="exact"/>
              <w:widowControl/>
              <w:rPr>
                <w:rFonts w:hint="eastAsia" w:ascii="宋体" w:hAnsi="宋体" w:cs="宋体"/>
                <w:szCs w:val="21"/>
              </w:rPr>
            </w:pPr>
            <w:r>
              <w:rPr>
                <w:rFonts w:hint="eastAsia" w:ascii="宋体" w:hAnsi="宋体" w:cs="宋体"/>
                <w:szCs w:val="21"/>
              </w:rPr>
              <w:t xml:space="preserve">男65周岁（含）以下（以居民身份证为准）；女58周岁（含）以下（以居民身份证为准）。</w:t>
            </w:r>
            <w:r/>
          </w:p>
          <w:p>
            <w:pPr>
              <w:jc w:val="left"/>
              <w:spacing w:line="400" w:lineRule="exact"/>
              <w:widowControl/>
              <w:rPr>
                <w:rFonts w:hint="eastAsia" w:ascii="宋体" w:hAnsi="宋体" w:cs="宋体"/>
                <w:b/>
                <w:bCs/>
                <w:szCs w:val="21"/>
              </w:rPr>
            </w:pPr>
            <w:r>
              <w:rPr>
                <w:rFonts w:hint="eastAsia" w:ascii="宋体" w:hAnsi="宋体" w:cs="宋体"/>
                <w:szCs w:val="21"/>
              </w:rPr>
              <w:t xml:space="preserve">负责宿迁市传染病医院的治安防范和安全巡逻；消防管理（巡查）；社会综合治理联勤联防；车辆管理。保安人员应接受过安全保卫或相关训练，具有相关管理经验，能正确使用各类消防、物防、特防器械和设备，熟知治安管理有关法律法规。处理各种突发事件；医患沟通、重点会议等专项工作安全工作。</w:t>
            </w:r>
            <w:r/>
          </w:p>
        </w:tc>
        <w:tc>
          <w:tcPr>
            <w:tcW w:w="681" w:type="dxa"/>
            <w:vAlign w:val="center"/>
            <w:textDirection w:val="lrTb"/>
            <w:noWrap/>
          </w:tcPr>
          <w:p>
            <w:pPr>
              <w:jc w:val="left"/>
              <w:spacing w:line="400" w:lineRule="exact"/>
              <w:widowControl/>
              <w:rPr>
                <w:rFonts w:ascii="Times New Roman" w:hAnsi="Times New Roman" w:cs="宋体"/>
                <w:color w:val="000000"/>
                <w:szCs w:val="21"/>
                <w:lang w:bidi="ar"/>
              </w:rPr>
            </w:pPr>
            <w:r>
              <w:rPr>
                <w:rFonts w:ascii="Times New Roman" w:hAnsi="Times New Roman" w:cs="宋体"/>
                <w:color w:val="000000"/>
                <w:szCs w:val="21"/>
                <w:lang w:bidi="ar"/>
              </w:rPr>
            </w:r>
            <w:r/>
          </w:p>
        </w:tc>
      </w:tr>
      <w:tr>
        <w:trPr>
          <w:trHeight w:val="316"/>
        </w:trPr>
        <w:tc>
          <w:tcPr>
            <w:tcW w:w="1270" w:type="dxa"/>
            <w:vAlign w:val="center"/>
            <w:vMerge w:val="continue"/>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r>
            <w:r/>
          </w:p>
        </w:tc>
        <w:tc>
          <w:tcPr>
            <w:tcW w:w="1280" w:type="dxa"/>
            <w:vAlign w:val="center"/>
            <w:textDirection w:val="lrTb"/>
            <w:noWrap/>
          </w:tcPr>
          <w:p>
            <w:pPr>
              <w:contextualSpacing/>
              <w:jc w:val="center"/>
              <w:spacing w:line="400" w:lineRule="exact"/>
              <w:rPr>
                <w:rFonts w:hint="eastAsia" w:ascii="宋体" w:hAnsi="宋体" w:cs="宋体"/>
                <w:szCs w:val="21"/>
              </w:rPr>
            </w:pPr>
            <w:r>
              <w:rPr>
                <w:rFonts w:hint="eastAsia" w:ascii="宋体" w:hAnsi="宋体" w:cs="宋体"/>
                <w:szCs w:val="21"/>
              </w:rPr>
              <w:t xml:space="preserve">消防员</w:t>
            </w:r>
            <w:r/>
          </w:p>
        </w:tc>
        <w:tc>
          <w:tcPr>
            <w:tcW w:w="739" w:type="dxa"/>
            <w:vAlign w:val="center"/>
            <w:textDirection w:val="lrTb"/>
            <w:noWrap/>
          </w:tcPr>
          <w:p>
            <w:pPr>
              <w:contextualSpacing/>
              <w:jc w:val="center"/>
              <w:spacing w:line="400" w:lineRule="exact"/>
              <w:rPr>
                <w:rFonts w:hint="eastAsia" w:ascii="宋体" w:hAnsi="宋体" w:cs="宋体"/>
                <w:szCs w:val="21"/>
              </w:rPr>
            </w:pPr>
            <w:r>
              <w:rPr>
                <w:rFonts w:hint="eastAsia" w:ascii="宋体" w:hAnsi="宋体" w:cs="宋体"/>
                <w:szCs w:val="21"/>
              </w:rPr>
              <w:t xml:space="preserve">2人</w:t>
            </w:r>
            <w:r/>
          </w:p>
        </w:tc>
        <w:tc>
          <w:tcPr>
            <w:tcW w:w="5469" w:type="dxa"/>
            <w:vAlign w:val="top"/>
            <w:textDirection w:val="lrTb"/>
            <w:noWrap/>
          </w:tcPr>
          <w:p>
            <w:pPr>
              <w:contextualSpacing/>
              <w:spacing w:line="400" w:lineRule="exact"/>
              <w:rPr>
                <w:rFonts w:hint="eastAsia" w:ascii="宋体" w:hAnsi="宋体" w:cs="宋体"/>
                <w:szCs w:val="21"/>
              </w:rPr>
            </w:pPr>
            <w:r>
              <w:rPr>
                <w:rFonts w:hint="eastAsia" w:ascii="宋体" w:hAnsi="宋体" w:cs="宋体"/>
                <w:szCs w:val="21"/>
              </w:rPr>
              <w:t xml:space="preserve">男55周岁（含）以下（以居民身份证为准），女50周岁（含）以下（以居民身份证为准）。</w:t>
            </w:r>
            <w:r/>
          </w:p>
          <w:p>
            <w:pPr>
              <w:contextualSpacing/>
              <w:spacing w:line="400" w:lineRule="exact"/>
              <w:rPr>
                <w:rFonts w:hint="eastAsia" w:ascii="宋体" w:hAnsi="宋体" w:cs="宋体"/>
                <w:b/>
                <w:bCs/>
                <w:szCs w:val="21"/>
              </w:rPr>
            </w:pPr>
            <w:r>
              <w:rPr>
                <w:rFonts w:hint="eastAsia" w:ascii="宋体" w:hAnsi="宋体" w:cs="宋体"/>
                <w:szCs w:val="21"/>
              </w:rPr>
              <w:t xml:space="preserve">身体健康，有责任心，</w:t>
            </w:r>
            <w:r>
              <w:rPr>
                <w:rFonts w:hint="eastAsia" w:ascii="宋体" w:hAnsi="宋体" w:cs="宋体"/>
                <w:b/>
                <w:bCs/>
                <w:szCs w:val="21"/>
              </w:rPr>
              <w:t xml:space="preserve">均须持有建（构）筑物消防员或消防设施操作员证。</w:t>
            </w:r>
            <w:r>
              <w:rPr>
                <w:rFonts w:hint="eastAsia" w:ascii="宋体" w:hAnsi="宋体" w:cs="宋体"/>
                <w:szCs w:val="21"/>
              </w:rPr>
              <w:t xml:space="preserve">负责宿迁市传染病医院内消防相关安全工作。</w:t>
            </w:r>
            <w:r/>
          </w:p>
        </w:tc>
        <w:tc>
          <w:tcPr>
            <w:tcW w:w="681" w:type="dxa"/>
            <w:vAlign w:val="center"/>
            <w:textDirection w:val="lrTb"/>
            <w:noWrap/>
          </w:tcPr>
          <w:p>
            <w:pPr>
              <w:jc w:val="left"/>
              <w:spacing w:line="400" w:lineRule="exact"/>
              <w:widowControl/>
              <w:rPr>
                <w:rFonts w:ascii="Times New Roman" w:hAnsi="Times New Roman" w:cs="宋体"/>
                <w:color w:val="000000"/>
                <w:szCs w:val="21"/>
                <w:lang w:bidi="ar"/>
              </w:rPr>
            </w:pPr>
            <w:r>
              <w:rPr>
                <w:rFonts w:ascii="Times New Roman" w:hAnsi="Times New Roman" w:cs="宋体"/>
                <w:color w:val="000000"/>
                <w:szCs w:val="21"/>
                <w:lang w:bidi="ar"/>
              </w:rPr>
            </w:r>
            <w:r/>
          </w:p>
        </w:tc>
      </w:tr>
      <w:tr>
        <w:trPr>
          <w:trHeight w:val="663"/>
        </w:trPr>
        <w:tc>
          <w:tcPr>
            <w:tcW w:w="1270" w:type="dxa"/>
            <w:vAlign w:val="center"/>
            <w:vMerge w:val="continue"/>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r>
            <w:r/>
          </w:p>
        </w:tc>
        <w:tc>
          <w:tcPr>
            <w:tcW w:w="1280" w:type="dxa"/>
            <w:vAlign w:val="center"/>
            <w:textDirection w:val="lrTb"/>
            <w:noWrap/>
          </w:tcPr>
          <w:p>
            <w:pPr>
              <w:contextualSpacing/>
              <w:jc w:val="center"/>
              <w:spacing w:line="400" w:lineRule="exact"/>
              <w:rPr>
                <w:rFonts w:hint="eastAsia" w:ascii="宋体" w:hAnsi="宋体" w:cs="宋体"/>
                <w:szCs w:val="21"/>
              </w:rPr>
            </w:pPr>
            <w:r>
              <w:rPr>
                <w:rFonts w:hint="eastAsia" w:ascii="宋体" w:hAnsi="宋体" w:cs="宋体"/>
                <w:szCs w:val="21"/>
              </w:rPr>
              <w:t xml:space="preserve">水电工</w:t>
            </w:r>
            <w:r/>
          </w:p>
        </w:tc>
        <w:tc>
          <w:tcPr>
            <w:tcW w:w="739" w:type="dxa"/>
            <w:vAlign w:val="center"/>
            <w:textDirection w:val="lrTb"/>
            <w:noWrap/>
          </w:tcPr>
          <w:p>
            <w:pPr>
              <w:contextualSpacing/>
              <w:jc w:val="center"/>
              <w:spacing w:line="400" w:lineRule="exact"/>
              <w:rPr>
                <w:rFonts w:hint="eastAsia" w:ascii="宋体" w:hAnsi="宋体" w:cs="宋体"/>
                <w:szCs w:val="21"/>
              </w:rPr>
            </w:pPr>
            <w:r>
              <w:rPr>
                <w:rFonts w:hint="eastAsia" w:ascii="宋体" w:hAnsi="宋体" w:cs="宋体"/>
                <w:szCs w:val="21"/>
              </w:rPr>
              <w:t xml:space="preserve">1人</w:t>
            </w:r>
            <w:r/>
          </w:p>
        </w:tc>
        <w:tc>
          <w:tcPr>
            <w:tcW w:w="5469" w:type="dxa"/>
            <w:vAlign w:val="top"/>
            <w:textDirection w:val="lrTb"/>
            <w:noWrap/>
          </w:tcPr>
          <w:p>
            <w:pPr>
              <w:contextualSpacing/>
              <w:spacing w:line="400" w:lineRule="exact"/>
              <w:rPr>
                <w:rFonts w:hint="eastAsia" w:ascii="宋体" w:hAnsi="宋体" w:cs="宋体"/>
                <w:szCs w:val="21"/>
              </w:rPr>
            </w:pPr>
            <w:r>
              <w:rPr>
                <w:rFonts w:hint="eastAsia" w:ascii="宋体" w:hAnsi="宋体" w:cs="宋体"/>
                <w:szCs w:val="21"/>
              </w:rPr>
              <w:t xml:space="preserve">男55周岁（含）以下（以居民身份证为准），女50周岁（含）以下（以居民身份证为准）。</w:t>
            </w:r>
            <w:r/>
          </w:p>
          <w:p>
            <w:pPr>
              <w:contextualSpacing/>
              <w:spacing w:line="400" w:lineRule="exact"/>
              <w:rPr>
                <w:rFonts w:hint="eastAsia" w:ascii="宋体" w:hAnsi="宋体" w:cs="宋体"/>
                <w:b/>
                <w:bCs/>
                <w:szCs w:val="21"/>
              </w:rPr>
            </w:pPr>
            <w:r>
              <w:rPr>
                <w:rFonts w:hint="eastAsia" w:ascii="宋体" w:hAnsi="宋体" w:cs="宋体"/>
                <w:szCs w:val="21"/>
              </w:rPr>
              <w:t xml:space="preserve">负责低压配电室内设备设施的日常操作、巡视、日常维护保养等安全工作，并做好相关书面记录。</w:t>
            </w:r>
            <w:r>
              <w:rPr>
                <w:rFonts w:hint="eastAsia" w:ascii="宋体" w:hAnsi="宋体" w:cs="宋体"/>
                <w:b/>
                <w:bCs/>
                <w:szCs w:val="21"/>
              </w:rPr>
              <w:t xml:space="preserve">须持有相关部门颁发的特种作业操作证(高压或低压电工作业)。</w:t>
            </w:r>
            <w:r>
              <w:rPr>
                <w:rFonts w:hint="eastAsia" w:ascii="宋体" w:hAnsi="宋体" w:cs="宋体"/>
                <w:szCs w:val="21"/>
              </w:rPr>
              <w:t xml:space="preserve">水电工每天在岗时间不低于8小时。</w:t>
            </w:r>
            <w:r/>
          </w:p>
        </w:tc>
        <w:tc>
          <w:tcPr>
            <w:tcW w:w="681" w:type="dxa"/>
            <w:vAlign w:val="center"/>
            <w:textDirection w:val="lrTb"/>
            <w:noWrap/>
          </w:tcPr>
          <w:p>
            <w:pPr>
              <w:jc w:val="left"/>
              <w:spacing w:line="400" w:lineRule="exact"/>
              <w:widowControl/>
              <w:rPr>
                <w:rFonts w:ascii="Times New Roman" w:hAnsi="Times New Roman" w:cs="宋体"/>
                <w:color w:val="000000"/>
                <w:szCs w:val="21"/>
                <w:lang w:bidi="ar"/>
              </w:rPr>
            </w:pPr>
            <w:r>
              <w:rPr>
                <w:rFonts w:ascii="Times New Roman" w:hAnsi="Times New Roman" w:cs="宋体"/>
                <w:color w:val="000000"/>
                <w:szCs w:val="21"/>
                <w:lang w:bidi="ar"/>
              </w:rPr>
            </w:r>
            <w:r/>
          </w:p>
        </w:tc>
      </w:tr>
      <w:tr>
        <w:trPr>
          <w:trHeight w:val="663"/>
        </w:trPr>
        <w:tc>
          <w:tcPr>
            <w:tcW w:w="1270" w:type="dxa"/>
            <w:vAlign w:val="center"/>
            <w:vMerge w:val="restart"/>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bCs/>
                <w:szCs w:val="21"/>
              </w:rPr>
              <w:t xml:space="preserve">宿迁市新沂河调度工程管理处</w:t>
            </w:r>
            <w:r/>
          </w:p>
        </w:tc>
        <w:tc>
          <w:tcPr>
            <w:tcW w:w="1280" w:type="dxa"/>
            <w:vAlign w:val="center"/>
            <w:vMerge w:val="restart"/>
            <w:textDirection w:val="lrTb"/>
            <w:noWrap/>
          </w:tcPr>
          <w:p>
            <w:pPr>
              <w:jc w:val="center"/>
              <w:spacing w:line="400" w:lineRule="exact"/>
              <w:rPr>
                <w:rFonts w:hint="eastAsia" w:ascii="宋体" w:hAnsi="宋体" w:cs="宋体"/>
                <w:szCs w:val="21"/>
              </w:rPr>
            </w:pPr>
            <w:r>
              <w:rPr>
                <w:rFonts w:hint="eastAsia" w:ascii="宋体" w:hAnsi="宋体" w:cs="宋体"/>
                <w:szCs w:val="21"/>
              </w:rPr>
              <w:t xml:space="preserve">保洁员</w:t>
            </w:r>
            <w:r/>
          </w:p>
        </w:tc>
        <w:tc>
          <w:tcPr>
            <w:tcW w:w="739" w:type="dxa"/>
            <w:vAlign w:val="center"/>
            <w:textDirection w:val="lrTb"/>
            <w:noWrap/>
          </w:tcPr>
          <w:p>
            <w:pPr>
              <w:jc w:val="center"/>
              <w:spacing w:line="4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5469" w:type="dxa"/>
            <w:vAlign w:val="center"/>
            <w:textDirection w:val="lrTb"/>
            <w:noWrap/>
          </w:tcPr>
          <w:p>
            <w:pPr>
              <w:spacing w:line="400" w:lineRule="exact"/>
              <w:widowControl/>
              <w:rPr>
                <w:rFonts w:hint="eastAsia" w:ascii="宋体" w:hAnsi="宋体" w:cs="宋体"/>
                <w:szCs w:val="21"/>
              </w:rPr>
            </w:pPr>
            <w:r>
              <w:rPr>
                <w:rFonts w:hint="eastAsia" w:ascii="宋体" w:hAnsi="宋体" w:cs="宋体"/>
                <w:szCs w:val="21"/>
              </w:rPr>
              <w:t xml:space="preserve">男65周岁（含）以下（以居民身份证为准）；女58周岁（含）以下（以居民身份证为准）。</w:t>
            </w:r>
            <w:r/>
          </w:p>
          <w:p>
            <w:pPr>
              <w:spacing w:line="400" w:lineRule="exact"/>
              <w:widowControl/>
              <w:rPr>
                <w:rFonts w:hint="eastAsia" w:ascii="宋体" w:hAnsi="宋体" w:cs="宋体"/>
                <w:bCs/>
                <w:szCs w:val="21"/>
              </w:rPr>
            </w:pPr>
            <w:r>
              <w:rPr>
                <w:rFonts w:hint="eastAsia" w:ascii="宋体" w:hAnsi="宋体" w:cs="宋体"/>
                <w:szCs w:val="21"/>
              </w:rPr>
              <w:t xml:space="preserve">工作地点在宿迁市</w:t>
            </w:r>
            <w:r>
              <w:rPr>
                <w:rFonts w:hint="eastAsia" w:ascii="宋体" w:hAnsi="宋体" w:cs="宋体"/>
                <w:bCs/>
                <w:szCs w:val="21"/>
              </w:rPr>
              <w:t xml:space="preserve">新沂河管理处办公楼。</w:t>
            </w:r>
            <w:r/>
          </w:p>
          <w:p>
            <w:pPr>
              <w:spacing w:line="400" w:lineRule="exact"/>
              <w:rPr>
                <w:rFonts w:hint="eastAsia" w:ascii="宋体" w:hAnsi="宋体" w:cs="宋体"/>
                <w:bCs/>
                <w:szCs w:val="21"/>
              </w:rPr>
            </w:pPr>
            <w:r>
              <w:rPr>
                <w:rFonts w:hint="eastAsia" w:ascii="宋体" w:hAnsi="宋体" w:cs="宋体"/>
                <w:color w:val="auto"/>
                <w:szCs w:val="21"/>
              </w:rPr>
              <w:t xml:space="preserve">能够识字，</w:t>
            </w:r>
            <w:r>
              <w:rPr>
                <w:rFonts w:hint="eastAsia" w:ascii="宋体" w:hAnsi="宋体" w:cs="宋体"/>
                <w:szCs w:val="21"/>
              </w:rPr>
              <w:t xml:space="preserve">身体健康、品行端正、体貌端庄、形体无明显缺陷，能吃苦耐劳，有相关工作经验。</w:t>
            </w:r>
            <w:r/>
          </w:p>
        </w:tc>
        <w:tc>
          <w:tcPr>
            <w:tcW w:w="681" w:type="dxa"/>
            <w:vAlign w:val="center"/>
            <w:textDirection w:val="lrTb"/>
            <w:noWrap/>
          </w:tcPr>
          <w:p>
            <w:pPr>
              <w:jc w:val="left"/>
              <w:spacing w:line="400" w:lineRule="exact"/>
              <w:widowControl/>
              <w:rPr>
                <w:rFonts w:ascii="Times New Roman" w:hAnsi="Times New Roman" w:cs="宋体"/>
                <w:color w:val="000000"/>
                <w:szCs w:val="21"/>
                <w:lang w:bidi="ar"/>
              </w:rPr>
            </w:pPr>
            <w:r>
              <w:rPr>
                <w:rFonts w:ascii="Times New Roman" w:hAnsi="Times New Roman" w:cs="宋体"/>
                <w:color w:val="000000"/>
                <w:szCs w:val="21"/>
                <w:lang w:bidi="ar"/>
              </w:rPr>
            </w:r>
            <w:r/>
          </w:p>
        </w:tc>
      </w:tr>
      <w:tr>
        <w:trPr>
          <w:trHeight w:val="663"/>
        </w:trPr>
        <w:tc>
          <w:tcPr>
            <w:tcW w:w="1270" w:type="dxa"/>
            <w:vAlign w:val="center"/>
            <w:vMerge w:val="continue"/>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r>
            <w:r/>
          </w:p>
        </w:tc>
        <w:tc>
          <w:tcPr>
            <w:tcW w:w="1280" w:type="dxa"/>
            <w:vAlign w:val="center"/>
            <w:vMerge w:val="continue"/>
            <w:textDirection w:val="lrTb"/>
            <w:noWrap/>
          </w:tcPr>
          <w:p>
            <w:pPr>
              <w:jc w:val="center"/>
              <w:spacing w:line="400" w:lineRule="exact"/>
              <w:rPr>
                <w:rFonts w:hint="eastAsia" w:ascii="宋体" w:hAnsi="宋体" w:cs="宋体"/>
                <w:szCs w:val="21"/>
              </w:rPr>
            </w:pPr>
            <w:r>
              <w:rPr>
                <w:rFonts w:hint="eastAsia" w:ascii="宋体" w:hAnsi="宋体" w:cs="宋体"/>
                <w:szCs w:val="21"/>
              </w:rPr>
            </w:r>
            <w:r/>
          </w:p>
        </w:tc>
        <w:tc>
          <w:tcPr>
            <w:tcW w:w="739" w:type="dxa"/>
            <w:vAlign w:val="center"/>
            <w:textDirection w:val="lrTb"/>
            <w:noWrap/>
          </w:tcPr>
          <w:p>
            <w:pPr>
              <w:jc w:val="center"/>
              <w:spacing w:line="4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5469" w:type="dxa"/>
            <w:vAlign w:val="center"/>
            <w:textDirection w:val="lrTb"/>
            <w:noWrap/>
          </w:tcPr>
          <w:p>
            <w:pPr>
              <w:spacing w:line="400" w:lineRule="exact"/>
              <w:widowControl/>
              <w:rPr>
                <w:rFonts w:hint="eastAsia" w:ascii="宋体" w:hAnsi="宋体" w:cs="宋体"/>
                <w:szCs w:val="21"/>
              </w:rPr>
            </w:pPr>
            <w:r>
              <w:rPr>
                <w:rFonts w:hint="eastAsia" w:ascii="宋体" w:hAnsi="宋体" w:cs="宋体"/>
                <w:szCs w:val="21"/>
              </w:rPr>
              <w:t xml:space="preserve">男65周岁（含）以下（以居民身份证为准）；女58周岁（含）以下（以居民身份证为准）。</w:t>
            </w:r>
            <w:r/>
          </w:p>
          <w:p>
            <w:pPr>
              <w:spacing w:line="400" w:lineRule="exact"/>
              <w:widowControl/>
              <w:rPr>
                <w:rFonts w:hint="eastAsia" w:ascii="宋体" w:hAnsi="宋体" w:cs="宋体"/>
                <w:color w:val="000000"/>
                <w:szCs w:val="21"/>
                <w:lang w:bidi="ar"/>
              </w:rPr>
            </w:pPr>
            <w:r>
              <w:rPr>
                <w:rFonts w:hint="eastAsia" w:ascii="宋体" w:hAnsi="宋体" w:cs="宋体"/>
                <w:szCs w:val="21"/>
              </w:rPr>
              <w:t xml:space="preserve">工作地点在</w:t>
            </w:r>
            <w:r>
              <w:rPr>
                <w:rFonts w:hint="eastAsia" w:ascii="宋体" w:hAnsi="宋体" w:cs="宋体"/>
                <w:color w:val="000000"/>
                <w:szCs w:val="21"/>
                <w:lang w:bidi="ar"/>
              </w:rPr>
              <w:t xml:space="preserve">新沂河沭阳枢纽工程管理区。</w:t>
            </w:r>
            <w:r/>
          </w:p>
          <w:p>
            <w:pPr>
              <w:spacing w:line="400" w:lineRule="exact"/>
              <w:rPr>
                <w:rFonts w:hint="eastAsia" w:ascii="宋体" w:hAnsi="宋体" w:cs="宋体"/>
                <w:szCs w:val="21"/>
              </w:rPr>
            </w:pPr>
            <w:r>
              <w:rPr>
                <w:rFonts w:hint="eastAsia" w:ascii="宋体" w:hAnsi="宋体" w:cs="宋体"/>
                <w:szCs w:val="21"/>
              </w:rPr>
              <w:t xml:space="preserve">能够识字，身体健康、品行端正、体貌端庄、形体无明显缺陷，能吃苦耐劳，有相关工作经验。</w:t>
            </w:r>
            <w:r/>
          </w:p>
        </w:tc>
        <w:tc>
          <w:tcPr>
            <w:tcW w:w="681" w:type="dxa"/>
            <w:vAlign w:val="center"/>
            <w:textDirection w:val="lrTb"/>
            <w:noWrap/>
          </w:tcPr>
          <w:p>
            <w:pPr>
              <w:jc w:val="left"/>
              <w:spacing w:line="400" w:lineRule="exact"/>
              <w:widowControl/>
              <w:rPr>
                <w:rFonts w:ascii="Times New Roman" w:hAnsi="Times New Roman" w:cs="宋体"/>
                <w:color w:val="000000"/>
                <w:szCs w:val="21"/>
                <w:lang w:bidi="ar"/>
              </w:rPr>
            </w:pPr>
            <w:r>
              <w:rPr>
                <w:rFonts w:ascii="Times New Roman" w:hAnsi="Times New Roman" w:cs="宋体"/>
                <w:color w:val="000000"/>
                <w:szCs w:val="21"/>
                <w:lang w:bidi="ar"/>
              </w:rPr>
            </w:r>
            <w:r/>
          </w:p>
        </w:tc>
      </w:tr>
      <w:tr>
        <w:trPr>
          <w:trHeight w:val="270"/>
        </w:trPr>
        <w:tc>
          <w:tcPr>
            <w:tcW w:w="1270" w:type="dxa"/>
            <w:vAlign w:val="center"/>
            <w:vMerge w:val="continue"/>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r>
            <w:r/>
          </w:p>
        </w:tc>
        <w:tc>
          <w:tcPr>
            <w:tcW w:w="1280" w:type="dxa"/>
            <w:vAlign w:val="center"/>
            <w:textDirection w:val="lrTb"/>
            <w:noWrap/>
          </w:tcPr>
          <w:p>
            <w:pPr>
              <w:jc w:val="center"/>
              <w:spacing w:line="400" w:lineRule="exact"/>
              <w:rPr>
                <w:rFonts w:hint="eastAsia" w:ascii="宋体" w:hAnsi="宋体" w:cs="宋体"/>
                <w:szCs w:val="21"/>
              </w:rPr>
            </w:pPr>
            <w:r>
              <w:rPr>
                <w:rFonts w:hint="eastAsia" w:ascii="宋体" w:hAnsi="宋体" w:cs="宋体"/>
                <w:szCs w:val="21"/>
              </w:rPr>
              <w:t xml:space="preserve">安保员</w:t>
            </w:r>
            <w:r/>
          </w:p>
        </w:tc>
        <w:tc>
          <w:tcPr>
            <w:tcW w:w="739" w:type="dxa"/>
            <w:vAlign w:val="center"/>
            <w:textDirection w:val="lrTb"/>
            <w:noWrap/>
          </w:tcPr>
          <w:p>
            <w:pPr>
              <w:jc w:val="center"/>
              <w:spacing w:line="4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5469" w:type="dxa"/>
            <w:vAlign w:val="center"/>
            <w:textDirection w:val="lrTb"/>
            <w:noWrap/>
          </w:tcPr>
          <w:p>
            <w:pPr>
              <w:spacing w:line="400" w:lineRule="exact"/>
              <w:widowControl/>
              <w:rPr>
                <w:rFonts w:hint="eastAsia" w:ascii="宋体" w:hAnsi="宋体" w:cs="宋体"/>
                <w:szCs w:val="21"/>
              </w:rPr>
            </w:pPr>
            <w:r>
              <w:rPr>
                <w:rFonts w:hint="eastAsia" w:ascii="宋体" w:hAnsi="宋体" w:cs="宋体"/>
                <w:szCs w:val="21"/>
              </w:rPr>
              <w:t xml:space="preserve">男65周岁（含）以下（以居民身份证为准。</w:t>
            </w:r>
            <w:r/>
          </w:p>
          <w:p>
            <w:pPr>
              <w:spacing w:line="400" w:lineRule="exact"/>
              <w:widowControl/>
              <w:rPr>
                <w:rFonts w:hint="eastAsia" w:ascii="宋体" w:hAnsi="宋体" w:cs="宋体"/>
                <w:szCs w:val="21"/>
              </w:rPr>
            </w:pPr>
            <w:r>
              <w:rPr>
                <w:rFonts w:hint="eastAsia" w:ascii="宋体" w:hAnsi="宋体" w:cs="宋体"/>
                <w:szCs w:val="21"/>
              </w:rPr>
              <w:t xml:space="preserve">工作地点在宿迁市</w:t>
            </w:r>
            <w:r>
              <w:rPr>
                <w:rFonts w:hint="eastAsia" w:ascii="宋体" w:hAnsi="宋体" w:cs="宋体"/>
                <w:bCs/>
                <w:szCs w:val="21"/>
              </w:rPr>
              <w:t xml:space="preserve">新沂河管理处办公楼。</w:t>
            </w:r>
            <w:r/>
          </w:p>
          <w:p>
            <w:pPr>
              <w:spacing w:line="400" w:lineRule="exact"/>
              <w:rPr>
                <w:rFonts w:hint="eastAsia" w:ascii="宋体" w:hAnsi="宋体" w:cs="宋体"/>
                <w:szCs w:val="21"/>
              </w:rPr>
            </w:pPr>
            <w:r>
              <w:rPr>
                <w:rFonts w:hint="eastAsia" w:ascii="宋体" w:hAnsi="宋体" w:cs="宋体"/>
                <w:szCs w:val="21"/>
              </w:rPr>
              <w:t xml:space="preserve">保安人员应接受过安全保卫或相关训练，具有相关管理经验，能正确使用各类消防、物防、特防器械和设备，熟知治安管理有关法律法规。处理各种突发事件。</w:t>
            </w:r>
            <w:r/>
          </w:p>
        </w:tc>
        <w:tc>
          <w:tcPr>
            <w:tcW w:w="681" w:type="dxa"/>
            <w:vAlign w:val="center"/>
            <w:textDirection w:val="lrTb"/>
            <w:noWrap/>
          </w:tcPr>
          <w:p>
            <w:pPr>
              <w:jc w:val="left"/>
              <w:spacing w:line="400" w:lineRule="exact"/>
              <w:widowControl/>
              <w:rPr>
                <w:rFonts w:ascii="Times New Roman" w:hAnsi="Times New Roman"/>
                <w:szCs w:val="21"/>
              </w:rPr>
            </w:pPr>
            <w:r>
              <w:rPr>
                <w:rFonts w:ascii="Times New Roman" w:hAnsi="Times New Roman"/>
                <w:szCs w:val="21"/>
              </w:rPr>
            </w:r>
            <w:r/>
          </w:p>
        </w:tc>
      </w:tr>
      <w:tr>
        <w:trPr>
          <w:trHeight w:val="675"/>
        </w:trPr>
        <w:tc>
          <w:tcPr>
            <w:gridSpan w:val="2"/>
            <w:tcW w:w="2550" w:type="dxa"/>
            <w:vAlign w:val="center"/>
            <w:textDirection w:val="lrTb"/>
            <w:noWrap/>
          </w:tcPr>
          <w:p>
            <w:pPr>
              <w:jc w:val="center"/>
              <w:spacing w:line="400" w:lineRule="exact"/>
              <w:rPr>
                <w:rFonts w:hint="eastAsia" w:ascii="宋体" w:hAnsi="宋体" w:cs="宋体"/>
                <w:b/>
                <w:bCs/>
                <w:szCs w:val="21"/>
              </w:rPr>
            </w:pPr>
            <w:r>
              <w:rPr>
                <w:rFonts w:hint="eastAsia" w:ascii="宋体" w:hAnsi="宋体" w:cs="宋体"/>
                <w:b/>
                <w:bCs/>
                <w:szCs w:val="21"/>
              </w:rPr>
              <w:t xml:space="preserve">人数合计</w:t>
            </w:r>
            <w:r/>
          </w:p>
        </w:tc>
        <w:tc>
          <w:tcPr>
            <w:gridSpan w:val="2"/>
            <w:tcW w:w="6208" w:type="dxa"/>
            <w:vAlign w:val="center"/>
            <w:textDirection w:val="lrTb"/>
            <w:noWrap/>
          </w:tcPr>
          <w:p>
            <w:pPr>
              <w:jc w:val="center"/>
              <w:spacing w:line="400" w:lineRule="exact"/>
              <w:widowControl/>
              <w:rPr>
                <w:rFonts w:hint="eastAsia" w:ascii="宋体" w:hAnsi="宋体" w:cs="宋体"/>
                <w:b/>
                <w:bCs/>
                <w:szCs w:val="21"/>
              </w:rPr>
            </w:pPr>
            <w:r>
              <w:rPr>
                <w:rFonts w:hint="eastAsia" w:ascii="宋体" w:hAnsi="宋体" w:cs="宋体"/>
                <w:b/>
                <w:bCs/>
                <w:color w:val="000000"/>
                <w:szCs w:val="21"/>
                <w:lang w:bidi="ar"/>
              </w:rPr>
              <w:t xml:space="preserve">16</w:t>
            </w:r>
            <w:r/>
          </w:p>
        </w:tc>
        <w:tc>
          <w:tcPr>
            <w:tcW w:w="681" w:type="dxa"/>
            <w:vAlign w:val="center"/>
            <w:textDirection w:val="lrTb"/>
            <w:noWrap/>
          </w:tcPr>
          <w:p>
            <w:pPr>
              <w:jc w:val="left"/>
              <w:spacing w:line="400" w:lineRule="exact"/>
              <w:widowControl/>
              <w:rPr>
                <w:rFonts w:ascii="Times New Roman" w:hAnsi="Times New Roman"/>
                <w:szCs w:val="21"/>
              </w:rPr>
            </w:pPr>
            <w:r>
              <w:rPr>
                <w:rFonts w:ascii="Times New Roman" w:hAnsi="Times New Roman"/>
                <w:szCs w:val="21"/>
              </w:rPr>
            </w:r>
            <w:r/>
          </w:p>
        </w:tc>
      </w:tr>
    </w:tbl>
    <w:p>
      <w:pPr>
        <w:pStyle w:val="1243"/>
        <w:ind w:firstLine="241"/>
        <w:spacing w:line="500" w:lineRule="exact"/>
        <w:rPr>
          <w:rFonts w:hint="eastAsia" w:ascii="宋体" w:hAnsi="宋体" w:cs="仿宋"/>
          <w:b/>
          <w:bCs/>
          <w:sz w:val="24"/>
          <w:szCs w:val="24"/>
        </w:rPr>
      </w:pPr>
      <w:r>
        <w:rPr>
          <w:rFonts w:hint="eastAsia" w:ascii="宋体" w:hAnsi="宋体" w:cs="仿宋"/>
          <w:b/>
          <w:bCs/>
          <w:sz w:val="24"/>
          <w:szCs w:val="24"/>
        </w:rPr>
        <w:t xml:space="preserve">注：1.中标人应严格按照要求配备人员。项目经理试用期为1个月，试用期满后采购人视项目经理试用期表现决定是否继续留用。如若更换，须经过采购单位书面同意后履行更换手续；项目经理岗位空缺期间，采购人记录扣除中标人服务费500元/日；除因项目经理不称职而采购人要求更换外，中标人因自身原因更换项目经理的不得超过 1 次，否则每多一次，采购人扣除中标人5000元服务费。</w:t>
      </w:r>
      <w:r/>
    </w:p>
    <w:p>
      <w:pPr>
        <w:ind w:firstLine="422"/>
        <w:spacing w:line="500" w:lineRule="exact"/>
        <w:widowControl/>
        <w:rPr>
          <w:rFonts w:hint="eastAsia" w:ascii="宋体" w:hAnsi="宋体" w:cs="仿宋"/>
          <w:b/>
          <w:bCs/>
          <w:sz w:val="24"/>
        </w:rPr>
      </w:pPr>
      <w:r>
        <w:rPr>
          <w:rFonts w:hint="eastAsia" w:ascii="宋体" w:hAnsi="宋体" w:cs="仿宋"/>
          <w:b/>
          <w:bCs/>
          <w:sz w:val="24"/>
        </w:rPr>
        <w:t xml:space="preserve">2.中标人在中标结果公告发出之日起7日内将所有人员资料(含居民身份证、健康证、相关从业证书等)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采购方认可后进场。</w:t>
      </w:r>
      <w:r/>
    </w:p>
    <w:p>
      <w:pPr>
        <w:ind w:firstLine="422"/>
        <w:spacing w:line="500" w:lineRule="exact"/>
        <w:widowControl/>
        <w:rPr>
          <w:rFonts w:hint="eastAsia" w:ascii="宋体" w:hAnsi="宋体" w:cs="仿宋"/>
          <w:b/>
          <w:bCs/>
          <w:sz w:val="24"/>
        </w:rPr>
      </w:pPr>
      <w:r>
        <w:rPr>
          <w:rFonts w:hint="eastAsia" w:ascii="宋体" w:hAnsi="宋体" w:cs="仿宋"/>
          <w:b/>
          <w:bCs/>
          <w:sz w:val="24"/>
        </w:rPr>
        <w:t xml:space="preserve">3.采购方有权根据工作表现、工作需求提出更换人员，中标人需在采购方提出需求一个月内完成人员更换，并完成更换人员的费用结算。</w:t>
      </w:r>
      <w:r/>
    </w:p>
    <w:p>
      <w:pPr>
        <w:pStyle w:val="1083"/>
        <w:ind w:firstLine="482"/>
        <w:spacing w:line="500" w:lineRule="exact"/>
        <w:rPr>
          <w:rFonts w:hint="eastAsia" w:ascii="宋体" w:hAnsi="宋体" w:cs="仿宋"/>
          <w:b/>
          <w:bCs/>
          <w:sz w:val="24"/>
          <w:szCs w:val="24"/>
        </w:rPr>
      </w:pPr>
      <w:r>
        <w:rPr>
          <w:rFonts w:hint="eastAsia" w:ascii="宋体" w:hAnsi="宋体" w:cs="仿宋"/>
          <w:b/>
          <w:bCs/>
          <w:sz w:val="24"/>
          <w:szCs w:val="24"/>
        </w:rPr>
        <w:t xml:space="preserve">4.一般工作人员年流失率不得超过20%（从乙方接管满三个月起计算），每超过一个百分点，乙方须向甲方支付违约金10000元，该费用从当月物业服务费中扣除。保洁人员岗位空缺期间，采购人记录扣除中标人服务费200元/日/人次</w:t>
      </w:r>
      <w:r>
        <w:rPr>
          <w:rFonts w:hint="eastAsia" w:ascii="宋体" w:hAnsi="宋体" w:cs="仿宋"/>
          <w:b/>
          <w:bCs/>
          <w:color w:val="000000"/>
          <w:sz w:val="24"/>
          <w:szCs w:val="24"/>
        </w:rPr>
        <w:t xml:space="preserve">。</w:t>
      </w:r>
      <w:r/>
    </w:p>
    <w:p>
      <w:pPr>
        <w:ind w:firstLine="482"/>
        <w:spacing w:line="500" w:lineRule="exact"/>
        <w:widowControl/>
        <w:rPr>
          <w:rFonts w:hint="eastAsia" w:ascii="宋体" w:hAnsi="宋体" w:cs="仿宋"/>
          <w:b/>
          <w:bCs/>
          <w:sz w:val="24"/>
        </w:rPr>
      </w:pPr>
      <w:r>
        <w:rPr>
          <w:rFonts w:hint="eastAsia" w:ascii="宋体" w:hAnsi="宋体" w:cs="仿宋"/>
          <w:b/>
          <w:bCs/>
          <w:sz w:val="24"/>
        </w:rPr>
        <w:t xml:space="preserve">5.如因中标人项目组成员疏忽或失职造成贵重物品被盗、毁坏或发生重大安全事故，中标人承担一切赔偿责任。履约期间，如若发生项目组成员工伤或遇项目组成员人身伤亡事故，均由中标人负责，与采购方无关。</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hint="eastAsia" w:ascii="宋体" w:hAnsi="宋体" w:cs="仿宋"/>
          <w:b/>
          <w:bCs/>
          <w:sz w:val="24"/>
        </w:rPr>
        <w:t xml:space="preserve">6.</w:t>
      </w:r>
      <w:r>
        <w:rPr>
          <w:rFonts w:ascii="SimSun" w:hAnsi="SimSun" w:eastAsia="SimSun" w:cs="SimSun"/>
          <w:b/>
          <w:color w:val="000000"/>
          <w:sz w:val="24"/>
        </w:rPr>
        <w:t xml:space="preserve">履约过程中，中标人须按照国家及地方规定按月为符合缴纳社保的成员全额缴纳社保，为全员购买意外险(或雇主责任险)，在合同签订后7日内将意外险(或雇主责任险)购买情况报至采购人。</w:t>
      </w:r>
      <w:r>
        <w:rPr>
          <w:sz w:val="21"/>
        </w:rPr>
      </w:r>
      <w:r/>
    </w:p>
    <w:p>
      <w:pPr>
        <w:pStyle w:val="1086"/>
        <w:ind w:firstLine="643"/>
        <w:spacing w:before="40" w:after="40" w:line="500" w:lineRule="exact"/>
        <w:rPr>
          <w:rFonts w:hint="eastAsia" w:ascii="宋体" w:hAnsi="宋体" w:cs="宋体"/>
          <w:b/>
          <w:bCs/>
          <w:sz w:val="32"/>
          <w:szCs w:val="32"/>
        </w:rPr>
      </w:pPr>
      <w:r>
        <w:rPr>
          <w:rFonts w:hint="eastAsia" w:ascii="宋体" w:hAnsi="宋体" w:cs="宋体"/>
          <w:b/>
          <w:bCs/>
          <w:sz w:val="32"/>
          <w:szCs w:val="32"/>
        </w:rPr>
        <w:t xml:space="preserve">五、考核标准</w:t>
      </w:r>
      <w:r/>
    </w:p>
    <w:p>
      <w:pPr>
        <w:ind w:firstLine="562"/>
        <w:spacing w:line="500" w:lineRule="exact"/>
        <w:rPr>
          <w:rFonts w:hint="eastAsia" w:ascii="宋体" w:hAnsi="宋体" w:cs="宋体"/>
          <w:b/>
          <w:bCs/>
          <w:sz w:val="24"/>
          <w:szCs w:val="24"/>
        </w:rPr>
      </w:pPr>
      <w:r>
        <w:rPr>
          <w:rFonts w:hint="eastAsia" w:ascii="仿宋" w:hAnsi="仿宋" w:eastAsia="仿宋" w:cs="仿宋"/>
          <w:b/>
          <w:bCs/>
          <w:sz w:val="28"/>
          <w:szCs w:val="28"/>
        </w:rPr>
        <w:t xml:space="preserve">（一）</w:t>
      </w:r>
      <w:r>
        <w:rPr>
          <w:rFonts w:hint="eastAsia" w:ascii="宋体" w:hAnsi="宋体" w:cs="宋体"/>
          <w:b/>
          <w:bCs/>
          <w:sz w:val="24"/>
          <w:szCs w:val="24"/>
        </w:rPr>
        <w:t xml:space="preserve">宿迁市传染病医院</w:t>
      </w:r>
      <w:r/>
    </w:p>
    <w:p>
      <w:pPr>
        <w:ind w:firstLine="480"/>
        <w:spacing w:line="500" w:lineRule="exact"/>
        <w:rPr>
          <w:rFonts w:hint="eastAsia" w:ascii="宋体" w:hAnsi="宋体" w:cs="宋体"/>
          <w:b/>
          <w:bCs/>
          <w:sz w:val="24"/>
          <w:szCs w:val="24"/>
        </w:rPr>
      </w:pPr>
      <w:r>
        <w:rPr>
          <w:rFonts w:hint="eastAsia" w:ascii="仿宋" w:hAnsi="仿宋" w:eastAsia="仿宋" w:cs="仿宋"/>
          <w:sz w:val="24"/>
          <w:szCs w:val="24"/>
        </w:rPr>
        <w:t xml:space="preserve">甲方有权对物业服务违反项直接扣款和考评扣款，在季度物业费中扣减。罚金扣除标准为1000元/分。连续出现3次考评打分60分以下，即报经财政监管部门进行处理。</w:t>
      </w:r>
      <w:r/>
    </w:p>
    <w:tbl>
      <w:tblPr>
        <w:tblStyle w:val="785"/>
        <w:tblpPr w:horzAnchor="page" w:tblpX="1345" w:vertAnchor="text" w:tblpY="283" w:leftFromText="180" w:topFromText="0" w:rightFromText="180" w:bottomFromText="0"/>
        <w:tblW w:w="96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780"/>
        <w:gridCol w:w="5670"/>
        <w:gridCol w:w="945"/>
        <w:gridCol w:w="810"/>
        <w:gridCol w:w="723"/>
      </w:tblGrid>
      <w:tr>
        <w:trPr>
          <w:trHeight w:val="60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项目</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考核内容</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分值</w:t>
            </w:r>
            <w:r/>
          </w:p>
          <w:p>
            <w:pPr>
              <w:jc w:val="center"/>
              <w:rPr>
                <w:rFonts w:hint="eastAsia" w:ascii="宋体" w:hAnsi="宋体" w:cs="宋体"/>
                <w:sz w:val="24"/>
                <w:szCs w:val="24"/>
              </w:rPr>
            </w:pPr>
            <w:r>
              <w:rPr>
                <w:rFonts w:hint="eastAsia" w:ascii="宋体" w:hAnsi="宋体" w:cs="宋体"/>
                <w:sz w:val="15"/>
                <w:szCs w:val="15"/>
              </w:rPr>
              <w:t xml:space="preserve">（100分）</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扣分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存在问题</w:t>
            </w:r>
            <w:r/>
          </w:p>
        </w:tc>
      </w:tr>
      <w:tr>
        <w:trPr/>
        <w:tc>
          <w:tcPr>
            <w:tcBorders>
              <w:top w:val="none" w:color="000000" w:sz="4" w:space="0"/>
              <w:left w:val="single" w:color="auto" w:sz="4" w:space="0"/>
              <w:right w:val="single" w:color="auto" w:sz="4" w:space="0"/>
            </w:tcBorders>
            <w:tcW w:w="705"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综合管理</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人员配置及稳定性</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left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计划与执行</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left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人员培训</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left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设备设施配置</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left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重要参观接待和会议服务 </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left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着装仪容仪表 </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left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资料与表格</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rHeight w:val="272"/>
        </w:trPr>
        <w:tc>
          <w:tcPr>
            <w:tcBorders>
              <w:left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紧急情况处理</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left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9</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工作环境</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left w:val="single" w:color="auto" w:sz="4" w:space="0"/>
              <w:bottom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二次装修管理</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top w:val="none" w:color="000000" w:sz="4" w:space="0"/>
              <w:left w:val="single" w:color="auto" w:sz="4" w:space="0"/>
              <w:right w:val="single" w:color="auto" w:sz="4" w:space="0"/>
            </w:tcBorders>
            <w:tcW w:w="705"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防范秩序维护</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车辆与访客管理</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left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消控操作技能</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left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执勤与巡视管理</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rHeight w:val="266"/>
        </w:trPr>
        <w:tc>
          <w:tcPr>
            <w:tcBorders>
              <w:left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应急预案管理</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top w:val="none" w:color="000000" w:sz="4" w:space="0"/>
              <w:left w:val="single" w:color="auto" w:sz="4" w:space="0"/>
              <w:right w:val="single" w:color="auto" w:sz="4" w:space="0"/>
            </w:tcBorders>
            <w:tcW w:w="705"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环境管理</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环境卫生</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12</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left w:val="single" w:color="auto" w:sz="4" w:space="0"/>
              <w:bottom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虫害控制</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top w:val="none" w:color="000000" w:sz="4" w:space="0"/>
              <w:left w:val="single" w:color="auto" w:sz="4" w:space="0"/>
              <w:right w:val="single" w:color="auto" w:sz="4" w:space="0"/>
            </w:tcBorders>
            <w:tcW w:w="705" w:type="dxa"/>
            <w:vAlign w:val="top"/>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工程管理</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消防系统是否正常</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left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其他设备是否正常</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left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维保计划</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left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按时维保</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left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设备事件紧急处理</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left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节能降耗</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Borders>
              <w:left w:val="single" w:color="auto" w:sz="4" w:space="0"/>
              <w:bottom w:val="single" w:color="auto" w:sz="4" w:space="0"/>
              <w:right w:val="single" w:color="auto" w:sz="4" w:space="0"/>
            </w:tcBorders>
            <w:tcW w:w="705"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tcBorders>
              <w:top w:val="single" w:color="auto" w:sz="4" w:space="0"/>
              <w:left w:val="none" w:color="000000" w:sz="4" w:space="0"/>
              <w:bottom w:val="single" w:color="auto" w:sz="4" w:space="0"/>
              <w:right w:val="single" w:color="auto" w:sz="4" w:space="0"/>
            </w:tcBorders>
            <w:tcW w:w="5670" w:type="dxa"/>
            <w:vAlign w:val="top"/>
            <w:textDirection w:val="lrTb"/>
            <w:noWrap w:val="false"/>
          </w:tcPr>
          <w:p>
            <w:pPr>
              <w:rPr>
                <w:rFonts w:hint="eastAsia" w:ascii="宋体" w:hAnsi="宋体" w:cs="宋体"/>
                <w:sz w:val="24"/>
                <w:szCs w:val="24"/>
              </w:rPr>
            </w:pPr>
            <w:r>
              <w:rPr>
                <w:rFonts w:hint="eastAsia" w:ascii="宋体" w:hAnsi="宋体" w:cs="宋体"/>
                <w:sz w:val="24"/>
                <w:szCs w:val="24"/>
              </w:rPr>
              <w:t xml:space="preserve">计划年检</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810"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72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r>
        <w:trPr>
          <w:trHeight w:val="721"/>
        </w:trPr>
        <w:tc>
          <w:tcPr>
            <w:gridSpan w:val="4"/>
            <w:tcBorders>
              <w:top w:val="single" w:color="auto" w:sz="4" w:space="0"/>
              <w:left w:val="single" w:color="auto" w:sz="4" w:space="0"/>
              <w:bottom w:val="single" w:color="auto" w:sz="4" w:space="0"/>
              <w:right w:val="single" w:color="auto" w:sz="4" w:space="0"/>
            </w:tcBorders>
            <w:tcW w:w="810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得分</w:t>
            </w:r>
            <w:r/>
          </w:p>
        </w:tc>
        <w:tc>
          <w:tcPr>
            <w:gridSpan w:val="2"/>
            <w:tcBorders>
              <w:top w:val="single" w:color="auto" w:sz="4" w:space="0"/>
              <w:left w:val="none" w:color="000000" w:sz="4" w:space="0"/>
              <w:bottom w:val="single" w:color="auto" w:sz="4" w:space="0"/>
              <w:right w:val="single" w:color="auto" w:sz="4" w:space="0"/>
            </w:tcBorders>
            <w:tcW w:w="1533" w:type="dxa"/>
            <w:vAlign w:val="top"/>
            <w:textDirection w:val="lrTb"/>
            <w:noWrap w:val="false"/>
          </w:tcPr>
          <w:p>
            <w:pPr>
              <w:rPr>
                <w:rFonts w:hint="eastAsia" w:ascii="宋体" w:hAnsi="宋体" w:cs="宋体"/>
                <w:sz w:val="24"/>
                <w:szCs w:val="24"/>
              </w:rPr>
            </w:pPr>
            <w:r>
              <w:rPr>
                <w:rFonts w:hint="eastAsia" w:ascii="宋体" w:hAnsi="宋体" w:cs="宋体"/>
                <w:sz w:val="24"/>
                <w:szCs w:val="24"/>
              </w:rPr>
            </w:r>
            <w:r/>
          </w:p>
        </w:tc>
      </w:tr>
    </w:tbl>
    <w:p>
      <w:pPr>
        <w:ind w:firstLine="482"/>
        <w:spacing w:line="500" w:lineRule="exact"/>
        <w:rPr>
          <w:rFonts w:hint="eastAsia" w:ascii="宋体" w:hAnsi="宋体" w:cs="宋体"/>
          <w:b/>
          <w:bCs/>
          <w:sz w:val="24"/>
          <w:szCs w:val="24"/>
        </w:rPr>
      </w:pPr>
      <w:r>
        <w:rPr>
          <w:rFonts w:hint="eastAsia" w:ascii="宋体" w:hAnsi="宋体" w:cs="宋体"/>
          <w:b/>
          <w:bCs/>
          <w:sz w:val="24"/>
          <w:szCs w:val="24"/>
        </w:rPr>
      </w:r>
      <w:r/>
    </w:p>
    <w:p>
      <w:pPr>
        <w:ind w:firstLine="482"/>
        <w:spacing w:line="500" w:lineRule="exact"/>
        <w:rPr>
          <w:rFonts w:ascii="宋体" w:hAnsi="宋体" w:cs="宋体"/>
          <w:b/>
          <w:sz w:val="24"/>
          <w:szCs w:val="24"/>
        </w:rPr>
      </w:pPr>
      <w:r>
        <w:rPr>
          <w:rFonts w:hint="eastAsia" w:ascii="宋体" w:hAnsi="宋体" w:cs="宋体"/>
          <w:b/>
          <w:bCs/>
          <w:sz w:val="24"/>
          <w:szCs w:val="24"/>
        </w:rPr>
        <w:t xml:space="preserve">（二）</w:t>
      </w:r>
      <w:r>
        <w:rPr>
          <w:rFonts w:hint="eastAsia" w:ascii="宋体" w:hAnsi="宋体" w:cs="宋体"/>
          <w:b/>
          <w:sz w:val="24"/>
          <w:szCs w:val="24"/>
        </w:rPr>
        <w:t xml:space="preserve">宿迁市新沂河调度工程管理处</w:t>
      </w:r>
      <w:r/>
    </w:p>
    <w:tbl>
      <w:tblPr>
        <w:tblStyle w:val="785"/>
        <w:tblW w:w="9803" w:type="dxa"/>
        <w:tblInd w:w="-71" w:type="dxa"/>
        <w:tblLayout w:type="autofit"/>
        <w:tblCellMar>
          <w:left w:w="108" w:type="dxa"/>
          <w:top w:w="0" w:type="dxa"/>
          <w:right w:w="108" w:type="dxa"/>
          <w:bottom w:w="0" w:type="dxa"/>
        </w:tblCellMar>
        <w:tblLook w:val="04A0" w:firstRow="1" w:lastRow="0" w:firstColumn="1" w:lastColumn="0" w:noHBand="0" w:noVBand="1"/>
      </w:tblPr>
      <w:tblGrid>
        <w:gridCol w:w="812"/>
        <w:gridCol w:w="5743"/>
        <w:gridCol w:w="1476"/>
        <w:gridCol w:w="1100"/>
        <w:gridCol w:w="672"/>
      </w:tblGrid>
      <w:tr>
        <w:trPr>
          <w:trHeight w:val="375"/>
        </w:trPr>
        <w:tc>
          <w:tcPr>
            <w:tcBorders>
              <w:top w:val="single" w:color="000000" w:sz="4" w:space="0"/>
              <w:left w:val="single" w:color="000000" w:sz="4" w:space="0"/>
              <w:bottom w:val="single" w:color="000000" w:sz="4" w:space="0"/>
              <w:right w:val="none" w:color="000000" w:sz="4" w:space="0"/>
            </w:tcBorders>
            <w:tcW w:w="812" w:type="dxa"/>
            <w:vAlign w:val="center"/>
            <w:textDirection w:val="lrTb"/>
            <w:noWrap w:val="false"/>
          </w:tcPr>
          <w:p>
            <w:pPr>
              <w:jc w:val="center"/>
              <w:widowControl/>
              <w:rPr>
                <w:rFonts w:hint="eastAsia" w:ascii="宋体" w:hAnsi="宋体" w:cs="宋体"/>
                <w:color w:val="000000"/>
                <w:szCs w:val="28"/>
              </w:rPr>
            </w:pPr>
            <w:r>
              <w:rPr>
                <w:rFonts w:hint="eastAsia" w:ascii="宋体" w:hAnsi="宋体" w:cs="宋体"/>
                <w:color w:val="000000"/>
                <w:szCs w:val="28"/>
                <w:lang w:bidi="ar"/>
              </w:rPr>
              <w:t xml:space="preserve">内容</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评分项目</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lang w:bidi="ar"/>
              </w:rPr>
              <w:t xml:space="preserve">赋分值</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lang w:bidi="ar"/>
              </w:rPr>
              <w:t xml:space="preserve">检查站点</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lang w:bidi="ar"/>
              </w:rPr>
              <w:t xml:space="preserve">备注</w:t>
            </w:r>
            <w:r/>
          </w:p>
        </w:tc>
      </w:tr>
      <w:tr>
        <w:trPr>
          <w:trHeight w:val="362"/>
        </w:trPr>
        <w:tc>
          <w:tcPr>
            <w:tcBorders>
              <w:top w:val="non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lang w:bidi="ar"/>
              </w:rPr>
              <w:t xml:space="preserve">保安考核</w:t>
            </w:r>
            <w:r/>
          </w:p>
        </w:tc>
        <w:tc>
          <w:tcPr>
            <w:tcBorders>
              <w:top w:val="single" w:color="000000" w:sz="4" w:space="0"/>
              <w:left w:val="non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1、工作时间未按照规定着装。</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每次/1分</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r>
        <w:trPr>
          <w:trHeight w:val="392"/>
        </w:trPr>
        <w:tc>
          <w:tcPr>
            <w:tcBorders>
              <w:top w:val="non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rPr>
                <w:rFonts w:hint="eastAsia" w:ascii="宋体" w:hAnsi="宋体" w:cs="宋体"/>
                <w:szCs w:val="20"/>
              </w:rPr>
            </w:pPr>
            <w:r>
              <w:rPr>
                <w:rFonts w:hint="eastAsia" w:ascii="宋体" w:hAnsi="宋体" w:cs="宋体"/>
                <w:szCs w:val="20"/>
              </w:rPr>
            </w:r>
            <w:r/>
          </w:p>
        </w:tc>
        <w:tc>
          <w:tcPr>
            <w:tcBorders>
              <w:top w:val="single" w:color="000000" w:sz="4" w:space="0"/>
              <w:left w:val="non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2、存在擅离职守，酒后上岗，做与本职无关事情。</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每次/1分</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r>
        <w:trPr>
          <w:trHeight w:val="362"/>
        </w:trPr>
        <w:tc>
          <w:tcPr>
            <w:tcBorders>
              <w:top w:val="non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rPr>
                <w:rFonts w:hint="eastAsia" w:ascii="宋体" w:hAnsi="宋体" w:cs="宋体"/>
                <w:szCs w:val="20"/>
              </w:rPr>
            </w:pPr>
            <w:r>
              <w:rPr>
                <w:rFonts w:hint="eastAsia" w:ascii="宋体" w:hAnsi="宋体" w:cs="宋体"/>
                <w:szCs w:val="20"/>
              </w:rPr>
            </w:r>
            <w:r/>
          </w:p>
        </w:tc>
        <w:tc>
          <w:tcPr>
            <w:tcBorders>
              <w:top w:val="single" w:color="000000" w:sz="4" w:space="0"/>
              <w:left w:val="non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3、未对外来车辆、人员进入管理区域履行登记手续。</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每次/0.5分</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r>
        <w:trPr>
          <w:trHeight w:val="392"/>
        </w:trPr>
        <w:tc>
          <w:tcPr>
            <w:tcBorders>
              <w:top w:val="non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rPr>
                <w:rFonts w:hint="eastAsia" w:ascii="宋体" w:hAnsi="宋体" w:cs="宋体"/>
                <w:szCs w:val="20"/>
              </w:rPr>
            </w:pPr>
            <w:r>
              <w:rPr>
                <w:rFonts w:hint="eastAsia" w:ascii="宋体" w:hAnsi="宋体" w:cs="宋体"/>
                <w:szCs w:val="20"/>
              </w:rPr>
            </w:r>
            <w:r/>
          </w:p>
        </w:tc>
        <w:tc>
          <w:tcPr>
            <w:tcBorders>
              <w:top w:val="single" w:color="000000" w:sz="4" w:space="0"/>
              <w:left w:val="non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4、未按时对管护区域进行巡逻，相关记录缺失。</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每次/1分</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r>
        <w:trPr>
          <w:trHeight w:val="679"/>
        </w:trPr>
        <w:tc>
          <w:tcPr>
            <w:tcBorders>
              <w:top w:val="non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rPr>
                <w:rFonts w:hint="eastAsia" w:ascii="宋体" w:hAnsi="宋体" w:cs="宋体"/>
                <w:szCs w:val="20"/>
              </w:rPr>
            </w:pPr>
            <w:r>
              <w:rPr>
                <w:rFonts w:hint="eastAsia" w:ascii="宋体" w:hAnsi="宋体" w:cs="宋体"/>
                <w:szCs w:val="20"/>
              </w:rPr>
            </w:r>
            <w:r/>
          </w:p>
        </w:tc>
        <w:tc>
          <w:tcPr>
            <w:tcBorders>
              <w:top w:val="single" w:color="000000" w:sz="4" w:space="0"/>
              <w:left w:val="non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5、非工作日期间，未关闭大门，未实行封闭管理，存在外来人员进入情况。</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每次/0.5分</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r>
        <w:trPr>
          <w:trHeight w:val="362"/>
        </w:trPr>
        <w:tc>
          <w:tcPr>
            <w:tcBorders>
              <w:top w:val="non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rPr>
                <w:rFonts w:hint="eastAsia" w:ascii="宋体" w:hAnsi="宋体" w:cs="宋体"/>
                <w:szCs w:val="20"/>
              </w:rPr>
            </w:pPr>
            <w:r>
              <w:rPr>
                <w:rFonts w:hint="eastAsia" w:ascii="宋体" w:hAnsi="宋体" w:cs="宋体"/>
                <w:szCs w:val="20"/>
              </w:rPr>
            </w:r>
            <w:r/>
          </w:p>
        </w:tc>
        <w:tc>
          <w:tcPr>
            <w:tcBorders>
              <w:top w:val="single" w:color="000000" w:sz="4" w:space="0"/>
              <w:left w:val="non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7、未爱护公物或因安保失职导致物品被盗或损坏。</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每次/1分</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r>
        <w:trPr>
          <w:trHeight w:val="362"/>
        </w:trPr>
        <w:tc>
          <w:tcPr>
            <w:tcBorders>
              <w:top w:val="non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rPr>
                <w:rFonts w:hint="eastAsia" w:ascii="宋体" w:hAnsi="宋体" w:cs="宋体"/>
                <w:szCs w:val="20"/>
              </w:rPr>
            </w:pPr>
            <w:r>
              <w:rPr>
                <w:rFonts w:hint="eastAsia" w:ascii="宋体" w:hAnsi="宋体" w:cs="宋体"/>
                <w:szCs w:val="20"/>
              </w:rPr>
            </w:r>
            <w:r/>
          </w:p>
        </w:tc>
        <w:tc>
          <w:tcPr>
            <w:tcBorders>
              <w:top w:val="single" w:color="000000" w:sz="4" w:space="0"/>
              <w:left w:val="non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8、未做好门卫室内务工作。发现问题未及时上报。</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每次/0.5分</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r>
        <w:trPr>
          <w:trHeight w:val="347"/>
        </w:trPr>
        <w:tc>
          <w:tcPr>
            <w:tcBorders>
              <w:top w:val="non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rPr>
                <w:rFonts w:hint="eastAsia" w:ascii="宋体" w:hAnsi="宋体" w:cs="宋体"/>
                <w:szCs w:val="20"/>
              </w:rPr>
            </w:pPr>
            <w:r>
              <w:rPr>
                <w:rFonts w:hint="eastAsia" w:ascii="宋体" w:hAnsi="宋体" w:cs="宋体"/>
                <w:szCs w:val="20"/>
              </w:rPr>
            </w:r>
            <w:r/>
          </w:p>
        </w:tc>
        <w:tc>
          <w:tcPr>
            <w:tcBorders>
              <w:top w:val="single" w:color="000000" w:sz="4" w:space="0"/>
              <w:left w:val="non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9、发现安保问题未及时处理及上报。</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每次/0.5分</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r>
        <w:trPr>
          <w:trHeight w:val="362"/>
        </w:trPr>
        <w:tc>
          <w:tcPr>
            <w:tcBorders>
              <w:top w:val="non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rPr>
                <w:rFonts w:hint="eastAsia" w:ascii="宋体" w:hAnsi="宋体" w:cs="宋体"/>
                <w:szCs w:val="20"/>
              </w:rPr>
            </w:pPr>
            <w:r>
              <w:rPr>
                <w:rFonts w:hint="eastAsia" w:ascii="宋体" w:hAnsi="宋体" w:cs="宋体"/>
                <w:szCs w:val="20"/>
              </w:rPr>
            </w:r>
            <w:r/>
          </w:p>
        </w:tc>
        <w:tc>
          <w:tcPr>
            <w:tcBorders>
              <w:top w:val="single" w:color="000000" w:sz="4" w:space="0"/>
              <w:left w:val="non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10、对新沂河管理处临时交办的工作，未及时完成。</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每次/1分</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r>
        <w:trPr>
          <w:trHeight w:val="392"/>
        </w:trPr>
        <w:tc>
          <w:tcPr>
            <w:tcBorders>
              <w:top w:val="non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lang w:bidi="ar"/>
              </w:rPr>
              <w:t xml:space="preserve">保洁考核</w:t>
            </w:r>
            <w:r/>
          </w:p>
        </w:tc>
        <w:tc>
          <w:tcPr>
            <w:tcBorders>
              <w:top w:val="single" w:color="000000" w:sz="4" w:space="0"/>
              <w:left w:val="non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1、工作时间未按照规定着装。</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每次/1分</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r>
        <w:trPr>
          <w:trHeight w:val="347"/>
        </w:trPr>
        <w:tc>
          <w:tcPr>
            <w:tcBorders>
              <w:top w:val="non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rPr>
                <w:rFonts w:hint="eastAsia" w:ascii="宋体" w:hAnsi="宋体" w:cs="宋体"/>
                <w:szCs w:val="20"/>
              </w:rPr>
            </w:pPr>
            <w:r>
              <w:rPr>
                <w:rFonts w:hint="eastAsia" w:ascii="宋体" w:hAnsi="宋体" w:cs="宋体"/>
                <w:szCs w:val="20"/>
              </w:rPr>
            </w:r>
            <w:r/>
          </w:p>
        </w:tc>
        <w:tc>
          <w:tcPr>
            <w:tcBorders>
              <w:top w:val="single" w:color="000000" w:sz="4" w:space="0"/>
              <w:left w:val="non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2、未及时对管理区域进行保洁，相关记录缺失。</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每次/1分</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r>
        <w:trPr>
          <w:trHeight w:val="679"/>
        </w:trPr>
        <w:tc>
          <w:tcPr>
            <w:tcBorders>
              <w:top w:val="non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rPr>
                <w:rFonts w:hint="eastAsia" w:ascii="宋体" w:hAnsi="宋体" w:cs="宋体"/>
                <w:szCs w:val="20"/>
              </w:rPr>
            </w:pPr>
            <w:r>
              <w:rPr>
                <w:rFonts w:hint="eastAsia" w:ascii="宋体" w:hAnsi="宋体" w:cs="宋体"/>
                <w:szCs w:val="20"/>
              </w:rPr>
            </w:r>
            <w:r/>
          </w:p>
        </w:tc>
        <w:tc>
          <w:tcPr>
            <w:tcBorders>
              <w:top w:val="single" w:color="000000" w:sz="4" w:space="0"/>
              <w:left w:val="non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3、绿化养护，包括修剪、施肥、除草、病虫害防治、扶正、补苗等问题处理不及时。</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每次/1分</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r>
        <w:trPr>
          <w:trHeight w:val="362"/>
        </w:trPr>
        <w:tc>
          <w:tcPr>
            <w:tcBorders>
              <w:top w:val="non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rPr>
                <w:rFonts w:hint="eastAsia" w:ascii="宋体" w:hAnsi="宋体" w:cs="宋体"/>
                <w:szCs w:val="20"/>
              </w:rPr>
            </w:pPr>
            <w:r>
              <w:rPr>
                <w:rFonts w:hint="eastAsia" w:ascii="宋体" w:hAnsi="宋体" w:cs="宋体"/>
                <w:szCs w:val="20"/>
              </w:rPr>
            </w:r>
            <w:r/>
          </w:p>
        </w:tc>
        <w:tc>
          <w:tcPr>
            <w:tcBorders>
              <w:top w:val="single" w:color="000000" w:sz="4" w:space="0"/>
              <w:left w:val="non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4、保洁质量不符合要求。</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每次/1分</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r>
        <w:trPr>
          <w:trHeight w:val="377"/>
        </w:trPr>
        <w:tc>
          <w:tcPr>
            <w:tcBorders>
              <w:top w:val="non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rPr>
                <w:rFonts w:hint="eastAsia" w:ascii="宋体" w:hAnsi="宋体" w:cs="宋体"/>
                <w:szCs w:val="20"/>
              </w:rPr>
            </w:pPr>
            <w:r>
              <w:rPr>
                <w:rFonts w:hint="eastAsia" w:ascii="宋体" w:hAnsi="宋体" w:cs="宋体"/>
                <w:szCs w:val="20"/>
              </w:rPr>
            </w:r>
            <w:r/>
          </w:p>
        </w:tc>
        <w:tc>
          <w:tcPr>
            <w:tcBorders>
              <w:top w:val="single" w:color="000000" w:sz="4" w:space="0"/>
              <w:left w:val="non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5、存在擅离职守，酒后上岗，做与本职无关事情</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每次/1分</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r>
        <w:trPr>
          <w:trHeight w:val="407"/>
        </w:trPr>
        <w:tc>
          <w:tcPr>
            <w:tcBorders>
              <w:top w:val="non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rPr>
                <w:rFonts w:hint="eastAsia" w:ascii="宋体" w:hAnsi="宋体" w:cs="宋体"/>
                <w:szCs w:val="20"/>
              </w:rPr>
            </w:pPr>
            <w:r>
              <w:rPr>
                <w:rFonts w:hint="eastAsia" w:ascii="宋体" w:hAnsi="宋体" w:cs="宋体"/>
                <w:szCs w:val="20"/>
              </w:rPr>
            </w:r>
            <w:r/>
          </w:p>
        </w:tc>
        <w:tc>
          <w:tcPr>
            <w:tcBorders>
              <w:top w:val="single" w:color="000000" w:sz="4" w:space="0"/>
              <w:left w:val="non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6、保洁工具、材料乱堆、乱放。</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每次/0.5分</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r>
        <w:trPr>
          <w:trHeight w:val="392"/>
        </w:trPr>
        <w:tc>
          <w:tcPr>
            <w:tcBorders>
              <w:top w:val="non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rPr>
                <w:rFonts w:hint="eastAsia" w:ascii="宋体" w:hAnsi="宋体" w:cs="宋体"/>
                <w:szCs w:val="20"/>
              </w:rPr>
            </w:pPr>
            <w:r>
              <w:rPr>
                <w:rFonts w:hint="eastAsia" w:ascii="宋体" w:hAnsi="宋体" w:cs="宋体"/>
                <w:szCs w:val="20"/>
              </w:rPr>
            </w:r>
            <w:r/>
          </w:p>
        </w:tc>
        <w:tc>
          <w:tcPr>
            <w:tcBorders>
              <w:top w:val="single" w:color="000000" w:sz="4" w:space="0"/>
              <w:left w:val="non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7、存在垃圾未及时清运。</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每次/0.5分</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r>
        <w:trPr>
          <w:trHeight w:val="377"/>
        </w:trPr>
        <w:tc>
          <w:tcPr>
            <w:tcBorders>
              <w:top w:val="non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rPr>
                <w:rFonts w:hint="eastAsia" w:ascii="宋体" w:hAnsi="宋体" w:cs="宋体"/>
                <w:szCs w:val="20"/>
              </w:rPr>
            </w:pPr>
            <w:r>
              <w:rPr>
                <w:rFonts w:hint="eastAsia" w:ascii="宋体" w:hAnsi="宋体" w:cs="宋体"/>
                <w:szCs w:val="20"/>
              </w:rPr>
            </w:r>
            <w:r/>
          </w:p>
        </w:tc>
        <w:tc>
          <w:tcPr>
            <w:tcBorders>
              <w:top w:val="single" w:color="000000" w:sz="4" w:space="0"/>
              <w:left w:val="non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8、对新沂河管理处临时交办的工作，未及时完成。</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每次/1分</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r>
        <w:trPr>
          <w:trHeight w:val="432"/>
        </w:trPr>
        <w:tc>
          <w:tcPr>
            <w:gridSpan w:val="2"/>
            <w:tcBorders>
              <w:top w:val="single" w:color="000000" w:sz="4" w:space="0"/>
              <w:left w:val="single" w:color="000000" w:sz="4" w:space="0"/>
              <w:bottom w:val="single" w:color="000000" w:sz="4" w:space="0"/>
              <w:right w:val="single" w:color="000000" w:sz="4" w:space="0"/>
            </w:tcBorders>
            <w:tcW w:w="6555" w:type="dxa"/>
            <w:vAlign w:val="center"/>
            <w:textDirection w:val="lrTb"/>
            <w:noWrap w:val="false"/>
          </w:tcPr>
          <w:p>
            <w:pPr>
              <w:jc w:val="left"/>
              <w:widowControl/>
              <w:rPr>
                <w:rFonts w:hint="eastAsia" w:ascii="宋体" w:hAnsi="宋体" w:cs="宋体"/>
                <w:color w:val="000000"/>
                <w:szCs w:val="24"/>
              </w:rPr>
            </w:pPr>
            <w:r>
              <w:rPr>
                <w:rFonts w:hint="eastAsia" w:ascii="宋体" w:hAnsi="宋体" w:cs="宋体"/>
                <w:color w:val="000000"/>
                <w:szCs w:val="24"/>
                <w:lang w:bidi="ar"/>
              </w:rPr>
              <w:t xml:space="preserve"> 考核人员：                     被考核人员：</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tcPr>
          <w:p>
            <w:pPr>
              <w:rPr>
                <w:rFonts w:hint="eastAsia" w:ascii="宋体" w:hAnsi="宋体" w:cs="宋体"/>
                <w:color w:val="000000"/>
                <w:szCs w:val="24"/>
              </w:rPr>
            </w:pPr>
            <w:r>
              <w:rPr>
                <w:rFonts w:hint="eastAsia" w:ascii="宋体" w:hAnsi="宋体" w:cs="宋体"/>
                <w:color w:val="000000"/>
                <w:szCs w:val="24"/>
              </w:rPr>
            </w:r>
            <w:r/>
          </w:p>
        </w:tc>
      </w:tr>
    </w:tbl>
    <w:p>
      <w:pPr>
        <w:ind w:firstLine="482"/>
        <w:spacing w:line="500" w:lineRule="exact"/>
        <w:rPr>
          <w:rFonts w:ascii="宋体" w:hAnsi="宋体" w:cs="宋体"/>
          <w:b/>
          <w:bCs/>
          <w:sz w:val="24"/>
          <w:szCs w:val="24"/>
        </w:rPr>
      </w:pPr>
      <w:r>
        <w:rPr>
          <w:rFonts w:ascii="宋体" w:hAnsi="宋体" w:cs="宋体"/>
          <w:b/>
          <w:bCs/>
          <w:sz w:val="24"/>
          <w:szCs w:val="24"/>
        </w:rPr>
      </w:r>
      <w:r/>
    </w:p>
    <w:p>
      <w:pPr>
        <w:pStyle w:val="1240"/>
        <w:ind w:firstLine="643"/>
        <w:spacing w:before="0" w:after="0" w:line="500" w:lineRule="exact"/>
        <w:rPr>
          <w:rFonts w:hint="eastAsia" w:ascii="宋体" w:hAnsi="宋体" w:eastAsia="宋体" w:cs="宋体"/>
          <w:bCs/>
          <w:szCs w:val="32"/>
        </w:rPr>
        <w:outlineLvl w:val="9"/>
      </w:pPr>
      <w:r>
        <w:rPr>
          <w:rFonts w:hint="eastAsia" w:ascii="宋体" w:hAnsi="宋体" w:eastAsia="宋体" w:cs="宋体"/>
          <w:bCs/>
          <w:szCs w:val="32"/>
        </w:rPr>
        <w:t xml:space="preserve">六、设备、工具、</w:t>
      </w:r>
      <w:r>
        <w:rPr>
          <w:rFonts w:hint="eastAsia" w:ascii="宋体" w:hAnsi="宋体" w:eastAsia="宋体" w:cs="宋体"/>
          <w:bCs/>
          <w:szCs w:val="32"/>
          <w:lang w:val="zh-CN"/>
        </w:rPr>
        <w:t xml:space="preserve">服装要求</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1、设备及保洁工具全新或八成新以上。</w:t>
      </w:r>
      <w:r/>
    </w:p>
    <w:p>
      <w:pPr>
        <w:ind w:firstLine="480"/>
        <w:spacing w:line="500" w:lineRule="exact"/>
        <w:rPr>
          <w:rFonts w:ascii="Times New Roman" w:hAnsi="Times New Roman" w:cs="宋体"/>
          <w:b/>
          <w:bCs/>
          <w:sz w:val="24"/>
          <w:szCs w:val="24"/>
        </w:rPr>
      </w:pPr>
      <w:r>
        <w:rPr>
          <w:rFonts w:hint="eastAsia" w:ascii="Times New Roman" w:hAnsi="Times New Roman" w:cs="宋体"/>
          <w:sz w:val="24"/>
          <w:szCs w:val="24"/>
          <w:lang w:val="zh-CN"/>
        </w:rPr>
        <w:t xml:space="preserve">2、</w:t>
      </w:r>
      <w:r>
        <w:rPr>
          <w:rFonts w:hint="eastAsia" w:ascii="Times New Roman" w:hAnsi="Times New Roman" w:cs="宋体"/>
          <w:sz w:val="24"/>
          <w:szCs w:val="24"/>
        </w:rPr>
        <w:t xml:space="preserve">包含保洁、保安服务的</w:t>
      </w:r>
      <w:r>
        <w:rPr>
          <w:rFonts w:hint="eastAsia" w:ascii="Times New Roman" w:hAnsi="Times New Roman" w:cs="宋体"/>
          <w:sz w:val="24"/>
          <w:szCs w:val="24"/>
          <w:lang w:val="zh-CN"/>
        </w:rPr>
        <w:t xml:space="preserve">装备清单，</w:t>
      </w:r>
      <w:r>
        <w:rPr>
          <w:rFonts w:hint="eastAsia" w:ascii="Times New Roman" w:hAnsi="Times New Roman" w:cs="宋体"/>
          <w:sz w:val="24"/>
          <w:szCs w:val="24"/>
        </w:rPr>
        <w:t xml:space="preserve">提供</w:t>
      </w:r>
      <w:r>
        <w:rPr>
          <w:rFonts w:hint="eastAsia" w:ascii="Times New Roman" w:hAnsi="Times New Roman" w:cs="宋体"/>
          <w:sz w:val="24"/>
          <w:szCs w:val="24"/>
          <w:lang w:val="zh-CN"/>
        </w:rPr>
        <w:t xml:space="preserve">清洁工具、清洁用品各种保洁专用警示牌等。</w:t>
      </w:r>
      <w:r>
        <w:rPr>
          <w:rFonts w:hint="eastAsia" w:ascii="Times New Roman" w:hAnsi="Times New Roman" w:cs="宋体"/>
          <w:sz w:val="24"/>
          <w:szCs w:val="24"/>
        </w:rPr>
        <w:t xml:space="preserve">包含水电维修服务的装备清单，提供</w:t>
      </w:r>
      <w:r>
        <w:rPr>
          <w:rFonts w:hint="eastAsia" w:ascii="Times New Roman" w:hAnsi="Times New Roman" w:cs="宋体"/>
          <w:sz w:val="24"/>
          <w:szCs w:val="24"/>
          <w:lang w:val="zh-CN"/>
        </w:rPr>
        <w:t xml:space="preserve">水电工用电焊机、电锤、手电钻、管钳、台钳、万用表等水电工维修工具。</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3、中标人进驻前一天，必须将以上设备进入到办公区，缺一不可。否则采购人将拒绝中标人进场，所产生的责任由中标人承担。合同生效后3个工作日内因中标人未将上述设备完全提供导致延误的，采购人将报政府采购</w:t>
      </w:r>
      <w:r>
        <w:rPr>
          <w:rFonts w:hint="eastAsia" w:ascii="Times New Roman" w:hAnsi="Times New Roman" w:cs="宋体"/>
          <w:sz w:val="24"/>
          <w:szCs w:val="24"/>
        </w:rPr>
        <w:t xml:space="preserve">监管</w:t>
      </w:r>
      <w:r>
        <w:rPr>
          <w:rFonts w:hint="eastAsia" w:ascii="Times New Roman" w:hAnsi="Times New Roman" w:cs="宋体"/>
          <w:sz w:val="24"/>
          <w:szCs w:val="24"/>
          <w:lang w:val="zh-CN"/>
        </w:rPr>
        <w:t xml:space="preserve">部门进行处理并追究其违约责任。</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4、人员服装要求</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1）保持良好的服务精神面貌，项目组成员（除项目经理外）应着装统一制服，服装整洁合体，穿戴整齐（佩戴工号牌或工作证，纽扣应全部扣好，不得敞开外衣，卷起裤脚、衣袖，领带必须结正，服装口袋不得装过大过厚物品）。</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（2）人员服装应全新，质量上乘，为纯棉制品，穿着舒适，经久耐穿，具备本单位特色，且能够展示本单位和采购人单位场所风采。投标文件中按岗位不同分别提供服装样式图片。</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（3）服装数量要求：项目组成员（除项目经理外）每人每季节2套服装（包括上衣和裤子），其中春夏季为短袖样式，秋冬季为长袖样式。服装由中标人在采购人指定时间前备案并发放至员工。</w:t>
      </w:r>
      <w:r/>
    </w:p>
    <w:p>
      <w:pPr>
        <w:pStyle w:val="1240"/>
        <w:ind w:firstLine="643"/>
        <w:spacing w:before="0" w:after="0" w:line="500" w:lineRule="exact"/>
        <w:rPr>
          <w:rFonts w:hint="eastAsia" w:ascii="宋体" w:hAnsi="宋体" w:eastAsia="宋体" w:cs="宋体"/>
          <w:bCs/>
          <w:szCs w:val="32"/>
        </w:rPr>
        <w:outlineLvl w:val="9"/>
      </w:pPr>
      <w:r>
        <w:rPr>
          <w:rFonts w:hint="eastAsia" w:ascii="宋体" w:hAnsi="宋体" w:eastAsia="宋体" w:cs="宋体"/>
          <w:bCs/>
          <w:szCs w:val="32"/>
        </w:rPr>
        <w:t xml:space="preserve">七、进退场交接方案及要求</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进退场交接方案：投标人提供针对本项目特点的进退场交接方案，制定项目交接时间进度安排、具体交接的内容、交接重点难点分析及解决方案，确保项目平稳过渡和正常运行。</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（一）进场交接要求</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1. 交接准备</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进场前勘查：新物业服务企业在进场前对办公楼进行全面勘查，了解设施设备、环境、安全等情况。</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人员培训：新物业服务企业应对员工进行岗前培训，确保熟悉办公楼的管理制度和服务标准。</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2.交接内容</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资料交接：包括但不限于建筑图纸、设备档案、合同、业主信息、历史维修记录等。</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设施设备交接：对办公楼内的电梯、空调、消防、安防等设备进行清点，确保设备完好并处于正常运行状态。</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物资交接：包括办公用品、清洁工具、安保器材等，确保数量和质量符合要求。</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财务交接：涉及物业费、押金、未结清费用等，双方应核对账目并签字确认。</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3.交接程序</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交接会议：双方应召开交接会议，明确交接内容、时间、责任等事项。</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现场交接：双方应共同对办公楼进行现场检查，确认设施设备、物资等的状况。</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签字确认：交接完成后，双方应签署交接文件，确认交接内容。</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（二）退场交接要求</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1.退场准备</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资料整理：退场物业服务企业应整理好所有相关资料，包括设备档案、维修记录、合同等。</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设施设备检查：退场前应对办公楼内的设施设备进行全面检查，确保设备正常运行。</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物资清点：退场前应对所有物资进行清点，确保无遗失或损坏。</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2.退场内容</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资料移交：退场物业服务企业应将所有相关资料移交给新物业服务企业或业主方。</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设施设备移交：退场物业服务企业应确保所有设施设备处于正常运行状态，并移交给新物业服务企业或业主方。</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物资移交：退场物业服务企业应将所有物资移交给新物业服务企业或业主方，确保数量和质量符合要求。</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财务结算：退场物业服务企业应与业主方进行财务结算，结清所有费用。</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3.退场程序</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退场会议：双方应召开退场会议，明确退场内容、时间、责任等事项。</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现场检查：双方应共同对办公楼进行现场检查，确认设施设备、物资等的状况。</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签字确认：退场完成后，双方应签署退场文件，确认退场内容。</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（三）其他要求</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1.交接时间：进退场交接应在合同规定的期限内完成，确保不影响办公楼的正常使用。</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2.交接责任：双方应明确交接过程中的责任，确保交接顺利进行。</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3.交接记录：交接过程应详细记录，双方签字确认，作为后续管理的依据。</w:t>
      </w:r>
      <w:r/>
    </w:p>
    <w:p>
      <w:pPr>
        <w:ind w:firstLine="480"/>
        <w:spacing w:line="500" w:lineRule="exact"/>
        <w:rPr>
          <w:rFonts w:ascii="宋体" w:hAnsi="宋体" w:cs="宋体"/>
          <w:b/>
          <w:bCs/>
          <w:sz w:val="24"/>
          <w:szCs w:val="24"/>
        </w:rPr>
      </w:pPr>
      <w:r>
        <w:rPr>
          <w:rFonts w:hint="eastAsia" w:ascii="Times New Roman" w:hAnsi="Times New Roman" w:cs="宋体"/>
          <w:sz w:val="24"/>
          <w:szCs w:val="24"/>
          <w:lang w:val="zh-CN"/>
        </w:rPr>
        <w:t xml:space="preserve">通过以上要求，确保行政办公楼物业服务采购项目的进退场交接顺利进行，保障物业服务的连续性和质量。</w:t>
      </w:r>
      <w:r/>
    </w:p>
    <w:p>
      <w:pPr>
        <w:pStyle w:val="1240"/>
        <w:ind w:firstLine="643"/>
        <w:spacing w:before="0" w:after="0" w:line="500" w:lineRule="exact"/>
        <w:rPr>
          <w:rFonts w:hint="eastAsia" w:ascii="宋体" w:hAnsi="宋体" w:eastAsia="宋体" w:cs="宋体"/>
          <w:bCs/>
          <w:szCs w:val="32"/>
        </w:rPr>
        <w:outlineLvl w:val="9"/>
      </w:pPr>
      <w:r>
        <w:rPr>
          <w:rFonts w:hint="eastAsia" w:ascii="宋体" w:hAnsi="宋体" w:eastAsia="宋体" w:cs="宋体"/>
          <w:bCs/>
          <w:szCs w:val="32"/>
        </w:rPr>
        <w:t xml:space="preserve">八、重大活动保障及应急预案</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（1）制订流程。配合采购人制订重大活动后勤保障工作流程，需对任务进行详细了解，并根据工作安排制定详细的后勤保障计划。</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（3）收尾工作。对现场进行检查，做好清理工作。</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5）应急预案的建立。根据办公楼隐患排查的结果和实际情况，制定专项预案，包括但不限于：火情火警紧急处理应急预案、紧急疏散应急预案、停水停电应急预案、有限空间救援应急预案、恶劣天气应对应急预案等。</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（6）应急预案的培训和演练。应急预案定期培训和演练，组织相关岗位每半年至少开展一次专项应急预案演练；留存培训及演练记录和影像资料，并对预案进行评价，确保与实际情况相结合。</w:t>
      </w:r>
      <w:r/>
    </w:p>
    <w:p>
      <w:pPr>
        <w:ind w:firstLine="480"/>
        <w:spacing w:line="500" w:lineRule="exact"/>
        <w:rPr>
          <w:rFonts w:hint="eastAsia" w:ascii="Times New Roman" w:hAnsi="Times New Roman" w:cs="宋体"/>
          <w:sz w:val="24"/>
          <w:szCs w:val="24"/>
          <w:lang w:val="zh-CN"/>
        </w:rPr>
      </w:pPr>
      <w:r>
        <w:rPr>
          <w:rFonts w:hint="eastAsia" w:ascii="Times New Roman" w:hAnsi="Times New Roman" w:cs="宋体"/>
          <w:sz w:val="24"/>
          <w:szCs w:val="24"/>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pStyle w:val="1240"/>
        <w:ind w:firstLine="643"/>
        <w:spacing w:before="0" w:after="0" w:line="500" w:lineRule="exact"/>
        <w:rPr>
          <w:rFonts w:hint="eastAsia" w:ascii="宋体" w:hAnsi="宋体" w:eastAsia="宋体" w:cs="宋体"/>
          <w:bCs/>
          <w:szCs w:val="32"/>
        </w:rPr>
        <w:outlineLvl w:val="9"/>
      </w:pPr>
      <w:r>
        <w:rPr>
          <w:rFonts w:hint="eastAsia" w:ascii="宋体" w:hAnsi="宋体" w:eastAsia="宋体" w:cs="宋体"/>
          <w:bCs/>
          <w:szCs w:val="32"/>
        </w:rPr>
        <w:t xml:space="preserve">九、报价要求</w:t>
      </w:r>
      <w:r/>
    </w:p>
    <w:p>
      <w:pPr>
        <w:pStyle w:val="1086"/>
        <w:ind w:firstLine="480"/>
        <w:spacing w:line="500" w:lineRule="exact"/>
        <w:rPr>
          <w:rFonts w:ascii="Times New Roman" w:hAnsi="Times New Roman" w:cs="宋体"/>
          <w:sz w:val="24"/>
          <w:szCs w:val="24"/>
        </w:rPr>
      </w:pPr>
      <w:r>
        <w:rPr>
          <w:rFonts w:hint="eastAsia" w:ascii="Times New Roman" w:hAnsi="Times New Roman" w:cs="宋体"/>
          <w:sz w:val="24"/>
          <w:szCs w:val="24"/>
        </w:rPr>
        <w:t xml:space="preserve">1. 投标人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p>
    <w:p>
      <w:pPr>
        <w:pStyle w:val="1162"/>
        <w:ind w:firstLine="482"/>
        <w:spacing w:line="500" w:lineRule="exact"/>
        <w:widowControl/>
        <w:rPr>
          <w:rFonts w:ascii="Times New Roman" w:hAnsi="Times New Roman" w:cs="宋体"/>
          <w:i/>
          <w:szCs w:val="24"/>
          <w:u w:val="single"/>
        </w:rPr>
      </w:pPr>
      <w:r>
        <w:rPr>
          <w:rFonts w:hint="eastAsia" w:ascii="Times New Roman" w:hAnsi="Times New Roman" w:cs="宋体"/>
          <w:b/>
          <w:szCs w:val="24"/>
        </w:rPr>
        <w:t xml:space="preserve">2．</w:t>
      </w:r>
      <w:r>
        <w:rPr>
          <w:rFonts w:hint="eastAsia" w:ascii="Times New Roman" w:hAnsi="Times New Roman" w:cs="宋体"/>
          <w:bCs/>
          <w:i/>
          <w:szCs w:val="24"/>
          <w:u w:val="single"/>
          <w:lang w:bidi="zh-CN"/>
        </w:rPr>
        <w:t xml:space="preserve">投标人应在投标文件中明确增值税纳税人身份（增值税一般纳税人或是小规模纳税人），在投标文件中提供相应纳税人身份证明截图，并根据本单位纳税人身份在投标明细报价表中按国家规定如实填报税金。否则，按无效标处理。</w:t>
      </w:r>
      <w:r/>
    </w:p>
    <w:p>
      <w:pPr>
        <w:pStyle w:val="1162"/>
        <w:ind w:firstLine="480"/>
        <w:spacing w:line="500" w:lineRule="exact"/>
        <w:widowControl/>
        <w:rPr>
          <w:rFonts w:ascii="Times New Roman" w:hAnsi="Times New Roman" w:cs="宋体"/>
          <w:bCs/>
          <w:i/>
          <w:szCs w:val="24"/>
          <w:u w:val="single"/>
          <w:lang w:bidi="zh-CN"/>
        </w:rPr>
      </w:pPr>
      <w:r>
        <w:rPr>
          <w:rFonts w:hint="eastAsia" w:ascii="Times New Roman" w:hAnsi="Times New Roman" w:cs="宋体"/>
          <w:bCs/>
          <w:i/>
          <w:color w:val="000000"/>
          <w:szCs w:val="24"/>
          <w:u w:val="single"/>
          <w:lang w:bidi="zh-CN"/>
        </w:rPr>
        <w:t xml:space="preserve">3．投标人应在投标分项报价表中为项目组所有成员（合计16人）</w:t>
      </w:r>
      <w:r>
        <w:rPr>
          <w:rFonts w:hint="eastAsia" w:ascii="Times New Roman" w:hAnsi="Times New Roman" w:cs="宋体"/>
          <w:bCs/>
          <w:i/>
          <w:szCs w:val="24"/>
          <w:u w:val="single"/>
          <w:lang w:bidi="zh-CN"/>
        </w:rPr>
        <w:t xml:space="preserve">填报、购买意外险（或雇主责任险），保险单价不得低于本单位</w:t>
      </w:r>
      <w:r>
        <w:rPr>
          <w:rFonts w:hint="eastAsia" w:ascii="Times New Roman" w:hAnsi="Times New Roman" w:cs="宋体"/>
          <w:bCs/>
          <w:i/>
          <w:color w:val="auto"/>
          <w:szCs w:val="24"/>
          <w:u w:val="single"/>
          <w:lang w:bidi="zh-CN"/>
        </w:rPr>
        <w:t xml:space="preserve">2025年</w:t>
      </w:r>
      <w:r>
        <w:rPr>
          <w:rFonts w:hint="eastAsia" w:ascii="Times New Roman" w:hAnsi="Times New Roman" w:cs="宋体"/>
          <w:bCs/>
          <w:i/>
          <w:szCs w:val="24"/>
          <w:u w:val="single"/>
          <w:lang w:bidi="zh-CN"/>
        </w:rPr>
        <w:t xml:space="preserve">1月1日以来任意一次为员工购买意外险或雇主责任险的单价（提供保险机构出具的保险凭证，凭证中应明确反映本单位员工保险内容和价格）。否则，按无效标处理。</w:t>
      </w:r>
      <w:r/>
    </w:p>
    <w:p>
      <w:pPr>
        <w:pStyle w:val="1162"/>
        <w:ind w:firstLine="480"/>
        <w:spacing w:line="500" w:lineRule="exact"/>
        <w:widowControl/>
        <w:rPr>
          <w:rFonts w:hint="eastAsia" w:ascii="宋体" w:hAnsi="宋体" w:cs="宋体"/>
          <w:bCs/>
          <w:i/>
          <w:iCs/>
          <w:szCs w:val="24"/>
          <w:u w:val="single"/>
        </w:rPr>
      </w:pPr>
      <w:r>
        <w:rPr>
          <w:rFonts w:hint="eastAsia" w:ascii="宋体" w:hAnsi="宋体" w:cs="宋体"/>
          <w:bCs/>
          <w:i/>
          <w:iCs/>
          <w:szCs w:val="24"/>
          <w:u w:val="single"/>
        </w:rPr>
        <w:t xml:space="preserve">4.投标人应在投标分项报价表中为宿迁市传染病医院项目经理1人、消防员2人、水电工1人（至少4人），全额填报、购买社保，否则，按无效标处理。</w:t>
      </w:r>
      <w:r/>
    </w:p>
    <w:p>
      <w:pPr>
        <w:pStyle w:val="1162"/>
        <w:ind w:firstLine="480"/>
        <w:spacing w:line="500" w:lineRule="exact"/>
        <w:widowControl/>
        <w:rPr>
          <w:rFonts w:ascii="Times New Roman" w:hAnsi="Times New Roman" w:cs="宋体"/>
          <w:szCs w:val="24"/>
        </w:rPr>
      </w:pPr>
      <w:r>
        <w:rPr>
          <w:rFonts w:hint="eastAsia" w:ascii="Times New Roman" w:hAnsi="Times New Roman" w:cs="宋体"/>
          <w:szCs w:val="24"/>
        </w:rPr>
        <w:t xml:space="preserve">注：下表为宿迁市社保最低缴纳标准，投标人应按不低于此标准报价。社保缴纳应符合行政主管部门相关规定。如遇政策调整，投标人自行承担。</w:t>
      </w:r>
      <w:r/>
    </w:p>
    <w:tbl>
      <w:tblPr>
        <w:tblStyle w:val="785"/>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083"/>
              <w:spacing w:line="500" w:lineRule="exact"/>
              <w:rPr>
                <w:rFonts w:hint="eastAsia" w:ascii="宋体" w:hAnsi="宋体" w:cs="宋体"/>
                <w:sz w:val="24"/>
                <w:szCs w:val="24"/>
              </w:rPr>
            </w:pPr>
            <w:r>
              <w:rPr>
                <w:rFonts w:hint="eastAsia" w:ascii="宋体" w:hAnsi="宋体" w:cs="宋体"/>
                <w:sz w:val="24"/>
                <w:szCs w:val="24"/>
              </w:rPr>
              <w:t xml:space="preserve">序号</w:t>
            </w:r>
            <w:r/>
          </w:p>
        </w:tc>
        <w:tc>
          <w:tcPr>
            <w:tcW w:w="1721" w:type="dxa"/>
            <w:vAlign w:val="center"/>
            <w:textDirection w:val="lrTb"/>
            <w:noWrap w:val="false"/>
          </w:tcPr>
          <w:p>
            <w:pPr>
              <w:pStyle w:val="1083"/>
              <w:ind w:firstLine="480"/>
              <w:jc w:val="center"/>
              <w:spacing w:line="500" w:lineRule="exact"/>
              <w:rPr>
                <w:rFonts w:hint="eastAsia" w:ascii="宋体" w:hAnsi="宋体" w:cs="宋体"/>
                <w:sz w:val="24"/>
                <w:szCs w:val="24"/>
              </w:rPr>
            </w:pPr>
            <w:r>
              <w:rPr>
                <w:rFonts w:hint="eastAsia" w:ascii="宋体" w:hAnsi="宋体" w:cs="宋体"/>
                <w:sz w:val="24"/>
                <w:szCs w:val="24"/>
              </w:rPr>
              <w:t xml:space="preserve">名称</w:t>
            </w:r>
            <w:r/>
          </w:p>
        </w:tc>
        <w:tc>
          <w:tcPr>
            <w:tcW w:w="6167" w:type="dxa"/>
            <w:vAlign w:val="center"/>
            <w:textDirection w:val="lrTb"/>
            <w:noWrap w:val="false"/>
          </w:tcPr>
          <w:p>
            <w:pPr>
              <w:pStyle w:val="1083"/>
              <w:ind w:firstLine="480"/>
              <w:jc w:val="center"/>
              <w:spacing w:line="500" w:lineRule="exact"/>
              <w:rPr>
                <w:rFonts w:hint="eastAsia" w:ascii="宋体" w:hAnsi="宋体" w:cs="宋体"/>
                <w:sz w:val="24"/>
                <w:szCs w:val="24"/>
              </w:rPr>
            </w:pPr>
            <w:r>
              <w:rPr>
                <w:rFonts w:hint="eastAsia" w:ascii="宋体" w:hAnsi="宋体" w:cs="宋体"/>
                <w:sz w:val="24"/>
                <w:szCs w:val="24"/>
              </w:rPr>
              <w:t xml:space="preserve">计算公式</w:t>
            </w:r>
            <w:r/>
          </w:p>
        </w:tc>
      </w:tr>
      <w:tr>
        <w:trPr>
          <w:jc w:val="center"/>
          <w:trHeight w:val="1345"/>
        </w:trPr>
        <w:tc>
          <w:tcPr>
            <w:tcW w:w="946" w:type="dxa"/>
            <w:vAlign w:val="center"/>
            <w:textDirection w:val="lrTb"/>
            <w:noWrap w:val="false"/>
          </w:tcPr>
          <w:p>
            <w:pPr>
              <w:pStyle w:val="1083"/>
              <w:ind w:firstLine="480"/>
              <w:spacing w:line="500" w:lineRule="exact"/>
              <w:rPr>
                <w:rFonts w:hint="eastAsia" w:ascii="宋体" w:hAnsi="宋体" w:cs="宋体"/>
                <w:sz w:val="24"/>
                <w:szCs w:val="24"/>
              </w:rPr>
            </w:pPr>
            <w:r>
              <w:rPr>
                <w:rFonts w:hint="eastAsia" w:ascii="宋体" w:hAnsi="宋体" w:cs="宋体"/>
                <w:sz w:val="24"/>
                <w:szCs w:val="24"/>
              </w:rPr>
              <w:t xml:space="preserve">1</w:t>
            </w:r>
            <w:r/>
          </w:p>
        </w:tc>
        <w:tc>
          <w:tcPr>
            <w:tcW w:w="1721" w:type="dxa"/>
            <w:vAlign w:val="center"/>
            <w:textDirection w:val="lrTb"/>
            <w:noWrap w:val="false"/>
          </w:tcPr>
          <w:p>
            <w:pPr>
              <w:pStyle w:val="1083"/>
              <w:spacing w:line="500" w:lineRule="exact"/>
              <w:rPr>
                <w:rFonts w:hint="eastAsia" w:ascii="宋体" w:hAnsi="宋体" w:cs="宋体"/>
                <w:sz w:val="24"/>
                <w:szCs w:val="24"/>
              </w:rPr>
            </w:pPr>
            <w:r>
              <w:rPr>
                <w:rFonts w:hint="eastAsia" w:ascii="宋体" w:hAnsi="宋体" w:cs="宋体"/>
                <w:sz w:val="24"/>
                <w:szCs w:val="24"/>
              </w:rPr>
              <w:t xml:space="preserve">单位社保缴纳标准及费用</w:t>
            </w:r>
            <w:r/>
          </w:p>
        </w:tc>
        <w:tc>
          <w:tcPr>
            <w:tcW w:w="6167" w:type="dxa"/>
            <w:vAlign w:val="center"/>
            <w:textDirection w:val="lrTb"/>
            <w:noWrap w:val="false"/>
          </w:tcPr>
          <w:p>
            <w:pPr>
              <w:pStyle w:val="1083"/>
              <w:ind w:firstLine="480"/>
              <w:spacing w:line="500" w:lineRule="exact"/>
              <w:rPr>
                <w:rFonts w:hint="eastAsia" w:ascii="宋体" w:hAnsi="宋体" w:cs="宋体"/>
                <w:sz w:val="24"/>
                <w:szCs w:val="24"/>
              </w:rPr>
            </w:pPr>
            <w:r>
              <w:rPr>
                <w:rFonts w:hint="eastAsia" w:ascii="宋体" w:hAnsi="宋体" w:cs="宋体"/>
                <w:sz w:val="24"/>
                <w:szCs w:val="24"/>
              </w:rPr>
              <w:t xml:space="preserve">缴费基数（≥4952）*【16%（养老保险）＋0.5%（失业险）＋7%（医疗保险）＋1%（生育险）+0.4%（工伤险）】+5</w:t>
            </w:r>
            <w:r/>
          </w:p>
        </w:tc>
      </w:tr>
    </w:tbl>
    <w:p>
      <w:pPr>
        <w:pStyle w:val="1162"/>
        <w:ind w:firstLine="482"/>
        <w:spacing w:line="500" w:lineRule="exact"/>
        <w:widowControl/>
        <w:rPr>
          <w:rFonts w:ascii="Times New Roman" w:hAnsi="Times New Roman" w:cs="宋体"/>
          <w:szCs w:val="24"/>
        </w:rPr>
      </w:pPr>
      <w:r>
        <w:rPr>
          <w:rFonts w:hint="eastAsia" w:ascii="宋体" w:hAnsi="宋体" w:cs="宋体"/>
          <w:b/>
          <w:iCs/>
          <w:szCs w:val="24"/>
          <w:lang w:bidi="zh-CN"/>
        </w:rPr>
        <w:t xml:space="preserve">注:社保金额≥1238.048(4952*24.9%+5)，因报价最多保留至小数点后两位，故该项最小有效数值为1238.05元。</w:t>
      </w:r>
      <w:r/>
    </w:p>
    <w:p>
      <w:pPr>
        <w:pStyle w:val="877"/>
        <w:ind w:firstLine="480"/>
        <w:jc w:val="both"/>
        <w:spacing w:line="500" w:lineRule="exact"/>
        <w:rPr>
          <w:rFonts w:hint="eastAsia" w:ascii="Times New Roman" w:hAnsi="Times New Roman" w:eastAsia="宋体"/>
          <w:sz w:val="24"/>
        </w:rPr>
      </w:pPr>
      <w:r>
        <w:rPr>
          <w:rStyle w:val="1163"/>
          <w:rFonts w:hint="eastAsia" w:eastAsia="宋体"/>
          <w:sz w:val="24"/>
          <w:szCs w:val="24"/>
        </w:rPr>
        <w:t xml:space="preserve">5．投标人要综合考虑宿迁劳动市场因素，激发员工积极性，不同岗位合理分配工资。投标人结合对采购需求与预算的理解以及物业服务市场价格，根据不同岗位员工工资、加班补助、劳保福利、社保、意外险、耗材等费用，根据明细报价表中所列的各项费用，提供服务费用分配方案和费用测算分析说明。</w:t>
      </w:r>
      <w:r/>
    </w:p>
    <w:p>
      <w:pPr>
        <w:pStyle w:val="1162"/>
        <w:ind w:firstLine="482"/>
        <w:spacing w:line="500" w:lineRule="exact"/>
        <w:widowControl/>
        <w:rPr>
          <w:rFonts w:hint="eastAsia" w:ascii="Times New Roman" w:hAnsi="Times New Roman" w:cs="宋体"/>
          <w:b/>
          <w:i/>
          <w:szCs w:val="24"/>
          <w:u w:val="single"/>
          <w:lang w:bidi="zh-CN"/>
        </w:rPr>
      </w:pPr>
      <w:r>
        <w:rPr>
          <w:rFonts w:hint="eastAsia" w:ascii="Times New Roman" w:hAnsi="Times New Roman" w:cs="宋体"/>
          <w:b/>
          <w:i/>
          <w:szCs w:val="24"/>
          <w:u w:val="single"/>
          <w:lang w:bidi="zh-CN"/>
        </w:rPr>
        <w:t xml:space="preserve">人员工资不得低于宿迁市目前最低工资标准，即按《关于调整全市最低工资标准的通知》（宿人社发〔2025〕29号）政策执行，否则按无效标处理。</w:t>
      </w:r>
      <w:r/>
    </w:p>
    <w:p>
      <w:pPr>
        <w:pStyle w:val="1162"/>
        <w:ind w:firstLine="480"/>
        <w:spacing w:line="500" w:lineRule="exact"/>
        <w:widowControl/>
        <w:rPr>
          <w:rStyle w:val="1163"/>
          <w:rFonts w:cs="宋体"/>
          <w:sz w:val="24"/>
          <w:szCs w:val="24"/>
        </w:rPr>
      </w:pPr>
      <w:r>
        <w:rPr>
          <w:rFonts w:hint="eastAsia" w:ascii="Times New Roman" w:hAnsi="Times New Roman" w:cs="宋体"/>
          <w:szCs w:val="24"/>
        </w:rPr>
        <w:t xml:space="preserve">6. </w:t>
      </w:r>
      <w:r>
        <w:rPr>
          <w:rStyle w:val="1163"/>
          <w:rFonts w:hint="eastAsia" w:cs="宋体"/>
          <w:sz w:val="24"/>
          <w:szCs w:val="24"/>
        </w:rPr>
        <w:t xml:space="preserve">项目履约过程中，项目所需工具、设备、物耗等均由中标人提供，投标文件中应提供能满足服务要求所配置的工具、设备明细表，并在物耗明细表中列明，如在服务期内，中标人提供工具、设备、物耗等质量不符合采购人要求的，应按采购人要求更换。</w:t>
      </w:r>
      <w:r/>
    </w:p>
    <w:p>
      <w:pPr>
        <w:pStyle w:val="1083"/>
        <w:ind w:firstLine="480"/>
        <w:spacing w:line="500" w:lineRule="exact"/>
        <w:widowControl/>
        <w:rPr>
          <w:rFonts w:ascii="Times New Roman" w:hAnsi="Times New Roman" w:cs="宋体"/>
          <w:sz w:val="24"/>
          <w:szCs w:val="24"/>
          <w:lang w:bidi="zh-CN"/>
        </w:rPr>
      </w:pPr>
      <w:r>
        <w:rPr>
          <w:rFonts w:hint="eastAsia" w:ascii="Times New Roman" w:hAnsi="Times New Roman" w:cs="宋体"/>
          <w:sz w:val="24"/>
          <w:szCs w:val="24"/>
          <w:lang w:bidi="zh-CN"/>
        </w:rPr>
        <w:t xml:space="preserve">7．项目履约过程中，中标人应根据工作需要，安排好双休日及节假日的值班人员，编制各岗位排班表报采购人备案后执行，所涉及的费用包含在此次报价中。</w:t>
      </w:r>
      <w:r/>
    </w:p>
    <w:p>
      <w:pPr>
        <w:pStyle w:val="1083"/>
        <w:ind w:firstLine="480"/>
        <w:spacing w:line="500" w:lineRule="exact"/>
        <w:widowControl/>
        <w:rPr>
          <w:rFonts w:ascii="Times New Roman" w:hAnsi="Times New Roman" w:cs="宋体"/>
          <w:sz w:val="24"/>
          <w:szCs w:val="24"/>
          <w:lang w:bidi="zh-CN"/>
        </w:rPr>
      </w:pPr>
      <w:r>
        <w:rPr>
          <w:rFonts w:hint="eastAsia" w:ascii="Times New Roman" w:hAnsi="Times New Roman" w:cs="宋体"/>
          <w:sz w:val="24"/>
          <w:szCs w:val="24"/>
          <w:lang w:bidi="zh-CN"/>
        </w:rPr>
        <w:t xml:space="preserve">8. 中标单位每月15日前需将人员工资支付、社保缴纳情况报采购人备案。</w:t>
      </w:r>
      <w:r/>
    </w:p>
    <w:p>
      <w:pPr>
        <w:pStyle w:val="1083"/>
        <w:ind w:firstLine="480"/>
        <w:spacing w:line="500" w:lineRule="exact"/>
        <w:widowControl/>
        <w:rPr>
          <w:rFonts w:ascii="Times New Roman" w:hAnsi="Times New Roman" w:cs="宋体"/>
          <w:sz w:val="24"/>
          <w:szCs w:val="24"/>
          <w:lang w:bidi="zh-CN"/>
        </w:rPr>
      </w:pPr>
      <w:r>
        <w:rPr>
          <w:rFonts w:hint="eastAsia" w:ascii="Times New Roman" w:hAnsi="Times New Roman" w:cs="宋体"/>
          <w:sz w:val="24"/>
          <w:szCs w:val="24"/>
          <w:lang w:bidi="zh-CN"/>
        </w:rPr>
        <w:t xml:space="preserve">9. 其他物业管理服务质量要求按江苏省、宿迁市有关标准及采购需求执行，涉及费用均包含在本次投标报价中。</w:t>
      </w:r>
      <w:r/>
    </w:p>
    <w:p>
      <w:pPr>
        <w:pStyle w:val="1240"/>
        <w:ind w:firstLine="643"/>
        <w:spacing w:before="0" w:after="0" w:line="500" w:lineRule="exact"/>
        <w:rPr>
          <w:rFonts w:hint="eastAsia" w:ascii="宋体" w:hAnsi="宋体" w:eastAsia="宋体" w:cs="宋体"/>
          <w:bCs/>
          <w:szCs w:val="32"/>
        </w:rPr>
        <w:outlineLvl w:val="9"/>
      </w:pPr>
      <w:r>
        <w:rPr>
          <w:rFonts w:hint="eastAsia" w:ascii="宋体" w:hAnsi="宋体" w:eastAsia="宋体" w:cs="宋体"/>
          <w:bCs/>
          <w:szCs w:val="32"/>
        </w:rPr>
        <w:t xml:space="preserve">十、合同期限</w:t>
      </w:r>
      <w:r/>
    </w:p>
    <w:p>
      <w:pPr>
        <w:ind w:firstLine="480"/>
        <w:spacing w:line="500" w:lineRule="exact"/>
        <w:rPr>
          <w:rFonts w:hint="eastAsia" w:ascii="宋体" w:hAnsi="宋体" w:cs="宋体"/>
          <w:sz w:val="24"/>
          <w:szCs w:val="24"/>
          <w:lang w:bidi="zh-CN"/>
        </w:rPr>
      </w:pPr>
      <w:r>
        <w:rPr>
          <w:rFonts w:hint="eastAsia" w:ascii="宋体" w:hAnsi="宋体" w:cs="宋体"/>
          <w:sz w:val="24"/>
          <w:szCs w:val="24"/>
          <w:lang w:bidi="zh-CN"/>
        </w:rPr>
        <w:t xml:space="preserve">1年，自合同生效之日起计算。</w:t>
      </w:r>
      <w:r/>
    </w:p>
    <w:p>
      <w:pPr>
        <w:pStyle w:val="1240"/>
        <w:ind w:firstLine="643"/>
        <w:spacing w:before="0" w:after="0" w:line="500" w:lineRule="exact"/>
        <w:rPr>
          <w:rFonts w:hint="eastAsia" w:ascii="宋体" w:hAnsi="宋体" w:eastAsia="宋体" w:cs="宋体"/>
          <w:bCs/>
          <w:szCs w:val="32"/>
        </w:rPr>
        <w:outlineLvl w:val="9"/>
      </w:pPr>
      <w:r>
        <w:rPr>
          <w:rFonts w:hint="eastAsia" w:ascii="宋体" w:hAnsi="宋体" w:eastAsia="宋体" w:cs="宋体"/>
          <w:bCs/>
          <w:szCs w:val="32"/>
        </w:rPr>
        <w:t xml:space="preserve">十一、付款方式</w:t>
      </w:r>
      <w:r/>
    </w:p>
    <w:p>
      <w:pPr>
        <w:ind w:firstLine="480"/>
        <w:spacing w:line="50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签订合同且收到供应商发票后10个工作日内，支付10%的合同款作为预付款，剩余服务费用由采购人按季度及日常考核结果进行支付。中标人按季度根据实际发生的所有后勤物业管理（考核后的）费用开具合法票据，采购人在接到中标人票据的10个工作日内将上一季度实际发生的服务费（考核后的）支付给中标人。</w:t>
      </w:r>
      <w:r/>
    </w:p>
    <w:p>
      <w:pPr>
        <w:ind w:firstLine="482"/>
        <w:spacing w:line="500" w:lineRule="exact"/>
        <w:rPr>
          <w:rFonts w:hint="eastAsia" w:ascii="Times New Roman" w:hAnsi="Times New Roman"/>
          <w:b/>
          <w:bCs/>
          <w:color w:val="000000"/>
          <w:sz w:val="24"/>
          <w:szCs w:val="24"/>
        </w:rPr>
      </w:pPr>
      <w:r>
        <w:rPr>
          <w:rFonts w:hint="eastAsia" w:ascii="Times New Roman" w:hAnsi="Times New Roman"/>
          <w:b/>
          <w:bCs/>
          <w:color w:val="000000"/>
          <w:sz w:val="24"/>
          <w:szCs w:val="24"/>
        </w:rPr>
        <w:t xml:space="preserve">注：在签订合同时，供应商明确表示无需预付款或者主动要求降低预付款比例的，采购人可不适用前述规定。</w:t>
      </w:r>
      <w:r/>
    </w:p>
    <w:p>
      <w:pPr>
        <w:pStyle w:val="1240"/>
        <w:ind w:firstLine="643"/>
        <w:spacing w:before="0" w:after="0" w:line="500" w:lineRule="exact"/>
        <w:rPr>
          <w:rFonts w:hint="eastAsia" w:ascii="宋体" w:hAnsi="宋体" w:eastAsia="宋体" w:cs="宋体"/>
          <w:bCs/>
          <w:szCs w:val="32"/>
        </w:rPr>
        <w:outlineLvl w:val="9"/>
      </w:pPr>
      <w:r>
        <w:rPr>
          <w:rFonts w:hint="eastAsia" w:ascii="宋体" w:hAnsi="宋体" w:eastAsia="宋体" w:cs="宋体"/>
          <w:bCs/>
          <w:szCs w:val="32"/>
        </w:rPr>
        <w:t xml:space="preserve">十二、款项支付相关要求</w:t>
      </w:r>
      <w:r/>
    </w:p>
    <w:p>
      <w:pPr>
        <w:pStyle w:val="1086"/>
        <w:ind w:firstLine="480"/>
        <w:spacing w:line="500" w:lineRule="exact"/>
        <w:rPr>
          <w:rFonts w:hint="eastAsia" w:ascii="宋体" w:hAnsi="宋体" w:cs="宋体"/>
          <w:sz w:val="24"/>
          <w:szCs w:val="24"/>
        </w:rPr>
      </w:pPr>
      <w:r>
        <w:rPr>
          <w:rFonts w:hint="eastAsia" w:ascii="宋体" w:hAnsi="宋体" w:cs="宋体"/>
          <w:sz w:val="24"/>
          <w:szCs w:val="24"/>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pStyle w:val="1086"/>
        <w:ind w:firstLine="480"/>
        <w:spacing w:line="500" w:lineRule="exact"/>
        <w:rPr>
          <w:rFonts w:hint="eastAsia" w:ascii="宋体" w:hAnsi="宋体" w:cs="宋体"/>
          <w:sz w:val="24"/>
          <w:szCs w:val="24"/>
        </w:rPr>
      </w:pPr>
      <w:r>
        <w:rPr>
          <w:rFonts w:hint="eastAsia" w:ascii="宋体" w:hAnsi="宋体" w:cs="宋体"/>
          <w:sz w:val="24"/>
          <w:szCs w:val="24"/>
        </w:rPr>
        <w:t xml:space="preserve">2.每次付</w:t>
      </w:r>
      <w:r>
        <w:rPr>
          <w:rFonts w:hint="eastAsia" w:ascii="宋体" w:hAnsi="宋体" w:cs="宋体"/>
          <w:sz w:val="24"/>
          <w:szCs w:val="24"/>
        </w:rPr>
        <w:t xml:space="preserve">款前依据考核标准，扣除应扣款项后支付应付费用，考核分数在95（含）分以上的，支付当期全部费用；考核分数在90（含）-94分的，支付当期应支付金额的98%；考核分数在85（含）-89分的，支付当期应支付金额的96%；考核分数在80（含）-84分的，支付当期应支付金额的94%；考核分数在70（含）-79分的，支付当期应支付金额的90%；考核分数在60（含）-69分的，支付当期应支付金额的80%；考核分数在60以下分的，支付当期应支付的金额的60%。连续出现3次考评打分60分以下，将报经财政监管部门进行解除合同。</w:t>
      </w:r>
      <w:r/>
    </w:p>
    <w:p>
      <w:pPr>
        <w:pStyle w:val="1086"/>
        <w:ind w:firstLine="480"/>
        <w:spacing w:line="500" w:lineRule="exact"/>
        <w:rPr>
          <w:rFonts w:hint="eastAsia" w:ascii="宋体" w:hAnsi="宋体" w:cs="宋体"/>
          <w:sz w:val="24"/>
          <w:szCs w:val="24"/>
        </w:rPr>
      </w:pPr>
      <w:r>
        <w:rPr>
          <w:rFonts w:hint="eastAsia" w:ascii="宋体" w:hAnsi="宋体" w:cs="宋体"/>
          <w:sz w:val="24"/>
          <w:szCs w:val="24"/>
        </w:rPr>
        <w:t xml:space="preserve">3．中标人向</w:t>
      </w:r>
      <w:r>
        <w:rPr>
          <w:rFonts w:hint="eastAsia" w:ascii="宋体" w:hAnsi="宋体" w:cs="宋体"/>
          <w:sz w:val="24"/>
          <w:szCs w:val="24"/>
        </w:rPr>
        <w:t xml:space="preserve">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pStyle w:val="1086"/>
        <w:ind w:firstLine="480"/>
        <w:spacing w:line="500" w:lineRule="exact"/>
        <w:rPr>
          <w:rFonts w:hint="eastAsia" w:ascii="宋体" w:hAnsi="宋体" w:cs="宋体"/>
          <w:sz w:val="24"/>
          <w:szCs w:val="24"/>
        </w:rPr>
      </w:pPr>
      <w:r>
        <w:rPr>
          <w:rFonts w:hint="eastAsia" w:ascii="宋体" w:hAnsi="宋体" w:cs="宋体"/>
          <w:sz w:val="24"/>
          <w:szCs w:val="24"/>
        </w:rPr>
        <w:t xml:space="preserve">4．中标人须按以不低于投标报价确定标准给员工发放工资、给符合缴纳社保成员缴纳全额社保、给全员全额购买意外险（或雇主责任险），相关标准在采购合同中予以明确，如中标人违反合同约定，采购人将按违约处理不予支付当期合同款，并有权收取违约金5万元</w:t>
      </w:r>
      <w:bookmarkStart w:id="133" w:name="OLE_LINK69"/>
      <w:r>
        <w:rPr>
          <w:rFonts w:hint="eastAsia" w:ascii="宋体" w:hAnsi="宋体" w:cs="宋体"/>
          <w:sz w:val="24"/>
          <w:szCs w:val="24"/>
        </w:rPr>
        <w:t xml:space="preserve">并追究违约责任，</w:t>
      </w:r>
      <w:bookmarkEnd w:id="133"/>
      <w:r>
        <w:rPr>
          <w:rFonts w:hint="eastAsia" w:ascii="宋体" w:hAnsi="宋体" w:cs="宋体"/>
          <w:sz w:val="24"/>
          <w:szCs w:val="24"/>
        </w:rPr>
        <w:t xml:space="preserve">并按擅自变更合同违法行为报监管部门处罚。另如有违反《劳动法》等相关规定的，报相关主管部门处理。</w:t>
      </w:r>
      <w:r/>
    </w:p>
    <w:p>
      <w:pPr>
        <w:pStyle w:val="1086"/>
        <w:ind w:firstLine="480"/>
        <w:spacing w:line="500" w:lineRule="exact"/>
        <w:rPr>
          <w:rFonts w:hint="eastAsia" w:ascii="宋体" w:hAnsi="宋体" w:cs="宋体"/>
          <w:sz w:val="24"/>
          <w:szCs w:val="24"/>
        </w:rPr>
      </w:pPr>
      <w:r>
        <w:rPr>
          <w:rFonts w:hint="eastAsia" w:ascii="宋体" w:hAnsi="宋体" w:cs="宋体"/>
          <w:sz w:val="24"/>
          <w:szCs w:val="24"/>
        </w:rPr>
        <w:t xml:space="preserve">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r/>
    </w:p>
    <w:p>
      <w:pPr>
        <w:jc w:val="center"/>
        <w:keepLines/>
        <w:keepNext/>
        <w:pageBreakBefore/>
        <w:rPr>
          <w:b/>
          <w:sz w:val="44"/>
          <w:szCs w:val="44"/>
        </w:rPr>
        <w:outlineLvl w:val="0"/>
      </w:pPr>
      <w:r/>
      <w:bookmarkStart w:id="134" w:name="_Toc7023"/>
      <w:r>
        <w:rPr>
          <w:rFonts w:hint="eastAsia"/>
          <w:b/>
          <w:sz w:val="44"/>
          <w:szCs w:val="44"/>
        </w:rPr>
        <w:t xml:space="preserve">第五章  合同文本</w:t>
      </w:r>
      <w:bookmarkEnd w:id="134"/>
      <w:r/>
      <w:r/>
    </w:p>
    <w:p>
      <w:pPr>
        <w:spacing w:line="400" w:lineRule="exact"/>
        <w:rPr>
          <w:rFonts w:hint="eastAsia" w:ascii="宋体" w:hAnsi="宋体"/>
          <w:bCs/>
          <w:sz w:val="24"/>
          <w:szCs w:val="24"/>
        </w:rPr>
      </w:pPr>
      <w:r>
        <w:rPr>
          <w:rFonts w:hint="eastAsia" w:ascii="宋体" w:hAnsi="宋体"/>
          <w:bCs/>
          <w:sz w:val="24"/>
          <w:szCs w:val="24"/>
        </w:rPr>
      </w:r>
      <w:r/>
    </w:p>
    <w:p>
      <w:pPr>
        <w:pStyle w:val="1146"/>
        <w:jc w:val="center"/>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t xml:space="preserve">物业管理服务合同（草案）</w:t>
      </w:r>
      <w:r/>
    </w:p>
    <w:p>
      <w:pPr>
        <w:pStyle w:val="1146"/>
        <w:jc w:val="center"/>
        <w:spacing w:line="259" w:lineRule="auto"/>
        <w:rPr>
          <w:rFonts w:hint="eastAsia" w:ascii="仿宋" w:hAnsi="仿宋" w:eastAsia="仿宋" w:cs="仿宋"/>
          <w:b/>
          <w:bCs/>
          <w:spacing w:val="5"/>
          <w:sz w:val="28"/>
          <w:szCs w:val="28"/>
        </w:rPr>
      </w:pPr>
      <w:r>
        <w:rPr>
          <w:rFonts w:hint="eastAsia" w:ascii="仿宋" w:hAnsi="仿宋" w:eastAsia="仿宋" w:cs="仿宋"/>
          <w:b/>
          <w:bCs/>
          <w:spacing w:val="5"/>
          <w:sz w:val="28"/>
          <w:szCs w:val="28"/>
        </w:rPr>
        <w:t xml:space="preserve">（中标后各采购人根据需求自行拟定最终合同并在苏采云签署电子合同公告）</w:t>
      </w:r>
      <w:r/>
    </w:p>
    <w:p>
      <w:pPr>
        <w:pStyle w:val="1169"/>
        <w:ind w:firstLine="480"/>
        <w:jc w:val="left"/>
        <w:spacing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合同编号：</w:t>
      </w:r>
      <w:r/>
    </w:p>
    <w:p>
      <w:pPr>
        <w:pStyle w:val="1169"/>
        <w:ind w:firstLine="480"/>
        <w:jc w:val="left"/>
        <w:spacing w:line="560" w:lineRule="exact"/>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甲方：（以下简称甲方）</w:t>
      </w:r>
      <w:r/>
    </w:p>
    <w:p>
      <w:pPr>
        <w:pStyle w:val="1169"/>
        <w:ind w:firstLine="480"/>
        <w:jc w:val="left"/>
        <w:spacing w:line="560" w:lineRule="exact"/>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乙方：（以下简称乙方）</w:t>
      </w:r>
      <w:r/>
    </w:p>
    <w:p>
      <w:pPr>
        <w:spacing w:line="500" w:lineRule="exact"/>
        <w:rPr>
          <w:rFonts w:hint="eastAsia" w:ascii="宋体" w:hAnsi="宋体" w:cs="宋体"/>
          <w:sz w:val="24"/>
          <w:szCs w:val="24"/>
        </w:rPr>
      </w:pPr>
      <w:r>
        <w:rPr>
          <w:rFonts w:hint="eastAsia" w:ascii="宋体" w:hAnsi="宋体" w:cs="宋体"/>
          <w:sz w:val="24"/>
          <w:szCs w:val="24"/>
        </w:rPr>
        <w:t xml:space="preserve">依照《中华人民共和国民法典》及其他有关法律、行政法规，遵循平等、自愿、公平和诚实信用的原则，双方就</w:t>
      </w:r>
      <w:r>
        <w:rPr>
          <w:rFonts w:hint="eastAsia" w:ascii="宋体" w:hAnsi="宋体" w:cs="宋体"/>
          <w:sz w:val="24"/>
          <w:szCs w:val="24"/>
          <w:u w:val="single"/>
        </w:rPr>
        <w:t xml:space="preserve">               </w:t>
      </w:r>
      <w:r>
        <w:rPr>
          <w:rFonts w:hint="eastAsia" w:ascii="宋体" w:hAnsi="宋体" w:cs="宋体"/>
          <w:sz w:val="24"/>
          <w:szCs w:val="24"/>
        </w:rPr>
        <w:t xml:space="preserve">号</w:t>
      </w:r>
      <w:r>
        <w:rPr>
          <w:rFonts w:hint="eastAsia" w:ascii="宋体" w:hAnsi="宋体" w:cs="宋体"/>
          <w:sz w:val="24"/>
          <w:szCs w:val="24"/>
          <w:u w:val="single"/>
        </w:rPr>
        <w:t xml:space="preserve">                     </w:t>
      </w:r>
      <w:r>
        <w:rPr>
          <w:rFonts w:hint="eastAsia" w:ascii="宋体" w:hAnsi="宋体" w:cs="宋体"/>
          <w:sz w:val="24"/>
          <w:szCs w:val="24"/>
        </w:rPr>
        <w:t xml:space="preserve">相关事项协商一致，达成如下合同条款。</w:t>
      </w:r>
      <w:r/>
    </w:p>
    <w:p>
      <w:pPr>
        <w:ind w:firstLine="482"/>
        <w:spacing w:line="600" w:lineRule="exact"/>
        <w:rPr>
          <w:rFonts w:hint="eastAsia" w:ascii="宋体" w:hAnsi="宋体" w:cs="宋体"/>
          <w:b/>
          <w:bCs/>
          <w:sz w:val="24"/>
          <w:szCs w:val="24"/>
        </w:rPr>
      </w:pPr>
      <w:r>
        <w:rPr>
          <w:rFonts w:hint="eastAsia" w:ascii="宋体" w:hAnsi="宋体" w:cs="宋体"/>
          <w:b/>
          <w:bCs/>
          <w:sz w:val="24"/>
          <w:szCs w:val="24"/>
        </w:rPr>
        <w:t xml:space="preserve">一、合同内容：</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提供服务及管理时间自</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日至</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日。在合同有效期内一方不得擅自变更或中止此项合同，如未经双方同意，擅自变更或中止此项的一方要负违约责任。此项合同需终止或续签，应在合同期内提前两个月通知对方。</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1、下列文件为本合同不可分割部分：</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① 中标通知书；</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② 乙方的投标文件；</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③ 乙方在投标过程中所作的其它承诺、声明、书面澄清等；</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④ 采购文件及其附件；</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⑤ 合同附件。</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以上与本合同具有同等法律效力</w:t>
      </w:r>
      <w:r/>
    </w:p>
    <w:p>
      <w:pPr>
        <w:pStyle w:val="1246"/>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2、乙方聘用的人员。</w:t>
      </w:r>
      <w:r/>
    </w:p>
    <w:p>
      <w:pPr>
        <w:pStyle w:val="1246"/>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3、履行方式：乙方按甲方采购要求及合同约定提供服务，服务过程中的各种风险由乙方承担；实施方式由乙方视情况自定，费用自负。</w:t>
      </w:r>
      <w:r/>
    </w:p>
    <w:p>
      <w:pPr>
        <w:pStyle w:val="1246"/>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二、甲、乙双方的责任</w:t>
      </w:r>
      <w:r/>
    </w:p>
    <w:p>
      <w:pPr>
        <w:pStyle w:val="1246"/>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（一）甲方的权利和义务：</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2、甲方有权审核乙方的物业服务费用。甲方必须严格按照双方签订的合同约定审核乙方提交的结算单据并支付相关物业服务费用，不得拖欠。</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4、甲方应为乙方提供机械设备、材料堆放的场地及车辆运输、停放的便利。</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甲方逾期支付资金，承担相关违约责任。</w:t>
      </w:r>
      <w:r/>
    </w:p>
    <w:p>
      <w:pPr>
        <w:pStyle w:val="1246"/>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（二）乙方的权力和义务：</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1、在本合同期内，乙方应做好现场员工的管理工作，如发生问题，乙方应当积极妥善解决，由此形成的一切后果均由乙方承担。</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2、乙方保洁人员需完成必要的培训后方可上岗，其培训内容包括但不仅限于下列内容：</w:t>
      </w:r>
      <w:r/>
    </w:p>
    <w:p>
      <w:pPr>
        <w:pStyle w:val="1148"/>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（1）员工礼仪礼貌培训。</w:t>
      </w:r>
      <w:r/>
    </w:p>
    <w:p>
      <w:pPr>
        <w:pStyle w:val="1148"/>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（2）岗位工作技能培训。</w:t>
      </w:r>
      <w:r/>
    </w:p>
    <w:p>
      <w:pPr>
        <w:pStyle w:val="1148"/>
        <w:ind w:left="560" w:firstLine="0"/>
        <w:jc w:val="left"/>
        <w:spacing w:before="94" w:after="94" w:line="560" w:lineRule="exact"/>
        <w:widowControl/>
        <w:tabs>
          <w:tab w:val="left" w:pos="1671" w:leader="none"/>
        </w:tabs>
        <w:rPr>
          <w:rFonts w:hint="eastAsia" w:ascii="宋体" w:hAnsi="宋体" w:cs="宋体"/>
          <w:bCs/>
          <w:sz w:val="24"/>
          <w:szCs w:val="24"/>
        </w:rPr>
      </w:pPr>
      <w:r>
        <w:rPr>
          <w:rFonts w:hint="eastAsia" w:ascii="宋体" w:hAnsi="宋体" w:cs="宋体"/>
          <w:bCs/>
          <w:sz w:val="24"/>
          <w:szCs w:val="24"/>
        </w:rPr>
        <w:t xml:space="preserve">（3）保洁服务过程中常见化学药剂的使用及注意事项。</w:t>
      </w:r>
      <w:r/>
    </w:p>
    <w:p>
      <w:pPr>
        <w:pStyle w:val="1148"/>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（4）员工工服更衣柜使用规定。</w:t>
      </w:r>
      <w:r/>
    </w:p>
    <w:p>
      <w:pPr>
        <w:pStyle w:val="1148"/>
        <w:ind w:left="560" w:firstLine="0"/>
        <w:jc w:val="left"/>
        <w:spacing w:before="94" w:after="94" w:line="560" w:lineRule="exact"/>
        <w:widowControl/>
        <w:tabs>
          <w:tab w:val="left" w:pos="1671" w:leader="none"/>
        </w:tabs>
        <w:rPr>
          <w:rFonts w:hint="eastAsia" w:ascii="宋体" w:hAnsi="宋体" w:cs="宋体"/>
          <w:bCs/>
          <w:sz w:val="24"/>
          <w:szCs w:val="24"/>
        </w:rPr>
      </w:pPr>
      <w:r>
        <w:rPr>
          <w:rFonts w:hint="eastAsia" w:ascii="宋体" w:hAnsi="宋体" w:cs="宋体"/>
          <w:bCs/>
          <w:sz w:val="24"/>
          <w:szCs w:val="24"/>
        </w:rPr>
        <w:t xml:space="preserve">（5）工作职责和工作流程。</w:t>
      </w:r>
      <w:r/>
    </w:p>
    <w:p>
      <w:pPr>
        <w:pStyle w:val="1148"/>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（6）各种涉及本岗位的工具设备的正确使用。</w:t>
      </w:r>
      <w:r/>
    </w:p>
    <w:p>
      <w:pPr>
        <w:pStyle w:val="1148"/>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（7）服务区域中所应遵守的各项劳动纪律。</w:t>
      </w:r>
      <w:r/>
    </w:p>
    <w:p>
      <w:pPr>
        <w:pStyle w:val="1148"/>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3、乙方必须严格服从甲方现场监督和管理。</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4、如遇紧急事故或突发事件等需要紧急处理，甲方有权调用在场的乙方所有员工进行突击抢险和处理紧急任务。</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5、乙方应随时配合甲方每日对保洁工作进行检查，乙方将定期清洁作业计划情况书面告知甲方，每月将清洁及安保作业计划实施情况以书面形式报告。</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6、乙方应保持派驻本项目的人员，如有变动，应提前及时书面告知甲方，并将变动情况报甲方备档。</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246"/>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246"/>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1247"/>
        <w:ind w:firstLine="482"/>
        <w:spacing w:line="600" w:lineRule="exact"/>
        <w:rPr>
          <w:rFonts w:hint="eastAsia" w:ascii="宋体" w:hAnsi="宋体" w:eastAsia="宋体" w:cs="宋体"/>
          <w:b/>
          <w:bCs/>
          <w:sz w:val="24"/>
        </w:rPr>
      </w:pPr>
      <w:r>
        <w:rPr>
          <w:rFonts w:hint="eastAsia" w:ascii="宋体" w:hAnsi="宋体" w:eastAsia="宋体" w:cs="宋体"/>
          <w:b/>
          <w:bCs/>
          <w:sz w:val="24"/>
        </w:rPr>
        <w:t xml:space="preserve">三、合同价款</w:t>
      </w:r>
      <w:r/>
    </w:p>
    <w:p>
      <w:pPr>
        <w:pStyle w:val="1058"/>
        <w:ind w:firstLine="482"/>
        <w:spacing w:line="520" w:lineRule="exact"/>
        <w:rPr>
          <w:rFonts w:hint="eastAsia" w:ascii="宋体" w:hAnsi="宋体" w:cs="宋体"/>
          <w:sz w:val="24"/>
        </w:rPr>
      </w:pPr>
      <w:r>
        <w:rPr>
          <w:rFonts w:hint="eastAsia" w:ascii="宋体" w:hAnsi="宋体" w:cs="宋体"/>
          <w:sz w:val="24"/>
          <w:szCs w:val="24"/>
        </w:rPr>
        <w:t xml:space="preserve">本合同含税总价为：￥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rPr>
          <w:rFonts w:hint="eastAsia" w:ascii="宋体" w:hAnsi="宋体" w:cs="宋体"/>
          <w:bCs/>
          <w:sz w:val="24"/>
          <w:szCs w:val="24"/>
        </w:rPr>
        <w:t xml:space="preserve">且最终服务费用按照乙方实际投入人员数量及各单项人均费用并经考核完成后据实结算，上述价款包含乙方完成本项工作所需的人员工资（不得低于宿迁市现行最低工资标准）及节假日加班费等补助和福利费、耗材费、人员服装、社保、意外险、垃圾清运、四害防治、人员培训、税金、利润、政策性调整引起的成本上升风险以及为完成物业服务管理工作所涉及到的一切所有费用，甲方在上述合同价款之外不再向乙方支付其他任何费用。</w:t>
      </w:r>
      <w:r/>
    </w:p>
    <w:p>
      <w:pPr>
        <w:pStyle w:val="1247"/>
        <w:ind w:firstLine="480"/>
        <w:spacing w:line="600" w:lineRule="exact"/>
        <w:rPr>
          <w:rFonts w:hint="eastAsia" w:ascii="宋体" w:hAnsi="宋体" w:eastAsia="宋体" w:cs="宋体"/>
          <w:sz w:val="24"/>
        </w:rPr>
      </w:pPr>
      <w:r>
        <w:rPr>
          <w:rFonts w:hint="eastAsia" w:ascii="宋体" w:hAnsi="宋体" w:eastAsia="宋体" w:cs="宋体"/>
          <w:sz w:val="24"/>
        </w:rPr>
        <w:t xml:space="preserve">1、人员配置及费用</w:t>
      </w:r>
      <w:r/>
    </w:p>
    <w:tbl>
      <w:tblPr>
        <w:tblStyle w:val="785"/>
        <w:tblpPr w:horzAnchor="page" w:tblpX="1809" w:vertAnchor="text" w:tblpY="494" w:leftFromText="180" w:topFromText="0" w:rightFromText="180" w:bottomFromText="0"/>
        <w:tblW w:w="88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8"/>
        </w:trPr>
        <w:tc>
          <w:tcPr>
            <w:shd w:val="clear" w:color="auto" w:fill="ffffff"/>
            <w:tcW w:w="643"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序号</w:t>
            </w:r>
            <w:r/>
          </w:p>
        </w:tc>
        <w:tc>
          <w:tcPr>
            <w:shd w:val="clear" w:color="auto" w:fill="ffffff"/>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人员配备</w:t>
            </w:r>
            <w:r/>
          </w:p>
        </w:tc>
        <w:tc>
          <w:tcPr>
            <w:shd w:val="clear" w:color="auto" w:fill="ffffff"/>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数量</w:t>
            </w:r>
            <w:r/>
          </w:p>
        </w:tc>
        <w:tc>
          <w:tcPr>
            <w:shd w:val="clear" w:color="auto" w:fill="ffffff"/>
            <w:tcW w:w="139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工资标准</w:t>
            </w:r>
            <w:r/>
          </w:p>
          <w:p>
            <w:pPr>
              <w:jc w:val="center"/>
              <w:spacing w:line="500" w:lineRule="exact"/>
              <w:rPr>
                <w:rFonts w:hint="eastAsia" w:ascii="宋体" w:hAnsi="宋体" w:cs="宋体"/>
                <w:sz w:val="24"/>
                <w:szCs w:val="24"/>
              </w:rPr>
            </w:pPr>
            <w:r>
              <w:rPr>
                <w:rFonts w:hint="eastAsia" w:ascii="宋体" w:hAnsi="宋体" w:cs="宋体"/>
                <w:sz w:val="24"/>
                <w:szCs w:val="24"/>
              </w:rPr>
              <w:t xml:space="preserve">（元/月/人）</w:t>
            </w:r>
            <w:r/>
          </w:p>
        </w:tc>
        <w:tc>
          <w:tcPr>
            <w:shd w:val="clear" w:color="auto" w:fill="ffffff"/>
            <w:tcW w:w="81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月工资总额</w:t>
            </w:r>
            <w:r/>
          </w:p>
        </w:tc>
        <w:tc>
          <w:tcPr>
            <w:shd w:val="clear" w:color="auto" w:fill="ffffff"/>
            <w:tcW w:w="846"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社保</w:t>
            </w:r>
            <w:r/>
          </w:p>
        </w:tc>
        <w:tc>
          <w:tcPr>
            <w:shd w:val="clear" w:color="auto" w:fill="ffffff"/>
            <w:tcW w:w="1904"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意外险</w:t>
            </w:r>
            <w:r/>
          </w:p>
          <w:p>
            <w:pPr>
              <w:jc w:val="center"/>
              <w:spacing w:line="500" w:lineRule="exact"/>
              <w:rPr>
                <w:rFonts w:hint="eastAsia" w:ascii="宋体" w:hAnsi="宋体" w:cs="宋体"/>
                <w:sz w:val="24"/>
                <w:szCs w:val="24"/>
              </w:rPr>
            </w:pPr>
            <w:r>
              <w:rPr>
                <w:rFonts w:hint="eastAsia" w:ascii="宋体" w:hAnsi="宋体" w:cs="宋体"/>
                <w:sz w:val="24"/>
                <w:szCs w:val="24"/>
              </w:rPr>
              <w:t xml:space="preserve">（或雇主责任险）</w:t>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shd w:val="clear" w:color="auto" w:fill="auto"/>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auto"/>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lang w:bidi="zh-CN"/>
              </w:rPr>
            </w:pPr>
            <w:r>
              <w:rPr>
                <w:rFonts w:hint="eastAsia" w:ascii="宋体" w:hAnsi="宋体" w:cs="宋体"/>
                <w:sz w:val="24"/>
                <w:szCs w:val="24"/>
                <w:lang w:bidi="zh-CN"/>
              </w:rPr>
              <w:t xml:space="preserve">2</w:t>
            </w:r>
            <w:r/>
          </w:p>
        </w:tc>
        <w:tc>
          <w:tcPr>
            <w:shd w:val="clear" w:color="auto" w:fill="auto"/>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auto"/>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3</w:t>
            </w:r>
            <w:r/>
          </w:p>
        </w:tc>
        <w:tc>
          <w:tcPr>
            <w:shd w:val="clear" w:color="auto" w:fill="auto"/>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auto"/>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4</w:t>
            </w:r>
            <w:r/>
          </w:p>
        </w:tc>
        <w:tc>
          <w:tcPr>
            <w:shd w:val="clear" w:color="auto" w:fill="auto"/>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auto"/>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5</w:t>
            </w:r>
            <w:r/>
          </w:p>
        </w:tc>
        <w:tc>
          <w:tcPr>
            <w:shd w:val="clear" w:color="auto" w:fill="auto"/>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auto"/>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6</w:t>
            </w:r>
            <w:r/>
          </w:p>
        </w:tc>
        <w:tc>
          <w:tcPr>
            <w:shd w:val="clear" w:color="auto" w:fill="auto"/>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auto"/>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7</w:t>
            </w:r>
            <w:r/>
          </w:p>
        </w:tc>
        <w:tc>
          <w:tcPr>
            <w:shd w:val="clear" w:color="auto" w:fill="auto"/>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auto"/>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8</w:t>
            </w:r>
            <w:r/>
          </w:p>
        </w:tc>
        <w:tc>
          <w:tcPr>
            <w:shd w:val="clear" w:color="auto" w:fill="ffffff"/>
            <w:tcW w:w="232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合计</w:t>
            </w:r>
            <w:r/>
          </w:p>
        </w:tc>
        <w:tc>
          <w:tcPr>
            <w:shd w:val="clear" w:color="auto" w:fill="ffffff"/>
            <w:tcW w:w="919"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bl>
    <w:p>
      <w:pPr>
        <w:pStyle w:val="1247"/>
        <w:numPr>
          <w:ilvl w:val="0"/>
          <w:numId w:val="5"/>
        </w:numPr>
        <w:spacing w:line="520" w:lineRule="exact"/>
        <w:rPr>
          <w:rFonts w:hint="eastAsia" w:ascii="宋体" w:hAnsi="宋体" w:eastAsia="宋体" w:cs="宋体"/>
          <w:sz w:val="24"/>
        </w:rPr>
      </w:pPr>
      <w:r>
        <w:rPr>
          <w:rFonts w:hint="eastAsia" w:ascii="宋体" w:hAnsi="宋体" w:eastAsia="宋体" w:cs="宋体"/>
          <w:sz w:val="24"/>
        </w:rPr>
        <w:t xml:space="preserve">付款方式及相关要求</w:t>
      </w:r>
      <w:r/>
    </w:p>
    <w:p>
      <w:pPr>
        <w:ind w:firstLine="480"/>
        <w:spacing w:line="520" w:lineRule="exact"/>
        <w:rPr>
          <w:rFonts w:hint="eastAsia" w:ascii="Times New Roman" w:hAnsi="Times New Roman"/>
          <w:color w:val="000000"/>
          <w:sz w:val="24"/>
          <w:szCs w:val="24"/>
        </w:rPr>
      </w:pPr>
      <w:r>
        <w:rPr>
          <w:rFonts w:hint="eastAsia" w:ascii="宋体" w:hAnsi="宋体" w:cs="宋体"/>
          <w:sz w:val="24"/>
          <w:szCs w:val="24"/>
        </w:rPr>
        <w:t xml:space="preserve">付款方式：</w:t>
      </w:r>
      <w:r>
        <w:rPr>
          <w:rFonts w:hint="eastAsia" w:ascii="Times New Roman" w:hAnsi="Times New Roman"/>
          <w:color w:val="000000"/>
          <w:sz w:val="24"/>
          <w:szCs w:val="24"/>
        </w:rPr>
        <w:t xml:space="preserve">签订合同且收到供应商发票后10个工作日内，支付10%的合同款作为预付款，剩余服务费用由采购人按季度及日常考核结果进行支付。中标人按季度根据实际发生的所有后勤物业管理（考核后的）费用开具合法票据，采购人在接到中标人票据的10个工作日内将上一季度实际发生的服务费（考核后的）支付给中标人。</w:t>
      </w:r>
      <w:r/>
    </w:p>
    <w:p>
      <w:pPr>
        <w:ind w:firstLine="480"/>
        <w:spacing w:line="520" w:lineRule="exact"/>
        <w:rPr>
          <w:rFonts w:hint="eastAsia" w:ascii="宋体" w:hAnsi="宋体" w:cs="宋体"/>
          <w:b/>
          <w:bCs/>
          <w:sz w:val="24"/>
          <w:szCs w:val="24"/>
        </w:rPr>
      </w:pPr>
      <w:r>
        <w:rPr>
          <w:rFonts w:hint="eastAsia" w:ascii="宋体" w:hAnsi="宋体" w:cs="宋体"/>
          <w:b/>
          <w:bCs/>
          <w:sz w:val="24"/>
          <w:szCs w:val="24"/>
        </w:rPr>
        <w:t xml:space="preserve">注：（1）在签订合同时，供应商明确表示无需预付款或者主动要求降低预付款比例的，采购人可不适用前述规定。</w:t>
      </w:r>
      <w:r/>
    </w:p>
    <w:p>
      <w:pPr>
        <w:ind w:firstLine="480"/>
        <w:spacing w:line="520" w:lineRule="exact"/>
        <w:rPr>
          <w:rFonts w:hint="eastAsia" w:ascii="宋体" w:hAnsi="宋体" w:cs="宋体"/>
          <w:b/>
          <w:bCs/>
          <w:sz w:val="24"/>
          <w:szCs w:val="24"/>
        </w:rPr>
      </w:pPr>
      <w:r>
        <w:rPr>
          <w:rFonts w:hint="eastAsia" w:ascii="宋体" w:hAnsi="宋体" w:cs="宋体"/>
          <w:sz w:val="24"/>
          <w:szCs w:val="24"/>
        </w:rPr>
        <w:t xml:space="preserve">（2）每次付</w:t>
      </w:r>
      <w:r>
        <w:rPr>
          <w:rFonts w:hint="eastAsia" w:ascii="宋体" w:hAnsi="宋体" w:cs="宋体"/>
          <w:sz w:val="24"/>
          <w:szCs w:val="24"/>
        </w:rPr>
        <w:t xml:space="preserve">款前依据考核标准，扣除应扣款项后支付应付费用，考核分数在95（含）分以上的，支付当期全部费用；考核分数在90（含）-94分的，支付当期应支付金额的98%；考核分数在85（含）-89分的，支付当期应支付金额的96%；考核分数在80（含）-84分的，支付当期应支付金额的94%；考核分数在70（含）-79分的，支付当期应支付金额的90%；考核分数在60（含）-69分的，支付当期应支付金额的80%；考核分数在60以下分的，支付当期应支付的金额的60%。连续出现3次考评打分60分以下，将报经财政监管部门进行解除合同。</w:t>
      </w:r>
      <w:r/>
    </w:p>
    <w:p>
      <w:pPr>
        <w:pStyle w:val="1247"/>
        <w:ind w:firstLine="480"/>
        <w:spacing w:line="520" w:lineRule="exact"/>
        <w:rPr>
          <w:rFonts w:hint="eastAsia" w:ascii="宋体" w:hAnsi="宋体" w:eastAsia="宋体" w:cs="宋体"/>
          <w:sz w:val="24"/>
        </w:rPr>
      </w:pPr>
      <w:r>
        <w:rPr>
          <w:rFonts w:hint="eastAsia" w:ascii="宋体" w:hAnsi="宋体" w:eastAsia="宋体" w:cs="宋体"/>
          <w:sz w:val="24"/>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1247"/>
        <w:ind w:firstLine="480"/>
        <w:spacing w:line="520" w:lineRule="exact"/>
        <w:rPr>
          <w:rFonts w:hint="eastAsia" w:ascii="宋体" w:hAnsi="宋体" w:eastAsia="宋体" w:cs="宋体"/>
          <w:b/>
          <w:bCs/>
          <w:sz w:val="24"/>
        </w:rPr>
      </w:pPr>
      <w:r>
        <w:rPr>
          <w:rFonts w:hint="eastAsia" w:ascii="宋体" w:hAnsi="宋体" w:eastAsia="宋体" w:cs="宋体"/>
          <w:sz w:val="24"/>
        </w:rPr>
        <w:t xml:space="preserve">（</w:t>
      </w:r>
      <w:r>
        <w:rPr>
          <w:rFonts w:hint="eastAsia" w:ascii="宋体" w:hAnsi="宋体" w:eastAsia="宋体" w:cs="宋体"/>
          <w:sz w:val="24"/>
        </w:rPr>
        <w:t xml:space="preserve">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ind w:firstLine="482"/>
        <w:jc w:val="left"/>
        <w:spacing w:line="520" w:lineRule="exact"/>
        <w:rPr>
          <w:rFonts w:hint="eastAsia" w:ascii="宋体" w:hAnsi="宋体" w:cs="宋体"/>
          <w:sz w:val="24"/>
          <w:szCs w:val="24"/>
        </w:rPr>
      </w:pPr>
      <w:r>
        <w:rPr>
          <w:rFonts w:hint="eastAsia" w:ascii="宋体" w:hAnsi="宋体" w:cs="宋体"/>
          <w:sz w:val="24"/>
          <w:szCs w:val="24"/>
        </w:rPr>
        <w:t xml:space="preserve">（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收取违约金5万元或解除合同，并按擅自变更合同违法行为报监管部门处罚。另如有违反《劳动法》等相关规定的，报相关主管部门处理。</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（6）甲方支付此项费用外不再承担其它任何费用（包括物业人员的衣食住行），物业服务人员的薪金、福利、休假日补贴等由乙方付给，与甲方无关。</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（7）确因甲方工作需要，乙方应无条件配合甲方完成一些突击工作。如：安排服务人员（内部）临时加班。</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（8）在本合同履行过程中，若因国家或地方政府政策的变化致使有些岗位需要取消的，双方一致同意合同亦作相应变更，人员由乙方妥善安置，相应费用甲方不再支付。</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9）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（11）履约过程中，所需工具、设备、物耗等均由乙方提供，乙方必须提供能满足服务要求所配置的工具、设备、物耗，如乙方提供工具、设备、物耗等质量不符合采购人要求的，应无条件更换。</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（12）履约过程中，乙方应根据工作需要，安排好双休日及节假日的值班人员，编制各岗位排班表报采购人备案后执行，并按规定发放加班费。</w:t>
      </w:r>
      <w:r/>
    </w:p>
    <w:p>
      <w:pPr>
        <w:pStyle w:val="1058"/>
        <w:ind w:left="420"/>
        <w:jc w:val="left"/>
        <w:spacing w:before="55" w:line="520" w:lineRule="exact"/>
        <w:rPr>
          <w:rFonts w:hint="eastAsia" w:ascii="宋体" w:hAnsi="宋体" w:cs="宋体"/>
          <w:b/>
          <w:bCs/>
          <w:sz w:val="24"/>
          <w:szCs w:val="21"/>
        </w:rPr>
      </w:pPr>
      <w:r>
        <w:rPr>
          <w:rFonts w:hint="eastAsia" w:ascii="宋体" w:hAnsi="宋体" w:cs="宋体"/>
          <w:b/>
          <w:bCs/>
          <w:sz w:val="24"/>
          <w:szCs w:val="21"/>
        </w:rPr>
        <w:t xml:space="preserve">3、发票开具方式：与合同主体一致的增值税专用或普通发票。</w:t>
      </w:r>
      <w:r/>
    </w:p>
    <w:p>
      <w:pPr>
        <w:pStyle w:val="1058"/>
        <w:ind w:firstLine="482"/>
        <w:spacing w:line="520" w:lineRule="exact"/>
        <w:rPr>
          <w:rFonts w:hint="eastAsia" w:ascii="宋体" w:hAnsi="宋体" w:cs="宋体"/>
          <w:b/>
          <w:bCs/>
          <w:sz w:val="24"/>
          <w:szCs w:val="24"/>
        </w:rPr>
      </w:pPr>
      <w:r>
        <w:rPr>
          <w:rFonts w:hint="eastAsia" w:ascii="宋体" w:hAnsi="宋体" w:cs="宋体"/>
          <w:b/>
          <w:bCs/>
          <w:sz w:val="24"/>
          <w:szCs w:val="24"/>
        </w:rPr>
        <w:t xml:space="preserve">4、服务要求</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按招标文件采购需求服务标准进行服务。</w:t>
      </w:r>
      <w:r/>
    </w:p>
    <w:p>
      <w:pPr>
        <w:ind w:firstLine="482"/>
        <w:spacing w:before="94" w:after="94" w:line="520" w:lineRule="exact"/>
        <w:rPr>
          <w:rFonts w:hint="eastAsia" w:ascii="宋体" w:hAnsi="宋体" w:cs="宋体"/>
          <w:b/>
          <w:bCs/>
          <w:sz w:val="24"/>
          <w:szCs w:val="24"/>
        </w:rPr>
      </w:pPr>
      <w:r>
        <w:rPr>
          <w:rFonts w:hint="eastAsia" w:ascii="宋体" w:hAnsi="宋体" w:cs="宋体"/>
          <w:b/>
          <w:bCs/>
          <w:sz w:val="24"/>
          <w:szCs w:val="24"/>
        </w:rPr>
        <w:t xml:space="preserve">四、检查考核办法</w:t>
      </w:r>
      <w:r/>
    </w:p>
    <w:p>
      <w:pPr>
        <w:ind w:firstLine="482"/>
        <w:spacing w:before="94" w:after="94" w:line="520" w:lineRule="exact"/>
        <w:rPr>
          <w:rFonts w:hint="eastAsia" w:ascii="宋体" w:hAnsi="宋体" w:cs="宋体"/>
          <w:sz w:val="24"/>
          <w:szCs w:val="24"/>
        </w:rPr>
      </w:pPr>
      <w:r>
        <w:rPr>
          <w:rFonts w:hint="eastAsia" w:ascii="宋体" w:hAnsi="宋体" w:cs="宋体"/>
          <w:sz w:val="24"/>
          <w:szCs w:val="24"/>
        </w:rPr>
        <w:t xml:space="preserve">合同签订时，各采购人根据自身考核要求自行添加。</w:t>
      </w:r>
      <w:r/>
    </w:p>
    <w:p>
      <w:pPr>
        <w:pStyle w:val="1141"/>
        <w:ind w:firstLine="482"/>
        <w:spacing w:before="94" w:after="94" w:line="520" w:lineRule="exact"/>
        <w:rPr>
          <w:rFonts w:hint="eastAsia" w:ascii="宋体" w:hAnsi="宋体" w:cs="宋体"/>
          <w:b/>
          <w:sz w:val="24"/>
          <w:szCs w:val="24"/>
        </w:rPr>
      </w:pPr>
      <w:r>
        <w:rPr>
          <w:rFonts w:hint="eastAsia" w:ascii="宋体" w:hAnsi="宋体" w:cs="宋体"/>
          <w:b/>
          <w:sz w:val="24"/>
          <w:szCs w:val="24"/>
        </w:rPr>
        <w:t xml:space="preserve">五、违约责任</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1、乙方未按约定期限提供服务的，每逾期一日，由乙方按合同总价3‰标准向甲方支付违约金，逾期 15 天以上的，甲方有权解除本合同，解除合同的通知自送达乙方时生效。甲方选择解除合同的，乙方须返还已付款项，并按合同总价30%支付违约金。</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2、本项目不得转让、分包，如有发生，甲方有权解除合同，有权要求乙方退还甲方已付款项，并由乙方向甲方支付合同总价30%违约金。</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3、除另有约定外，非因甲方原因，乙方未全面不履行本合同约定或其他义务的，甲方有权要求其继续履行或解除合同。甲方要求继续履行的，乙方应支付合同总价 10%违约金；甲方选择解除本合同的或乙方仍未全面履行的，甲方均有权解除本合同，解除合同的通知自送达乙方时生效。甲方选择解除合同的，乙方须返还已付款项，并按合同总价 30%支付违约金。不足弥补甲方损失的，仍需赔偿。</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4、甲方未按约定期限付款的，应就逾期部分向乙方支付按全国银行间同业拆借中心公布的一年期贷款市场报价利率计算的逾期付款违约金。</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5、合同签订后，乙方单方终止或解除合同的，除应退还甲方已付款项外，还应支付合同总价30%违约金。</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6、违约方应承担守约方主张权益产生的包括但不限于交通费、误工费、律师费、鉴定费、保全费、保全保险费、诉讼费等相关费用。</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7、在合同履行期间，因非可归于甲方的原因造成的乙方自身或者他人人身损害及财产损失，均由乙方自行承担。</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8、如果出现政府采购监督管理部门在处理投诉事项期间，书面通知甲方暂停采购活动的情形，或者询问或质疑事项可能影响中标结果的，导致甲方终止履行合同的情形，均不视为甲方违约。</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9、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10、未经甲方许可，乙方将承包的物业管理服务转包他人，采购人有权终止合同。</w:t>
      </w:r>
      <w:r/>
    </w:p>
    <w:p>
      <w:pPr>
        <w:pStyle w:val="1058"/>
        <w:ind w:firstLine="480"/>
        <w:spacing w:line="520" w:lineRule="exact"/>
        <w:rPr>
          <w:rFonts w:hint="eastAsia" w:ascii="宋体" w:hAnsi="宋体" w:cs="宋体"/>
          <w:sz w:val="24"/>
          <w:szCs w:val="24"/>
        </w:rPr>
      </w:pPr>
      <w:r>
        <w:rPr>
          <w:rFonts w:hint="eastAsia" w:ascii="宋体" w:hAnsi="宋体" w:cs="宋体"/>
          <w:sz w:val="24"/>
          <w:szCs w:val="24"/>
        </w:rPr>
        <w:t xml:space="preserve">11、乙方长期（连续两个月内）有人员不到位，影响物业管理质量的，经甲方要求及时改正，乙方仍拒不改正的，甲方将报经财政监管部门终止合同。</w:t>
      </w:r>
      <w:r/>
    </w:p>
    <w:p>
      <w:pPr>
        <w:pStyle w:val="1058"/>
        <w:ind w:firstLine="480"/>
        <w:spacing w:line="520" w:lineRule="exact"/>
        <w:rPr>
          <w:rFonts w:hint="eastAsia" w:ascii="宋体" w:hAnsi="宋体" w:cs="宋体"/>
          <w:b/>
          <w:sz w:val="24"/>
          <w:szCs w:val="24"/>
        </w:rPr>
      </w:pPr>
      <w:r>
        <w:rPr>
          <w:rFonts w:hint="eastAsia" w:ascii="宋体" w:hAnsi="宋体" w:cs="宋体"/>
          <w:sz w:val="24"/>
          <w:szCs w:val="24"/>
        </w:rPr>
        <w:t xml:space="preserve">12、因乙方管理不善，导致甲方出现生命财产安全重大事故的（如有人员伤亡医药费在5万元以上的或有财产损失5万元以上的），甲方将报经财政监管部门终止合同，乙方对甲方造成的经济损失负有赔偿责任。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141"/>
        <w:ind w:firstLine="482"/>
        <w:spacing w:before="94" w:after="94" w:line="520" w:lineRule="exact"/>
        <w:rPr>
          <w:rFonts w:hint="eastAsia" w:ascii="宋体" w:hAnsi="宋体" w:cs="宋体"/>
          <w:b/>
          <w:sz w:val="24"/>
          <w:szCs w:val="24"/>
          <w:lang w:val="zh-CN"/>
        </w:rPr>
      </w:pPr>
      <w:r>
        <w:rPr>
          <w:rFonts w:hint="eastAsia" w:ascii="宋体" w:hAnsi="宋体" w:cs="宋体"/>
          <w:b/>
          <w:sz w:val="24"/>
          <w:szCs w:val="24"/>
        </w:rPr>
        <w:t xml:space="preserve">六</w:t>
      </w:r>
      <w:r>
        <w:rPr>
          <w:rFonts w:hint="eastAsia" w:ascii="宋体" w:hAnsi="宋体" w:cs="宋体"/>
          <w:b/>
          <w:sz w:val="24"/>
          <w:szCs w:val="24"/>
          <w:lang w:val="zh-CN"/>
        </w:rPr>
        <w:t xml:space="preserve">、供应商合法权益补偿机制</w:t>
      </w:r>
      <w:r/>
    </w:p>
    <w:p>
      <w:pPr>
        <w:pStyle w:val="1150"/>
        <w:ind w:firstLine="480"/>
        <w:spacing w:before="94" w:after="94" w:line="520" w:lineRule="exact"/>
        <w:rPr>
          <w:rFonts w:hint="eastAsia" w:ascii="宋体" w:hAnsi="宋体" w:cs="宋体"/>
          <w:bCs/>
          <w:sz w:val="24"/>
          <w:szCs w:val="24"/>
          <w:lang w:val="zh-CN"/>
        </w:rPr>
      </w:pPr>
      <w:r>
        <w:rPr>
          <w:rFonts w:hint="eastAsia" w:ascii="宋体" w:hAnsi="宋体" w:cs="宋体"/>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pStyle w:val="1246"/>
        <w:ind w:firstLine="482"/>
        <w:jc w:val="left"/>
        <w:spacing w:before="94" w:after="94" w:line="520" w:lineRule="exact"/>
        <w:widowControl/>
        <w:tabs>
          <w:tab w:val="left" w:pos="6890" w:leader="none"/>
          <w:tab w:val="left" w:pos="8105" w:leader="none"/>
        </w:tabs>
        <w:rPr>
          <w:rFonts w:hint="eastAsia" w:ascii="宋体" w:hAnsi="宋体" w:eastAsia="宋体" w:cs="宋体"/>
          <w:b/>
          <w:sz w:val="24"/>
          <w:szCs w:val="24"/>
        </w:rPr>
      </w:pPr>
      <w:r>
        <w:rPr>
          <w:rFonts w:hint="eastAsia" w:ascii="宋体" w:hAnsi="宋体" w:eastAsia="宋体" w:cs="宋体"/>
          <w:b/>
          <w:sz w:val="24"/>
          <w:szCs w:val="24"/>
        </w:rPr>
        <w:t xml:space="preserve">七、争议的解决</w:t>
      </w:r>
      <w:r/>
    </w:p>
    <w:p>
      <w:pPr>
        <w:pStyle w:val="1246"/>
        <w:ind w:firstLine="480"/>
        <w:jc w:val="left"/>
        <w:spacing w:before="94" w:after="94" w:line="52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1、因履行本合同引起的或与本合同有关的争议，甲乙双方应首先友好协商解决，如果协商不能解决争议，则向甲方所在地有管辖权的人民法院提起诉讼。</w:t>
      </w:r>
      <w:r/>
    </w:p>
    <w:p>
      <w:pPr>
        <w:pStyle w:val="1246"/>
        <w:ind w:firstLine="480"/>
        <w:jc w:val="left"/>
        <w:spacing w:before="94" w:after="94" w:line="52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2、在审理期间，本合同应继续履行。</w:t>
      </w:r>
      <w:r/>
    </w:p>
    <w:p>
      <w:pPr>
        <w:pStyle w:val="1246"/>
        <w:ind w:firstLine="480"/>
        <w:jc w:val="left"/>
        <w:spacing w:before="94" w:after="94" w:line="52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246"/>
        <w:ind w:firstLine="480"/>
        <w:spacing w:before="94" w:after="94" w:line="520" w:lineRule="exact"/>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Cs/>
          <w:sz w:val="24"/>
          <w:szCs w:val="24"/>
          <w:lang w:val="zh-CN"/>
        </w:rPr>
        <w:t xml:space="preserve">。</w:t>
      </w:r>
      <w:r/>
    </w:p>
    <w:p>
      <w:pPr>
        <w:pStyle w:val="1151"/>
        <w:ind w:firstLine="482"/>
        <w:spacing w:before="94" w:after="94" w:line="520" w:lineRule="exact"/>
        <w:widowControl/>
        <w:rPr>
          <w:rFonts w:hint="eastAsia" w:ascii="宋体" w:hAnsi="宋体" w:cs="宋体"/>
          <w:b/>
          <w:sz w:val="24"/>
          <w:szCs w:val="24"/>
        </w:rPr>
      </w:pPr>
      <w:r>
        <w:rPr>
          <w:rFonts w:hint="eastAsia" w:ascii="宋体" w:hAnsi="宋体" w:cs="宋体"/>
          <w:b/>
          <w:sz w:val="24"/>
          <w:szCs w:val="24"/>
        </w:rPr>
        <w:t xml:space="preserve">八、附则</w:t>
      </w:r>
      <w:r/>
    </w:p>
    <w:p>
      <w:pPr>
        <w:pStyle w:val="1246"/>
        <w:ind w:firstLine="480"/>
        <w:jc w:val="left"/>
        <w:spacing w:before="94" w:after="94" w:line="52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1、双方可对本合同的条款进行补充，以书面形式签订补充协议，补充协议与本合同具有同等效力。</w:t>
      </w:r>
      <w:r/>
    </w:p>
    <w:p>
      <w:pPr>
        <w:pStyle w:val="1246"/>
        <w:ind w:firstLine="480"/>
        <w:jc w:val="left"/>
        <w:spacing w:before="94" w:after="94" w:line="52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2、本合同之附件均为合同有效组成部分。本合同及其附件和补充协议中未规定的事宜，遵照中华人民共和国有关法律、法规和规章执行。</w:t>
      </w:r>
      <w:r/>
    </w:p>
    <w:p>
      <w:pPr>
        <w:pStyle w:val="1246"/>
        <w:ind w:firstLine="480"/>
        <w:jc w:val="left"/>
        <w:spacing w:before="94" w:after="94" w:line="52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3、本合同一式四份，以中文书写，甲方、乙方各执贰份。</w:t>
      </w:r>
      <w:r/>
    </w:p>
    <w:p>
      <w:pPr>
        <w:pStyle w:val="1246"/>
        <w:ind w:firstLine="480"/>
        <w:jc w:val="left"/>
        <w:spacing w:before="94" w:after="94" w:line="52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4、本合同一切未尽事宜，按《中华人民共和国民法典》有关规定执行，无相关规定的，由甲乙双方协商解决。</w:t>
      </w:r>
      <w:r/>
    </w:p>
    <w:p>
      <w:pPr>
        <w:pStyle w:val="1246"/>
        <w:ind w:left="525"/>
        <w:jc w:val="left"/>
        <w:spacing w:before="94" w:after="94" w:line="52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九、合同的生效</w:t>
      </w:r>
      <w:r/>
    </w:p>
    <w:p>
      <w:pPr>
        <w:pStyle w:val="1246"/>
        <w:ind w:firstLine="480"/>
        <w:jc w:val="left"/>
        <w:spacing w:before="94" w:after="94" w:line="52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本合同经甲方、乙方签字盖章后生效。</w:t>
      </w:r>
      <w:r/>
    </w:p>
    <w:p>
      <w:pPr>
        <w:pStyle w:val="1246"/>
        <w:ind w:firstLine="480"/>
        <w:jc w:val="left"/>
        <w:spacing w:before="94" w:after="94" w:line="56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pStyle w:val="1246"/>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甲方：  （盖章）                     乙方：   （盖章）</w:t>
      </w:r>
      <w:r/>
    </w:p>
    <w:p>
      <w:pPr>
        <w:pStyle w:val="1246"/>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地址：                                 地址：</w:t>
      </w:r>
      <w:r/>
    </w:p>
    <w:p>
      <w:pPr>
        <w:pStyle w:val="1246"/>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法定（授权）代表人：                法定（授权）代表人：</w:t>
      </w:r>
      <w:r/>
    </w:p>
    <w:p>
      <w:pPr>
        <w:pStyle w:val="1246"/>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联系人：                               联系人：</w:t>
      </w:r>
      <w:r/>
    </w:p>
    <w:p>
      <w:pPr>
        <w:pStyle w:val="1246"/>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联系电话：                             联系电话：</w:t>
      </w:r>
      <w:r/>
    </w:p>
    <w:p>
      <w:pPr>
        <w:pStyle w:val="1141"/>
        <w:spacing w:before="94" w:after="94" w:line="480" w:lineRule="auto"/>
        <w:rPr>
          <w:rFonts w:hint="eastAsia" w:ascii="宋体" w:hAnsi="宋体" w:cs="宋体"/>
          <w:sz w:val="24"/>
          <w:szCs w:val="21"/>
        </w:rPr>
      </w:pPr>
      <w:r>
        <w:rPr>
          <w:rFonts w:hint="eastAsia" w:ascii="宋体" w:hAnsi="宋体" w:cs="宋体"/>
          <w:sz w:val="24"/>
          <w:szCs w:val="24"/>
        </w:rPr>
        <w:t xml:space="preserve">年   月   日                           年   月   日</w:t>
      </w:r>
      <w:r/>
    </w:p>
    <w:p>
      <w:pPr>
        <w:jc w:val="center"/>
        <w:keepLines/>
        <w:keepNext/>
        <w:pageBreakBefore/>
        <w:rPr>
          <w:b/>
          <w:sz w:val="44"/>
          <w:szCs w:val="44"/>
        </w:rPr>
        <w:outlineLvl w:val="0"/>
      </w:pPr>
      <w:r/>
      <w:bookmarkStart w:id="135" w:name="_Toc11391"/>
      <w:r>
        <w:rPr>
          <w:rFonts w:hint="eastAsia"/>
          <w:b/>
          <w:sz w:val="44"/>
          <w:szCs w:val="44"/>
        </w:rPr>
        <w:t xml:space="preserve">第六章  投标文件格式</w:t>
      </w:r>
      <w:bookmarkEnd w:id="135"/>
      <w:r/>
      <w:r/>
    </w:p>
    <w:p>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r/>
    </w:p>
    <w:p>
      <w:pPr>
        <w:pStyle w:val="1061"/>
        <w:rPr>
          <w:rFonts w:hint="eastAsia" w:ascii="宋体" w:hAnsi="宋体" w:eastAsia="宋体" w:cs="宋体"/>
        </w:rPr>
      </w:pPr>
      <w:r>
        <w:rPr>
          <w:rFonts w:hint="eastAsia" w:ascii="宋体" w:hAnsi="宋体" w:eastAsia="宋体" w:cs="宋体"/>
        </w:rPr>
      </w:r>
      <w:r/>
    </w:p>
    <w:p>
      <w:pPr>
        <w:pStyle w:val="1061"/>
        <w:rPr>
          <w:rFonts w:hint="eastAsia" w:ascii="宋体" w:hAnsi="宋体" w:eastAsia="宋体" w:cs="宋体"/>
        </w:rPr>
      </w:pPr>
      <w:r>
        <w:rPr>
          <w:rFonts w:hint="eastAsia" w:ascii="宋体" w:hAnsi="宋体" w:eastAsia="宋体" w:cs="宋体"/>
        </w:rPr>
      </w:r>
      <w:r/>
    </w:p>
    <w:p>
      <w:pPr>
        <w:pStyle w:val="1061"/>
        <w:rPr>
          <w:rFonts w:hint="eastAsia" w:ascii="宋体" w:hAnsi="宋体" w:eastAsia="宋体" w:cs="宋体"/>
        </w:rPr>
      </w:pPr>
      <w:r>
        <w:rPr>
          <w:rFonts w:hint="eastAsia" w:ascii="宋体" w:hAnsi="宋体" w:eastAsia="宋体" w:cs="宋体"/>
        </w:rPr>
      </w:r>
      <w:r/>
    </w:p>
    <w:p>
      <w:pPr>
        <w:pStyle w:val="1061"/>
        <w:rPr>
          <w:rFonts w:hint="eastAsia" w:ascii="宋体" w:hAnsi="宋体" w:eastAsia="宋体" w:cs="宋体"/>
        </w:rPr>
      </w:pPr>
      <w:r>
        <w:rPr>
          <w:rFonts w:hint="eastAsia" w:ascii="宋体" w:hAnsi="宋体" w:eastAsia="宋体" w:cs="宋体"/>
        </w:rPr>
      </w:r>
      <w:r/>
    </w:p>
    <w:p>
      <w:pPr>
        <w:pStyle w:val="1061"/>
        <w:rPr>
          <w:rFonts w:hint="eastAsia" w:ascii="宋体" w:hAnsi="宋体" w:eastAsia="宋体" w:cs="宋体"/>
        </w:rPr>
      </w:pPr>
      <w:r>
        <w:rPr>
          <w:rFonts w:hint="eastAsia" w:ascii="宋体" w:hAnsi="宋体" w:eastAsia="宋体" w:cs="宋体"/>
        </w:rPr>
      </w:r>
      <w:r/>
    </w:p>
    <w:p>
      <w:pPr>
        <w:pStyle w:val="1061"/>
        <w:rPr>
          <w:rFonts w:hint="eastAsia" w:ascii="宋体" w:hAnsi="宋体" w:eastAsia="宋体" w:cs="宋体"/>
        </w:rPr>
      </w:pPr>
      <w:r>
        <w:rPr>
          <w:rFonts w:hint="eastAsia" w:ascii="宋体" w:hAnsi="宋体" w:eastAsia="宋体" w:cs="宋体"/>
        </w:rPr>
      </w:r>
      <w:r/>
    </w:p>
    <w:p>
      <w:pPr>
        <w:pStyle w:val="1061"/>
        <w:rPr>
          <w:rFonts w:hint="eastAsia" w:ascii="宋体" w:hAnsi="宋体" w:eastAsia="宋体" w:cs="宋体"/>
        </w:rPr>
      </w:pPr>
      <w:r>
        <w:rPr>
          <w:rFonts w:hint="eastAsia" w:ascii="宋体" w:hAnsi="宋体" w:eastAsia="宋体" w:cs="宋体"/>
        </w:rPr>
      </w:r>
      <w:r/>
    </w:p>
    <w:p>
      <w:pPr>
        <w:pStyle w:val="1061"/>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061"/>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61"/>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六、项目组成员</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七、企业业绩</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八、人员配备要求承诺函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九、服务要求承诺（一）及相关服务方案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十、服务要求承诺（二）及相关服务方案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十一、考核标准承诺</w:t>
      </w:r>
      <w:r/>
    </w:p>
    <w:p>
      <w:pPr>
        <w:spacing w:line="360" w:lineRule="auto"/>
        <w:rPr>
          <w:rFonts w:hint="eastAsia" w:ascii="宋体" w:hAnsi="宋体" w:cs="宋体"/>
          <w:color w:val="000000"/>
          <w:sz w:val="28"/>
          <w:szCs w:val="28"/>
        </w:rPr>
      </w:pPr>
      <w:r>
        <w:rPr>
          <w:rFonts w:hint="eastAsia" w:ascii="Times New Roman" w:hAnsi="Times New Roman"/>
          <w:color w:val="000000"/>
          <w:sz w:val="28"/>
          <w:szCs w:val="28"/>
        </w:rPr>
        <w:t xml:space="preserve">十二、投标所需其他材料</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73"/>
        <w:rPr>
          <w:rFonts w:hint="eastAsia"/>
          <w:b w:val="0"/>
          <w:bCs/>
        </w:rPr>
        <w:outlineLvl w:val="1"/>
      </w:pPr>
      <w:r>
        <w:rPr>
          <w:rFonts w:hint="eastAsia"/>
          <w:b w:val="0"/>
          <w:bCs/>
        </w:rPr>
        <w:t xml:space="preserve">一</w:t>
      </w:r>
      <w:r>
        <w:rPr>
          <w:b w:val="0"/>
          <w:bCs/>
        </w:rPr>
        <w:t xml:space="preserve">、投标函</w:t>
      </w:r>
      <w:r/>
    </w:p>
    <w:p>
      <w:pPr>
        <w:pStyle w:val="1074"/>
        <w:jc w:val="center"/>
        <w:rPr>
          <w:rFonts w:ascii="方正小标宋_GBK" w:eastAsia="方正小标宋_GBK"/>
          <w:bCs/>
          <w:sz w:val="32"/>
          <w:szCs w:val="32"/>
        </w:rPr>
      </w:pPr>
      <w:r>
        <w:rPr>
          <w:rFonts w:ascii="方正小标宋_GBK" w:eastAsia="方正小标宋_GBK"/>
          <w:bCs/>
          <w:sz w:val="32"/>
          <w:szCs w:val="32"/>
        </w:rPr>
      </w:r>
      <w:r/>
    </w:p>
    <w:p>
      <w:pPr>
        <w:pStyle w:val="1074"/>
        <w:jc w:val="center"/>
        <w:rPr>
          <w:rFonts w:ascii="方正小标宋_GBK" w:eastAsia="方正小标宋_GBK"/>
          <w:bCs/>
          <w:sz w:val="32"/>
          <w:szCs w:val="32"/>
        </w:rPr>
      </w:pPr>
      <w:r>
        <w:rPr>
          <w:rFonts w:hint="eastAsia" w:ascii="方正小标宋_GBK" w:eastAsia="方正小标宋_GBK"/>
          <w:bCs/>
          <w:sz w:val="32"/>
          <w:szCs w:val="32"/>
        </w:rPr>
        <w:t xml:space="preserve">投标函</w:t>
      </w:r>
      <w:r/>
    </w:p>
    <w:p>
      <w:pPr>
        <w:pStyle w:val="1074"/>
        <w:jc w:val="left"/>
        <w:spacing w:line="500" w:lineRule="exact"/>
        <w:rPr>
          <w:rFonts w:hint="eastAsia" w:ascii="宋体" w:hAnsi="宋体"/>
          <w:sz w:val="24"/>
          <w:szCs w:val="24"/>
          <w:u w:val="single"/>
        </w:rPr>
      </w:pPr>
      <w:r>
        <w:rPr>
          <w:rFonts w:hint="eastAsia" w:ascii="宋体" w:hAnsi="宋体"/>
          <w:sz w:val="24"/>
          <w:szCs w:val="24"/>
          <w:u w:val="single"/>
        </w:rPr>
        <w:t xml:space="preserve">宿迁市传染病医院、宿迁市新沂河调度工程管理处：</w:t>
      </w:r>
      <w:r/>
    </w:p>
    <w:p>
      <w:pPr>
        <w:pStyle w:val="1074"/>
        <w:ind w:firstLine="480"/>
        <w:jc w:val="left"/>
        <w:spacing w:line="500" w:lineRule="exact"/>
        <w:rPr>
          <w:rFonts w:hint="eastAsia"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highlight w:val="none"/>
          <w:u w:val="single"/>
        </w:rPr>
        <w:t xml:space="preserve">JSZC-321300-JZCG-G2026-0035</w:t>
      </w:r>
      <w:r>
        <w:rPr>
          <w:rFonts w:hint="eastAsia" w:ascii="宋体" w:hAnsi="宋体"/>
          <w:sz w:val="24"/>
          <w:szCs w:val="24"/>
          <w:highlight w:val="none"/>
        </w:rPr>
        <w:t xml:space="preserve">的</w:t>
      </w:r>
      <w:r>
        <w:rPr>
          <w:rFonts w:hint="eastAsia" w:ascii="宋体" w:hAnsi="宋体"/>
          <w:sz w:val="24"/>
          <w:szCs w:val="24"/>
          <w:highlight w:val="none"/>
          <w:u w:val="single"/>
        </w:rPr>
        <w:t xml:space="preserve">宿迁市传染病医院、新沂河管理处2026年物业服务采购项目</w:t>
      </w:r>
      <w:r>
        <w:rPr>
          <w:rFonts w:hint="eastAsia" w:ascii="宋体" w:hAnsi="宋体"/>
          <w:sz w:val="24"/>
          <w:szCs w:val="24"/>
        </w:rPr>
        <w:t xml:space="preserve">的招标文件，我方在参加本项目招投标活动中，特作出如下承诺：</w:t>
      </w:r>
      <w:r/>
    </w:p>
    <w:p>
      <w:pPr>
        <w:pStyle w:val="1074"/>
        <w:ind w:firstLine="480"/>
        <w:jc w:val="left"/>
        <w:spacing w:line="500" w:lineRule="exact"/>
        <w:rPr>
          <w:rFonts w:hint="eastAsia"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074"/>
        <w:ind w:firstLine="480"/>
        <w:jc w:val="left"/>
        <w:spacing w:line="500" w:lineRule="exact"/>
        <w:rPr>
          <w:rFonts w:hint="eastAsia"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74"/>
        <w:ind w:firstLine="480"/>
        <w:jc w:val="left"/>
        <w:spacing w:line="500" w:lineRule="exact"/>
        <w:rPr>
          <w:rFonts w:hint="eastAsia"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074"/>
        <w:ind w:firstLine="480"/>
        <w:jc w:val="left"/>
        <w:spacing w:line="500" w:lineRule="exact"/>
        <w:rPr>
          <w:rFonts w:hint="eastAsia"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74"/>
        <w:ind w:firstLine="480"/>
        <w:jc w:val="left"/>
        <w:spacing w:line="500" w:lineRule="exact"/>
        <w:rPr>
          <w:rFonts w:hint="eastAsia"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074"/>
        <w:ind w:firstLine="480"/>
        <w:jc w:val="left"/>
        <w:spacing w:line="500" w:lineRule="exact"/>
        <w:rPr>
          <w:rFonts w:hint="eastAsia" w:ascii="宋体" w:hAnsi="宋体"/>
          <w:sz w:val="24"/>
          <w:szCs w:val="24"/>
        </w:rPr>
      </w:pPr>
      <w:r>
        <w:rPr>
          <w:rFonts w:hint="eastAsia" w:ascii="宋体" w:hAnsi="宋体"/>
          <w:sz w:val="24"/>
          <w:szCs w:val="24"/>
        </w:rPr>
        <w:t xml:space="preserve">六、我方同意采购人、采购代理机构将本函上网公开。</w:t>
      </w:r>
      <w:r/>
    </w:p>
    <w:p>
      <w:pPr>
        <w:pStyle w:val="1074"/>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074"/>
        <w:jc w:val="left"/>
        <w:spacing w:line="500" w:lineRule="exact"/>
        <w:rPr>
          <w:rFonts w:hint="eastAsia" w:ascii="宋体" w:hAnsi="宋体"/>
          <w:sz w:val="24"/>
          <w:szCs w:val="24"/>
        </w:rPr>
      </w:pPr>
      <w:r>
        <w:rPr>
          <w:rFonts w:hint="eastAsia" w:ascii="宋体" w:hAnsi="宋体"/>
          <w:sz w:val="24"/>
          <w:szCs w:val="24"/>
        </w:rPr>
      </w:r>
      <w:r/>
    </w:p>
    <w:p>
      <w:pPr>
        <w:pStyle w:val="1074"/>
        <w:ind w:firstLine="480"/>
        <w:jc w:val="left"/>
        <w:spacing w:line="500" w:lineRule="exact"/>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074"/>
        <w:ind w:firstLine="480"/>
        <w:rPr>
          <w:rFonts w:hint="eastAsia" w:ascii="宋体" w:hAnsi="宋体"/>
          <w:sz w:val="24"/>
          <w:szCs w:val="24"/>
        </w:rPr>
      </w:pPr>
      <w:r>
        <w:rPr>
          <w:rFonts w:hint="eastAsia" w:ascii="宋体" w:hAnsi="宋体"/>
          <w:sz w:val="24"/>
          <w:szCs w:val="24"/>
        </w:rPr>
      </w:r>
      <w:r/>
    </w:p>
    <w:p>
      <w:pPr>
        <w:pStyle w:val="1074"/>
        <w:ind w:firstLine="480"/>
        <w:rPr>
          <w:rFonts w:hint="eastAsia"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r/>
      <w:r/>
    </w:p>
    <w:p>
      <w:r/>
      <w:r/>
    </w:p>
    <w:p>
      <w:pPr>
        <w:numPr>
          <w:ilvl w:val="0"/>
          <w:numId w:val="6"/>
        </w:numPr>
        <w:rPr>
          <w:rFonts w:hint="eastAsia" w:ascii="黑体" w:hAnsi="黑体" w:eastAsia="黑体" w:cs="黑体"/>
          <w:bCs/>
          <w:sz w:val="32"/>
          <w:szCs w:val="24"/>
        </w:rPr>
        <w:outlineLvl w:val="1"/>
      </w:pPr>
      <w:r>
        <w:rPr>
          <w:rFonts w:hint="eastAsia" w:ascii="黑体" w:hAnsi="黑体" w:eastAsia="黑体" w:cs="黑体"/>
          <w:bCs/>
          <w:sz w:val="32"/>
          <w:szCs w:val="24"/>
        </w:rPr>
        <w:t xml:space="preserve">法人授权书</w:t>
      </w:r>
      <w:r/>
    </w:p>
    <w:p>
      <w:pPr>
        <w:rPr>
          <w:rFonts w:hint="eastAsia" w:ascii="黑体" w:hAnsi="黑体" w:eastAsia="黑体" w:cs="黑体"/>
          <w:bCs/>
          <w:sz w:val="32"/>
          <w:szCs w:val="24"/>
        </w:rPr>
        <w:outlineLvl w:val="1"/>
      </w:pPr>
      <w:r>
        <w:rPr>
          <w:rFonts w:hint="eastAsia" w:ascii="黑体" w:hAnsi="黑体" w:eastAsia="黑体" w:cs="黑体"/>
          <w:bCs/>
          <w:sz w:val="32"/>
          <w:szCs w:val="24"/>
        </w:rPr>
      </w:r>
      <w:r/>
    </w:p>
    <w:p>
      <w:pPr>
        <w:pStyle w:val="1074"/>
        <w:jc w:val="center"/>
        <w:rPr>
          <w:rFonts w:ascii="方正小标宋_GBK" w:eastAsia="方正小标宋_GBK"/>
          <w:bCs/>
          <w:sz w:val="32"/>
          <w:szCs w:val="32"/>
        </w:rPr>
      </w:pPr>
      <w:r>
        <w:rPr>
          <w:rFonts w:hint="eastAsia" w:ascii="方正小标宋_GBK" w:eastAsia="方正小标宋_GBK"/>
          <w:bCs/>
          <w:sz w:val="32"/>
          <w:szCs w:val="32"/>
        </w:rPr>
        <w:t xml:space="preserve">法人授权书</w:t>
      </w:r>
      <w:r/>
    </w:p>
    <w:p>
      <w:pPr>
        <w:pStyle w:val="1191"/>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highlight w:val="none"/>
          <w:u w:val="single"/>
        </w:rPr>
        <w:t xml:space="preserve">JSZC-321300-JZCG-G2026-0035</w:t>
      </w:r>
      <w:r>
        <w:rPr>
          <w:rFonts w:hint="eastAsia" w:ascii="宋体" w:hAnsi="宋体"/>
          <w:sz w:val="24"/>
          <w:szCs w:val="24"/>
        </w:rPr>
        <w:t xml:space="preserve">的</w:t>
      </w:r>
      <w:r>
        <w:rPr>
          <w:rFonts w:hint="eastAsia" w:ascii="宋体" w:hAnsi="宋体"/>
          <w:sz w:val="24"/>
          <w:szCs w:val="24"/>
          <w:highlight w:val="none"/>
          <w:u w:val="single"/>
        </w:rPr>
        <w:t xml:space="preserve">宿迁市传染病医院、新沂河管理处2026年物业服务采购项目</w:t>
      </w:r>
      <w:r>
        <w:rPr>
          <w:rFonts w:hint="eastAsia" w:ascii="宋体" w:hAnsi="宋体"/>
          <w:sz w:val="24"/>
          <w:szCs w:val="24"/>
          <w:highlight w:val="none"/>
        </w:rPr>
        <w:t xml:space="preserve">采购</w:t>
      </w:r>
      <w:r>
        <w:rPr>
          <w:rFonts w:hint="eastAsia" w:ascii="宋体" w:hAnsi="宋体"/>
          <w:sz w:val="24"/>
          <w:szCs w:val="24"/>
        </w:rPr>
        <w:t xml:space="preserve">活动的合法代理人，以本单位名义全权处理一切与该项目采购有关的事务。</w:t>
      </w:r>
      <w:r/>
    </w:p>
    <w:p>
      <w:pPr>
        <w:pStyle w:val="1191"/>
        <w:ind w:firstLine="482"/>
        <w:spacing w:line="480" w:lineRule="exact"/>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1191"/>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191"/>
        <w:ind w:firstLine="482"/>
        <w:spacing w:line="480" w:lineRule="exact"/>
        <w:rPr>
          <w:rFonts w:hint="eastAsia"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191"/>
        <w:ind w:firstLine="482"/>
        <w:spacing w:line="480" w:lineRule="exact"/>
        <w:rPr>
          <w:rFonts w:hint="eastAsia"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p>
    <w:p>
      <w:pPr>
        <w:pStyle w:val="1191"/>
        <w:ind w:firstLine="482"/>
        <w:spacing w:line="480" w:lineRule="exact"/>
        <w:rPr>
          <w:rFonts w:hint="eastAsia"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191"/>
        <w:ind w:firstLine="482"/>
        <w:spacing w:line="480" w:lineRule="exact"/>
        <w:rPr>
          <w:rFonts w:hint="eastAsia" w:ascii="宋体" w:hAnsi="宋体"/>
          <w:sz w:val="24"/>
          <w:szCs w:val="24"/>
        </w:rPr>
      </w:pPr>
      <w:r>
        <w:rPr>
          <w:rFonts w:hint="eastAsia"/>
          <w:sz w:val="24"/>
          <w:szCs w:val="24"/>
        </w:rPr>
        <w:t xml:space="preserve">日期：</w:t>
      </w:r>
      <w:r>
        <w:rPr>
          <w:rFonts w:hint="eastAsia"/>
          <w:sz w:val="24"/>
          <w:szCs w:val="24"/>
          <w:u w:val="single"/>
        </w:rPr>
        <w:t xml:space="preserve">                                         </w:t>
      </w:r>
      <w:r/>
    </w:p>
    <w:p>
      <w:pPr>
        <w:pStyle w:val="1076"/>
        <w:ind w:firstLine="629"/>
        <w:spacing w:line="700" w:lineRule="exact"/>
        <w:rPr>
          <w:rFonts w:ascii="方正仿宋_GBK" w:eastAsia="方正仿宋_GBK"/>
          <w:sz w:val="24"/>
        </w:rPr>
      </w:pPr>
      <w:r>
        <w:rPr>
          <w:rFonts w:ascii="方正仿宋_GBK" w:eastAsia="方正仿宋_GBK"/>
          <w:sz w:val="24"/>
        </w:rPr>
      </w:r>
      <w:r/>
    </w:p>
    <w:p>
      <w:pPr>
        <w:pStyle w:val="1079"/>
        <w:rPr>
          <w:rFonts w:hint="eastAsia"/>
        </w:rPr>
        <w:outlineLvl w:val="1"/>
      </w:pPr>
      <w:r>
        <w:br w:type="page" w:clear="all"/>
      </w:r>
      <w:r>
        <w:rPr>
          <w:rFonts w:hint="eastAsia"/>
          <w:b w:val="0"/>
          <w:bCs/>
        </w:rPr>
        <w:t xml:space="preserve">三</w:t>
      </w:r>
      <w:r>
        <w:rPr>
          <w:b w:val="0"/>
          <w:bCs/>
        </w:rPr>
        <w:t xml:space="preserve">、开标一览表</w:t>
      </w:r>
      <w:r/>
    </w:p>
    <w:p>
      <w:pPr>
        <w:pStyle w:val="1080"/>
        <w:rPr>
          <w:rFonts w:hint="eastAsia" w:ascii="宋体" w:hAnsi="宋体" w:eastAsia="宋体" w:cs="宋体"/>
        </w:rPr>
      </w:pPr>
      <w:r>
        <w:rPr>
          <w:rFonts w:hint="eastAsia" w:ascii="宋体" w:hAnsi="宋体" w:eastAsia="宋体" w:cs="宋体"/>
        </w:rPr>
      </w:r>
      <w:r/>
    </w:p>
    <w:p>
      <w:pPr>
        <w:pStyle w:val="1080"/>
      </w:pPr>
      <w:r>
        <w:rPr>
          <w:rFonts w:hint="eastAsia" w:ascii="宋体" w:hAnsi="宋体" w:eastAsia="宋体" w:cs="宋体"/>
        </w:rPr>
        <w:t xml:space="preserve">投标人全称</w:t>
      </w:r>
      <w:r>
        <w:rPr>
          <w:rFonts w:hint="eastAsia"/>
        </w:rPr>
        <w:t xml:space="preserve">(CA</w:t>
      </w:r>
      <w:r>
        <w:rPr>
          <w:rFonts w:hint="eastAsia" w:ascii="宋体" w:hAnsi="宋体" w:eastAsia="宋体" w:cs="宋体"/>
        </w:rPr>
        <w:t xml:space="preserve">公章</w:t>
      </w:r>
      <w:r>
        <w:rPr>
          <w:rFonts w:hint="eastAsia"/>
        </w:rPr>
        <w:t xml:space="preserve">) </w:t>
      </w:r>
      <w:r>
        <w:rPr>
          <w:rFonts w:hint="eastAsia" w:eastAsia="宋体"/>
        </w:rPr>
        <w:t xml:space="preserve">：</w:t>
      </w:r>
      <w:r>
        <w:rPr>
          <w:rFonts w:hint="eastAsia" w:ascii="宋体" w:hAnsi="宋体" w:eastAsia="宋体" w:cs="宋体"/>
        </w:rPr>
        <w:t xml:space="preserve">供应商名称</w:t>
      </w:r>
      <w:r/>
    </w:p>
    <w:p>
      <w:pPr>
        <w:spacing w:line="500" w:lineRule="exact"/>
        <w:rPr>
          <w:rFonts w:ascii="Segoe UI" w:hAnsi="Segoe UI" w:cs="Segoe UI"/>
          <w:szCs w:val="21"/>
          <w:shd w:val="clear" w:color="auto" w:fill="ffffff"/>
        </w:rPr>
      </w:pPr>
      <w:r>
        <w:rPr>
          <w:rFonts w:hint="eastAsia" w:ascii="宋体" w:hAnsi="宋体" w:cs="宋体"/>
          <w:sz w:val="24"/>
          <w:szCs w:val="24"/>
        </w:rPr>
        <w:t xml:space="preserve">采购项目名称：</w:t>
      </w:r>
      <w:r>
        <w:rPr>
          <w:rFonts w:hint="eastAsia" w:ascii="宋体" w:hAnsi="宋体"/>
          <w:sz w:val="24"/>
          <w:szCs w:val="24"/>
          <w:highlight w:val="none"/>
          <w:u w:val="single"/>
        </w:rPr>
        <w:t xml:space="preserve">宿迁市传染病医院、新沂河管理处2026年物业服务采购项目</w:t>
      </w:r>
      <w:r/>
    </w:p>
    <w:p>
      <w:pPr>
        <w:spacing w:line="500" w:lineRule="exact"/>
        <w:rPr>
          <w:rFonts w:hint="eastAsia" w:ascii="宋体" w:hAnsi="宋体" w:cs="宋体"/>
          <w:sz w:val="24"/>
          <w:szCs w:val="24"/>
        </w:rPr>
      </w:pPr>
      <w:r>
        <w:rPr>
          <w:rFonts w:hint="eastAsia" w:ascii="宋体" w:hAnsi="宋体" w:cs="宋体"/>
          <w:sz w:val="24"/>
          <w:szCs w:val="24"/>
        </w:rPr>
        <w:t xml:space="preserve">采购项目编号：</w:t>
      </w:r>
      <w:r>
        <w:rPr>
          <w:rFonts w:hint="eastAsia" w:ascii="宋体" w:hAnsi="宋体"/>
          <w:sz w:val="24"/>
          <w:szCs w:val="24"/>
          <w:highlight w:val="none"/>
          <w:u w:val="single"/>
        </w:rPr>
        <w:t xml:space="preserve">JSZC-321300-JZCG-G2026-0035</w:t>
      </w:r>
      <w:r/>
    </w:p>
    <w:p>
      <w:pPr>
        <w:spacing w:line="500" w:lineRule="exact"/>
        <w:rPr>
          <w:rFonts w:hint="eastAsia" w:ascii="宋体" w:hAnsi="宋体" w:cs="宋体"/>
          <w:sz w:val="24"/>
          <w:szCs w:val="24"/>
        </w:rPr>
      </w:pPr>
      <w:r>
        <w:rPr>
          <w:rFonts w:hint="eastAsia" w:ascii="宋体" w:hAnsi="宋体" w:cs="宋体"/>
          <w:sz w:val="24"/>
          <w:szCs w:val="24"/>
        </w:rPr>
        <w:t xml:space="preserve"> 采购包号：</w:t>
      </w:r>
      <w:r>
        <w:rPr>
          <w:rStyle w:val="869"/>
          <w:rFonts w:ascii="宋体" w:hAnsi="宋体" w:cs="宋体"/>
          <w:sz w:val="24"/>
          <w:szCs w:val="24"/>
        </w:rPr>
        <w:t xml:space="preserve">分包号</w:t>
      </w:r>
      <w:r>
        <w:rPr>
          <w:rFonts w:ascii="宋体" w:hAnsi="宋体" w:cs="宋体"/>
          <w:sz w:val="24"/>
          <w:szCs w:val="24"/>
        </w:rPr>
        <w:t xml:space="preserve"> </w:t>
      </w:r>
      <w:r/>
    </w:p>
    <w:tbl>
      <w:tblPr>
        <w:tblStyle w:val="78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投标总报价</w:t>
            </w:r>
            <w:r/>
          </w:p>
        </w:tc>
      </w:tr>
      <w:tr>
        <w:trPr/>
        <w:tc>
          <w:tcPr>
            <w:tcW w:w="9400" w:type="dxa"/>
            <w:vAlign w:val="top"/>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总价（小写）：          </w:t>
            </w:r>
            <w:r>
              <w:rPr>
                <w:rFonts w:ascii="宋体" w:hAnsi="宋体" w:cs="宋体"/>
                <w:sz w:val="24"/>
                <w:szCs w:val="24"/>
              </w:rPr>
              <w:t xml:space="preserve">（人民币：元）</w:t>
            </w:r>
            <w:r/>
          </w:p>
        </w:tc>
      </w:tr>
      <w:tr>
        <w:trPr/>
        <w:tc>
          <w:tcPr>
            <w:tcW w:w="9400" w:type="dxa"/>
            <w:vAlign w:val="top"/>
            <w:textDirection w:val="lrTb"/>
            <w:noWrap w:val="false"/>
          </w:tcPr>
          <w:p>
            <w:pPr>
              <w:spacing w:line="500" w:lineRule="exact"/>
              <w:rPr>
                <w:rFonts w:hint="eastAsia" w:ascii="宋体" w:hAnsi="宋体" w:cs="宋体"/>
                <w:sz w:val="24"/>
                <w:szCs w:val="24"/>
              </w:rPr>
            </w:pPr>
            <w:r>
              <w:rPr>
                <w:rFonts w:ascii="宋体" w:hAnsi="宋体" w:cs="宋体"/>
                <w:sz w:val="24"/>
                <w:szCs w:val="24"/>
              </w:rPr>
              <w:t xml:space="preserve">总价（大写）：</w:t>
            </w:r>
            <w:r>
              <w:rPr>
                <w:rStyle w:val="869"/>
                <w:rFonts w:ascii="宋体" w:hAnsi="宋体" w:cs="宋体"/>
                <w:sz w:val="24"/>
                <w:szCs w:val="24"/>
              </w:rPr>
              <w:t xml:space="preserve">金额大写</w:t>
            </w:r>
            <w:r>
              <w:rPr>
                <w:rFonts w:ascii="宋体" w:hAnsi="宋体" w:cs="宋体"/>
                <w:sz w:val="24"/>
                <w:szCs w:val="24"/>
              </w:rPr>
              <w:t xml:space="preserve"> （人民币：元）</w:t>
            </w:r>
            <w:r/>
          </w:p>
        </w:tc>
      </w:tr>
    </w:tbl>
    <w:p>
      <w:pPr>
        <w:spacing w:line="500" w:lineRule="exact"/>
        <w:rPr>
          <w:rFonts w:hint="eastAsia" w:ascii="宋体" w:hAnsi="宋体" w:cs="宋体"/>
          <w:sz w:val="24"/>
          <w:szCs w:val="24"/>
        </w:rPr>
      </w:pPr>
      <w:r>
        <w:rPr>
          <w:rFonts w:hint="eastAsia" w:ascii="宋体" w:hAnsi="宋体" w:cs="宋体"/>
          <w:sz w:val="24"/>
          <w:szCs w:val="24"/>
        </w:rPr>
      </w:r>
      <w:r/>
    </w:p>
    <w:p>
      <w:r/>
      <w:r/>
    </w:p>
    <w:p>
      <w:r/>
      <w:r/>
    </w:p>
    <w:p>
      <w:r/>
      <w:r/>
    </w:p>
    <w:p>
      <w:pPr>
        <w:rPr>
          <w:rFonts w:hint="eastAsia" w:ascii="宋体" w:hAnsi="宋体" w:cs="宋体"/>
          <w:sz w:val="24"/>
        </w:rPr>
      </w:pPr>
      <w:r>
        <w:rPr>
          <w:rFonts w:hint="eastAsia"/>
        </w:rPr>
        <w:t xml:space="preserve"> </w:t>
      </w:r>
      <w:r>
        <w:t xml:space="preserve">                   </w:t>
      </w:r>
      <w:r>
        <w:rPr>
          <w:rFonts w:hint="eastAsia"/>
        </w:rPr>
        <w:t xml:space="preserve">                   </w:t>
      </w:r>
      <w:r>
        <w:t xml:space="preserve">     </w:t>
      </w:r>
      <w:bookmarkStart w:id="136" w:name="_Toc12113"/>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日</w:t>
      </w:r>
      <w:bookmarkEnd w:id="136"/>
      <w:r/>
      <w:r/>
    </w:p>
    <w:p>
      <w:pPr>
        <w:pStyle w:val="1082"/>
        <w:rPr>
          <w:rFonts w:hint="eastAsia"/>
        </w:rPr>
        <w:outlineLvl w:val="1"/>
      </w:pPr>
      <w:r>
        <w:br w:type="page" w:clear="all"/>
      </w:r>
      <w:r>
        <w:rPr>
          <w:rFonts w:hint="eastAsia"/>
          <w:b w:val="0"/>
          <w:bCs/>
        </w:rPr>
        <w:t xml:space="preserve">四</w:t>
      </w:r>
      <w:r>
        <w:rPr>
          <w:b w:val="0"/>
          <w:bCs/>
        </w:rPr>
        <w:t xml:space="preserve">、</w:t>
      </w:r>
      <w:r>
        <w:rPr>
          <w:rFonts w:hint="eastAsia"/>
          <w:b w:val="0"/>
          <w:bCs/>
        </w:rPr>
        <w:t xml:space="preserve">分项报价表</w:t>
      </w:r>
      <w:r/>
    </w:p>
    <w:tbl>
      <w:tblPr>
        <w:tblStyle w:val="785"/>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122"/>
        <w:gridCol w:w="2377"/>
        <w:gridCol w:w="1383"/>
        <w:gridCol w:w="1394"/>
        <w:gridCol w:w="909"/>
        <w:gridCol w:w="1290"/>
      </w:tblGrid>
      <w:tr>
        <w:trPr>
          <w:cantSplit/>
          <w:jc w:val="center"/>
          <w:trHeight w:val="580"/>
        </w:trPr>
        <w:tc>
          <w:tcPr>
            <w:gridSpan w:val="7"/>
            <w:tcW w:w="1039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b/>
                <w:bCs/>
                <w:sz w:val="24"/>
                <w:szCs w:val="24"/>
              </w:rPr>
              <w:t xml:space="preserve">宿迁市传染病医院</w:t>
            </w:r>
            <w:r/>
          </w:p>
        </w:tc>
      </w:tr>
      <w:tr>
        <w:trPr>
          <w:cantSplit/>
          <w:jc w:val="center"/>
          <w:trHeight w:val="580"/>
        </w:trPr>
        <w:tc>
          <w:tcPr>
            <w:gridSpan w:val="7"/>
            <w:tcW w:w="10393" w:type="dxa"/>
            <w:vAlign w:val="center"/>
            <w:textDirection w:val="lrTb"/>
            <w:noWrap w:val="false"/>
          </w:tcPr>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工资、保险</w:t>
            </w:r>
            <w:r/>
          </w:p>
        </w:tc>
      </w:tr>
      <w:tr>
        <w:trPr>
          <w:cantSplit/>
          <w:jc w:val="center"/>
          <w:trHeight w:val="790"/>
        </w:trPr>
        <w:tc>
          <w:tcPr>
            <w:tcW w:w="918" w:type="dxa"/>
            <w:vAlign w:val="center"/>
            <w:textDirection w:val="lrTb"/>
            <w:noWrap w:val="false"/>
          </w:tcPr>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2122" w:type="dxa"/>
            <w:vAlign w:val="center"/>
            <w:textDirection w:val="lrTb"/>
            <w:noWrap w:val="false"/>
          </w:tcPr>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2377" w:type="dxa"/>
            <w:vAlign w:val="center"/>
            <w:textDirection w:val="lrTb"/>
            <w:noWrap w:val="false"/>
          </w:tcPr>
          <w:p>
            <w:pPr>
              <w:pStyle w:val="1096"/>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p>
        </w:tc>
        <w:tc>
          <w:tcPr>
            <w:tcW w:w="1383" w:type="dxa"/>
            <w:vAlign w:val="center"/>
            <w:textDirection w:val="lrTb"/>
            <w:noWrap w:val="false"/>
          </w:tcPr>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费用单价/月工资</w:t>
            </w:r>
            <w:r/>
          </w:p>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c>
          <w:tcPr>
            <w:tcW w:w="1394" w:type="dxa"/>
            <w:vAlign w:val="center"/>
            <w:textDirection w:val="lrTb"/>
            <w:noWrap w:val="false"/>
          </w:tcPr>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909" w:type="dxa"/>
            <w:vAlign w:val="center"/>
            <w:textDirection w:val="lrTb"/>
            <w:noWrap w:val="false"/>
          </w:tcPr>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p>
        </w:tc>
        <w:tc>
          <w:tcPr>
            <w:tcW w:w="1290" w:type="dxa"/>
            <w:vAlign w:val="center"/>
            <w:textDirection w:val="lrTb"/>
            <w:noWrap w:val="false"/>
          </w:tcPr>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合价/1年工资</w:t>
            </w:r>
            <w:r/>
          </w:p>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r>
      <w:tr>
        <w:trPr>
          <w:cantSplit/>
          <w:jc w:val="center"/>
          <w:trHeight w:val="703"/>
        </w:trPr>
        <w:tc>
          <w:tcPr>
            <w:tcW w:w="918" w:type="dxa"/>
            <w:vAlign w:val="center"/>
            <w:textDirection w:val="lrTb"/>
            <w:noWrap w:val="false"/>
          </w:tcPr>
          <w:p>
            <w:pPr>
              <w:pStyle w:val="1130"/>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tcW w:w="2122" w:type="dxa"/>
            <w:vAlign w:val="center"/>
            <w:vMerge w:val="restart"/>
            <w:textDirection w:val="lrTb"/>
            <w:noWrap w:val="false"/>
          </w:tcPr>
          <w:p>
            <w:pPr>
              <w:pStyle w:val="1130"/>
              <w:jc w:val="center"/>
              <w:spacing w:line="360" w:lineRule="exact"/>
              <w:widowControl/>
              <w:rPr>
                <w:rFonts w:hint="eastAsia" w:ascii="宋体" w:hAnsi="宋体" w:cs="宋体"/>
                <w:color w:val="ff0000"/>
                <w:sz w:val="24"/>
                <w:szCs w:val="24"/>
              </w:rPr>
            </w:pPr>
            <w:r>
              <w:rPr>
                <w:rFonts w:hint="eastAsia" w:ascii="宋体" w:hAnsi="宋体" w:cs="宋体"/>
                <w:sz w:val="24"/>
                <w:szCs w:val="24"/>
              </w:rPr>
              <w:t xml:space="preserve">人员工资</w:t>
            </w:r>
            <w:r/>
          </w:p>
        </w:tc>
        <w:tc>
          <w:tcPr>
            <w:tcW w:w="237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项目经理</w:t>
            </w:r>
            <w:r/>
          </w:p>
        </w:tc>
        <w:tc>
          <w:tcPr>
            <w:tcW w:w="138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909" w:type="dxa"/>
            <w:vAlign w:val="center"/>
            <w:textDirection w:val="lrTb"/>
            <w:noWrap w:val="false"/>
          </w:tcPr>
          <w:p>
            <w:pPr>
              <w:pStyle w:val="113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3"/>
        </w:trPr>
        <w:tc>
          <w:tcPr>
            <w:tcW w:w="918" w:type="dxa"/>
            <w:vAlign w:val="center"/>
            <w:textDirection w:val="lrTb"/>
            <w:noWrap w:val="false"/>
          </w:tcPr>
          <w:p>
            <w:pPr>
              <w:pStyle w:val="1130"/>
              <w:jc w:val="center"/>
              <w:spacing w:line="360" w:lineRule="exact"/>
              <w:widowControl/>
              <w:rPr>
                <w:rFonts w:hint="eastAsia" w:ascii="宋体" w:hAnsi="宋体" w:cs="宋体"/>
                <w:sz w:val="24"/>
                <w:szCs w:val="24"/>
              </w:rPr>
            </w:pPr>
            <w:r>
              <w:rPr>
                <w:rFonts w:hint="eastAsia" w:ascii="宋体" w:hAnsi="宋体" w:cs="宋体"/>
                <w:sz w:val="24"/>
                <w:szCs w:val="24"/>
              </w:rPr>
              <w:t xml:space="preserve">2</w:t>
            </w:r>
            <w:r/>
          </w:p>
        </w:tc>
        <w:tc>
          <w:tcPr>
            <w:tcW w:w="2122" w:type="dxa"/>
            <w:vAlign w:val="center"/>
            <w:vMerge w:val="continue"/>
            <w:textDirection w:val="lrTb"/>
            <w:noWrap w:val="false"/>
          </w:tcPr>
          <w:p>
            <w:pPr>
              <w:pStyle w:val="1130"/>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保洁员</w:t>
            </w:r>
            <w:r/>
          </w:p>
        </w:tc>
        <w:tc>
          <w:tcPr>
            <w:tcW w:w="138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2</w:t>
            </w:r>
            <w:r/>
          </w:p>
        </w:tc>
        <w:tc>
          <w:tcPr>
            <w:tcW w:w="909" w:type="dxa"/>
            <w:vAlign w:val="center"/>
            <w:textDirection w:val="lrTb"/>
            <w:noWrap w:val="false"/>
          </w:tcPr>
          <w:p>
            <w:pPr>
              <w:pStyle w:val="113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W w:w="2122" w:type="dxa"/>
            <w:vAlign w:val="center"/>
            <w:vMerge w:val="continue"/>
            <w:textDirection w:val="lrTb"/>
            <w:noWrap w:val="false"/>
          </w:tcPr>
          <w:p>
            <w:pPr>
              <w:pStyle w:val="1070"/>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保安员</w:t>
            </w:r>
            <w:r/>
          </w:p>
        </w:tc>
        <w:tc>
          <w:tcPr>
            <w:tcW w:w="138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6</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W w:w="2122" w:type="dxa"/>
            <w:vAlign w:val="center"/>
            <w:vMerge w:val="continue"/>
            <w:textDirection w:val="lrTb"/>
            <w:noWrap w:val="false"/>
          </w:tcPr>
          <w:p>
            <w:pPr>
              <w:pStyle w:val="1070"/>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消防员</w:t>
            </w:r>
            <w:r/>
          </w:p>
        </w:tc>
        <w:tc>
          <w:tcPr>
            <w:tcW w:w="138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2</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W w:w="2122" w:type="dxa"/>
            <w:vAlign w:val="center"/>
            <w:vMerge w:val="continue"/>
            <w:textDirection w:val="lrTb"/>
            <w:noWrap w:val="false"/>
          </w:tcPr>
          <w:p>
            <w:pPr>
              <w:pStyle w:val="1070"/>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水电工</w:t>
            </w:r>
            <w:r/>
          </w:p>
        </w:tc>
        <w:tc>
          <w:tcPr>
            <w:tcW w:w="138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83"/>
        </w:trPr>
        <w:tc>
          <w:tcPr>
            <w:tcW w:w="918"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122" w:type="dxa"/>
            <w:vAlign w:val="center"/>
            <w:vMerge w:val="restart"/>
            <w:textDirection w:val="lrTb"/>
            <w:noWrap w:val="false"/>
          </w:tcPr>
          <w:p>
            <w:pPr>
              <w:pStyle w:val="1070"/>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p>
        </w:tc>
        <w:tc>
          <w:tcPr>
            <w:tcW w:w="2377"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意外险</w:t>
            </w:r>
            <w:r/>
          </w:p>
        </w:tc>
        <w:tc>
          <w:tcPr>
            <w:tcW w:w="138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12</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41"/>
        </w:trPr>
        <w:tc>
          <w:tcPr>
            <w:tcW w:w="918"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7</w:t>
            </w:r>
            <w:r/>
          </w:p>
        </w:tc>
        <w:tc>
          <w:tcPr>
            <w:tcW w:w="2122" w:type="dxa"/>
            <w:vAlign w:val="center"/>
            <w:vMerge w:val="continue"/>
            <w:textDirection w:val="lrTb"/>
            <w:noWrap w:val="false"/>
          </w:tcPr>
          <w:p>
            <w:pPr>
              <w:pStyle w:val="1070"/>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社保</w:t>
            </w:r>
            <w:r/>
          </w:p>
        </w:tc>
        <w:tc>
          <w:tcPr>
            <w:tcW w:w="138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1130"/>
              <w:jc w:val="center"/>
              <w:spacing w:line="360" w:lineRule="exact"/>
              <w:widowControl/>
              <w:rPr>
                <w:rFonts w:hint="eastAsia" w:ascii="宋体" w:hAnsi="宋体" w:cs="宋体"/>
                <w:sz w:val="24"/>
                <w:szCs w:val="24"/>
              </w:rPr>
            </w:pPr>
            <w:r>
              <w:rPr>
                <w:rFonts w:hint="eastAsia" w:ascii="宋体" w:hAnsi="宋体" w:cs="宋体"/>
                <w:sz w:val="24"/>
                <w:szCs w:val="24"/>
              </w:rPr>
              <w:t xml:space="preserve">4</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2"/>
        </w:trPr>
        <w:tc>
          <w:tcPr>
            <w:gridSpan w:val="7"/>
            <w:tcW w:w="1039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918"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2122"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项目</w:t>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分项报价（元/1年）</w:t>
            </w:r>
            <w:r/>
          </w:p>
        </w:tc>
      </w:tr>
      <w:tr>
        <w:trPr>
          <w:cantSplit/>
          <w:jc w:val="center"/>
          <w:trHeight w:val="610"/>
        </w:trPr>
        <w:tc>
          <w:tcPr>
            <w:tcW w:w="918"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8</w:t>
            </w:r>
            <w:r/>
          </w:p>
        </w:tc>
        <w:tc>
          <w:tcPr>
            <w:tcW w:w="2122"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设备(工具)或者折旧费</w:t>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5"/>
        </w:trPr>
        <w:tc>
          <w:tcPr>
            <w:tcW w:w="918"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9</w:t>
            </w:r>
            <w:r/>
          </w:p>
        </w:tc>
        <w:tc>
          <w:tcPr>
            <w:tcW w:w="2122"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耗材费</w:t>
            </w:r>
            <w:r/>
          </w:p>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（办公用品等）</w:t>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30"/>
        </w:trPr>
        <w:tc>
          <w:tcPr>
            <w:tcW w:w="918"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10</w:t>
            </w:r>
            <w:r/>
          </w:p>
        </w:tc>
        <w:tc>
          <w:tcPr>
            <w:tcW w:w="2122"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垃圾清运费</w:t>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07"/>
        </w:trPr>
        <w:tc>
          <w:tcPr>
            <w:tcW w:w="918"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11</w:t>
            </w:r>
            <w:r/>
          </w:p>
        </w:tc>
        <w:tc>
          <w:tcPr>
            <w:tcW w:w="2122"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服装费</w:t>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
        </w:trPr>
        <w:tc>
          <w:tcPr>
            <w:tcW w:w="918"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12</w:t>
            </w:r>
            <w:r/>
          </w:p>
        </w:tc>
        <w:tc>
          <w:tcPr>
            <w:tcW w:w="2122"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494"/>
        </w:trPr>
        <w:tc>
          <w:tcPr>
            <w:tcW w:w="918"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13</w:t>
            </w:r>
            <w:r/>
          </w:p>
        </w:tc>
        <w:tc>
          <w:tcPr>
            <w:tcW w:w="2122"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4"/>
        </w:trPr>
        <w:tc>
          <w:tcPr>
            <w:tcW w:w="918"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14</w:t>
            </w:r>
            <w:r/>
          </w:p>
        </w:tc>
        <w:tc>
          <w:tcPr>
            <w:tcW w:w="2122"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其他费用（投标人可以自行添加）</w:t>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vMerge w:val="restart"/>
            <w:textDirection w:val="lrTb"/>
            <w:noWrap w:val="false"/>
          </w:tcPr>
          <w:p>
            <w:pPr>
              <w:pStyle w:val="1130"/>
              <w:jc w:val="center"/>
              <w:spacing w:line="360" w:lineRule="exact"/>
              <w:rPr>
                <w:rFonts w:ascii="宋体" w:hAnsi="宋体" w:cs="宋体"/>
                <w:sz w:val="24"/>
                <w:szCs w:val="24"/>
              </w:rPr>
            </w:pPr>
            <w:r>
              <w:rPr>
                <w:rFonts w:hint="eastAsia" w:ascii="宋体" w:hAnsi="宋体" w:cs="宋体"/>
                <w:sz w:val="24"/>
                <w:szCs w:val="24"/>
              </w:rPr>
              <w:t xml:space="preserve">15</w:t>
            </w:r>
            <w:r/>
          </w:p>
        </w:tc>
        <w:tc>
          <w:tcPr>
            <w:tcW w:w="2122" w:type="dxa"/>
            <w:vAlign w:val="center"/>
            <w:vMerge w:val="restart"/>
            <w:textDirection w:val="lrTb"/>
            <w:noWrap w:val="false"/>
          </w:tcPr>
          <w:p>
            <w:pPr>
              <w:pStyle w:val="1130"/>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vMerge w:val="continue"/>
            <w:textDirection w:val="lrTb"/>
            <w:noWrap w:val="false"/>
          </w:tcPr>
          <w:p>
            <w:pPr>
              <w:pStyle w:val="1130"/>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tcW w:w="2122" w:type="dxa"/>
            <w:vAlign w:val="center"/>
            <w:vMerge w:val="continue"/>
            <w:textDirection w:val="lrTb"/>
            <w:noWrap w:val="false"/>
          </w:tcPr>
          <w:p>
            <w:pPr>
              <w:pStyle w:val="1130"/>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增值税纳税人身份：</w:t>
            </w:r>
            <w:r>
              <w:rPr>
                <w:rFonts w:hint="eastAsia" w:ascii="宋体" w:hAnsi="宋体" w:cs="宋体"/>
                <w:sz w:val="24"/>
                <w:szCs w:val="24"/>
                <w:u w:val="single"/>
              </w:rPr>
              <w:t xml:space="preserve">       </w:t>
            </w:r>
            <w:r>
              <w:rPr>
                <w:rFonts w:hint="eastAsia" w:ascii="宋体" w:hAnsi="宋体" w:cs="宋体"/>
                <w:sz w:val="24"/>
                <w:szCs w:val="24"/>
              </w:rPr>
              <w:t xml:space="preserve">；税率：</w:t>
            </w:r>
            <w:r>
              <w:rPr>
                <w:rFonts w:hint="eastAsia" w:ascii="宋体" w:hAnsi="宋体" w:cs="宋体"/>
                <w:sz w:val="24"/>
                <w:szCs w:val="24"/>
                <w:u w:val="single"/>
              </w:rPr>
              <w:t xml:space="preserve">        </w:t>
            </w:r>
            <w:r>
              <w:rPr>
                <w:rFonts w:hint="eastAsia" w:ascii="宋体" w:hAnsi="宋体" w:cs="宋体"/>
                <w:sz w:val="24"/>
                <w:szCs w:val="24"/>
              </w:rPr>
              <w:t xml:space="preserve">（明确是增值税一般纳税人还是小规模纳税人并提供相关证明）</w:t>
            </w:r>
            <w:r/>
          </w:p>
        </w:tc>
      </w:tr>
      <w:tr>
        <w:trPr>
          <w:cantSplit/>
          <w:jc w:val="center"/>
          <w:trHeight w:val="553"/>
        </w:trPr>
        <w:tc>
          <w:tcPr>
            <w:tcW w:w="918" w:type="dxa"/>
            <w:vAlign w:val="center"/>
            <w:textDirection w:val="lrTb"/>
            <w:noWrap w:val="false"/>
          </w:tcPr>
          <w:p>
            <w:pPr>
              <w:pStyle w:val="1130"/>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r>
            <w:r/>
          </w:p>
        </w:tc>
        <w:tc>
          <w:tcPr>
            <w:tcW w:w="2122" w:type="dxa"/>
            <w:vAlign w:val="center"/>
            <w:textDirection w:val="lrTb"/>
            <w:noWrap w:val="false"/>
          </w:tcPr>
          <w:p>
            <w:pPr>
              <w:pStyle w:val="1130"/>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5"/>
            <w:tcW w:w="7353" w:type="dxa"/>
            <w:vAlign w:val="center"/>
            <w:textDirection w:val="lrTb"/>
            <w:noWrap w:val="false"/>
          </w:tcPr>
          <w:p>
            <w:pPr>
              <w:pStyle w:val="1130"/>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jc w:val="center"/>
          <w:trHeight w:val="1530"/>
        </w:trPr>
        <w:tc>
          <w:tcPr>
            <w:gridSpan w:val="2"/>
            <w:tcW w:w="3040" w:type="dxa"/>
            <w:vAlign w:val="center"/>
            <w:textDirection w:val="lrTb"/>
            <w:noWrap w:val="false"/>
          </w:tcPr>
          <w:p>
            <w:pPr>
              <w:pStyle w:val="1130"/>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小计1</w:t>
            </w:r>
            <w:r/>
          </w:p>
        </w:tc>
        <w:tc>
          <w:tcPr>
            <w:gridSpan w:val="5"/>
            <w:tcW w:w="7353" w:type="dxa"/>
            <w:vAlign w:val="center"/>
            <w:textDirection w:val="lrTb"/>
            <w:noWrap w:val="false"/>
          </w:tcPr>
          <w:p>
            <w:pPr>
              <w:pStyle w:val="1130"/>
              <w:spacing w:line="3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130"/>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p>
        </w:tc>
      </w:tr>
      <w:tr>
        <w:trPr>
          <w:cantSplit/>
          <w:jc w:val="center"/>
          <w:trHeight w:val="580"/>
        </w:trPr>
        <w:tc>
          <w:tcPr>
            <w:gridSpan w:val="7"/>
            <w:tcW w:w="10393" w:type="dxa"/>
            <w:vAlign w:val="center"/>
            <w:textDirection w:val="lrTb"/>
            <w:noWrap w:val="false"/>
          </w:tcPr>
          <w:p>
            <w:pPr>
              <w:jc w:val="center"/>
              <w:spacing w:line="400" w:lineRule="exact"/>
              <w:rPr>
                <w:rFonts w:hint="eastAsia" w:ascii="宋体" w:hAnsi="宋体" w:cs="宋体"/>
                <w:sz w:val="24"/>
                <w:szCs w:val="24"/>
              </w:rPr>
            </w:pPr>
            <w:r>
              <w:rPr>
                <w:rFonts w:hint="eastAsia" w:ascii="Times New Roman" w:hAnsi="Times New Roman"/>
                <w:b/>
                <w:bCs/>
                <w:sz w:val="24"/>
                <w:szCs w:val="21"/>
              </w:rPr>
              <w:t xml:space="preserve">宿迁市新沂河调度工程管理处</w:t>
            </w:r>
            <w:r/>
          </w:p>
        </w:tc>
      </w:tr>
      <w:tr>
        <w:trPr>
          <w:cantSplit/>
          <w:jc w:val="center"/>
          <w:trHeight w:val="580"/>
        </w:trPr>
        <w:tc>
          <w:tcPr>
            <w:gridSpan w:val="7"/>
            <w:tcW w:w="10393" w:type="dxa"/>
            <w:vAlign w:val="center"/>
            <w:textDirection w:val="lrTb"/>
            <w:noWrap w:val="false"/>
          </w:tcPr>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工资、保险</w:t>
            </w:r>
            <w:r/>
          </w:p>
        </w:tc>
      </w:tr>
      <w:tr>
        <w:trPr>
          <w:cantSplit/>
          <w:jc w:val="center"/>
          <w:trHeight w:val="790"/>
        </w:trPr>
        <w:tc>
          <w:tcPr>
            <w:tcW w:w="918" w:type="dxa"/>
            <w:vAlign w:val="center"/>
            <w:textDirection w:val="lrTb"/>
            <w:noWrap w:val="false"/>
          </w:tcPr>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2122" w:type="dxa"/>
            <w:vAlign w:val="center"/>
            <w:textDirection w:val="lrTb"/>
            <w:noWrap w:val="false"/>
          </w:tcPr>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2377" w:type="dxa"/>
            <w:vAlign w:val="center"/>
            <w:textDirection w:val="lrTb"/>
            <w:noWrap w:val="false"/>
          </w:tcPr>
          <w:p>
            <w:pPr>
              <w:pStyle w:val="1096"/>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p>
        </w:tc>
        <w:tc>
          <w:tcPr>
            <w:tcW w:w="1383" w:type="dxa"/>
            <w:vAlign w:val="center"/>
            <w:textDirection w:val="lrTb"/>
            <w:noWrap w:val="false"/>
          </w:tcPr>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费用单价/月工资</w:t>
            </w:r>
            <w:r/>
          </w:p>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c>
          <w:tcPr>
            <w:tcW w:w="1394" w:type="dxa"/>
            <w:vAlign w:val="center"/>
            <w:textDirection w:val="lrTb"/>
            <w:noWrap w:val="false"/>
          </w:tcPr>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909" w:type="dxa"/>
            <w:vAlign w:val="center"/>
            <w:textDirection w:val="lrTb"/>
            <w:noWrap w:val="false"/>
          </w:tcPr>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p>
        </w:tc>
        <w:tc>
          <w:tcPr>
            <w:tcW w:w="1290" w:type="dxa"/>
            <w:vAlign w:val="center"/>
            <w:textDirection w:val="lrTb"/>
            <w:noWrap w:val="false"/>
          </w:tcPr>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合价/1年工资</w:t>
            </w:r>
            <w:r/>
          </w:p>
          <w:p>
            <w:pPr>
              <w:pStyle w:val="1129"/>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r>
      <w:tr>
        <w:trPr>
          <w:cantSplit/>
          <w:jc w:val="center"/>
          <w:trHeight w:val="558"/>
        </w:trPr>
        <w:tc>
          <w:tcPr>
            <w:tcW w:w="918" w:type="dxa"/>
            <w:vAlign w:val="center"/>
            <w:vMerge w:val="restart"/>
            <w:textDirection w:val="lrTb"/>
            <w:noWrap w:val="false"/>
          </w:tcPr>
          <w:p>
            <w:pPr>
              <w:pStyle w:val="1130"/>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tcW w:w="2122" w:type="dxa"/>
            <w:vAlign w:val="center"/>
            <w:vMerge w:val="restart"/>
            <w:textDirection w:val="lrTb"/>
            <w:noWrap w:val="false"/>
          </w:tcPr>
          <w:p>
            <w:pPr>
              <w:pStyle w:val="1130"/>
              <w:jc w:val="center"/>
              <w:spacing w:line="360" w:lineRule="exact"/>
              <w:widowControl/>
              <w:rPr>
                <w:rFonts w:hint="eastAsia" w:ascii="宋体" w:hAnsi="宋体" w:cs="宋体"/>
                <w:color w:val="ff0000"/>
                <w:sz w:val="24"/>
                <w:szCs w:val="24"/>
              </w:rPr>
            </w:pPr>
            <w:r>
              <w:rPr>
                <w:rFonts w:hint="eastAsia" w:ascii="宋体" w:hAnsi="宋体" w:cs="宋体"/>
                <w:sz w:val="24"/>
                <w:szCs w:val="24"/>
              </w:rPr>
              <w:t xml:space="preserve">人员工资</w:t>
            </w:r>
            <w:r/>
          </w:p>
        </w:tc>
        <w:tc>
          <w:tcPr>
            <w:tcW w:w="237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保洁员</w:t>
            </w:r>
            <w:r/>
          </w:p>
        </w:tc>
        <w:tc>
          <w:tcPr>
            <w:tcW w:w="138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909" w:type="dxa"/>
            <w:vAlign w:val="center"/>
            <w:textDirection w:val="lrTb"/>
            <w:noWrap w:val="false"/>
          </w:tcPr>
          <w:p>
            <w:pPr>
              <w:pStyle w:val="113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27"/>
        </w:trPr>
        <w:tc>
          <w:tcPr>
            <w:tcW w:w="918" w:type="dxa"/>
            <w:vAlign w:val="center"/>
            <w:vMerge w:val="continue"/>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c>
          <w:tcPr>
            <w:tcW w:w="2122" w:type="dxa"/>
            <w:vAlign w:val="center"/>
            <w:vMerge w:val="continue"/>
            <w:textDirection w:val="lrTb"/>
            <w:noWrap w:val="false"/>
          </w:tcPr>
          <w:p>
            <w:pPr>
              <w:pStyle w:val="1070"/>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保安员</w:t>
            </w:r>
            <w:r/>
          </w:p>
        </w:tc>
        <w:tc>
          <w:tcPr>
            <w:tcW w:w="138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1</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3"/>
        </w:trPr>
        <w:tc>
          <w:tcPr>
            <w:tcW w:w="918"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W w:w="2122" w:type="dxa"/>
            <w:vAlign w:val="center"/>
            <w:textDirection w:val="lrTb"/>
            <w:noWrap w:val="false"/>
          </w:tcPr>
          <w:p>
            <w:pPr>
              <w:pStyle w:val="1130"/>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p>
        </w:tc>
        <w:tc>
          <w:tcPr>
            <w:tcW w:w="2377"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意外险</w:t>
            </w:r>
            <w:r/>
          </w:p>
        </w:tc>
        <w:tc>
          <w:tcPr>
            <w:tcW w:w="138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2"/>
        </w:trPr>
        <w:tc>
          <w:tcPr>
            <w:gridSpan w:val="7"/>
            <w:tcW w:w="1039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918"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2122"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项目</w:t>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分项报价（元/1年）</w:t>
            </w:r>
            <w:r/>
          </w:p>
        </w:tc>
      </w:tr>
      <w:tr>
        <w:trPr>
          <w:cantSplit/>
          <w:jc w:val="center"/>
          <w:trHeight w:val="610"/>
        </w:trPr>
        <w:tc>
          <w:tcPr>
            <w:tcW w:w="918"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W w:w="2122"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设备(工具)或者折旧费</w:t>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930"/>
        </w:trPr>
        <w:tc>
          <w:tcPr>
            <w:tcW w:w="918" w:type="dxa"/>
            <w:vAlign w:val="center"/>
            <w:textDirection w:val="lrTb"/>
            <w:noWrap w:val="false"/>
          </w:tcPr>
          <w:p>
            <w:pPr>
              <w:pStyle w:val="1130"/>
              <w:jc w:val="center"/>
              <w:spacing w:line="360" w:lineRule="exact"/>
              <w:rPr>
                <w:rFonts w:ascii="宋体" w:hAnsi="宋体" w:cs="宋体"/>
                <w:sz w:val="24"/>
                <w:szCs w:val="24"/>
              </w:rPr>
            </w:pPr>
            <w:r>
              <w:rPr>
                <w:rFonts w:hint="eastAsia" w:ascii="宋体" w:hAnsi="宋体" w:cs="宋体"/>
                <w:sz w:val="24"/>
                <w:szCs w:val="24"/>
              </w:rPr>
              <w:t xml:space="preserve">4</w:t>
            </w:r>
            <w:r/>
          </w:p>
        </w:tc>
        <w:tc>
          <w:tcPr>
            <w:tcW w:w="2122"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耗材费</w:t>
            </w:r>
            <w:r/>
          </w:p>
          <w:p>
            <w:pPr>
              <w:pStyle w:val="1130"/>
              <w:jc w:val="center"/>
              <w:spacing w:line="360" w:lineRule="exact"/>
              <w:rPr>
                <w:rFonts w:ascii="宋体" w:hAnsi="宋体" w:cs="宋体"/>
                <w:sz w:val="24"/>
                <w:szCs w:val="24"/>
              </w:rPr>
            </w:pPr>
            <w:r>
              <w:rPr>
                <w:rFonts w:hint="eastAsia" w:ascii="宋体" w:hAnsi="宋体" w:cs="宋体"/>
                <w:sz w:val="24"/>
                <w:szCs w:val="24"/>
              </w:rPr>
              <w:t xml:space="preserve">（办公用品等）</w:t>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07"/>
        </w:trPr>
        <w:tc>
          <w:tcPr>
            <w:tcW w:w="918" w:type="dxa"/>
            <w:vAlign w:val="center"/>
            <w:textDirection w:val="lrTb"/>
            <w:noWrap w:val="false"/>
          </w:tcPr>
          <w:p>
            <w:pPr>
              <w:pStyle w:val="1130"/>
              <w:jc w:val="center"/>
              <w:spacing w:line="360" w:lineRule="exact"/>
              <w:rPr>
                <w:rFonts w:ascii="宋体" w:hAnsi="宋体" w:cs="宋体"/>
                <w:sz w:val="24"/>
                <w:szCs w:val="24"/>
              </w:rPr>
            </w:pPr>
            <w:r>
              <w:rPr>
                <w:rFonts w:hint="eastAsia" w:ascii="宋体" w:hAnsi="宋体" w:cs="宋体"/>
                <w:sz w:val="24"/>
                <w:szCs w:val="24"/>
              </w:rPr>
              <w:t xml:space="preserve">5</w:t>
            </w:r>
            <w:r/>
          </w:p>
        </w:tc>
        <w:tc>
          <w:tcPr>
            <w:tcW w:w="2122"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服装费</w:t>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
        </w:trPr>
        <w:tc>
          <w:tcPr>
            <w:tcW w:w="918" w:type="dxa"/>
            <w:vAlign w:val="center"/>
            <w:textDirection w:val="lrTb"/>
            <w:noWrap w:val="false"/>
          </w:tcPr>
          <w:p>
            <w:pPr>
              <w:pStyle w:val="1130"/>
              <w:jc w:val="center"/>
              <w:spacing w:line="360" w:lineRule="exact"/>
              <w:rPr>
                <w:rFonts w:ascii="宋体" w:hAnsi="宋体" w:cs="宋体"/>
                <w:sz w:val="24"/>
                <w:szCs w:val="24"/>
              </w:rPr>
            </w:pPr>
            <w:r>
              <w:rPr>
                <w:rFonts w:hint="eastAsia" w:ascii="宋体" w:hAnsi="宋体" w:cs="宋体"/>
                <w:sz w:val="24"/>
                <w:szCs w:val="24"/>
              </w:rPr>
              <w:t xml:space="preserve">6</w:t>
            </w:r>
            <w:r/>
          </w:p>
        </w:tc>
        <w:tc>
          <w:tcPr>
            <w:tcW w:w="2122"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494"/>
        </w:trPr>
        <w:tc>
          <w:tcPr>
            <w:tcW w:w="918" w:type="dxa"/>
            <w:vAlign w:val="center"/>
            <w:textDirection w:val="lrTb"/>
            <w:noWrap w:val="false"/>
          </w:tcPr>
          <w:p>
            <w:pPr>
              <w:pStyle w:val="1130"/>
              <w:jc w:val="center"/>
              <w:spacing w:line="360" w:lineRule="exact"/>
              <w:rPr>
                <w:rFonts w:ascii="宋体" w:hAnsi="宋体" w:cs="宋体"/>
                <w:sz w:val="24"/>
                <w:szCs w:val="24"/>
              </w:rPr>
            </w:pPr>
            <w:r>
              <w:rPr>
                <w:rFonts w:hint="eastAsia" w:ascii="宋体" w:hAnsi="宋体" w:cs="宋体"/>
                <w:sz w:val="24"/>
                <w:szCs w:val="24"/>
              </w:rPr>
              <w:t xml:space="preserve">7</w:t>
            </w:r>
            <w:r/>
          </w:p>
        </w:tc>
        <w:tc>
          <w:tcPr>
            <w:tcW w:w="2122"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4"/>
        </w:trPr>
        <w:tc>
          <w:tcPr>
            <w:tcW w:w="918" w:type="dxa"/>
            <w:vAlign w:val="center"/>
            <w:textDirection w:val="lrTb"/>
            <w:noWrap w:val="false"/>
          </w:tcPr>
          <w:p>
            <w:pPr>
              <w:pStyle w:val="1130"/>
              <w:jc w:val="center"/>
              <w:spacing w:line="360" w:lineRule="exact"/>
              <w:rPr>
                <w:rFonts w:ascii="宋体" w:hAnsi="宋体" w:cs="宋体"/>
                <w:sz w:val="24"/>
                <w:szCs w:val="24"/>
              </w:rPr>
            </w:pPr>
            <w:r>
              <w:rPr>
                <w:rFonts w:hint="eastAsia" w:ascii="宋体" w:hAnsi="宋体" w:cs="宋体"/>
                <w:sz w:val="24"/>
                <w:szCs w:val="24"/>
              </w:rPr>
              <w:t xml:space="preserve">8</w:t>
            </w:r>
            <w:r/>
          </w:p>
        </w:tc>
        <w:tc>
          <w:tcPr>
            <w:tcW w:w="2122"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其他费用（投标人可以自行添加）</w:t>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vMerge w:val="restart"/>
            <w:textDirection w:val="lrTb"/>
            <w:noWrap w:val="false"/>
          </w:tcPr>
          <w:p>
            <w:pPr>
              <w:pStyle w:val="1130"/>
              <w:jc w:val="center"/>
              <w:spacing w:line="360" w:lineRule="exact"/>
              <w:rPr>
                <w:rFonts w:ascii="宋体" w:hAnsi="宋体" w:cs="宋体"/>
                <w:sz w:val="24"/>
                <w:szCs w:val="24"/>
              </w:rPr>
            </w:pPr>
            <w:r>
              <w:rPr>
                <w:rFonts w:hint="eastAsia" w:ascii="宋体" w:hAnsi="宋体" w:cs="宋体"/>
                <w:sz w:val="24"/>
                <w:szCs w:val="24"/>
              </w:rPr>
              <w:t xml:space="preserve">9</w:t>
            </w:r>
            <w:r/>
          </w:p>
        </w:tc>
        <w:tc>
          <w:tcPr>
            <w:tcW w:w="2122" w:type="dxa"/>
            <w:vAlign w:val="center"/>
            <w:vMerge w:val="restart"/>
            <w:textDirection w:val="lrTb"/>
            <w:noWrap w:val="false"/>
          </w:tcPr>
          <w:p>
            <w:pPr>
              <w:pStyle w:val="1130"/>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vMerge w:val="continue"/>
            <w:textDirection w:val="lrTb"/>
            <w:noWrap w:val="false"/>
          </w:tcPr>
          <w:p>
            <w:pPr>
              <w:pStyle w:val="1130"/>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tcW w:w="2122" w:type="dxa"/>
            <w:vAlign w:val="center"/>
            <w:vMerge w:val="continue"/>
            <w:textDirection w:val="lrTb"/>
            <w:noWrap w:val="false"/>
          </w:tcPr>
          <w:p>
            <w:pPr>
              <w:pStyle w:val="1130"/>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gridSpan w:val="5"/>
            <w:tcW w:w="7353" w:type="dxa"/>
            <w:vAlign w:val="center"/>
            <w:textDirection w:val="lrTb"/>
            <w:noWrap w:val="false"/>
          </w:tcPr>
          <w:p>
            <w:pPr>
              <w:pStyle w:val="1130"/>
              <w:jc w:val="center"/>
              <w:spacing w:line="360" w:lineRule="exact"/>
              <w:rPr>
                <w:rFonts w:hint="eastAsia" w:ascii="宋体" w:hAnsi="宋体" w:cs="宋体"/>
                <w:sz w:val="24"/>
                <w:szCs w:val="24"/>
              </w:rPr>
            </w:pPr>
            <w:r>
              <w:rPr>
                <w:rFonts w:hint="eastAsia" w:ascii="宋体" w:hAnsi="宋体" w:cs="宋体"/>
                <w:sz w:val="24"/>
                <w:szCs w:val="24"/>
              </w:rPr>
              <w:t xml:space="preserve">增值税纳税人身份：</w:t>
            </w:r>
            <w:r>
              <w:rPr>
                <w:rFonts w:hint="eastAsia" w:ascii="宋体" w:hAnsi="宋体" w:cs="宋体"/>
                <w:sz w:val="24"/>
                <w:szCs w:val="24"/>
                <w:u w:val="single"/>
              </w:rPr>
              <w:t xml:space="preserve">       </w:t>
            </w:r>
            <w:r>
              <w:rPr>
                <w:rFonts w:hint="eastAsia" w:ascii="宋体" w:hAnsi="宋体" w:cs="宋体"/>
                <w:sz w:val="24"/>
                <w:szCs w:val="24"/>
              </w:rPr>
              <w:t xml:space="preserve">；税率：</w:t>
            </w:r>
            <w:r>
              <w:rPr>
                <w:rFonts w:hint="eastAsia" w:ascii="宋体" w:hAnsi="宋体" w:cs="宋体"/>
                <w:sz w:val="24"/>
                <w:szCs w:val="24"/>
                <w:u w:val="single"/>
              </w:rPr>
              <w:t xml:space="preserve">        </w:t>
            </w:r>
            <w:r>
              <w:rPr>
                <w:rFonts w:hint="eastAsia" w:ascii="宋体" w:hAnsi="宋体" w:cs="宋体"/>
                <w:sz w:val="24"/>
                <w:szCs w:val="24"/>
              </w:rPr>
              <w:t xml:space="preserve">（明确是增值税一般纳税人还是小规模纳税人并提供相关证明）</w:t>
            </w:r>
            <w:r/>
          </w:p>
        </w:tc>
      </w:tr>
      <w:tr>
        <w:trPr>
          <w:cantSplit/>
          <w:jc w:val="center"/>
          <w:trHeight w:val="553"/>
        </w:trPr>
        <w:tc>
          <w:tcPr>
            <w:tcW w:w="918" w:type="dxa"/>
            <w:vAlign w:val="center"/>
            <w:textDirection w:val="lrTb"/>
            <w:noWrap w:val="false"/>
          </w:tcPr>
          <w:p>
            <w:pPr>
              <w:pStyle w:val="1130"/>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r>
            <w:r/>
          </w:p>
        </w:tc>
        <w:tc>
          <w:tcPr>
            <w:tcW w:w="2122" w:type="dxa"/>
            <w:vAlign w:val="center"/>
            <w:textDirection w:val="lrTb"/>
            <w:noWrap w:val="false"/>
          </w:tcPr>
          <w:p>
            <w:pPr>
              <w:pStyle w:val="1130"/>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5"/>
            <w:tcW w:w="7353" w:type="dxa"/>
            <w:vAlign w:val="center"/>
            <w:textDirection w:val="lrTb"/>
            <w:noWrap w:val="false"/>
          </w:tcPr>
          <w:p>
            <w:pPr>
              <w:pStyle w:val="1130"/>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jc w:val="center"/>
          <w:trHeight w:val="1530"/>
        </w:trPr>
        <w:tc>
          <w:tcPr>
            <w:gridSpan w:val="2"/>
            <w:tcW w:w="3040" w:type="dxa"/>
            <w:vAlign w:val="center"/>
            <w:textDirection w:val="lrTb"/>
            <w:noWrap w:val="false"/>
          </w:tcPr>
          <w:p>
            <w:pPr>
              <w:pStyle w:val="1130"/>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小计2</w:t>
            </w:r>
            <w:r/>
          </w:p>
        </w:tc>
        <w:tc>
          <w:tcPr>
            <w:gridSpan w:val="5"/>
            <w:tcW w:w="7353" w:type="dxa"/>
            <w:vAlign w:val="center"/>
            <w:textDirection w:val="lrTb"/>
            <w:noWrap w:val="false"/>
          </w:tcPr>
          <w:p>
            <w:pPr>
              <w:pStyle w:val="1130"/>
              <w:spacing w:line="3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130"/>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p>
        </w:tc>
      </w:tr>
      <w:tr>
        <w:trPr>
          <w:cantSplit/>
          <w:jc w:val="center"/>
          <w:trHeight w:val="1530"/>
        </w:trPr>
        <w:tc>
          <w:tcPr>
            <w:gridSpan w:val="2"/>
            <w:tcW w:w="3040" w:type="dxa"/>
            <w:vAlign w:val="center"/>
            <w:textDirection w:val="lrTb"/>
            <w:noWrap w:val="false"/>
          </w:tcPr>
          <w:p>
            <w:pPr>
              <w:pStyle w:val="1130"/>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iCs/>
                <w:sz w:val="24"/>
                <w:szCs w:val="28"/>
                <w:lang w:val="zh-CN"/>
              </w:rPr>
              <w:t xml:space="preserve">投标总报价（</w:t>
            </w:r>
            <w:r>
              <w:rPr>
                <w:rFonts w:hint="eastAsia" w:ascii="方正仿宋_GBK" w:hAnsi="方正仿宋_GBK" w:eastAsia="方正仿宋_GBK" w:cs="方正仿宋_GBK"/>
                <w:b/>
                <w:bCs/>
                <w:sz w:val="24"/>
                <w:szCs w:val="24"/>
              </w:rPr>
              <w:t xml:space="preserve">小计1+小计2</w:t>
            </w:r>
            <w:r>
              <w:rPr>
                <w:rFonts w:hint="eastAsia" w:ascii="方正仿宋_GBK" w:hAnsi="方正仿宋_GBK" w:eastAsia="方正仿宋_GBK" w:cs="方正仿宋_GBK"/>
                <w:b/>
                <w:bCs/>
                <w:iCs/>
                <w:sz w:val="24"/>
                <w:szCs w:val="28"/>
                <w:lang w:val="zh-CN"/>
              </w:rPr>
              <w:t xml:space="preserve">）</w:t>
            </w:r>
            <w:r/>
          </w:p>
        </w:tc>
        <w:tc>
          <w:tcPr>
            <w:gridSpan w:val="5"/>
            <w:tcW w:w="7353" w:type="dxa"/>
            <w:vAlign w:val="center"/>
            <w:textDirection w:val="lrTb"/>
            <w:noWrap w:val="false"/>
          </w:tcPr>
          <w:p>
            <w:pPr>
              <w:pStyle w:val="1130"/>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130"/>
              <w:jc w:val="center"/>
              <w:spacing w:line="360" w:lineRule="exact"/>
              <w:rPr>
                <w:rFonts w:hint="eastAsia" w:ascii="方正仿宋_GBK" w:hAnsi="方正仿宋_GBK" w:eastAsia="方正仿宋_GBK" w:cs="方正仿宋_GBK"/>
                <w:sz w:val="24"/>
                <w:szCs w:val="24"/>
              </w:rPr>
            </w:pPr>
            <w:r/>
            <w:bookmarkStart w:id="137" w:name="OLE_LINK14"/>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bookmarkEnd w:id="137"/>
            <w:r/>
            <w:r/>
          </w:p>
        </w:tc>
      </w:tr>
    </w:tbl>
    <w:p>
      <w:pPr>
        <w:pStyle w:val="1132"/>
        <w:spacing w:line="360" w:lineRule="auto"/>
        <w:rPr>
          <w:rFonts w:eastAsia="宋体" w:cs="方正仿宋_GBK"/>
          <w:b/>
          <w:bCs/>
          <w:iCs/>
          <w:szCs w:val="28"/>
          <w:lang w:val="zh-CN"/>
        </w:rPr>
      </w:pPr>
      <w:r>
        <w:rPr>
          <w:rFonts w:hint="eastAsia" w:eastAsia="宋体"/>
          <w:color w:val="000000"/>
        </w:rPr>
        <w:t xml:space="preserve">备注：</w:t>
      </w:r>
      <w:r>
        <w:rPr>
          <w:rFonts w:hint="eastAsia" w:eastAsia="宋体" w:cs="方正仿宋_GBK"/>
          <w:b/>
          <w:bCs/>
          <w:iCs/>
          <w:szCs w:val="28"/>
          <w:lang w:val="zh-CN"/>
        </w:rPr>
        <w:t xml:space="preserve">1、明细报价表中列明的项目不接受赠送。</w:t>
      </w:r>
      <w:r/>
    </w:p>
    <w:p>
      <w:pPr>
        <w:pStyle w:val="1132"/>
        <w:numPr>
          <w:ilvl w:val="0"/>
          <w:numId w:val="7"/>
        </w:numPr>
        <w:ind w:firstLine="723"/>
        <w:spacing w:line="360" w:lineRule="auto"/>
        <w:rPr>
          <w:rFonts w:eastAsia="宋体" w:cs="方正仿宋_GBK"/>
          <w:b/>
          <w:bCs/>
          <w:iCs/>
          <w:szCs w:val="28"/>
          <w:lang w:val="zh-CN"/>
        </w:rPr>
      </w:pPr>
      <w:r>
        <w:rPr>
          <w:rFonts w:hint="eastAsia" w:eastAsia="宋体" w:cs="方正仿宋_GBK"/>
          <w:b/>
          <w:bCs/>
          <w:iCs/>
          <w:szCs w:val="28"/>
          <w:lang w:val="zh-CN"/>
        </w:rPr>
        <w:t xml:space="preserve">人员工资合价=人员月工资*人员数量*月数</w:t>
      </w:r>
      <w:r/>
    </w:p>
    <w:p>
      <w:pPr>
        <w:pStyle w:val="1132"/>
        <w:ind w:firstLine="723"/>
        <w:spacing w:line="360" w:lineRule="auto"/>
        <w:rPr>
          <w:rFonts w:eastAsia="宋体" w:cs="方正仿宋_GBK"/>
          <w:b/>
          <w:bCs/>
          <w:iCs/>
          <w:szCs w:val="28"/>
          <w:lang w:val="zh-CN"/>
        </w:rPr>
      </w:pPr>
      <w:r>
        <w:rPr>
          <w:rFonts w:hint="eastAsia" w:eastAsia="宋体" w:cs="方正仿宋_GBK"/>
          <w:b/>
          <w:bCs/>
          <w:iCs/>
          <w:szCs w:val="28"/>
        </w:rPr>
        <w:t xml:space="preserve">3、</w:t>
      </w:r>
      <w:r>
        <w:rPr>
          <w:rFonts w:hint="eastAsia" w:eastAsia="宋体" w:cs="方正仿宋_GBK"/>
          <w:b/>
          <w:bCs/>
          <w:iCs/>
          <w:szCs w:val="28"/>
          <w:lang w:val="zh-CN"/>
        </w:rPr>
        <w:t xml:space="preserve">“投标总报价”数额应当与“开标一览表”中“投标总报价”数额一致。</w:t>
      </w:r>
      <w:r/>
    </w:p>
    <w:p>
      <w:pPr>
        <w:pStyle w:val="1162"/>
        <w:ind w:firstLine="723"/>
        <w:jc w:val="left"/>
        <w:spacing w:line="440" w:lineRule="exact"/>
        <w:widowControl/>
        <w:rPr>
          <w:rFonts w:ascii="Times New Roman" w:hAnsi="Times New Roman" w:cs="方正仿宋_GBK"/>
          <w:b/>
          <w:bCs/>
          <w:iCs/>
          <w:szCs w:val="28"/>
        </w:rPr>
      </w:pPr>
      <w:r>
        <w:rPr>
          <w:rFonts w:hint="eastAsia" w:ascii="Times New Roman" w:hAnsi="Times New Roman" w:cs="方正仿宋_GBK"/>
          <w:b/>
          <w:bCs/>
          <w:iCs/>
          <w:szCs w:val="28"/>
        </w:rPr>
        <w:t xml:space="preserve">4、注:社保金额≥</w:t>
      </w:r>
      <w:r>
        <w:rPr>
          <w:rFonts w:hint="eastAsia" w:ascii="宋体" w:hAnsi="宋体" w:cs="宋体"/>
          <w:b/>
          <w:iCs/>
          <w:szCs w:val="24"/>
          <w:lang w:bidi="zh-CN"/>
        </w:rPr>
        <w:t xml:space="preserve">1238.048</w:t>
      </w:r>
      <w:r>
        <w:rPr>
          <w:rFonts w:hint="eastAsia" w:ascii="Times New Roman" w:hAnsi="Times New Roman" w:cs="方正仿宋_GBK"/>
          <w:b/>
          <w:bCs/>
          <w:iCs/>
          <w:szCs w:val="28"/>
        </w:rPr>
        <w:t xml:space="preserve">(4952*24.9%+5)，因报价最多保留至小数点后两位，故该项最小有效数值为</w:t>
      </w:r>
      <w:r>
        <w:rPr>
          <w:rFonts w:hint="eastAsia" w:ascii="宋体" w:hAnsi="宋体" w:cs="宋体"/>
          <w:b/>
          <w:iCs/>
          <w:szCs w:val="24"/>
          <w:lang w:bidi="zh-CN"/>
        </w:rPr>
        <w:t xml:space="preserve">1238.05</w:t>
      </w:r>
      <w:r>
        <w:rPr>
          <w:rFonts w:hint="eastAsia" w:ascii="Times New Roman" w:hAnsi="Times New Roman" w:cs="方正仿宋_GBK"/>
          <w:b/>
          <w:bCs/>
          <w:iCs/>
          <w:szCs w:val="28"/>
        </w:rPr>
        <w:t xml:space="preserve">元。</w:t>
      </w:r>
      <w:r/>
    </w:p>
    <w:p>
      <w:pPr>
        <w:pStyle w:val="1162"/>
        <w:ind w:firstLine="723"/>
        <w:jc w:val="left"/>
        <w:spacing w:line="440" w:lineRule="exact"/>
        <w:widowControl/>
        <w:rPr>
          <w:rFonts w:ascii="Times New Roman" w:hAnsi="Times New Roman" w:cs="方正仿宋_GBK"/>
          <w:b/>
          <w:bCs/>
          <w:iCs/>
          <w:szCs w:val="28"/>
        </w:rPr>
      </w:pPr>
      <w:r>
        <w:rPr>
          <w:rFonts w:hint="eastAsia"/>
        </w:rPr>
        <w:br w:type="page" w:clear="all"/>
      </w:r>
      <w:r/>
    </w:p>
    <w:p>
      <w:pPr>
        <w:pStyle w:val="1108"/>
        <w:rPr>
          <w:rFonts w:hint="eastAsia"/>
          <w:b w:val="0"/>
          <w:bCs/>
        </w:rPr>
        <w:outlineLvl w:val="1"/>
      </w:pPr>
      <w:r>
        <w:rPr>
          <w:rFonts w:hint="eastAsia"/>
          <w:b w:val="0"/>
          <w:bCs/>
        </w:rPr>
        <w:t xml:space="preserve">五、中小企业或残疾人福利性单位声明函</w:t>
      </w:r>
      <w:r/>
    </w:p>
    <w:p>
      <w:pPr>
        <w:ind w:left="210"/>
        <w:jc w:val="left"/>
        <w:widowControl/>
        <w:rPr>
          <w:rFonts w:hint="eastAsia" w:ascii="方正小标宋_GBK" w:eastAsia="方正小标宋_GBK"/>
          <w:bCs/>
          <w:sz w:val="32"/>
          <w:szCs w:val="32"/>
        </w:rPr>
        <w:outlineLvl w:val="1"/>
      </w:pPr>
      <w:r/>
      <w:bookmarkStart w:id="138" w:name="_Toc256000030"/>
      <w:r/>
      <w:r/>
    </w:p>
    <w:p>
      <w:pPr>
        <w:ind w:left="210"/>
        <w:jc w:val="left"/>
        <w:widowControl/>
        <w:rPr>
          <w:rFonts w:ascii="宋体" w:hAnsi="宋体" w:cs="宋体"/>
        </w:rPr>
        <w:outlineLvl w:val="1"/>
      </w:pPr>
      <w:r>
        <w:rPr>
          <w:rFonts w:hint="eastAsia" w:ascii="方正小标宋_GBK" w:eastAsia="方正小标宋_GBK"/>
          <w:bCs/>
          <w:sz w:val="32"/>
          <w:szCs w:val="32"/>
        </w:rPr>
        <w:t xml:space="preserve">此项声明函的格式内容以“苏采云”系统中的模板为准</w:t>
      </w:r>
      <w:r/>
    </w:p>
    <w:p>
      <w:pPr>
        <w:ind w:left="210"/>
        <w:jc w:val="left"/>
        <w:widowControl/>
        <w:rPr>
          <w:rFonts w:ascii="宋体" w:hAnsi="宋体" w:cs="宋体"/>
          <w:bCs/>
        </w:rPr>
        <w:outlineLvl w:val="1"/>
      </w:pPr>
      <w:r>
        <w:rPr>
          <w:rFonts w:ascii="宋体" w:hAnsi="宋体" w:cs="宋体"/>
          <w:bCs/>
        </w:rPr>
      </w:r>
      <w:r/>
    </w:p>
    <w:p>
      <w:pPr>
        <w:ind w:left="210"/>
        <w:jc w:val="left"/>
        <w:widowControl/>
        <w:rPr>
          <w:rFonts w:ascii="宋体" w:hAnsi="宋体" w:cs="宋体"/>
          <w:bCs/>
        </w:rPr>
        <w:outlineLvl w:val="1"/>
      </w:pPr>
      <w:r>
        <w:rPr>
          <w:rFonts w:ascii="宋体" w:hAnsi="宋体" w:cs="宋体"/>
          <w:bCs/>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32"/>
        </w:rPr>
        <w:outlineLvl w:val="1"/>
      </w:pPr>
      <w:r>
        <w:rPr>
          <w:rFonts w:hint="eastAsia" w:ascii="宋体" w:hAnsi="宋体" w:cs="宋体"/>
          <w:b/>
          <w:bCs/>
          <w:sz w:val="32"/>
          <w:szCs w:val="20"/>
        </w:rPr>
      </w:r>
      <w:r>
        <w:rPr>
          <w:rFonts w:hint="eastAsia" w:ascii="宋体" w:hAnsi="宋体" w:cs="宋体"/>
          <w:b/>
          <w:bCs/>
          <w:sz w:val="32"/>
          <w:szCs w:val="20"/>
        </w:rPr>
      </w:r>
      <w:r/>
    </w:p>
    <w:p>
      <w:pPr>
        <w:ind w:left="210"/>
        <w:jc w:val="left"/>
        <w:widowControl/>
        <w:rPr>
          <w:rFonts w:hint="eastAsia" w:ascii="宋体" w:hAnsi="宋体" w:cs="宋体"/>
          <w:b/>
          <w:bCs/>
          <w:sz w:val="32"/>
          <w:szCs w:val="32"/>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黑体" w:eastAsia="黑体" w:cs="黑体"/>
          <w:sz w:val="32"/>
          <w:szCs w:val="32"/>
        </w:rPr>
        <w:outlineLvl w:val="1"/>
      </w:pPr>
      <w:r>
        <w:rPr>
          <w:rFonts w:hint="eastAsia" w:ascii="宋体" w:hAnsi="宋体" w:cs="宋体"/>
          <w:b/>
          <w:bCs/>
          <w:sz w:val="32"/>
          <w:szCs w:val="20"/>
        </w:rPr>
        <w:t xml:space="preserve">六</w:t>
      </w:r>
      <w:r>
        <w:rPr>
          <w:rFonts w:hint="eastAsia" w:ascii="宋体" w:hAnsi="黑体" w:eastAsia="黑体" w:cs="黑体"/>
          <w:sz w:val="32"/>
          <w:szCs w:val="32"/>
        </w:rPr>
        <w:t xml:space="preserve">、项目组成员</w:t>
      </w:r>
      <w:r/>
    </w:p>
    <w:tbl>
      <w:tblPr>
        <w:tblStyle w:val="785"/>
        <w:tblpPr w:horzAnchor="margin" w:tblpXSpec="center" w:vertAnchor="text" w:tblpY="74" w:leftFromText="180" w:topFromText="0" w:rightFromText="180" w:bottomFromText="0"/>
        <w:tblW w:w="91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495"/>
      </w:tblGrid>
      <w:tr>
        <w:trPr>
          <w:trHeight w:val="1301"/>
        </w:trPr>
        <w:tc>
          <w:tcPr>
            <w:tcW w:w="67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序号</w:t>
            </w:r>
            <w:r/>
          </w:p>
        </w:tc>
        <w:tc>
          <w:tcPr>
            <w:tcW w:w="1276"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姓名</w:t>
            </w:r>
            <w:r/>
          </w:p>
        </w:tc>
        <w:tc>
          <w:tcPr>
            <w:tcW w:w="1418"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本项目</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拟任职务</w:t>
            </w:r>
            <w:r/>
          </w:p>
        </w:tc>
        <w:tc>
          <w:tcPr>
            <w:tcW w:w="850"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性别</w:t>
            </w:r>
            <w:r/>
          </w:p>
        </w:tc>
        <w:tc>
          <w:tcPr>
            <w:tcW w:w="152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学历</w:t>
            </w:r>
            <w:r/>
          </w:p>
        </w:tc>
        <w:tc>
          <w:tcPr>
            <w:tcW w:w="1592"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身份证号</w:t>
            </w:r>
            <w:r/>
          </w:p>
        </w:tc>
        <w:tc>
          <w:tcPr>
            <w:tcW w:w="127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相关</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证书</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（如有）</w:t>
            </w:r>
            <w:r/>
          </w:p>
        </w:tc>
        <w:tc>
          <w:tcPr>
            <w:tcW w:w="49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项目经理</w:t>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1140"/>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276" w:type="dxa"/>
            <w:vAlign w:val="center"/>
            <w:textDirection w:val="lrTb"/>
            <w:noWrap w:val="false"/>
          </w:tcPr>
          <w:p>
            <w:pP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25"/>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10"/>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460" w:lineRule="exact"/>
        <w:rPr>
          <w:rFonts w:ascii="Times New Roman" w:hAnsi="Times New Roman" w:cs="方正仿宋_GBK"/>
          <w:bCs/>
          <w:color w:val="ff0000"/>
          <w:sz w:val="24"/>
          <w:szCs w:val="24"/>
        </w:rPr>
      </w:pPr>
      <w:r>
        <w:rPr>
          <w:rFonts w:hint="eastAsia" w:ascii="Times New Roman" w:hAnsi="Times New Roman" w:cs="方正仿宋_GBK"/>
          <w:bCs/>
          <w:color w:val="ff0000"/>
          <w:sz w:val="24"/>
          <w:szCs w:val="24"/>
        </w:rPr>
        <w:t xml:space="preserve">注：涉及评分标准的项目组成员（含项目经理）在本表中填报，相关证明材料附后。</w:t>
      </w:r>
      <w:r>
        <w:rPr>
          <w:rFonts w:ascii="宋体" w:hAnsi="宋体" w:cs="宋体"/>
          <w:color w:val="ff0000"/>
          <w:sz w:val="24"/>
        </w:rPr>
        <w:t xml:space="preserve">中标后，本表（身份证号信息除外）将随中标结果进行公开</w:t>
      </w:r>
      <w:r>
        <w:rPr>
          <w:rFonts w:hint="eastAsia" w:ascii="Times New Roman" w:hAnsi="Times New Roman" w:cs="方正仿宋_GBK"/>
          <w:bCs/>
          <w:color w:val="ff0000"/>
          <w:sz w:val="24"/>
          <w:szCs w:val="24"/>
        </w:rPr>
        <w:t xml:space="preserve">。</w:t>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0"/>
        <w:spacing w:line="460" w:lineRule="exact"/>
        <w:rPr>
          <w:rFonts w:ascii="Times New Roman" w:hAnsi="Times New Roman" w:cs="方正仿宋_GBK"/>
          <w:bCs/>
          <w:sz w:val="24"/>
          <w:szCs w:val="24"/>
        </w:rPr>
      </w:pPr>
      <w:r>
        <w:rPr>
          <w:rFonts w:ascii="Times New Roman" w:hAnsi="Times New Roman" w:cs="方正仿宋_GBK"/>
          <w:bCs/>
          <w:sz w:val="24"/>
          <w:szCs w:val="24"/>
        </w:rPr>
      </w:r>
      <w:r/>
    </w:p>
    <w:p>
      <w:pPr>
        <w:ind w:left="210"/>
        <w:jc w:val="left"/>
        <w:widowControl/>
        <w:rPr>
          <w:rFonts w:hint="eastAsia" w:ascii="宋体" w:hAnsi="黑体" w:eastAsia="黑体" w:cs="黑体"/>
          <w:sz w:val="32"/>
          <w:szCs w:val="32"/>
        </w:rPr>
        <w:outlineLvl w:val="1"/>
      </w:pPr>
      <w:r>
        <w:rPr>
          <w:rFonts w:hint="eastAsia" w:ascii="宋体" w:hAnsi="黑体" w:eastAsia="黑体" w:cs="黑体"/>
          <w:b/>
          <w:sz w:val="32"/>
          <w:szCs w:val="32"/>
        </w:rPr>
        <w:br w:type="page" w:clear="all"/>
      </w:r>
      <w:r>
        <w:rPr>
          <w:rFonts w:hint="eastAsia" w:ascii="宋体" w:hAnsi="黑体" w:eastAsia="黑体" w:cs="黑体"/>
          <w:sz w:val="32"/>
          <w:szCs w:val="32"/>
        </w:rPr>
        <w:t xml:space="preserve">七、企业业绩</w:t>
      </w:r>
      <w:r/>
    </w:p>
    <w:p>
      <w:pPr>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85"/>
        <w:tblW w:w="9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8"/>
        <w:gridCol w:w="2694"/>
        <w:gridCol w:w="1417"/>
        <w:gridCol w:w="1418"/>
        <w:gridCol w:w="1417"/>
        <w:gridCol w:w="1260"/>
        <w:gridCol w:w="502"/>
      </w:tblGrid>
      <w:tr>
        <w:trPr>
          <w:jc w:val="center"/>
          <w:trHeight w:val="753"/>
        </w:trPr>
        <w:tc>
          <w:tcPr>
            <w:tcW w:w="658" w:type="dxa"/>
            <w:vAlign w:val="top"/>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序</w:t>
            </w:r>
            <w:r/>
          </w:p>
          <w:p>
            <w:pPr>
              <w:jc w:val="center"/>
              <w:spacing w:line="400" w:lineRule="exact"/>
              <w:widowControl/>
              <w:rPr>
                <w:rFonts w:hint="eastAsia" w:ascii="宋体" w:hAnsi="宋体" w:cs="宋体"/>
                <w:sz w:val="28"/>
                <w:szCs w:val="28"/>
              </w:rPr>
            </w:pPr>
            <w:r>
              <w:rPr>
                <w:rFonts w:ascii="宋体" w:hAnsi="宋体" w:cs="宋体"/>
                <w:sz w:val="28"/>
                <w:szCs w:val="28"/>
              </w:rPr>
              <w:t xml:space="preserve">号</w:t>
            </w:r>
            <w:r/>
          </w:p>
        </w:tc>
        <w:tc>
          <w:tcPr>
            <w:tcW w:w="2694"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项目名称</w:t>
            </w:r>
            <w:r/>
          </w:p>
        </w:tc>
        <w:tc>
          <w:tcPr>
            <w:tcW w:w="1417"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采购单位</w:t>
            </w:r>
            <w:r/>
          </w:p>
        </w:tc>
        <w:tc>
          <w:tcPr>
            <w:tcW w:w="1418"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合同签订</w:t>
            </w:r>
            <w:r/>
          </w:p>
          <w:p>
            <w:pPr>
              <w:jc w:val="center"/>
              <w:spacing w:line="400" w:lineRule="exact"/>
              <w:widowControl/>
              <w:rPr>
                <w:rFonts w:hint="eastAsia" w:ascii="宋体" w:hAnsi="宋体" w:cs="宋体"/>
                <w:sz w:val="28"/>
                <w:szCs w:val="28"/>
              </w:rPr>
            </w:pPr>
            <w:r>
              <w:rPr>
                <w:rFonts w:ascii="宋体" w:hAnsi="宋体" w:cs="宋体"/>
                <w:sz w:val="28"/>
                <w:szCs w:val="28"/>
              </w:rPr>
              <w:t xml:space="preserve">时间</w:t>
            </w:r>
            <w:r/>
          </w:p>
        </w:tc>
        <w:tc>
          <w:tcPr>
            <w:tcW w:w="1417" w:type="dxa"/>
            <w:vAlign w:val="center"/>
            <w:textDirection w:val="lrTb"/>
            <w:noWrap w:val="false"/>
          </w:tcPr>
          <w:p>
            <w:pPr>
              <w:jc w:val="center"/>
              <w:spacing w:line="400" w:lineRule="exact"/>
              <w:widowControl/>
              <w:rPr>
                <w:rFonts w:ascii="宋体" w:hAnsi="宋体" w:cs="宋体"/>
                <w:sz w:val="28"/>
                <w:szCs w:val="28"/>
              </w:rPr>
            </w:pPr>
            <w:r>
              <w:rPr>
                <w:rFonts w:ascii="宋体" w:hAnsi="宋体" w:cs="宋体"/>
                <w:sz w:val="28"/>
                <w:szCs w:val="28"/>
              </w:rPr>
              <w:t xml:space="preserve">服务主要</w:t>
            </w:r>
            <w:r/>
          </w:p>
          <w:p>
            <w:pPr>
              <w:jc w:val="center"/>
              <w:spacing w:line="400" w:lineRule="exact"/>
              <w:widowControl/>
              <w:rPr>
                <w:rFonts w:hint="eastAsia" w:ascii="宋体" w:hAnsi="宋体" w:cs="宋体"/>
                <w:sz w:val="28"/>
                <w:szCs w:val="28"/>
              </w:rPr>
            </w:pPr>
            <w:r>
              <w:rPr>
                <w:rFonts w:ascii="宋体" w:hAnsi="宋体" w:cs="宋体"/>
                <w:sz w:val="28"/>
                <w:szCs w:val="28"/>
              </w:rPr>
              <w:t xml:space="preserve">内容</w:t>
            </w:r>
            <w:r/>
          </w:p>
        </w:tc>
        <w:tc>
          <w:tcPr>
            <w:tcW w:w="1260"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履约评价情况</w:t>
            </w:r>
            <w:r/>
          </w:p>
        </w:tc>
        <w:tc>
          <w:tcPr>
            <w:tcW w:w="502"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p>
        </w:tc>
      </w:tr>
      <w:tr>
        <w:trPr>
          <w:jc w:val="center"/>
          <w:trHeight w:val="1510"/>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25"/>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ind w:firstLine="240"/>
        <w:spacing w:line="500" w:lineRule="exact"/>
        <w:rPr>
          <w:rFonts w:ascii="Times New Roman" w:hAnsi="Times New Roman" w:cs="方正仿宋_GBK"/>
          <w:bCs/>
          <w:color w:val="ff0000"/>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涉及评分标准的“企业业绩”在本表中填报，相关证明材料附后。中标后，本表将随中标结果进行公开。</w:t>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10"/>
        <w:spacing w:line="500" w:lineRule="exact"/>
        <w:rPr>
          <w:rFonts w:hint="eastAsia" w:ascii="宋体" w:hAnsi="宋体"/>
          <w:bCs/>
        </w:rPr>
      </w:pPr>
      <w:r>
        <w:rPr>
          <w:rFonts w:hint="eastAsia" w:ascii="宋体" w:hAnsi="宋体"/>
          <w:bCs/>
        </w:rPr>
      </w:r>
      <w:r/>
    </w:p>
    <w:p>
      <w:pPr>
        <w:ind w:firstLine="210"/>
        <w:spacing w:line="500" w:lineRule="exact"/>
        <w:rPr>
          <w:rFonts w:hint="eastAsia" w:ascii="宋体" w:hAnsi="宋体"/>
          <w:bCs/>
        </w:rPr>
      </w:pPr>
      <w:r>
        <w:rPr>
          <w:rFonts w:hint="eastAsia" w:ascii="宋体" w:hAnsi="宋体"/>
          <w:bCs/>
        </w:rPr>
      </w:r>
      <w:r/>
    </w:p>
    <w:p>
      <w:pPr>
        <w:spacing w:line="500" w:lineRule="exact"/>
        <w:rPr>
          <w:rFonts w:hint="eastAsia" w:ascii="宋体" w:hAnsi="宋体"/>
          <w:bCs/>
        </w:rPr>
      </w:pPr>
      <w:r>
        <w:rPr>
          <w:rFonts w:hint="eastAsia" w:ascii="宋体" w:hAnsi="宋体"/>
          <w:bCs/>
        </w:rPr>
      </w:r>
      <w:r/>
    </w:p>
    <w:p>
      <w:pPr>
        <w:ind w:left="210"/>
        <w:jc w:val="left"/>
        <w:widowControl/>
        <w:rPr>
          <w:rFonts w:hint="eastAsia" w:ascii="宋体" w:hAnsi="黑体" w:eastAsia="黑体" w:cs="黑体"/>
          <w:sz w:val="32"/>
          <w:szCs w:val="32"/>
        </w:rPr>
        <w:outlineLvl w:val="1"/>
      </w:pPr>
      <w:r>
        <w:rPr>
          <w:rFonts w:hint="eastAsia" w:ascii="宋体" w:hAnsi="黑体" w:eastAsia="黑体" w:cs="黑体"/>
          <w:sz w:val="32"/>
          <w:szCs w:val="32"/>
        </w:rPr>
        <w:t xml:space="preserve">八、企业证书</w:t>
      </w:r>
      <w:r/>
    </w:p>
    <w:p>
      <w:pPr>
        <w:pStyle w:val="1226"/>
        <w:rPr>
          <w:rFonts w:hint="eastAsia"/>
        </w:rPr>
      </w:pPr>
      <w:r>
        <w:rPr>
          <w:rFonts w:hint="eastAsia"/>
        </w:rPr>
      </w:r>
      <w:r/>
    </w:p>
    <w:tbl>
      <w:tblPr>
        <w:tblStyle w:val="785"/>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517"/>
      </w:tblGrid>
      <w:tr>
        <w:trPr>
          <w:jc w:val="center"/>
          <w:trHeight w:val="753"/>
        </w:trPr>
        <w:tc>
          <w:tcPr>
            <w:tcW w:w="1590" w:type="dxa"/>
            <w:vAlign w:val="top"/>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序</w:t>
            </w:r>
            <w:r/>
          </w:p>
          <w:p>
            <w:pPr>
              <w:jc w:val="center"/>
              <w:spacing w:line="400" w:lineRule="exact"/>
              <w:widowControl/>
              <w:rPr>
                <w:rFonts w:hint="eastAsia" w:ascii="宋体" w:hAnsi="宋体" w:cs="宋体"/>
                <w:sz w:val="28"/>
                <w:szCs w:val="28"/>
              </w:rPr>
            </w:pPr>
            <w:r>
              <w:rPr>
                <w:rFonts w:ascii="宋体" w:hAnsi="宋体" w:cs="宋体"/>
                <w:sz w:val="28"/>
                <w:szCs w:val="28"/>
              </w:rPr>
              <w:t xml:space="preserve">号</w:t>
            </w:r>
            <w:r/>
          </w:p>
        </w:tc>
        <w:tc>
          <w:tcPr>
            <w:tcW w:w="2694"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证书名称</w:t>
            </w:r>
            <w:r/>
          </w:p>
        </w:tc>
        <w:tc>
          <w:tcPr>
            <w:tcW w:w="1812"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颁发机构</w:t>
            </w:r>
            <w:r/>
          </w:p>
        </w:tc>
        <w:tc>
          <w:tcPr>
            <w:tcW w:w="141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颁发时间</w:t>
            </w:r>
            <w:r/>
          </w:p>
        </w:tc>
        <w:tc>
          <w:tcPr>
            <w:tcW w:w="151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p>
        </w:tc>
      </w:tr>
      <w:tr>
        <w:trPr>
          <w:jc w:val="center"/>
          <w:trHeight w:val="1510"/>
        </w:trPr>
        <w:tc>
          <w:tcPr>
            <w:tcW w:w="1590"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1590"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1590"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25"/>
        </w:trPr>
        <w:tc>
          <w:tcPr>
            <w:tcW w:w="1590"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ind w:firstLine="240"/>
        <w:spacing w:line="500" w:lineRule="exact"/>
        <w:rPr>
          <w:rFonts w:ascii="Times New Roman" w:hAnsi="Times New Roman" w:cs="方正仿宋_GBK"/>
          <w:bCs/>
          <w:color w:val="ff0000"/>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涉及评分标准的“企业证书”在本表中填报，相关证明材料附后。中标后，本表将随中标结果进行公开。</w:t>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hint="eastAsia" w:ascii="Times New Roman" w:hAnsi="Times New Roman" w:cs="方正仿宋_GBK"/>
          <w:bCs/>
          <w:color w:val="ff0000"/>
          <w:sz w:val="24"/>
          <w:szCs w:val="24"/>
        </w:rPr>
      </w:pPr>
      <w:r>
        <w:rPr>
          <w:rFonts w:hint="eastAsia" w:ascii="Times New Roman" w:hAnsi="Times New Roman" w:cs="方正仿宋_GBK"/>
          <w:bCs/>
          <w:color w:val="ff0000"/>
          <w:sz w:val="24"/>
          <w:szCs w:val="24"/>
        </w:rPr>
      </w:r>
      <w:r/>
    </w:p>
    <w:p>
      <w:pPr>
        <w:pStyle w:val="1240"/>
        <w:spacing w:line="360" w:lineRule="auto"/>
        <w:rPr>
          <w:rFonts w:ascii="宋体" w:hAnsi="宋体"/>
          <w:bCs/>
        </w:rPr>
      </w:pPr>
      <w:r>
        <w:rPr>
          <w:rFonts w:ascii="宋体" w:hAnsi="宋体"/>
          <w:bCs/>
        </w:rPr>
      </w:r>
      <w:r/>
    </w:p>
    <w:p>
      <w:r/>
      <w:r/>
    </w:p>
    <w:p>
      <w:pPr>
        <w:rPr>
          <w:rFonts w:hint="eastAsia"/>
        </w:rPr>
      </w:pPr>
      <w:r>
        <w:rPr>
          <w:rFonts w:hint="eastAsia"/>
        </w:rPr>
      </w:r>
      <w:r/>
    </w:p>
    <w:p>
      <w:pPr>
        <w:pStyle w:val="1106"/>
        <w:rPr>
          <w:rFonts w:hint="eastAsia" w:ascii="宋体" w:hAnsi="宋体" w:eastAsia="宋体" w:cs="宋体"/>
        </w:rPr>
        <w:outlineLvl w:val="1"/>
      </w:pPr>
      <w:r>
        <w:rPr>
          <w:rFonts w:hint="eastAsia" w:ascii="宋体" w:hAnsi="宋体"/>
          <w:bCs/>
        </w:rPr>
        <w:t xml:space="preserve">九</w:t>
      </w:r>
      <w:r>
        <w:rPr>
          <w:rFonts w:hint="eastAsia" w:ascii="宋体" w:hAnsi="宋体" w:eastAsia="宋体" w:cs="宋体"/>
        </w:rPr>
        <w:t xml:space="preserve">、</w:t>
      </w:r>
      <w:bookmarkEnd w:id="138"/>
      <w:r>
        <w:rPr>
          <w:rFonts w:hint="eastAsia" w:ascii="宋体" w:hAnsi="宋体" w:eastAsia="宋体" w:cs="宋体"/>
        </w:rPr>
        <w:t xml:space="preserve">人员配备要求承诺函</w:t>
      </w:r>
      <w:r/>
    </w:p>
    <w:p>
      <w:pPr>
        <w:pStyle w:val="1136"/>
        <w:jc w:val="center"/>
        <w:rPr>
          <w:rFonts w:hint="eastAsia" w:ascii="宋体" w:hAnsi="宋体" w:cs="宋体"/>
          <w:b/>
          <w:sz w:val="30"/>
          <w:szCs w:val="30"/>
        </w:rPr>
      </w:pPr>
      <w:r>
        <w:rPr>
          <w:rFonts w:hint="eastAsia" w:ascii="宋体" w:hAnsi="宋体" w:cs="宋体"/>
          <w:b/>
          <w:sz w:val="30"/>
          <w:szCs w:val="30"/>
        </w:rPr>
      </w:r>
      <w:r/>
    </w:p>
    <w:p>
      <w:pPr>
        <w:pStyle w:val="1136"/>
        <w:jc w:val="center"/>
        <w:rPr>
          <w:rFonts w:hint="eastAsia" w:ascii="宋体" w:hAnsi="宋体" w:cs="宋体"/>
          <w:sz w:val="28"/>
          <w:szCs w:val="28"/>
        </w:rPr>
      </w:pPr>
      <w:r>
        <w:rPr>
          <w:rFonts w:hint="eastAsia" w:ascii="宋体" w:hAnsi="宋体" w:cs="宋体"/>
          <w:b/>
          <w:sz w:val="30"/>
          <w:szCs w:val="30"/>
        </w:rPr>
        <w:t xml:space="preserve">人员配备要求承诺函</w:t>
      </w:r>
      <w:r/>
    </w:p>
    <w:p>
      <w:pPr>
        <w:pStyle w:val="1136"/>
        <w:spacing w:before="10" w:after="10" w:line="600" w:lineRule="exact"/>
        <w:rPr>
          <w:rFonts w:hint="eastAsia" w:ascii="宋体" w:hAnsi="宋体" w:cs="宋体"/>
          <w:color w:val="000000"/>
          <w:sz w:val="28"/>
          <w:szCs w:val="22"/>
        </w:rPr>
      </w:pPr>
      <w:r>
        <w:rPr>
          <w:rFonts w:hint="eastAsia" w:ascii="宋体" w:hAnsi="宋体" w:cs="宋体"/>
          <w:color w:val="000000"/>
          <w:sz w:val="28"/>
          <w:szCs w:val="22"/>
        </w:rPr>
      </w:r>
      <w:r/>
    </w:p>
    <w:p>
      <w:pPr>
        <w:pStyle w:val="1136"/>
        <w:spacing w:before="10" w:after="10" w:line="600" w:lineRule="exact"/>
        <w:rPr>
          <w:rFonts w:hint="eastAsia" w:ascii="宋体" w:hAnsi="宋体"/>
          <w:sz w:val="28"/>
          <w:szCs w:val="28"/>
          <w:u w:val="single"/>
        </w:rPr>
      </w:pPr>
      <w:r>
        <w:rPr>
          <w:rFonts w:hint="eastAsia" w:ascii="宋体" w:hAnsi="宋体"/>
          <w:sz w:val="28"/>
          <w:szCs w:val="28"/>
          <w:u w:val="single"/>
        </w:rPr>
        <w:t xml:space="preserve">宿迁市传染病医院、宿迁市新沂河调度工程管理处：</w:t>
      </w:r>
      <w:r/>
    </w:p>
    <w:p>
      <w:pPr>
        <w:pStyle w:val="1136"/>
        <w:spacing w:before="10" w:after="10" w:line="360" w:lineRule="exact"/>
        <w:rPr>
          <w:rFonts w:hint="eastAsia" w:ascii="宋体" w:hAnsi="宋体" w:cs="宋体"/>
          <w:sz w:val="28"/>
          <w:szCs w:val="28"/>
        </w:rPr>
      </w:pPr>
      <w:r>
        <w:rPr>
          <w:rFonts w:hint="eastAsia" w:ascii="宋体" w:hAnsi="宋体" w:cs="宋体"/>
          <w:sz w:val="28"/>
          <w:szCs w:val="28"/>
        </w:rPr>
        <w:t xml:space="preserve">   </w:t>
      </w:r>
      <w:r/>
    </w:p>
    <w:p>
      <w:pPr>
        <w:spacing w:line="500" w:lineRule="exact"/>
        <w:rPr>
          <w:rFonts w:hint="eastAsia" w:ascii="宋体" w:hAnsi="宋体" w:cs="宋体"/>
          <w:sz w:val="28"/>
          <w:szCs w:val="28"/>
        </w:rPr>
      </w:pPr>
      <w:r>
        <w:rPr>
          <w:rFonts w:hint="eastAsia" w:ascii="宋体" w:hAnsi="宋体" w:cs="宋体"/>
          <w:sz w:val="28"/>
          <w:szCs w:val="28"/>
        </w:rPr>
        <w:t xml:space="preserve"> 根据</w:t>
      </w:r>
      <w:r>
        <w:rPr>
          <w:rFonts w:hint="eastAsia" w:ascii="宋体" w:hAnsi="宋体" w:cs="宋体"/>
          <w:sz w:val="28"/>
          <w:szCs w:val="28"/>
          <w:highlight w:val="none"/>
          <w:u w:val="single"/>
        </w:rPr>
        <w:t xml:space="preserve">JSZC-321300-JZCG-G2026-0035</w:t>
      </w:r>
      <w:r>
        <w:rPr>
          <w:rFonts w:hint="eastAsia" w:ascii="宋体" w:hAnsi="宋体" w:cs="宋体"/>
          <w:color w:val="000000"/>
          <w:sz w:val="28"/>
        </w:rPr>
        <w:t xml:space="preserve">号</w:t>
      </w:r>
      <w:r>
        <w:rPr>
          <w:rFonts w:hint="eastAsia" w:ascii="宋体" w:hAnsi="宋体" w:cs="宋体"/>
          <w:sz w:val="28"/>
          <w:szCs w:val="28"/>
          <w:highlight w:val="none"/>
          <w:u w:val="single"/>
        </w:rPr>
        <w:t xml:space="preserve">宿迁市传染病医院、新沂河管理处2026年物业服务采购项目</w:t>
      </w:r>
      <w:r>
        <w:rPr>
          <w:rFonts w:hint="eastAsia" w:ascii="宋体" w:hAnsi="宋体" w:cs="宋体"/>
          <w:sz w:val="28"/>
          <w:szCs w:val="28"/>
        </w:rPr>
        <w:t xml:space="preserve">招标文件相关要求，承诺如下：针对“第四部分、采购需求-四、</w:t>
      </w:r>
      <w:r>
        <w:rPr>
          <w:rFonts w:hint="eastAsia" w:ascii="宋体" w:hAnsi="宋体" w:cs="宋体"/>
          <w:bCs/>
          <w:sz w:val="28"/>
          <w:szCs w:val="28"/>
        </w:rPr>
        <w:t xml:space="preserve">物业管理服务人员要求</w:t>
      </w:r>
      <w:r>
        <w:rPr>
          <w:rFonts w:hint="eastAsia" w:ascii="宋体" w:hAnsi="宋体" w:cs="宋体"/>
          <w:sz w:val="28"/>
          <w:szCs w:val="28"/>
        </w:rPr>
        <w:t xml:space="preserve">”内容，我单位完全响应，如我单位中标，将按照响应内容进行履约。如我单位投标文件的响应方案优于采购需求，将按投标文件履约。</w:t>
      </w:r>
      <w:r/>
    </w:p>
    <w:p>
      <w:pPr>
        <w:pStyle w:val="1137"/>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137"/>
        <w:ind w:firstLine="560"/>
        <w:spacing w:after="200" w:line="500" w:lineRule="exact"/>
        <w:rPr>
          <w:rFonts w:hint="eastAsia" w:ascii="宋体" w:hAnsi="宋体" w:cs="宋体"/>
          <w:sz w:val="28"/>
          <w:szCs w:val="28"/>
        </w:rPr>
      </w:pPr>
      <w:r>
        <w:rPr>
          <w:rFonts w:hint="eastAsia" w:ascii="宋体" w:hAnsi="宋体" w:cs="宋体"/>
          <w:sz w:val="28"/>
          <w:szCs w:val="28"/>
        </w:rPr>
      </w:r>
      <w:r/>
    </w:p>
    <w:p>
      <w:pPr>
        <w:pStyle w:val="1137"/>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137"/>
        <w:spacing w:after="200" w:line="500" w:lineRule="exact"/>
        <w:rPr>
          <w:rFonts w:hint="eastAsia" w:ascii="宋体" w:hAnsi="宋体" w:cs="宋体"/>
          <w:sz w:val="28"/>
          <w:szCs w:val="28"/>
        </w:rPr>
      </w:pPr>
      <w:r>
        <w:rPr>
          <w:rFonts w:hint="eastAsia" w:ascii="宋体" w:hAnsi="宋体" w:cs="宋体"/>
          <w:sz w:val="28"/>
          <w:szCs w:val="28"/>
        </w:rPr>
      </w:r>
      <w:r/>
    </w:p>
    <w:p>
      <w:pPr>
        <w:ind w:firstLine="4779"/>
        <w:spacing w:line="500" w:lineRule="exact"/>
        <w:rPr>
          <w:rFonts w:hint="eastAsia" w:ascii="宋体" w:hAnsi="宋体" w:cs="宋体"/>
          <w:b/>
          <w:sz w:val="40"/>
        </w:rPr>
      </w:pPr>
      <w:r>
        <w:rPr>
          <w:rFonts w:hint="eastAsia" w:ascii="宋体" w:hAnsi="宋体" w:cs="宋体"/>
          <w:b/>
          <w:color w:val="000000"/>
          <w:sz w:val="28"/>
        </w:rPr>
        <w:t xml:space="preserve">单位名称（盖CA电子公章）：</w:t>
      </w:r>
      <w:r/>
    </w:p>
    <w:p>
      <w:pPr>
        <w:pStyle w:val="1135"/>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35"/>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35"/>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35"/>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35"/>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37"/>
        <w:spacing w:after="200" w:line="500" w:lineRule="exact"/>
        <w:rPr>
          <w:rFonts w:hint="eastAsia" w:ascii="宋体" w:hAnsi="宋体" w:cs="宋体"/>
          <w:sz w:val="28"/>
          <w:szCs w:val="28"/>
        </w:rPr>
      </w:pPr>
      <w:r>
        <w:rPr>
          <w:rFonts w:hint="eastAsia" w:ascii="宋体" w:hAnsi="宋体" w:cs="宋体"/>
          <w:sz w:val="28"/>
          <w:szCs w:val="28"/>
        </w:rPr>
      </w:r>
      <w:r/>
    </w:p>
    <w:p>
      <w:pPr>
        <w:pStyle w:val="1138"/>
        <w:rPr>
          <w:rFonts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十、服务要求承诺（一）及相关服务方案</w:t>
      </w:r>
      <w:r/>
    </w:p>
    <w:p>
      <w:pPr>
        <w:pStyle w:val="1106"/>
        <w:rPr>
          <w:rFonts w:hint="eastAsia" w:ascii="宋体" w:hAnsi="宋体" w:eastAsia="宋体" w:cs="宋体"/>
        </w:rPr>
        <w:outlineLvl w:val="1"/>
      </w:pPr>
      <w:r>
        <w:rPr>
          <w:rFonts w:hint="eastAsia" w:ascii="宋体" w:hAnsi="宋体" w:eastAsia="宋体" w:cs="宋体"/>
        </w:rPr>
      </w:r>
      <w:r/>
    </w:p>
    <w:p>
      <w:pPr>
        <w:pStyle w:val="1135"/>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1、服务要求承诺（一）</w:t>
      </w:r>
      <w:r/>
    </w:p>
    <w:p>
      <w:pPr>
        <w:pStyle w:val="1136"/>
        <w:spacing w:before="10" w:after="10" w:line="600" w:lineRule="exact"/>
        <w:rPr>
          <w:rFonts w:hint="eastAsia"/>
          <w:sz w:val="28"/>
          <w:szCs w:val="28"/>
          <w:u w:val="single"/>
        </w:rPr>
      </w:pPr>
      <w:r>
        <w:rPr>
          <w:rFonts w:hint="eastAsia" w:ascii="宋体" w:hAnsi="宋体"/>
          <w:sz w:val="28"/>
          <w:szCs w:val="28"/>
          <w:u w:val="single"/>
        </w:rPr>
        <w:t xml:space="preserve">宿迁市传染病医院、宿迁市新沂河调度工程管理处：</w:t>
      </w:r>
      <w:r/>
    </w:p>
    <w:p>
      <w:pPr>
        <w:pStyle w:val="1248"/>
        <w:ind w:firstLine="482"/>
        <w:spacing w:after="195" w:line="480" w:lineRule="exact"/>
        <w:rPr>
          <w:rFonts w:hint="eastAsia"/>
          <w:sz w:val="20"/>
        </w:rPr>
      </w:pPr>
      <w:r>
        <w:rPr>
          <w:rFonts w:hint="eastAsia"/>
          <w:sz w:val="28"/>
          <w:szCs w:val="28"/>
        </w:rPr>
        <w:t xml:space="preserve"> 根据</w:t>
      </w:r>
      <w:r>
        <w:rPr>
          <w:rFonts w:hint="eastAsia"/>
          <w:sz w:val="28"/>
          <w:szCs w:val="28"/>
          <w:highlight w:val="none"/>
          <w:u w:val="single"/>
        </w:rPr>
        <w:t xml:space="preserve">JSZC-321300-JZCG-G2026-0035</w:t>
      </w:r>
      <w:r>
        <w:rPr>
          <w:rFonts w:hint="eastAsia"/>
          <w:color w:val="000000"/>
          <w:sz w:val="28"/>
          <w:highlight w:val="none"/>
        </w:rPr>
        <w:t xml:space="preserve">号</w:t>
      </w:r>
      <w:r>
        <w:rPr>
          <w:rFonts w:hint="eastAsia"/>
          <w:sz w:val="28"/>
          <w:szCs w:val="28"/>
          <w:highlight w:val="none"/>
          <w:u w:val="single"/>
        </w:rPr>
        <w:t xml:space="preserve">宿迁市传染病医院、新沂河管理处2026年物业服务采购项目</w:t>
      </w:r>
      <w:r>
        <w:rPr>
          <w:rFonts w:hint="eastAsia"/>
          <w:color w:val="000000"/>
          <w:sz w:val="28"/>
        </w:rPr>
        <w:t xml:space="preserve">招标文件相关要求，承诺如下：完全响应本项目采购需求“第四部分、采购需求-三、物业管理服务内容及标准-3.1基本服务、3.2保洁服务、3.3保安服务”，如我单位中标，将按照响应内容进行履约。如我单位投标文件的响应方案优于采购需求，将按投标文件履约。</w:t>
      </w:r>
      <w:r/>
    </w:p>
    <w:p>
      <w:pPr>
        <w:ind w:firstLine="3834"/>
        <w:spacing w:line="500" w:lineRule="exact"/>
        <w:rPr>
          <w:rFonts w:ascii="宋体" w:hAnsi="宋体" w:cs="宋体"/>
          <w:color w:val="000000"/>
          <w:sz w:val="28"/>
        </w:rPr>
      </w:pPr>
      <w:r>
        <w:rPr>
          <w:rFonts w:ascii="宋体" w:hAnsi="宋体" w:cs="宋体"/>
          <w:color w:val="000000"/>
          <w:sz w:val="28"/>
        </w:rPr>
      </w:r>
      <w:r/>
    </w:p>
    <w:p>
      <w:pPr>
        <w:ind w:firstLine="3834"/>
        <w:spacing w:line="500" w:lineRule="exact"/>
        <w:rPr>
          <w:rFonts w:ascii="宋体" w:hAnsi="宋体" w:cs="宋体"/>
          <w:color w:val="000000"/>
          <w:sz w:val="28"/>
        </w:rPr>
      </w:pPr>
      <w:r>
        <w:rPr>
          <w:rFonts w:hint="eastAsia" w:ascii="宋体" w:hAnsi="宋体" w:cs="宋体"/>
          <w:b/>
          <w:color w:val="000000"/>
          <w:sz w:val="28"/>
        </w:rPr>
        <w:t xml:space="preserve">单位名称（盖CA电子公章）：</w:t>
      </w:r>
      <w:r/>
    </w:p>
    <w:p>
      <w:pPr>
        <w:ind w:firstLine="3834"/>
        <w:spacing w:line="500" w:lineRule="exact"/>
        <w:rPr>
          <w:rFonts w:ascii="宋体" w:hAnsi="宋体" w:cs="宋体"/>
          <w:color w:val="000000"/>
          <w:sz w:val="28"/>
        </w:rPr>
      </w:pPr>
      <w:r>
        <w:rPr>
          <w:rFonts w:ascii="宋体" w:hAnsi="宋体" w:cs="宋体"/>
          <w:color w:val="000000"/>
          <w:sz w:val="28"/>
        </w:rPr>
      </w:r>
      <w:r/>
    </w:p>
    <w:p>
      <w:pPr>
        <w:ind w:firstLine="3834"/>
        <w:spacing w:line="500" w:lineRule="exact"/>
        <w:rPr>
          <w:rFonts w:ascii="宋体" w:hAnsi="宋体" w:cs="宋体"/>
          <w:color w:val="000000"/>
          <w:sz w:val="28"/>
        </w:rPr>
      </w:pPr>
      <w:r>
        <w:rPr>
          <w:rFonts w:ascii="宋体" w:hAnsi="宋体" w:cs="宋体"/>
          <w:color w:val="000000"/>
          <w:sz w:val="28"/>
        </w:rPr>
      </w:r>
      <w:r/>
    </w:p>
    <w:p>
      <w:pPr>
        <w:ind w:firstLine="3834"/>
        <w:spacing w:line="500" w:lineRule="exact"/>
        <w:rPr>
          <w:rFonts w:ascii="宋体" w:hAnsi="宋体" w:cs="宋体"/>
          <w:color w:val="000000"/>
          <w:sz w:val="28"/>
        </w:rPr>
      </w:pPr>
      <w:r>
        <w:rPr>
          <w:rFonts w:ascii="宋体" w:hAnsi="宋体" w:cs="宋体"/>
          <w:color w:val="000000"/>
          <w:sz w:val="28"/>
        </w:rPr>
      </w:r>
      <w:r/>
    </w:p>
    <w:p>
      <w:pPr>
        <w:ind w:firstLine="3834"/>
        <w:spacing w:line="500" w:lineRule="exact"/>
        <w:rPr>
          <w:rFonts w:hint="eastAsia" w:ascii="宋体" w:hAnsi="宋体" w:cs="宋体"/>
          <w:sz w:val="20"/>
        </w:rPr>
      </w:pPr>
      <w:r>
        <w:rPr>
          <w:rFonts w:hint="eastAsia" w:ascii="宋体" w:hAnsi="宋体" w:cs="宋体"/>
          <w:sz w:val="20"/>
        </w:rPr>
      </w:r>
      <w:r/>
    </w:p>
    <w:p>
      <w:pPr>
        <w:pStyle w:val="1135"/>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2、相关服务方案</w:t>
      </w:r>
      <w:r/>
    </w:p>
    <w:p>
      <w:pPr>
        <w:pStyle w:val="1135"/>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cs="宋体"/>
          <w:sz w:val="20"/>
        </w:rPr>
      </w:pPr>
      <w:r>
        <w:rPr>
          <w:rFonts w:hint="eastAsia" w:ascii="宋体" w:hAnsi="宋体" w:cs="宋体"/>
          <w:b/>
          <w:color w:val="000000"/>
          <w:sz w:val="40"/>
        </w:rPr>
        <w:t xml:space="preserve"> </w:t>
      </w:r>
      <w:r/>
    </w:p>
    <w:p>
      <w:pPr>
        <w:jc w:val="center"/>
        <w:spacing w:after="200"/>
        <w:rPr>
          <w:rFonts w:hint="eastAsia" w:ascii="宋体" w:hAnsi="宋体" w:cs="宋体"/>
          <w:sz w:val="20"/>
        </w:rPr>
      </w:pPr>
      <w:r>
        <w:rPr>
          <w:rFonts w:hint="eastAsia" w:ascii="宋体" w:hAnsi="宋体" w:cs="宋体"/>
          <w:b/>
          <w:color w:val="000000"/>
          <w:sz w:val="40"/>
        </w:rPr>
        <w:t xml:space="preserve"> </w:t>
      </w:r>
      <w:r/>
    </w:p>
    <w:p>
      <w:pPr>
        <w:jc w:val="center"/>
        <w:spacing w:after="200"/>
        <w:rPr>
          <w:rFonts w:hint="eastAsia" w:ascii="宋体" w:hAnsi="宋体" w:cs="宋体"/>
          <w:sz w:val="20"/>
        </w:rPr>
      </w:pPr>
      <w:r>
        <w:rPr>
          <w:rFonts w:hint="eastAsia" w:ascii="宋体" w:hAnsi="宋体" w:cs="宋体"/>
          <w:b/>
          <w:color w:val="000000"/>
          <w:sz w:val="40"/>
        </w:rPr>
        <w:t xml:space="preserve"> </w:t>
      </w:r>
      <w:r/>
    </w:p>
    <w:p>
      <w:pPr>
        <w:rPr>
          <w:rFonts w:hint="eastAsia" w:ascii="宋体" w:hAnsi="宋体" w:cs="宋体"/>
          <w:b/>
          <w:color w:val="000000"/>
          <w:sz w:val="40"/>
        </w:rPr>
      </w:pPr>
      <w:r>
        <w:rPr>
          <w:rFonts w:hint="eastAsia" w:ascii="宋体" w:hAnsi="宋体" w:cs="宋体"/>
          <w:b/>
          <w:color w:val="000000"/>
          <w:sz w:val="40"/>
        </w:rPr>
        <w:br w:type="page" w:clear="all"/>
      </w:r>
      <w:r/>
    </w:p>
    <w:p>
      <w:pPr>
        <w:pStyle w:val="1106"/>
        <w:rPr>
          <w:rFonts w:hint="eastAsia" w:ascii="宋体" w:hAnsi="宋体" w:eastAsia="宋体" w:cs="宋体"/>
        </w:rPr>
        <w:outlineLvl w:val="1"/>
      </w:pPr>
      <w:r>
        <w:rPr>
          <w:rFonts w:hint="eastAsia" w:ascii="宋体" w:hAnsi="宋体" w:eastAsia="宋体" w:cs="宋体"/>
        </w:rPr>
        <w:t xml:space="preserve">十一、服务要求承诺（二）及相关服务方案</w:t>
      </w:r>
      <w:r/>
    </w:p>
    <w:p>
      <w:pPr>
        <w:pStyle w:val="1135"/>
        <w:jc w:val="both"/>
        <w:spacing w:after="200" w:line="220" w:lineRule="atLeast"/>
        <w:rPr>
          <w:rFonts w:hint="eastAsia" w:ascii="宋体" w:hAnsi="宋体" w:eastAsia="宋体" w:cs="宋体"/>
          <w:b/>
          <w:sz w:val="36"/>
          <w:szCs w:val="21"/>
        </w:rPr>
      </w:pPr>
      <w:r>
        <w:rPr>
          <w:rFonts w:hint="eastAsia" w:ascii="宋体" w:hAnsi="宋体" w:eastAsia="宋体" w:cs="宋体"/>
          <w:b/>
          <w:sz w:val="36"/>
          <w:szCs w:val="21"/>
        </w:rPr>
      </w:r>
      <w:r/>
    </w:p>
    <w:p>
      <w:pPr>
        <w:pStyle w:val="1135"/>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1、服务要求承诺（二）</w:t>
      </w:r>
      <w:r/>
    </w:p>
    <w:p>
      <w:pPr>
        <w:pStyle w:val="1136"/>
        <w:spacing w:before="10" w:after="10" w:line="600" w:lineRule="exact"/>
        <w:rPr>
          <w:rFonts w:hint="eastAsia" w:ascii="宋体" w:hAnsi="宋体"/>
          <w:sz w:val="28"/>
          <w:szCs w:val="28"/>
          <w:u w:val="single"/>
        </w:rPr>
      </w:pPr>
      <w:r>
        <w:rPr>
          <w:rFonts w:hint="eastAsia" w:ascii="宋体" w:hAnsi="宋体"/>
          <w:sz w:val="28"/>
          <w:szCs w:val="28"/>
          <w:u w:val="single"/>
        </w:rPr>
        <w:t xml:space="preserve">宿迁市传染病医院、宿迁市新沂河调度工程管理处：</w:t>
      </w:r>
      <w:r/>
    </w:p>
    <w:p>
      <w:pPr>
        <w:pStyle w:val="1248"/>
        <w:ind w:firstLine="482"/>
        <w:jc w:val="both"/>
        <w:spacing w:after="195" w:line="480" w:lineRule="exact"/>
        <w:rPr>
          <w:rFonts w:hint="eastAsia"/>
          <w:sz w:val="28"/>
          <w:szCs w:val="28"/>
        </w:rPr>
      </w:pPr>
      <w:r>
        <w:rPr>
          <w:rFonts w:hint="eastAsia"/>
          <w:sz w:val="28"/>
          <w:szCs w:val="28"/>
        </w:rPr>
        <w:t xml:space="preserve">根据</w:t>
      </w:r>
      <w:r>
        <w:rPr>
          <w:rFonts w:hint="eastAsia"/>
          <w:sz w:val="28"/>
          <w:szCs w:val="28"/>
          <w:highlight w:val="none"/>
          <w:u w:val="single"/>
        </w:rPr>
        <w:t xml:space="preserve">JSZC-321300-JZCG-G2026-0035</w:t>
      </w:r>
      <w:r>
        <w:rPr>
          <w:rFonts w:hint="eastAsia"/>
          <w:color w:val="000000"/>
          <w:sz w:val="28"/>
          <w:highlight w:val="none"/>
        </w:rPr>
        <w:t xml:space="preserve">号</w:t>
      </w:r>
      <w:r>
        <w:rPr>
          <w:rFonts w:hint="eastAsia"/>
          <w:sz w:val="28"/>
          <w:szCs w:val="28"/>
          <w:highlight w:val="none"/>
          <w:u w:val="single"/>
        </w:rPr>
        <w:t xml:space="preserve">宿迁市传染病医院、新沂河管理处2026年物业服务采购项目</w:t>
      </w:r>
      <w:r>
        <w:rPr>
          <w:rFonts w:hint="eastAsia"/>
          <w:color w:val="000000"/>
          <w:sz w:val="28"/>
          <w:szCs w:val="28"/>
        </w:rPr>
        <w:t xml:space="preserve">招标文件相关要求，承诺如下：完全响应本项目采购需求“第四部分、采购需求-三、物业管理服务内容及标准-3.4消防服务、3.5供配电系统维护服务”，如我单位中标，将按照响应内容进行履约。如我单位投标文件的响应方案优于采购需求，将按投标文件履约。</w:t>
      </w:r>
      <w:r/>
    </w:p>
    <w:p>
      <w:pPr>
        <w:spacing w:line="500" w:lineRule="exact"/>
        <w:rPr>
          <w:rFonts w:hint="eastAsia" w:ascii="宋体" w:hAnsi="宋体" w:cs="宋体"/>
          <w:sz w:val="28"/>
          <w:szCs w:val="28"/>
        </w:rPr>
      </w:pPr>
      <w:r>
        <w:rPr>
          <w:rFonts w:hint="eastAsia" w:ascii="宋体" w:hAnsi="宋体" w:cs="宋体"/>
          <w:b/>
          <w:color w:val="000000"/>
          <w:sz w:val="28"/>
        </w:rPr>
        <w:t xml:space="preserve">单位名称（盖CA电子公章）</w:t>
      </w:r>
      <w:r>
        <w:rPr>
          <w:rFonts w:hint="eastAsia" w:ascii="宋体" w:hAnsi="宋体" w:cs="宋体"/>
          <w:b/>
          <w:color w:val="000000"/>
          <w:sz w:val="28"/>
          <w:szCs w:val="28"/>
        </w:rPr>
        <w:t xml:space="preserve">：</w:t>
      </w:r>
      <w:r/>
    </w:p>
    <w:p>
      <w:pPr>
        <w:pStyle w:val="1135"/>
        <w:jc w:val="both"/>
        <w:spacing w:line="500" w:lineRule="exact"/>
        <w:rPr>
          <w:rFonts w:ascii="宋体" w:hAnsi="宋体" w:eastAsia="宋体" w:cs="宋体"/>
          <w:b/>
          <w:sz w:val="30"/>
          <w:szCs w:val="30"/>
        </w:rPr>
      </w:pPr>
      <w:r>
        <w:rPr>
          <w:rFonts w:ascii="宋体" w:hAnsi="宋体" w:eastAsia="宋体" w:cs="宋体"/>
          <w:b/>
          <w:sz w:val="30"/>
          <w:szCs w:val="30"/>
        </w:rPr>
      </w:r>
      <w:r/>
    </w:p>
    <w:p>
      <w:pPr>
        <w:pStyle w:val="1135"/>
        <w:jc w:val="both"/>
        <w:spacing w:line="500" w:lineRule="exact"/>
        <w:rPr>
          <w:rFonts w:hint="eastAsia" w:ascii="宋体" w:hAnsi="宋体" w:eastAsia="宋体" w:cs="宋体"/>
          <w:b/>
          <w:sz w:val="30"/>
          <w:szCs w:val="30"/>
        </w:rPr>
      </w:pPr>
      <w:r>
        <w:rPr>
          <w:rFonts w:hint="eastAsia" w:ascii="宋体" w:hAnsi="宋体" w:eastAsia="宋体" w:cs="宋体"/>
          <w:b/>
          <w:sz w:val="30"/>
          <w:szCs w:val="30"/>
        </w:rPr>
      </w:r>
      <w:r/>
    </w:p>
    <w:p>
      <w:pPr>
        <w:pStyle w:val="1135"/>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2、相关服务方案</w:t>
      </w:r>
      <w:r/>
    </w:p>
    <w:p>
      <w:pPr>
        <w:pStyle w:val="1135"/>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cs="宋体"/>
          <w:sz w:val="30"/>
          <w:szCs w:val="30"/>
        </w:rPr>
      </w:pPr>
      <w:r>
        <w:rPr>
          <w:rFonts w:hint="eastAsia" w:ascii="宋体" w:hAnsi="宋体" w:cs="宋体"/>
          <w:sz w:val="30"/>
          <w:szCs w:val="30"/>
        </w:rPr>
      </w:r>
      <w:r/>
    </w:p>
    <w:p>
      <w:pPr>
        <w:jc w:val="center"/>
        <w:spacing w:after="200"/>
        <w:rPr>
          <w:rFonts w:hint="eastAsia" w:ascii="宋体" w:hAnsi="宋体" w:cs="宋体"/>
          <w:sz w:val="30"/>
          <w:szCs w:val="30"/>
        </w:rPr>
      </w:pPr>
      <w:r>
        <w:rPr>
          <w:rFonts w:hint="eastAsia" w:ascii="宋体" w:hAnsi="宋体" w:cs="宋体"/>
          <w:sz w:val="30"/>
          <w:szCs w:val="30"/>
        </w:rPr>
      </w:r>
      <w:r/>
    </w:p>
    <w:p>
      <w:pPr>
        <w:jc w:val="center"/>
        <w:spacing w:after="200"/>
        <w:rPr>
          <w:rFonts w:hint="eastAsia" w:ascii="宋体" w:hAnsi="宋体" w:cs="宋体"/>
          <w:sz w:val="30"/>
          <w:szCs w:val="30"/>
        </w:rPr>
      </w:pPr>
      <w:r>
        <w:rPr>
          <w:rFonts w:hint="eastAsia" w:ascii="宋体" w:hAnsi="宋体" w:cs="宋体"/>
          <w:sz w:val="30"/>
          <w:szCs w:val="30"/>
        </w:rPr>
      </w:r>
      <w:r/>
    </w:p>
    <w:p>
      <w:pPr>
        <w:spacing w:after="200"/>
        <w:rPr>
          <w:rFonts w:hint="eastAsia" w:ascii="宋体" w:hAnsi="宋体" w:cs="宋体"/>
          <w:sz w:val="30"/>
          <w:szCs w:val="30"/>
        </w:rPr>
      </w:pPr>
      <w:r>
        <w:rPr>
          <w:rFonts w:hint="eastAsia" w:ascii="宋体" w:hAnsi="宋体" w:cs="宋体"/>
          <w:sz w:val="30"/>
          <w:szCs w:val="30"/>
        </w:rPr>
      </w:r>
      <w:r/>
    </w:p>
    <w:p>
      <w:pPr>
        <w:jc w:val="center"/>
        <w:spacing w:after="200"/>
        <w:rPr>
          <w:rFonts w:hint="eastAsia" w:ascii="宋体" w:hAnsi="宋体" w:cs="宋体"/>
          <w:b/>
          <w:bCs/>
          <w:color w:val="000000"/>
          <w:sz w:val="30"/>
          <w:szCs w:val="30"/>
        </w:rPr>
      </w:pPr>
      <w:r>
        <w:rPr>
          <w:rFonts w:hint="eastAsia" w:ascii="宋体" w:hAnsi="宋体" w:cs="宋体"/>
          <w:b/>
          <w:bCs/>
          <w:color w:val="000000"/>
          <w:sz w:val="30"/>
          <w:szCs w:val="30"/>
        </w:rPr>
      </w:r>
      <w:r/>
    </w:p>
    <w:p>
      <w:pPr>
        <w:jc w:val="center"/>
        <w:spacing w:after="200"/>
        <w:rPr>
          <w:rFonts w:hint="eastAsia" w:ascii="宋体" w:hAnsi="宋体" w:cs="宋体"/>
          <w:b/>
          <w:bCs/>
          <w:color w:val="000000"/>
          <w:sz w:val="30"/>
          <w:szCs w:val="30"/>
        </w:rPr>
      </w:pPr>
      <w:r>
        <w:rPr>
          <w:rFonts w:hint="eastAsia" w:ascii="宋体" w:hAnsi="宋体" w:cs="宋体"/>
          <w:b/>
          <w:bCs/>
          <w:color w:val="000000"/>
          <w:sz w:val="30"/>
          <w:szCs w:val="30"/>
        </w:rPr>
      </w:r>
      <w:r/>
    </w:p>
    <w:p>
      <w:pPr>
        <w:rPr>
          <w:rFonts w:ascii="宋体" w:hAnsi="宋体" w:cs="宋体"/>
          <w:b/>
          <w:bCs/>
          <w:color w:val="000000"/>
          <w:sz w:val="40"/>
          <w:szCs w:val="40"/>
        </w:rPr>
      </w:pPr>
      <w:r>
        <w:rPr>
          <w:rFonts w:ascii="宋体" w:hAnsi="宋体" w:cs="宋体"/>
          <w:b/>
          <w:bCs/>
          <w:color w:val="000000"/>
          <w:sz w:val="40"/>
          <w:szCs w:val="40"/>
        </w:rPr>
      </w:r>
      <w:r/>
    </w:p>
    <w:p>
      <w:pPr>
        <w:rPr>
          <w:rFonts w:ascii="宋体" w:hAnsi="宋体" w:cs="宋体"/>
          <w:b/>
          <w:bCs/>
          <w:color w:val="000000"/>
          <w:sz w:val="40"/>
          <w:szCs w:val="40"/>
        </w:rPr>
      </w:pPr>
      <w:r>
        <w:rPr>
          <w:rFonts w:ascii="宋体" w:hAnsi="宋体" w:cs="宋体"/>
          <w:b/>
          <w:bCs/>
          <w:color w:val="000000"/>
          <w:sz w:val="40"/>
          <w:szCs w:val="40"/>
        </w:rPr>
      </w:r>
      <w:r/>
    </w:p>
    <w:p>
      <w:pPr>
        <w:rPr>
          <w:rFonts w:ascii="宋体" w:hAnsi="宋体" w:cs="宋体"/>
          <w:b/>
          <w:bCs/>
          <w:color w:val="000000"/>
          <w:sz w:val="40"/>
          <w:szCs w:val="40"/>
        </w:rPr>
      </w:pPr>
      <w:r>
        <w:rPr>
          <w:rFonts w:ascii="宋体" w:hAnsi="宋体" w:cs="宋体"/>
          <w:b/>
          <w:bCs/>
          <w:color w:val="000000"/>
          <w:sz w:val="40"/>
          <w:szCs w:val="40"/>
        </w:rPr>
      </w:r>
      <w:r/>
    </w:p>
    <w:p>
      <w:pPr>
        <w:rPr>
          <w:rFonts w:hint="eastAsia" w:ascii="宋体" w:hAnsi="宋体" w:cs="宋体"/>
          <w:b/>
          <w:bCs/>
          <w:color w:val="000000"/>
          <w:sz w:val="40"/>
          <w:szCs w:val="40"/>
        </w:rPr>
      </w:pPr>
      <w:r>
        <w:rPr>
          <w:rFonts w:hint="eastAsia" w:ascii="宋体" w:hAnsi="宋体" w:cs="宋体"/>
          <w:b/>
          <w:bCs/>
          <w:color w:val="000000"/>
          <w:sz w:val="40"/>
          <w:szCs w:val="40"/>
        </w:rPr>
      </w:r>
      <w:r/>
    </w:p>
    <w:p>
      <w:pPr>
        <w:rPr>
          <w:rFonts w:hint="eastAsia" w:ascii="宋体" w:hAnsi="宋体" w:cs="宋体"/>
          <w:b/>
          <w:bCs/>
          <w:color w:val="000000"/>
          <w:sz w:val="40"/>
          <w:szCs w:val="40"/>
        </w:rPr>
      </w:pPr>
      <w:r>
        <w:rPr>
          <w:rFonts w:hint="eastAsia" w:ascii="宋体" w:hAnsi="宋体" w:cs="宋体"/>
          <w:b/>
          <w:bCs/>
          <w:color w:val="000000"/>
          <w:sz w:val="40"/>
          <w:szCs w:val="40"/>
        </w:rPr>
      </w:r>
      <w:r/>
    </w:p>
    <w:p>
      <w:pPr>
        <w:rPr>
          <w:rFonts w:hint="eastAsia" w:ascii="宋体" w:hAnsi="宋体" w:cs="宋体"/>
          <w:b/>
          <w:sz w:val="32"/>
          <w:szCs w:val="24"/>
        </w:rPr>
      </w:pPr>
      <w:r>
        <w:rPr>
          <w:rFonts w:hint="eastAsia" w:ascii="宋体" w:hAnsi="宋体" w:cs="宋体"/>
          <w:b/>
          <w:sz w:val="32"/>
          <w:szCs w:val="24"/>
        </w:rPr>
        <w:t xml:space="preserve">十二、考核标准承诺</w:t>
      </w:r>
      <w:r/>
    </w:p>
    <w:p>
      <w:pPr>
        <w:pStyle w:val="1106"/>
        <w:rPr>
          <w:rFonts w:hint="eastAsia" w:ascii="宋体" w:hAnsi="宋体" w:eastAsia="宋体" w:cs="宋体"/>
        </w:rPr>
      </w:pPr>
      <w:r>
        <w:rPr>
          <w:rFonts w:hint="eastAsia" w:ascii="宋体" w:hAnsi="宋体" w:eastAsia="宋体" w:cs="宋体"/>
        </w:rPr>
      </w:r>
      <w:r/>
    </w:p>
    <w:p>
      <w:pPr>
        <w:pStyle w:val="1135"/>
        <w:jc w:val="center"/>
        <w:spacing w:line="500" w:lineRule="exact"/>
        <w:rPr>
          <w:rFonts w:hint="eastAsia" w:ascii="宋体" w:hAnsi="宋体" w:eastAsia="宋体" w:cs="宋体"/>
          <w:b/>
          <w:sz w:val="32"/>
        </w:rPr>
      </w:pPr>
      <w:r>
        <w:rPr>
          <w:rFonts w:hint="eastAsia" w:ascii="宋体" w:hAnsi="宋体" w:eastAsia="宋体" w:cs="宋体"/>
          <w:b/>
          <w:sz w:val="32"/>
        </w:rPr>
        <w:t xml:space="preserve">考核标准承诺</w:t>
      </w:r>
      <w:r/>
    </w:p>
    <w:p>
      <w:pPr>
        <w:pStyle w:val="1248"/>
        <w:spacing w:after="195" w:line="480" w:lineRule="exact"/>
        <w:rPr>
          <w:rFonts w:hint="eastAsia"/>
          <w:sz w:val="28"/>
          <w:szCs w:val="28"/>
        </w:rPr>
      </w:pPr>
      <w:r>
        <w:rPr>
          <w:rFonts w:hint="eastAsia"/>
          <w:sz w:val="28"/>
          <w:szCs w:val="28"/>
          <w:u w:val="single"/>
        </w:rPr>
        <w:t xml:space="preserve">宿迁市传染病医院、宿迁市新沂河调度工程管理处：</w:t>
      </w:r>
      <w:r>
        <w:rPr>
          <w:rFonts w:hint="eastAsia"/>
          <w:sz w:val="28"/>
          <w:szCs w:val="28"/>
        </w:rPr>
        <w:t xml:space="preserve">     </w:t>
      </w:r>
      <w:r/>
    </w:p>
    <w:p>
      <w:pPr>
        <w:pStyle w:val="1136"/>
        <w:ind w:firstLine="840"/>
        <w:spacing w:before="10" w:after="10" w:line="480" w:lineRule="exact"/>
        <w:rPr>
          <w:rFonts w:hint="eastAsia" w:ascii="宋体" w:hAnsi="宋体" w:cs="宋体"/>
        </w:rPr>
      </w:pPr>
      <w:r>
        <w:rPr>
          <w:rFonts w:hint="eastAsia" w:ascii="宋体" w:hAnsi="宋体" w:cs="宋体"/>
          <w:sz w:val="28"/>
          <w:szCs w:val="28"/>
        </w:rPr>
        <w:t xml:space="preserve">根据</w:t>
      </w:r>
      <w:bookmarkStart w:id="139" w:name="_GoBack"/>
      <w:r>
        <w:rPr>
          <w:rFonts w:hint="eastAsia" w:ascii="宋体" w:hAnsi="宋体" w:cs="宋体"/>
          <w:sz w:val="28"/>
          <w:szCs w:val="28"/>
          <w:highlight w:val="none"/>
          <w:u w:val="single"/>
        </w:rPr>
        <w:t xml:space="preserve">JSZC-321300-JZCG-G2026-0035</w:t>
      </w:r>
      <w:bookmarkEnd w:id="139"/>
      <w:r>
        <w:rPr>
          <w:rFonts w:hint="eastAsia" w:ascii="宋体" w:hAnsi="宋体" w:cs="宋体"/>
          <w:color w:val="000000"/>
          <w:sz w:val="28"/>
          <w:highlight w:val="none"/>
        </w:rPr>
        <w:t xml:space="preserve">号</w:t>
      </w:r>
      <w:r>
        <w:rPr>
          <w:rFonts w:hint="eastAsia" w:ascii="宋体" w:hAnsi="宋体" w:cs="宋体"/>
          <w:sz w:val="28"/>
          <w:szCs w:val="28"/>
          <w:highlight w:val="none"/>
          <w:u w:val="single"/>
        </w:rPr>
        <w:t xml:space="preserve">宿迁市传染病医院、新沂河管理处2026年物业服务采购项目</w:t>
      </w:r>
      <w:r>
        <w:rPr>
          <w:rFonts w:hint="eastAsia" w:ascii="宋体" w:hAnsi="宋体" w:cs="宋体"/>
          <w:color w:val="000000"/>
          <w:sz w:val="28"/>
        </w:rPr>
        <w:t xml:space="preserve">招标文件相关要求，承诺如下：完全响应本项目采购需求“五、考核标准”，如我单位中标，将按照响应内容进行履约。如我单位投标文件的响应方案优于采购需求，将按投标文件履约。</w:t>
      </w:r>
      <w:r/>
    </w:p>
    <w:p>
      <w:pPr>
        <w:ind w:firstLine="560"/>
        <w:spacing w:after="200" w:line="499" w:lineRule="atLeast"/>
        <w:rPr>
          <w:rFonts w:hint="eastAsia" w:ascii="宋体" w:hAnsi="宋体" w:cs="宋体"/>
          <w:color w:val="000000"/>
          <w:sz w:val="28"/>
        </w:rPr>
      </w:pPr>
      <w:r>
        <w:rPr>
          <w:rFonts w:hint="eastAsia" w:ascii="宋体" w:hAnsi="宋体" w:cs="宋体"/>
          <w:color w:val="000000"/>
          <w:sz w:val="28"/>
        </w:rPr>
        <w:t xml:space="preserve">  </w:t>
      </w:r>
      <w:r/>
    </w:p>
    <w:p>
      <w:pPr>
        <w:ind w:firstLine="560"/>
        <w:spacing w:after="200" w:line="499" w:lineRule="atLeast"/>
        <w:rPr>
          <w:rFonts w:hint="eastAsia" w:ascii="宋体" w:hAnsi="宋体" w:cs="宋体"/>
          <w:color w:val="000000"/>
          <w:sz w:val="28"/>
        </w:rPr>
      </w:pPr>
      <w:r>
        <w:rPr>
          <w:rFonts w:hint="eastAsia" w:ascii="宋体" w:hAnsi="宋体" w:cs="宋体"/>
          <w:color w:val="000000"/>
          <w:sz w:val="28"/>
        </w:rPr>
      </w:r>
      <w:r/>
    </w:p>
    <w:p>
      <w:pPr>
        <w:rPr>
          <w:rFonts w:ascii="宋体" w:hAnsi="宋体" w:cs="宋体"/>
          <w:color w:val="000000"/>
          <w:sz w:val="28"/>
        </w:rPr>
      </w:pPr>
      <w:r>
        <w:rPr>
          <w:rFonts w:ascii="宋体" w:hAnsi="宋体" w:cs="宋体"/>
          <w:color w:val="000000"/>
          <w:sz w:val="28"/>
        </w:rPr>
      </w:r>
      <w:r/>
    </w:p>
    <w:p>
      <w:pPr>
        <w:rPr>
          <w:rFonts w:ascii="宋体" w:hAnsi="宋体" w:cs="宋体"/>
          <w:b/>
          <w:color w:val="000000"/>
          <w:sz w:val="28"/>
        </w:rPr>
      </w:pPr>
      <w:r>
        <w:rPr>
          <w:rFonts w:hint="eastAsia" w:ascii="宋体" w:hAnsi="宋体" w:cs="宋体"/>
          <w:b/>
          <w:color w:val="000000"/>
          <w:sz w:val="28"/>
        </w:rPr>
        <w:t xml:space="preserve">单位名称（盖CA电子公章）：</w:t>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hint="eastAsia" w:ascii="宋体" w:hAnsi="宋体" w:cs="宋体"/>
          <w:sz w:val="32"/>
        </w:rPr>
      </w:pPr>
      <w:r>
        <w:rPr>
          <w:rFonts w:hint="eastAsia" w:ascii="宋体" w:hAnsi="宋体" w:cs="宋体"/>
          <w:sz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br w:type="page" w:clear="all"/>
      </w:r>
      <w:r/>
    </w:p>
    <w:p>
      <w:pPr>
        <w:spacing w:line="480" w:lineRule="exact"/>
        <w:rPr>
          <w:rFonts w:ascii="宋体"/>
          <w:color w:val="000000"/>
          <w:szCs w:val="32"/>
        </w:rPr>
        <w:outlineLvl w:val="1"/>
      </w:pPr>
      <w:r>
        <w:rPr>
          <w:rFonts w:hint="eastAsia" w:ascii="宋体" w:hAnsi="黑体" w:eastAsia="黑体" w:cs="黑体"/>
          <w:color w:val="000000"/>
          <w:sz w:val="32"/>
          <w:szCs w:val="32"/>
        </w:rPr>
        <w:t xml:space="preserve">十三、投标所需其他材料</w:t>
      </w:r>
      <w:r/>
    </w:p>
    <w:p>
      <w:pPr>
        <w:pStyle w:val="1120"/>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095"/>
        <w:ind w:firstLine="482"/>
        <w:spacing w:line="360" w:lineRule="auto"/>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r>
      <w:r/>
    </w:p>
    <w:p>
      <w:pPr>
        <w:pStyle w:val="1074"/>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r>
      <w:r/>
    </w:p>
    <w:p>
      <w:pPr>
        <w:pStyle w:val="1120"/>
        <w:spacing w:line="480" w:lineRule="exact"/>
        <w:rPr>
          <w:color w:val="000000"/>
          <w:sz w:val="24"/>
          <w:szCs w:val="24"/>
        </w:rPr>
      </w:pPr>
      <w:r>
        <w:rPr>
          <w:color w:val="000000"/>
          <w:sz w:val="24"/>
          <w:szCs w:val="24"/>
        </w:rPr>
      </w:r>
      <w:bookmarkEnd w:id="121"/>
      <w:r/>
      <w:bookmarkEnd w:id="124"/>
      <w:r/>
      <w:bookmarkEnd w:id="125"/>
      <w:r/>
      <w:bookmarkEnd w:id="126"/>
      <w:r/>
      <w:bookmarkEnd w:id="127"/>
      <w:r/>
      <w:bookmarkEnd w:id="128"/>
      <w:r/>
      <w:r/>
    </w:p>
    <w:p>
      <w:pPr>
        <w:pStyle w:val="1120"/>
        <w:spacing w:line="480" w:lineRule="exact"/>
        <w:rPr>
          <w:sz w:val="24"/>
          <w:szCs w:val="24"/>
        </w:rPr>
      </w:pPr>
      <w:r>
        <w:rPr>
          <w:sz w:val="24"/>
          <w:szCs w:val="24"/>
        </w:rPr>
      </w:r>
      <w:r/>
    </w:p>
    <w:p>
      <w:pPr>
        <w:pStyle w:val="1095"/>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12"/>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wps:txbx>
                    <wps:bodyPr wrap="square" lIns="0" tIns="0" rIns="0" bIns="0" upright="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12"/>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v:textbox>
            </v:shape>
          </w:pict>
        </mc:Fallback>
      </mc:AlternateContent>
    </w:r>
    <w:r/>
  </w:p>
  <w:p>
    <w:pPr>
      <w:pStyle w:val="8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742950" cy="2794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12"/>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wrap="square" lIns="0" tIns="0" rIns="0" bIns="0" upright="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12"/>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p>
    <w:pPr>
      <w:pStyle w:val="81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8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1200"/>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4"/>
  </w:num>
  <w:num w:numId="3">
    <w:abstractNumId w:val="1"/>
  </w:num>
  <w:num w:numId="4">
    <w:abstractNumId w:val="0"/>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name w:val="Normal"/>
    <w:uiPriority w:val="0"/>
    <w:qFormat/>
    <w:pPr>
      <w:jc w:val="both"/>
      <w:widowControl w:val="off"/>
    </w:pPr>
    <w:rPr>
      <w:rFonts w:ascii="Calibri" w:hAnsi="Calibri" w:eastAsia="宋体" w:cs="Times New Roman"/>
      <w:sz w:val="21"/>
      <w:szCs w:val="22"/>
      <w:lang w:val="en-US" w:eastAsia="zh-CN" w:bidi="ar-SA"/>
    </w:rPr>
  </w:style>
  <w:style w:type="paragraph" w:styleId="775">
    <w:name w:val="Heading 1"/>
    <w:basedOn w:val="774"/>
    <w:next w:val="774"/>
    <w:link w:val="840"/>
    <w:uiPriority w:val="0"/>
    <w:qFormat/>
    <w:pPr>
      <w:keepLines/>
      <w:keepNext/>
      <w:spacing w:before="480" w:after="200"/>
      <w:outlineLvl w:val="0"/>
    </w:pPr>
    <w:rPr>
      <w:rFonts w:ascii="Arial" w:hAnsi="Arial" w:eastAsia="Arial" w:cs="Arial"/>
      <w:sz w:val="40"/>
      <w:szCs w:val="40"/>
    </w:rPr>
  </w:style>
  <w:style w:type="paragraph" w:styleId="776">
    <w:name w:val="Heading 2"/>
    <w:basedOn w:val="774"/>
    <w:next w:val="786"/>
    <w:link w:val="841"/>
    <w:uiPriority w:val="0"/>
    <w:qFormat/>
    <w:pPr>
      <w:keepLines/>
      <w:keepNext/>
      <w:spacing w:before="260" w:after="260" w:line="413" w:lineRule="auto"/>
      <w:outlineLvl w:val="1"/>
    </w:pPr>
    <w:rPr>
      <w:rFonts w:ascii="Arial" w:hAnsi="Arial" w:eastAsia="黑体"/>
      <w:b/>
      <w:sz w:val="32"/>
      <w:szCs w:val="20"/>
    </w:rPr>
  </w:style>
  <w:style w:type="paragraph" w:styleId="777">
    <w:name w:val="Heading 3"/>
    <w:basedOn w:val="787"/>
    <w:next w:val="789"/>
    <w:link w:val="842"/>
    <w:uiPriority w:val="0"/>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43"/>
    <w:uiPriority w:val="0"/>
    <w:qFormat/>
    <w:pPr>
      <w:jc w:val="center"/>
      <w:keepNext/>
      <w:outlineLvl w:val="3"/>
    </w:pPr>
    <w:rPr>
      <w:rFonts w:eastAsia="新宋体"/>
      <w:sz w:val="30"/>
      <w:szCs w:val="21"/>
    </w:rPr>
  </w:style>
  <w:style w:type="paragraph" w:styleId="779">
    <w:name w:val="Heading 5"/>
    <w:basedOn w:val="774"/>
    <w:next w:val="774"/>
    <w:link w:val="844"/>
    <w:uiPriority w:val="0"/>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45"/>
    <w:uiPriority w:val="0"/>
    <w:qFormat/>
    <w:pPr>
      <w:keepLines/>
      <w:keepNext/>
      <w:spacing w:before="320" w:after="200"/>
      <w:outlineLvl w:val="5"/>
    </w:pPr>
    <w:rPr>
      <w:rFonts w:ascii="Arial" w:hAnsi="Arial" w:eastAsia="Arial" w:cs="Arial"/>
      <w:b/>
      <w:bCs/>
      <w:sz w:val="22"/>
    </w:rPr>
  </w:style>
  <w:style w:type="paragraph" w:styleId="781">
    <w:name w:val="Heading 7"/>
    <w:basedOn w:val="774"/>
    <w:next w:val="774"/>
    <w:link w:val="846"/>
    <w:uiPriority w:val="0"/>
    <w:qFormat/>
    <w:pPr>
      <w:keepLines/>
      <w:keepNext/>
      <w:spacing w:before="320" w:after="200"/>
      <w:outlineLvl w:val="6"/>
    </w:pPr>
    <w:rPr>
      <w:rFonts w:ascii="Arial" w:hAnsi="Arial" w:eastAsia="Arial" w:cs="Arial"/>
      <w:b/>
      <w:bCs/>
      <w:i/>
      <w:iCs/>
      <w:sz w:val="22"/>
    </w:rPr>
  </w:style>
  <w:style w:type="paragraph" w:styleId="782">
    <w:name w:val="Heading 8"/>
    <w:basedOn w:val="774"/>
    <w:next w:val="774"/>
    <w:link w:val="847"/>
    <w:uiPriority w:val="0"/>
    <w:qFormat/>
    <w:pPr>
      <w:keepLines/>
      <w:keepNext/>
      <w:spacing w:before="320" w:after="200"/>
      <w:outlineLvl w:val="7"/>
    </w:pPr>
    <w:rPr>
      <w:rFonts w:ascii="Arial" w:hAnsi="Arial" w:eastAsia="Arial" w:cs="Arial"/>
      <w:i/>
      <w:iCs/>
      <w:sz w:val="22"/>
    </w:rPr>
  </w:style>
  <w:style w:type="paragraph" w:styleId="783">
    <w:name w:val="Heading 9"/>
    <w:basedOn w:val="774"/>
    <w:next w:val="774"/>
    <w:link w:val="848"/>
    <w:uiPriority w:val="0"/>
    <w:qFormat/>
    <w:pPr>
      <w:keepLines/>
      <w:keepNext/>
      <w:spacing w:before="320" w:after="200"/>
      <w:outlineLvl w:val="8"/>
    </w:pPr>
    <w:rPr>
      <w:rFonts w:ascii="Arial" w:hAnsi="Arial" w:eastAsia="Arial" w:cs="Arial"/>
      <w:i/>
      <w:iCs/>
      <w:szCs w:val="21"/>
    </w:rPr>
  </w:style>
  <w:style w:type="character" w:styleId="784" w:default="1">
    <w:name w:val="Default Paragraph Font"/>
    <w:uiPriority w:val="1"/>
    <w:unhideWhenUsed/>
    <w:qFormat/>
  </w:style>
  <w:style w:type="table" w:styleId="785" w:default="1">
    <w:name w:val="Normal Table"/>
    <w:uiPriority w:val="99"/>
    <w:unhideWhenUsed/>
    <w:qFormat/>
    <w:tblPr>
      <w:tblCellMar>
        <w:left w:w="108" w:type="dxa"/>
        <w:top w:w="0" w:type="dxa"/>
        <w:right w:w="108" w:type="dxa"/>
        <w:bottom w:w="0" w:type="dxa"/>
      </w:tblCellMar>
    </w:tblPr>
  </w:style>
  <w:style w:type="paragraph" w:styleId="786" w:customStyle="1">
    <w:name w:val="正文缩进12"/>
    <w:basedOn w:val="774"/>
    <w:uiPriority w:val="0"/>
    <w:qFormat/>
    <w:pPr>
      <w:ind w:firstLine="420"/>
    </w:pPr>
  </w:style>
  <w:style w:type="paragraph" w:styleId="787" w:customStyle="1">
    <w:name w:val="Normal1"/>
    <w:next w:val="788"/>
    <w:uiPriority w:val="0"/>
    <w:qFormat/>
    <w:pPr>
      <w:jc w:val="both"/>
      <w:widowControl w:val="off"/>
    </w:pPr>
    <w:rPr>
      <w:rFonts w:ascii="Calibri" w:hAnsi="Calibri" w:eastAsia="宋体" w:cs="Times New Roman"/>
      <w:sz w:val="21"/>
      <w:szCs w:val="22"/>
      <w:lang w:val="en-US" w:eastAsia="zh-CN" w:bidi="ar-SA"/>
    </w:rPr>
  </w:style>
  <w:style w:type="paragraph" w:styleId="788" w:customStyle="1">
    <w:name w:val="标题 311"/>
    <w:basedOn w:val="787"/>
    <w:next w:val="789"/>
    <w:uiPriority w:val="9"/>
    <w:qFormat/>
    <w:pPr>
      <w:keepLines/>
      <w:keepNext/>
      <w:spacing w:before="320" w:after="200"/>
      <w:outlineLvl w:val="2"/>
    </w:pPr>
    <w:rPr>
      <w:rFonts w:ascii="Arial" w:hAnsi="Arial" w:eastAsia="Arial" w:cs="Arial"/>
      <w:sz w:val="30"/>
      <w:szCs w:val="30"/>
    </w:rPr>
  </w:style>
  <w:style w:type="paragraph" w:styleId="789" w:customStyle="1">
    <w:name w:val="Normal_19"/>
    <w:next w:val="790"/>
    <w:uiPriority w:val="0"/>
    <w:qFormat/>
    <w:rPr>
      <w:rFonts w:ascii="黑体" w:hAnsi="黑体" w:eastAsia="黑体" w:cs="黑体"/>
      <w:b/>
      <w:sz w:val="32"/>
      <w:szCs w:val="24"/>
      <w:lang w:val="en-US" w:eastAsia="zh-CN" w:bidi="ar-SA"/>
    </w:rPr>
  </w:style>
  <w:style w:type="paragraph" w:styleId="790" w:customStyle="1">
    <w:name w:val="Normal11"/>
    <w:next w:val="791"/>
    <w:uiPriority w:val="0"/>
    <w:qFormat/>
    <w:pPr>
      <w:jc w:val="both"/>
      <w:widowControl w:val="off"/>
    </w:pPr>
    <w:rPr>
      <w:rFonts w:ascii="Times New Roman" w:hAnsi="Times New Roman" w:eastAsia="宋体" w:cs="Times New Roman"/>
      <w:szCs w:val="21"/>
      <w:lang w:val="en-US" w:eastAsia="zh-CN" w:bidi="ar-SA"/>
    </w:rPr>
  </w:style>
  <w:style w:type="paragraph" w:styleId="791" w:customStyle="1">
    <w:name w:val="Body Text First Indent1"/>
    <w:basedOn w:val="792"/>
    <w:uiPriority w:val="99"/>
    <w:unhideWhenUsed/>
    <w:qFormat/>
    <w:pPr>
      <w:ind w:firstLine="420"/>
    </w:pPr>
  </w:style>
  <w:style w:type="paragraph" w:styleId="792" w:customStyle="1">
    <w:name w:val="Body Text1"/>
    <w:basedOn w:val="793"/>
    <w:uiPriority w:val="99"/>
    <w:unhideWhenUsed/>
    <w:qFormat/>
    <w:pPr>
      <w:spacing w:after="120"/>
    </w:pPr>
  </w:style>
  <w:style w:type="paragraph" w:styleId="793" w:customStyle="1">
    <w:name w:val="Normal12"/>
    <w:next w:val="791"/>
    <w:uiPriority w:val="0"/>
    <w:qFormat/>
    <w:pPr>
      <w:jc w:val="both"/>
      <w:widowControl w:val="off"/>
    </w:pPr>
    <w:rPr>
      <w:rFonts w:ascii="Times New Roman" w:hAnsi="Times New Roman" w:eastAsia="宋体" w:cs="Times New Roman"/>
      <w:szCs w:val="21"/>
      <w:lang w:val="en-US" w:eastAsia="zh-CN" w:bidi="ar-SA"/>
    </w:rPr>
  </w:style>
  <w:style w:type="paragraph" w:styleId="794">
    <w:name w:val="List 3"/>
    <w:basedOn w:val="774"/>
    <w:uiPriority w:val="0"/>
    <w:qFormat/>
    <w:pPr>
      <w:ind w:left="100" w:hanging="200"/>
    </w:pPr>
    <w:rPr>
      <w:rFonts w:ascii="Times New Roman" w:hAnsi="Times New Roman"/>
      <w:szCs w:val="21"/>
    </w:rPr>
  </w:style>
  <w:style w:type="paragraph" w:styleId="795">
    <w:name w:val="toc 7"/>
    <w:basedOn w:val="774"/>
    <w:next w:val="774"/>
    <w:uiPriority w:val="0"/>
    <w:unhideWhenUsed/>
    <w:qFormat/>
    <w:pPr>
      <w:ind w:left="1701"/>
      <w:spacing w:after="57"/>
    </w:pPr>
  </w:style>
  <w:style w:type="paragraph" w:styleId="796">
    <w:name w:val="Normal Indent"/>
    <w:basedOn w:val="774"/>
    <w:link w:val="849"/>
    <w:uiPriority w:val="0"/>
    <w:qFormat/>
    <w:pPr>
      <w:ind w:firstLine="420"/>
    </w:pPr>
    <w:rPr>
      <w:rFonts w:ascii="宋体"/>
      <w:color w:val="000000"/>
      <w:sz w:val="24"/>
      <w:szCs w:val="20"/>
    </w:rPr>
  </w:style>
  <w:style w:type="paragraph" w:styleId="797">
    <w:name w:val="Caption"/>
    <w:basedOn w:val="774"/>
    <w:next w:val="774"/>
    <w:uiPriority w:val="35"/>
    <w:qFormat/>
    <w:pPr>
      <w:spacing w:line="276" w:lineRule="auto"/>
    </w:pPr>
    <w:rPr>
      <w:b/>
      <w:bCs/>
      <w:color w:val="5b9bd5"/>
      <w:sz w:val="18"/>
      <w:szCs w:val="18"/>
    </w:rPr>
  </w:style>
  <w:style w:type="paragraph" w:styleId="798">
    <w:name w:val="Document Map"/>
    <w:basedOn w:val="774"/>
    <w:link w:val="850"/>
    <w:uiPriority w:val="0"/>
    <w:semiHidden/>
    <w:qFormat/>
    <w:pPr>
      <w:shd w:val="clear" w:color="auto" w:fill="000080"/>
    </w:pPr>
    <w:rPr>
      <w:rFonts w:ascii="Times New Roman" w:hAnsi="Times New Roman"/>
      <w:szCs w:val="21"/>
    </w:rPr>
  </w:style>
  <w:style w:type="paragraph" w:styleId="799">
    <w:name w:val="annotation text"/>
    <w:basedOn w:val="774"/>
    <w:link w:val="851"/>
    <w:uiPriority w:val="0"/>
    <w:semiHidden/>
    <w:qFormat/>
    <w:pPr>
      <w:jc w:val="left"/>
    </w:pPr>
    <w:rPr>
      <w:rFonts w:ascii="Times New Roman" w:hAnsi="Times New Roman"/>
      <w:szCs w:val="21"/>
    </w:rPr>
  </w:style>
  <w:style w:type="paragraph" w:styleId="800">
    <w:name w:val="Body Text 3"/>
    <w:basedOn w:val="774"/>
    <w:link w:val="852"/>
    <w:uiPriority w:val="0"/>
    <w:qFormat/>
    <w:rPr>
      <w:rFonts w:ascii="仿宋_GB2312" w:hAnsi="Arial" w:eastAsia="仿宋_GB2312"/>
      <w:sz w:val="32"/>
      <w:szCs w:val="32"/>
    </w:rPr>
  </w:style>
  <w:style w:type="paragraph" w:styleId="801">
    <w:name w:val="Body Text"/>
    <w:basedOn w:val="774"/>
    <w:uiPriority w:val="0"/>
    <w:semiHidden/>
    <w:qFormat/>
    <w:rPr>
      <w:rFonts w:ascii="仿宋" w:hAnsi="仿宋" w:eastAsia="仿宋" w:cs="仿宋"/>
      <w:sz w:val="32"/>
      <w:szCs w:val="32"/>
      <w:lang w:val="en-US" w:eastAsia="en-US" w:bidi="ar-SA"/>
    </w:rPr>
  </w:style>
  <w:style w:type="paragraph" w:styleId="802">
    <w:name w:val="Body Text Indent"/>
    <w:basedOn w:val="774"/>
    <w:link w:val="853"/>
    <w:uiPriority w:val="0"/>
    <w:qFormat/>
    <w:pPr>
      <w:ind w:firstLine="225"/>
    </w:pPr>
    <w:rPr>
      <w:rFonts w:ascii="仿宋_GB2312" w:eastAsia="仿宋_GB2312"/>
      <w:sz w:val="32"/>
    </w:rPr>
  </w:style>
  <w:style w:type="paragraph" w:styleId="803">
    <w:name w:val="List 2"/>
    <w:basedOn w:val="774"/>
    <w:uiPriority w:val="0"/>
    <w:qFormat/>
    <w:pPr>
      <w:ind w:left="100" w:hanging="200"/>
    </w:pPr>
    <w:rPr>
      <w:rFonts w:ascii="Times New Roman" w:hAnsi="Times New Roman"/>
      <w:szCs w:val="21"/>
    </w:rPr>
  </w:style>
  <w:style w:type="paragraph" w:styleId="804">
    <w:name w:val="toc 5"/>
    <w:basedOn w:val="774"/>
    <w:next w:val="774"/>
    <w:uiPriority w:val="0"/>
    <w:unhideWhenUsed/>
    <w:qFormat/>
    <w:pPr>
      <w:ind w:left="1134"/>
      <w:spacing w:after="57"/>
    </w:pPr>
  </w:style>
  <w:style w:type="paragraph" w:styleId="805">
    <w:name w:val="toc 3"/>
    <w:basedOn w:val="774"/>
    <w:next w:val="774"/>
    <w:uiPriority w:val="0"/>
    <w:unhideWhenUsed/>
    <w:qFormat/>
    <w:pPr>
      <w:ind w:left="567"/>
      <w:spacing w:after="57"/>
    </w:pPr>
  </w:style>
  <w:style w:type="paragraph" w:styleId="806">
    <w:name w:val="Plain Text"/>
    <w:basedOn w:val="774"/>
    <w:link w:val="854"/>
    <w:uiPriority w:val="0"/>
    <w:qFormat/>
    <w:rPr>
      <w:rFonts w:ascii="宋体" w:hAnsi="Courier New" w:cs="Courier New"/>
      <w:szCs w:val="21"/>
    </w:rPr>
  </w:style>
  <w:style w:type="paragraph" w:styleId="807">
    <w:name w:val="toc 8"/>
    <w:basedOn w:val="774"/>
    <w:next w:val="774"/>
    <w:uiPriority w:val="0"/>
    <w:unhideWhenUsed/>
    <w:qFormat/>
    <w:pPr>
      <w:ind w:left="1984"/>
      <w:spacing w:after="57"/>
    </w:pPr>
  </w:style>
  <w:style w:type="paragraph" w:styleId="808">
    <w:name w:val="Date"/>
    <w:basedOn w:val="774"/>
    <w:next w:val="774"/>
    <w:link w:val="855"/>
    <w:uiPriority w:val="0"/>
    <w:qFormat/>
    <w:rPr>
      <w:rFonts w:ascii="Times New Roman" w:hAnsi="Times New Roman"/>
      <w:sz w:val="24"/>
      <w:szCs w:val="24"/>
    </w:rPr>
  </w:style>
  <w:style w:type="paragraph" w:styleId="809">
    <w:name w:val="Body Text Indent 2"/>
    <w:basedOn w:val="774"/>
    <w:link w:val="856"/>
    <w:uiPriority w:val="0"/>
    <w:qFormat/>
    <w:pPr>
      <w:ind w:left="630" w:firstLine="645"/>
    </w:pPr>
    <w:rPr>
      <w:rFonts w:ascii="Arial" w:hAnsi="Arial" w:eastAsia="仿宋_GB2312" w:cs="Arial"/>
      <w:sz w:val="32"/>
      <w:szCs w:val="32"/>
    </w:rPr>
  </w:style>
  <w:style w:type="paragraph" w:styleId="810">
    <w:name w:val="endnote text"/>
    <w:basedOn w:val="774"/>
    <w:link w:val="857"/>
    <w:uiPriority w:val="99"/>
    <w:unhideWhenUsed/>
    <w:qFormat/>
    <w:rPr>
      <w:sz w:val="20"/>
    </w:rPr>
  </w:style>
  <w:style w:type="paragraph" w:styleId="811">
    <w:name w:val="Balloon Text"/>
    <w:basedOn w:val="774"/>
    <w:link w:val="858"/>
    <w:uiPriority w:val="0"/>
    <w:qFormat/>
    <w:rPr>
      <w:rFonts w:ascii="Times New Roman" w:hAnsi="Times New Roman"/>
      <w:sz w:val="18"/>
      <w:szCs w:val="18"/>
    </w:rPr>
  </w:style>
  <w:style w:type="paragraph" w:styleId="812">
    <w:name w:val="Footer"/>
    <w:basedOn w:val="774"/>
    <w:link w:val="859"/>
    <w:uiPriority w:val="99"/>
    <w:qFormat/>
    <w:pPr>
      <w:jc w:val="left"/>
      <w:tabs>
        <w:tab w:val="center" w:pos="4153" w:leader="none"/>
        <w:tab w:val="right" w:pos="8306" w:leader="none"/>
      </w:tabs>
    </w:pPr>
    <w:rPr>
      <w:sz w:val="18"/>
      <w:szCs w:val="18"/>
    </w:rPr>
  </w:style>
  <w:style w:type="paragraph" w:styleId="813">
    <w:name w:val="Header"/>
    <w:basedOn w:val="774"/>
    <w:link w:val="860"/>
    <w:uiPriority w:val="0"/>
    <w:qFormat/>
    <w:pPr>
      <w:jc w:val="center"/>
      <w:tabs>
        <w:tab w:val="center" w:pos="4153" w:leader="none"/>
        <w:tab w:val="right" w:pos="8306" w:leader="none"/>
      </w:tabs>
    </w:pPr>
    <w:rPr>
      <w:sz w:val="18"/>
      <w:szCs w:val="18"/>
    </w:rPr>
  </w:style>
  <w:style w:type="paragraph" w:styleId="814">
    <w:name w:val="toc 1"/>
    <w:basedOn w:val="774"/>
    <w:next w:val="774"/>
    <w:uiPriority w:val="0"/>
    <w:qFormat/>
    <w:pPr>
      <w:jc w:val="left"/>
      <w:spacing w:before="120" w:after="120"/>
    </w:pPr>
    <w:rPr>
      <w:rFonts w:cs="Calibri"/>
      <w:b/>
      <w:bCs/>
      <w:caps/>
      <w:sz w:val="20"/>
      <w:szCs w:val="20"/>
    </w:rPr>
  </w:style>
  <w:style w:type="paragraph" w:styleId="815">
    <w:name w:val="toc 4"/>
    <w:basedOn w:val="774"/>
    <w:next w:val="774"/>
    <w:uiPriority w:val="0"/>
    <w:unhideWhenUsed/>
    <w:qFormat/>
    <w:pPr>
      <w:ind w:left="850"/>
      <w:spacing w:after="57"/>
    </w:pPr>
  </w:style>
  <w:style w:type="paragraph" w:styleId="816">
    <w:name w:val="Subtitle"/>
    <w:basedOn w:val="774"/>
    <w:next w:val="774"/>
    <w:link w:val="861"/>
    <w:uiPriority w:val="11"/>
    <w:qFormat/>
    <w:pPr>
      <w:spacing w:before="200" w:after="200"/>
    </w:pPr>
    <w:rPr>
      <w:sz w:val="24"/>
      <w:szCs w:val="24"/>
    </w:rPr>
  </w:style>
  <w:style w:type="paragraph" w:styleId="817">
    <w:name w:val="List"/>
    <w:basedOn w:val="774"/>
    <w:uiPriority w:val="0"/>
    <w:qFormat/>
    <w:pPr>
      <w:ind w:left="200" w:hanging="200"/>
    </w:pPr>
    <w:rPr>
      <w:rFonts w:ascii="Times New Roman" w:hAnsi="Times New Roman"/>
      <w:szCs w:val="21"/>
    </w:rPr>
  </w:style>
  <w:style w:type="paragraph" w:styleId="818">
    <w:name w:val="footnote text"/>
    <w:basedOn w:val="774"/>
    <w:link w:val="862"/>
    <w:uiPriority w:val="99"/>
    <w:unhideWhenUsed/>
    <w:qFormat/>
    <w:pPr>
      <w:spacing w:after="40"/>
    </w:pPr>
    <w:rPr>
      <w:sz w:val="18"/>
    </w:rPr>
  </w:style>
  <w:style w:type="paragraph" w:styleId="819">
    <w:name w:val="toc 6"/>
    <w:basedOn w:val="774"/>
    <w:next w:val="774"/>
    <w:uiPriority w:val="0"/>
    <w:unhideWhenUsed/>
    <w:qFormat/>
    <w:pPr>
      <w:ind w:left="1417"/>
      <w:spacing w:after="57"/>
    </w:pPr>
  </w:style>
  <w:style w:type="paragraph" w:styleId="820">
    <w:name w:val="Body Text Indent 3"/>
    <w:basedOn w:val="774"/>
    <w:link w:val="863"/>
    <w:uiPriority w:val="0"/>
    <w:qFormat/>
    <w:pPr>
      <w:ind w:left="645" w:firstLine="645"/>
    </w:pPr>
    <w:rPr>
      <w:rFonts w:ascii="Arial" w:hAnsi="Arial" w:eastAsia="仿宋_GB2312" w:cs="Arial"/>
      <w:color w:val="ffff00"/>
      <w:sz w:val="32"/>
      <w:szCs w:val="32"/>
    </w:rPr>
  </w:style>
  <w:style w:type="paragraph" w:styleId="821">
    <w:name w:val="table of figures"/>
    <w:basedOn w:val="774"/>
    <w:next w:val="774"/>
    <w:uiPriority w:val="0"/>
    <w:unhideWhenUsed/>
    <w:qFormat/>
  </w:style>
  <w:style w:type="paragraph" w:styleId="822">
    <w:name w:val="toc 2"/>
    <w:basedOn w:val="774"/>
    <w:next w:val="774"/>
    <w:uiPriority w:val="0"/>
    <w:qFormat/>
    <w:pPr>
      <w:ind w:left="210"/>
      <w:jc w:val="left"/>
    </w:pPr>
    <w:rPr>
      <w:rFonts w:cs="Calibri"/>
      <w:smallCaps/>
      <w:sz w:val="20"/>
      <w:szCs w:val="20"/>
    </w:rPr>
  </w:style>
  <w:style w:type="paragraph" w:styleId="823">
    <w:name w:val="toc 9"/>
    <w:basedOn w:val="774"/>
    <w:next w:val="774"/>
    <w:uiPriority w:val="0"/>
    <w:unhideWhenUsed/>
    <w:qFormat/>
    <w:pPr>
      <w:ind w:left="2268"/>
      <w:spacing w:after="57"/>
    </w:pPr>
  </w:style>
  <w:style w:type="paragraph" w:styleId="824">
    <w:name w:val="Body Text 2"/>
    <w:basedOn w:val="774"/>
    <w:link w:val="864"/>
    <w:uiPriority w:val="0"/>
    <w:qFormat/>
    <w:pPr>
      <w:jc w:val="center"/>
      <w:widowControl/>
    </w:pPr>
    <w:rPr>
      <w:rFonts w:ascii="楷体_GB2312" w:hAnsi="Times New Roman" w:eastAsia="楷体_GB2312"/>
      <w:sz w:val="28"/>
      <w:szCs w:val="28"/>
    </w:rPr>
  </w:style>
  <w:style w:type="paragraph" w:styleId="825">
    <w:name w:val="HTML Preformatted"/>
    <w:basedOn w:val="774"/>
    <w:link w:val="86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26">
    <w:name w:val="Normal (Web)"/>
    <w:basedOn w:val="774"/>
    <w:uiPriority w:val="99"/>
    <w:qFormat/>
    <w:pPr>
      <w:jc w:val="left"/>
      <w:spacing w:before="100" w:beforeAutospacing="1" w:after="100" w:afterAutospacing="1"/>
      <w:widowControl/>
    </w:pPr>
    <w:rPr>
      <w:rFonts w:ascii="宋体" w:hAnsi="宋体" w:cs="宋体"/>
      <w:sz w:val="24"/>
      <w:szCs w:val="24"/>
    </w:rPr>
  </w:style>
  <w:style w:type="paragraph" w:styleId="827">
    <w:name w:val="index 1"/>
    <w:basedOn w:val="774"/>
    <w:next w:val="774"/>
    <w:uiPriority w:val="0"/>
    <w:semiHidden/>
    <w:qFormat/>
    <w:pPr>
      <w:spacing w:line="240" w:lineRule="atLeast"/>
    </w:pPr>
    <w:rPr>
      <w:rFonts w:ascii="Times New Roman" w:hAnsi="Times New Roman"/>
      <w:b/>
      <w:bCs/>
      <w:szCs w:val="21"/>
    </w:rPr>
  </w:style>
  <w:style w:type="paragraph" w:styleId="828">
    <w:name w:val="Title"/>
    <w:basedOn w:val="774"/>
    <w:next w:val="774"/>
    <w:link w:val="866"/>
    <w:uiPriority w:val="10"/>
    <w:qFormat/>
    <w:pPr>
      <w:contextualSpacing/>
      <w:spacing w:before="300" w:after="200"/>
    </w:pPr>
    <w:rPr>
      <w:sz w:val="48"/>
      <w:szCs w:val="48"/>
    </w:rPr>
  </w:style>
  <w:style w:type="paragraph" w:styleId="829">
    <w:name w:val="annotation subject"/>
    <w:basedOn w:val="799"/>
    <w:next w:val="799"/>
    <w:link w:val="867"/>
    <w:uiPriority w:val="0"/>
    <w:semiHidden/>
    <w:qFormat/>
    <w:rPr>
      <w:b/>
      <w:bCs/>
    </w:rPr>
  </w:style>
  <w:style w:type="paragraph" w:styleId="830">
    <w:name w:val="Body Text First Indent 2"/>
    <w:basedOn w:val="802"/>
    <w:link w:val="868"/>
    <w:uiPriority w:val="0"/>
    <w:qFormat/>
    <w:pPr>
      <w:ind w:firstLine="420"/>
      <w:spacing w:line="360" w:lineRule="auto"/>
    </w:pPr>
    <w:rPr>
      <w:rFonts w:ascii="宋体" w:hAnsi="宋体" w:eastAsia="宋体"/>
      <w:sz w:val="21"/>
      <w:szCs w:val="20"/>
    </w:rPr>
  </w:style>
  <w:style w:type="table" w:styleId="831">
    <w:name w:val="Table Grid"/>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2">
    <w:name w:val="Strong"/>
    <w:uiPriority w:val="0"/>
    <w:qFormat/>
    <w:rPr>
      <w:b/>
      <w:bCs/>
    </w:rPr>
  </w:style>
  <w:style w:type="character" w:styleId="833">
    <w:name w:val="endnote reference"/>
    <w:uiPriority w:val="99"/>
    <w:unhideWhenUsed/>
    <w:qFormat/>
    <w:rPr>
      <w:vertAlign w:val="superscript"/>
    </w:rPr>
  </w:style>
  <w:style w:type="character" w:styleId="834">
    <w:name w:val="page number"/>
    <w:uiPriority w:val="0"/>
    <w:qFormat/>
  </w:style>
  <w:style w:type="character" w:styleId="835">
    <w:name w:val="FollowedHyperlink"/>
    <w:uiPriority w:val="0"/>
    <w:qFormat/>
    <w:rPr>
      <w:color w:val="800080"/>
      <w:u w:val="single"/>
    </w:rPr>
  </w:style>
  <w:style w:type="character" w:styleId="836">
    <w:name w:val="Emphasis"/>
    <w:uiPriority w:val="0"/>
    <w:qFormat/>
    <w:rPr>
      <w:i/>
    </w:rPr>
  </w:style>
  <w:style w:type="character" w:styleId="837">
    <w:name w:val="Hyperlink"/>
    <w:uiPriority w:val="0"/>
    <w:qFormat/>
    <w:rPr>
      <w:color w:val="0000ff"/>
      <w:u w:val="single"/>
    </w:rPr>
  </w:style>
  <w:style w:type="character" w:styleId="838">
    <w:name w:val="annotation reference"/>
    <w:uiPriority w:val="0"/>
    <w:semiHidden/>
    <w:qFormat/>
    <w:rPr>
      <w:sz w:val="21"/>
      <w:szCs w:val="21"/>
    </w:rPr>
  </w:style>
  <w:style w:type="character" w:styleId="839">
    <w:name w:val="footnote reference"/>
    <w:uiPriority w:val="99"/>
    <w:unhideWhenUsed/>
    <w:qFormat/>
    <w:rPr>
      <w:vertAlign w:val="superscript"/>
    </w:rPr>
  </w:style>
  <w:style w:type="character" w:styleId="840" w:customStyle="1">
    <w:name w:val="标题 1 字符"/>
    <w:link w:val="775"/>
    <w:uiPriority w:val="0"/>
    <w:qFormat/>
    <w:rPr>
      <w:rFonts w:ascii="Arial" w:hAnsi="Arial" w:eastAsia="Arial" w:cs="Arial"/>
      <w:sz w:val="40"/>
      <w:szCs w:val="40"/>
    </w:rPr>
  </w:style>
  <w:style w:type="character" w:styleId="841" w:customStyle="1">
    <w:name w:val="标题 2 字符"/>
    <w:link w:val="776"/>
    <w:uiPriority w:val="0"/>
    <w:qFormat/>
    <w:rPr>
      <w:rFonts w:ascii="Arial" w:hAnsi="Arial" w:eastAsia="Arial" w:cs="Arial"/>
      <w:sz w:val="34"/>
    </w:rPr>
  </w:style>
  <w:style w:type="character" w:styleId="842" w:customStyle="1">
    <w:name w:val="标题 3 字符"/>
    <w:link w:val="777"/>
    <w:uiPriority w:val="0"/>
    <w:qFormat/>
    <w:rPr>
      <w:rFonts w:ascii="Arial" w:hAnsi="Arial" w:eastAsia="Arial" w:cs="Arial"/>
      <w:sz w:val="30"/>
      <w:szCs w:val="30"/>
    </w:rPr>
  </w:style>
  <w:style w:type="character" w:styleId="843" w:customStyle="1">
    <w:name w:val="标题 4 字符"/>
    <w:link w:val="778"/>
    <w:uiPriority w:val="0"/>
    <w:qFormat/>
    <w:rPr>
      <w:rFonts w:ascii="Arial" w:hAnsi="Arial" w:eastAsia="Arial" w:cs="Arial"/>
      <w:b/>
      <w:bCs/>
      <w:sz w:val="26"/>
      <w:szCs w:val="26"/>
    </w:rPr>
  </w:style>
  <w:style w:type="character" w:styleId="844" w:customStyle="1">
    <w:name w:val="标题 5 字符"/>
    <w:link w:val="779"/>
    <w:uiPriority w:val="0"/>
    <w:qFormat/>
    <w:rPr>
      <w:rFonts w:ascii="Arial" w:hAnsi="Arial" w:eastAsia="Arial" w:cs="Arial"/>
      <w:b/>
      <w:bCs/>
      <w:sz w:val="24"/>
      <w:szCs w:val="24"/>
    </w:rPr>
  </w:style>
  <w:style w:type="character" w:styleId="845" w:customStyle="1">
    <w:name w:val="标题 6 字符"/>
    <w:link w:val="780"/>
    <w:uiPriority w:val="0"/>
    <w:qFormat/>
    <w:rPr>
      <w:rFonts w:ascii="Arial" w:hAnsi="Arial" w:eastAsia="Arial" w:cs="Arial"/>
      <w:b/>
      <w:bCs/>
      <w:sz w:val="22"/>
      <w:szCs w:val="22"/>
    </w:rPr>
  </w:style>
  <w:style w:type="character" w:styleId="846" w:customStyle="1">
    <w:name w:val="标题 7 字符"/>
    <w:link w:val="781"/>
    <w:uiPriority w:val="0"/>
    <w:qFormat/>
    <w:rPr>
      <w:rFonts w:ascii="Arial" w:hAnsi="Arial" w:eastAsia="Arial" w:cs="Arial"/>
      <w:b/>
      <w:bCs/>
      <w:i/>
      <w:iCs/>
      <w:sz w:val="22"/>
      <w:szCs w:val="22"/>
    </w:rPr>
  </w:style>
  <w:style w:type="character" w:styleId="847" w:customStyle="1">
    <w:name w:val="标题 8 字符"/>
    <w:link w:val="782"/>
    <w:uiPriority w:val="0"/>
    <w:qFormat/>
    <w:rPr>
      <w:rFonts w:ascii="Arial" w:hAnsi="Arial" w:eastAsia="Arial" w:cs="Arial"/>
      <w:i/>
      <w:iCs/>
      <w:sz w:val="22"/>
      <w:szCs w:val="22"/>
    </w:rPr>
  </w:style>
  <w:style w:type="character" w:styleId="848" w:customStyle="1">
    <w:name w:val="标题 9 字符"/>
    <w:link w:val="783"/>
    <w:uiPriority w:val="0"/>
    <w:qFormat/>
    <w:rPr>
      <w:rFonts w:ascii="Arial" w:hAnsi="Arial" w:eastAsia="Arial" w:cs="Arial"/>
      <w:i/>
      <w:iCs/>
      <w:sz w:val="21"/>
      <w:szCs w:val="21"/>
    </w:rPr>
  </w:style>
  <w:style w:type="character" w:styleId="849" w:customStyle="1">
    <w:name w:val="正文缩进 字符"/>
    <w:link w:val="796"/>
    <w:uiPriority w:val="0"/>
    <w:qFormat/>
    <w:rPr>
      <w:rFonts w:ascii="宋体" w:hAnsi="Calibri"/>
      <w:color w:val="000000"/>
      <w:sz w:val="24"/>
    </w:rPr>
  </w:style>
  <w:style w:type="character" w:styleId="850" w:customStyle="1">
    <w:name w:val="文档结构图 字符"/>
    <w:link w:val="798"/>
    <w:uiPriority w:val="0"/>
    <w:semiHidden/>
    <w:qFormat/>
    <w:rPr>
      <w:sz w:val="21"/>
      <w:szCs w:val="21"/>
      <w:shd w:val="clear" w:color="auto" w:fill="000080"/>
    </w:rPr>
  </w:style>
  <w:style w:type="character" w:styleId="851" w:customStyle="1">
    <w:name w:val="批注文字 字符"/>
    <w:link w:val="799"/>
    <w:uiPriority w:val="0"/>
    <w:semiHidden/>
    <w:qFormat/>
    <w:rPr>
      <w:sz w:val="21"/>
      <w:szCs w:val="21"/>
    </w:rPr>
  </w:style>
  <w:style w:type="character" w:styleId="852" w:customStyle="1">
    <w:name w:val="正文文本 3 字符"/>
    <w:link w:val="800"/>
    <w:uiPriority w:val="0"/>
    <w:qFormat/>
    <w:rPr>
      <w:rFonts w:ascii="仿宋_GB2312" w:hAnsi="Arial" w:eastAsia="仿宋_GB2312"/>
      <w:sz w:val="32"/>
      <w:szCs w:val="32"/>
    </w:rPr>
  </w:style>
  <w:style w:type="character" w:styleId="853" w:customStyle="1">
    <w:name w:val="正文文本缩进 字符1"/>
    <w:link w:val="802"/>
    <w:uiPriority w:val="0"/>
    <w:qFormat/>
    <w:rPr>
      <w:rFonts w:ascii="仿宋_GB2312" w:hAnsi="Calibri" w:eastAsia="仿宋_GB2312"/>
      <w:sz w:val="32"/>
      <w:szCs w:val="22"/>
    </w:rPr>
  </w:style>
  <w:style w:type="character" w:styleId="854" w:customStyle="1">
    <w:name w:val="纯文本 字符"/>
    <w:link w:val="806"/>
    <w:uiPriority w:val="0"/>
    <w:qFormat/>
    <w:rPr>
      <w:rFonts w:ascii="宋体" w:hAnsi="Courier New" w:cs="Courier New"/>
      <w:sz w:val="21"/>
      <w:szCs w:val="21"/>
    </w:rPr>
  </w:style>
  <w:style w:type="character" w:styleId="855" w:customStyle="1">
    <w:name w:val="日期 字符"/>
    <w:link w:val="808"/>
    <w:uiPriority w:val="0"/>
    <w:qFormat/>
    <w:rPr>
      <w:sz w:val="24"/>
      <w:szCs w:val="24"/>
    </w:rPr>
  </w:style>
  <w:style w:type="character" w:styleId="856" w:customStyle="1">
    <w:name w:val="正文文本缩进 2 字符"/>
    <w:link w:val="809"/>
    <w:uiPriority w:val="0"/>
    <w:qFormat/>
    <w:rPr>
      <w:rFonts w:ascii="Arial" w:hAnsi="Arial" w:eastAsia="仿宋_GB2312" w:cs="Arial"/>
      <w:sz w:val="32"/>
      <w:szCs w:val="32"/>
    </w:rPr>
  </w:style>
  <w:style w:type="character" w:styleId="857" w:customStyle="1">
    <w:name w:val="尾注文本 字符"/>
    <w:link w:val="810"/>
    <w:uiPriority w:val="99"/>
    <w:qFormat/>
    <w:rPr>
      <w:sz w:val="20"/>
    </w:rPr>
  </w:style>
  <w:style w:type="character" w:styleId="858" w:customStyle="1">
    <w:name w:val="批注框文本 字符"/>
    <w:link w:val="811"/>
    <w:uiPriority w:val="0"/>
    <w:qFormat/>
    <w:rPr>
      <w:sz w:val="18"/>
      <w:szCs w:val="18"/>
    </w:rPr>
  </w:style>
  <w:style w:type="character" w:styleId="859" w:customStyle="1">
    <w:name w:val="页脚 字符"/>
    <w:link w:val="812"/>
    <w:uiPriority w:val="99"/>
    <w:qFormat/>
  </w:style>
  <w:style w:type="character" w:styleId="860" w:customStyle="1">
    <w:name w:val="页眉 字符"/>
    <w:link w:val="813"/>
    <w:uiPriority w:val="0"/>
    <w:qFormat/>
    <w:rPr>
      <w:rFonts w:ascii="Calibri" w:hAnsi="Calibri"/>
      <w:sz w:val="18"/>
      <w:szCs w:val="18"/>
    </w:rPr>
  </w:style>
  <w:style w:type="character" w:styleId="861" w:customStyle="1">
    <w:name w:val="副标题 字符"/>
    <w:link w:val="816"/>
    <w:uiPriority w:val="11"/>
    <w:qFormat/>
    <w:rPr>
      <w:sz w:val="24"/>
      <w:szCs w:val="24"/>
    </w:rPr>
  </w:style>
  <w:style w:type="character" w:styleId="862" w:customStyle="1">
    <w:name w:val="脚注文本 字符"/>
    <w:link w:val="818"/>
    <w:uiPriority w:val="99"/>
    <w:qFormat/>
    <w:rPr>
      <w:sz w:val="18"/>
    </w:rPr>
  </w:style>
  <w:style w:type="character" w:styleId="863" w:customStyle="1">
    <w:name w:val="正文文本缩进 3 字符"/>
    <w:link w:val="820"/>
    <w:uiPriority w:val="0"/>
    <w:qFormat/>
    <w:rPr>
      <w:rFonts w:ascii="Arial" w:hAnsi="Arial" w:eastAsia="仿宋_GB2312" w:cs="Arial"/>
      <w:color w:val="ffff00"/>
      <w:sz w:val="32"/>
      <w:szCs w:val="32"/>
    </w:rPr>
  </w:style>
  <w:style w:type="character" w:styleId="864" w:customStyle="1">
    <w:name w:val="正文文本 2 字符"/>
    <w:link w:val="824"/>
    <w:uiPriority w:val="0"/>
    <w:qFormat/>
    <w:rPr>
      <w:rFonts w:ascii="楷体_GB2312" w:eastAsia="楷体_GB2312"/>
      <w:sz w:val="28"/>
      <w:szCs w:val="28"/>
    </w:rPr>
  </w:style>
  <w:style w:type="character" w:styleId="865" w:customStyle="1">
    <w:name w:val="HTML 预设格式 字符"/>
    <w:link w:val="825"/>
    <w:uiPriority w:val="99"/>
    <w:qFormat/>
    <w:rPr>
      <w:rFonts w:ascii="宋体" w:hAnsi="宋体"/>
      <w:sz w:val="24"/>
      <w:szCs w:val="24"/>
    </w:rPr>
  </w:style>
  <w:style w:type="character" w:styleId="866" w:customStyle="1">
    <w:name w:val="标题 字符"/>
    <w:link w:val="828"/>
    <w:uiPriority w:val="10"/>
    <w:qFormat/>
    <w:rPr>
      <w:sz w:val="48"/>
      <w:szCs w:val="48"/>
    </w:rPr>
  </w:style>
  <w:style w:type="character" w:styleId="867" w:customStyle="1">
    <w:name w:val="批注主题 字符"/>
    <w:link w:val="829"/>
    <w:uiPriority w:val="0"/>
    <w:semiHidden/>
    <w:qFormat/>
    <w:rPr>
      <w:b/>
      <w:bCs/>
      <w:sz w:val="21"/>
      <w:szCs w:val="21"/>
    </w:rPr>
  </w:style>
  <w:style w:type="character" w:styleId="868" w:customStyle="1">
    <w:name w:val="正文文本首行缩进 2 字符"/>
    <w:link w:val="830"/>
    <w:uiPriority w:val="0"/>
    <w:qFormat/>
    <w:rPr>
      <w:rFonts w:ascii="宋体" w:hAnsi="宋体" w:eastAsia="仿宋_GB2312"/>
      <w:sz w:val="21"/>
      <w:szCs w:val="22"/>
    </w:rPr>
  </w:style>
  <w:style w:type="character" w:styleId="869" w:customStyle="1">
    <w:name w:val="custom-tag-placeholder-class"/>
    <w:uiPriority w:val="0"/>
    <w:qFormat/>
  </w:style>
  <w:style w:type="paragraph" w:styleId="870" w:customStyle="1">
    <w:name w:val="Normal"/>
    <w:next w:val="791"/>
    <w:uiPriority w:val="0"/>
    <w:qFormat/>
    <w:pPr>
      <w:jc w:val="both"/>
      <w:widowControl w:val="off"/>
    </w:pPr>
    <w:rPr>
      <w:rFonts w:ascii="Times New Roman" w:hAnsi="Times New Roman" w:eastAsia="宋体" w:cs="Times New Roman"/>
      <w:szCs w:val="21"/>
      <w:lang w:val="en-US" w:eastAsia="zh-CN" w:bidi="ar-SA"/>
    </w:rPr>
  </w:style>
  <w:style w:type="paragraph" w:styleId="871" w:customStyle="1">
    <w:name w:val="正文首行缩进 21"/>
    <w:basedOn w:val="872"/>
    <w:next w:val="774"/>
    <w:uiPriority w:val="0"/>
    <w:qFormat/>
    <w:pPr>
      <w:ind w:firstLine="420"/>
      <w:spacing w:line="360" w:lineRule="auto"/>
    </w:pPr>
    <w:rPr>
      <w:rFonts w:ascii="宋体" w:hAnsi="宋体" w:eastAsia="宋体"/>
      <w:sz w:val="21"/>
      <w:szCs w:val="20"/>
    </w:rPr>
  </w:style>
  <w:style w:type="paragraph" w:styleId="872" w:customStyle="1">
    <w:name w:val="正文文本缩进1"/>
    <w:basedOn w:val="774"/>
    <w:next w:val="873"/>
    <w:uiPriority w:val="0"/>
    <w:qFormat/>
    <w:pPr>
      <w:ind w:firstLine="645"/>
    </w:pPr>
    <w:rPr>
      <w:rFonts w:ascii="楷体_GB2312" w:eastAsia="楷体_GB2312"/>
      <w:sz w:val="32"/>
      <w:szCs w:val="32"/>
    </w:rPr>
  </w:style>
  <w:style w:type="paragraph" w:styleId="873" w:customStyle="1">
    <w:name w:val="寄信人地址1"/>
    <w:basedOn w:val="774"/>
    <w:uiPriority w:val="0"/>
    <w:qFormat/>
    <w:rPr>
      <w:rFonts w:ascii="Arial" w:hAnsi="Arial"/>
    </w:rPr>
  </w:style>
  <w:style w:type="paragraph" w:styleId="874" w:customStyle="1">
    <w:name w:val="标题 41"/>
    <w:basedOn w:val="875"/>
    <w:next w:val="77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75" w:customStyle="1">
    <w:name w:val="Normal_20"/>
    <w:next w:val="876"/>
    <w:uiPriority w:val="0"/>
    <w:qFormat/>
    <w:rPr>
      <w:rFonts w:ascii="黑体" w:hAnsi="黑体" w:eastAsia="黑体" w:cs="黑体"/>
      <w:b/>
      <w:sz w:val="32"/>
      <w:szCs w:val="24"/>
      <w:lang w:val="en-US" w:eastAsia="zh-CN" w:bidi="ar-SA"/>
    </w:rPr>
  </w:style>
  <w:style w:type="paragraph" w:styleId="876" w:customStyle="1">
    <w:name w:val="Body Text First Indent_2"/>
    <w:basedOn w:val="875"/>
    <w:uiPriority w:val="0"/>
    <w:qFormat/>
    <w:pPr>
      <w:ind w:firstLine="100"/>
      <w:spacing w:after="120"/>
    </w:pPr>
  </w:style>
  <w:style w:type="paragraph" w:styleId="877" w:customStyle="1">
    <w:name w:val="脚注文本1"/>
    <w:basedOn w:val="774"/>
    <w:uiPriority w:val="0"/>
    <w:qFormat/>
    <w:pPr>
      <w:jc w:val="left"/>
    </w:pPr>
    <w:rPr>
      <w:rFonts w:eastAsia="Times New Roman"/>
      <w:sz w:val="18"/>
      <w:szCs w:val="24"/>
    </w:rPr>
  </w:style>
  <w:style w:type="table" w:styleId="878" w:customStyle="1">
    <w:name w:val="Plain Table 1"/>
    <w:basedOn w:val="785"/>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新宋体" w:hAnsi="新宋体"/>
        <w:b/>
        <w:color w:val="404040"/>
        <w:sz w:val="22"/>
      </w:rPr>
    </w:tblStylePr>
    <w:tblStylePr w:type="firstRow">
      <w:rPr>
        <w:rFonts w:ascii="新宋体" w:hAnsi="新宋体"/>
        <w:b/>
        <w:color w:val="404040"/>
        <w:sz w:val="22"/>
      </w:rPr>
    </w:tblStylePr>
    <w:tblStylePr w:type="lastCol">
      <w:rPr>
        <w:rFonts w:ascii="新宋体" w:hAnsi="新宋体"/>
        <w:b/>
        <w:color w:val="404040"/>
        <w:sz w:val="22"/>
      </w:rPr>
    </w:tblStylePr>
    <w:tblStylePr w:type="lastRow">
      <w:rPr>
        <w:rFonts w:ascii="新宋体" w:hAnsi="新宋体"/>
        <w:b/>
        <w:color w:val="404040"/>
        <w:sz w:val="22"/>
      </w:rPr>
    </w:tblStylePr>
  </w:style>
  <w:style w:type="table" w:styleId="879" w:customStyle="1">
    <w:name w:val="Plain Table 2"/>
    <w:basedOn w:val="785"/>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新宋体" w:hAnsi="新宋体"/>
        <w:b/>
        <w:color w:val="404040"/>
        <w:sz w:val="22"/>
      </w:rPr>
    </w:tblStylePr>
    <w:tblStylePr w:type="firstRow">
      <w:rPr>
        <w:rFonts w:ascii="新宋体" w:hAnsi="新宋体"/>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新宋体" w:hAnsi="新宋体"/>
        <w:b/>
        <w:color w:val="404040"/>
        <w:sz w:val="22"/>
      </w:rPr>
    </w:tblStylePr>
    <w:tblStylePr w:type="lastRow">
      <w:rPr>
        <w:rFonts w:ascii="新宋体" w:hAnsi="新宋体"/>
        <w:b/>
        <w:color w:val="404040"/>
        <w:sz w:val="22"/>
      </w:rPr>
    </w:tblStylePr>
  </w:style>
  <w:style w:type="table" w:styleId="880" w:customStyle="1">
    <w:name w:val="Plain Table 3"/>
    <w:basedOn w:val="785"/>
    <w:uiPriority w:val="99"/>
    <w:qFormat/>
    <w:pPr>
      <w:spacing w:after="0" w:line="240" w:lineRule="auto"/>
    </w:pPr>
    <w:tblPr/>
    <w:tblStylePr w:type="band1Horz">
      <w:rPr>
        <w:rFonts w:ascii="新宋体" w:hAnsi="新宋体"/>
        <w:color w:val="404040"/>
        <w:sz w:val="22"/>
      </w:rPr>
      <w:tcPr>
        <w:shd w:val="clear" w:color="f1f1f1" w:fill="f1f1f1"/>
      </w:tcPr>
    </w:tblStylePr>
    <w:tblStylePr w:type="band1Vert">
      <w:rPr>
        <w:rFonts w:ascii="新宋体" w:hAnsi="新宋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basedOn w:val="785"/>
    <w:uiPriority w:val="99"/>
    <w:qFormat/>
    <w:pPr>
      <w:spacing w:after="0" w:line="240" w:lineRule="auto"/>
    </w:pPr>
    <w:tblPr/>
    <w:tblStylePr w:type="band1Horz">
      <w:rPr>
        <w:rFonts w:ascii="新宋体" w:hAnsi="新宋体"/>
        <w:color w:val="404040"/>
        <w:sz w:val="22"/>
      </w:rPr>
      <w:tcPr>
        <w:shd w:val="clear" w:color="f1f1f1" w:fill="f1f1f1"/>
      </w:tcPr>
    </w:tblStylePr>
    <w:tblStylePr w:type="band1Vert">
      <w:rPr>
        <w:rFonts w:ascii="新宋体" w:hAnsi="新宋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basedOn w:val="785"/>
    <w:uiPriority w:val="99"/>
    <w:qFormat/>
    <w:pPr>
      <w:spacing w:after="0" w:line="240" w:lineRule="auto"/>
    </w:pPr>
    <w:tblPr/>
    <w:tblStylePr w:type="band1Horz">
      <w:rPr>
        <w:rFonts w:ascii="新宋体" w:hAnsi="新宋体"/>
        <w:color w:val="404040"/>
        <w:sz w:val="22"/>
      </w:rPr>
      <w:tcPr>
        <w:shd w:val="clear" w:color="f1f1f1" w:fill="f1f1f1"/>
      </w:tcPr>
    </w:tblStylePr>
    <w:tblStylePr w:type="band1Vert">
      <w:rPr>
        <w:rFonts w:ascii="新宋体" w:hAnsi="新宋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1 Light"/>
    <w:basedOn w:val="785"/>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新宋体" w:hAnsi="新宋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4" w:customStyle="1">
    <w:name w:val="Grid Table 2"/>
    <w:basedOn w:val="785"/>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新宋体" w:hAnsi="新宋体"/>
        <w:color w:val="404040"/>
        <w:sz w:val="22"/>
      </w:rPr>
      <w:tcPr>
        <w:shd w:val="clear" w:color="cacaca" w:fill="cacaca"/>
      </w:tcPr>
    </w:tblStylePr>
    <w:tblStylePr w:type="band1Vert">
      <w:rPr>
        <w:rFonts w:ascii="新宋体" w:hAnsi="新宋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3"/>
    <w:basedOn w:val="785"/>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新宋体" w:hAnsi="新宋体"/>
        <w:color w:val="404040"/>
        <w:sz w:val="22"/>
      </w:rPr>
      <w:tcPr>
        <w:shd w:val="clear" w:color="cacaca" w:fill="cacaca"/>
      </w:tcPr>
    </w:tblStylePr>
    <w:tblStylePr w:type="band1Vert">
      <w:rPr>
        <w:rFonts w:ascii="新宋体" w:hAnsi="新宋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4"/>
    <w:basedOn w:val="785"/>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新宋体" w:hAnsi="新宋体"/>
        <w:color w:val="404040"/>
        <w:sz w:val="22"/>
      </w:rPr>
      <w:tcPr>
        <w:shd w:val="clear" w:color="cacaca" w:fill="cacaca"/>
      </w:tcPr>
    </w:tblStylePr>
    <w:tblStylePr w:type="band1Vert">
      <w:rPr>
        <w:rFonts w:ascii="新宋体" w:hAnsi="新宋体"/>
        <w:color w:val="404040"/>
        <w:sz w:val="22"/>
      </w:rPr>
      <w:tcPr>
        <w:shd w:val="clear" w:color="cacaca" w:fill="cacaca"/>
      </w:tcPr>
    </w:tblStylePr>
    <w:tblStylePr w:type="firstCol">
      <w:rPr>
        <w:b/>
        <w:color w:val="404040"/>
      </w:rPr>
    </w:tblStylePr>
    <w:tblStylePr w:type="firstRow">
      <w:rPr>
        <w:rFonts w:ascii="新宋体" w:hAnsi="新宋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5 Dark"/>
    <w:basedOn w:val="78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新宋体" w:hAnsi="新宋体"/>
        <w:b/>
        <w:color w:val="ffffff"/>
        <w:sz w:val="22"/>
      </w:rPr>
      <w:tcPr>
        <w:shd w:val="clear" w:color="000000" w:fill="000000"/>
      </w:tcPr>
    </w:tblStylePr>
    <w:tblStylePr w:type="firstRow">
      <w:rPr>
        <w:rFonts w:ascii="新宋体" w:hAnsi="新宋体"/>
        <w:b/>
        <w:color w:val="ffffff"/>
        <w:sz w:val="22"/>
      </w:rPr>
      <w:tcPr>
        <w:shd w:val="clear" w:color="000000" w:fill="000000"/>
      </w:tcPr>
    </w:tblStylePr>
    <w:tblStylePr w:type="lastCol">
      <w:rPr>
        <w:rFonts w:ascii="新宋体" w:hAnsi="新宋体"/>
        <w:b/>
        <w:color w:val="ffffff"/>
        <w:sz w:val="22"/>
      </w:rPr>
      <w:tcPr>
        <w:shd w:val="clear" w:color="000000" w:fill="000000"/>
      </w:tcPr>
    </w:tblStylePr>
    <w:tblStylePr w:type="lastRow">
      <w:rPr>
        <w:rFonts w:ascii="新宋体" w:hAnsi="新宋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6 Colorful"/>
    <w:basedOn w:val="785"/>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新宋体" w:hAnsi="新宋体"/>
        <w:color w:val="7f7f7f"/>
        <w:sz w:val="22"/>
      </w:rPr>
      <w:tcPr>
        <w:shd w:val="clear" w:color="cacaca" w:fill="cacaca"/>
      </w:tcPr>
    </w:tblStylePr>
    <w:tblStylePr w:type="band1Vert">
      <w:tcPr>
        <w:shd w:val="clear" w:color="cacaca" w:fill="cacaca"/>
      </w:tcPr>
    </w:tblStylePr>
    <w:tblStylePr w:type="band2Horz">
      <w:rPr>
        <w:rFonts w:ascii="新宋体" w:hAnsi="新宋体"/>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89" w:customStyle="1">
    <w:name w:val="Grid Table 7 Colorful"/>
    <w:basedOn w:val="785"/>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新宋体" w:hAnsi="新宋体"/>
        <w:color w:val="7f7f7f"/>
        <w:sz w:val="22"/>
      </w:rPr>
      <w:tcPr>
        <w:shd w:val="clear" w:color="f1f1f1" w:fill="f1f1f1"/>
      </w:tcPr>
    </w:tblStylePr>
    <w:tblStylePr w:type="band1Vert">
      <w:tcPr>
        <w:shd w:val="clear" w:color="f1f1f1" w:fill="f1f1f1"/>
      </w:tcPr>
    </w:tblStylePr>
    <w:tblStylePr w:type="band2Horz">
      <w:rPr>
        <w:rFonts w:ascii="新宋体" w:hAnsi="新宋体"/>
        <w:color w:val="7f7f7f"/>
        <w:sz w:val="22"/>
      </w:rPr>
    </w:tblStylePr>
    <w:tblStylePr w:type="firstCol">
      <w:rPr>
        <w:rFonts w:ascii="新宋体" w:hAnsi="新宋体"/>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新宋体" w:hAnsi="新宋体"/>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新宋体" w:hAnsi="新宋体"/>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List Table 1 Light"/>
    <w:basedOn w:val="785"/>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List Table 2"/>
    <w:basedOn w:val="785"/>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新宋体" w:hAnsi="新宋体"/>
        <w:color w:val="404040"/>
        <w:sz w:val="22"/>
      </w:rPr>
      <w:tcPr>
        <w:shd w:val="clear" w:color="bebebe" w:fill="bebebe"/>
      </w:tcPr>
    </w:tblStylePr>
    <w:tblStylePr w:type="band1Vert">
      <w:rPr>
        <w:rFonts w:ascii="新宋体" w:hAnsi="新宋体"/>
        <w:color w:val="404040"/>
        <w:sz w:val="22"/>
      </w:rPr>
      <w:tcPr>
        <w:shd w:val="clear" w:color="bebebe" w:fill="bebebe"/>
      </w:tcPr>
    </w:tblStylePr>
    <w:tblStylePr w:type="firstCol">
      <w:rPr>
        <w:rFonts w:ascii="新宋体" w:hAnsi="新宋体"/>
        <w:b/>
        <w:color w:val="404040"/>
        <w:sz w:val="22"/>
      </w:rPr>
    </w:tblStylePr>
    <w:tblStylePr w:type="firstRow">
      <w:rPr>
        <w:rFonts w:ascii="新宋体" w:hAnsi="新宋体"/>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新宋体" w:hAnsi="新宋体"/>
        <w:b/>
        <w:color w:val="404040"/>
        <w:sz w:val="22"/>
      </w:rPr>
    </w:tblStylePr>
    <w:tblStylePr w:type="lastRow">
      <w:rPr>
        <w:rFonts w:ascii="新宋体" w:hAnsi="新宋体"/>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92" w:customStyle="1">
    <w:name w:val="List Table 3"/>
    <w:basedOn w:val="785"/>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新宋体" w:hAnsi="新宋体"/>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新宋体" w:hAnsi="新宋体"/>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新宋体" w:hAnsi="新宋体"/>
        <w:b/>
        <w:color w:val="ffffff"/>
        <w:sz w:val="22"/>
      </w:rPr>
      <w:tcPr>
        <w:shd w:val="clear" w:color="000000" w:fill="000000"/>
      </w:tcPr>
    </w:tblStylePr>
    <w:tblStylePr w:type="lastCol">
      <w:rPr>
        <w:b/>
        <w:color w:val="404040"/>
      </w:rPr>
    </w:tblStylePr>
    <w:tblStylePr w:type="lastRow">
      <w:rPr>
        <w:b/>
        <w:color w:val="404040"/>
      </w:rPr>
    </w:tblStylePr>
  </w:style>
  <w:style w:type="table" w:styleId="893" w:customStyle="1">
    <w:name w:val="List Table 4"/>
    <w:basedOn w:val="785"/>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新宋体" w:hAnsi="新宋体"/>
        <w:color w:val="404040"/>
        <w:sz w:val="22"/>
      </w:rPr>
      <w:tcPr>
        <w:shd w:val="clear" w:color="bebebe" w:fill="bebebe"/>
      </w:tcPr>
    </w:tblStylePr>
    <w:tblStylePr w:type="band1Vert">
      <w:rPr>
        <w:rFonts w:ascii="新宋体" w:hAnsi="新宋体"/>
        <w:color w:val="404040"/>
        <w:sz w:val="22"/>
      </w:rPr>
      <w:tcPr>
        <w:shd w:val="clear" w:color="bebebe" w:fill="bebebe"/>
      </w:tcPr>
    </w:tblStylePr>
    <w:tblStylePr w:type="firstCol">
      <w:rPr>
        <w:b/>
        <w:color w:val="404040"/>
      </w:rPr>
    </w:tblStylePr>
    <w:tblStylePr w:type="firstRow">
      <w:rPr>
        <w:rFonts w:ascii="新宋体" w:hAnsi="新宋体"/>
        <w:b/>
        <w:color w:val="ffffff"/>
        <w:sz w:val="22"/>
      </w:rPr>
      <w:tcPr>
        <w:shd w:val="clear" w:color="000000" w:fill="000000"/>
      </w:tcPr>
    </w:tblStylePr>
    <w:tblStylePr w:type="lastCol">
      <w:rPr>
        <w:b/>
        <w:color w:val="404040"/>
      </w:rPr>
    </w:tblStylePr>
    <w:tblStylePr w:type="lastRow">
      <w:rPr>
        <w:b/>
        <w:color w:val="404040"/>
      </w:rPr>
    </w:tblStylePr>
  </w:style>
  <w:style w:type="table" w:styleId="894" w:customStyle="1">
    <w:name w:val="List Table 5 Dark"/>
    <w:basedOn w:val="785"/>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新宋体" w:hAnsi="新宋体"/>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新宋体" w:hAnsi="新宋体"/>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新宋体" w:hAnsi="新宋体"/>
        <w:b/>
        <w:color w:val="ffffff"/>
        <w:sz w:val="22"/>
      </w:rPr>
    </w:tblStylePr>
  </w:style>
  <w:style w:type="table" w:styleId="895" w:customStyle="1">
    <w:name w:val="List Table 6 Colorful"/>
    <w:basedOn w:val="785"/>
    <w:uiPriority w:val="99"/>
    <w:qFormat/>
    <w:pPr>
      <w:spacing w:after="0" w:line="240" w:lineRule="auto"/>
    </w:pPr>
    <w:tblPr>
      <w:tblBorders>
        <w:top w:val="single" w:color="7E7E7E" w:sz="4" w:space="0"/>
        <w:bottom w:val="single" w:color="7E7E7E" w:sz="4" w:space="0"/>
      </w:tblBorders>
    </w:tblPr>
    <w:tblStylePr w:type="band1Horz">
      <w:rPr>
        <w:rFonts w:ascii="新宋体" w:hAnsi="新宋体"/>
        <w:color w:val="000000"/>
        <w:sz w:val="22"/>
      </w:rPr>
      <w:tcPr>
        <w:shd w:val="clear" w:color="bebebe" w:fill="bebebe"/>
      </w:tcPr>
    </w:tblStylePr>
    <w:tblStylePr w:type="band1Vert">
      <w:tcPr>
        <w:shd w:val="clear" w:color="bebebe" w:fill="bebebe"/>
      </w:tcPr>
    </w:tblStylePr>
    <w:tblStylePr w:type="band2Horz">
      <w:rPr>
        <w:rFonts w:ascii="新宋体" w:hAnsi="新宋体"/>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List Table 7 Colorful"/>
    <w:basedOn w:val="785"/>
    <w:uiPriority w:val="99"/>
    <w:qFormat/>
    <w:pPr>
      <w:spacing w:after="0" w:line="240" w:lineRule="auto"/>
    </w:pPr>
    <w:tblPr>
      <w:tblBorders>
        <w:right w:val="single" w:color="7E7E7E" w:sz="4" w:space="0"/>
      </w:tblBorders>
    </w:tblPr>
    <w:tblStylePr w:type="band1Horz">
      <w:rPr>
        <w:rFonts w:ascii="新宋体" w:hAnsi="新宋体"/>
        <w:color w:val="7f7f7f"/>
        <w:sz w:val="22"/>
      </w:rPr>
      <w:tcPr>
        <w:shd w:val="clear" w:color="bebebe" w:fill="bebebe"/>
      </w:tcPr>
    </w:tblStylePr>
    <w:tblStylePr w:type="band1Vert">
      <w:tcPr>
        <w:shd w:val="clear" w:color="bebebe" w:fill="bebebe"/>
      </w:tcPr>
    </w:tblStylePr>
    <w:tblStylePr w:type="band2Horz">
      <w:rPr>
        <w:rFonts w:ascii="新宋体" w:hAnsi="新宋体"/>
        <w:color w:val="7f7f7f"/>
        <w:sz w:val="22"/>
      </w:rPr>
    </w:tblStylePr>
    <w:tblStylePr w:type="firstCol">
      <w:rPr>
        <w:rFonts w:ascii="新宋体" w:hAnsi="新宋体"/>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新宋体" w:hAnsi="新宋体"/>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新宋体" w:hAnsi="新宋体"/>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97" w:customStyle="1">
    <w:name w:val="TOC Heading"/>
    <w:uiPriority w:val="39"/>
    <w:unhideWhenUsed/>
    <w:qFormat/>
    <w:rPr>
      <w:rFonts w:ascii="Times New Roman" w:hAnsi="Times New Roman" w:eastAsia="宋体" w:cs="Times New Roman"/>
      <w:lang w:val="en-US" w:eastAsia="zh-CN" w:bidi="ar-SA"/>
    </w:rPr>
  </w:style>
  <w:style w:type="table" w:styleId="898" w:customStyle="1">
    <w:name w:val="无格式表格 11"/>
    <w:basedOn w:val="78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新宋体" w:hAnsi="新宋体"/>
        <w:b/>
        <w:color w:val="404040"/>
        <w:sz w:val="22"/>
      </w:rPr>
    </w:tblStylePr>
    <w:tblStylePr w:type="firstRow">
      <w:rPr>
        <w:rFonts w:ascii="新宋体" w:hAnsi="新宋体"/>
        <w:b/>
        <w:color w:val="404040"/>
        <w:sz w:val="22"/>
      </w:rPr>
    </w:tblStylePr>
    <w:tblStylePr w:type="lastCol">
      <w:rPr>
        <w:rFonts w:ascii="新宋体" w:hAnsi="新宋体"/>
        <w:b/>
        <w:color w:val="404040"/>
        <w:sz w:val="22"/>
      </w:rPr>
    </w:tblStylePr>
    <w:tblStylePr w:type="lastRow">
      <w:rPr>
        <w:rFonts w:ascii="新宋体" w:hAnsi="新宋体"/>
        <w:b/>
        <w:color w:val="404040"/>
        <w:sz w:val="22"/>
      </w:rPr>
    </w:tblStylePr>
  </w:style>
  <w:style w:type="table" w:styleId="899" w:customStyle="1">
    <w:name w:val="无格式表格 21"/>
    <w:basedOn w:val="78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新宋体" w:hAnsi="新宋体"/>
        <w:b/>
        <w:color w:val="404040"/>
        <w:sz w:val="22"/>
      </w:rPr>
    </w:tblStylePr>
    <w:tblStylePr w:type="firstRow">
      <w:rPr>
        <w:rFonts w:ascii="新宋体" w:hAnsi="新宋体"/>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新宋体" w:hAnsi="新宋体"/>
        <w:b/>
        <w:color w:val="404040"/>
        <w:sz w:val="22"/>
      </w:rPr>
    </w:tblStylePr>
    <w:tblStylePr w:type="lastRow">
      <w:rPr>
        <w:rFonts w:ascii="新宋体" w:hAnsi="新宋体"/>
        <w:b/>
        <w:color w:val="404040"/>
        <w:sz w:val="22"/>
      </w:rPr>
    </w:tblStylePr>
  </w:style>
  <w:style w:type="table" w:styleId="900" w:customStyle="1">
    <w:name w:val="无格式表格 31"/>
    <w:basedOn w:val="785"/>
    <w:uiPriority w:val="99"/>
    <w:qFormat/>
    <w:tblPr/>
    <w:tblStylePr w:type="band1Horz">
      <w:rPr>
        <w:rFonts w:ascii="新宋体" w:hAnsi="新宋体"/>
        <w:color w:val="404040"/>
        <w:sz w:val="22"/>
      </w:rPr>
      <w:tcPr>
        <w:shd w:val="clear" w:color="f1f1f1" w:fill="f1f1f1"/>
      </w:tcPr>
    </w:tblStylePr>
    <w:tblStylePr w:type="band1Vert">
      <w:rPr>
        <w:rFonts w:ascii="新宋体" w:hAnsi="新宋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01" w:customStyle="1">
    <w:name w:val="无格式表格 41"/>
    <w:basedOn w:val="785"/>
    <w:uiPriority w:val="99"/>
    <w:qFormat/>
    <w:tblPr/>
    <w:tblStylePr w:type="band1Horz">
      <w:rPr>
        <w:rFonts w:ascii="新宋体" w:hAnsi="新宋体"/>
        <w:color w:val="404040"/>
        <w:sz w:val="22"/>
      </w:rPr>
      <w:tcPr>
        <w:shd w:val="clear" w:color="f1f1f1" w:fill="f1f1f1"/>
      </w:tcPr>
    </w:tblStylePr>
    <w:tblStylePr w:type="band1Vert">
      <w:rPr>
        <w:rFonts w:ascii="新宋体" w:hAnsi="新宋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无格式表格 51"/>
    <w:basedOn w:val="785"/>
    <w:uiPriority w:val="99"/>
    <w:qFormat/>
    <w:tblPr/>
    <w:tblStylePr w:type="band1Horz">
      <w:rPr>
        <w:rFonts w:ascii="新宋体" w:hAnsi="新宋体"/>
        <w:color w:val="404040"/>
        <w:sz w:val="22"/>
      </w:rPr>
      <w:tcPr>
        <w:shd w:val="clear" w:color="f1f1f1" w:fill="f1f1f1"/>
      </w:tcPr>
    </w:tblStylePr>
    <w:tblStylePr w:type="band1Vert">
      <w:rPr>
        <w:rFonts w:ascii="新宋体" w:hAnsi="新宋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网格表 1 浅色1"/>
    <w:basedOn w:val="78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新宋体" w:hAnsi="新宋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04" w:customStyle="1">
    <w:name w:val="网格表 21"/>
    <w:basedOn w:val="785"/>
    <w:uiPriority w:val="99"/>
    <w:qFormat/>
    <w:tblPr>
      <w:tblBorders>
        <w:bottom w:val="single" w:color="696969" w:sz="4" w:space="0"/>
        <w:insideH w:val="single" w:color="696969" w:sz="4" w:space="0"/>
        <w:insideV w:val="single" w:color="696969" w:sz="4" w:space="0"/>
      </w:tblBorders>
    </w:tblPr>
    <w:tblStylePr w:type="band1Horz">
      <w:rPr>
        <w:rFonts w:ascii="新宋体" w:hAnsi="新宋体"/>
        <w:color w:val="404040"/>
        <w:sz w:val="22"/>
      </w:rPr>
      <w:tcPr>
        <w:shd w:val="clear" w:color="cacaca" w:fill="cacaca"/>
      </w:tcPr>
    </w:tblStylePr>
    <w:tblStylePr w:type="band1Vert">
      <w:rPr>
        <w:rFonts w:ascii="新宋体" w:hAnsi="新宋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网格表 31"/>
    <w:basedOn w:val="785"/>
    <w:uiPriority w:val="99"/>
    <w:qFormat/>
    <w:tblPr>
      <w:tblBorders>
        <w:bottom w:val="single" w:color="696969" w:sz="4" w:space="0"/>
        <w:insideH w:val="single" w:color="696969" w:sz="4" w:space="0"/>
        <w:insideV w:val="single" w:color="696969" w:sz="4" w:space="0"/>
      </w:tblBorders>
    </w:tblPr>
    <w:tblStylePr w:type="band1Horz">
      <w:rPr>
        <w:rFonts w:ascii="新宋体" w:hAnsi="新宋体"/>
        <w:color w:val="404040"/>
        <w:sz w:val="22"/>
      </w:rPr>
      <w:tcPr>
        <w:shd w:val="clear" w:color="cacaca" w:fill="cacaca"/>
      </w:tcPr>
    </w:tblStylePr>
    <w:tblStylePr w:type="band1Vert">
      <w:rPr>
        <w:rFonts w:ascii="新宋体" w:hAnsi="新宋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网格表 41"/>
    <w:basedOn w:val="78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新宋体" w:hAnsi="新宋体"/>
        <w:color w:val="404040"/>
        <w:sz w:val="22"/>
      </w:rPr>
      <w:tcPr>
        <w:shd w:val="clear" w:color="cacaca" w:fill="cacaca"/>
      </w:tcPr>
    </w:tblStylePr>
    <w:tblStylePr w:type="band1Vert">
      <w:rPr>
        <w:rFonts w:ascii="新宋体" w:hAnsi="新宋体"/>
        <w:color w:val="404040"/>
        <w:sz w:val="22"/>
      </w:rPr>
      <w:tcPr>
        <w:shd w:val="clear" w:color="cacaca" w:fill="cacaca"/>
      </w:tcPr>
    </w:tblStylePr>
    <w:tblStylePr w:type="firstCol">
      <w:rPr>
        <w:b/>
        <w:color w:val="404040"/>
      </w:rPr>
    </w:tblStylePr>
    <w:tblStylePr w:type="firstRow">
      <w:rPr>
        <w:rFonts w:ascii="新宋体" w:hAnsi="新宋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网格表 5 深色1"/>
    <w:basedOn w:val="7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新宋体" w:hAnsi="新宋体"/>
        <w:b/>
        <w:color w:val="ffffff"/>
        <w:sz w:val="22"/>
      </w:rPr>
      <w:tcPr>
        <w:shd w:val="clear" w:color="000000" w:fill="000000"/>
      </w:tcPr>
    </w:tblStylePr>
    <w:tblStylePr w:type="firstRow">
      <w:rPr>
        <w:rFonts w:ascii="新宋体" w:hAnsi="新宋体"/>
        <w:b/>
        <w:color w:val="ffffff"/>
        <w:sz w:val="22"/>
      </w:rPr>
      <w:tcPr>
        <w:shd w:val="clear" w:color="000000" w:fill="000000"/>
      </w:tcPr>
    </w:tblStylePr>
    <w:tblStylePr w:type="lastCol">
      <w:rPr>
        <w:rFonts w:ascii="新宋体" w:hAnsi="新宋体"/>
        <w:b/>
        <w:color w:val="ffffff"/>
        <w:sz w:val="22"/>
      </w:rPr>
      <w:tcPr>
        <w:shd w:val="clear" w:color="000000" w:fill="000000"/>
      </w:tcPr>
    </w:tblStylePr>
    <w:tblStylePr w:type="lastRow">
      <w:rPr>
        <w:rFonts w:ascii="新宋体" w:hAnsi="新宋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网格表 6 彩色1"/>
    <w:basedOn w:val="78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新宋体" w:hAnsi="新宋体"/>
        <w:color w:val="7f7f7f"/>
        <w:sz w:val="22"/>
      </w:rPr>
      <w:tcPr>
        <w:shd w:val="clear" w:color="cacaca" w:fill="cacaca"/>
      </w:tcPr>
    </w:tblStylePr>
    <w:tblStylePr w:type="band1Vert">
      <w:tcPr>
        <w:shd w:val="clear" w:color="cacaca" w:fill="cacaca"/>
      </w:tcPr>
    </w:tblStylePr>
    <w:tblStylePr w:type="band2Horz">
      <w:rPr>
        <w:rFonts w:ascii="新宋体" w:hAnsi="新宋体"/>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09" w:customStyle="1">
    <w:name w:val="网格表 7 彩色1"/>
    <w:basedOn w:val="785"/>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新宋体" w:hAnsi="新宋体"/>
        <w:color w:val="7f7f7f"/>
        <w:sz w:val="22"/>
      </w:rPr>
      <w:tcPr>
        <w:shd w:val="clear" w:color="f1f1f1" w:fill="f1f1f1"/>
      </w:tcPr>
    </w:tblStylePr>
    <w:tblStylePr w:type="band1Vert">
      <w:tcPr>
        <w:shd w:val="clear" w:color="f1f1f1" w:fill="f1f1f1"/>
      </w:tcPr>
    </w:tblStylePr>
    <w:tblStylePr w:type="band2Horz">
      <w:rPr>
        <w:rFonts w:ascii="新宋体" w:hAnsi="新宋体"/>
        <w:color w:val="7f7f7f"/>
        <w:sz w:val="22"/>
      </w:rPr>
    </w:tblStylePr>
    <w:tblStylePr w:type="firstCol">
      <w:rPr>
        <w:rFonts w:ascii="新宋体" w:hAnsi="新宋体"/>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新宋体" w:hAnsi="新宋体"/>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新宋体" w:hAnsi="新宋体"/>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清单表 1 浅色1"/>
    <w:basedOn w:val="785"/>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清单表 21"/>
    <w:basedOn w:val="785"/>
    <w:uiPriority w:val="99"/>
    <w:qFormat/>
    <w:tblPr>
      <w:tblBorders>
        <w:top w:val="single" w:color="6E6E6E" w:sz="4" w:space="0"/>
        <w:bottom w:val="single" w:color="6E6E6E" w:sz="4" w:space="0"/>
        <w:insideH w:val="single" w:color="6E6E6E" w:sz="4" w:space="0"/>
      </w:tblBorders>
    </w:tblPr>
    <w:tblStylePr w:type="band1Horz">
      <w:rPr>
        <w:rFonts w:ascii="新宋体" w:hAnsi="新宋体"/>
        <w:color w:val="404040"/>
        <w:sz w:val="22"/>
      </w:rPr>
      <w:tcPr>
        <w:shd w:val="clear" w:color="bebebe" w:fill="bebebe"/>
      </w:tcPr>
    </w:tblStylePr>
    <w:tblStylePr w:type="band1Vert">
      <w:rPr>
        <w:rFonts w:ascii="新宋体" w:hAnsi="新宋体"/>
        <w:color w:val="404040"/>
        <w:sz w:val="22"/>
      </w:rPr>
      <w:tcPr>
        <w:shd w:val="clear" w:color="bebebe" w:fill="bebebe"/>
      </w:tcPr>
    </w:tblStylePr>
    <w:tblStylePr w:type="firstCol">
      <w:rPr>
        <w:rFonts w:ascii="新宋体" w:hAnsi="新宋体"/>
        <w:b/>
        <w:color w:val="404040"/>
        <w:sz w:val="22"/>
      </w:rPr>
    </w:tblStylePr>
    <w:tblStylePr w:type="firstRow">
      <w:rPr>
        <w:rFonts w:ascii="新宋体" w:hAnsi="新宋体"/>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新宋体" w:hAnsi="新宋体"/>
        <w:b/>
        <w:color w:val="404040"/>
        <w:sz w:val="22"/>
      </w:rPr>
    </w:tblStylePr>
    <w:tblStylePr w:type="lastRow">
      <w:rPr>
        <w:rFonts w:ascii="新宋体" w:hAnsi="新宋体"/>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12" w:customStyle="1">
    <w:name w:val="清单表 31"/>
    <w:basedOn w:val="78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新宋体" w:hAnsi="新宋体"/>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新宋体" w:hAnsi="新宋体"/>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新宋体" w:hAnsi="新宋体"/>
        <w:b/>
        <w:color w:val="ffffff"/>
        <w:sz w:val="22"/>
      </w:rPr>
      <w:tcPr>
        <w:shd w:val="clear" w:color="000000" w:fill="000000"/>
      </w:tcPr>
    </w:tblStylePr>
    <w:tblStylePr w:type="lastCol">
      <w:rPr>
        <w:b/>
        <w:color w:val="404040"/>
      </w:rPr>
    </w:tblStylePr>
    <w:tblStylePr w:type="lastRow">
      <w:rPr>
        <w:b/>
        <w:color w:val="404040"/>
      </w:rPr>
    </w:tblStylePr>
  </w:style>
  <w:style w:type="table" w:styleId="913" w:customStyle="1">
    <w:name w:val="清单表 41"/>
    <w:basedOn w:val="78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新宋体" w:hAnsi="新宋体"/>
        <w:color w:val="404040"/>
        <w:sz w:val="22"/>
      </w:rPr>
      <w:tcPr>
        <w:shd w:val="clear" w:color="bebebe" w:fill="bebebe"/>
      </w:tcPr>
    </w:tblStylePr>
    <w:tblStylePr w:type="band1Vert">
      <w:rPr>
        <w:rFonts w:ascii="新宋体" w:hAnsi="新宋体"/>
        <w:color w:val="404040"/>
        <w:sz w:val="22"/>
      </w:rPr>
      <w:tcPr>
        <w:shd w:val="clear" w:color="bebebe" w:fill="bebebe"/>
      </w:tcPr>
    </w:tblStylePr>
    <w:tblStylePr w:type="firstCol">
      <w:rPr>
        <w:b/>
        <w:color w:val="404040"/>
      </w:rPr>
    </w:tblStylePr>
    <w:tblStylePr w:type="firstRow">
      <w:rPr>
        <w:rFonts w:ascii="新宋体" w:hAnsi="新宋体"/>
        <w:b/>
        <w:color w:val="ffffff"/>
        <w:sz w:val="22"/>
      </w:rPr>
      <w:tcPr>
        <w:shd w:val="clear" w:color="000000" w:fill="000000"/>
      </w:tcPr>
    </w:tblStylePr>
    <w:tblStylePr w:type="lastCol">
      <w:rPr>
        <w:b/>
        <w:color w:val="404040"/>
      </w:rPr>
    </w:tblStylePr>
    <w:tblStylePr w:type="lastRow">
      <w:rPr>
        <w:b/>
        <w:color w:val="404040"/>
      </w:rPr>
    </w:tblStylePr>
  </w:style>
  <w:style w:type="table" w:styleId="914" w:customStyle="1">
    <w:name w:val="清单表 5 深色1"/>
    <w:basedOn w:val="785"/>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新宋体" w:hAnsi="新宋体"/>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新宋体" w:hAnsi="新宋体"/>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新宋体" w:hAnsi="新宋体"/>
        <w:b/>
        <w:color w:val="ffffff"/>
        <w:sz w:val="22"/>
      </w:rPr>
    </w:tblStylePr>
  </w:style>
  <w:style w:type="table" w:styleId="915" w:customStyle="1">
    <w:name w:val="清单表 6 彩色1"/>
    <w:basedOn w:val="785"/>
    <w:uiPriority w:val="99"/>
    <w:qFormat/>
    <w:tblPr>
      <w:tblBorders>
        <w:top w:val="single" w:color="7E7E7E" w:sz="4" w:space="0"/>
        <w:bottom w:val="single" w:color="7E7E7E" w:sz="4" w:space="0"/>
      </w:tblBorders>
    </w:tblPr>
    <w:tblStylePr w:type="band1Horz">
      <w:rPr>
        <w:rFonts w:ascii="新宋体" w:hAnsi="新宋体"/>
        <w:color w:val="000000"/>
        <w:sz w:val="22"/>
      </w:rPr>
      <w:tcPr>
        <w:shd w:val="clear" w:color="bebebe" w:fill="bebebe"/>
      </w:tcPr>
    </w:tblStylePr>
    <w:tblStylePr w:type="band1Vert">
      <w:tcPr>
        <w:shd w:val="clear" w:color="bebebe" w:fill="bebebe"/>
      </w:tcPr>
    </w:tblStylePr>
    <w:tblStylePr w:type="band2Horz">
      <w:rPr>
        <w:rFonts w:ascii="新宋体" w:hAnsi="新宋体"/>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清单表 7 彩色1"/>
    <w:basedOn w:val="785"/>
    <w:uiPriority w:val="99"/>
    <w:qFormat/>
    <w:tblPr>
      <w:tblBorders>
        <w:right w:val="single" w:color="7E7E7E" w:sz="4" w:space="0"/>
      </w:tblBorders>
    </w:tblPr>
    <w:tblStylePr w:type="band1Horz">
      <w:rPr>
        <w:rFonts w:ascii="新宋体" w:hAnsi="新宋体"/>
        <w:color w:val="7f7f7f"/>
        <w:sz w:val="22"/>
      </w:rPr>
      <w:tcPr>
        <w:shd w:val="clear" w:color="bebebe" w:fill="bebebe"/>
      </w:tcPr>
    </w:tblStylePr>
    <w:tblStylePr w:type="band1Vert">
      <w:tcPr>
        <w:shd w:val="clear" w:color="bebebe" w:fill="bebebe"/>
      </w:tcPr>
    </w:tblStylePr>
    <w:tblStylePr w:type="band2Horz">
      <w:rPr>
        <w:rFonts w:ascii="新宋体" w:hAnsi="新宋体"/>
        <w:color w:val="7f7f7f"/>
        <w:sz w:val="22"/>
      </w:rPr>
    </w:tblStylePr>
    <w:tblStylePr w:type="firstCol">
      <w:rPr>
        <w:rFonts w:ascii="新宋体" w:hAnsi="新宋体"/>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新宋体" w:hAnsi="新宋体"/>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新宋体" w:hAnsi="新宋体"/>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17" w:customStyle="1">
    <w:name w:val="TOC 标题1"/>
    <w:uiPriority w:val="39"/>
    <w:unhideWhenUsed/>
    <w:qFormat/>
    <w:rPr>
      <w:rFonts w:ascii="Times New Roman" w:hAnsi="Times New Roman" w:eastAsia="宋体" w:cs="Times New Roman"/>
      <w:lang w:val="en-US" w:eastAsia="zh-CN" w:bidi="ar-SA"/>
    </w:rPr>
  </w:style>
  <w:style w:type="paragraph" w:styleId="918" w:customStyle="1">
    <w:name w:val="Normal_21"/>
    <w:basedOn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20" w:customStyle="1">
    <w:name w:val="正文_17"/>
    <w:next w:val="921"/>
    <w:uiPriority w:val="0"/>
    <w:qFormat/>
    <w:pPr>
      <w:jc w:val="both"/>
      <w:widowControl w:val="off"/>
    </w:pPr>
    <w:rPr>
      <w:rFonts w:ascii="Times New Roman" w:hAnsi="Times New Roman" w:eastAsia="宋体" w:cs="Times New Roman"/>
      <w:sz w:val="21"/>
      <w:szCs w:val="22"/>
      <w:lang w:val="en-US" w:eastAsia="zh-CN" w:bidi="ar-SA"/>
    </w:rPr>
  </w:style>
  <w:style w:type="paragraph" w:styleId="921" w:customStyle="1">
    <w:name w:val="标题 4_1"/>
    <w:basedOn w:val="920"/>
    <w:next w:val="920"/>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2" w:customStyle="1">
    <w:name w:val="Heading 1 Char"/>
    <w:uiPriority w:val="9"/>
    <w:qFormat/>
    <w:rPr>
      <w:rFonts w:ascii="Arial" w:hAnsi="Arial" w:eastAsia="Arial" w:cs="Arial"/>
      <w:sz w:val="40"/>
      <w:szCs w:val="40"/>
    </w:rPr>
  </w:style>
  <w:style w:type="character" w:styleId="923" w:customStyle="1">
    <w:name w:val="Heading 2 Char"/>
    <w:uiPriority w:val="9"/>
    <w:qFormat/>
    <w:rPr>
      <w:rFonts w:ascii="Arial" w:hAnsi="Arial" w:eastAsia="Arial" w:cs="Arial"/>
      <w:sz w:val="34"/>
    </w:rPr>
  </w:style>
  <w:style w:type="character" w:styleId="924" w:customStyle="1">
    <w:name w:val="Heading 3 Char"/>
    <w:uiPriority w:val="9"/>
    <w:qFormat/>
    <w:rPr>
      <w:rFonts w:ascii="Arial" w:hAnsi="Arial" w:eastAsia="Arial" w:cs="Arial"/>
      <w:sz w:val="30"/>
      <w:szCs w:val="30"/>
    </w:rPr>
  </w:style>
  <w:style w:type="character" w:styleId="925" w:customStyle="1">
    <w:name w:val="Heading 4 Char"/>
    <w:uiPriority w:val="9"/>
    <w:qFormat/>
    <w:rPr>
      <w:rFonts w:ascii="Arial" w:hAnsi="Arial" w:eastAsia="Arial" w:cs="Arial"/>
      <w:b/>
      <w:bCs/>
      <w:sz w:val="26"/>
      <w:szCs w:val="26"/>
    </w:rPr>
  </w:style>
  <w:style w:type="character" w:styleId="926" w:customStyle="1">
    <w:name w:val="Heading 5 Char"/>
    <w:uiPriority w:val="9"/>
    <w:qFormat/>
    <w:rPr>
      <w:rFonts w:ascii="Arial" w:hAnsi="Arial" w:eastAsia="Arial" w:cs="Arial"/>
      <w:b/>
      <w:bCs/>
      <w:sz w:val="24"/>
      <w:szCs w:val="24"/>
    </w:rPr>
  </w:style>
  <w:style w:type="character" w:styleId="927" w:customStyle="1">
    <w:name w:val="Heading 6 Char"/>
    <w:uiPriority w:val="9"/>
    <w:qFormat/>
    <w:rPr>
      <w:rFonts w:ascii="Arial" w:hAnsi="Arial" w:eastAsia="Arial" w:cs="Arial"/>
      <w:b/>
      <w:bCs/>
      <w:sz w:val="22"/>
      <w:szCs w:val="22"/>
    </w:rPr>
  </w:style>
  <w:style w:type="character" w:styleId="928" w:customStyle="1">
    <w:name w:val="Heading 7 Char"/>
    <w:uiPriority w:val="9"/>
    <w:qFormat/>
    <w:rPr>
      <w:rFonts w:ascii="Arial" w:hAnsi="Arial" w:eastAsia="Arial" w:cs="Arial"/>
      <w:b/>
      <w:bCs/>
      <w:i/>
      <w:iCs/>
      <w:sz w:val="22"/>
      <w:szCs w:val="22"/>
    </w:rPr>
  </w:style>
  <w:style w:type="character" w:styleId="929" w:customStyle="1">
    <w:name w:val="Heading 8 Char"/>
    <w:uiPriority w:val="9"/>
    <w:qFormat/>
    <w:rPr>
      <w:rFonts w:ascii="Arial" w:hAnsi="Arial" w:eastAsia="Arial" w:cs="Arial"/>
      <w:i/>
      <w:iCs/>
      <w:sz w:val="22"/>
      <w:szCs w:val="22"/>
    </w:rPr>
  </w:style>
  <w:style w:type="character" w:styleId="930" w:customStyle="1">
    <w:name w:val="Heading 9 Char"/>
    <w:uiPriority w:val="9"/>
    <w:qFormat/>
    <w:rPr>
      <w:rFonts w:ascii="Arial" w:hAnsi="Arial" w:eastAsia="Arial" w:cs="Arial"/>
      <w:i/>
      <w:iCs/>
      <w:sz w:val="21"/>
      <w:szCs w:val="21"/>
    </w:rPr>
  </w:style>
  <w:style w:type="character" w:styleId="931" w:customStyle="1">
    <w:name w:val="Title Char"/>
    <w:uiPriority w:val="10"/>
    <w:qFormat/>
    <w:rPr>
      <w:sz w:val="48"/>
      <w:szCs w:val="48"/>
    </w:rPr>
  </w:style>
  <w:style w:type="character" w:styleId="932" w:customStyle="1">
    <w:name w:val="Subtitle Char"/>
    <w:uiPriority w:val="11"/>
    <w:qFormat/>
    <w:rPr>
      <w:sz w:val="24"/>
      <w:szCs w:val="24"/>
    </w:rPr>
  </w:style>
  <w:style w:type="character" w:styleId="933" w:customStyle="1">
    <w:name w:val="Quote Char"/>
    <w:uiPriority w:val="29"/>
    <w:qFormat/>
    <w:rPr>
      <w:i/>
    </w:rPr>
  </w:style>
  <w:style w:type="character" w:styleId="934" w:customStyle="1">
    <w:name w:val="Intense Quote Char"/>
    <w:uiPriority w:val="30"/>
    <w:qFormat/>
    <w:rPr>
      <w:i/>
    </w:rPr>
  </w:style>
  <w:style w:type="character" w:styleId="935" w:customStyle="1">
    <w:name w:val="Caption Char"/>
    <w:uiPriority w:val="99"/>
    <w:qFormat/>
  </w:style>
  <w:style w:type="character" w:styleId="936" w:customStyle="1">
    <w:name w:val="Footnote Text Char"/>
    <w:uiPriority w:val="99"/>
    <w:qFormat/>
    <w:rPr>
      <w:sz w:val="18"/>
    </w:rPr>
  </w:style>
  <w:style w:type="character" w:styleId="937" w:customStyle="1">
    <w:name w:val="Endnote Text Char"/>
    <w:uiPriority w:val="99"/>
    <w:qFormat/>
    <w:rPr>
      <w:sz w:val="20"/>
    </w:rPr>
  </w:style>
  <w:style w:type="paragraph" w:styleId="938">
    <w:name w:val="List Paragraph"/>
    <w:basedOn w:val="774"/>
    <w:uiPriority w:val="0"/>
    <w:qFormat/>
    <w:pPr>
      <w:contextualSpacing/>
      <w:ind w:left="720"/>
    </w:pPr>
  </w:style>
  <w:style w:type="paragraph" w:styleId="939">
    <w:name w:val="No Spacing"/>
    <w:uiPriority w:val="99"/>
    <w:qFormat/>
    <w:rPr>
      <w:rFonts w:ascii="Times New Roman" w:hAnsi="Times New Roman" w:eastAsia="宋体" w:cs="Times New Roman"/>
      <w:lang w:val="en-US" w:eastAsia="zh-CN" w:bidi="ar-SA"/>
    </w:rPr>
  </w:style>
  <w:style w:type="paragraph" w:styleId="940">
    <w:name w:val="Quote"/>
    <w:basedOn w:val="774"/>
    <w:next w:val="774"/>
    <w:link w:val="941"/>
    <w:uiPriority w:val="29"/>
    <w:qFormat/>
    <w:pPr>
      <w:ind w:left="720" w:right="720"/>
    </w:pPr>
    <w:rPr>
      <w:i/>
    </w:rPr>
  </w:style>
  <w:style w:type="character" w:styleId="941" w:customStyle="1">
    <w:name w:val="引用 字符"/>
    <w:link w:val="940"/>
    <w:uiPriority w:val="29"/>
    <w:qFormat/>
    <w:rPr>
      <w:i/>
    </w:rPr>
  </w:style>
  <w:style w:type="paragraph" w:styleId="942">
    <w:name w:val="Intense Quote"/>
    <w:basedOn w:val="774"/>
    <w:next w:val="774"/>
    <w:link w:val="9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customStyle="1">
    <w:name w:val="明显引用 字符"/>
    <w:link w:val="942"/>
    <w:uiPriority w:val="30"/>
    <w:qFormat/>
    <w:rPr>
      <w:i/>
    </w:rPr>
  </w:style>
  <w:style w:type="character" w:styleId="944" w:customStyle="1">
    <w:name w:val="Header Char"/>
    <w:uiPriority w:val="99"/>
    <w:qFormat/>
  </w:style>
  <w:style w:type="character" w:styleId="945" w:customStyle="1">
    <w:name w:val="Footer Char"/>
    <w:uiPriority w:val="99"/>
    <w:qFormat/>
  </w:style>
  <w:style w:type="table" w:styleId="946" w:customStyle="1">
    <w:name w:val="Table Grid Light"/>
    <w:basedOn w:val="78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47" w:customStyle="1">
    <w:name w:val="Grid Table 1 Light - Accent 1"/>
    <w:basedOn w:val="78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新宋体" w:hAnsi="新宋体"/>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8" w:customStyle="1">
    <w:name w:val="Grid Table 1 Light - Accent 2"/>
    <w:basedOn w:val="78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新宋体" w:hAnsi="新宋体"/>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9" w:customStyle="1">
    <w:name w:val="Grid Table 1 Light - Accent 3"/>
    <w:basedOn w:val="78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新宋体" w:hAnsi="新宋体"/>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0" w:customStyle="1">
    <w:name w:val="Grid Table 1 Light - Accent 4"/>
    <w:basedOn w:val="785"/>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新宋体" w:hAnsi="新宋体"/>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1" w:customStyle="1">
    <w:name w:val="Grid Table 1 Light - Accent 5"/>
    <w:basedOn w:val="785"/>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新宋体" w:hAnsi="新宋体"/>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2" w:customStyle="1">
    <w:name w:val="Grid Table 1 Light - Accent 6"/>
    <w:basedOn w:val="78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新宋体" w:hAnsi="新宋体"/>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3" w:customStyle="1">
    <w:name w:val="Grid Table 2 - Accent 1"/>
    <w:basedOn w:val="785"/>
    <w:uiPriority w:val="99"/>
    <w:qFormat/>
    <w:tblPr>
      <w:tblBorders>
        <w:bottom w:val="single" w:color="68A3D8" w:sz="4" w:space="0"/>
        <w:insideH w:val="single" w:color="68A3D8" w:sz="4" w:space="0"/>
        <w:insideV w:val="single" w:color="68A3D8" w:sz="4" w:space="0"/>
      </w:tblBorders>
    </w:tblPr>
    <w:tblStylePr w:type="band1Horz">
      <w:rPr>
        <w:rFonts w:ascii="新宋体" w:hAnsi="新宋体"/>
        <w:color w:val="404040"/>
        <w:sz w:val="22"/>
      </w:rPr>
      <w:tcPr>
        <w:shd w:val="clear" w:color="ddeaf6" w:fill="ddeaf6"/>
      </w:tcPr>
    </w:tblStylePr>
    <w:tblStylePr w:type="band1Vert">
      <w:rPr>
        <w:rFonts w:ascii="新宋体" w:hAnsi="新宋体"/>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Grid Table 2 - Accent 2"/>
    <w:basedOn w:val="785"/>
    <w:uiPriority w:val="99"/>
    <w:qFormat/>
    <w:tblPr>
      <w:tblBorders>
        <w:bottom w:val="single" w:color="F4B285" w:sz="4" w:space="0"/>
        <w:insideH w:val="single" w:color="F4B285" w:sz="4" w:space="0"/>
        <w:insideV w:val="single" w:color="F4B285" w:sz="4" w:space="0"/>
      </w:tblBorders>
    </w:tblPr>
    <w:tblStylePr w:type="band1Horz">
      <w:rPr>
        <w:rFonts w:ascii="新宋体" w:hAnsi="新宋体"/>
        <w:color w:val="404040"/>
        <w:sz w:val="22"/>
      </w:rPr>
      <w:tcPr>
        <w:shd w:val="clear" w:color="fbe5d6" w:fill="fbe5d6"/>
      </w:tcPr>
    </w:tblStylePr>
    <w:tblStylePr w:type="band1Vert">
      <w:rPr>
        <w:rFonts w:ascii="新宋体" w:hAnsi="新宋体"/>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2 - Accent 3"/>
    <w:basedOn w:val="785"/>
    <w:uiPriority w:val="99"/>
    <w:qFormat/>
    <w:tblPr>
      <w:tblBorders>
        <w:bottom w:val="single" w:color="A5A5A5" w:sz="4" w:space="0"/>
        <w:insideH w:val="single" w:color="A5A5A5" w:sz="4" w:space="0"/>
        <w:insideV w:val="single" w:color="A5A5A5" w:sz="4" w:space="0"/>
      </w:tblBorders>
    </w:tblPr>
    <w:tblStylePr w:type="band1Horz">
      <w:rPr>
        <w:rFonts w:ascii="新宋体" w:hAnsi="新宋体"/>
        <w:color w:val="404040"/>
        <w:sz w:val="22"/>
      </w:rPr>
      <w:tcPr>
        <w:shd w:val="clear" w:color="ececec" w:fill="ececec"/>
      </w:tcPr>
    </w:tblStylePr>
    <w:tblStylePr w:type="band1Vert">
      <w:rPr>
        <w:rFonts w:ascii="新宋体" w:hAnsi="新宋体"/>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Grid Table 2 - Accent 4"/>
    <w:basedOn w:val="785"/>
    <w:uiPriority w:val="99"/>
    <w:qFormat/>
    <w:tblPr>
      <w:tblBorders>
        <w:bottom w:val="single" w:color="FFD864" w:sz="4" w:space="0"/>
        <w:insideH w:val="single" w:color="FFD864" w:sz="4" w:space="0"/>
        <w:insideV w:val="single" w:color="FFD864" w:sz="4" w:space="0"/>
      </w:tblBorders>
    </w:tblPr>
    <w:tblStylePr w:type="band1Horz">
      <w:rPr>
        <w:rFonts w:ascii="新宋体" w:hAnsi="新宋体"/>
        <w:color w:val="404040"/>
        <w:sz w:val="22"/>
      </w:rPr>
      <w:tcPr>
        <w:shd w:val="clear" w:color="fef2ca" w:fill="fef2ca"/>
      </w:tcPr>
    </w:tblStylePr>
    <w:tblStylePr w:type="band1Vert">
      <w:rPr>
        <w:rFonts w:ascii="新宋体" w:hAnsi="新宋体"/>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2 - Accent 5"/>
    <w:basedOn w:val="785"/>
    <w:uiPriority w:val="99"/>
    <w:qFormat/>
    <w:tblPr>
      <w:tblBorders>
        <w:bottom w:val="single" w:color="4472C4" w:sz="4" w:space="0"/>
        <w:insideH w:val="single" w:color="4472C4" w:sz="4" w:space="0"/>
        <w:insideV w:val="single" w:color="4472C4" w:sz="4" w:space="0"/>
      </w:tblBorders>
    </w:tblPr>
    <w:tblStylePr w:type="band1Horz">
      <w:rPr>
        <w:rFonts w:ascii="新宋体" w:hAnsi="新宋体"/>
        <w:color w:val="404040"/>
        <w:sz w:val="22"/>
      </w:rPr>
      <w:tcPr>
        <w:shd w:val="clear" w:color="d8e2f2" w:fill="d8e2f2"/>
      </w:tcPr>
    </w:tblStylePr>
    <w:tblStylePr w:type="band1Vert">
      <w:rPr>
        <w:rFonts w:ascii="新宋体" w:hAnsi="新宋体"/>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2 - Accent 6"/>
    <w:basedOn w:val="785"/>
    <w:uiPriority w:val="99"/>
    <w:qFormat/>
    <w:tblPr>
      <w:tblBorders>
        <w:bottom w:val="single" w:color="70AD47" w:sz="4" w:space="0"/>
        <w:insideH w:val="single" w:color="70AD47" w:sz="4" w:space="0"/>
        <w:insideV w:val="single" w:color="70AD47" w:sz="4" w:space="0"/>
      </w:tblBorders>
    </w:tblPr>
    <w:tblStylePr w:type="band1Horz">
      <w:rPr>
        <w:rFonts w:ascii="新宋体" w:hAnsi="新宋体"/>
        <w:color w:val="404040"/>
        <w:sz w:val="22"/>
      </w:rPr>
      <w:tcPr>
        <w:shd w:val="clear" w:color="e1efd8" w:fill="e1efd8"/>
      </w:tcPr>
    </w:tblStylePr>
    <w:tblStylePr w:type="band1Vert">
      <w:rPr>
        <w:rFonts w:ascii="新宋体" w:hAnsi="新宋体"/>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Grid Table 3 - Accent 1"/>
    <w:basedOn w:val="785"/>
    <w:uiPriority w:val="99"/>
    <w:qFormat/>
    <w:tblPr>
      <w:tblBorders>
        <w:bottom w:val="single" w:color="68A3D8" w:sz="4" w:space="0"/>
        <w:insideH w:val="single" w:color="68A3D8" w:sz="4" w:space="0"/>
        <w:insideV w:val="single" w:color="68A3D8" w:sz="4" w:space="0"/>
      </w:tblBorders>
    </w:tblPr>
    <w:tblStylePr w:type="band1Horz">
      <w:rPr>
        <w:rFonts w:ascii="新宋体" w:hAnsi="新宋体"/>
        <w:color w:val="404040"/>
        <w:sz w:val="22"/>
      </w:rPr>
      <w:tcPr>
        <w:shd w:val="clear" w:color="ddeaf6" w:fill="ddeaf6"/>
      </w:tcPr>
    </w:tblStylePr>
    <w:tblStylePr w:type="band1Vert">
      <w:rPr>
        <w:rFonts w:ascii="新宋体" w:hAnsi="新宋体"/>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Grid Table 3 - Accent 2"/>
    <w:basedOn w:val="785"/>
    <w:uiPriority w:val="99"/>
    <w:qFormat/>
    <w:tblPr>
      <w:tblBorders>
        <w:bottom w:val="single" w:color="F4B285" w:sz="4" w:space="0"/>
        <w:insideH w:val="single" w:color="F4B285" w:sz="4" w:space="0"/>
        <w:insideV w:val="single" w:color="F4B285" w:sz="4" w:space="0"/>
      </w:tblBorders>
    </w:tblPr>
    <w:tblStylePr w:type="band1Horz">
      <w:rPr>
        <w:rFonts w:ascii="新宋体" w:hAnsi="新宋体"/>
        <w:color w:val="404040"/>
        <w:sz w:val="22"/>
      </w:rPr>
      <w:tcPr>
        <w:shd w:val="clear" w:color="fbe5d6" w:fill="fbe5d6"/>
      </w:tcPr>
    </w:tblStylePr>
    <w:tblStylePr w:type="band1Vert">
      <w:rPr>
        <w:rFonts w:ascii="新宋体" w:hAnsi="新宋体"/>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Grid Table 3 - Accent 3"/>
    <w:basedOn w:val="785"/>
    <w:uiPriority w:val="99"/>
    <w:qFormat/>
    <w:tblPr>
      <w:tblBorders>
        <w:bottom w:val="single" w:color="A5A5A5" w:sz="4" w:space="0"/>
        <w:insideH w:val="single" w:color="A5A5A5" w:sz="4" w:space="0"/>
        <w:insideV w:val="single" w:color="A5A5A5" w:sz="4" w:space="0"/>
      </w:tblBorders>
    </w:tblPr>
    <w:tblStylePr w:type="band1Horz">
      <w:rPr>
        <w:rFonts w:ascii="新宋体" w:hAnsi="新宋体"/>
        <w:color w:val="404040"/>
        <w:sz w:val="22"/>
      </w:rPr>
      <w:tcPr>
        <w:shd w:val="clear" w:color="ececec" w:fill="ececec"/>
      </w:tcPr>
    </w:tblStylePr>
    <w:tblStylePr w:type="band1Vert">
      <w:rPr>
        <w:rFonts w:ascii="新宋体" w:hAnsi="新宋体"/>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3 - Accent 4"/>
    <w:basedOn w:val="785"/>
    <w:uiPriority w:val="99"/>
    <w:qFormat/>
    <w:tblPr>
      <w:tblBorders>
        <w:bottom w:val="single" w:color="FFD864" w:sz="4" w:space="0"/>
        <w:insideH w:val="single" w:color="FFD864" w:sz="4" w:space="0"/>
        <w:insideV w:val="single" w:color="FFD864" w:sz="4" w:space="0"/>
      </w:tblBorders>
    </w:tblPr>
    <w:tblStylePr w:type="band1Horz">
      <w:rPr>
        <w:rFonts w:ascii="新宋体" w:hAnsi="新宋体"/>
        <w:color w:val="404040"/>
        <w:sz w:val="22"/>
      </w:rPr>
      <w:tcPr>
        <w:shd w:val="clear" w:color="fef2ca" w:fill="fef2ca"/>
      </w:tcPr>
    </w:tblStylePr>
    <w:tblStylePr w:type="band1Vert">
      <w:rPr>
        <w:rFonts w:ascii="新宋体" w:hAnsi="新宋体"/>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3 - Accent 5"/>
    <w:basedOn w:val="785"/>
    <w:uiPriority w:val="99"/>
    <w:qFormat/>
    <w:tblPr>
      <w:tblBorders>
        <w:bottom w:val="single" w:color="4472C4" w:sz="4" w:space="0"/>
        <w:insideH w:val="single" w:color="4472C4" w:sz="4" w:space="0"/>
        <w:insideV w:val="single" w:color="4472C4" w:sz="4" w:space="0"/>
      </w:tblBorders>
    </w:tblPr>
    <w:tblStylePr w:type="band1Horz">
      <w:rPr>
        <w:rFonts w:ascii="新宋体" w:hAnsi="新宋体"/>
        <w:color w:val="404040"/>
        <w:sz w:val="22"/>
      </w:rPr>
      <w:tcPr>
        <w:shd w:val="clear" w:color="d8e2f2" w:fill="d8e2f2"/>
      </w:tcPr>
    </w:tblStylePr>
    <w:tblStylePr w:type="band1Vert">
      <w:rPr>
        <w:rFonts w:ascii="新宋体" w:hAnsi="新宋体"/>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3 - Accent 6"/>
    <w:basedOn w:val="785"/>
    <w:uiPriority w:val="99"/>
    <w:qFormat/>
    <w:tblPr>
      <w:tblBorders>
        <w:bottom w:val="single" w:color="70AD47" w:sz="4" w:space="0"/>
        <w:insideH w:val="single" w:color="70AD47" w:sz="4" w:space="0"/>
        <w:insideV w:val="single" w:color="70AD47" w:sz="4" w:space="0"/>
      </w:tblBorders>
    </w:tblPr>
    <w:tblStylePr w:type="band1Horz">
      <w:rPr>
        <w:rFonts w:ascii="新宋体" w:hAnsi="新宋体"/>
        <w:color w:val="404040"/>
        <w:sz w:val="22"/>
      </w:rPr>
      <w:tcPr>
        <w:shd w:val="clear" w:color="e1efd8" w:fill="e1efd8"/>
      </w:tcPr>
    </w:tblStylePr>
    <w:tblStylePr w:type="band1Vert">
      <w:rPr>
        <w:rFonts w:ascii="新宋体" w:hAnsi="新宋体"/>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4 - Accent 1"/>
    <w:basedOn w:val="785"/>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新宋体" w:hAnsi="新宋体"/>
        <w:color w:val="404040"/>
        <w:sz w:val="22"/>
      </w:rPr>
      <w:tcPr>
        <w:shd w:val="clear" w:color="deebf6" w:fill="deebf6"/>
      </w:tcPr>
    </w:tblStylePr>
    <w:tblStylePr w:type="band1Vert">
      <w:rPr>
        <w:rFonts w:ascii="新宋体" w:hAnsi="新宋体"/>
        <w:color w:val="404040"/>
        <w:sz w:val="22"/>
      </w:rPr>
      <w:tcPr>
        <w:shd w:val="clear" w:color="deebf6" w:fill="deebf6"/>
      </w:tcPr>
    </w:tblStylePr>
    <w:tblStylePr w:type="firstCol">
      <w:rPr>
        <w:b/>
        <w:color w:val="404040"/>
      </w:rPr>
    </w:tblStylePr>
    <w:tblStylePr w:type="firstRow">
      <w:rPr>
        <w:rFonts w:ascii="新宋体" w:hAnsi="新宋体"/>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4 - Accent 2"/>
    <w:basedOn w:val="785"/>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新宋体" w:hAnsi="新宋体"/>
        <w:color w:val="404040"/>
        <w:sz w:val="22"/>
      </w:rPr>
      <w:tcPr>
        <w:shd w:val="clear" w:color="fbe5d6" w:fill="fbe5d6"/>
      </w:tcPr>
    </w:tblStylePr>
    <w:tblStylePr w:type="band1Vert">
      <w:rPr>
        <w:rFonts w:ascii="新宋体" w:hAnsi="新宋体"/>
        <w:color w:val="404040"/>
        <w:sz w:val="22"/>
      </w:rPr>
      <w:tcPr>
        <w:shd w:val="clear" w:color="fbe5d6" w:fill="fbe5d6"/>
      </w:tcPr>
    </w:tblStylePr>
    <w:tblStylePr w:type="firstCol">
      <w:rPr>
        <w:b/>
        <w:color w:val="404040"/>
      </w:rPr>
    </w:tblStylePr>
    <w:tblStylePr w:type="firstRow">
      <w:rPr>
        <w:rFonts w:ascii="新宋体" w:hAnsi="新宋体"/>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4 - Accent 3"/>
    <w:basedOn w:val="785"/>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新宋体" w:hAnsi="新宋体"/>
        <w:color w:val="404040"/>
        <w:sz w:val="22"/>
      </w:rPr>
      <w:tcPr>
        <w:shd w:val="clear" w:color="ececec" w:fill="ececec"/>
      </w:tcPr>
    </w:tblStylePr>
    <w:tblStylePr w:type="band1Vert">
      <w:rPr>
        <w:rFonts w:ascii="新宋体" w:hAnsi="新宋体"/>
        <w:color w:val="404040"/>
        <w:sz w:val="22"/>
      </w:rPr>
      <w:tcPr>
        <w:shd w:val="clear" w:color="ececec" w:fill="ececec"/>
      </w:tcPr>
    </w:tblStylePr>
    <w:tblStylePr w:type="firstCol">
      <w:rPr>
        <w:b/>
        <w:color w:val="404040"/>
      </w:rPr>
    </w:tblStylePr>
    <w:tblStylePr w:type="firstRow">
      <w:rPr>
        <w:rFonts w:ascii="新宋体" w:hAnsi="新宋体"/>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4 - Accent 4"/>
    <w:basedOn w:val="785"/>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新宋体" w:hAnsi="新宋体"/>
        <w:color w:val="404040"/>
        <w:sz w:val="22"/>
      </w:rPr>
      <w:tcPr>
        <w:shd w:val="clear" w:color="fef2ca" w:fill="fef2ca"/>
      </w:tcPr>
    </w:tblStylePr>
    <w:tblStylePr w:type="band1Vert">
      <w:rPr>
        <w:rFonts w:ascii="新宋体" w:hAnsi="新宋体"/>
        <w:color w:val="404040"/>
        <w:sz w:val="22"/>
      </w:rPr>
      <w:tcPr>
        <w:shd w:val="clear" w:color="fef2ca" w:fill="fef2ca"/>
      </w:tcPr>
    </w:tblStylePr>
    <w:tblStylePr w:type="firstCol">
      <w:rPr>
        <w:b/>
        <w:color w:val="404040"/>
      </w:rPr>
    </w:tblStylePr>
    <w:tblStylePr w:type="firstRow">
      <w:rPr>
        <w:rFonts w:ascii="新宋体" w:hAnsi="新宋体"/>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4 - Accent 5"/>
    <w:basedOn w:val="785"/>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新宋体" w:hAnsi="新宋体"/>
        <w:color w:val="404040"/>
        <w:sz w:val="22"/>
      </w:rPr>
      <w:tcPr>
        <w:shd w:val="clear" w:color="d8e2f2" w:fill="d8e2f2"/>
      </w:tcPr>
    </w:tblStylePr>
    <w:tblStylePr w:type="band1Vert">
      <w:rPr>
        <w:rFonts w:ascii="新宋体" w:hAnsi="新宋体"/>
        <w:color w:val="404040"/>
        <w:sz w:val="22"/>
      </w:rPr>
      <w:tcPr>
        <w:shd w:val="clear" w:color="d8e2f2" w:fill="d8e2f2"/>
      </w:tcPr>
    </w:tblStylePr>
    <w:tblStylePr w:type="firstCol">
      <w:rPr>
        <w:b/>
        <w:color w:val="404040"/>
      </w:rPr>
    </w:tblStylePr>
    <w:tblStylePr w:type="firstRow">
      <w:rPr>
        <w:rFonts w:ascii="新宋体" w:hAnsi="新宋体"/>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4 - Accent 6"/>
    <w:basedOn w:val="785"/>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新宋体" w:hAnsi="新宋体"/>
        <w:color w:val="404040"/>
        <w:sz w:val="22"/>
      </w:rPr>
      <w:tcPr>
        <w:shd w:val="clear" w:color="e1efd8" w:fill="e1efd8"/>
      </w:tcPr>
    </w:tblStylePr>
    <w:tblStylePr w:type="band1Vert">
      <w:rPr>
        <w:rFonts w:ascii="新宋体" w:hAnsi="新宋体"/>
        <w:color w:val="404040"/>
        <w:sz w:val="22"/>
      </w:rPr>
      <w:tcPr>
        <w:shd w:val="clear" w:color="e1efd8" w:fill="e1efd8"/>
      </w:tcPr>
    </w:tblStylePr>
    <w:tblStylePr w:type="firstCol">
      <w:rPr>
        <w:b/>
        <w:color w:val="404040"/>
      </w:rPr>
    </w:tblStylePr>
    <w:tblStylePr w:type="firstRow">
      <w:rPr>
        <w:rFonts w:ascii="新宋体" w:hAnsi="新宋体"/>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5 Dark- Accent 1"/>
    <w:basedOn w:val="7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新宋体" w:hAnsi="新宋体"/>
        <w:b/>
        <w:color w:val="ffffff"/>
        <w:sz w:val="22"/>
      </w:rPr>
      <w:tcPr>
        <w:shd w:val="clear" w:color="5b9bd5" w:fill="5b9bd5"/>
      </w:tcPr>
    </w:tblStylePr>
    <w:tblStylePr w:type="firstRow">
      <w:rPr>
        <w:rFonts w:ascii="新宋体" w:hAnsi="新宋体"/>
        <w:b/>
        <w:color w:val="ffffff"/>
        <w:sz w:val="22"/>
      </w:rPr>
      <w:tcPr>
        <w:shd w:val="clear" w:color="5b9bd5" w:fill="5b9bd5"/>
      </w:tcPr>
    </w:tblStylePr>
    <w:tblStylePr w:type="lastCol">
      <w:rPr>
        <w:rFonts w:ascii="新宋体" w:hAnsi="新宋体"/>
        <w:b/>
        <w:color w:val="ffffff"/>
        <w:sz w:val="22"/>
      </w:rPr>
      <w:tcPr>
        <w:shd w:val="clear" w:color="5b9bd5" w:fill="5b9bd5"/>
      </w:tcPr>
    </w:tblStylePr>
    <w:tblStylePr w:type="lastRow">
      <w:rPr>
        <w:rFonts w:ascii="新宋体" w:hAnsi="新宋体"/>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5 Dark - Accent 2"/>
    <w:basedOn w:val="7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新宋体" w:hAnsi="新宋体"/>
        <w:b/>
        <w:color w:val="ffffff"/>
        <w:sz w:val="22"/>
      </w:rPr>
      <w:tcPr>
        <w:shd w:val="clear" w:color="ed7d31" w:fill="ed7d31"/>
      </w:tcPr>
    </w:tblStylePr>
    <w:tblStylePr w:type="firstRow">
      <w:rPr>
        <w:rFonts w:ascii="新宋体" w:hAnsi="新宋体"/>
        <w:b/>
        <w:color w:val="ffffff"/>
        <w:sz w:val="22"/>
      </w:rPr>
      <w:tcPr>
        <w:shd w:val="clear" w:color="ed7d31" w:fill="ed7d31"/>
      </w:tcPr>
    </w:tblStylePr>
    <w:tblStylePr w:type="lastCol">
      <w:rPr>
        <w:rFonts w:ascii="新宋体" w:hAnsi="新宋体"/>
        <w:b/>
        <w:color w:val="ffffff"/>
        <w:sz w:val="22"/>
      </w:rPr>
      <w:tcPr>
        <w:shd w:val="clear" w:color="ed7d31" w:fill="ed7d31"/>
      </w:tcPr>
    </w:tblStylePr>
    <w:tblStylePr w:type="lastRow">
      <w:rPr>
        <w:rFonts w:ascii="新宋体" w:hAnsi="新宋体"/>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5 Dark - Accent 3"/>
    <w:basedOn w:val="7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新宋体" w:hAnsi="新宋体"/>
        <w:b/>
        <w:color w:val="ffffff"/>
        <w:sz w:val="22"/>
      </w:rPr>
      <w:tcPr>
        <w:shd w:val="clear" w:color="a5a5a5" w:fill="a5a5a5"/>
      </w:tcPr>
    </w:tblStylePr>
    <w:tblStylePr w:type="firstRow">
      <w:rPr>
        <w:rFonts w:ascii="新宋体" w:hAnsi="新宋体"/>
        <w:b/>
        <w:color w:val="ffffff"/>
        <w:sz w:val="22"/>
      </w:rPr>
      <w:tcPr>
        <w:shd w:val="clear" w:color="a5a5a5" w:fill="a5a5a5"/>
      </w:tcPr>
    </w:tblStylePr>
    <w:tblStylePr w:type="lastCol">
      <w:rPr>
        <w:rFonts w:ascii="新宋体" w:hAnsi="新宋体"/>
        <w:b/>
        <w:color w:val="ffffff"/>
        <w:sz w:val="22"/>
      </w:rPr>
      <w:tcPr>
        <w:shd w:val="clear" w:color="a5a5a5" w:fill="a5a5a5"/>
      </w:tcPr>
    </w:tblStylePr>
    <w:tblStylePr w:type="lastRow">
      <w:rPr>
        <w:rFonts w:ascii="新宋体" w:hAnsi="新宋体"/>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5 Dark- Accent 4"/>
    <w:basedOn w:val="7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新宋体" w:hAnsi="新宋体"/>
        <w:b/>
        <w:color w:val="ffffff"/>
        <w:sz w:val="22"/>
      </w:rPr>
      <w:tcPr>
        <w:shd w:val="clear" w:color="ffc000" w:fill="ffc000"/>
      </w:tcPr>
    </w:tblStylePr>
    <w:tblStylePr w:type="firstRow">
      <w:rPr>
        <w:rFonts w:ascii="新宋体" w:hAnsi="新宋体"/>
        <w:b/>
        <w:color w:val="ffffff"/>
        <w:sz w:val="22"/>
      </w:rPr>
      <w:tcPr>
        <w:shd w:val="clear" w:color="ffc000" w:fill="ffc000"/>
      </w:tcPr>
    </w:tblStylePr>
    <w:tblStylePr w:type="lastCol">
      <w:rPr>
        <w:rFonts w:ascii="新宋体" w:hAnsi="新宋体"/>
        <w:b/>
        <w:color w:val="ffffff"/>
        <w:sz w:val="22"/>
      </w:rPr>
      <w:tcPr>
        <w:shd w:val="clear" w:color="ffc000" w:fill="ffc000"/>
      </w:tcPr>
    </w:tblStylePr>
    <w:tblStylePr w:type="lastRow">
      <w:rPr>
        <w:rFonts w:ascii="新宋体" w:hAnsi="新宋体"/>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5 Dark - Accent 5"/>
    <w:basedOn w:val="7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新宋体" w:hAnsi="新宋体"/>
        <w:b/>
        <w:color w:val="ffffff"/>
        <w:sz w:val="22"/>
      </w:rPr>
      <w:tcPr>
        <w:shd w:val="clear" w:color="4472c4" w:fill="4472c4"/>
      </w:tcPr>
    </w:tblStylePr>
    <w:tblStylePr w:type="firstRow">
      <w:rPr>
        <w:rFonts w:ascii="新宋体" w:hAnsi="新宋体"/>
        <w:b/>
        <w:color w:val="ffffff"/>
        <w:sz w:val="22"/>
      </w:rPr>
      <w:tcPr>
        <w:shd w:val="clear" w:color="4472c4" w:fill="4472c4"/>
      </w:tcPr>
    </w:tblStylePr>
    <w:tblStylePr w:type="lastCol">
      <w:rPr>
        <w:rFonts w:ascii="新宋体" w:hAnsi="新宋体"/>
        <w:b/>
        <w:color w:val="ffffff"/>
        <w:sz w:val="22"/>
      </w:rPr>
      <w:tcPr>
        <w:shd w:val="clear" w:color="4472c4" w:fill="4472c4"/>
      </w:tcPr>
    </w:tblStylePr>
    <w:tblStylePr w:type="lastRow">
      <w:rPr>
        <w:rFonts w:ascii="新宋体" w:hAnsi="新宋体"/>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5 Dark - Accent 6"/>
    <w:basedOn w:val="7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新宋体" w:hAnsi="新宋体"/>
        <w:b/>
        <w:color w:val="ffffff"/>
        <w:sz w:val="22"/>
      </w:rPr>
      <w:tcPr>
        <w:shd w:val="clear" w:color="70ad47" w:fill="70ad47"/>
      </w:tcPr>
    </w:tblStylePr>
    <w:tblStylePr w:type="firstRow">
      <w:rPr>
        <w:rFonts w:ascii="新宋体" w:hAnsi="新宋体"/>
        <w:b/>
        <w:color w:val="ffffff"/>
        <w:sz w:val="22"/>
      </w:rPr>
      <w:tcPr>
        <w:shd w:val="clear" w:color="70ad47" w:fill="70ad47"/>
      </w:tcPr>
    </w:tblStylePr>
    <w:tblStylePr w:type="lastCol">
      <w:rPr>
        <w:rFonts w:ascii="新宋体" w:hAnsi="新宋体"/>
        <w:b/>
        <w:color w:val="ffffff"/>
        <w:sz w:val="22"/>
      </w:rPr>
      <w:tcPr>
        <w:shd w:val="clear" w:color="70ad47" w:fill="70ad47"/>
      </w:tcPr>
    </w:tblStylePr>
    <w:tblStylePr w:type="lastRow">
      <w:rPr>
        <w:rFonts w:ascii="新宋体" w:hAnsi="新宋体"/>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6 Colorful - Accent 1"/>
    <w:basedOn w:val="785"/>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新宋体" w:hAnsi="新宋体"/>
        <w:color w:val="adcdea"/>
        <w:sz w:val="22"/>
      </w:rPr>
      <w:tcPr>
        <w:shd w:val="clear" w:color="ddeaf6" w:fill="ddeaf6"/>
      </w:tcPr>
    </w:tblStylePr>
    <w:tblStylePr w:type="band1Vert">
      <w:tcPr>
        <w:shd w:val="clear" w:color="ddeaf6" w:fill="ddeaf6"/>
      </w:tcPr>
    </w:tblStylePr>
    <w:tblStylePr w:type="band2Horz">
      <w:rPr>
        <w:rFonts w:ascii="新宋体" w:hAnsi="新宋体"/>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978" w:customStyle="1">
    <w:name w:val="Grid Table 6 Colorful - Accent 2"/>
    <w:basedOn w:val="785"/>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新宋体" w:hAnsi="新宋体"/>
        <w:color w:val="f4b285"/>
        <w:sz w:val="22"/>
      </w:rPr>
      <w:tcPr>
        <w:shd w:val="clear" w:color="fbe5d6" w:fill="fbe5d6"/>
      </w:tcPr>
    </w:tblStylePr>
    <w:tblStylePr w:type="band1Vert">
      <w:tcPr>
        <w:shd w:val="clear" w:color="fbe5d6" w:fill="fbe5d6"/>
      </w:tcPr>
    </w:tblStylePr>
    <w:tblStylePr w:type="band2Horz">
      <w:rPr>
        <w:rFonts w:ascii="新宋体" w:hAnsi="新宋体"/>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979" w:customStyle="1">
    <w:name w:val="Grid Table 6 Colorful - Accent 3"/>
    <w:basedOn w:val="785"/>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新宋体" w:hAnsi="新宋体"/>
        <w:color w:val="a5a5a5"/>
        <w:sz w:val="22"/>
      </w:rPr>
      <w:tcPr>
        <w:shd w:val="clear" w:color="ececec" w:fill="ececec"/>
      </w:tcPr>
    </w:tblStylePr>
    <w:tblStylePr w:type="band1Vert">
      <w:tcPr>
        <w:shd w:val="clear" w:color="ececec" w:fill="ececec"/>
      </w:tcPr>
    </w:tblStylePr>
    <w:tblStylePr w:type="band2Horz">
      <w:rPr>
        <w:rFonts w:ascii="新宋体" w:hAnsi="新宋体"/>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980" w:customStyle="1">
    <w:name w:val="Grid Table 6 Colorful - Accent 4"/>
    <w:basedOn w:val="785"/>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新宋体" w:hAnsi="新宋体"/>
        <w:color w:val="ffd965"/>
        <w:sz w:val="22"/>
      </w:rPr>
      <w:tcPr>
        <w:shd w:val="clear" w:color="fef2ca" w:fill="fef2ca"/>
      </w:tcPr>
    </w:tblStylePr>
    <w:tblStylePr w:type="band1Vert">
      <w:tcPr>
        <w:shd w:val="clear" w:color="fef2ca" w:fill="fef2ca"/>
      </w:tcPr>
    </w:tblStylePr>
    <w:tblStylePr w:type="band2Horz">
      <w:rPr>
        <w:rFonts w:ascii="新宋体" w:hAnsi="新宋体"/>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blStylePr>
  </w:style>
  <w:style w:type="table" w:styleId="981" w:customStyle="1">
    <w:name w:val="Grid Table 6 Colorful - Accent 5"/>
    <w:basedOn w:val="785"/>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新宋体" w:hAnsi="新宋体"/>
        <w:color w:val="244174"/>
        <w:sz w:val="22"/>
      </w:rPr>
      <w:tcPr>
        <w:shd w:val="clear" w:color="d8e2f2" w:fill="d8e2f2"/>
      </w:tcPr>
    </w:tblStylePr>
    <w:tblStylePr w:type="band1Vert">
      <w:tcPr>
        <w:shd w:val="clear" w:color="d8e2f2" w:fill="d8e2f2"/>
      </w:tcPr>
    </w:tblStylePr>
    <w:tblStylePr w:type="band2Horz">
      <w:rPr>
        <w:rFonts w:ascii="新宋体" w:hAnsi="新宋体"/>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82" w:customStyle="1">
    <w:name w:val="Grid Table 6 Colorful - Accent 6"/>
    <w:basedOn w:val="785"/>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新宋体" w:hAnsi="新宋体"/>
        <w:color w:val="244174"/>
        <w:sz w:val="22"/>
      </w:rPr>
      <w:tcPr>
        <w:shd w:val="clear" w:color="e1efd8" w:fill="e1efd8"/>
      </w:tcPr>
    </w:tblStylePr>
    <w:tblStylePr w:type="band1Vert">
      <w:tcPr>
        <w:shd w:val="clear" w:color="e1efd8" w:fill="e1efd8"/>
      </w:tcPr>
    </w:tblStylePr>
    <w:tblStylePr w:type="band2Horz">
      <w:rPr>
        <w:rFonts w:ascii="新宋体" w:hAnsi="新宋体"/>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83" w:customStyle="1">
    <w:name w:val="Grid Table 7 Colorful - Accent 1"/>
    <w:basedOn w:val="785"/>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新宋体" w:hAnsi="新宋体"/>
        <w:color w:val="adcdea"/>
        <w:sz w:val="22"/>
      </w:rPr>
      <w:tcPr>
        <w:shd w:val="clear" w:color="ddeaf6" w:fill="ddeaf6"/>
      </w:tcPr>
    </w:tblStylePr>
    <w:tblStylePr w:type="band1Vert">
      <w:tcPr>
        <w:shd w:val="clear" w:color="ddeaf6" w:fill="ddeaf6"/>
      </w:tcPr>
    </w:tblStylePr>
    <w:tblStylePr w:type="band2Horz">
      <w:rPr>
        <w:rFonts w:ascii="新宋体" w:hAnsi="新宋体"/>
        <w:color w:val="adcdea"/>
        <w:sz w:val="22"/>
      </w:rPr>
    </w:tblStylePr>
    <w:tblStylePr w:type="firstCol">
      <w:rPr>
        <w:rFonts w:ascii="新宋体" w:hAnsi="新宋体"/>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新宋体" w:hAnsi="新宋体"/>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新宋体" w:hAnsi="新宋体"/>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7 Colorful - Accent 2"/>
    <w:basedOn w:val="785"/>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新宋体" w:hAnsi="新宋体"/>
        <w:color w:val="f4b285"/>
        <w:sz w:val="22"/>
      </w:rPr>
      <w:tcPr>
        <w:shd w:val="clear" w:color="fbe5d6" w:fill="fbe5d6"/>
      </w:tcPr>
    </w:tblStylePr>
    <w:tblStylePr w:type="band1Vert">
      <w:tcPr>
        <w:shd w:val="clear" w:color="fbe5d6" w:fill="fbe5d6"/>
      </w:tcPr>
    </w:tblStylePr>
    <w:tblStylePr w:type="band2Horz">
      <w:rPr>
        <w:rFonts w:ascii="新宋体" w:hAnsi="新宋体"/>
        <w:color w:val="f4b285"/>
        <w:sz w:val="22"/>
      </w:rPr>
    </w:tblStylePr>
    <w:tblStylePr w:type="firstCol">
      <w:rPr>
        <w:rFonts w:ascii="新宋体" w:hAnsi="新宋体"/>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新宋体" w:hAnsi="新宋体"/>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新宋体" w:hAnsi="新宋体"/>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Grid Table 7 Colorful - Accent 3"/>
    <w:basedOn w:val="785"/>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新宋体" w:hAnsi="新宋体"/>
        <w:color w:val="a5a5a5"/>
        <w:sz w:val="22"/>
      </w:rPr>
      <w:tcPr>
        <w:shd w:val="clear" w:color="ececec" w:fill="ececec"/>
      </w:tcPr>
    </w:tblStylePr>
    <w:tblStylePr w:type="band1Vert">
      <w:tcPr>
        <w:shd w:val="clear" w:color="ececec" w:fill="ececec"/>
      </w:tcPr>
    </w:tblStylePr>
    <w:tblStylePr w:type="band2Horz">
      <w:rPr>
        <w:rFonts w:ascii="新宋体" w:hAnsi="新宋体"/>
        <w:color w:val="a5a5a5"/>
        <w:sz w:val="22"/>
      </w:rPr>
    </w:tblStylePr>
    <w:tblStylePr w:type="firstCol">
      <w:rPr>
        <w:rFonts w:ascii="新宋体" w:hAnsi="新宋体"/>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新宋体" w:hAnsi="新宋体"/>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新宋体" w:hAnsi="新宋体"/>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Grid Table 7 Colorful - Accent 4"/>
    <w:basedOn w:val="785"/>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新宋体" w:hAnsi="新宋体"/>
        <w:color w:val="ffd965"/>
        <w:sz w:val="22"/>
      </w:rPr>
      <w:tcPr>
        <w:shd w:val="clear" w:color="fef2ca" w:fill="fef2ca"/>
      </w:tcPr>
    </w:tblStylePr>
    <w:tblStylePr w:type="band1Vert">
      <w:tcPr>
        <w:shd w:val="clear" w:color="fef2ca" w:fill="fef2ca"/>
      </w:tcPr>
    </w:tblStylePr>
    <w:tblStylePr w:type="band2Horz">
      <w:rPr>
        <w:rFonts w:ascii="新宋体" w:hAnsi="新宋体"/>
        <w:color w:val="ffd965"/>
        <w:sz w:val="22"/>
      </w:rPr>
    </w:tblStylePr>
    <w:tblStylePr w:type="firstCol">
      <w:rPr>
        <w:rFonts w:ascii="新宋体" w:hAnsi="新宋体"/>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新宋体" w:hAnsi="新宋体"/>
        <w:b/>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新宋体" w:hAnsi="新宋体"/>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b/>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Grid Table 7 Colorful - Accent 5"/>
    <w:basedOn w:val="785"/>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新宋体" w:hAnsi="新宋体"/>
        <w:color w:val="244174"/>
        <w:sz w:val="22"/>
      </w:rPr>
      <w:tcPr>
        <w:shd w:val="clear" w:color="d8e2f2" w:fill="d8e2f2"/>
      </w:tcPr>
    </w:tblStylePr>
    <w:tblStylePr w:type="band1Vert">
      <w:tcPr>
        <w:shd w:val="clear" w:color="d8e2f2" w:fill="d8e2f2"/>
      </w:tcPr>
    </w:tblStylePr>
    <w:tblStylePr w:type="band2Horz">
      <w:rPr>
        <w:rFonts w:ascii="新宋体" w:hAnsi="新宋体"/>
        <w:color w:val="244174"/>
        <w:sz w:val="22"/>
      </w:rPr>
    </w:tblStylePr>
    <w:tblStylePr w:type="firstCol">
      <w:rPr>
        <w:rFonts w:ascii="新宋体" w:hAnsi="新宋体"/>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新宋体" w:hAnsi="新宋体"/>
        <w:b/>
        <w:color w:val="24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新宋体" w:hAnsi="新宋体"/>
        <w:i/>
        <w:color w:val="24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b/>
        <w:color w:val="24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Grid Table 7 Colorful - Accent 6"/>
    <w:basedOn w:val="785"/>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新宋体" w:hAnsi="新宋体"/>
        <w:color w:val="416429"/>
        <w:sz w:val="22"/>
      </w:rPr>
      <w:tcPr>
        <w:shd w:val="clear" w:color="e1efd8" w:fill="e1efd8"/>
      </w:tcPr>
    </w:tblStylePr>
    <w:tblStylePr w:type="band1Vert">
      <w:tcPr>
        <w:shd w:val="clear" w:color="e1efd8" w:fill="e1efd8"/>
      </w:tcPr>
    </w:tblStylePr>
    <w:tblStylePr w:type="band2Horz">
      <w:rPr>
        <w:rFonts w:ascii="新宋体" w:hAnsi="新宋体"/>
        <w:color w:val="416429"/>
        <w:sz w:val="22"/>
      </w:rPr>
    </w:tblStylePr>
    <w:tblStylePr w:type="firstCol">
      <w:rPr>
        <w:rFonts w:ascii="新宋体" w:hAnsi="新宋体"/>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新宋体" w:hAnsi="新宋体"/>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新宋体" w:hAnsi="新宋体"/>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List Table 1 Light - Accent 1"/>
    <w:basedOn w:val="785"/>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List Table 1 Light - Accent 2"/>
    <w:basedOn w:val="785"/>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List Table 1 Light - Accent 3"/>
    <w:basedOn w:val="785"/>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List Table 1 Light - Accent 4"/>
    <w:basedOn w:val="785"/>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List Table 1 Light - Accent 5"/>
    <w:basedOn w:val="785"/>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List Table 1 Light - Accent 6"/>
    <w:basedOn w:val="785"/>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List Table 2 - Accent 1"/>
    <w:basedOn w:val="785"/>
    <w:uiPriority w:val="99"/>
    <w:qFormat/>
    <w:tblPr>
      <w:tblBorders>
        <w:top w:val="single" w:color="A2C6E7" w:sz="4" w:space="0"/>
        <w:bottom w:val="single" w:color="A2C6E7" w:sz="4" w:space="0"/>
        <w:insideH w:val="single" w:color="A2C6E7" w:sz="4" w:space="0"/>
      </w:tblBorders>
    </w:tblPr>
    <w:tblStylePr w:type="band1Horz">
      <w:rPr>
        <w:rFonts w:ascii="新宋体" w:hAnsi="新宋体"/>
        <w:color w:val="404040"/>
        <w:sz w:val="22"/>
      </w:rPr>
      <w:tcPr>
        <w:shd w:val="clear" w:color="d5e5f4" w:fill="d5e5f4"/>
      </w:tcPr>
    </w:tblStylePr>
    <w:tblStylePr w:type="band1Vert">
      <w:rPr>
        <w:rFonts w:ascii="新宋体" w:hAnsi="新宋体"/>
        <w:color w:val="404040"/>
        <w:sz w:val="22"/>
      </w:rPr>
      <w:tcPr>
        <w:shd w:val="clear" w:color="d5e5f4" w:fill="d5e5f4"/>
      </w:tcPr>
    </w:tblStylePr>
    <w:tblStylePr w:type="firstCol">
      <w:rPr>
        <w:rFonts w:ascii="新宋体" w:hAnsi="新宋体"/>
        <w:b/>
        <w:color w:val="404040"/>
        <w:sz w:val="22"/>
      </w:rPr>
    </w:tblStylePr>
    <w:tblStylePr w:type="firstRow">
      <w:rPr>
        <w:rFonts w:ascii="新宋体" w:hAnsi="新宋体"/>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新宋体" w:hAnsi="新宋体"/>
        <w:b/>
        <w:color w:val="404040"/>
        <w:sz w:val="22"/>
      </w:rPr>
    </w:tblStylePr>
    <w:tblStylePr w:type="lastRow">
      <w:rPr>
        <w:rFonts w:ascii="新宋体" w:hAnsi="新宋体"/>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996" w:customStyle="1">
    <w:name w:val="List Table 2 - Accent 2"/>
    <w:basedOn w:val="785"/>
    <w:uiPriority w:val="99"/>
    <w:qFormat/>
    <w:tblPr>
      <w:tblBorders>
        <w:top w:val="single" w:color="F4B58A" w:sz="4" w:space="0"/>
        <w:bottom w:val="single" w:color="F4B58A" w:sz="4" w:space="0"/>
        <w:insideH w:val="single" w:color="F4B58A" w:sz="4" w:space="0"/>
      </w:tblBorders>
    </w:tblPr>
    <w:tblStylePr w:type="band1Horz">
      <w:rPr>
        <w:rFonts w:ascii="新宋体" w:hAnsi="新宋体"/>
        <w:color w:val="404040"/>
        <w:sz w:val="22"/>
      </w:rPr>
      <w:tcPr>
        <w:shd w:val="clear" w:color="fadecb" w:fill="fadecb"/>
      </w:tcPr>
    </w:tblStylePr>
    <w:tblStylePr w:type="band1Vert">
      <w:rPr>
        <w:rFonts w:ascii="新宋体" w:hAnsi="新宋体"/>
        <w:color w:val="404040"/>
        <w:sz w:val="22"/>
      </w:rPr>
      <w:tcPr>
        <w:shd w:val="clear" w:color="fadecb" w:fill="fadecb"/>
      </w:tcPr>
    </w:tblStylePr>
    <w:tblStylePr w:type="firstCol">
      <w:rPr>
        <w:rFonts w:ascii="新宋体" w:hAnsi="新宋体"/>
        <w:b/>
        <w:color w:val="404040"/>
        <w:sz w:val="22"/>
      </w:rPr>
    </w:tblStylePr>
    <w:tblStylePr w:type="firstRow">
      <w:rPr>
        <w:rFonts w:ascii="新宋体" w:hAnsi="新宋体"/>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新宋体" w:hAnsi="新宋体"/>
        <w:b/>
        <w:color w:val="404040"/>
        <w:sz w:val="22"/>
      </w:rPr>
    </w:tblStylePr>
    <w:tblStylePr w:type="lastRow">
      <w:rPr>
        <w:rFonts w:ascii="新宋体" w:hAnsi="新宋体"/>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997" w:customStyle="1">
    <w:name w:val="List Table 2 - Accent 3"/>
    <w:basedOn w:val="785"/>
    <w:uiPriority w:val="99"/>
    <w:qFormat/>
    <w:tblPr>
      <w:tblBorders>
        <w:top w:val="single" w:color="CCCCCC" w:sz="4" w:space="0"/>
        <w:bottom w:val="single" w:color="CCCCCC" w:sz="4" w:space="0"/>
        <w:insideH w:val="single" w:color="CCCCCC" w:sz="4" w:space="0"/>
      </w:tblBorders>
    </w:tblPr>
    <w:tblStylePr w:type="band1Horz">
      <w:rPr>
        <w:rFonts w:ascii="新宋体" w:hAnsi="新宋体"/>
        <w:color w:val="404040"/>
        <w:sz w:val="22"/>
      </w:rPr>
      <w:tcPr>
        <w:shd w:val="clear" w:color="e8e8e8" w:fill="e8e8e8"/>
      </w:tcPr>
    </w:tblStylePr>
    <w:tblStylePr w:type="band1Vert">
      <w:rPr>
        <w:rFonts w:ascii="新宋体" w:hAnsi="新宋体"/>
        <w:color w:val="404040"/>
        <w:sz w:val="22"/>
      </w:rPr>
      <w:tcPr>
        <w:shd w:val="clear" w:color="e8e8e8" w:fill="e8e8e8"/>
      </w:tcPr>
    </w:tblStylePr>
    <w:tblStylePr w:type="firstCol">
      <w:rPr>
        <w:rFonts w:ascii="新宋体" w:hAnsi="新宋体"/>
        <w:b/>
        <w:color w:val="404040"/>
        <w:sz w:val="22"/>
      </w:rPr>
    </w:tblStylePr>
    <w:tblStylePr w:type="firstRow">
      <w:rPr>
        <w:rFonts w:ascii="新宋体" w:hAnsi="新宋体"/>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新宋体" w:hAnsi="新宋体"/>
        <w:b/>
        <w:color w:val="404040"/>
        <w:sz w:val="22"/>
      </w:rPr>
    </w:tblStylePr>
    <w:tblStylePr w:type="lastRow">
      <w:rPr>
        <w:rFonts w:ascii="新宋体" w:hAnsi="新宋体"/>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998" w:customStyle="1">
    <w:name w:val="List Table 2 - Accent 4"/>
    <w:basedOn w:val="785"/>
    <w:uiPriority w:val="99"/>
    <w:qFormat/>
    <w:tblPr>
      <w:tblBorders>
        <w:top w:val="single" w:color="FFDB6E" w:sz="4" w:space="0"/>
        <w:bottom w:val="single" w:color="FFDB6E" w:sz="4" w:space="0"/>
        <w:insideH w:val="single" w:color="FFDB6E" w:sz="4" w:space="0"/>
      </w:tblBorders>
    </w:tblPr>
    <w:tblStylePr w:type="band1Horz">
      <w:rPr>
        <w:rFonts w:ascii="新宋体" w:hAnsi="新宋体"/>
        <w:color w:val="404040"/>
        <w:sz w:val="22"/>
      </w:rPr>
      <w:tcPr>
        <w:shd w:val="clear" w:color="ffefbe" w:fill="ffefbe"/>
      </w:tcPr>
    </w:tblStylePr>
    <w:tblStylePr w:type="band1Vert">
      <w:rPr>
        <w:rFonts w:ascii="新宋体" w:hAnsi="新宋体"/>
        <w:color w:val="404040"/>
        <w:sz w:val="22"/>
      </w:rPr>
      <w:tcPr>
        <w:shd w:val="clear" w:color="ffefbe" w:fill="ffefbe"/>
      </w:tcPr>
    </w:tblStylePr>
    <w:tblStylePr w:type="firstCol">
      <w:rPr>
        <w:rFonts w:ascii="新宋体" w:hAnsi="新宋体"/>
        <w:b/>
        <w:color w:val="404040"/>
        <w:sz w:val="22"/>
      </w:rPr>
    </w:tblStylePr>
    <w:tblStylePr w:type="firstRow">
      <w:rPr>
        <w:rFonts w:ascii="新宋体" w:hAnsi="新宋体"/>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新宋体" w:hAnsi="新宋体"/>
        <w:b/>
        <w:color w:val="404040"/>
        <w:sz w:val="22"/>
      </w:rPr>
    </w:tblStylePr>
    <w:tblStylePr w:type="lastRow">
      <w:rPr>
        <w:rFonts w:ascii="新宋体" w:hAnsi="新宋体"/>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999" w:customStyle="1">
    <w:name w:val="List Table 2 - Accent 5"/>
    <w:basedOn w:val="785"/>
    <w:uiPriority w:val="99"/>
    <w:qFormat/>
    <w:tblPr>
      <w:tblBorders>
        <w:top w:val="single" w:color="95AFDD" w:sz="4" w:space="0"/>
        <w:bottom w:val="single" w:color="95AFDD" w:sz="4" w:space="0"/>
        <w:insideH w:val="single" w:color="95AFDD" w:sz="4" w:space="0"/>
      </w:tblBorders>
    </w:tblPr>
    <w:tblStylePr w:type="band1Horz">
      <w:rPr>
        <w:rFonts w:ascii="新宋体" w:hAnsi="新宋体"/>
        <w:color w:val="404040"/>
        <w:sz w:val="22"/>
      </w:rPr>
      <w:tcPr>
        <w:shd w:val="clear" w:color="d0dbf0" w:fill="d0dbf0"/>
      </w:tcPr>
    </w:tblStylePr>
    <w:tblStylePr w:type="band1Vert">
      <w:rPr>
        <w:rFonts w:ascii="新宋体" w:hAnsi="新宋体"/>
        <w:color w:val="404040"/>
        <w:sz w:val="22"/>
      </w:rPr>
      <w:tcPr>
        <w:shd w:val="clear" w:color="d0dbf0" w:fill="d0dbf0"/>
      </w:tcPr>
    </w:tblStylePr>
    <w:tblStylePr w:type="firstCol">
      <w:rPr>
        <w:rFonts w:ascii="新宋体" w:hAnsi="新宋体"/>
        <w:b/>
        <w:color w:val="404040"/>
        <w:sz w:val="22"/>
      </w:rPr>
    </w:tblStylePr>
    <w:tblStylePr w:type="firstRow">
      <w:rPr>
        <w:rFonts w:ascii="新宋体" w:hAnsi="新宋体"/>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新宋体" w:hAnsi="新宋体"/>
        <w:b/>
        <w:color w:val="404040"/>
        <w:sz w:val="22"/>
      </w:rPr>
    </w:tblStylePr>
    <w:tblStylePr w:type="lastRow">
      <w:rPr>
        <w:rFonts w:ascii="新宋体" w:hAnsi="新宋体"/>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1000" w:customStyle="1">
    <w:name w:val="List Table 2 - Accent 6"/>
    <w:basedOn w:val="785"/>
    <w:uiPriority w:val="99"/>
    <w:qFormat/>
    <w:tblPr>
      <w:tblBorders>
        <w:top w:val="single" w:color="ADD394" w:sz="4" w:space="0"/>
        <w:bottom w:val="single" w:color="ADD394" w:sz="4" w:space="0"/>
        <w:insideH w:val="single" w:color="ADD394" w:sz="4" w:space="0"/>
      </w:tblBorders>
    </w:tblPr>
    <w:tblStylePr w:type="band1Horz">
      <w:rPr>
        <w:rFonts w:ascii="新宋体" w:hAnsi="新宋体"/>
        <w:color w:val="404040"/>
        <w:sz w:val="22"/>
      </w:rPr>
      <w:tcPr>
        <w:shd w:val="clear" w:color="daebcf" w:fill="daebcf"/>
      </w:tcPr>
    </w:tblStylePr>
    <w:tblStylePr w:type="band1Vert">
      <w:rPr>
        <w:rFonts w:ascii="新宋体" w:hAnsi="新宋体"/>
        <w:color w:val="404040"/>
        <w:sz w:val="22"/>
      </w:rPr>
      <w:tcPr>
        <w:shd w:val="clear" w:color="daebcf" w:fill="daebcf"/>
      </w:tcPr>
    </w:tblStylePr>
    <w:tblStylePr w:type="firstCol">
      <w:rPr>
        <w:rFonts w:ascii="新宋体" w:hAnsi="新宋体"/>
        <w:b/>
        <w:color w:val="404040"/>
        <w:sz w:val="22"/>
      </w:rPr>
    </w:tblStylePr>
    <w:tblStylePr w:type="firstRow">
      <w:rPr>
        <w:rFonts w:ascii="新宋体" w:hAnsi="新宋体"/>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新宋体" w:hAnsi="新宋体"/>
        <w:b/>
        <w:color w:val="404040"/>
        <w:sz w:val="22"/>
      </w:rPr>
    </w:tblStylePr>
    <w:tblStylePr w:type="lastRow">
      <w:rPr>
        <w:rFonts w:ascii="新宋体" w:hAnsi="新宋体"/>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1001" w:customStyle="1">
    <w:name w:val="List Table 3 - Accent 1"/>
    <w:basedOn w:val="785"/>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新宋体" w:hAnsi="新宋体"/>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新宋体" w:hAnsi="新宋体"/>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新宋体" w:hAnsi="新宋体"/>
        <w:b/>
        <w:color w:val="ffffff"/>
        <w:sz w:val="22"/>
      </w:rPr>
      <w:tcPr>
        <w:shd w:val="clear" w:color="5b9bd5" w:fill="5b9bd5"/>
      </w:tcPr>
    </w:tblStylePr>
    <w:tblStylePr w:type="lastCol">
      <w:rPr>
        <w:b/>
        <w:color w:val="404040"/>
      </w:rPr>
    </w:tblStylePr>
    <w:tblStylePr w:type="lastRow">
      <w:rPr>
        <w:b/>
        <w:color w:val="404040"/>
      </w:rPr>
    </w:tblStylePr>
  </w:style>
  <w:style w:type="table" w:styleId="1002" w:customStyle="1">
    <w:name w:val="List Table 3 - Accent 2"/>
    <w:basedOn w:val="785"/>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新宋体" w:hAnsi="新宋体"/>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新宋体" w:hAnsi="新宋体"/>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新宋体" w:hAnsi="新宋体"/>
        <w:b/>
        <w:color w:val="ffffff"/>
        <w:sz w:val="22"/>
      </w:rPr>
      <w:tcPr>
        <w:shd w:val="clear" w:color="f4b285" w:fill="f4b285"/>
      </w:tcPr>
    </w:tblStylePr>
    <w:tblStylePr w:type="lastCol">
      <w:rPr>
        <w:b/>
        <w:color w:val="404040"/>
      </w:rPr>
    </w:tblStylePr>
    <w:tblStylePr w:type="lastRow">
      <w:rPr>
        <w:b/>
        <w:color w:val="404040"/>
      </w:rPr>
    </w:tblStylePr>
  </w:style>
  <w:style w:type="table" w:styleId="1003" w:customStyle="1">
    <w:name w:val="List Table 3 - Accent 3"/>
    <w:basedOn w:val="785"/>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新宋体" w:hAnsi="新宋体"/>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新宋体" w:hAnsi="新宋体"/>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新宋体" w:hAnsi="新宋体"/>
        <w:b/>
        <w:color w:val="ffffff"/>
        <w:sz w:val="22"/>
      </w:rPr>
      <w:tcPr>
        <w:shd w:val="clear" w:color="c9c9c9" w:fill="c9c9c9"/>
      </w:tcPr>
    </w:tblStylePr>
    <w:tblStylePr w:type="lastCol">
      <w:rPr>
        <w:b/>
        <w:color w:val="404040"/>
      </w:rPr>
    </w:tblStylePr>
    <w:tblStylePr w:type="lastRow">
      <w:rPr>
        <w:b/>
        <w:color w:val="404040"/>
      </w:rPr>
    </w:tblStylePr>
  </w:style>
  <w:style w:type="table" w:styleId="1004" w:customStyle="1">
    <w:name w:val="List Table 3 - Accent 4"/>
    <w:basedOn w:val="785"/>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新宋体" w:hAnsi="新宋体"/>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新宋体" w:hAnsi="新宋体"/>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新宋体" w:hAnsi="新宋体"/>
        <w:b/>
        <w:color w:val="ffffff"/>
        <w:sz w:val="22"/>
      </w:rPr>
      <w:tcPr>
        <w:shd w:val="clear" w:color="ffd864" w:fill="ffd864"/>
      </w:tcPr>
    </w:tblStylePr>
    <w:tblStylePr w:type="lastCol">
      <w:rPr>
        <w:b/>
        <w:color w:val="404040"/>
      </w:rPr>
    </w:tblStylePr>
    <w:tblStylePr w:type="lastRow">
      <w:rPr>
        <w:b/>
        <w:color w:val="404040"/>
      </w:rPr>
    </w:tblStylePr>
  </w:style>
  <w:style w:type="table" w:styleId="1005" w:customStyle="1">
    <w:name w:val="List Table 3 - Accent 5"/>
    <w:basedOn w:val="785"/>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新宋体" w:hAnsi="新宋体"/>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新宋体" w:hAnsi="新宋体"/>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新宋体" w:hAnsi="新宋体"/>
        <w:b/>
        <w:color w:val="ffffff"/>
        <w:sz w:val="22"/>
      </w:rPr>
      <w:tcPr>
        <w:shd w:val="clear" w:color="8ea9db" w:fill="8ea9db"/>
      </w:tcPr>
    </w:tblStylePr>
    <w:tblStylePr w:type="lastCol">
      <w:rPr>
        <w:b/>
        <w:color w:val="404040"/>
      </w:rPr>
    </w:tblStylePr>
    <w:tblStylePr w:type="lastRow">
      <w:rPr>
        <w:b/>
        <w:color w:val="404040"/>
      </w:rPr>
    </w:tblStylePr>
  </w:style>
  <w:style w:type="table" w:styleId="1006" w:customStyle="1">
    <w:name w:val="List Table 3 - Accent 6"/>
    <w:basedOn w:val="785"/>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新宋体" w:hAnsi="新宋体"/>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新宋体" w:hAnsi="新宋体"/>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新宋体" w:hAnsi="新宋体"/>
        <w:b/>
        <w:color w:val="ffffff"/>
        <w:sz w:val="22"/>
      </w:rPr>
      <w:tcPr>
        <w:shd w:val="clear" w:color="a9d08e" w:fill="a9d08e"/>
      </w:tcPr>
    </w:tblStylePr>
    <w:tblStylePr w:type="lastCol">
      <w:rPr>
        <w:b/>
        <w:color w:val="404040"/>
      </w:rPr>
    </w:tblStylePr>
    <w:tblStylePr w:type="lastRow">
      <w:rPr>
        <w:b/>
        <w:color w:val="404040"/>
      </w:rPr>
    </w:tblStylePr>
  </w:style>
  <w:style w:type="table" w:styleId="1007" w:customStyle="1">
    <w:name w:val="List Table 4 - Accent 1"/>
    <w:basedOn w:val="785"/>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新宋体" w:hAnsi="新宋体"/>
        <w:color w:val="404040"/>
        <w:sz w:val="22"/>
      </w:rPr>
      <w:tcPr>
        <w:shd w:val="clear" w:color="d5e5f4" w:fill="d5e5f4"/>
      </w:tcPr>
    </w:tblStylePr>
    <w:tblStylePr w:type="band1Vert">
      <w:rPr>
        <w:rFonts w:ascii="新宋体" w:hAnsi="新宋体"/>
        <w:color w:val="404040"/>
        <w:sz w:val="22"/>
      </w:rPr>
      <w:tcPr>
        <w:shd w:val="clear" w:color="d5e5f4" w:fill="d5e5f4"/>
      </w:tcPr>
    </w:tblStylePr>
    <w:tblStylePr w:type="firstCol">
      <w:rPr>
        <w:b/>
        <w:color w:val="404040"/>
      </w:rPr>
    </w:tblStylePr>
    <w:tblStylePr w:type="firstRow">
      <w:rPr>
        <w:rFonts w:ascii="新宋体" w:hAnsi="新宋体"/>
        <w:b/>
        <w:color w:val="ffffff"/>
        <w:sz w:val="22"/>
      </w:rPr>
      <w:tcPr>
        <w:shd w:val="clear" w:color="5b9bd5" w:fill="5b9bd5"/>
      </w:tcPr>
    </w:tblStylePr>
    <w:tblStylePr w:type="lastCol">
      <w:rPr>
        <w:b/>
        <w:color w:val="404040"/>
      </w:rPr>
    </w:tblStylePr>
    <w:tblStylePr w:type="lastRow">
      <w:rPr>
        <w:b/>
        <w:color w:val="404040"/>
      </w:rPr>
    </w:tblStylePr>
  </w:style>
  <w:style w:type="table" w:styleId="1008" w:customStyle="1">
    <w:name w:val="List Table 4 - Accent 2"/>
    <w:basedOn w:val="785"/>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新宋体" w:hAnsi="新宋体"/>
        <w:color w:val="404040"/>
        <w:sz w:val="22"/>
      </w:rPr>
      <w:tcPr>
        <w:shd w:val="clear" w:color="fadecb" w:fill="fadecb"/>
      </w:tcPr>
    </w:tblStylePr>
    <w:tblStylePr w:type="band1Vert">
      <w:rPr>
        <w:rFonts w:ascii="新宋体" w:hAnsi="新宋体"/>
        <w:color w:val="404040"/>
        <w:sz w:val="22"/>
      </w:rPr>
      <w:tcPr>
        <w:shd w:val="clear" w:color="fadecb" w:fill="fadecb"/>
      </w:tcPr>
    </w:tblStylePr>
    <w:tblStylePr w:type="firstCol">
      <w:rPr>
        <w:b/>
        <w:color w:val="404040"/>
      </w:rPr>
    </w:tblStylePr>
    <w:tblStylePr w:type="firstRow">
      <w:rPr>
        <w:rFonts w:ascii="新宋体" w:hAnsi="新宋体"/>
        <w:b/>
        <w:color w:val="ffffff"/>
        <w:sz w:val="22"/>
      </w:rPr>
      <w:tcPr>
        <w:shd w:val="clear" w:color="ed7d31" w:fill="ed7d31"/>
      </w:tcPr>
    </w:tblStylePr>
    <w:tblStylePr w:type="lastCol">
      <w:rPr>
        <w:b/>
        <w:color w:val="404040"/>
      </w:rPr>
    </w:tblStylePr>
    <w:tblStylePr w:type="lastRow">
      <w:rPr>
        <w:b/>
        <w:color w:val="404040"/>
      </w:rPr>
    </w:tblStylePr>
  </w:style>
  <w:style w:type="table" w:styleId="1009" w:customStyle="1">
    <w:name w:val="List Table 4 - Accent 3"/>
    <w:basedOn w:val="785"/>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新宋体" w:hAnsi="新宋体"/>
        <w:color w:val="404040"/>
        <w:sz w:val="22"/>
      </w:rPr>
      <w:tcPr>
        <w:shd w:val="clear" w:color="e8e8e8" w:fill="e8e8e8"/>
      </w:tcPr>
    </w:tblStylePr>
    <w:tblStylePr w:type="band1Vert">
      <w:rPr>
        <w:rFonts w:ascii="新宋体" w:hAnsi="新宋体"/>
        <w:color w:val="404040"/>
        <w:sz w:val="22"/>
      </w:rPr>
      <w:tcPr>
        <w:shd w:val="clear" w:color="e8e8e8" w:fill="e8e8e8"/>
      </w:tcPr>
    </w:tblStylePr>
    <w:tblStylePr w:type="firstCol">
      <w:rPr>
        <w:b/>
        <w:color w:val="404040"/>
      </w:rPr>
    </w:tblStylePr>
    <w:tblStylePr w:type="firstRow">
      <w:rPr>
        <w:rFonts w:ascii="新宋体" w:hAnsi="新宋体"/>
        <w:b/>
        <w:color w:val="ffffff"/>
        <w:sz w:val="22"/>
      </w:rPr>
      <w:tcPr>
        <w:shd w:val="clear" w:color="a5a5a5" w:fill="a5a5a5"/>
      </w:tcPr>
    </w:tblStylePr>
    <w:tblStylePr w:type="lastCol">
      <w:rPr>
        <w:b/>
        <w:color w:val="404040"/>
      </w:rPr>
    </w:tblStylePr>
    <w:tblStylePr w:type="lastRow">
      <w:rPr>
        <w:b/>
        <w:color w:val="404040"/>
      </w:rPr>
    </w:tblStylePr>
  </w:style>
  <w:style w:type="table" w:styleId="1010" w:customStyle="1">
    <w:name w:val="List Table 4 - Accent 4"/>
    <w:basedOn w:val="785"/>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新宋体" w:hAnsi="新宋体"/>
        <w:color w:val="404040"/>
        <w:sz w:val="22"/>
      </w:rPr>
      <w:tcPr>
        <w:shd w:val="clear" w:color="ffefbe" w:fill="ffefbe"/>
      </w:tcPr>
    </w:tblStylePr>
    <w:tblStylePr w:type="band1Vert">
      <w:rPr>
        <w:rFonts w:ascii="新宋体" w:hAnsi="新宋体"/>
        <w:color w:val="404040"/>
        <w:sz w:val="22"/>
      </w:rPr>
      <w:tcPr>
        <w:shd w:val="clear" w:color="ffefbe" w:fill="ffefbe"/>
      </w:tcPr>
    </w:tblStylePr>
    <w:tblStylePr w:type="firstCol">
      <w:rPr>
        <w:b/>
        <w:color w:val="404040"/>
      </w:rPr>
    </w:tblStylePr>
    <w:tblStylePr w:type="firstRow">
      <w:rPr>
        <w:rFonts w:ascii="新宋体" w:hAnsi="新宋体"/>
        <w:b/>
        <w:color w:val="ffffff"/>
        <w:sz w:val="22"/>
      </w:rPr>
      <w:tcPr>
        <w:shd w:val="clear" w:color="ffc000" w:fill="ffc000"/>
      </w:tcPr>
    </w:tblStylePr>
    <w:tblStylePr w:type="lastCol">
      <w:rPr>
        <w:b/>
        <w:color w:val="404040"/>
      </w:rPr>
    </w:tblStylePr>
    <w:tblStylePr w:type="lastRow">
      <w:rPr>
        <w:b/>
        <w:color w:val="404040"/>
      </w:rPr>
    </w:tblStylePr>
  </w:style>
  <w:style w:type="table" w:styleId="1011" w:customStyle="1">
    <w:name w:val="List Table 4 - Accent 5"/>
    <w:basedOn w:val="785"/>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新宋体" w:hAnsi="新宋体"/>
        <w:color w:val="404040"/>
        <w:sz w:val="22"/>
      </w:rPr>
      <w:tcPr>
        <w:shd w:val="clear" w:color="d0dbf0" w:fill="d0dbf0"/>
      </w:tcPr>
    </w:tblStylePr>
    <w:tblStylePr w:type="band1Vert">
      <w:rPr>
        <w:rFonts w:ascii="新宋体" w:hAnsi="新宋体"/>
        <w:color w:val="404040"/>
        <w:sz w:val="22"/>
      </w:rPr>
      <w:tcPr>
        <w:shd w:val="clear" w:color="d0dbf0" w:fill="d0dbf0"/>
      </w:tcPr>
    </w:tblStylePr>
    <w:tblStylePr w:type="firstCol">
      <w:rPr>
        <w:b/>
        <w:color w:val="404040"/>
      </w:rPr>
    </w:tblStylePr>
    <w:tblStylePr w:type="firstRow">
      <w:rPr>
        <w:rFonts w:ascii="新宋体" w:hAnsi="新宋体"/>
        <w:b/>
        <w:color w:val="ffffff"/>
        <w:sz w:val="22"/>
      </w:rPr>
      <w:tcPr>
        <w:shd w:val="clear" w:color="4472c4" w:fill="4472c4"/>
      </w:tcPr>
    </w:tblStylePr>
    <w:tblStylePr w:type="lastCol">
      <w:rPr>
        <w:b/>
        <w:color w:val="404040"/>
      </w:rPr>
    </w:tblStylePr>
    <w:tblStylePr w:type="lastRow">
      <w:rPr>
        <w:b/>
        <w:color w:val="404040"/>
      </w:rPr>
    </w:tblStylePr>
  </w:style>
  <w:style w:type="table" w:styleId="1012" w:customStyle="1">
    <w:name w:val="List Table 4 - Accent 6"/>
    <w:basedOn w:val="785"/>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新宋体" w:hAnsi="新宋体"/>
        <w:color w:val="404040"/>
        <w:sz w:val="22"/>
      </w:rPr>
      <w:tcPr>
        <w:shd w:val="clear" w:color="daebcf" w:fill="daebcf"/>
      </w:tcPr>
    </w:tblStylePr>
    <w:tblStylePr w:type="band1Vert">
      <w:rPr>
        <w:rFonts w:ascii="新宋体" w:hAnsi="新宋体"/>
        <w:color w:val="404040"/>
        <w:sz w:val="22"/>
      </w:rPr>
      <w:tcPr>
        <w:shd w:val="clear" w:color="daebcf" w:fill="daebcf"/>
      </w:tcPr>
    </w:tblStylePr>
    <w:tblStylePr w:type="firstCol">
      <w:rPr>
        <w:b/>
        <w:color w:val="404040"/>
      </w:rPr>
    </w:tblStylePr>
    <w:tblStylePr w:type="firstRow">
      <w:rPr>
        <w:rFonts w:ascii="新宋体" w:hAnsi="新宋体"/>
        <w:b/>
        <w:color w:val="ffffff"/>
        <w:sz w:val="22"/>
      </w:rPr>
      <w:tcPr>
        <w:shd w:val="clear" w:color="70ad47" w:fill="70ad47"/>
      </w:tcPr>
    </w:tblStylePr>
    <w:tblStylePr w:type="lastCol">
      <w:rPr>
        <w:b/>
        <w:color w:val="404040"/>
      </w:rPr>
    </w:tblStylePr>
    <w:tblStylePr w:type="lastRow">
      <w:rPr>
        <w:b/>
        <w:color w:val="404040"/>
      </w:rPr>
    </w:tblStylePr>
  </w:style>
  <w:style w:type="table" w:styleId="1013" w:customStyle="1">
    <w:name w:val="List Table 5 Dark - Accent 1"/>
    <w:basedOn w:val="785"/>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新宋体" w:hAnsi="新宋体"/>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新宋体" w:hAnsi="新宋体"/>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新宋体" w:hAnsi="新宋体"/>
        <w:b/>
        <w:color w:val="ffffff"/>
        <w:sz w:val="22"/>
      </w:rPr>
    </w:tblStylePr>
  </w:style>
  <w:style w:type="table" w:styleId="1014" w:customStyle="1">
    <w:name w:val="List Table 5 Dark - Accent 2"/>
    <w:basedOn w:val="785"/>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新宋体" w:hAnsi="新宋体"/>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新宋体" w:hAnsi="新宋体"/>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新宋体" w:hAnsi="新宋体"/>
        <w:b/>
        <w:color w:val="ffffff"/>
        <w:sz w:val="22"/>
      </w:rPr>
    </w:tblStylePr>
  </w:style>
  <w:style w:type="table" w:styleId="1015" w:customStyle="1">
    <w:name w:val="List Table 5 Dark - Accent 3"/>
    <w:basedOn w:val="785"/>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新宋体" w:hAnsi="新宋体"/>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新宋体" w:hAnsi="新宋体"/>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新宋体" w:hAnsi="新宋体"/>
        <w:b/>
        <w:color w:val="ffffff"/>
        <w:sz w:val="22"/>
      </w:rPr>
    </w:tblStylePr>
  </w:style>
  <w:style w:type="table" w:styleId="1016" w:customStyle="1">
    <w:name w:val="List Table 5 Dark - Accent 4"/>
    <w:basedOn w:val="785"/>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新宋体" w:hAnsi="新宋体"/>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新宋体" w:hAnsi="新宋体"/>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新宋体" w:hAnsi="新宋体"/>
        <w:b/>
        <w:color w:val="ffffff"/>
        <w:sz w:val="22"/>
      </w:rPr>
    </w:tblStylePr>
  </w:style>
  <w:style w:type="table" w:styleId="1017" w:customStyle="1">
    <w:name w:val="List Table 5 Dark - Accent 5"/>
    <w:basedOn w:val="785"/>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新宋体" w:hAnsi="新宋体"/>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新宋体" w:hAnsi="新宋体"/>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新宋体" w:hAnsi="新宋体"/>
        <w:b/>
        <w:color w:val="ffffff"/>
        <w:sz w:val="22"/>
      </w:rPr>
    </w:tblStylePr>
  </w:style>
  <w:style w:type="table" w:styleId="1018" w:customStyle="1">
    <w:name w:val="List Table 5 Dark - Accent 6"/>
    <w:basedOn w:val="785"/>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新宋体" w:hAnsi="新宋体"/>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新宋体" w:hAnsi="新宋体"/>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新宋体" w:hAnsi="新宋体"/>
        <w:b/>
        <w:color w:val="ffffff"/>
        <w:sz w:val="22"/>
      </w:rPr>
    </w:tblStylePr>
  </w:style>
  <w:style w:type="table" w:styleId="1019" w:customStyle="1">
    <w:name w:val="List Table 6 Colorful - Accent 1"/>
    <w:basedOn w:val="785"/>
    <w:uiPriority w:val="99"/>
    <w:qFormat/>
    <w:tblPr>
      <w:tblBorders>
        <w:top w:val="single" w:color="5B9BD5" w:sz="4" w:space="0"/>
        <w:bottom w:val="single" w:color="5B9BD5" w:sz="4" w:space="0"/>
      </w:tblBorders>
    </w:tblPr>
    <w:tblStylePr w:type="band1Horz">
      <w:rPr>
        <w:rFonts w:ascii="新宋体" w:hAnsi="新宋体"/>
        <w:color w:val="235a8c"/>
        <w:sz w:val="22"/>
      </w:rPr>
      <w:tcPr>
        <w:shd w:val="clear" w:color="d5e5f4" w:fill="d5e5f4"/>
      </w:tcPr>
    </w:tblStylePr>
    <w:tblStylePr w:type="band1Vert">
      <w:tcPr>
        <w:shd w:val="clear" w:color="d5e5f4" w:fill="d5e5f4"/>
      </w:tcPr>
    </w:tblStylePr>
    <w:tblStylePr w:type="band2Horz">
      <w:rPr>
        <w:rFonts w:ascii="新宋体" w:hAnsi="新宋体"/>
        <w:color w:val="235a8c"/>
        <w:sz w:val="22"/>
      </w:rPr>
    </w:tblStylePr>
    <w:tblStylePr w:type="firstCol">
      <w:rPr>
        <w:b/>
        <w:color w:val="235a8c"/>
      </w:rPr>
    </w:tblStylePr>
    <w:tblStylePr w:type="firstRow">
      <w:rPr>
        <w:b/>
        <w:color w:val="235a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35a8c"/>
      </w:rPr>
    </w:tblStylePr>
    <w:tblStylePr w:type="lastRow">
      <w:rPr>
        <w:b/>
        <w:color w:val="235a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List Table 6 Colorful - Accent 2"/>
    <w:basedOn w:val="785"/>
    <w:uiPriority w:val="99"/>
    <w:qFormat/>
    <w:tblPr>
      <w:tblBorders>
        <w:top w:val="single" w:color="F4B285" w:sz="4" w:space="0"/>
        <w:bottom w:val="single" w:color="F4B285" w:sz="4" w:space="0"/>
      </w:tblBorders>
    </w:tblPr>
    <w:tblStylePr w:type="band1Horz">
      <w:rPr>
        <w:rFonts w:ascii="新宋体" w:hAnsi="新宋体"/>
        <w:color w:val="f4b285"/>
        <w:sz w:val="22"/>
      </w:rPr>
      <w:tcPr>
        <w:shd w:val="clear" w:color="fadecb" w:fill="fadecb"/>
      </w:tcPr>
    </w:tblStylePr>
    <w:tblStylePr w:type="band1Vert">
      <w:tcPr>
        <w:shd w:val="clear" w:color="fadecb" w:fill="fadecb"/>
      </w:tcPr>
    </w:tblStylePr>
    <w:tblStylePr w:type="band2Horz">
      <w:rPr>
        <w:rFonts w:ascii="新宋体" w:hAnsi="新宋体"/>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List Table 6 Colorful - Accent 3"/>
    <w:basedOn w:val="785"/>
    <w:uiPriority w:val="99"/>
    <w:qFormat/>
    <w:tblPr>
      <w:tblBorders>
        <w:top w:val="single" w:color="C9C9C9" w:sz="4" w:space="0"/>
        <w:bottom w:val="single" w:color="C9C9C9" w:sz="4" w:space="0"/>
      </w:tblBorders>
    </w:tblPr>
    <w:tblStylePr w:type="band1Horz">
      <w:rPr>
        <w:rFonts w:ascii="新宋体" w:hAnsi="新宋体"/>
        <w:color w:val="c8c8c8"/>
        <w:sz w:val="22"/>
      </w:rPr>
      <w:tcPr>
        <w:shd w:val="clear" w:color="e8e8e8" w:fill="e8e8e8"/>
      </w:tcPr>
    </w:tblStylePr>
    <w:tblStylePr w:type="band1Vert">
      <w:tcPr>
        <w:shd w:val="clear" w:color="e8e8e8" w:fill="e8e8e8"/>
      </w:tcPr>
    </w:tblStylePr>
    <w:tblStylePr w:type="band2Horz">
      <w:rPr>
        <w:rFonts w:ascii="新宋体" w:hAnsi="新宋体"/>
        <w:color w:val="c8c8c8"/>
        <w:sz w:val="22"/>
      </w:rPr>
    </w:tblStylePr>
    <w:tblStylePr w:type="firstCol">
      <w:rPr>
        <w:b/>
        <w:color w:val="c8c8c8"/>
      </w:rPr>
    </w:tblStylePr>
    <w:tblStylePr w:type="firstRow">
      <w:rPr>
        <w:b/>
        <w:color w:val="c8c8c8"/>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8c8c8"/>
      </w:rPr>
    </w:tblStylePr>
    <w:tblStylePr w:type="lastRow">
      <w:rPr>
        <w:b/>
        <w:color w:val="c8c8c8"/>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2" w:customStyle="1">
    <w:name w:val="List Table 6 Colorful - Accent 4"/>
    <w:basedOn w:val="785"/>
    <w:uiPriority w:val="99"/>
    <w:qFormat/>
    <w:tblPr>
      <w:tblBorders>
        <w:top w:val="single" w:color="FFD864" w:sz="4" w:space="0"/>
        <w:bottom w:val="single" w:color="FFD864" w:sz="4" w:space="0"/>
      </w:tblBorders>
    </w:tblPr>
    <w:tblStylePr w:type="band1Horz">
      <w:rPr>
        <w:rFonts w:ascii="新宋体" w:hAnsi="新宋体"/>
        <w:color w:val="ffd965"/>
        <w:sz w:val="22"/>
      </w:rPr>
      <w:tcPr>
        <w:shd w:val="clear" w:color="ffefbe" w:fill="ffefbe"/>
      </w:tcPr>
    </w:tblStylePr>
    <w:tblStylePr w:type="band1Vert">
      <w:tcPr>
        <w:shd w:val="clear" w:color="ffefbe" w:fill="ffefbe"/>
      </w:tcPr>
    </w:tblStylePr>
    <w:tblStylePr w:type="band2Horz">
      <w:rPr>
        <w:rFonts w:ascii="新宋体" w:hAnsi="新宋体"/>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3" w:customStyle="1">
    <w:name w:val="List Table 6 Colorful - Accent 5"/>
    <w:basedOn w:val="785"/>
    <w:uiPriority w:val="99"/>
    <w:qFormat/>
    <w:tblPr>
      <w:tblBorders>
        <w:top w:val="single" w:color="8EA9DB" w:sz="4" w:space="0"/>
        <w:bottom w:val="single" w:color="8EA9DB" w:sz="4" w:space="0"/>
      </w:tblBorders>
    </w:tblPr>
    <w:tblStylePr w:type="band1Horz">
      <w:rPr>
        <w:rFonts w:ascii="新宋体" w:hAnsi="新宋体"/>
        <w:color w:val="8eaadb"/>
        <w:sz w:val="22"/>
      </w:rPr>
      <w:tcPr>
        <w:shd w:val="clear" w:color="d0dbf0" w:fill="d0dbf0"/>
      </w:tcPr>
    </w:tblStylePr>
    <w:tblStylePr w:type="band1Vert">
      <w:tcPr>
        <w:shd w:val="clear" w:color="d0dbf0" w:fill="d0dbf0"/>
      </w:tcPr>
    </w:tblStylePr>
    <w:tblStylePr w:type="band2Horz">
      <w:rPr>
        <w:rFonts w:ascii="新宋体" w:hAnsi="新宋体"/>
        <w:color w:val="8eaadb"/>
        <w:sz w:val="22"/>
      </w:rPr>
    </w:tblStylePr>
    <w:tblStylePr w:type="firstCol">
      <w:rPr>
        <w:b/>
        <w:color w:val="8eaadb"/>
      </w:rPr>
    </w:tblStylePr>
    <w:tblStylePr w:type="firstRow">
      <w:rPr>
        <w:b/>
        <w:color w:val="8eaadb"/>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eaadb"/>
      </w:rPr>
    </w:tblStylePr>
    <w:tblStylePr w:type="lastRow">
      <w:rPr>
        <w:b/>
        <w:color w:val="8eaadb"/>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List Table 6 Colorful - Accent 6"/>
    <w:basedOn w:val="785"/>
    <w:uiPriority w:val="99"/>
    <w:qFormat/>
    <w:tblPr>
      <w:tblBorders>
        <w:top w:val="single" w:color="A9D08E" w:sz="4" w:space="0"/>
        <w:bottom w:val="single" w:color="A9D08E" w:sz="4" w:space="0"/>
      </w:tblBorders>
    </w:tblPr>
    <w:tblStylePr w:type="band1Horz">
      <w:rPr>
        <w:rFonts w:ascii="新宋体" w:hAnsi="新宋体"/>
        <w:color w:val="a8d08d"/>
        <w:sz w:val="22"/>
      </w:rPr>
      <w:tcPr>
        <w:shd w:val="clear" w:color="daebcf" w:fill="daebcf"/>
      </w:tcPr>
    </w:tblStylePr>
    <w:tblStylePr w:type="band1Vert">
      <w:tcPr>
        <w:shd w:val="clear" w:color="daebcf" w:fill="daebcf"/>
      </w:tcPr>
    </w:tblStylePr>
    <w:tblStylePr w:type="band2Horz">
      <w:rPr>
        <w:rFonts w:ascii="新宋体" w:hAnsi="新宋体"/>
        <w:color w:val="a8d08d"/>
        <w:sz w:val="22"/>
      </w:rPr>
    </w:tblStylePr>
    <w:tblStylePr w:type="firstCol">
      <w:rPr>
        <w:b/>
        <w:color w:val="a8d08d"/>
      </w:rPr>
    </w:tblStylePr>
    <w:tblStylePr w:type="firstRow">
      <w:rPr>
        <w:b/>
        <w:color w:val="a8d08d"/>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8d08d"/>
      </w:rPr>
    </w:tblStylePr>
    <w:tblStylePr w:type="lastRow">
      <w:rPr>
        <w:b/>
        <w:color w:val="a8d08d"/>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List Table 7 Colorful - Accent 1"/>
    <w:basedOn w:val="785"/>
    <w:uiPriority w:val="99"/>
    <w:qFormat/>
    <w:tblPr>
      <w:tblBorders>
        <w:right w:val="single" w:color="5B9BD5" w:sz="4" w:space="0"/>
      </w:tblBorders>
    </w:tblPr>
    <w:tblStylePr w:type="band1Horz">
      <w:rPr>
        <w:rFonts w:ascii="新宋体" w:hAnsi="新宋体"/>
        <w:color w:val="235a8c"/>
        <w:sz w:val="22"/>
      </w:rPr>
      <w:tcPr>
        <w:shd w:val="clear" w:color="d5e5f4" w:fill="d5e5f4"/>
      </w:tcPr>
    </w:tblStylePr>
    <w:tblStylePr w:type="band1Vert">
      <w:tcPr>
        <w:shd w:val="clear" w:color="d5e5f4" w:fill="d5e5f4"/>
      </w:tcPr>
    </w:tblStylePr>
    <w:tblStylePr w:type="band2Horz">
      <w:rPr>
        <w:rFonts w:ascii="新宋体" w:hAnsi="新宋体"/>
        <w:color w:val="235a8c"/>
        <w:sz w:val="22"/>
      </w:rPr>
    </w:tblStylePr>
    <w:tblStylePr w:type="firstCol">
      <w:rPr>
        <w:rFonts w:ascii="新宋体" w:hAnsi="新宋体"/>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新宋体" w:hAnsi="新宋体"/>
        <w:i/>
        <w:color w:val="235a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新宋体" w:hAnsi="新宋体"/>
        <w:i/>
        <w:color w:val="235a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i/>
        <w:color w:val="235a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List Table 7 Colorful - Accent 2"/>
    <w:basedOn w:val="785"/>
    <w:uiPriority w:val="99"/>
    <w:qFormat/>
    <w:tblPr>
      <w:tblBorders>
        <w:right w:val="single" w:color="F4B285" w:sz="4" w:space="0"/>
      </w:tblBorders>
    </w:tblPr>
    <w:tblStylePr w:type="band1Horz">
      <w:rPr>
        <w:rFonts w:ascii="新宋体" w:hAnsi="新宋体"/>
        <w:color w:val="f4b285"/>
        <w:sz w:val="22"/>
      </w:rPr>
      <w:tcPr>
        <w:shd w:val="clear" w:color="fadecb" w:fill="fadecb"/>
      </w:tcPr>
    </w:tblStylePr>
    <w:tblStylePr w:type="band1Vert">
      <w:tcPr>
        <w:shd w:val="clear" w:color="fadecb" w:fill="fadecb"/>
      </w:tcPr>
    </w:tblStylePr>
    <w:tblStylePr w:type="band2Horz">
      <w:rPr>
        <w:rFonts w:ascii="新宋体" w:hAnsi="新宋体"/>
        <w:color w:val="f4b285"/>
        <w:sz w:val="22"/>
      </w:rPr>
    </w:tblStylePr>
    <w:tblStylePr w:type="firstCol">
      <w:rPr>
        <w:rFonts w:ascii="新宋体" w:hAnsi="新宋体"/>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新宋体" w:hAnsi="新宋体"/>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新宋体" w:hAnsi="新宋体"/>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List Table 7 Colorful - Accent 3"/>
    <w:basedOn w:val="785"/>
    <w:uiPriority w:val="99"/>
    <w:qFormat/>
    <w:tblPr>
      <w:tblBorders>
        <w:right w:val="single" w:color="C9C9C9" w:sz="4" w:space="0"/>
      </w:tblBorders>
    </w:tblPr>
    <w:tblStylePr w:type="band1Horz">
      <w:rPr>
        <w:rFonts w:ascii="新宋体" w:hAnsi="新宋体"/>
        <w:color w:val="c8c8c8"/>
        <w:sz w:val="22"/>
      </w:rPr>
      <w:tcPr>
        <w:shd w:val="clear" w:color="e8e8e8" w:fill="e8e8e8"/>
      </w:tcPr>
    </w:tblStylePr>
    <w:tblStylePr w:type="band1Vert">
      <w:tcPr>
        <w:shd w:val="clear" w:color="e8e8e8" w:fill="e8e8e8"/>
      </w:tcPr>
    </w:tblStylePr>
    <w:tblStylePr w:type="band2Horz">
      <w:rPr>
        <w:rFonts w:ascii="新宋体" w:hAnsi="新宋体"/>
        <w:color w:val="c8c8c8"/>
        <w:sz w:val="22"/>
      </w:rPr>
    </w:tblStylePr>
    <w:tblStylePr w:type="firstCol">
      <w:rPr>
        <w:rFonts w:ascii="新宋体" w:hAnsi="新宋体"/>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新宋体" w:hAnsi="新宋体"/>
        <w:i/>
        <w:color w:val="c8c8c8"/>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新宋体" w:hAnsi="新宋体"/>
        <w:i/>
        <w:color w:val="c8c8c8"/>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i/>
        <w:color w:val="c8c8c8"/>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List Table 7 Colorful - Accent 4"/>
    <w:basedOn w:val="785"/>
    <w:uiPriority w:val="99"/>
    <w:qFormat/>
    <w:tblPr>
      <w:tblBorders>
        <w:right w:val="single" w:color="FFD864" w:sz="4" w:space="0"/>
      </w:tblBorders>
    </w:tblPr>
    <w:tblStylePr w:type="band1Horz">
      <w:rPr>
        <w:rFonts w:ascii="新宋体" w:hAnsi="新宋体"/>
        <w:color w:val="ffd965"/>
        <w:sz w:val="22"/>
      </w:rPr>
      <w:tcPr>
        <w:shd w:val="clear" w:color="ffefbe" w:fill="ffefbe"/>
      </w:tcPr>
    </w:tblStylePr>
    <w:tblStylePr w:type="band1Vert">
      <w:tcPr>
        <w:shd w:val="clear" w:color="ffefbe" w:fill="ffefbe"/>
      </w:tcPr>
    </w:tblStylePr>
    <w:tblStylePr w:type="band2Horz">
      <w:rPr>
        <w:rFonts w:ascii="新宋体" w:hAnsi="新宋体"/>
        <w:color w:val="ffd965"/>
        <w:sz w:val="22"/>
      </w:rPr>
    </w:tblStylePr>
    <w:tblStylePr w:type="firstCol">
      <w:rPr>
        <w:rFonts w:ascii="新宋体" w:hAnsi="新宋体"/>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新宋体" w:hAnsi="新宋体"/>
        <w:i/>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新宋体" w:hAnsi="新宋体"/>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i/>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List Table 7 Colorful - Accent 5"/>
    <w:basedOn w:val="785"/>
    <w:uiPriority w:val="99"/>
    <w:qFormat/>
    <w:tblPr>
      <w:tblBorders>
        <w:right w:val="single" w:color="8EA9DB" w:sz="4" w:space="0"/>
      </w:tblBorders>
    </w:tblPr>
    <w:tblStylePr w:type="band1Horz">
      <w:rPr>
        <w:rFonts w:ascii="新宋体" w:hAnsi="新宋体"/>
        <w:color w:val="8eaadb"/>
        <w:sz w:val="22"/>
      </w:rPr>
      <w:tcPr>
        <w:shd w:val="clear" w:color="d0dbf0" w:fill="d0dbf0"/>
      </w:tcPr>
    </w:tblStylePr>
    <w:tblStylePr w:type="band1Vert">
      <w:tcPr>
        <w:shd w:val="clear" w:color="d0dbf0" w:fill="d0dbf0"/>
      </w:tcPr>
    </w:tblStylePr>
    <w:tblStylePr w:type="band2Horz">
      <w:rPr>
        <w:rFonts w:ascii="新宋体" w:hAnsi="新宋体"/>
        <w:color w:val="8eaadb"/>
        <w:sz w:val="22"/>
      </w:rPr>
    </w:tblStylePr>
    <w:tblStylePr w:type="firstCol">
      <w:rPr>
        <w:rFonts w:ascii="新宋体" w:hAnsi="新宋体"/>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新宋体" w:hAnsi="新宋体"/>
        <w:i/>
        <w:color w:val="8eaadb"/>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新宋体" w:hAnsi="新宋体"/>
        <w:i/>
        <w:color w:val="8eaadb"/>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i/>
        <w:color w:val="8eaadb"/>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List Table 7 Colorful - Accent 6"/>
    <w:basedOn w:val="785"/>
    <w:uiPriority w:val="99"/>
    <w:qFormat/>
    <w:tblPr>
      <w:tblBorders>
        <w:right w:val="single" w:color="A9D08E" w:sz="4" w:space="0"/>
      </w:tblBorders>
    </w:tblPr>
    <w:tblStylePr w:type="band1Horz">
      <w:rPr>
        <w:rFonts w:ascii="新宋体" w:hAnsi="新宋体"/>
        <w:color w:val="a8d08d"/>
        <w:sz w:val="22"/>
      </w:rPr>
      <w:tcPr>
        <w:shd w:val="clear" w:color="daebcf" w:fill="daebcf"/>
      </w:tcPr>
    </w:tblStylePr>
    <w:tblStylePr w:type="band1Vert">
      <w:tcPr>
        <w:shd w:val="clear" w:color="daebcf" w:fill="daebcf"/>
      </w:tcPr>
    </w:tblStylePr>
    <w:tblStylePr w:type="band2Horz">
      <w:rPr>
        <w:rFonts w:ascii="新宋体" w:hAnsi="新宋体"/>
        <w:color w:val="a8d08d"/>
        <w:sz w:val="22"/>
      </w:rPr>
    </w:tblStylePr>
    <w:tblStylePr w:type="firstCol">
      <w:rPr>
        <w:rFonts w:ascii="新宋体" w:hAnsi="新宋体"/>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新宋体" w:hAnsi="新宋体"/>
        <w:i/>
        <w:color w:val="a8d08d"/>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新宋体" w:hAnsi="新宋体"/>
        <w:i/>
        <w:color w:val="a8d08d"/>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i/>
        <w:color w:val="a8d08d"/>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Lined - Accent"/>
    <w:basedOn w:val="785"/>
    <w:uiPriority w:val="99"/>
    <w:qFormat/>
    <w:rPr>
      <w:color w:val="404040"/>
    </w:rPr>
    <w:tblPr/>
    <w:tblStylePr w:type="band1Horz">
      <w:rPr>
        <w:rFonts w:ascii="新宋体" w:hAnsi="新宋体"/>
        <w:color w:val="404040"/>
        <w:sz w:val="22"/>
      </w:rPr>
    </w:tblStylePr>
    <w:tblStylePr w:type="band1Vert">
      <w:rPr>
        <w:rFonts w:ascii="新宋体" w:hAnsi="新宋体"/>
        <w:color w:val="404040"/>
        <w:sz w:val="22"/>
      </w:rPr>
    </w:tblStylePr>
    <w:tblStylePr w:type="band2Horz">
      <w:rPr>
        <w:rFonts w:ascii="新宋体" w:hAnsi="新宋体"/>
        <w:color w:val="404040"/>
        <w:sz w:val="22"/>
      </w:rPr>
      <w:tcPr>
        <w:shd w:val="clear" w:color="f1f1f1" w:fill="f1f1f1"/>
      </w:tcPr>
    </w:tblStylePr>
    <w:tblStylePr w:type="band2Vert">
      <w:rPr>
        <w:rFonts w:ascii="新宋体" w:hAnsi="新宋体"/>
        <w:color w:val="404040"/>
        <w:sz w:val="22"/>
      </w:rPr>
      <w:tcPr>
        <w:shd w:val="clear" w:color="f1f1f1" w:fill="f1f1f1"/>
      </w:tcPr>
    </w:tblStylePr>
    <w:tblStylePr w:type="firstCol">
      <w:rPr>
        <w:rFonts w:ascii="新宋体" w:hAnsi="新宋体"/>
        <w:color w:val="f2f2f2"/>
        <w:sz w:val="22"/>
      </w:rPr>
      <w:tcPr>
        <w:shd w:val="clear" w:color="7e7e7e" w:fill="7e7e7e"/>
      </w:tcPr>
    </w:tblStylePr>
    <w:tblStylePr w:type="firstRow">
      <w:rPr>
        <w:rFonts w:ascii="新宋体" w:hAnsi="新宋体"/>
        <w:color w:val="f2f2f2"/>
        <w:sz w:val="22"/>
      </w:rPr>
      <w:tcPr>
        <w:shd w:val="clear" w:color="7e7e7e" w:fill="7e7e7e"/>
      </w:tcPr>
    </w:tblStylePr>
    <w:tblStylePr w:type="lastCol">
      <w:rPr>
        <w:rFonts w:ascii="新宋体" w:hAnsi="新宋体"/>
        <w:color w:val="f2f2f2"/>
        <w:sz w:val="22"/>
      </w:rPr>
      <w:tcPr>
        <w:shd w:val="clear" w:color="7e7e7e" w:fill="7e7e7e"/>
      </w:tcPr>
    </w:tblStylePr>
    <w:tblStylePr w:type="lastRow">
      <w:rPr>
        <w:rFonts w:ascii="新宋体" w:hAnsi="新宋体"/>
        <w:color w:val="f2f2f2"/>
        <w:sz w:val="22"/>
      </w:rPr>
      <w:tcPr>
        <w:shd w:val="clear" w:color="7e7e7e" w:fill="7e7e7e"/>
      </w:tcPr>
    </w:tblStylePr>
  </w:style>
  <w:style w:type="table" w:styleId="1032" w:customStyle="1">
    <w:name w:val="Lined - Accent 1"/>
    <w:basedOn w:val="785"/>
    <w:uiPriority w:val="99"/>
    <w:qFormat/>
    <w:rPr>
      <w:color w:val="404040"/>
    </w:rPr>
    <w:tblPr/>
    <w:tblStylePr w:type="band1Horz">
      <w:rPr>
        <w:rFonts w:ascii="新宋体" w:hAnsi="新宋体"/>
        <w:color w:val="404040"/>
        <w:sz w:val="22"/>
      </w:rPr>
    </w:tblStylePr>
    <w:tblStylePr w:type="band1Vert">
      <w:rPr>
        <w:rFonts w:ascii="新宋体" w:hAnsi="新宋体"/>
        <w:color w:val="404040"/>
        <w:sz w:val="22"/>
      </w:rPr>
    </w:tblStylePr>
    <w:tblStylePr w:type="band2Horz">
      <w:rPr>
        <w:rFonts w:ascii="新宋体" w:hAnsi="新宋体"/>
        <w:color w:val="404040"/>
        <w:sz w:val="22"/>
      </w:rPr>
      <w:tcPr>
        <w:shd w:val="clear" w:color="cbdff1" w:fill="cbdff1"/>
      </w:tcPr>
    </w:tblStylePr>
    <w:tblStylePr w:type="band2Vert">
      <w:rPr>
        <w:rFonts w:ascii="新宋体" w:hAnsi="新宋体"/>
        <w:color w:val="404040"/>
        <w:sz w:val="22"/>
      </w:rPr>
      <w:tcPr>
        <w:shd w:val="clear" w:color="cbdff1" w:fill="cbdff1"/>
      </w:tcPr>
    </w:tblStylePr>
    <w:tblStylePr w:type="firstCol">
      <w:rPr>
        <w:rFonts w:ascii="新宋体" w:hAnsi="新宋体"/>
        <w:color w:val="f2f2f2"/>
        <w:sz w:val="22"/>
      </w:rPr>
      <w:tcPr>
        <w:shd w:val="clear" w:color="68a3d8" w:fill="68a3d8"/>
      </w:tcPr>
    </w:tblStylePr>
    <w:tblStylePr w:type="firstRow">
      <w:rPr>
        <w:rFonts w:ascii="新宋体" w:hAnsi="新宋体"/>
        <w:color w:val="f2f2f2"/>
        <w:sz w:val="22"/>
      </w:rPr>
      <w:tcPr>
        <w:shd w:val="clear" w:color="68a3d8" w:fill="68a3d8"/>
      </w:tcPr>
    </w:tblStylePr>
    <w:tblStylePr w:type="lastCol">
      <w:rPr>
        <w:rFonts w:ascii="新宋体" w:hAnsi="新宋体"/>
        <w:color w:val="f2f2f2"/>
        <w:sz w:val="22"/>
      </w:rPr>
      <w:tcPr>
        <w:shd w:val="clear" w:color="68a3d8" w:fill="68a3d8"/>
      </w:tcPr>
    </w:tblStylePr>
    <w:tblStylePr w:type="lastRow">
      <w:rPr>
        <w:rFonts w:ascii="新宋体" w:hAnsi="新宋体"/>
        <w:color w:val="f2f2f2"/>
        <w:sz w:val="22"/>
      </w:rPr>
      <w:tcPr>
        <w:shd w:val="clear" w:color="68a3d8" w:fill="68a3d8"/>
      </w:tcPr>
    </w:tblStylePr>
  </w:style>
  <w:style w:type="table" w:styleId="1033" w:customStyle="1">
    <w:name w:val="Lined - Accent 2"/>
    <w:basedOn w:val="785"/>
    <w:uiPriority w:val="99"/>
    <w:qFormat/>
    <w:rPr>
      <w:color w:val="404040"/>
    </w:rPr>
    <w:tblPr/>
    <w:tblStylePr w:type="band1Horz">
      <w:rPr>
        <w:rFonts w:ascii="新宋体" w:hAnsi="新宋体"/>
        <w:color w:val="404040"/>
        <w:sz w:val="22"/>
      </w:rPr>
    </w:tblStylePr>
    <w:tblStylePr w:type="band1Vert">
      <w:rPr>
        <w:rFonts w:ascii="新宋体" w:hAnsi="新宋体"/>
        <w:color w:val="404040"/>
        <w:sz w:val="22"/>
      </w:rPr>
    </w:tblStylePr>
    <w:tblStylePr w:type="band2Horz">
      <w:rPr>
        <w:rFonts w:ascii="新宋体" w:hAnsi="新宋体"/>
        <w:color w:val="404040"/>
        <w:sz w:val="22"/>
      </w:rPr>
      <w:tcPr>
        <w:shd w:val="clear" w:color="fbe5d6" w:fill="fbe5d6"/>
      </w:tcPr>
    </w:tblStylePr>
    <w:tblStylePr w:type="band2Vert">
      <w:rPr>
        <w:rFonts w:ascii="新宋体" w:hAnsi="新宋体"/>
        <w:color w:val="404040"/>
        <w:sz w:val="22"/>
      </w:rPr>
      <w:tcPr>
        <w:shd w:val="clear" w:color="fbe5d6" w:fill="fbe5d6"/>
      </w:tcPr>
    </w:tblStylePr>
    <w:tblStylePr w:type="firstCol">
      <w:rPr>
        <w:rFonts w:ascii="新宋体" w:hAnsi="新宋体"/>
        <w:color w:val="f2f2f2"/>
        <w:sz w:val="22"/>
      </w:rPr>
      <w:tcPr>
        <w:shd w:val="clear" w:color="f4b285" w:fill="f4b285"/>
      </w:tcPr>
    </w:tblStylePr>
    <w:tblStylePr w:type="firstRow">
      <w:rPr>
        <w:rFonts w:ascii="新宋体" w:hAnsi="新宋体"/>
        <w:color w:val="f2f2f2"/>
        <w:sz w:val="22"/>
      </w:rPr>
      <w:tcPr>
        <w:shd w:val="clear" w:color="f4b285" w:fill="f4b285"/>
      </w:tcPr>
    </w:tblStylePr>
    <w:tblStylePr w:type="lastCol">
      <w:rPr>
        <w:rFonts w:ascii="新宋体" w:hAnsi="新宋体"/>
        <w:color w:val="f2f2f2"/>
        <w:sz w:val="22"/>
      </w:rPr>
      <w:tcPr>
        <w:shd w:val="clear" w:color="f4b285" w:fill="f4b285"/>
      </w:tcPr>
    </w:tblStylePr>
    <w:tblStylePr w:type="lastRow">
      <w:rPr>
        <w:rFonts w:ascii="新宋体" w:hAnsi="新宋体"/>
        <w:color w:val="f2f2f2"/>
        <w:sz w:val="22"/>
      </w:rPr>
      <w:tcPr>
        <w:shd w:val="clear" w:color="f4b285" w:fill="f4b285"/>
      </w:tcPr>
    </w:tblStylePr>
  </w:style>
  <w:style w:type="table" w:styleId="1034" w:customStyle="1">
    <w:name w:val="Lined - Accent 3"/>
    <w:basedOn w:val="785"/>
    <w:uiPriority w:val="99"/>
    <w:qFormat/>
    <w:rPr>
      <w:color w:val="404040"/>
    </w:rPr>
    <w:tblPr/>
    <w:tblStylePr w:type="band1Horz">
      <w:rPr>
        <w:rFonts w:ascii="新宋体" w:hAnsi="新宋体"/>
        <w:color w:val="404040"/>
        <w:sz w:val="22"/>
      </w:rPr>
    </w:tblStylePr>
    <w:tblStylePr w:type="band1Vert">
      <w:rPr>
        <w:rFonts w:ascii="新宋体" w:hAnsi="新宋体"/>
        <w:color w:val="404040"/>
        <w:sz w:val="22"/>
      </w:rPr>
    </w:tblStylePr>
    <w:tblStylePr w:type="band2Horz">
      <w:rPr>
        <w:rFonts w:ascii="新宋体" w:hAnsi="新宋体"/>
        <w:color w:val="404040"/>
        <w:sz w:val="22"/>
      </w:rPr>
      <w:tcPr>
        <w:shd w:val="clear" w:color="ececec" w:fill="ececec"/>
      </w:tcPr>
    </w:tblStylePr>
    <w:tblStylePr w:type="band2Vert">
      <w:rPr>
        <w:rFonts w:ascii="新宋体" w:hAnsi="新宋体"/>
        <w:color w:val="404040"/>
        <w:sz w:val="22"/>
      </w:rPr>
      <w:tcPr>
        <w:shd w:val="clear" w:color="ececec" w:fill="ececec"/>
      </w:tcPr>
    </w:tblStylePr>
    <w:tblStylePr w:type="firstCol">
      <w:rPr>
        <w:rFonts w:ascii="新宋体" w:hAnsi="新宋体"/>
        <w:color w:val="f2f2f2"/>
        <w:sz w:val="22"/>
      </w:rPr>
      <w:tcPr>
        <w:shd w:val="clear" w:color="a5a5a5" w:fill="a5a5a5"/>
      </w:tcPr>
    </w:tblStylePr>
    <w:tblStylePr w:type="firstRow">
      <w:rPr>
        <w:rFonts w:ascii="新宋体" w:hAnsi="新宋体"/>
        <w:color w:val="f2f2f2"/>
        <w:sz w:val="22"/>
      </w:rPr>
      <w:tcPr>
        <w:shd w:val="clear" w:color="a5a5a5" w:fill="a5a5a5"/>
      </w:tcPr>
    </w:tblStylePr>
    <w:tblStylePr w:type="lastCol">
      <w:rPr>
        <w:rFonts w:ascii="新宋体" w:hAnsi="新宋体"/>
        <w:color w:val="f2f2f2"/>
        <w:sz w:val="22"/>
      </w:rPr>
      <w:tcPr>
        <w:shd w:val="clear" w:color="a5a5a5" w:fill="a5a5a5"/>
      </w:tcPr>
    </w:tblStylePr>
    <w:tblStylePr w:type="lastRow">
      <w:rPr>
        <w:rFonts w:ascii="新宋体" w:hAnsi="新宋体"/>
        <w:color w:val="f2f2f2"/>
        <w:sz w:val="22"/>
      </w:rPr>
      <w:tcPr>
        <w:shd w:val="clear" w:color="a5a5a5" w:fill="a5a5a5"/>
      </w:tcPr>
    </w:tblStylePr>
  </w:style>
  <w:style w:type="table" w:styleId="1035" w:customStyle="1">
    <w:name w:val="Lined - Accent 4"/>
    <w:basedOn w:val="785"/>
    <w:uiPriority w:val="99"/>
    <w:qFormat/>
    <w:rPr>
      <w:color w:val="404040"/>
    </w:rPr>
    <w:tblPr/>
    <w:tblStylePr w:type="band1Horz">
      <w:rPr>
        <w:rFonts w:ascii="新宋体" w:hAnsi="新宋体"/>
        <w:color w:val="404040"/>
        <w:sz w:val="22"/>
      </w:rPr>
    </w:tblStylePr>
    <w:tblStylePr w:type="band1Vert">
      <w:rPr>
        <w:rFonts w:ascii="新宋体" w:hAnsi="新宋体"/>
        <w:color w:val="404040"/>
        <w:sz w:val="22"/>
      </w:rPr>
    </w:tblStylePr>
    <w:tblStylePr w:type="band2Horz">
      <w:rPr>
        <w:rFonts w:ascii="新宋体" w:hAnsi="新宋体"/>
        <w:color w:val="404040"/>
        <w:sz w:val="22"/>
      </w:rPr>
      <w:tcPr>
        <w:shd w:val="clear" w:color="fef2ca" w:fill="fef2ca"/>
      </w:tcPr>
    </w:tblStylePr>
    <w:tblStylePr w:type="band2Vert">
      <w:rPr>
        <w:rFonts w:ascii="新宋体" w:hAnsi="新宋体"/>
        <w:color w:val="404040"/>
        <w:sz w:val="22"/>
      </w:rPr>
      <w:tcPr>
        <w:shd w:val="clear" w:color="fef2ca" w:fill="fef2ca"/>
      </w:tcPr>
    </w:tblStylePr>
    <w:tblStylePr w:type="firstCol">
      <w:rPr>
        <w:rFonts w:ascii="新宋体" w:hAnsi="新宋体"/>
        <w:color w:val="f2f2f2"/>
        <w:sz w:val="22"/>
      </w:rPr>
      <w:tcPr>
        <w:shd w:val="clear" w:color="ffd864" w:fill="ffd864"/>
      </w:tcPr>
    </w:tblStylePr>
    <w:tblStylePr w:type="firstRow">
      <w:rPr>
        <w:rFonts w:ascii="新宋体" w:hAnsi="新宋体"/>
        <w:color w:val="f2f2f2"/>
        <w:sz w:val="22"/>
      </w:rPr>
      <w:tcPr>
        <w:shd w:val="clear" w:color="ffd864" w:fill="ffd864"/>
      </w:tcPr>
    </w:tblStylePr>
    <w:tblStylePr w:type="lastCol">
      <w:rPr>
        <w:rFonts w:ascii="新宋体" w:hAnsi="新宋体"/>
        <w:color w:val="f2f2f2"/>
        <w:sz w:val="22"/>
      </w:rPr>
      <w:tcPr>
        <w:shd w:val="clear" w:color="ffd864" w:fill="ffd864"/>
      </w:tcPr>
    </w:tblStylePr>
    <w:tblStylePr w:type="lastRow">
      <w:rPr>
        <w:rFonts w:ascii="新宋体" w:hAnsi="新宋体"/>
        <w:color w:val="f2f2f2"/>
        <w:sz w:val="22"/>
      </w:rPr>
      <w:tcPr>
        <w:shd w:val="clear" w:color="ffd864" w:fill="ffd864"/>
      </w:tcPr>
    </w:tblStylePr>
  </w:style>
  <w:style w:type="table" w:styleId="1036" w:customStyle="1">
    <w:name w:val="Lined - Accent 5"/>
    <w:basedOn w:val="785"/>
    <w:uiPriority w:val="99"/>
    <w:qFormat/>
    <w:rPr>
      <w:color w:val="404040"/>
    </w:rPr>
    <w:tblPr/>
    <w:tblStylePr w:type="band1Horz">
      <w:rPr>
        <w:rFonts w:ascii="新宋体" w:hAnsi="新宋体"/>
        <w:color w:val="404040"/>
        <w:sz w:val="22"/>
      </w:rPr>
    </w:tblStylePr>
    <w:tblStylePr w:type="band1Vert">
      <w:rPr>
        <w:rFonts w:ascii="新宋体" w:hAnsi="新宋体"/>
        <w:color w:val="404040"/>
        <w:sz w:val="22"/>
      </w:rPr>
    </w:tblStylePr>
    <w:tblStylePr w:type="band2Horz">
      <w:rPr>
        <w:rFonts w:ascii="新宋体" w:hAnsi="新宋体"/>
        <w:color w:val="404040"/>
        <w:sz w:val="22"/>
      </w:rPr>
      <w:tcPr>
        <w:shd w:val="clear" w:color="d8e2f2" w:fill="d8e2f2"/>
      </w:tcPr>
    </w:tblStylePr>
    <w:tblStylePr w:type="band2Vert">
      <w:rPr>
        <w:rFonts w:ascii="新宋体" w:hAnsi="新宋体"/>
        <w:color w:val="404040"/>
        <w:sz w:val="22"/>
      </w:rPr>
      <w:tcPr>
        <w:shd w:val="clear" w:color="d8e2f2" w:fill="d8e2f2"/>
      </w:tcPr>
    </w:tblStylePr>
    <w:tblStylePr w:type="firstCol">
      <w:rPr>
        <w:rFonts w:ascii="新宋体" w:hAnsi="新宋体"/>
        <w:color w:val="f2f2f2"/>
        <w:sz w:val="22"/>
      </w:rPr>
      <w:tcPr>
        <w:shd w:val="clear" w:color="4472c4" w:fill="4472c4"/>
      </w:tcPr>
    </w:tblStylePr>
    <w:tblStylePr w:type="firstRow">
      <w:rPr>
        <w:rFonts w:ascii="新宋体" w:hAnsi="新宋体"/>
        <w:color w:val="f2f2f2"/>
        <w:sz w:val="22"/>
      </w:rPr>
      <w:tcPr>
        <w:shd w:val="clear" w:color="4472c4" w:fill="4472c4"/>
      </w:tcPr>
    </w:tblStylePr>
    <w:tblStylePr w:type="lastCol">
      <w:rPr>
        <w:rFonts w:ascii="新宋体" w:hAnsi="新宋体"/>
        <w:color w:val="f2f2f2"/>
        <w:sz w:val="22"/>
      </w:rPr>
      <w:tcPr>
        <w:shd w:val="clear" w:color="4472c4" w:fill="4472c4"/>
      </w:tcPr>
    </w:tblStylePr>
    <w:tblStylePr w:type="lastRow">
      <w:rPr>
        <w:rFonts w:ascii="新宋体" w:hAnsi="新宋体"/>
        <w:color w:val="f2f2f2"/>
        <w:sz w:val="22"/>
      </w:rPr>
      <w:tcPr>
        <w:shd w:val="clear" w:color="4472c4" w:fill="4472c4"/>
      </w:tcPr>
    </w:tblStylePr>
  </w:style>
  <w:style w:type="table" w:styleId="1037" w:customStyle="1">
    <w:name w:val="Lined - Accent 6"/>
    <w:basedOn w:val="785"/>
    <w:uiPriority w:val="99"/>
    <w:qFormat/>
    <w:rPr>
      <w:color w:val="404040"/>
    </w:rPr>
    <w:tblPr/>
    <w:tblStylePr w:type="band1Horz">
      <w:rPr>
        <w:rFonts w:ascii="新宋体" w:hAnsi="新宋体"/>
        <w:color w:val="404040"/>
        <w:sz w:val="22"/>
      </w:rPr>
    </w:tblStylePr>
    <w:tblStylePr w:type="band1Vert">
      <w:rPr>
        <w:rFonts w:ascii="新宋体" w:hAnsi="新宋体"/>
        <w:color w:val="404040"/>
        <w:sz w:val="22"/>
      </w:rPr>
    </w:tblStylePr>
    <w:tblStylePr w:type="band2Horz">
      <w:rPr>
        <w:rFonts w:ascii="新宋体" w:hAnsi="新宋体"/>
        <w:color w:val="404040"/>
        <w:sz w:val="22"/>
      </w:rPr>
      <w:tcPr>
        <w:shd w:val="clear" w:color="e1efd8" w:fill="e1efd8"/>
      </w:tcPr>
    </w:tblStylePr>
    <w:tblStylePr w:type="band2Vert">
      <w:rPr>
        <w:rFonts w:ascii="新宋体" w:hAnsi="新宋体"/>
        <w:color w:val="404040"/>
        <w:sz w:val="22"/>
      </w:rPr>
      <w:tcPr>
        <w:shd w:val="clear" w:color="e1efd8" w:fill="e1efd8"/>
      </w:tcPr>
    </w:tblStylePr>
    <w:tblStylePr w:type="firstCol">
      <w:rPr>
        <w:rFonts w:ascii="新宋体" w:hAnsi="新宋体"/>
        <w:color w:val="f2f2f2"/>
        <w:sz w:val="22"/>
      </w:rPr>
      <w:tcPr>
        <w:shd w:val="clear" w:color="70ad47" w:fill="70ad47"/>
      </w:tcPr>
    </w:tblStylePr>
    <w:tblStylePr w:type="firstRow">
      <w:rPr>
        <w:rFonts w:ascii="新宋体" w:hAnsi="新宋体"/>
        <w:color w:val="f2f2f2"/>
        <w:sz w:val="22"/>
      </w:rPr>
      <w:tcPr>
        <w:shd w:val="clear" w:color="70ad47" w:fill="70ad47"/>
      </w:tcPr>
    </w:tblStylePr>
    <w:tblStylePr w:type="lastCol">
      <w:rPr>
        <w:rFonts w:ascii="新宋体" w:hAnsi="新宋体"/>
        <w:color w:val="f2f2f2"/>
        <w:sz w:val="22"/>
      </w:rPr>
      <w:tcPr>
        <w:shd w:val="clear" w:color="70ad47" w:fill="70ad47"/>
      </w:tcPr>
    </w:tblStylePr>
    <w:tblStylePr w:type="lastRow">
      <w:rPr>
        <w:rFonts w:ascii="新宋体" w:hAnsi="新宋体"/>
        <w:color w:val="f2f2f2"/>
        <w:sz w:val="22"/>
      </w:rPr>
      <w:tcPr>
        <w:shd w:val="clear" w:color="70ad47" w:fill="70ad47"/>
      </w:tcPr>
    </w:tblStylePr>
  </w:style>
  <w:style w:type="table" w:styleId="1038" w:customStyle="1">
    <w:name w:val="Bordered &amp; Lined - Accent"/>
    <w:basedOn w:val="785"/>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新宋体" w:hAnsi="新宋体"/>
        <w:color w:val="404040"/>
        <w:sz w:val="22"/>
      </w:rPr>
    </w:tblStylePr>
    <w:tblStylePr w:type="band1Vert">
      <w:rPr>
        <w:rFonts w:ascii="新宋体" w:hAnsi="新宋体"/>
        <w:color w:val="404040"/>
        <w:sz w:val="22"/>
      </w:rPr>
    </w:tblStylePr>
    <w:tblStylePr w:type="band2Horz">
      <w:rPr>
        <w:rFonts w:ascii="新宋体" w:hAnsi="新宋体"/>
        <w:color w:val="404040"/>
        <w:sz w:val="22"/>
      </w:rPr>
      <w:tcPr>
        <w:shd w:val="clear" w:color="f1f1f1" w:fill="f1f1f1"/>
      </w:tcPr>
    </w:tblStylePr>
    <w:tblStylePr w:type="band2Vert">
      <w:rPr>
        <w:rFonts w:ascii="新宋体" w:hAnsi="新宋体"/>
        <w:color w:val="404040"/>
        <w:sz w:val="22"/>
      </w:rPr>
      <w:tcPr>
        <w:shd w:val="clear" w:color="f1f1f1" w:fill="f1f1f1"/>
      </w:tcPr>
    </w:tblStylePr>
    <w:tblStylePr w:type="firstCol">
      <w:rPr>
        <w:rFonts w:ascii="新宋体" w:hAnsi="新宋体"/>
        <w:color w:val="f2f2f2"/>
        <w:sz w:val="22"/>
      </w:rPr>
      <w:tcPr>
        <w:shd w:val="clear" w:color="7e7e7e" w:fill="7e7e7e"/>
      </w:tcPr>
    </w:tblStylePr>
    <w:tblStylePr w:type="firstRow">
      <w:rPr>
        <w:rFonts w:ascii="新宋体" w:hAnsi="新宋体"/>
        <w:color w:val="f2f2f2"/>
        <w:sz w:val="22"/>
      </w:rPr>
      <w:tcPr>
        <w:shd w:val="clear" w:color="7e7e7e" w:fill="7e7e7e"/>
      </w:tcPr>
    </w:tblStylePr>
    <w:tblStylePr w:type="lastCol">
      <w:rPr>
        <w:rFonts w:ascii="新宋体" w:hAnsi="新宋体"/>
        <w:color w:val="f2f2f2"/>
        <w:sz w:val="22"/>
      </w:rPr>
      <w:tcPr>
        <w:shd w:val="clear" w:color="7e7e7e" w:fill="7e7e7e"/>
      </w:tcPr>
    </w:tblStylePr>
    <w:tblStylePr w:type="lastRow">
      <w:rPr>
        <w:rFonts w:ascii="新宋体" w:hAnsi="新宋体"/>
        <w:color w:val="f2f2f2"/>
        <w:sz w:val="22"/>
      </w:rPr>
      <w:tcPr>
        <w:shd w:val="clear" w:color="7e7e7e" w:fill="7e7e7e"/>
      </w:tcPr>
    </w:tblStylePr>
  </w:style>
  <w:style w:type="table" w:styleId="1039" w:customStyle="1">
    <w:name w:val="Bordered &amp; Lined - Accent 1"/>
    <w:basedOn w:val="785"/>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新宋体" w:hAnsi="新宋体"/>
        <w:color w:val="404040"/>
        <w:sz w:val="22"/>
      </w:rPr>
    </w:tblStylePr>
    <w:tblStylePr w:type="band1Vert">
      <w:rPr>
        <w:rFonts w:ascii="新宋体" w:hAnsi="新宋体"/>
        <w:color w:val="404040"/>
        <w:sz w:val="22"/>
      </w:rPr>
    </w:tblStylePr>
    <w:tblStylePr w:type="band2Horz">
      <w:rPr>
        <w:rFonts w:ascii="新宋体" w:hAnsi="新宋体"/>
        <w:color w:val="404040"/>
        <w:sz w:val="22"/>
      </w:rPr>
      <w:tcPr>
        <w:shd w:val="clear" w:color="cbdff1" w:fill="cbdff1"/>
      </w:tcPr>
    </w:tblStylePr>
    <w:tblStylePr w:type="band2Vert">
      <w:rPr>
        <w:rFonts w:ascii="新宋体" w:hAnsi="新宋体"/>
        <w:color w:val="404040"/>
        <w:sz w:val="22"/>
      </w:rPr>
      <w:tcPr>
        <w:shd w:val="clear" w:color="cbdff1" w:fill="cbdff1"/>
      </w:tcPr>
    </w:tblStylePr>
    <w:tblStylePr w:type="firstCol">
      <w:rPr>
        <w:rFonts w:ascii="新宋体" w:hAnsi="新宋体"/>
        <w:color w:val="f2f2f2"/>
        <w:sz w:val="22"/>
      </w:rPr>
      <w:tcPr>
        <w:shd w:val="clear" w:color="68a3d8" w:fill="68a3d8"/>
      </w:tcPr>
    </w:tblStylePr>
    <w:tblStylePr w:type="firstRow">
      <w:rPr>
        <w:rFonts w:ascii="新宋体" w:hAnsi="新宋体"/>
        <w:color w:val="f2f2f2"/>
        <w:sz w:val="22"/>
      </w:rPr>
      <w:tcPr>
        <w:shd w:val="clear" w:color="68a3d8" w:fill="68a3d8"/>
      </w:tcPr>
    </w:tblStylePr>
    <w:tblStylePr w:type="lastCol">
      <w:rPr>
        <w:rFonts w:ascii="新宋体" w:hAnsi="新宋体"/>
        <w:color w:val="f2f2f2"/>
        <w:sz w:val="22"/>
      </w:rPr>
      <w:tcPr>
        <w:shd w:val="clear" w:color="68a3d8" w:fill="68a3d8"/>
      </w:tcPr>
    </w:tblStylePr>
    <w:tblStylePr w:type="lastRow">
      <w:rPr>
        <w:rFonts w:ascii="新宋体" w:hAnsi="新宋体"/>
        <w:color w:val="f2f2f2"/>
        <w:sz w:val="22"/>
      </w:rPr>
      <w:tcPr>
        <w:shd w:val="clear" w:color="68a3d8" w:fill="68a3d8"/>
      </w:tcPr>
    </w:tblStylePr>
  </w:style>
  <w:style w:type="table" w:styleId="1040" w:customStyle="1">
    <w:name w:val="Bordered &amp; Lined - Accent 2"/>
    <w:basedOn w:val="785"/>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新宋体" w:hAnsi="新宋体"/>
        <w:color w:val="404040"/>
        <w:sz w:val="22"/>
      </w:rPr>
    </w:tblStylePr>
    <w:tblStylePr w:type="band1Vert">
      <w:rPr>
        <w:rFonts w:ascii="新宋体" w:hAnsi="新宋体"/>
        <w:color w:val="404040"/>
        <w:sz w:val="22"/>
      </w:rPr>
    </w:tblStylePr>
    <w:tblStylePr w:type="band2Horz">
      <w:rPr>
        <w:rFonts w:ascii="新宋体" w:hAnsi="新宋体"/>
        <w:color w:val="404040"/>
        <w:sz w:val="22"/>
      </w:rPr>
      <w:tcPr>
        <w:shd w:val="clear" w:color="fbe5d6" w:fill="fbe5d6"/>
      </w:tcPr>
    </w:tblStylePr>
    <w:tblStylePr w:type="band2Vert">
      <w:rPr>
        <w:rFonts w:ascii="新宋体" w:hAnsi="新宋体"/>
        <w:color w:val="404040"/>
        <w:sz w:val="22"/>
      </w:rPr>
      <w:tcPr>
        <w:shd w:val="clear" w:color="fbe5d6" w:fill="fbe5d6"/>
      </w:tcPr>
    </w:tblStylePr>
    <w:tblStylePr w:type="firstCol">
      <w:rPr>
        <w:rFonts w:ascii="新宋体" w:hAnsi="新宋体"/>
        <w:color w:val="f2f2f2"/>
        <w:sz w:val="22"/>
      </w:rPr>
      <w:tcPr>
        <w:shd w:val="clear" w:color="f4b285" w:fill="f4b285"/>
      </w:tcPr>
    </w:tblStylePr>
    <w:tblStylePr w:type="firstRow">
      <w:rPr>
        <w:rFonts w:ascii="新宋体" w:hAnsi="新宋体"/>
        <w:color w:val="f2f2f2"/>
        <w:sz w:val="22"/>
      </w:rPr>
      <w:tcPr>
        <w:shd w:val="clear" w:color="f4b285" w:fill="f4b285"/>
      </w:tcPr>
    </w:tblStylePr>
    <w:tblStylePr w:type="lastCol">
      <w:rPr>
        <w:rFonts w:ascii="新宋体" w:hAnsi="新宋体"/>
        <w:color w:val="f2f2f2"/>
        <w:sz w:val="22"/>
      </w:rPr>
      <w:tcPr>
        <w:shd w:val="clear" w:color="f4b285" w:fill="f4b285"/>
      </w:tcPr>
    </w:tblStylePr>
    <w:tblStylePr w:type="lastRow">
      <w:rPr>
        <w:rFonts w:ascii="新宋体" w:hAnsi="新宋体"/>
        <w:color w:val="f2f2f2"/>
        <w:sz w:val="22"/>
      </w:rPr>
      <w:tcPr>
        <w:shd w:val="clear" w:color="f4b285" w:fill="f4b285"/>
      </w:tcPr>
    </w:tblStylePr>
  </w:style>
  <w:style w:type="table" w:styleId="1041" w:customStyle="1">
    <w:name w:val="Bordered &amp; Lined - Accent 3"/>
    <w:basedOn w:val="785"/>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新宋体" w:hAnsi="新宋体"/>
        <w:color w:val="404040"/>
        <w:sz w:val="22"/>
      </w:rPr>
    </w:tblStylePr>
    <w:tblStylePr w:type="band1Vert">
      <w:rPr>
        <w:rFonts w:ascii="新宋体" w:hAnsi="新宋体"/>
        <w:color w:val="404040"/>
        <w:sz w:val="22"/>
      </w:rPr>
    </w:tblStylePr>
    <w:tblStylePr w:type="band2Horz">
      <w:rPr>
        <w:rFonts w:ascii="新宋体" w:hAnsi="新宋体"/>
        <w:color w:val="404040"/>
        <w:sz w:val="22"/>
      </w:rPr>
      <w:tcPr>
        <w:shd w:val="clear" w:color="ececec" w:fill="ececec"/>
      </w:tcPr>
    </w:tblStylePr>
    <w:tblStylePr w:type="band2Vert">
      <w:rPr>
        <w:rFonts w:ascii="新宋体" w:hAnsi="新宋体"/>
        <w:color w:val="404040"/>
        <w:sz w:val="22"/>
      </w:rPr>
      <w:tcPr>
        <w:shd w:val="clear" w:color="ececec" w:fill="ececec"/>
      </w:tcPr>
    </w:tblStylePr>
    <w:tblStylePr w:type="firstCol">
      <w:rPr>
        <w:rFonts w:ascii="新宋体" w:hAnsi="新宋体"/>
        <w:color w:val="f2f2f2"/>
        <w:sz w:val="22"/>
      </w:rPr>
      <w:tcPr>
        <w:shd w:val="clear" w:color="a5a5a5" w:fill="a5a5a5"/>
      </w:tcPr>
    </w:tblStylePr>
    <w:tblStylePr w:type="firstRow">
      <w:rPr>
        <w:rFonts w:ascii="新宋体" w:hAnsi="新宋体"/>
        <w:color w:val="f2f2f2"/>
        <w:sz w:val="22"/>
      </w:rPr>
      <w:tcPr>
        <w:shd w:val="clear" w:color="a5a5a5" w:fill="a5a5a5"/>
      </w:tcPr>
    </w:tblStylePr>
    <w:tblStylePr w:type="lastCol">
      <w:rPr>
        <w:rFonts w:ascii="新宋体" w:hAnsi="新宋体"/>
        <w:color w:val="f2f2f2"/>
        <w:sz w:val="22"/>
      </w:rPr>
      <w:tcPr>
        <w:shd w:val="clear" w:color="a5a5a5" w:fill="a5a5a5"/>
      </w:tcPr>
    </w:tblStylePr>
    <w:tblStylePr w:type="lastRow">
      <w:rPr>
        <w:rFonts w:ascii="新宋体" w:hAnsi="新宋体"/>
        <w:color w:val="f2f2f2"/>
        <w:sz w:val="22"/>
      </w:rPr>
      <w:tcPr>
        <w:shd w:val="clear" w:color="a5a5a5" w:fill="a5a5a5"/>
      </w:tcPr>
    </w:tblStylePr>
  </w:style>
  <w:style w:type="table" w:styleId="1042" w:customStyle="1">
    <w:name w:val="Bordered &amp; Lined - Accent 4"/>
    <w:basedOn w:val="785"/>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新宋体" w:hAnsi="新宋体"/>
        <w:color w:val="404040"/>
        <w:sz w:val="22"/>
      </w:rPr>
    </w:tblStylePr>
    <w:tblStylePr w:type="band1Vert">
      <w:rPr>
        <w:rFonts w:ascii="新宋体" w:hAnsi="新宋体"/>
        <w:color w:val="404040"/>
        <w:sz w:val="22"/>
      </w:rPr>
    </w:tblStylePr>
    <w:tblStylePr w:type="band2Horz">
      <w:rPr>
        <w:rFonts w:ascii="新宋体" w:hAnsi="新宋体"/>
        <w:color w:val="404040"/>
        <w:sz w:val="22"/>
      </w:rPr>
      <w:tcPr>
        <w:shd w:val="clear" w:color="fef2ca" w:fill="fef2ca"/>
      </w:tcPr>
    </w:tblStylePr>
    <w:tblStylePr w:type="band2Vert">
      <w:rPr>
        <w:rFonts w:ascii="新宋体" w:hAnsi="新宋体"/>
        <w:color w:val="404040"/>
        <w:sz w:val="22"/>
      </w:rPr>
      <w:tcPr>
        <w:shd w:val="clear" w:color="fef2ca" w:fill="fef2ca"/>
      </w:tcPr>
    </w:tblStylePr>
    <w:tblStylePr w:type="firstCol">
      <w:rPr>
        <w:rFonts w:ascii="新宋体" w:hAnsi="新宋体"/>
        <w:color w:val="f2f2f2"/>
        <w:sz w:val="22"/>
      </w:rPr>
      <w:tcPr>
        <w:shd w:val="clear" w:color="ffd864" w:fill="ffd864"/>
      </w:tcPr>
    </w:tblStylePr>
    <w:tblStylePr w:type="firstRow">
      <w:rPr>
        <w:rFonts w:ascii="新宋体" w:hAnsi="新宋体"/>
        <w:color w:val="f2f2f2"/>
        <w:sz w:val="22"/>
      </w:rPr>
      <w:tcPr>
        <w:shd w:val="clear" w:color="ffd864" w:fill="ffd864"/>
      </w:tcPr>
    </w:tblStylePr>
    <w:tblStylePr w:type="lastCol">
      <w:rPr>
        <w:rFonts w:ascii="新宋体" w:hAnsi="新宋体"/>
        <w:color w:val="f2f2f2"/>
        <w:sz w:val="22"/>
      </w:rPr>
      <w:tcPr>
        <w:shd w:val="clear" w:color="ffd864" w:fill="ffd864"/>
      </w:tcPr>
    </w:tblStylePr>
    <w:tblStylePr w:type="lastRow">
      <w:rPr>
        <w:rFonts w:ascii="新宋体" w:hAnsi="新宋体"/>
        <w:color w:val="f2f2f2"/>
        <w:sz w:val="22"/>
      </w:rPr>
      <w:tcPr>
        <w:shd w:val="clear" w:color="ffd864" w:fill="ffd864"/>
      </w:tcPr>
    </w:tblStylePr>
  </w:style>
  <w:style w:type="table" w:styleId="1043" w:customStyle="1">
    <w:name w:val="Bordered &amp; Lined - Accent 5"/>
    <w:basedOn w:val="785"/>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新宋体" w:hAnsi="新宋体"/>
        <w:color w:val="404040"/>
        <w:sz w:val="22"/>
      </w:rPr>
    </w:tblStylePr>
    <w:tblStylePr w:type="band1Vert">
      <w:rPr>
        <w:rFonts w:ascii="新宋体" w:hAnsi="新宋体"/>
        <w:color w:val="404040"/>
        <w:sz w:val="22"/>
      </w:rPr>
    </w:tblStylePr>
    <w:tblStylePr w:type="band2Horz">
      <w:rPr>
        <w:rFonts w:ascii="新宋体" w:hAnsi="新宋体"/>
        <w:color w:val="404040"/>
        <w:sz w:val="22"/>
      </w:rPr>
      <w:tcPr>
        <w:shd w:val="clear" w:color="d8e2f2" w:fill="d8e2f2"/>
      </w:tcPr>
    </w:tblStylePr>
    <w:tblStylePr w:type="band2Vert">
      <w:rPr>
        <w:rFonts w:ascii="新宋体" w:hAnsi="新宋体"/>
        <w:color w:val="404040"/>
        <w:sz w:val="22"/>
      </w:rPr>
      <w:tcPr>
        <w:shd w:val="clear" w:color="d8e2f2" w:fill="d8e2f2"/>
      </w:tcPr>
    </w:tblStylePr>
    <w:tblStylePr w:type="firstCol">
      <w:rPr>
        <w:rFonts w:ascii="新宋体" w:hAnsi="新宋体"/>
        <w:color w:val="f2f2f2"/>
        <w:sz w:val="22"/>
      </w:rPr>
      <w:tcPr>
        <w:shd w:val="clear" w:color="4472c4" w:fill="4472c4"/>
      </w:tcPr>
    </w:tblStylePr>
    <w:tblStylePr w:type="firstRow">
      <w:rPr>
        <w:rFonts w:ascii="新宋体" w:hAnsi="新宋体"/>
        <w:color w:val="f2f2f2"/>
        <w:sz w:val="22"/>
      </w:rPr>
      <w:tcPr>
        <w:shd w:val="clear" w:color="4472c4" w:fill="4472c4"/>
      </w:tcPr>
    </w:tblStylePr>
    <w:tblStylePr w:type="lastCol">
      <w:rPr>
        <w:rFonts w:ascii="新宋体" w:hAnsi="新宋体"/>
        <w:color w:val="f2f2f2"/>
        <w:sz w:val="22"/>
      </w:rPr>
      <w:tcPr>
        <w:shd w:val="clear" w:color="4472c4" w:fill="4472c4"/>
      </w:tcPr>
    </w:tblStylePr>
    <w:tblStylePr w:type="lastRow">
      <w:rPr>
        <w:rFonts w:ascii="新宋体" w:hAnsi="新宋体"/>
        <w:color w:val="f2f2f2"/>
        <w:sz w:val="22"/>
      </w:rPr>
      <w:tcPr>
        <w:shd w:val="clear" w:color="4472c4" w:fill="4472c4"/>
      </w:tcPr>
    </w:tblStylePr>
  </w:style>
  <w:style w:type="table" w:styleId="1044" w:customStyle="1">
    <w:name w:val="Bordered &amp; Lined - Accent 6"/>
    <w:basedOn w:val="785"/>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新宋体" w:hAnsi="新宋体"/>
        <w:color w:val="404040"/>
        <w:sz w:val="22"/>
      </w:rPr>
    </w:tblStylePr>
    <w:tblStylePr w:type="band1Vert">
      <w:rPr>
        <w:rFonts w:ascii="新宋体" w:hAnsi="新宋体"/>
        <w:color w:val="404040"/>
        <w:sz w:val="22"/>
      </w:rPr>
    </w:tblStylePr>
    <w:tblStylePr w:type="band2Horz">
      <w:rPr>
        <w:rFonts w:ascii="新宋体" w:hAnsi="新宋体"/>
        <w:color w:val="404040"/>
        <w:sz w:val="22"/>
      </w:rPr>
      <w:tcPr>
        <w:shd w:val="clear" w:color="e1efd8" w:fill="e1efd8"/>
      </w:tcPr>
    </w:tblStylePr>
    <w:tblStylePr w:type="band2Vert">
      <w:rPr>
        <w:rFonts w:ascii="新宋体" w:hAnsi="新宋体"/>
        <w:color w:val="404040"/>
        <w:sz w:val="22"/>
      </w:rPr>
      <w:tcPr>
        <w:shd w:val="clear" w:color="e1efd8" w:fill="e1efd8"/>
      </w:tcPr>
    </w:tblStylePr>
    <w:tblStylePr w:type="firstCol">
      <w:rPr>
        <w:rFonts w:ascii="新宋体" w:hAnsi="新宋体"/>
        <w:color w:val="f2f2f2"/>
        <w:sz w:val="22"/>
      </w:rPr>
      <w:tcPr>
        <w:shd w:val="clear" w:color="70ad47" w:fill="70ad47"/>
      </w:tcPr>
    </w:tblStylePr>
    <w:tblStylePr w:type="firstRow">
      <w:rPr>
        <w:rFonts w:ascii="新宋体" w:hAnsi="新宋体"/>
        <w:color w:val="f2f2f2"/>
        <w:sz w:val="22"/>
      </w:rPr>
      <w:tcPr>
        <w:shd w:val="clear" w:color="70ad47" w:fill="70ad47"/>
      </w:tcPr>
    </w:tblStylePr>
    <w:tblStylePr w:type="lastCol">
      <w:rPr>
        <w:rFonts w:ascii="新宋体" w:hAnsi="新宋体"/>
        <w:color w:val="f2f2f2"/>
        <w:sz w:val="22"/>
      </w:rPr>
      <w:tcPr>
        <w:shd w:val="clear" w:color="70ad47" w:fill="70ad47"/>
      </w:tcPr>
    </w:tblStylePr>
    <w:tblStylePr w:type="lastRow">
      <w:rPr>
        <w:rFonts w:ascii="新宋体" w:hAnsi="新宋体"/>
        <w:color w:val="f2f2f2"/>
        <w:sz w:val="22"/>
      </w:rPr>
      <w:tcPr>
        <w:shd w:val="clear" w:color="70ad47" w:fill="70ad47"/>
      </w:tcPr>
    </w:tblStylePr>
  </w:style>
  <w:style w:type="table" w:styleId="1045" w:customStyle="1">
    <w:name w:val="Bordered"/>
    <w:basedOn w:val="785"/>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新宋体" w:hAnsi="新宋体"/>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新宋体" w:hAnsi="新宋体"/>
        <w:color w:val="404040"/>
        <w:sz w:val="22"/>
      </w:rPr>
    </w:tblStylePr>
    <w:tblStylePr w:type="firstRow">
      <w:rPr>
        <w:rFonts w:ascii="新宋体" w:hAnsi="新宋体"/>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新宋体" w:hAnsi="新宋体"/>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6" w:customStyle="1">
    <w:name w:val="Bordered - Accent 1"/>
    <w:basedOn w:val="78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新宋体" w:hAnsi="新宋体"/>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新宋体" w:hAnsi="新宋体"/>
        <w:color w:val="404040"/>
        <w:sz w:val="22"/>
      </w:rPr>
    </w:tblStylePr>
    <w:tblStylePr w:type="firstRow">
      <w:rPr>
        <w:rFonts w:ascii="新宋体" w:hAnsi="新宋体"/>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新宋体" w:hAnsi="新宋体"/>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7" w:customStyle="1">
    <w:name w:val="Bordered - Accent 2"/>
    <w:basedOn w:val="78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新宋体" w:hAnsi="新宋体"/>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新宋体" w:hAnsi="新宋体"/>
        <w:color w:val="404040"/>
        <w:sz w:val="22"/>
      </w:rPr>
    </w:tblStylePr>
    <w:tblStylePr w:type="firstRow">
      <w:rPr>
        <w:rFonts w:ascii="新宋体" w:hAnsi="新宋体"/>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新宋体" w:hAnsi="新宋体"/>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8" w:customStyle="1">
    <w:name w:val="Bordered - Accent 3"/>
    <w:basedOn w:val="78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新宋体" w:hAnsi="新宋体"/>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新宋体" w:hAnsi="新宋体"/>
        <w:color w:val="404040"/>
        <w:sz w:val="22"/>
      </w:rPr>
    </w:tblStylePr>
    <w:tblStylePr w:type="firstRow">
      <w:rPr>
        <w:rFonts w:ascii="新宋体" w:hAnsi="新宋体"/>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新宋体" w:hAnsi="新宋体"/>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9" w:customStyle="1">
    <w:name w:val="Bordered - Accent 4"/>
    <w:basedOn w:val="785"/>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新宋体" w:hAnsi="新宋体"/>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新宋体" w:hAnsi="新宋体"/>
        <w:color w:val="404040"/>
        <w:sz w:val="22"/>
      </w:rPr>
    </w:tblStylePr>
    <w:tblStylePr w:type="firstRow">
      <w:rPr>
        <w:rFonts w:ascii="新宋体" w:hAnsi="新宋体"/>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新宋体" w:hAnsi="新宋体"/>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0" w:customStyle="1">
    <w:name w:val="Bordered - Accent 5"/>
    <w:basedOn w:val="785"/>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新宋体" w:hAnsi="新宋体"/>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新宋体" w:hAnsi="新宋体"/>
        <w:color w:val="404040"/>
        <w:sz w:val="22"/>
      </w:rPr>
    </w:tblStylePr>
    <w:tblStylePr w:type="firstRow">
      <w:rPr>
        <w:rFonts w:ascii="新宋体" w:hAnsi="新宋体"/>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新宋体" w:hAnsi="新宋体"/>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1" w:customStyle="1">
    <w:name w:val="Bordered - Accent 6"/>
    <w:basedOn w:val="78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新宋体" w:hAnsi="新宋体"/>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新宋体" w:hAnsi="新宋体"/>
        <w:color w:val="404040"/>
        <w:sz w:val="22"/>
      </w:rPr>
    </w:tblStylePr>
    <w:tblStylePr w:type="firstRow">
      <w:rPr>
        <w:rFonts w:ascii="新宋体" w:hAnsi="新宋体"/>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新宋体" w:hAnsi="新宋体"/>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新宋体" w:hAnsi="新宋体"/>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52" w:customStyle="1">
    <w:name w:val="TOC 标题11"/>
    <w:uiPriority w:val="39"/>
    <w:unhideWhenUsed/>
    <w:qFormat/>
    <w:rPr>
      <w:rFonts w:ascii="Times New Roman" w:hAnsi="Times New Roman" w:eastAsia="宋体" w:cs="Times New Roman"/>
      <w:lang w:val="en-US" w:eastAsia="zh-CN" w:bidi="ar-SA"/>
    </w:rPr>
  </w:style>
  <w:style w:type="paragraph" w:styleId="1053" w:customStyle="1">
    <w:name w:val="Normal_0"/>
    <w:uiPriority w:val="0"/>
    <w:qFormat/>
    <w:rPr>
      <w:rFonts w:ascii="黑体" w:hAnsi="黑体" w:eastAsia="黑体" w:cs="Times New Roman"/>
      <w:b/>
      <w:sz w:val="32"/>
      <w:szCs w:val="24"/>
      <w:lang w:val="en-US" w:eastAsia="zh-CN" w:bidi="ar-SA"/>
    </w:rPr>
  </w:style>
  <w:style w:type="paragraph" w:styleId="1054" w:customStyle="1">
    <w:name w:val="正文1"/>
    <w:next w:val="791"/>
    <w:uiPriority w:val="0"/>
    <w:qFormat/>
    <w:rPr>
      <w:rFonts w:ascii="Times New Roman" w:hAnsi="Times New Roman" w:eastAsia="Times New Roman" w:cs="Times New Roman"/>
      <w:sz w:val="24"/>
      <w:szCs w:val="24"/>
      <w:lang w:val="en-US" w:eastAsia="zh-CN" w:bidi="ar-SA"/>
    </w:rPr>
  </w:style>
  <w:style w:type="paragraph" w:styleId="1055" w:customStyle="1">
    <w:name w:val="Normal_0_3"/>
    <w:uiPriority w:val="0"/>
    <w:qFormat/>
    <w:rPr>
      <w:rFonts w:ascii="黑体" w:hAnsi="黑体" w:eastAsia="黑体" w:cs="黑体"/>
      <w:b/>
      <w:sz w:val="32"/>
      <w:szCs w:val="24"/>
      <w:lang w:val="en-US" w:eastAsia="zh-CN" w:bidi="ar-SA"/>
    </w:rPr>
  </w:style>
  <w:style w:type="paragraph" w:styleId="1056" w:customStyle="1">
    <w:name w:val="正文首行缩进 2_0"/>
    <w:basedOn w:val="1057"/>
    <w:uiPriority w:val="0"/>
    <w:qFormat/>
    <w:pPr>
      <w:ind w:left="200" w:firstLine="200"/>
      <w:spacing w:after="120"/>
    </w:pPr>
    <w:rPr>
      <w:rFonts w:ascii="Times New Roman" w:hAnsi="Times New Roman"/>
      <w:sz w:val="24"/>
      <w:szCs w:val="24"/>
    </w:rPr>
  </w:style>
  <w:style w:type="paragraph" w:styleId="1057" w:customStyle="1">
    <w:name w:val="正文文本缩进_0"/>
    <w:basedOn w:val="1058"/>
    <w:uiPriority w:val="0"/>
    <w:qFormat/>
    <w:pPr>
      <w:ind w:firstLine="225"/>
    </w:pPr>
    <w:rPr>
      <w:rFonts w:ascii="仿宋_GB2312" w:eastAsia="仿宋_GB2312"/>
      <w:sz w:val="32"/>
    </w:rPr>
  </w:style>
  <w:style w:type="paragraph" w:styleId="1058" w:customStyle="1">
    <w:name w:val="正文_2"/>
    <w:next w:val="1057"/>
    <w:uiPriority w:val="0"/>
    <w:qFormat/>
    <w:pPr>
      <w:jc w:val="both"/>
      <w:widowControl w:val="off"/>
    </w:pPr>
    <w:rPr>
      <w:rFonts w:ascii="Calibri" w:hAnsi="Calibri" w:eastAsia="宋体" w:cs="Times New Roman"/>
      <w:sz w:val="21"/>
      <w:szCs w:val="22"/>
      <w:lang w:val="en-US" w:eastAsia="zh-CN" w:bidi="ar-SA"/>
    </w:rPr>
  </w:style>
  <w:style w:type="paragraph" w:styleId="1059" w:customStyle="1">
    <w:name w:val="Normal_0_2"/>
    <w:next w:val="1060"/>
    <w:uiPriority w:val="0"/>
    <w:qFormat/>
    <w:rPr>
      <w:rFonts w:ascii="黑体" w:hAnsi="黑体" w:eastAsia="黑体" w:cs="黑体"/>
      <w:b/>
      <w:sz w:val="32"/>
      <w:szCs w:val="24"/>
      <w:lang w:val="en-US" w:eastAsia="zh-CN" w:bidi="ar-SA"/>
    </w:rPr>
  </w:style>
  <w:style w:type="paragraph" w:styleId="1060" w:customStyle="1">
    <w:name w:val="Body Text First Indent_1"/>
    <w:basedOn w:val="870"/>
    <w:uiPriority w:val="99"/>
    <w:unhideWhenUsed/>
    <w:qFormat/>
    <w:pPr>
      <w:ind w:firstLine="420"/>
      <w:spacing w:after="120"/>
    </w:pPr>
    <w:rPr>
      <w:rFonts w:eastAsia="Times New Roman"/>
      <w:sz w:val="20"/>
    </w:rPr>
  </w:style>
  <w:style w:type="paragraph" w:styleId="1061" w:customStyle="1">
    <w:name w:val="Normal_1_2"/>
    <w:uiPriority w:val="0"/>
    <w:qFormat/>
    <w:rPr>
      <w:rFonts w:ascii="Times New Roman" w:hAnsi="Times New Roman" w:eastAsia="Times New Roman" w:cs="Times New Roman"/>
      <w:sz w:val="24"/>
      <w:szCs w:val="24"/>
      <w:lang w:val="en-US" w:eastAsia="zh-CN" w:bidi="ar-SA"/>
    </w:rPr>
  </w:style>
  <w:style w:type="paragraph" w:styleId="1062" w:customStyle="1">
    <w:name w:val="Normal_0_1"/>
    <w:next w:val="1063"/>
    <w:uiPriority w:val="0"/>
    <w:qFormat/>
    <w:rPr>
      <w:rFonts w:ascii="黑体" w:hAnsi="黑体" w:eastAsia="黑体" w:cs="黑体"/>
      <w:b/>
      <w:sz w:val="32"/>
      <w:szCs w:val="24"/>
      <w:lang w:val="en-US" w:eastAsia="zh-CN" w:bidi="ar-SA"/>
    </w:rPr>
  </w:style>
  <w:style w:type="paragraph" w:styleId="1063" w:customStyle="1">
    <w:name w:val="Body Text First Indent_0"/>
    <w:basedOn w:val="1064"/>
    <w:uiPriority w:val="99"/>
    <w:unhideWhenUsed/>
    <w:qFormat/>
    <w:pPr>
      <w:ind w:firstLine="420"/>
      <w:spacing w:after="120"/>
    </w:pPr>
    <w:rPr>
      <w:rFonts w:eastAsia="Times New Roman"/>
    </w:rPr>
  </w:style>
  <w:style w:type="paragraph" w:styleId="1064" w:customStyle="1">
    <w:name w:val="正文3"/>
    <w:next w:val="1065"/>
    <w:uiPriority w:val="0"/>
    <w:qFormat/>
    <w:rPr>
      <w:rFonts w:ascii="Times New Roman" w:hAnsi="Times New Roman" w:eastAsia="Times New Roman" w:cs="Times New Roman"/>
      <w:sz w:val="24"/>
      <w:szCs w:val="24"/>
      <w:lang w:val="en-US" w:eastAsia="zh-CN" w:bidi="ar-SA"/>
    </w:rPr>
  </w:style>
  <w:style w:type="paragraph" w:styleId="1065" w:customStyle="1">
    <w:name w:val="标题 31"/>
    <w:basedOn w:val="1064"/>
    <w:next w:val="1066"/>
    <w:uiPriority w:val="0"/>
    <w:qFormat/>
    <w:pPr>
      <w:keepLines/>
      <w:keepNext/>
      <w:spacing w:before="260" w:after="260" w:line="413" w:lineRule="auto"/>
      <w:outlineLvl w:val="2"/>
    </w:pPr>
    <w:rPr>
      <w:b/>
      <w:sz w:val="32"/>
      <w:szCs w:val="20"/>
    </w:rPr>
  </w:style>
  <w:style w:type="paragraph" w:styleId="1066" w:customStyle="1">
    <w:name w:val="正文2"/>
    <w:basedOn w:val="774"/>
    <w:next w:val="1065"/>
    <w:uiPriority w:val="0"/>
    <w:qFormat/>
    <w:pPr>
      <w:ind w:firstLine="510"/>
      <w:spacing w:before="156" w:line="360" w:lineRule="auto"/>
    </w:pPr>
    <w:rPr>
      <w:sz w:val="24"/>
      <w:szCs w:val="20"/>
    </w:rPr>
  </w:style>
  <w:style w:type="paragraph" w:styleId="1067" w:customStyle="1">
    <w:name w:val="正文首行缩进3"/>
    <w:basedOn w:val="1054"/>
    <w:uiPriority w:val="99"/>
    <w:unhideWhenUsed/>
    <w:qFormat/>
    <w:pPr>
      <w:ind w:firstLine="420"/>
      <w:spacing w:after="120"/>
    </w:pPr>
    <w:rPr>
      <w:sz w:val="20"/>
    </w:rPr>
  </w:style>
  <w:style w:type="paragraph" w:styleId="1068" w:customStyle="1">
    <w:name w:val="Normal_1_1"/>
    <w:uiPriority w:val="0"/>
    <w:qFormat/>
    <w:rPr>
      <w:rFonts w:ascii="黑体" w:hAnsi="黑体" w:eastAsia="黑体" w:cs="黑体"/>
      <w:b/>
      <w:sz w:val="32"/>
      <w:szCs w:val="24"/>
      <w:lang w:val="en-US" w:eastAsia="zh-CN" w:bidi="ar-SA"/>
    </w:rPr>
  </w:style>
  <w:style w:type="paragraph" w:styleId="1069"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70"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071" w:customStyle="1">
    <w:name w:val="Normal_2_0"/>
    <w:uiPriority w:val="0"/>
    <w:qFormat/>
    <w:rPr>
      <w:rFonts w:ascii="黑体" w:hAnsi="黑体" w:eastAsia="黑体" w:cs="黑体"/>
      <w:b/>
      <w:sz w:val="32"/>
      <w:szCs w:val="24"/>
      <w:lang w:val="en-US" w:eastAsia="zh-CN" w:bidi="ar-SA"/>
    </w:rPr>
  </w:style>
  <w:style w:type="paragraph" w:styleId="1072"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073" w:customStyle="1">
    <w:name w:val="Normal_4_0"/>
    <w:uiPriority w:val="0"/>
    <w:qFormat/>
    <w:rPr>
      <w:rFonts w:ascii="黑体" w:hAnsi="黑体" w:eastAsia="黑体" w:cs="黑体"/>
      <w:b/>
      <w:sz w:val="32"/>
      <w:szCs w:val="24"/>
      <w:lang w:val="en-US" w:eastAsia="zh-CN" w:bidi="ar-SA"/>
    </w:rPr>
  </w:style>
  <w:style w:type="paragraph" w:styleId="1074"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75" w:customStyle="1">
    <w:name w:val="Normal_6_0"/>
    <w:uiPriority w:val="0"/>
    <w:qFormat/>
    <w:rPr>
      <w:rFonts w:ascii="黑体" w:hAnsi="黑体" w:eastAsia="黑体" w:cs="黑体"/>
      <w:b/>
      <w:sz w:val="32"/>
      <w:szCs w:val="24"/>
      <w:lang w:val="en-US" w:eastAsia="zh-CN" w:bidi="ar-SA"/>
    </w:rPr>
  </w:style>
  <w:style w:type="paragraph" w:styleId="1076"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77"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78"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079" w:customStyle="1">
    <w:name w:val="Normal_7_0"/>
    <w:uiPriority w:val="0"/>
    <w:qFormat/>
    <w:rPr>
      <w:rFonts w:ascii="黑体" w:hAnsi="黑体" w:eastAsia="黑体" w:cs="黑体"/>
      <w:b/>
      <w:sz w:val="32"/>
      <w:szCs w:val="24"/>
      <w:lang w:val="en-US" w:eastAsia="zh-CN" w:bidi="ar-SA"/>
    </w:rPr>
  </w:style>
  <w:style w:type="paragraph" w:styleId="1080" w:customStyle="1">
    <w:name w:val="Normal_8_0"/>
    <w:uiPriority w:val="0"/>
    <w:qFormat/>
    <w:rPr>
      <w:rFonts w:ascii="Times New Roman" w:hAnsi="Times New Roman" w:eastAsia="Times New Roman" w:cs="Times New Roman"/>
      <w:sz w:val="24"/>
      <w:szCs w:val="24"/>
      <w:lang w:val="en-US" w:eastAsia="zh-CN" w:bidi="ar-SA"/>
    </w:rPr>
  </w:style>
  <w:style w:type="paragraph" w:styleId="1081" w:customStyle="1">
    <w:name w:val="Normal_9_0"/>
    <w:uiPriority w:val="0"/>
    <w:qFormat/>
    <w:rPr>
      <w:rFonts w:ascii="Times New Roman" w:hAnsi="Times New Roman" w:eastAsia="Times New Roman" w:cs="Times New Roman"/>
      <w:sz w:val="24"/>
      <w:szCs w:val="24"/>
      <w:lang w:val="en-US" w:eastAsia="zh-CN" w:bidi="ar-SA"/>
    </w:rPr>
  </w:style>
  <w:style w:type="paragraph" w:styleId="1082" w:customStyle="1">
    <w:name w:val="Normal_10_0"/>
    <w:uiPriority w:val="0"/>
    <w:qFormat/>
    <w:rPr>
      <w:rFonts w:ascii="黑体" w:hAnsi="黑体" w:eastAsia="黑体" w:cs="黑体"/>
      <w:b/>
      <w:sz w:val="32"/>
      <w:szCs w:val="24"/>
      <w:lang w:val="en-US" w:eastAsia="zh-CN" w:bidi="ar-SA"/>
    </w:rPr>
  </w:style>
  <w:style w:type="paragraph" w:styleId="1083" w:customStyle="1">
    <w:name w:val="正文_3"/>
    <w:next w:val="1084"/>
    <w:uiPriority w:val="0"/>
    <w:qFormat/>
    <w:pPr>
      <w:jc w:val="both"/>
      <w:widowControl w:val="off"/>
    </w:pPr>
    <w:rPr>
      <w:rFonts w:ascii="Calibri" w:hAnsi="Calibri" w:eastAsia="宋体" w:cs="Times New Roman"/>
      <w:sz w:val="21"/>
      <w:szCs w:val="22"/>
      <w:lang w:val="en-US" w:eastAsia="zh-CN" w:bidi="ar-SA"/>
    </w:rPr>
  </w:style>
  <w:style w:type="paragraph" w:styleId="1084" w:customStyle="1">
    <w:name w:val="正文首行缩进 2_1"/>
    <w:basedOn w:val="1085"/>
    <w:next w:val="1087"/>
    <w:uiPriority w:val="0"/>
    <w:qFormat/>
    <w:pPr>
      <w:ind w:left="200" w:firstLine="200"/>
      <w:spacing w:after="120"/>
    </w:pPr>
    <w:rPr>
      <w:rFonts w:ascii="Times New Roman"/>
      <w:szCs w:val="24"/>
    </w:rPr>
  </w:style>
  <w:style w:type="paragraph" w:styleId="1085" w:customStyle="1">
    <w:name w:val="正文文本缩进_1"/>
    <w:basedOn w:val="1086"/>
    <w:next w:val="1084"/>
    <w:uiPriority w:val="0"/>
    <w:qFormat/>
    <w:pPr>
      <w:ind w:firstLine="225"/>
    </w:pPr>
    <w:rPr>
      <w:rFonts w:ascii="仿宋_GB2312" w:eastAsia="仿宋_GB2312"/>
      <w:sz w:val="32"/>
    </w:rPr>
  </w:style>
  <w:style w:type="paragraph" w:styleId="1086" w:customStyle="1">
    <w:name w:val="正文_18"/>
    <w:next w:val="1085"/>
    <w:uiPriority w:val="0"/>
    <w:qFormat/>
    <w:pPr>
      <w:jc w:val="both"/>
      <w:widowControl w:val="off"/>
    </w:pPr>
    <w:rPr>
      <w:rFonts w:ascii="Calibri" w:hAnsi="Calibri" w:eastAsia="宋体" w:cs="Times New Roman"/>
      <w:sz w:val="21"/>
      <w:szCs w:val="22"/>
      <w:lang w:val="en-US" w:eastAsia="zh-CN" w:bidi="ar-SA"/>
    </w:rPr>
  </w:style>
  <w:style w:type="paragraph" w:styleId="1087" w:customStyle="1">
    <w:name w:val="xl53_0"/>
    <w:next w:val="1083"/>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088"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89" w:customStyle="1">
    <w:name w:val="Normal_11_0"/>
    <w:uiPriority w:val="0"/>
    <w:qFormat/>
    <w:rPr>
      <w:rFonts w:ascii="黑体" w:hAnsi="黑体" w:eastAsia="黑体" w:cs="黑体"/>
      <w:b/>
      <w:sz w:val="32"/>
      <w:szCs w:val="24"/>
      <w:lang w:val="en-US" w:eastAsia="zh-CN" w:bidi="ar-SA"/>
    </w:rPr>
  </w:style>
  <w:style w:type="paragraph" w:styleId="1090"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091"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092"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09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94" w:customStyle="1">
    <w:name w:val="列出段落_2"/>
    <w:basedOn w:val="1092"/>
    <w:uiPriority w:val="34"/>
    <w:qFormat/>
    <w:pPr>
      <w:ind w:firstLine="420"/>
    </w:pPr>
  </w:style>
  <w:style w:type="paragraph" w:styleId="1095" w:customStyle="1">
    <w:name w:val="Normal_13_0"/>
    <w:uiPriority w:val="0"/>
    <w:qFormat/>
    <w:rPr>
      <w:rFonts w:ascii="黑体" w:hAnsi="黑体" w:eastAsia="黑体" w:cs="黑体"/>
      <w:b/>
      <w:sz w:val="32"/>
      <w:szCs w:val="24"/>
      <w:lang w:val="en-US" w:eastAsia="zh-CN" w:bidi="ar-SA"/>
    </w:rPr>
  </w:style>
  <w:style w:type="paragraph" w:styleId="1096"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097" w:customStyle="1">
    <w:name w:val="纯文本_0_0"/>
    <w:basedOn w:val="1096"/>
    <w:uiPriority w:val="0"/>
    <w:unhideWhenUsed/>
    <w:qFormat/>
    <w:rPr>
      <w:rFonts w:ascii="宋体" w:hAnsi="Courier New"/>
      <w:szCs w:val="21"/>
    </w:rPr>
  </w:style>
  <w:style w:type="paragraph" w:styleId="1098"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099" w:customStyle="1">
    <w:name w:val="Normal_14_0"/>
    <w:uiPriority w:val="0"/>
    <w:qFormat/>
    <w:rPr>
      <w:rFonts w:ascii="黑体" w:hAnsi="黑体" w:eastAsia="黑体" w:cs="黑体"/>
      <w:b/>
      <w:sz w:val="32"/>
      <w:szCs w:val="24"/>
      <w:lang w:val="en-US" w:eastAsia="zh-CN" w:bidi="ar-SA"/>
    </w:rPr>
  </w:style>
  <w:style w:type="paragraph" w:styleId="1100"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101" w:customStyle="1">
    <w:name w:val="Normal_15_0"/>
    <w:uiPriority w:val="0"/>
    <w:qFormat/>
    <w:rPr>
      <w:rFonts w:ascii="黑体" w:hAnsi="黑体" w:eastAsia="黑体" w:cs="黑体"/>
      <w:b/>
      <w:sz w:val="32"/>
      <w:szCs w:val="24"/>
      <w:lang w:val="en-US" w:eastAsia="zh-CN" w:bidi="ar-SA"/>
    </w:rPr>
  </w:style>
  <w:style w:type="paragraph" w:styleId="1102"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0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04" w:customStyle="1">
    <w:name w:val="Normal_16_0"/>
    <w:uiPriority w:val="0"/>
    <w:qFormat/>
    <w:rPr>
      <w:rFonts w:ascii="黑体" w:hAnsi="黑体" w:eastAsia="黑体" w:cs="黑体"/>
      <w:b/>
      <w:sz w:val="32"/>
      <w:szCs w:val="24"/>
      <w:lang w:val="en-US" w:eastAsia="zh-CN" w:bidi="ar-SA"/>
    </w:rPr>
  </w:style>
  <w:style w:type="paragraph" w:styleId="1105"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06" w:customStyle="1">
    <w:name w:val="Normal_17_0"/>
    <w:uiPriority w:val="0"/>
    <w:qFormat/>
    <w:rPr>
      <w:rFonts w:ascii="黑体" w:hAnsi="黑体" w:eastAsia="黑体" w:cs="黑体"/>
      <w:b/>
      <w:sz w:val="32"/>
      <w:szCs w:val="24"/>
      <w:lang w:val="en-US" w:eastAsia="zh-CN" w:bidi="ar-SA"/>
    </w:rPr>
  </w:style>
  <w:style w:type="paragraph" w:styleId="1107"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08" w:customStyle="1">
    <w:name w:val="Normal_18_0"/>
    <w:uiPriority w:val="0"/>
    <w:qFormat/>
    <w:rPr>
      <w:rFonts w:ascii="黑体" w:hAnsi="黑体" w:eastAsia="黑体" w:cs="黑体"/>
      <w:b/>
      <w:sz w:val="32"/>
      <w:szCs w:val="24"/>
      <w:lang w:val="en-US" w:eastAsia="zh-CN" w:bidi="ar-SA"/>
    </w:rPr>
  </w:style>
  <w:style w:type="paragraph" w:styleId="1109"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10"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Normal_14_0_0"/>
    <w:uiPriority w:val="0"/>
    <w:qFormat/>
    <w:rPr>
      <w:rFonts w:ascii="黑体" w:hAnsi="黑体" w:eastAsia="黑体" w:cs="Times New Roman"/>
      <w:b/>
      <w:sz w:val="32"/>
      <w:szCs w:val="24"/>
      <w:lang w:val="en-US" w:eastAsia="zh-CN" w:bidi="ar-SA"/>
    </w:rPr>
  </w:style>
  <w:style w:type="paragraph" w:styleId="1112"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113"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14"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115"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16"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1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18" w:customStyle="1">
    <w:name w:val="Normal Indent_0"/>
    <w:basedOn w:val="875"/>
    <w:uiPriority w:val="0"/>
    <w:qFormat/>
    <w:pPr>
      <w:ind w:firstLine="420"/>
    </w:pPr>
    <w:rPr>
      <w:rFonts w:ascii="宋体" w:eastAsia="Times New Roman"/>
      <w:color w:val="000000"/>
      <w:sz w:val="24"/>
      <w:szCs w:val="20"/>
    </w:rPr>
  </w:style>
  <w:style w:type="paragraph" w:styleId="1119" w:customStyle="1">
    <w:name w:val="Heading 3_0"/>
    <w:basedOn w:val="875"/>
    <w:next w:val="875"/>
    <w:uiPriority w:val="0"/>
    <w:qFormat/>
    <w:pPr>
      <w:keepLines/>
      <w:keepNext/>
      <w:spacing w:before="260" w:after="260" w:line="413" w:lineRule="auto"/>
      <w:outlineLvl w:val="2"/>
    </w:pPr>
    <w:rPr>
      <w:rFonts w:ascii="Times New Roman" w:hAnsi="Times New Roman" w:eastAsia="Times New Roman"/>
      <w:szCs w:val="20"/>
    </w:rPr>
  </w:style>
  <w:style w:type="paragraph" w:styleId="1120"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2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22"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123" w:customStyle="1">
    <w:name w:val="Normal_19_1_0"/>
    <w:next w:val="1124"/>
    <w:uiPriority w:val="0"/>
    <w:qFormat/>
    <w:pPr>
      <w:jc w:val="both"/>
      <w:widowControl w:val="off"/>
    </w:pPr>
    <w:rPr>
      <w:rFonts w:ascii="Calibri" w:hAnsi="Calibri" w:eastAsia="宋体" w:cs="Times New Roman"/>
      <w:szCs w:val="24"/>
      <w:lang w:val="en-US" w:eastAsia="zh-CN" w:bidi="ar-SA"/>
    </w:rPr>
  </w:style>
  <w:style w:type="paragraph" w:styleId="1124" w:customStyle="1">
    <w:name w:val="正文_16_0"/>
    <w:basedOn w:val="1086"/>
    <w:next w:val="1084"/>
    <w:uiPriority w:val="0"/>
    <w:qFormat/>
    <w:rPr>
      <w:rFonts w:ascii="Times New Roman" w:hAnsi="Times New Roman"/>
    </w:rPr>
  </w:style>
  <w:style w:type="paragraph" w:styleId="1125" w:customStyle="1">
    <w:name w:val="Normal_19_0"/>
    <w:basedOn w:val="787"/>
    <w:next w:val="1126"/>
    <w:uiPriority w:val="0"/>
    <w:qFormat/>
    <w:rPr>
      <w:szCs w:val="24"/>
    </w:rPr>
  </w:style>
  <w:style w:type="paragraph" w:styleId="1126" w:customStyle="1">
    <w:name w:val="Body Text First Indent_1_0"/>
    <w:basedOn w:val="1125"/>
    <w:uiPriority w:val="0"/>
    <w:qFormat/>
    <w:pPr>
      <w:ind w:firstLine="100"/>
      <w:spacing w:after="120"/>
    </w:pPr>
  </w:style>
  <w:style w:type="paragraph" w:styleId="1127" w:customStyle="1">
    <w:name w:val="Body Text_0"/>
    <w:basedOn w:val="1125"/>
    <w:uiPriority w:val="0"/>
    <w:qFormat/>
    <w:pPr>
      <w:spacing w:line="60" w:lineRule="auto"/>
    </w:pPr>
    <w:rPr>
      <w:rFonts w:ascii="仿宋_GB2312" w:eastAsia="仿宋_GB2312"/>
      <w:sz w:val="32"/>
    </w:rPr>
  </w:style>
  <w:style w:type="paragraph" w:styleId="1128" w:customStyle="1">
    <w:name w:val="Normal_19_1"/>
    <w:next w:val="875"/>
    <w:uiPriority w:val="0"/>
    <w:qFormat/>
    <w:pPr>
      <w:jc w:val="both"/>
      <w:widowControl w:val="off"/>
    </w:pPr>
    <w:rPr>
      <w:rFonts w:ascii="Calibri" w:hAnsi="Calibri" w:eastAsia="宋体" w:cs="Times New Roman"/>
      <w:szCs w:val="24"/>
      <w:lang w:val="en-US" w:eastAsia="zh-CN" w:bidi="ar-SA"/>
    </w:rPr>
  </w:style>
  <w:style w:type="paragraph" w:styleId="1129" w:customStyle="1">
    <w:name w:val="正文_6_0_0"/>
    <w:uiPriority w:val="0"/>
    <w:qFormat/>
    <w:pPr>
      <w:jc w:val="both"/>
      <w:widowControl w:val="off"/>
    </w:pPr>
    <w:rPr>
      <w:rFonts w:ascii="Calibri" w:hAnsi="Calibri" w:eastAsia="宋体" w:cs="Times New Roman"/>
      <w:lang w:val="en-US" w:eastAsia="zh-CN" w:bidi="ar-SA"/>
    </w:rPr>
  </w:style>
  <w:style w:type="paragraph" w:styleId="1130" w:customStyle="1">
    <w:name w:val="正文_7_1"/>
    <w:uiPriority w:val="0"/>
    <w:qFormat/>
    <w:pPr>
      <w:jc w:val="both"/>
      <w:widowControl w:val="off"/>
    </w:pPr>
    <w:rPr>
      <w:rFonts w:ascii="Calibri" w:hAnsi="Calibri" w:eastAsia="宋体" w:cs="Times New Roman"/>
      <w:lang w:val="en-US" w:eastAsia="zh-CN" w:bidi="ar-SA"/>
    </w:rPr>
  </w:style>
  <w:style w:type="paragraph" w:styleId="1131" w:customStyle="1">
    <w:name w:val="正文1_1"/>
    <w:basedOn w:val="1080"/>
    <w:uiPriority w:val="0"/>
    <w:qFormat/>
    <w:pPr>
      <w:jc w:val="both"/>
      <w:widowControl w:val="off"/>
    </w:pPr>
    <w:rPr>
      <w:sz w:val="20"/>
      <w:szCs w:val="20"/>
    </w:rPr>
  </w:style>
  <w:style w:type="paragraph" w:styleId="1132" w:customStyle="1">
    <w:name w:val="Normal_8_0_0"/>
    <w:uiPriority w:val="0"/>
    <w:qFormat/>
    <w:rPr>
      <w:rFonts w:ascii="Times New Roman" w:hAnsi="Times New Roman" w:eastAsia="Times New Roman" w:cs="Times New Roman"/>
      <w:sz w:val="24"/>
      <w:szCs w:val="24"/>
      <w:lang w:val="en-US" w:eastAsia="zh-CN" w:bidi="ar-SA"/>
    </w:rPr>
  </w:style>
  <w:style w:type="paragraph" w:styleId="1133" w:customStyle="1">
    <w:name w:val="Normal_8_0_0_0"/>
    <w:uiPriority w:val="0"/>
    <w:qFormat/>
    <w:pPr>
      <w:jc w:val="both"/>
      <w:widowControl w:val="off"/>
    </w:pPr>
    <w:rPr>
      <w:rFonts w:ascii="Calibri" w:hAnsi="Calibri" w:eastAsia="宋体" w:cs="Times New Roman"/>
      <w:lang w:val="en-US" w:eastAsia="zh-CN" w:bidi="ar-SA"/>
    </w:rPr>
  </w:style>
  <w:style w:type="paragraph" w:styleId="1134" w:customStyle="1">
    <w:name w:val="Normal_16_1"/>
    <w:uiPriority w:val="0"/>
    <w:qFormat/>
    <w:rPr>
      <w:rFonts w:ascii="黑体" w:hAnsi="黑体" w:eastAsia="黑体" w:cs="Times New Roman"/>
      <w:b/>
      <w:sz w:val="32"/>
      <w:szCs w:val="24"/>
      <w:lang w:val="en-US" w:eastAsia="zh-CN" w:bidi="ar-SA"/>
    </w:rPr>
  </w:style>
  <w:style w:type="paragraph" w:styleId="1135" w:customStyle="1">
    <w:name w:val="Normal_19_0_1"/>
    <w:uiPriority w:val="0"/>
    <w:qFormat/>
    <w:rPr>
      <w:rFonts w:ascii="Tahoma" w:hAnsi="Tahoma" w:eastAsia="微软雅黑" w:cs="Times New Roman"/>
      <w:lang w:val="en-US" w:eastAsia="zh-CN" w:bidi="ar-SA"/>
    </w:rPr>
  </w:style>
  <w:style w:type="paragraph" w:styleId="1136" w:customStyle="1">
    <w:name w:val="Normal_16_0_0"/>
    <w:uiPriority w:val="0"/>
    <w:qFormat/>
    <w:pPr>
      <w:jc w:val="both"/>
      <w:widowControl w:val="off"/>
    </w:pPr>
    <w:rPr>
      <w:rFonts w:ascii="Calibri" w:hAnsi="Calibri" w:eastAsia="宋体" w:cs="Times New Roman"/>
      <w:lang w:val="en-US" w:eastAsia="zh-CN" w:bidi="ar-SA"/>
    </w:rPr>
  </w:style>
  <w:style w:type="paragraph" w:styleId="1137"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138" w:customStyle="1">
    <w:name w:val="Normal_17_0_0"/>
    <w:uiPriority w:val="0"/>
    <w:qFormat/>
    <w:rPr>
      <w:rFonts w:ascii="黑体" w:hAnsi="黑体" w:eastAsia="黑体" w:cs="Times New Roman"/>
      <w:b/>
      <w:sz w:val="32"/>
      <w:szCs w:val="24"/>
      <w:lang w:val="en-US" w:eastAsia="zh-CN" w:bidi="ar-SA"/>
    </w:rPr>
  </w:style>
  <w:style w:type="paragraph" w:styleId="1139" w:customStyle="1">
    <w:name w:val="Normal_19_0_1_0"/>
    <w:uiPriority w:val="0"/>
    <w:qFormat/>
    <w:rPr>
      <w:rFonts w:ascii="Tahoma" w:hAnsi="Tahoma" w:eastAsia="微软雅黑" w:cs="Times New Roman"/>
      <w:lang w:val="en-US" w:eastAsia="zh-CN" w:bidi="ar-SA"/>
    </w:rPr>
  </w:style>
  <w:style w:type="paragraph" w:styleId="1140" w:customStyle="1">
    <w:name w:val="Normal_19_3"/>
    <w:next w:val="1141"/>
    <w:uiPriority w:val="0"/>
    <w:qFormat/>
    <w:pPr>
      <w:jc w:val="both"/>
      <w:widowControl w:val="off"/>
    </w:pPr>
    <w:rPr>
      <w:rFonts w:ascii="Calibri" w:hAnsi="Calibri" w:eastAsia="Times New Roman" w:cs="Times New Roman"/>
      <w:szCs w:val="24"/>
      <w:lang w:val="en-US" w:eastAsia="zh-CN" w:bidi="ar-SA"/>
    </w:rPr>
  </w:style>
  <w:style w:type="paragraph" w:styleId="1141"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42" w:customStyle="1">
    <w:name w:val="Normal_22_0_0"/>
    <w:uiPriority w:val="0"/>
    <w:qFormat/>
    <w:pPr>
      <w:jc w:val="both"/>
      <w:widowControl w:val="off"/>
    </w:pPr>
    <w:rPr>
      <w:rFonts w:ascii="Calibri" w:hAnsi="Calibri" w:eastAsia="宋体" w:cs="Times New Roman"/>
      <w:szCs w:val="24"/>
      <w:lang w:val="en-US" w:eastAsia="zh-CN" w:bidi="ar-SA"/>
    </w:rPr>
  </w:style>
  <w:style w:type="paragraph" w:styleId="1143" w:customStyle="1">
    <w:name w:val="Normal_19_0_0"/>
    <w:basedOn w:val="875"/>
    <w:next w:val="1144"/>
    <w:uiPriority w:val="0"/>
    <w:qFormat/>
    <w:rPr>
      <w:rFonts w:ascii="Calibri" w:hAnsi="Calibri" w:eastAsia="Times New Roman"/>
      <w:sz w:val="24"/>
    </w:rPr>
  </w:style>
  <w:style w:type="paragraph" w:styleId="1144" w:customStyle="1">
    <w:name w:val="Body Text First Indent_1_0_0"/>
    <w:basedOn w:val="1143"/>
    <w:uiPriority w:val="0"/>
    <w:qFormat/>
    <w:pPr>
      <w:ind w:firstLine="100"/>
      <w:spacing w:after="120"/>
    </w:pPr>
    <w:rPr>
      <w:rFonts w:eastAsia="Times New Roman"/>
    </w:rPr>
  </w:style>
  <w:style w:type="paragraph" w:styleId="1145" w:customStyle="1">
    <w:name w:val="正文首行缩进1"/>
    <w:basedOn w:val="1146"/>
    <w:uiPriority w:val="0"/>
    <w:qFormat/>
    <w:pPr>
      <w:ind w:firstLine="100"/>
      <w:spacing w:after="120" w:line="240" w:lineRule="auto"/>
    </w:pPr>
    <w:rPr>
      <w:rFonts w:ascii="Times New Roman" w:hAnsi="Times New Roman" w:eastAsia="宋体"/>
      <w:sz w:val="21"/>
    </w:rPr>
  </w:style>
  <w:style w:type="paragraph" w:styleId="1146" w:customStyle="1">
    <w:name w:val="正文文本1"/>
    <w:basedOn w:val="774"/>
    <w:uiPriority w:val="0"/>
    <w:qFormat/>
    <w:pPr>
      <w:spacing w:line="60" w:lineRule="auto"/>
    </w:pPr>
    <w:rPr>
      <w:rFonts w:ascii="仿宋_GB2312" w:eastAsia="仿宋_GB2312"/>
      <w:sz w:val="32"/>
    </w:rPr>
  </w:style>
  <w:style w:type="paragraph" w:styleId="1147"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48" w:customStyle="1">
    <w:name w:val="List Paragraph_0"/>
    <w:basedOn w:val="1058"/>
    <w:uiPriority w:val="0"/>
    <w:qFormat/>
    <w:pPr>
      <w:ind w:firstLine="420"/>
    </w:pPr>
  </w:style>
  <w:style w:type="paragraph" w:styleId="1149" w:customStyle="1">
    <w:name w:val="纯文本_1"/>
    <w:basedOn w:val="1147"/>
    <w:uiPriority w:val="0"/>
    <w:qFormat/>
    <w:rPr>
      <w:rFonts w:ascii="宋体" w:hAnsi="Times New Roman"/>
      <w:sz w:val="20"/>
      <w:szCs w:val="21"/>
    </w:rPr>
  </w:style>
  <w:style w:type="paragraph" w:styleId="1150" w:customStyle="1">
    <w:name w:val="正文_16_0_0"/>
    <w:next w:val="920"/>
    <w:uiPriority w:val="0"/>
    <w:qFormat/>
    <w:pPr>
      <w:jc w:val="both"/>
      <w:widowControl w:val="off"/>
    </w:pPr>
    <w:rPr>
      <w:rFonts w:ascii="Calibri" w:hAnsi="Calibri" w:eastAsia="宋体" w:cs="Times New Roman"/>
      <w:sz w:val="21"/>
      <w:szCs w:val="22"/>
      <w:lang w:val="en-US" w:eastAsia="zh-CN" w:bidi="ar-SA"/>
    </w:rPr>
  </w:style>
  <w:style w:type="paragraph" w:styleId="1151" w:customStyle="1">
    <w:name w:val="正文_11_0"/>
    <w:basedOn w:val="920"/>
    <w:uiPriority w:val="0"/>
    <w:qFormat/>
    <w:rPr>
      <w:rFonts w:ascii="Calibri" w:hAnsi="Calibri"/>
      <w:szCs w:val="20"/>
    </w:rPr>
  </w:style>
  <w:style w:type="paragraph" w:styleId="1152" w:customStyle="1">
    <w:name w:val="Normal_19_0_0_0"/>
    <w:basedOn w:val="787"/>
    <w:uiPriority w:val="0"/>
    <w:qFormat/>
    <w:rPr>
      <w:rFonts w:cs="黑体"/>
      <w:szCs w:val="24"/>
    </w:rPr>
  </w:style>
  <w:style w:type="paragraph" w:styleId="1153" w:customStyle="1">
    <w:name w:val="无间隔1"/>
    <w:basedOn w:val="1064"/>
    <w:uiPriority w:val="0"/>
    <w:qFormat/>
    <w:rPr>
      <w:rFonts w:ascii="Calibri" w:hAnsi="Calibri" w:cs="Calibri"/>
    </w:rPr>
  </w:style>
  <w:style w:type="character" w:styleId="1154" w:customStyle="1">
    <w:name w:val="标题 2 Char_0"/>
    <w:link w:val="1155"/>
    <w:uiPriority w:val="0"/>
    <w:qFormat/>
    <w:rPr>
      <w:rFonts w:ascii="Arial" w:hAnsi="Arial" w:eastAsia="黑体"/>
      <w:b/>
      <w:sz w:val="32"/>
      <w:szCs w:val="22"/>
    </w:rPr>
  </w:style>
  <w:style w:type="paragraph" w:styleId="1155" w:customStyle="1">
    <w:name w:val="标题 21"/>
    <w:basedOn w:val="789"/>
    <w:next w:val="789"/>
    <w:link w:val="1154"/>
    <w:uiPriority w:val="0"/>
    <w:unhideWhenUsed/>
    <w:qFormat/>
    <w:pPr>
      <w:keepLines/>
      <w:keepNext/>
      <w:spacing w:before="260" w:after="260" w:line="413" w:lineRule="auto"/>
      <w:outlineLvl w:val="1"/>
    </w:pPr>
    <w:rPr>
      <w:rFonts w:ascii="Arial" w:hAnsi="Arial"/>
      <w:szCs w:val="22"/>
    </w:rPr>
  </w:style>
  <w:style w:type="paragraph" w:styleId="1156" w:customStyle="1">
    <w:name w:val="Normal_19_1_0_0"/>
    <w:next w:val="1157"/>
    <w:uiPriority w:val="0"/>
    <w:qFormat/>
    <w:pPr>
      <w:jc w:val="both"/>
      <w:widowControl w:val="off"/>
    </w:pPr>
    <w:rPr>
      <w:rFonts w:ascii="Calibri" w:hAnsi="Calibri" w:eastAsia="宋体" w:cs="Times New Roman"/>
      <w:sz w:val="21"/>
      <w:szCs w:val="24"/>
      <w:lang w:val="en-US" w:eastAsia="zh-CN" w:bidi="ar-SA"/>
    </w:rPr>
  </w:style>
  <w:style w:type="paragraph" w:styleId="1157"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158" w:customStyle="1">
    <w:name w:val="正文1_0_0"/>
    <w:basedOn w:val="789"/>
    <w:uiPriority w:val="0"/>
    <w:qFormat/>
    <w:pPr>
      <w:ind w:left="357" w:firstLine="420"/>
      <w:spacing w:line="360" w:lineRule="auto"/>
    </w:pPr>
    <w:rPr>
      <w:rFonts w:eastAsia="Times New Roman" w:cs="Arial"/>
    </w:rPr>
  </w:style>
  <w:style w:type="paragraph" w:styleId="1159" w:customStyle="1">
    <w:name w:val="普通正文"/>
    <w:basedOn w:val="774"/>
    <w:uiPriority w:val="0"/>
    <w:qFormat/>
    <w:pPr>
      <w:ind w:firstLine="480"/>
      <w:jc w:val="left"/>
      <w:spacing w:before="120" w:after="120" w:line="360" w:lineRule="auto"/>
    </w:pPr>
    <w:rPr>
      <w:rFonts w:ascii="Arial" w:hAnsi="Arial"/>
      <w:sz w:val="24"/>
      <w:szCs w:val="24"/>
    </w:rPr>
  </w:style>
  <w:style w:type="paragraph" w:styleId="1160" w:customStyle="1">
    <w:name w:val="正文空2字"/>
    <w:basedOn w:val="1161"/>
    <w:uiPriority w:val="99"/>
    <w:qFormat/>
    <w:pPr>
      <w:ind w:firstLine="640"/>
      <w:spacing w:line="560" w:lineRule="exact"/>
      <w:widowControl w:val="off"/>
    </w:pPr>
    <w:rPr>
      <w:rFonts w:ascii="仿宋_GB2312" w:hAnsi="仿宋_GB2312" w:cs="仿宋_GB2312"/>
      <w:lang w:val="zh-TW"/>
    </w:rPr>
  </w:style>
  <w:style w:type="paragraph" w:styleId="1161" w:customStyle="1">
    <w:name w:val="左对齐正文"/>
    <w:uiPriority w:val="99"/>
    <w:qFormat/>
    <w:rPr>
      <w:rFonts w:ascii="Calibri" w:hAnsi="Calibri" w:eastAsia="仿宋_GB2312" w:cs="Calibri"/>
      <w:sz w:val="32"/>
      <w:szCs w:val="32"/>
      <w:lang w:val="en-US" w:eastAsia="zh-CN" w:bidi="ar-SA"/>
    </w:rPr>
  </w:style>
  <w:style w:type="paragraph" w:styleId="1162" w:customStyle="1">
    <w:name w:val="普通(网站)1"/>
    <w:basedOn w:val="774"/>
    <w:uiPriority w:val="0"/>
    <w:qFormat/>
    <w:rPr>
      <w:sz w:val="24"/>
    </w:rPr>
  </w:style>
  <w:style w:type="character" w:styleId="1163" w:customStyle="1">
    <w:name w:val="16"/>
    <w:uiPriority w:val="0"/>
    <w:qFormat/>
    <w:rPr>
      <w:rFonts w:ascii="Calibri" w:hAnsi="Calibri"/>
      <w:sz w:val="21"/>
      <w:szCs w:val="22"/>
      <w:lang w:val="en-US" w:eastAsia="zh-CN" w:bidi="ar-SA"/>
    </w:rPr>
  </w:style>
  <w:style w:type="paragraph" w:styleId="1164" w:customStyle="1">
    <w:name w:val="正文文本_0"/>
    <w:basedOn w:val="1058"/>
    <w:next w:val="1165"/>
    <w:uiPriority w:val="0"/>
    <w:qFormat/>
    <w:pPr>
      <w:spacing w:line="60" w:lineRule="auto"/>
    </w:pPr>
    <w:rPr>
      <w:rFonts w:ascii="仿宋_GB2312" w:eastAsia="仿宋_GB2312"/>
      <w:sz w:val="32"/>
    </w:rPr>
  </w:style>
  <w:style w:type="paragraph" w:styleId="1165" w:customStyle="1">
    <w:name w:val="正文缩进_1"/>
    <w:basedOn w:val="1058"/>
    <w:next w:val="1058"/>
    <w:uiPriority w:val="0"/>
    <w:qFormat/>
    <w:pPr>
      <w:ind w:firstLine="420"/>
    </w:pPr>
    <w:rPr>
      <w:rFonts w:ascii="宋体"/>
      <w:color w:val="000000"/>
      <w:sz w:val="24"/>
      <w:szCs w:val="20"/>
    </w:rPr>
  </w:style>
  <w:style w:type="paragraph" w:styleId="1166" w:customStyle="1">
    <w:name w:val="Table Paragraph"/>
    <w:basedOn w:val="875"/>
    <w:uiPriority w:val="1"/>
    <w:qFormat/>
    <w:rPr>
      <w:rFonts w:ascii="宋体" w:hAnsi="宋体" w:cs="宋体"/>
      <w:sz w:val="22"/>
      <w:lang w:val="zh-CN" w:bidi="zh-CN"/>
    </w:rPr>
  </w:style>
  <w:style w:type="paragraph" w:styleId="1167" w:customStyle="1">
    <w:name w:val="Normal_19_2"/>
    <w:basedOn w:val="1168"/>
    <w:uiPriority w:val="0"/>
    <w:qFormat/>
    <w:rPr>
      <w:rFonts w:ascii="Times New Roman" w:hAnsi="Times New Roman"/>
      <w:szCs w:val="21"/>
    </w:rPr>
  </w:style>
  <w:style w:type="paragraph" w:styleId="1168"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169" w:customStyle="1">
    <w:name w:val="正文文本2"/>
    <w:basedOn w:val="918"/>
    <w:uiPriority w:val="0"/>
    <w:qFormat/>
    <w:pPr>
      <w:spacing w:line="60" w:lineRule="auto"/>
    </w:pPr>
    <w:rPr>
      <w:rFonts w:ascii="仿宋_GB2312" w:eastAsia="仿宋_GB2312"/>
      <w:sz w:val="32"/>
      <w:szCs w:val="22"/>
    </w:rPr>
  </w:style>
  <w:style w:type="paragraph" w:styleId="1170" w:customStyle="1">
    <w:name w:val="正文1_0"/>
    <w:basedOn w:val="1147"/>
    <w:uiPriority w:val="0"/>
    <w:qFormat/>
    <w:pPr>
      <w:ind w:left="357" w:firstLine="420"/>
      <w:jc w:val="left"/>
      <w:spacing w:line="360" w:lineRule="auto"/>
      <w:widowControl/>
    </w:pPr>
    <w:rPr>
      <w:rFonts w:cs="Arial"/>
      <w:szCs w:val="20"/>
    </w:rPr>
  </w:style>
  <w:style w:type="paragraph" w:styleId="1171" w:customStyle="1">
    <w:name w:val="Normal_19_2_0"/>
    <w:basedOn w:val="1172"/>
    <w:uiPriority w:val="0"/>
    <w:qFormat/>
    <w:rPr>
      <w:rFonts w:ascii="Times New Roman" w:hAnsi="Times New Roman"/>
      <w:szCs w:val="21"/>
    </w:rPr>
  </w:style>
  <w:style w:type="paragraph" w:styleId="1172"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173" w:customStyle="1">
    <w:name w:val="正文缩进1"/>
    <w:basedOn w:val="774"/>
    <w:uiPriority w:val="0"/>
    <w:qFormat/>
    <w:pPr>
      <w:ind w:firstLine="420"/>
      <w:jc w:val="left"/>
    </w:pPr>
    <w:rPr>
      <w:rFonts w:ascii="宋体" w:hAnsi="Calibri" w:eastAsia="宋体" w:cs="Times New Roman"/>
      <w:sz w:val="24"/>
    </w:rPr>
  </w:style>
  <w:style w:type="paragraph" w:styleId="1174" w:customStyle="1">
    <w:name w:val="纯文本1"/>
    <w:basedOn w:val="919"/>
    <w:uiPriority w:val="0"/>
    <w:qFormat/>
    <w:rPr>
      <w:rFonts w:ascii="宋体" w:hAnsi="Courier New" w:eastAsia="宋体" w:cs="Times New Roman"/>
    </w:rPr>
  </w:style>
  <w:style w:type="paragraph" w:styleId="1175" w:customStyle="1">
    <w:name w:val="Normal_21_0"/>
    <w:next w:val="1176"/>
    <w:uiPriority w:val="0"/>
    <w:qFormat/>
    <w:pPr>
      <w:jc w:val="both"/>
      <w:widowControl w:val="off"/>
    </w:pPr>
    <w:rPr>
      <w:rFonts w:ascii="Times New Roman" w:hAnsi="Times New Roman" w:eastAsia="宋体" w:cs="Times New Roman"/>
      <w:sz w:val="21"/>
      <w:szCs w:val="24"/>
      <w:lang w:val="en-US" w:eastAsia="zh-CN" w:bidi="ar-SA"/>
    </w:rPr>
  </w:style>
  <w:style w:type="paragraph" w:styleId="1176" w:customStyle="1">
    <w:name w:val="Heading 1_0"/>
    <w:basedOn w:val="1175"/>
    <w:next w:val="1175"/>
    <w:uiPriority w:val="0"/>
    <w:qFormat/>
    <w:pPr>
      <w:jc w:val="center"/>
      <w:keepLines/>
      <w:keepNext/>
      <w:spacing w:before="240" w:after="120" w:line="300" w:lineRule="auto"/>
      <w:outlineLvl w:val="0"/>
    </w:pPr>
    <w:rPr>
      <w:rFonts w:ascii="宋体"/>
      <w:b/>
      <w:sz w:val="32"/>
      <w:szCs w:val="20"/>
    </w:rPr>
  </w:style>
  <w:style w:type="paragraph" w:styleId="1177"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178" w:customStyle="1">
    <w:name w:val="正文文本 字符"/>
    <w:uiPriority w:val="0"/>
    <w:qFormat/>
    <w:rPr>
      <w:rFonts w:ascii="楷体_GB2312" w:hAnsi="Arial" w:eastAsia="楷体_GB2312" w:cs="Times New Roman"/>
      <w:sz w:val="28"/>
      <w:szCs w:val="28"/>
    </w:rPr>
  </w:style>
  <w:style w:type="character" w:styleId="1179" w:customStyle="1">
    <w:name w:val="正文文本缩进 字符"/>
    <w:uiPriority w:val="0"/>
    <w:qFormat/>
    <w:rPr>
      <w:rFonts w:ascii="楷体_GB2312" w:hAnsi="Times New Roman" w:eastAsia="楷体_GB2312" w:cs="Times New Roman"/>
      <w:sz w:val="32"/>
      <w:szCs w:val="32"/>
    </w:rPr>
  </w:style>
  <w:style w:type="character" w:styleId="1180" w:customStyle="1">
    <w:name w:val="正文文本 字符1"/>
    <w:uiPriority w:val="0"/>
    <w:qFormat/>
    <w:rPr>
      <w:rFonts w:ascii="Calibri" w:hAnsi="Calibri"/>
      <w:sz w:val="28"/>
      <w:szCs w:val="24"/>
    </w:rPr>
  </w:style>
  <w:style w:type="character" w:styleId="1181" w:customStyle="1">
    <w:name w:val="正文文本首行缩进 字符"/>
    <w:uiPriority w:val="0"/>
    <w:qFormat/>
    <w:rPr>
      <w:rFonts w:ascii="仿宋_GB2312" w:hAnsi="Calibri" w:eastAsia="仿宋_GB2312"/>
      <w:sz w:val="30"/>
      <w:szCs w:val="30"/>
    </w:rPr>
  </w:style>
  <w:style w:type="paragraph" w:styleId="1182" w:customStyle="1">
    <w:name w:val="索引 41"/>
    <w:basedOn w:val="774"/>
    <w:next w:val="774"/>
    <w:uiPriority w:val="0"/>
    <w:semiHidden/>
    <w:qFormat/>
    <w:pPr>
      <w:ind w:left="1260"/>
    </w:pPr>
    <w:rPr>
      <w:rFonts w:eastAsia="Calibri" w:cs="宋体"/>
      <w:sz w:val="20"/>
      <w:szCs w:val="21"/>
      <w:lang w:val="zh-CN"/>
    </w:rPr>
  </w:style>
  <w:style w:type="character" w:styleId="1183" w:customStyle="1">
    <w:name w:val="font5 Char"/>
    <w:uiPriority w:val="0"/>
    <w:qFormat/>
    <w:rPr>
      <w:rFonts w:ascii="宋体" w:hAnsi="宋体" w:eastAsia="宋体"/>
      <w:sz w:val="28"/>
      <w:szCs w:val="28"/>
      <w:lang w:val="en-US" w:eastAsia="zh-CN" w:bidi="ar-SA"/>
    </w:rPr>
  </w:style>
  <w:style w:type="character" w:styleId="1184" w:customStyle="1">
    <w:name w:val="二级目录 Char"/>
    <w:link w:val="1185"/>
    <w:uiPriority w:val="0"/>
    <w:qFormat/>
    <w:rPr>
      <w:b/>
      <w:sz w:val="30"/>
      <w:szCs w:val="28"/>
    </w:rPr>
  </w:style>
  <w:style w:type="paragraph" w:styleId="1185" w:customStyle="1">
    <w:name w:val="二级目录"/>
    <w:next w:val="774"/>
    <w:link w:val="1184"/>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86" w:customStyle="1">
    <w:name w:val="列出段落 Char"/>
    <w:link w:val="1187"/>
    <w:uiPriority w:val="0"/>
    <w:qFormat/>
    <w:rPr>
      <w:rFonts w:ascii="Calibri" w:hAnsi="Calibri"/>
      <w:sz w:val="24"/>
      <w:szCs w:val="24"/>
      <w:lang w:eastAsia="en-US" w:bidi="en-US"/>
    </w:rPr>
  </w:style>
  <w:style w:type="paragraph" w:styleId="1187" w:customStyle="1">
    <w:name w:val="列出段落1"/>
    <w:basedOn w:val="774"/>
    <w:link w:val="1186"/>
    <w:uiPriority w:val="0"/>
    <w:qFormat/>
    <w:pPr>
      <w:contextualSpacing/>
      <w:ind w:left="720"/>
      <w:jc w:val="left"/>
      <w:widowControl/>
    </w:pPr>
    <w:rPr>
      <w:sz w:val="24"/>
      <w:szCs w:val="24"/>
      <w:lang w:eastAsia="en-US" w:bidi="en-US"/>
    </w:rPr>
  </w:style>
  <w:style w:type="paragraph" w:styleId="1188" w:customStyle="1">
    <w:name w:val="Body Text(ch)"/>
    <w:basedOn w:val="774"/>
    <w:uiPriority w:val="0"/>
    <w:qFormat/>
    <w:pPr>
      <w:spacing w:after="120"/>
    </w:pPr>
    <w:rPr>
      <w:rFonts w:ascii="宋体" w:hAnsi="Arial"/>
      <w:bCs/>
      <w:iCs/>
      <w:szCs w:val="24"/>
    </w:rPr>
  </w:style>
  <w:style w:type="paragraph" w:styleId="1189" w:customStyle="1">
    <w:name w:val="xl27"/>
    <w:basedOn w:val="7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90" w:customStyle="1">
    <w:name w:val="xl2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91" w:customStyle="1">
    <w:name w:val="Char"/>
    <w:basedOn w:val="774"/>
    <w:uiPriority w:val="0"/>
    <w:qFormat/>
    <w:pPr>
      <w:ind w:firstLine="200"/>
      <w:tabs>
        <w:tab w:val="left" w:pos="360" w:leader="none"/>
      </w:tabs>
    </w:pPr>
    <w:rPr>
      <w:rFonts w:ascii="Times New Roman" w:hAnsi="Times New Roman"/>
      <w:sz w:val="28"/>
      <w:szCs w:val="30"/>
    </w:rPr>
  </w:style>
  <w:style w:type="paragraph" w:styleId="1192" w:customStyle="1">
    <w:name w:val="Char1"/>
    <w:basedOn w:val="798"/>
    <w:uiPriority w:val="0"/>
    <w:qFormat/>
    <w:rPr>
      <w:rFonts w:ascii="Tahoma" w:hAnsi="Tahoma"/>
      <w:sz w:val="24"/>
      <w:szCs w:val="24"/>
    </w:rPr>
  </w:style>
  <w:style w:type="paragraph" w:styleId="1193" w:customStyle="1">
    <w:name w:val="table_lines"/>
    <w:basedOn w:val="774"/>
    <w:uiPriority w:val="0"/>
    <w:qFormat/>
    <w:pPr>
      <w:jc w:val="left"/>
      <w:widowControl/>
    </w:pPr>
    <w:rPr>
      <w:rFonts w:ascii="Times New Roman" w:hAnsi="Times New Roman"/>
      <w:sz w:val="20"/>
      <w:szCs w:val="20"/>
      <w:lang w:val="de-DE" w:eastAsia="de-DE"/>
    </w:rPr>
  </w:style>
  <w:style w:type="paragraph" w:styleId="1194"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95" w:customStyle="1">
    <w:name w:val="font7"/>
    <w:basedOn w:val="774"/>
    <w:uiPriority w:val="0"/>
    <w:qFormat/>
    <w:pPr>
      <w:jc w:val="left"/>
      <w:spacing w:before="100" w:beforeAutospacing="1" w:after="100" w:afterAutospacing="1"/>
      <w:widowControl/>
    </w:pPr>
    <w:rPr>
      <w:rFonts w:hint="eastAsia" w:ascii="宋体" w:hAnsi="宋体"/>
      <w:sz w:val="18"/>
      <w:szCs w:val="18"/>
    </w:rPr>
  </w:style>
  <w:style w:type="paragraph" w:styleId="1196" w:customStyle="1">
    <w:name w:val="Char Char Char Char"/>
    <w:basedOn w:val="798"/>
    <w:uiPriority w:val="0"/>
    <w:qFormat/>
    <w:pPr>
      <w:spacing w:line="360" w:lineRule="auto"/>
    </w:pPr>
    <w:rPr>
      <w:rFonts w:ascii="Tahoma" w:hAnsi="Tahoma"/>
      <w:sz w:val="24"/>
      <w:szCs w:val="24"/>
    </w:rPr>
  </w:style>
  <w:style w:type="paragraph" w:styleId="1197" w:customStyle="1">
    <w:name w:val="4"/>
    <w:basedOn w:val="774"/>
    <w:next w:val="820"/>
    <w:uiPriority w:val="0"/>
    <w:qFormat/>
    <w:pPr>
      <w:ind w:firstLine="420"/>
      <w:spacing w:line="360" w:lineRule="auto"/>
    </w:pPr>
    <w:rPr>
      <w:rFonts w:ascii="Times New Roman" w:hAnsi="Times New Roman"/>
      <w:color w:val="ff0000"/>
      <w:sz w:val="24"/>
      <w:szCs w:val="24"/>
    </w:rPr>
  </w:style>
  <w:style w:type="paragraph" w:styleId="1198" w:customStyle="1">
    <w:name w:val="普通 (Web)"/>
    <w:basedOn w:val="774"/>
    <w:uiPriority w:val="0"/>
    <w:qFormat/>
    <w:pPr>
      <w:jc w:val="left"/>
      <w:spacing w:before="100" w:beforeAutospacing="1" w:after="100" w:afterAutospacing="1"/>
      <w:widowControl/>
    </w:pPr>
    <w:rPr>
      <w:rFonts w:ascii="宋体" w:hAnsi="宋体"/>
      <w:sz w:val="24"/>
      <w:szCs w:val="24"/>
    </w:rPr>
  </w:style>
  <w:style w:type="paragraph" w:styleId="1199" w:customStyle="1">
    <w:name w:val="Char Char Char Char Char Char Char Char Char Char"/>
    <w:basedOn w:val="774"/>
    <w:uiPriority w:val="0"/>
    <w:qFormat/>
    <w:pPr>
      <w:spacing w:line="360" w:lineRule="auto"/>
    </w:pPr>
    <w:rPr>
      <w:rFonts w:ascii="Times New Roman" w:hAnsi="Times New Roman"/>
      <w:sz w:val="24"/>
      <w:szCs w:val="20"/>
    </w:rPr>
  </w:style>
  <w:style w:type="paragraph" w:styleId="1200" w:customStyle="1">
    <w:name w:val="样式1"/>
    <w:basedOn w:val="774"/>
    <w:uiPriority w:val="0"/>
    <w:qFormat/>
    <w:pPr>
      <w:numPr>
        <w:ilvl w:val="0"/>
        <w:numId w:val="2"/>
      </w:numPr>
      <w:tabs>
        <w:tab w:val="left" w:pos="709" w:leader="none"/>
      </w:tabs>
    </w:pPr>
    <w:rPr>
      <w:rFonts w:ascii="宋体" w:hAnsi="宋体"/>
      <w:szCs w:val="21"/>
    </w:rPr>
  </w:style>
  <w:style w:type="paragraph" w:styleId="1201" w:customStyle="1">
    <w:name w:val="font6"/>
    <w:basedOn w:val="774"/>
    <w:uiPriority w:val="0"/>
    <w:qFormat/>
    <w:pPr>
      <w:jc w:val="left"/>
      <w:spacing w:before="100" w:beforeAutospacing="1" w:after="100" w:afterAutospacing="1"/>
      <w:widowControl/>
    </w:pPr>
    <w:rPr>
      <w:rFonts w:hint="eastAsia" w:ascii="宋体" w:hAnsi="宋体"/>
      <w:sz w:val="28"/>
      <w:szCs w:val="28"/>
      <w:u w:val="single"/>
    </w:rPr>
  </w:style>
  <w:style w:type="paragraph" w:styleId="1202" w:customStyle="1">
    <w:name w:val="xl25"/>
    <w:basedOn w:val="7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3" w:customStyle="1">
    <w:name w:val="图标"/>
    <w:basedOn w:val="774"/>
    <w:next w:val="77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4" w:customStyle="1">
    <w:name w:val="标题3"/>
    <w:basedOn w:val="774"/>
    <w:next w:val="774"/>
    <w:uiPriority w:val="0"/>
    <w:qFormat/>
    <w:pPr>
      <w:ind w:firstLine="624"/>
      <w:spacing w:line="590" w:lineRule="atLeast"/>
    </w:pPr>
    <w:rPr>
      <w:rFonts w:ascii="方正黑体_GBK" w:hAnsi="Times New Roman" w:eastAsia="方正黑体_GBK"/>
      <w:sz w:val="32"/>
      <w:szCs w:val="32"/>
    </w:rPr>
  </w:style>
  <w:style w:type="paragraph" w:styleId="1205" w:customStyle="1">
    <w:name w:val="xl24"/>
    <w:basedOn w:val="7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06" w:customStyle="1">
    <w:name w:val="xl29"/>
    <w:basedOn w:val="77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207" w:customStyle="1">
    <w:name w:val="Char Char Char Char Char Char Char Char"/>
    <w:basedOn w:val="774"/>
    <w:uiPriority w:val="0"/>
    <w:qFormat/>
    <w:pPr>
      <w:jc w:val="left"/>
      <w:spacing w:after="160" w:line="240" w:lineRule="exact"/>
      <w:widowControl/>
    </w:pPr>
    <w:rPr>
      <w:rFonts w:ascii="Verdana" w:hAnsi="Verdana"/>
      <w:sz w:val="20"/>
      <w:szCs w:val="20"/>
      <w:lang w:eastAsia="en-US"/>
    </w:rPr>
  </w:style>
  <w:style w:type="paragraph" w:styleId="1208" w:customStyle="1">
    <w:name w:val="xl28"/>
    <w:basedOn w:val="77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09" w:customStyle="1">
    <w:name w:val="Char Char Char Char Char Char Char Char1"/>
    <w:basedOn w:val="774"/>
    <w:uiPriority w:val="0"/>
    <w:qFormat/>
    <w:pPr>
      <w:jc w:val="left"/>
      <w:spacing w:after="160" w:line="240" w:lineRule="exact"/>
      <w:widowControl/>
    </w:pPr>
    <w:rPr>
      <w:rFonts w:ascii="Verdana" w:hAnsi="Verdana"/>
      <w:sz w:val="20"/>
      <w:szCs w:val="20"/>
      <w:lang w:eastAsia="en-US"/>
    </w:rPr>
  </w:style>
  <w:style w:type="paragraph" w:styleId="1210" w:customStyle="1">
    <w:name w:val="xl30"/>
    <w:basedOn w:val="774"/>
    <w:uiPriority w:val="0"/>
    <w:qFormat/>
    <w:pPr>
      <w:jc w:val="center"/>
      <w:spacing w:before="100" w:beforeAutospacing="1" w:after="100" w:afterAutospacing="1"/>
      <w:widowControl/>
    </w:pPr>
    <w:rPr>
      <w:rFonts w:ascii="宋体" w:hAnsi="宋体"/>
      <w:b/>
      <w:bCs/>
      <w:sz w:val="36"/>
      <w:szCs w:val="36"/>
    </w:rPr>
  </w:style>
  <w:style w:type="paragraph" w:styleId="1211" w:customStyle="1">
    <w:name w:val="Char Char Char Char1"/>
    <w:basedOn w:val="798"/>
    <w:uiPriority w:val="0"/>
    <w:qFormat/>
    <w:pPr>
      <w:spacing w:line="360" w:lineRule="auto"/>
    </w:pPr>
    <w:rPr>
      <w:rFonts w:ascii="Tahoma" w:hAnsi="Tahoma"/>
      <w:sz w:val="24"/>
      <w:szCs w:val="24"/>
    </w:rPr>
  </w:style>
  <w:style w:type="paragraph" w:styleId="1212" w:customStyle="1">
    <w:name w:val="table_1stline"/>
    <w:basedOn w:val="774"/>
    <w:uiPriority w:val="0"/>
    <w:qFormat/>
    <w:pPr>
      <w:jc w:val="left"/>
      <w:spacing w:before="120"/>
      <w:widowControl/>
    </w:pPr>
    <w:rPr>
      <w:rFonts w:ascii="Times New Roman" w:hAnsi="Times New Roman"/>
      <w:bCs/>
      <w:sz w:val="20"/>
      <w:szCs w:val="20"/>
      <w:lang w:val="de-DE" w:eastAsia="de-DE"/>
    </w:rPr>
  </w:style>
  <w:style w:type="paragraph" w:styleId="1213" w:customStyle="1">
    <w:name w:val="font5"/>
    <w:basedOn w:val="774"/>
    <w:uiPriority w:val="0"/>
    <w:qFormat/>
    <w:pPr>
      <w:jc w:val="left"/>
      <w:spacing w:before="100" w:beforeAutospacing="1" w:after="100" w:afterAutospacing="1"/>
      <w:widowControl/>
    </w:pPr>
    <w:rPr>
      <w:rFonts w:hint="eastAsia" w:ascii="宋体" w:hAnsi="宋体"/>
      <w:sz w:val="28"/>
      <w:szCs w:val="28"/>
    </w:rPr>
  </w:style>
  <w:style w:type="paragraph" w:styleId="1214" w:customStyle="1">
    <w:name w:val="标题1"/>
    <w:basedOn w:val="774"/>
    <w:next w:val="77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5" w:customStyle="1">
    <w:name w:val="修订1"/>
    <w:uiPriority w:val="99"/>
    <w:semiHidden/>
    <w:qFormat/>
    <w:rPr>
      <w:rFonts w:ascii="Times New Roman" w:hAnsi="Times New Roman" w:eastAsia="宋体" w:cs="Times New Roman"/>
      <w:sz w:val="21"/>
      <w:szCs w:val="21"/>
      <w:lang w:val="en-US" w:eastAsia="zh-CN" w:bidi="ar-SA"/>
    </w:rPr>
  </w:style>
  <w:style w:type="table" w:styleId="1216" w:customStyle="1">
    <w:name w:val="Table Normal"/>
    <w:uiPriority w:val="0"/>
    <w:qFormat/>
    <w:rPr>
      <w:lang w:val="en-US" w:eastAsia="zh-CN" w:bidi="ar-SA"/>
    </w:rPr>
    <w:tblPr>
      <w:tblCellMar>
        <w:left w:w="0" w:type="dxa"/>
        <w:top w:w="0" w:type="dxa"/>
        <w:right w:w="0" w:type="dxa"/>
        <w:bottom w:w="0" w:type="dxa"/>
      </w:tblCellMar>
    </w:tblPr>
  </w:style>
  <w:style w:type="paragraph" w:styleId="1217" w:customStyle="1">
    <w:name w:val="正文文本12"/>
    <w:basedOn w:val="774"/>
    <w:uiPriority w:val="1"/>
    <w:qFormat/>
    <w:pPr>
      <w:ind w:left="120"/>
    </w:pPr>
    <w:rPr>
      <w:rFonts w:ascii="宋体" w:hAnsi="宋体" w:cs="宋体"/>
      <w:szCs w:val="21"/>
      <w:lang w:val="zh-CN" w:bidi="zh-CN"/>
    </w:rPr>
  </w:style>
  <w:style w:type="paragraph" w:styleId="1218" w:customStyle="1">
    <w:name w:val="首行缩进"/>
    <w:basedOn w:val="774"/>
    <w:uiPriority w:val="0"/>
    <w:qFormat/>
    <w:pPr>
      <w:ind w:firstLine="480"/>
    </w:pPr>
    <w:rPr>
      <w:rFonts w:ascii="Times New Roman" w:hAnsi="Times New Roman"/>
      <w:szCs w:val="21"/>
      <w:lang w:val="zh-CN"/>
    </w:rPr>
  </w:style>
  <w:style w:type="paragraph" w:styleId="1219" w:customStyle="1">
    <w:name w:val="部分1"/>
    <w:basedOn w:val="77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0" w:customStyle="1">
    <w:name w:val="15"/>
    <w:uiPriority w:val="0"/>
    <w:qFormat/>
    <w:rPr>
      <w:rFonts w:hint="default" w:ascii="Times New Roman" w:hAnsi="Times New Roman" w:cs="Times New Roman"/>
    </w:rPr>
  </w:style>
  <w:style w:type="paragraph" w:styleId="1221" w:customStyle="1">
    <w:name w:val="正文文本缩进 2_0"/>
    <w:basedOn w:val="1058"/>
    <w:uiPriority w:val="0"/>
    <w:qFormat/>
    <w:pPr>
      <w:ind w:firstLine="720"/>
      <w:jc w:val="left"/>
      <w:spacing w:line="540" w:lineRule="exact"/>
    </w:pPr>
    <w:rPr>
      <w:rFonts w:ascii="仿宋_GB2312" w:hAnsi="仿宋_GB2312" w:cs="宋体"/>
      <w:sz w:val="32"/>
      <w:szCs w:val="32"/>
    </w:rPr>
  </w:style>
  <w:style w:type="character" w:styleId="1222" w:customStyle="1">
    <w:name w:val="10"/>
    <w:uiPriority w:val="0"/>
    <w:qFormat/>
    <w:rPr>
      <w:rFonts w:hint="default" w:ascii="Times New Roman" w:hAnsi="Times New Roman" w:cs="Times New Roman"/>
    </w:rPr>
  </w:style>
  <w:style w:type="paragraph" w:styleId="1223" w:customStyle="1">
    <w:name w:val="正文_16_1"/>
    <w:basedOn w:val="774"/>
    <w:uiPriority w:val="0"/>
    <w:qFormat/>
    <w:rPr>
      <w:rFonts w:ascii="Times New Roman" w:hAnsi="Times New Roman"/>
      <w:szCs w:val="21"/>
    </w:rPr>
  </w:style>
  <w:style w:type="paragraph" w:styleId="1224" w:customStyle="1">
    <w:name w:val="页脚1"/>
    <w:basedOn w:val="774"/>
    <w:uiPriority w:val="0"/>
    <w:qFormat/>
    <w:pPr>
      <w:jc w:val="left"/>
      <w:tabs>
        <w:tab w:val="center" w:pos="4153" w:leader="none"/>
        <w:tab w:val="right" w:pos="8306" w:leader="none"/>
      </w:tabs>
    </w:pPr>
    <w:rPr>
      <w:sz w:val="18"/>
      <w:szCs w:val="18"/>
    </w:rPr>
  </w:style>
  <w:style w:type="character" w:styleId="1225" w:customStyle="1">
    <w:name w:val="页码1"/>
    <w:uiPriority w:val="0"/>
    <w:qFormat/>
  </w:style>
  <w:style w:type="paragraph" w:styleId="1226" w:customStyle="1">
    <w:name w:val="*正文"/>
    <w:basedOn w:val="1227"/>
    <w:uiPriority w:val="0"/>
    <w:qFormat/>
    <w:pPr>
      <w:ind w:firstLine="200"/>
    </w:pPr>
    <w:rPr>
      <w:rFonts w:ascii="宋体" w:hAnsi="宋体"/>
      <w:color w:val="000000"/>
      <w:sz w:val="24"/>
      <w:szCs w:val="24"/>
    </w:rPr>
  </w:style>
  <w:style w:type="paragraph" w:styleId="1227" w:customStyle="1">
    <w:name w:val="正文缩进11"/>
    <w:basedOn w:val="774"/>
    <w:uiPriority w:val="0"/>
    <w:qFormat/>
    <w:pPr>
      <w:ind w:firstLine="420"/>
    </w:pPr>
    <w:rPr>
      <w:rFonts w:ascii="宋体"/>
      <w:color w:val="000000"/>
      <w:sz w:val="24"/>
      <w:szCs w:val="20"/>
    </w:rPr>
  </w:style>
  <w:style w:type="paragraph" w:styleId="1228" w:customStyle="1">
    <w:name w:val="*正文_0"/>
    <w:basedOn w:val="1229"/>
    <w:uiPriority w:val="0"/>
    <w:qFormat/>
    <w:pPr>
      <w:ind w:firstLine="200"/>
      <w:spacing w:line="360" w:lineRule="auto"/>
    </w:pPr>
    <w:rPr>
      <w:rFonts w:ascii="宋体" w:hAnsi="宋体" w:eastAsia="Arial" w:cs="Arial"/>
      <w:color w:val="000000"/>
      <w:sz w:val="24"/>
    </w:rPr>
  </w:style>
  <w:style w:type="paragraph" w:styleId="1229" w:customStyle="1">
    <w:name w:val="正文缩进_2"/>
    <w:basedOn w:val="1083"/>
    <w:uiPriority w:val="0"/>
    <w:unhideWhenUsed/>
    <w:qFormat/>
    <w:pPr>
      <w:ind w:firstLine="420"/>
      <w:jc w:val="left"/>
      <w:widowControl/>
    </w:pPr>
    <w:rPr>
      <w:rFonts w:ascii="Times New Roman" w:hAnsi="Times New Roman"/>
      <w:sz w:val="20"/>
      <w:szCs w:val="24"/>
    </w:rPr>
  </w:style>
  <w:style w:type="paragraph" w:styleId="1230" w:customStyle="1">
    <w:name w:val="*正文_0_0"/>
    <w:basedOn w:val="1083"/>
    <w:uiPriority w:val="0"/>
    <w:qFormat/>
    <w:pPr>
      <w:ind w:firstLine="200"/>
      <w:jc w:val="left"/>
      <w:spacing w:line="360" w:lineRule="auto"/>
      <w:widowControl/>
    </w:pPr>
    <w:rPr>
      <w:rFonts w:ascii="宋体" w:hAnsi="宋体" w:eastAsia="Arial" w:cs="Arial"/>
      <w:color w:val="000000"/>
      <w:sz w:val="24"/>
      <w:szCs w:val="24"/>
    </w:rPr>
  </w:style>
  <w:style w:type="paragraph" w:styleId="1231" w:customStyle="1">
    <w:name w:val="无间隔1_0_0"/>
    <w:basedOn w:val="1083"/>
    <w:uiPriority w:val="0"/>
    <w:qFormat/>
    <w:rPr>
      <w:rFonts w:ascii="Times New Roman" w:hAnsi="Times New Roman"/>
      <w:szCs w:val="21"/>
    </w:rPr>
  </w:style>
  <w:style w:type="paragraph" w:styleId="1232"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33" w:customStyle="1">
    <w:name w:val="标题 4_0"/>
    <w:basedOn w:val="1234"/>
    <w:next w:val="1234"/>
    <w:uiPriority w:val="9"/>
    <w:unhideWhenUsed/>
    <w:qFormat/>
    <w:pPr>
      <w:keepLines/>
      <w:keepNext/>
      <w:spacing w:before="280" w:after="290" w:line="372" w:lineRule="auto"/>
      <w:outlineLvl w:val="3"/>
    </w:pPr>
    <w:rPr>
      <w:rFonts w:ascii="Arial" w:hAnsi="Arial" w:eastAsia="黑体"/>
      <w:b/>
      <w:sz w:val="28"/>
    </w:rPr>
  </w:style>
  <w:style w:type="paragraph" w:styleId="1234" w:customStyle="1">
    <w:name w:val="正文4"/>
    <w:uiPriority w:val="0"/>
    <w:qFormat/>
    <w:pPr>
      <w:jc w:val="both"/>
      <w:widowControl w:val="off"/>
    </w:pPr>
    <w:rPr>
      <w:rFonts w:ascii="Calibri" w:hAnsi="Calibri" w:eastAsia="宋体" w:cs="Times New Roman"/>
      <w:lang w:val="en-US" w:eastAsia="zh-CN" w:bidi="ar-SA"/>
    </w:rPr>
  </w:style>
  <w:style w:type="paragraph" w:styleId="1235"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36" w:customStyle="1">
    <w:name w:val="p17_0_0"/>
    <w:basedOn w:val="1125"/>
    <w:uiPriority w:val="0"/>
    <w:qFormat/>
    <w:pPr>
      <w:jc w:val="left"/>
      <w:spacing w:before="100" w:beforeAutospacing="1" w:after="100" w:afterAutospacing="1"/>
      <w:widowControl/>
    </w:pPr>
    <w:rPr>
      <w:rFonts w:ascii="宋体" w:hAnsi="宋体" w:eastAsia="Times New Roman" w:cs="宋体"/>
      <w:sz w:val="24"/>
      <w:szCs w:val="24"/>
    </w:rPr>
  </w:style>
  <w:style w:type="paragraph" w:styleId="1237" w:customStyle="1">
    <w:name w:val="p17_0"/>
    <w:basedOn w:val="789"/>
    <w:uiPriority w:val="0"/>
    <w:qFormat/>
    <w:pPr>
      <w:jc w:val="left"/>
      <w:spacing w:before="100" w:beforeAutospacing="1" w:after="100" w:afterAutospacing="1"/>
      <w:widowControl/>
    </w:pPr>
    <w:rPr>
      <w:rFonts w:ascii="宋体" w:hAnsi="宋体" w:eastAsia="Times New Roman" w:cs="宋体"/>
      <w:sz w:val="24"/>
      <w:szCs w:val="24"/>
    </w:rPr>
  </w:style>
  <w:style w:type="paragraph" w:styleId="1238" w:customStyle="1">
    <w:name w:val="普通(网站)11"/>
    <w:basedOn w:val="774"/>
    <w:uiPriority w:val="99"/>
    <w:qFormat/>
    <w:rPr>
      <w:sz w:val="24"/>
    </w:rPr>
  </w:style>
  <w:style w:type="paragraph" w:styleId="123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40" w:customStyle="1">
    <w:name w:val="标题 211"/>
    <w:basedOn w:val="774"/>
    <w:next w:val="774"/>
    <w:uiPriority w:val="0"/>
    <w:qFormat/>
    <w:pPr>
      <w:keepLines/>
      <w:keepNext/>
      <w:spacing w:before="260" w:after="260" w:line="413" w:lineRule="auto"/>
      <w:outlineLvl w:val="1"/>
    </w:pPr>
    <w:rPr>
      <w:rFonts w:ascii="Arial" w:hAnsi="Arial" w:eastAsia="黑体"/>
      <w:b/>
      <w:sz w:val="32"/>
      <w:szCs w:val="20"/>
    </w:rPr>
  </w:style>
  <w:style w:type="paragraph" w:styleId="1241" w:customStyle="1">
    <w:name w:val="标题 312"/>
    <w:basedOn w:val="774"/>
    <w:next w:val="774"/>
    <w:uiPriority w:val="0"/>
    <w:qFormat/>
    <w:pPr>
      <w:keepLines/>
      <w:keepNext/>
      <w:spacing w:before="320" w:after="200"/>
      <w:outlineLvl w:val="2"/>
    </w:pPr>
    <w:rPr>
      <w:rFonts w:ascii="Arial" w:hAnsi="Arial" w:eastAsia="Arial" w:cs="Arial"/>
      <w:sz w:val="30"/>
      <w:szCs w:val="30"/>
    </w:rPr>
  </w:style>
  <w:style w:type="paragraph" w:styleId="1242" w:customStyle="1">
    <w:name w:val="标题 411"/>
    <w:basedOn w:val="774"/>
    <w:next w:val="774"/>
    <w:uiPriority w:val="0"/>
    <w:qFormat/>
    <w:pPr>
      <w:jc w:val="center"/>
      <w:keepNext/>
      <w:outlineLvl w:val="3"/>
    </w:pPr>
    <w:rPr>
      <w:rFonts w:eastAsia="新宋体"/>
      <w:sz w:val="30"/>
      <w:szCs w:val="21"/>
    </w:rPr>
  </w:style>
  <w:style w:type="paragraph" w:styleId="1243" w:customStyle="1">
    <w:name w:val="Normal_19_0_0_0_0"/>
    <w:uiPriority w:val="0"/>
    <w:qFormat/>
    <w:pPr>
      <w:jc w:val="both"/>
      <w:widowControl w:val="off"/>
    </w:pPr>
    <w:rPr>
      <w:rFonts w:ascii="Calibri" w:hAnsi="Calibri" w:eastAsia="宋体" w:cs="黑体"/>
      <w:sz w:val="21"/>
      <w:szCs w:val="21"/>
      <w:lang w:val="en-US" w:eastAsia="zh-CN" w:bidi="ar-SA"/>
    </w:rPr>
  </w:style>
  <w:style w:type="paragraph" w:styleId="1244" w:customStyle="1">
    <w:name w:val="普通(网站)2"/>
    <w:basedOn w:val="1066"/>
    <w:next w:val="1245"/>
    <w:uiPriority w:val="99"/>
    <w:qFormat/>
    <w:pPr>
      <w:jc w:val="left"/>
      <w:spacing w:before="100" w:beforeAutospacing="1" w:after="100" w:afterAutospacing="1"/>
      <w:widowControl/>
    </w:pPr>
    <w:rPr>
      <w:rFonts w:ascii="宋体" w:eastAsia="Times New Roman"/>
      <w:sz w:val="24"/>
    </w:rPr>
  </w:style>
  <w:style w:type="paragraph" w:styleId="1245" w:customStyle="1">
    <w:name w:val="TOC 41"/>
    <w:basedOn w:val="1066"/>
    <w:next w:val="1066"/>
    <w:uiPriority w:val="39"/>
    <w:unhideWhenUsed/>
    <w:qFormat/>
    <w:pPr>
      <w:ind w:left="1260"/>
    </w:pPr>
  </w:style>
  <w:style w:type="paragraph" w:styleId="1246" w:customStyle="1">
    <w:name w:val="正文文本4"/>
    <w:basedOn w:val="918"/>
    <w:uiPriority w:val="0"/>
    <w:qFormat/>
    <w:pPr>
      <w:spacing w:line="60" w:lineRule="auto"/>
    </w:pPr>
    <w:rPr>
      <w:rFonts w:ascii="仿宋_GB2312" w:eastAsia="仿宋_GB2312"/>
      <w:sz w:val="32"/>
      <w:szCs w:val="22"/>
    </w:rPr>
  </w:style>
  <w:style w:type="paragraph" w:styleId="1247" w:customStyle="1">
    <w:name w:val="正文文本11"/>
    <w:uiPriority w:val="0"/>
    <w:qFormat/>
    <w:pPr>
      <w:jc w:val="both"/>
      <w:widowControl w:val="off"/>
    </w:pPr>
    <w:rPr>
      <w:rFonts w:ascii="仿宋" w:hAnsi="仿宋" w:eastAsia="仿宋" w:cs="仿宋"/>
      <w:sz w:val="32"/>
      <w:szCs w:val="32"/>
      <w:lang w:val="en-US" w:eastAsia="zh-CN" w:bidi="ar-SA"/>
    </w:rPr>
  </w:style>
  <w:style w:type="paragraph" w:styleId="1248" w:customStyle="1">
    <w:name w:val="普通(网站)111"/>
    <w:basedOn w:val="774"/>
    <w:uiPriority w:val="99"/>
    <w:qFormat/>
    <w:pPr>
      <w:jc w:val="left"/>
      <w:spacing w:before="100" w:beforeAutospacing="1" w:after="100" w:afterAutospacing="1"/>
      <w:widowControl/>
    </w:pPr>
    <w:rPr>
      <w:rFonts w:ascii="宋体" w:hAnsi="宋体" w:cs="宋体"/>
      <w:sz w:val="24"/>
      <w:szCs w:val="24"/>
    </w:rPr>
  </w:style>
  <w:style w:type="paragraph" w:styleId="1249" w:customStyle="1">
    <w:name w:val="页脚111"/>
    <w:basedOn w:val="774"/>
    <w:uiPriority w:val="99"/>
    <w:qFormat/>
    <w:pPr>
      <w:jc w:val="left"/>
      <w:tabs>
        <w:tab w:val="center" w:pos="4153" w:leader="none"/>
        <w:tab w:val="right" w:pos="8306" w:leader="none"/>
      </w:tabs>
    </w:pPr>
    <w:rPr>
      <w:sz w:val="18"/>
      <w:szCs w:val="18"/>
    </w:rPr>
  </w:style>
  <w:style w:type="paragraph" w:styleId="1250" w:customStyle="1">
    <w:name w:val="_Style 476"/>
    <w:uiPriority w:val="99"/>
    <w:unhideWhenUsed/>
    <w:qFormat/>
    <w:rPr>
      <w:rFonts w:ascii="Calibri" w:hAnsi="Calibri" w:eastAsia="宋体" w:cs="Times New Roman"/>
      <w:sz w:val="21"/>
      <w:szCs w:val="22"/>
      <w:lang w:val="en-US" w:eastAsia="zh-CN" w:bidi="ar-SA"/>
    </w:rPr>
  </w:style>
  <w:style w:type="numbering" w:styleId="12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张毅</cp:lastModifiedBy>
  <cp:revision>5</cp:revision>
  <dcterms:created xsi:type="dcterms:W3CDTF">2023-07-23T13:07:00Z</dcterms:created>
  <dcterms:modified xsi:type="dcterms:W3CDTF">2026-06-17T02:52:02Z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293C36FC0DEC4ABE94049E8F0EFDA0BD_13</vt:lpwstr>
  </property>
  <property fmtid="{D5CDD505-2E9C-101B-9397-08002B2CF9AE}" pid="4" name="KSOTemplateDocerSaveRecord">
    <vt:lpwstr>eyJoZGlkIjoiM2FlM2ViMDRkMDAwOTJlYzVjNDQ0YTNlNTMyMzM5OWEiLCJ1c2VySWQiOiIyOTIxNTk5NDUifQ==</vt:lpwstr>
  </property>
</Properties>
</file>