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AC915D">
      <w:pPr>
        <w:pStyle w:val="2"/>
        <w:spacing w:before="0"/>
        <w:ind w:right="77"/>
      </w:pPr>
      <w:r>
        <w:rPr>
          <w:rFonts w:hint="eastAsia" w:ascii="仿宋" w:hAnsi="仿宋" w:eastAsia="仿宋" w:cs="仿宋"/>
          <w:b/>
          <w:bCs/>
          <w:sz w:val="44"/>
          <w:szCs w:val="44"/>
          <w:lang w:val="en-US" w:eastAsia="zh-CN"/>
        </w:rPr>
        <w:t>编制总说明</w:t>
      </w:r>
    </w:p>
    <w:p w14:paraId="4A8B514B">
      <w:pPr>
        <w:autoSpaceDE/>
        <w:autoSpaceDN/>
        <w:spacing w:before="0" w:after="0" w:line="240" w:lineRule="auto"/>
        <w:ind w:right="0"/>
        <w:jc w:val="both"/>
        <w:rPr>
          <w:w w:val="85"/>
          <w:szCs w:val="28"/>
        </w:rPr>
      </w:pPr>
      <w:r>
        <w:rPr>
          <w:rFonts w:hint="eastAsia" w:ascii="Times New Roman" w:hAnsi="Times New Roman" w:cs="Times New Roman"/>
          <w:kern w:val="2"/>
          <w:sz w:val="24"/>
          <w:szCs w:val="24"/>
          <w:lang w:val="en-US" w:eastAsia="zh-CN" w:bidi="ar-SA"/>
        </w:rPr>
        <w:t>工程</w:t>
      </w:r>
      <w:r>
        <w:rPr>
          <w:rFonts w:ascii="Times New Roman" w:hAnsi="Times New Roman" w:cs="Times New Roman"/>
          <w:kern w:val="2"/>
          <w:sz w:val="24"/>
          <w:szCs w:val="24"/>
          <w:lang w:val="en-US" w:bidi="ar-SA"/>
        </w:rPr>
        <w:t>名称：</w:t>
      </w:r>
      <w:r>
        <w:rPr>
          <w:rFonts w:hint="eastAsia" w:ascii="Times New Roman" w:hAnsi="Times New Roman" w:cs="Times New Roman"/>
          <w:kern w:val="2"/>
          <w:sz w:val="24"/>
          <w:szCs w:val="24"/>
          <w:highlight w:val="none"/>
          <w:u w:val="single"/>
          <w:lang w:val="en-US" w:eastAsia="zh-CN" w:bidi="ar-SA"/>
        </w:rPr>
        <w:t>中华中学浦口城南中学维修改造工程</w:t>
      </w:r>
      <w:r>
        <w:rPr>
          <w:rFonts w:hint="eastAsia" w:ascii="Times New Roman" w:hAnsi="Times New Roman" w:cs="Times New Roman"/>
          <w:kern w:val="2"/>
          <w:sz w:val="24"/>
          <w:szCs w:val="24"/>
          <w:lang w:val="en-US" w:eastAsia="zh-CN" w:bidi="ar-SA"/>
        </w:rPr>
        <w:t xml:space="preserve"> </w:t>
      </w:r>
      <w:r>
        <w:rPr>
          <w:sz w:val="24"/>
        </w:rPr>
        <w:t xml:space="preserve">          </w:t>
      </w:r>
    </w:p>
    <w:tbl>
      <w:tblPr>
        <w:tblStyle w:val="4"/>
        <w:tblW w:w="9066" w:type="dxa"/>
        <w:tblInd w:w="-49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66"/>
      </w:tblGrid>
      <w:tr w14:paraId="36078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3" w:hRule="atLeast"/>
        </w:trPr>
        <w:tc>
          <w:tcPr>
            <w:tcW w:w="9066" w:type="dxa"/>
            <w:tcBorders>
              <w:top w:val="single" w:color="auto" w:sz="4" w:space="0"/>
              <w:left w:val="single" w:color="auto" w:sz="4" w:space="0"/>
              <w:bottom w:val="single" w:color="auto" w:sz="4" w:space="0"/>
              <w:right w:val="single" w:color="auto" w:sz="4" w:space="0"/>
            </w:tcBorders>
            <w:noWrap w:val="0"/>
            <w:vAlign w:val="top"/>
          </w:tcPr>
          <w:p w14:paraId="0C8BA62E">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b/>
                <w:sz w:val="24"/>
                <w:szCs w:val="24"/>
              </w:rPr>
            </w:pPr>
            <w:r>
              <w:rPr>
                <w:b/>
                <w:sz w:val="24"/>
                <w:szCs w:val="24"/>
              </w:rPr>
              <w:t>一、工程概况：</w:t>
            </w:r>
          </w:p>
          <w:p w14:paraId="6E72B90B">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w:t>
            </w:r>
            <w:r>
              <w:rPr>
                <w:rFonts w:hint="eastAsia"/>
                <w:sz w:val="24"/>
                <w:highlight w:val="none"/>
                <w:lang w:val="en-US" w:eastAsia="zh-CN"/>
              </w:rPr>
              <w:t>中华中学浦口城南中学维修改造工程，位于南京市浦口区农场河路14号</w:t>
            </w:r>
            <w:r>
              <w:rPr>
                <w:rFonts w:hint="eastAsia" w:ascii="宋体" w:hAnsi="宋体"/>
                <w:sz w:val="24"/>
                <w:highlight w:val="none"/>
                <w:lang w:val="en-US" w:eastAsia="zh-CN"/>
              </w:rPr>
              <w:t>。</w:t>
            </w:r>
          </w:p>
          <w:p w14:paraId="21C562C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b/>
                <w:sz w:val="24"/>
                <w:szCs w:val="24"/>
              </w:rPr>
            </w:pPr>
            <w:r>
              <w:rPr>
                <w:b/>
                <w:sz w:val="24"/>
                <w:szCs w:val="24"/>
              </w:rPr>
              <w:t>工程</w:t>
            </w:r>
            <w:r>
              <w:rPr>
                <w:rFonts w:hint="eastAsia"/>
                <w:b/>
                <w:sz w:val="24"/>
                <w:szCs w:val="24"/>
                <w:lang w:val="en-US" w:eastAsia="zh-CN"/>
              </w:rPr>
              <w:t>编制</w:t>
            </w:r>
            <w:r>
              <w:rPr>
                <w:b/>
                <w:sz w:val="24"/>
                <w:szCs w:val="24"/>
              </w:rPr>
              <w:t>范围：</w:t>
            </w:r>
          </w:p>
          <w:p w14:paraId="3D6DBB73">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1、</w:t>
            </w:r>
            <w:r>
              <w:rPr>
                <w:rFonts w:hint="eastAsia"/>
                <w:sz w:val="24"/>
                <w:highlight w:val="none"/>
                <w:lang w:val="en-US" w:eastAsia="zh-CN"/>
              </w:rPr>
              <w:t>中华中学浦口城南中学维修改造工程，</w:t>
            </w:r>
            <w:r>
              <w:rPr>
                <w:rFonts w:hint="eastAsia" w:ascii="宋体" w:hAnsi="宋体"/>
                <w:sz w:val="24"/>
                <w:highlight w:val="none"/>
                <w:lang w:val="en-US" w:eastAsia="zh-CN"/>
              </w:rPr>
              <w:t>本项目主要包含</w:t>
            </w:r>
            <w:r>
              <w:rPr>
                <w:rFonts w:hint="eastAsia"/>
                <w:sz w:val="24"/>
                <w:highlight w:val="none"/>
                <w:lang w:val="en-US" w:eastAsia="zh-CN"/>
              </w:rPr>
              <w:t>主楼装修改造、室外雨水管网改造、电动车自行车棚（包含电瓶车充电桩安装）、室内室外消防安装、零星维修等施工内容</w:t>
            </w:r>
            <w:r>
              <w:rPr>
                <w:rFonts w:hint="eastAsia" w:ascii="宋体" w:hAnsi="宋体"/>
                <w:sz w:val="24"/>
                <w:highlight w:val="none"/>
                <w:lang w:val="en-US" w:eastAsia="zh-CN"/>
              </w:rPr>
              <w:t>。</w:t>
            </w:r>
          </w:p>
          <w:p w14:paraId="4A877C2D">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b/>
                <w:sz w:val="24"/>
                <w:szCs w:val="24"/>
              </w:rPr>
            </w:pPr>
            <w:r>
              <w:rPr>
                <w:b/>
                <w:sz w:val="24"/>
                <w:szCs w:val="24"/>
              </w:rPr>
              <w:t>三、编制依据</w:t>
            </w:r>
            <w:r>
              <w:rPr>
                <w:rFonts w:hint="eastAsia"/>
                <w:b/>
                <w:sz w:val="24"/>
                <w:szCs w:val="24"/>
              </w:rPr>
              <w:t>：</w:t>
            </w:r>
          </w:p>
          <w:p w14:paraId="38A5184E">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1、《建设工程工程量清单计价规范》（GB50500-2013）、《市政工程工程量计算规范》（GB50857-2013）、《通用安装工程工程量计算规范》（GB50856-2013）；</w:t>
            </w:r>
          </w:p>
          <w:p w14:paraId="6C2821D1">
            <w:pPr>
              <w:numPr>
                <w:ilvl w:val="0"/>
                <w:numId w:val="0"/>
              </w:numPr>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《江苏省</w:t>
            </w:r>
            <w:r>
              <w:rPr>
                <w:rFonts w:hint="eastAsia" w:cs="宋体"/>
                <w:color w:val="auto"/>
                <w:sz w:val="24"/>
                <w:szCs w:val="24"/>
                <w:highlight w:val="none"/>
                <w:lang w:val="en-US" w:eastAsia="zh-CN"/>
              </w:rPr>
              <w:t>建筑与装饰工程</w:t>
            </w:r>
            <w:r>
              <w:rPr>
                <w:rFonts w:hint="eastAsia" w:ascii="宋体" w:hAnsi="宋体" w:eastAsia="宋体" w:cs="宋体"/>
                <w:color w:val="auto"/>
                <w:sz w:val="24"/>
                <w:szCs w:val="24"/>
                <w:highlight w:val="none"/>
              </w:rPr>
              <w:t>计价定额》（2014年）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《江苏省市政工程计价定额》（2014年）</w:t>
            </w:r>
            <w:r>
              <w:rPr>
                <w:rFonts w:hint="eastAsia" w:ascii="宋体" w:hAnsi="宋体" w:eastAsia="宋体" w:cs="宋体"/>
                <w:color w:val="auto"/>
                <w:sz w:val="24"/>
                <w:szCs w:val="24"/>
                <w:highlight w:val="none"/>
                <w:lang w:eastAsia="zh-CN"/>
              </w:rPr>
              <w:t>、</w:t>
            </w:r>
            <w:r>
              <w:rPr>
                <w:rFonts w:hint="eastAsia" w:ascii="宋体" w:hAnsi="宋体" w:eastAsia="宋体" w:cs="宋体"/>
                <w:sz w:val="24"/>
              </w:rPr>
              <w:t>《江苏省安装工程计价定额》（2014 年）</w:t>
            </w:r>
            <w:r>
              <w:rPr>
                <w:rFonts w:hint="eastAsia" w:cs="宋体"/>
                <w:sz w:val="24"/>
                <w:lang w:eastAsia="zh-CN"/>
              </w:rPr>
              <w:t>、</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江苏修缮建筑工程计价定额</w:t>
            </w:r>
            <w:r>
              <w:rPr>
                <w:rFonts w:hint="eastAsia" w:ascii="宋体" w:hAnsi="宋体" w:eastAsia="宋体" w:cs="宋体"/>
                <w:color w:val="auto"/>
                <w:sz w:val="24"/>
                <w:szCs w:val="24"/>
                <w:highlight w:val="none"/>
              </w:rPr>
              <w:t>》（</w:t>
            </w:r>
            <w:r>
              <w:rPr>
                <w:rFonts w:hint="eastAsia" w:cs="宋体"/>
                <w:color w:val="auto"/>
                <w:sz w:val="24"/>
                <w:szCs w:val="24"/>
                <w:highlight w:val="none"/>
                <w:lang w:val="en-US" w:eastAsia="zh-CN"/>
              </w:rPr>
              <w:t>2009</w:t>
            </w:r>
            <w:r>
              <w:rPr>
                <w:rFonts w:hint="eastAsia" w:ascii="宋体" w:hAnsi="宋体" w:eastAsia="宋体" w:cs="宋体"/>
                <w:color w:val="auto"/>
                <w:sz w:val="24"/>
                <w:szCs w:val="24"/>
                <w:highlight w:val="none"/>
              </w:rPr>
              <w:t>年）</w:t>
            </w:r>
            <w:r>
              <w:rPr>
                <w:rFonts w:hint="eastAsia" w:cs="宋体"/>
                <w:sz w:val="24"/>
                <w:lang w:val="en-US" w:eastAsia="zh-CN"/>
              </w:rPr>
              <w:t>及其配套文件等；</w:t>
            </w:r>
          </w:p>
          <w:p w14:paraId="720BE7F2">
            <w:pPr>
              <w:numPr>
                <w:ilvl w:val="0"/>
                <w:numId w:val="0"/>
              </w:num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《江苏省</w:t>
            </w:r>
            <w:r>
              <w:rPr>
                <w:rFonts w:hint="eastAsia" w:ascii="宋体" w:hAnsi="宋体" w:eastAsia="宋体" w:cs="宋体"/>
                <w:color w:val="auto"/>
                <w:sz w:val="24"/>
                <w:szCs w:val="24"/>
                <w:highlight w:val="none"/>
                <w:lang w:eastAsia="zh-CN"/>
              </w:rPr>
              <w:t>建设工程费用定额》（2014年）及营改增后调整</w:t>
            </w:r>
            <w:r>
              <w:rPr>
                <w:rFonts w:hint="eastAsia" w:ascii="宋体" w:hAnsi="宋体" w:eastAsia="宋体" w:cs="宋体"/>
                <w:color w:val="auto"/>
                <w:sz w:val="24"/>
                <w:szCs w:val="24"/>
                <w:highlight w:val="none"/>
                <w:lang w:val="en-US" w:eastAsia="zh-CN"/>
              </w:rPr>
              <w:t>文件；</w:t>
            </w:r>
          </w:p>
          <w:p w14:paraId="0F61D1C7">
            <w:pPr>
              <w:numPr>
                <w:ilvl w:val="0"/>
                <w:numId w:val="0"/>
              </w:num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4、苏建函价〔2026〕27号及其附件中南京市人工工资指导价；</w:t>
            </w:r>
          </w:p>
          <w:p w14:paraId="7F2FD7B5">
            <w:pPr>
              <w:numPr>
                <w:ilvl w:val="0"/>
                <w:numId w:val="0"/>
              </w:numPr>
              <w:spacing w:line="50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5、发包人现场口头交底；</w:t>
            </w:r>
          </w:p>
          <w:p w14:paraId="3D6EE589">
            <w:pPr>
              <w:numPr>
                <w:ilvl w:val="0"/>
                <w:numId w:val="0"/>
              </w:numPr>
              <w:spacing w:line="50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6、招标文件；设计图纸、现场勘测情况；</w:t>
            </w:r>
          </w:p>
          <w:p w14:paraId="5038BC18">
            <w:pPr>
              <w:numPr>
                <w:ilvl w:val="0"/>
                <w:numId w:val="0"/>
              </w:numPr>
              <w:spacing w:line="500" w:lineRule="exact"/>
              <w:ind w:firstLine="480" w:firstLineChars="200"/>
              <w:rPr>
                <w:rFonts w:hint="eastAsia" w:ascii="宋体" w:hAnsi="宋体" w:eastAsia="宋体" w:cs="宋体"/>
                <w:kern w:val="0"/>
                <w:sz w:val="24"/>
                <w:szCs w:val="24"/>
                <w:lang w:val="en-US" w:eastAsia="zh-CN"/>
              </w:rPr>
            </w:pPr>
            <w:r>
              <w:rPr>
                <w:rFonts w:hint="eastAsia" w:ascii="宋体" w:hAnsi="宋体" w:eastAsia="宋体" w:cs="宋体"/>
                <w:color w:val="auto"/>
                <w:sz w:val="24"/>
                <w:szCs w:val="24"/>
                <w:highlight w:val="none"/>
                <w:lang w:val="en-US" w:eastAsia="zh-CN"/>
              </w:rPr>
              <w:t>7、南京市2026年</w:t>
            </w:r>
            <w:r>
              <w:rPr>
                <w:rFonts w:hint="eastAsia" w:cs="宋体"/>
                <w:color w:val="auto"/>
                <w:sz w:val="24"/>
                <w:szCs w:val="24"/>
                <w:highlight w:val="none"/>
                <w:u w:val="single"/>
                <w:lang w:val="en-US" w:eastAsia="zh-CN"/>
              </w:rPr>
              <w:t>四月</w:t>
            </w:r>
            <w:r>
              <w:rPr>
                <w:rFonts w:hint="eastAsia" w:cs="宋体"/>
                <w:sz w:val="24"/>
                <w:szCs w:val="24"/>
                <w:highlight w:val="none"/>
                <w:lang w:val="en-US" w:eastAsia="zh-CN"/>
              </w:rPr>
              <w:t>建设工程材料市场信息价格及</w:t>
            </w:r>
            <w:r>
              <w:rPr>
                <w:rFonts w:hint="eastAsia" w:ascii="宋体" w:hAnsi="宋体" w:eastAsia="宋体" w:cs="宋体"/>
                <w:kern w:val="0"/>
                <w:sz w:val="24"/>
                <w:szCs w:val="24"/>
                <w:lang w:val="en-US" w:eastAsia="zh-CN"/>
              </w:rPr>
              <w:t>市场询价</w:t>
            </w:r>
            <w:r>
              <w:rPr>
                <w:rFonts w:hint="eastAsia" w:cs="宋体"/>
                <w:kern w:val="0"/>
                <w:sz w:val="24"/>
                <w:szCs w:val="24"/>
                <w:lang w:val="en-US" w:eastAsia="zh-CN"/>
              </w:rPr>
              <w:t>。</w:t>
            </w:r>
          </w:p>
          <w:p w14:paraId="54CBFC6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b/>
                <w:sz w:val="24"/>
                <w:szCs w:val="24"/>
              </w:rPr>
            </w:pPr>
            <w:r>
              <w:rPr>
                <w:b/>
                <w:sz w:val="24"/>
                <w:szCs w:val="24"/>
              </w:rPr>
              <w:t>四、工程质量、材料、施工等的特殊要求：</w:t>
            </w:r>
          </w:p>
          <w:p w14:paraId="61F37C79">
            <w:pPr>
              <w:numPr>
                <w:ilvl w:val="0"/>
                <w:numId w:val="0"/>
              </w:numPr>
              <w:autoSpaceDE/>
              <w:autoSpaceDN/>
              <w:spacing w:before="0" w:after="0" w:line="500" w:lineRule="exact"/>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1、工程质量：详见招标文件。</w:t>
            </w:r>
          </w:p>
          <w:p w14:paraId="11E61474">
            <w:pPr>
              <w:numPr>
                <w:ilvl w:val="0"/>
                <w:numId w:val="0"/>
              </w:numPr>
              <w:autoSpaceDE/>
              <w:autoSpaceDN/>
              <w:spacing w:before="0" w:after="0" w:line="500" w:lineRule="exact"/>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2、材料：</w:t>
            </w:r>
          </w:p>
          <w:p w14:paraId="6E6702E9">
            <w:pPr>
              <w:numPr>
                <w:ilvl w:val="0"/>
                <w:numId w:val="0"/>
              </w:numPr>
              <w:autoSpaceDE/>
              <w:autoSpaceDN/>
              <w:spacing w:before="0" w:after="0" w:line="500" w:lineRule="exact"/>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（1）投标人自行采购的材料自主报价，并按合同约定承担价格的市场风险；</w:t>
            </w:r>
          </w:p>
          <w:p w14:paraId="7422D0B0">
            <w:pPr>
              <w:numPr>
                <w:ilvl w:val="0"/>
                <w:numId w:val="0"/>
              </w:numPr>
              <w:autoSpaceDE/>
              <w:autoSpaceDN/>
              <w:spacing w:before="0" w:after="0" w:line="500" w:lineRule="exact"/>
              <w:ind w:left="0" w:right="0" w:firstLine="480" w:firstLineChars="200"/>
              <w:jc w:val="both"/>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（2）材料暂定价：</w:t>
            </w:r>
            <w:r>
              <w:rPr>
                <w:rFonts w:hint="eastAsia" w:cs="宋体"/>
                <w:color w:val="auto"/>
                <w:kern w:val="2"/>
                <w:sz w:val="24"/>
                <w:szCs w:val="24"/>
                <w:highlight w:val="none"/>
                <w:lang w:val="en-US" w:eastAsia="zh-CN" w:bidi="ar-SA"/>
              </w:rPr>
              <w:t>详招标文件</w:t>
            </w:r>
            <w:r>
              <w:rPr>
                <w:rFonts w:hint="eastAsia" w:ascii="宋体" w:hAnsi="宋体" w:eastAsia="宋体" w:cs="宋体"/>
                <w:color w:val="auto"/>
                <w:kern w:val="2"/>
                <w:sz w:val="24"/>
                <w:szCs w:val="24"/>
                <w:highlight w:val="none"/>
                <w:lang w:val="en-US" w:eastAsia="zh-CN" w:bidi="ar-SA"/>
              </w:rPr>
              <w:t>。</w:t>
            </w:r>
          </w:p>
          <w:p w14:paraId="72833809">
            <w:pPr>
              <w:numPr>
                <w:ilvl w:val="0"/>
                <w:numId w:val="0"/>
              </w:numPr>
              <w:autoSpaceDE/>
              <w:autoSpaceDN/>
              <w:spacing w:before="0" w:after="0" w:line="500" w:lineRule="exact"/>
              <w:ind w:left="0" w:right="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3、施工等的特殊要求：详见招标文件。</w:t>
            </w:r>
          </w:p>
          <w:p w14:paraId="6B8DCE65">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2" w:firstLineChars="200"/>
              <w:jc w:val="both"/>
              <w:textAlignment w:val="auto"/>
              <w:rPr>
                <w:rFonts w:hint="eastAsia"/>
                <w:sz w:val="24"/>
                <w:szCs w:val="24"/>
              </w:rPr>
            </w:pPr>
            <w:r>
              <w:rPr>
                <w:b/>
                <w:sz w:val="24"/>
                <w:szCs w:val="24"/>
              </w:rPr>
              <w:t>五、招标人自行采购的材料：</w:t>
            </w:r>
            <w:r>
              <w:rPr>
                <w:rFonts w:hint="eastAsia" w:cs="宋体"/>
                <w:color w:val="auto"/>
                <w:kern w:val="2"/>
                <w:sz w:val="24"/>
                <w:szCs w:val="24"/>
                <w:highlight w:val="none"/>
                <w:lang w:val="en-US" w:eastAsia="zh-CN" w:bidi="ar-SA"/>
              </w:rPr>
              <w:t>详招标文件</w:t>
            </w:r>
            <w:r>
              <w:rPr>
                <w:rFonts w:hint="eastAsia"/>
                <w:sz w:val="24"/>
                <w:szCs w:val="24"/>
                <w:lang w:eastAsia="zh-CN"/>
              </w:rPr>
              <w:t>。</w:t>
            </w:r>
          </w:p>
          <w:p w14:paraId="73939167">
            <w:pPr>
              <w:keepNext w:val="0"/>
              <w:keepLines w:val="0"/>
              <w:pageBreakBefore w:val="0"/>
              <w:widowControl w:val="0"/>
              <w:tabs>
                <w:tab w:val="left" w:pos="1332"/>
              </w:tabs>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b/>
                <w:sz w:val="24"/>
                <w:szCs w:val="24"/>
              </w:rPr>
              <w:t>六、暂列金额：</w:t>
            </w:r>
            <w:r>
              <w:rPr>
                <w:rFonts w:hint="eastAsia" w:cs="宋体"/>
                <w:kern w:val="0"/>
                <w:sz w:val="24"/>
                <w:lang w:val="en-US" w:eastAsia="zh-CN"/>
              </w:rPr>
              <w:t>含有,</w:t>
            </w:r>
            <w:r>
              <w:rPr>
                <w:rFonts w:hint="eastAsia" w:ascii="宋体" w:hAnsi="宋体" w:eastAsia="宋体" w:cs="宋体"/>
                <w:kern w:val="0"/>
                <w:sz w:val="24"/>
                <w:lang w:val="en-US" w:eastAsia="zh-CN"/>
              </w:rPr>
              <w:t>详</w:t>
            </w:r>
            <w:r>
              <w:rPr>
                <w:rFonts w:hint="eastAsia" w:cs="宋体"/>
                <w:kern w:val="0"/>
                <w:sz w:val="24"/>
                <w:lang w:val="en-US" w:eastAsia="zh-CN"/>
              </w:rPr>
              <w:t>见工程量</w:t>
            </w:r>
            <w:r>
              <w:rPr>
                <w:rFonts w:hint="eastAsia" w:ascii="宋体" w:hAnsi="宋体" w:eastAsia="宋体" w:cs="宋体"/>
                <w:kern w:val="0"/>
                <w:sz w:val="24"/>
                <w:lang w:val="en-US" w:eastAsia="zh-CN"/>
              </w:rPr>
              <w:t>清单</w:t>
            </w:r>
            <w:r>
              <w:rPr>
                <w:rFonts w:hint="eastAsia" w:ascii="宋体" w:hAnsi="宋体" w:eastAsia="宋体" w:cs="宋体"/>
                <w:color w:val="auto"/>
                <w:kern w:val="2"/>
                <w:sz w:val="24"/>
                <w:szCs w:val="24"/>
                <w:highlight w:val="none"/>
                <w:lang w:val="en-US" w:eastAsia="zh-CN" w:bidi="ar-SA"/>
              </w:rPr>
              <w:t>。</w:t>
            </w:r>
          </w:p>
          <w:p w14:paraId="58EC0985">
            <w:pPr>
              <w:numPr>
                <w:ilvl w:val="0"/>
                <w:numId w:val="0"/>
              </w:numPr>
              <w:spacing w:line="500" w:lineRule="exact"/>
              <w:ind w:firstLine="482" w:firstLineChars="200"/>
              <w:rPr>
                <w:rFonts w:hint="eastAsia" w:ascii="宋体" w:hAnsi="宋体" w:eastAsia="宋体" w:cs="宋体"/>
                <w:color w:val="auto"/>
                <w:kern w:val="2"/>
                <w:sz w:val="24"/>
                <w:szCs w:val="24"/>
                <w:highlight w:val="none"/>
                <w:lang w:val="en-US" w:eastAsia="zh-CN" w:bidi="ar-SA"/>
              </w:rPr>
            </w:pPr>
            <w:r>
              <w:rPr>
                <w:rFonts w:hint="eastAsia" w:ascii="Times New Roman" w:hAnsi="宋体" w:eastAsia="宋体" w:cs="Times New Roman"/>
                <w:b/>
                <w:color w:val="auto"/>
                <w:sz w:val="24"/>
                <w:szCs w:val="24"/>
                <w:highlight w:val="none"/>
              </w:rPr>
              <w:t>七</w:t>
            </w:r>
            <w:r>
              <w:rPr>
                <w:rFonts w:ascii="Times New Roman" w:hAnsi="宋体" w:eastAsia="宋体" w:cs="Times New Roman"/>
                <w:b/>
                <w:color w:val="auto"/>
                <w:sz w:val="24"/>
                <w:szCs w:val="24"/>
                <w:highlight w:val="none"/>
              </w:rPr>
              <w:t>、</w:t>
            </w:r>
            <w:r>
              <w:rPr>
                <w:rFonts w:hint="eastAsia" w:hAnsi="宋体"/>
                <w:b/>
                <w:color w:val="auto"/>
                <w:sz w:val="24"/>
                <w:szCs w:val="24"/>
                <w:highlight w:val="none"/>
                <w:lang w:val="en-US" w:eastAsia="zh-CN"/>
              </w:rPr>
              <w:t>暂估价</w:t>
            </w:r>
            <w:r>
              <w:rPr>
                <w:rFonts w:hint="eastAsia" w:hAnsi="宋体"/>
                <w:b/>
                <w:color w:val="auto"/>
                <w:sz w:val="24"/>
                <w:szCs w:val="24"/>
                <w:highlight w:val="none"/>
              </w:rPr>
              <w:t>：</w:t>
            </w:r>
            <w:r>
              <w:rPr>
                <w:rFonts w:hint="eastAsia" w:cs="宋体"/>
                <w:kern w:val="0"/>
                <w:sz w:val="24"/>
                <w:lang w:val="en-US" w:eastAsia="zh-CN"/>
              </w:rPr>
              <w:t>不含</w:t>
            </w:r>
            <w:bookmarkStart w:id="0" w:name="_GoBack"/>
            <w:bookmarkEnd w:id="0"/>
            <w:r>
              <w:rPr>
                <w:rFonts w:hint="eastAsia" w:ascii="宋体" w:hAnsi="宋体" w:eastAsia="宋体" w:cs="宋体"/>
                <w:color w:val="auto"/>
                <w:kern w:val="0"/>
                <w:sz w:val="24"/>
                <w:szCs w:val="24"/>
                <w:highlight w:val="none"/>
                <w:lang w:val="en-US" w:eastAsia="zh-CN"/>
              </w:rPr>
              <w:t>。</w:t>
            </w:r>
          </w:p>
          <w:p w14:paraId="1FE86E13">
            <w:pPr>
              <w:keepNext w:val="0"/>
              <w:keepLines w:val="0"/>
              <w:pageBreakBefore w:val="0"/>
              <w:widowControl w:val="0"/>
              <w:tabs>
                <w:tab w:val="left" w:pos="1332"/>
              </w:tabs>
              <w:kinsoku/>
              <w:wordWrap/>
              <w:overflowPunct/>
              <w:topLinePunct w:val="0"/>
              <w:autoSpaceDE/>
              <w:autoSpaceDN/>
              <w:bidi w:val="0"/>
              <w:adjustRightInd/>
              <w:snapToGrid/>
              <w:spacing w:line="400" w:lineRule="exact"/>
              <w:ind w:left="0" w:leftChars="0" w:right="0" w:rightChars="0" w:firstLine="482" w:firstLineChars="200"/>
              <w:jc w:val="both"/>
              <w:textAlignment w:val="auto"/>
              <w:outlineLvl w:val="9"/>
              <w:rPr>
                <w:rFonts w:hint="eastAsia" w:eastAsia="宋体"/>
                <w:sz w:val="24"/>
                <w:szCs w:val="24"/>
                <w:lang w:val="en-US" w:eastAsia="zh-CN"/>
              </w:rPr>
            </w:pPr>
            <w:r>
              <w:rPr>
                <w:rFonts w:hint="eastAsia"/>
                <w:b/>
                <w:sz w:val="24"/>
                <w:szCs w:val="24"/>
                <w:lang w:val="en-US" w:eastAsia="zh-CN"/>
              </w:rPr>
              <w:t>八</w:t>
            </w:r>
            <w:r>
              <w:rPr>
                <w:b/>
                <w:sz w:val="24"/>
                <w:szCs w:val="24"/>
              </w:rPr>
              <w:t>、其他须说明的问题</w:t>
            </w:r>
            <w:r>
              <w:rPr>
                <w:rFonts w:hint="eastAsia"/>
                <w:b/>
                <w:sz w:val="24"/>
                <w:szCs w:val="24"/>
              </w:rPr>
              <w:t>：</w:t>
            </w:r>
          </w:p>
          <w:p w14:paraId="33CCCDC1">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（1）、清单按甲方交底、设计图纸及现场测量计算，实际施工前测量对应数据并办理相关资料；</w:t>
            </w:r>
          </w:p>
          <w:p w14:paraId="1D77980B">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（2）、本工程二次搬运、翻运、倒运费用包含在投标报价中；</w:t>
            </w:r>
          </w:p>
          <w:p w14:paraId="054BA966">
            <w:pPr>
              <w:spacing w:line="360" w:lineRule="auto"/>
              <w:ind w:firstLine="480" w:firstLineChars="200"/>
              <w:rPr>
                <w:rFonts w:hint="default"/>
                <w:sz w:val="24"/>
                <w:szCs w:val="24"/>
                <w:highlight w:val="none"/>
                <w:lang w:val="en-US" w:eastAsia="zh-CN"/>
              </w:rPr>
            </w:pPr>
            <w:r>
              <w:rPr>
                <w:rFonts w:hint="eastAsia"/>
                <w:sz w:val="24"/>
                <w:szCs w:val="24"/>
                <w:highlight w:val="none"/>
                <w:lang w:val="en-US" w:eastAsia="zh-CN"/>
              </w:rPr>
              <w:t>（3）、本工程为提升改造项目，工程量按甲方交底、设计图纸及现场测量计入，结算时办理相关资料后，按现场实际并结合合同要求计取；不作为施工、价款结算、支付的标准，其他按合同约定执行；</w:t>
            </w:r>
          </w:p>
          <w:p w14:paraId="762EB71F">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4）、本次清单包括现场范围的所有内容，工程量清单描述与施工现场互为补充说明；分部分项工程量清单中“项目特征”内容描述不详的，以设计图纸、学校实际勘察情况、施工招标文件和清单计价规范为准。设计图纸、验收规范等工作内容均应包括在清单报价范围内，清单中未描述到但又是完成该分项工程必须有的工作内容，均应包括在报价范围中；</w:t>
            </w:r>
          </w:p>
          <w:p w14:paraId="6D3F1508">
            <w:pPr>
              <w:spacing w:line="360" w:lineRule="auto"/>
              <w:ind w:firstLine="480" w:firstLineChars="200"/>
              <w:rPr>
                <w:rFonts w:hint="default"/>
                <w:sz w:val="24"/>
                <w:szCs w:val="24"/>
                <w:highlight w:val="none"/>
                <w:lang w:val="en-US" w:eastAsia="zh-CN"/>
              </w:rPr>
            </w:pPr>
            <w:r>
              <w:rPr>
                <w:rFonts w:hint="eastAsia"/>
                <w:sz w:val="24"/>
                <w:szCs w:val="24"/>
                <w:highlight w:val="none"/>
                <w:lang w:val="en-US" w:eastAsia="zh-CN"/>
              </w:rPr>
              <w:t>（5）、投标人在投标报价中如发现清单存在遗漏缺陷内容应在投标截止日期前提出书面提疑，代理机构予以书面回复，否则视同已综合考虑至投标报价中或视同让利，结算时不再另行增加。投标人在报价中应充分考虑所涉及的各项措施费及风险因素后再进行报价,清单特征未描述详尽，请结合设计图纸进行报价，清单综合单价中均包含图纸中所有做法，投标单位若未在投标截止日期前提出书面提疑，则视为认可此清单包含图纸内所有工程量；</w:t>
            </w:r>
          </w:p>
          <w:p w14:paraId="76B08552">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6）、投标单位需认真考察施工现场，措施项目清单内容各投标单位可根据施工组织设计及现场情况自行增减、自行报价，但不应直接更改招标人已列项目；结算时，投标人默认认可招标工程所有措施项目清单；</w:t>
            </w:r>
          </w:p>
          <w:p w14:paraId="74D4B035">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（7）、投标人自行踏勘现场，对于现场是否满足所有临时设施、施工场地的搭设要求，请投标人在报价中充分考虑本项目施工的特殊性，结算时不增加与此有关的费用；</w:t>
            </w:r>
          </w:p>
          <w:p w14:paraId="140EE2EA">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8）、投标人报价时必须考虑就政府行政管理部门的有关政府性要求和变化综合考虑可能产生的相关费用，包括但不限于如中考、高考、雾霾天气、国家公祭、国际国内节日或国际国内活动、领导检查等行政性通知、防洪防汛防灾防台、安全环保、大气管控、环境整治、扬尘管控、扬尘污染防治、碳排调控、节能限电、限产、疫情防控、省、市、区“绿色工地”相关文件、公共安全治理、政策性、强制性文件等引起的窝工、停工损失和相关费用增加、赶工、抢工等，综合考虑计入投标报价，无论是否列项，发包人概不调增此类费用及延长工期；</w:t>
            </w:r>
          </w:p>
          <w:p w14:paraId="7212D75B">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(9)、本工程所有砼、砂浆均采用预拌，投标人自行考虑报价；</w:t>
            </w:r>
          </w:p>
          <w:p w14:paraId="38865BAE">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(10)、招标文件、设计图纸、甲方立项单、法律法规、规范、标准、工程量清单、物料表及所有招标资料内容如有不一致处，按要求等级高方执行；</w:t>
            </w:r>
          </w:p>
          <w:p w14:paraId="4777AB49">
            <w:pPr>
              <w:spacing w:line="360" w:lineRule="auto"/>
              <w:ind w:firstLine="480" w:firstLineChars="200"/>
              <w:rPr>
                <w:rFonts w:hint="eastAsia"/>
                <w:sz w:val="24"/>
                <w:szCs w:val="24"/>
                <w:highlight w:val="none"/>
                <w:lang w:val="en-US" w:eastAsia="zh-CN"/>
              </w:rPr>
            </w:pPr>
            <w:r>
              <w:rPr>
                <w:rFonts w:hint="eastAsia"/>
                <w:sz w:val="24"/>
                <w:szCs w:val="24"/>
                <w:highlight w:val="none"/>
                <w:lang w:val="en-US" w:eastAsia="zh-CN"/>
              </w:rPr>
              <w:t>(11)、投标人应先到拟施工的现场踏勘以充分了解其施工环境，工地位置及任何其他足以影响报价及工期的情况，招标人对于现有的施工环境及条件将不增加任何投入，如交通疏导、安全文明围护施工等，请投标人自行考虑并计入投标价内；</w:t>
            </w:r>
          </w:p>
          <w:p w14:paraId="4EE4560C">
            <w:pPr>
              <w:snapToGrid w:val="0"/>
              <w:spacing w:line="360" w:lineRule="auto"/>
              <w:ind w:firstLine="482" w:firstLineChars="200"/>
              <w:jc w:val="left"/>
              <w:rPr>
                <w:rFonts w:hint="eastAsia" w:ascii="宋体" w:hAnsi="宋体" w:eastAsia="宋体" w:cs="宋体"/>
                <w:b/>
                <w:bCs/>
                <w:i/>
                <w:iCs/>
                <w:kern w:val="2"/>
                <w:sz w:val="24"/>
                <w:szCs w:val="24"/>
                <w:lang w:val="en-US" w:eastAsia="zh-CN" w:bidi="ar-SA"/>
              </w:rPr>
            </w:pPr>
            <w:r>
              <w:rPr>
                <w:rFonts w:hint="eastAsia" w:ascii="宋体" w:hAnsi="宋体" w:eastAsia="宋体" w:cs="宋体"/>
                <w:b/>
                <w:bCs/>
                <w:i/>
                <w:iCs/>
                <w:kern w:val="2"/>
                <w:sz w:val="24"/>
                <w:szCs w:val="24"/>
                <w:lang w:val="en-US" w:eastAsia="zh-CN" w:bidi="ar-SA"/>
              </w:rPr>
              <w:t>发包人推荐品牌(或高于等于推荐</w:t>
            </w:r>
            <w:r>
              <w:rPr>
                <w:rFonts w:hint="eastAsia" w:ascii="宋体" w:hAnsi="宋体" w:eastAsia="宋体" w:cs="宋体"/>
                <w:b/>
                <w:bCs/>
                <w:i/>
                <w:iCs/>
                <w:sz w:val="24"/>
                <w:szCs w:val="24"/>
                <w:highlight w:val="none"/>
                <w:lang w:val="en-US" w:eastAsia="zh-CN"/>
              </w:rPr>
              <w:t>档次，并符合设计规范及质量验收要求</w:t>
            </w:r>
            <w:r>
              <w:rPr>
                <w:rFonts w:hint="eastAsia" w:ascii="宋体" w:hAnsi="宋体" w:eastAsia="宋体" w:cs="宋体"/>
                <w:b/>
                <w:bCs/>
                <w:i/>
                <w:iCs/>
                <w:kern w:val="2"/>
                <w:sz w:val="24"/>
                <w:szCs w:val="24"/>
                <w:lang w:val="en-US" w:eastAsia="zh-CN" w:bidi="ar-SA"/>
              </w:rPr>
              <w:t>)：</w:t>
            </w:r>
          </w:p>
          <w:p w14:paraId="410FEA0E">
            <w:pPr>
              <w:snapToGrid w:val="0"/>
              <w:spacing w:line="360" w:lineRule="auto"/>
              <w:ind w:firstLine="482" w:firstLineChars="200"/>
              <w:jc w:val="left"/>
              <w:rPr>
                <w:rFonts w:hint="default" w:ascii="宋体" w:hAnsi="宋体" w:eastAsia="宋体" w:cs="宋体"/>
                <w:b/>
                <w:bCs/>
                <w:i/>
                <w:iCs/>
                <w:kern w:val="2"/>
                <w:sz w:val="24"/>
                <w:szCs w:val="24"/>
                <w:lang w:val="en-US" w:eastAsia="zh-CN" w:bidi="ar-SA"/>
              </w:rPr>
            </w:pPr>
            <w:r>
              <w:rPr>
                <w:rFonts w:hint="eastAsia" w:cs="宋体"/>
                <w:b/>
                <w:bCs/>
                <w:i/>
                <w:iCs/>
                <w:kern w:val="2"/>
                <w:sz w:val="24"/>
                <w:szCs w:val="24"/>
                <w:lang w:val="en-US" w:eastAsia="zh-CN" w:bidi="ar-SA"/>
              </w:rPr>
              <w:t>土建市政装饰</w:t>
            </w:r>
          </w:p>
          <w:tbl>
            <w:tblPr>
              <w:tblStyle w:val="4"/>
              <w:tblW w:w="8844"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2089"/>
              <w:gridCol w:w="3045"/>
              <w:gridCol w:w="3030"/>
            </w:tblGrid>
            <w:tr w14:paraId="6A7AE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930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6D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镀锌钢板、钢材</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255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马钢、南钢、宝钢、沙钢、永钢</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2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5D892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575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B0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B2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远大洪雨、东方雨虹、西牛皮、宏源、德高</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98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58D0F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A1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D1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墙地砖</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D5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东鹏、蒙娜丽莎、马可波罗、冠珠、诺贝尔</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71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7950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E0D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B2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62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耀皮、南玻、台玻、信义、福耀</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0F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3F368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326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A2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卫生间隔断</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83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富美家、森固瑞、佳丽福、常州正航、威盛亚</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81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599DF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E3A8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C1C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木地板</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3EA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世友、圣象、大自然、兔宝宝、生活家</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58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316A9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B9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FB4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钢制防盗门</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5AD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步阳、盼盼、春天、美心、蓝盾</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9B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2890D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3A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A1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硅</w:t>
                  </w:r>
                  <w:r>
                    <w:rPr>
                      <w:rFonts w:hint="default" w:ascii="Times New Roman" w:hAnsi="Times New Roman" w:eastAsia="宋体" w:cs="Times New Roman"/>
                      <w:i w:val="0"/>
                      <w:iCs w:val="0"/>
                      <w:color w:val="000000"/>
                      <w:kern w:val="0"/>
                      <w:sz w:val="20"/>
                      <w:szCs w:val="20"/>
                      <w:u w:val="none"/>
                      <w:lang w:val="en-US" w:eastAsia="zh-CN" w:bidi="ar"/>
                    </w:rPr>
                    <w:t>PU</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378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长河、高捷、长诺</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8B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5ADB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8CED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383B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矿棉板</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81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阿姆斯壮、可耐福、龙牌、优时吉</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935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5D291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42C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6F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离心玻璃棉保温材料</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10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华美、金威、神州、金星</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4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340F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8B1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5B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铝合金窗型材</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AE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亚铝、南山、凤铝、伟昌、中铝</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137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251D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766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AF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木工板</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55C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兔宝宝、莫干山、绿野、千年舟</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88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5126D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0406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ED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木质门</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DE9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欧派、</w:t>
                  </w:r>
                  <w:r>
                    <w:rPr>
                      <w:rFonts w:hint="default" w:ascii="Times New Roman" w:hAnsi="Times New Roman" w:eastAsia="宋体" w:cs="Times New Roman"/>
                      <w:i w:val="0"/>
                      <w:iCs w:val="0"/>
                      <w:color w:val="000000"/>
                      <w:kern w:val="0"/>
                      <w:sz w:val="20"/>
                      <w:szCs w:val="20"/>
                      <w:u w:val="none"/>
                      <w:lang w:val="en-US" w:eastAsia="zh-CN" w:bidi="ar"/>
                    </w:rPr>
                    <w:t>TATA</w:t>
                  </w:r>
                  <w:r>
                    <w:rPr>
                      <w:rFonts w:hint="eastAsia" w:ascii="宋体" w:hAnsi="宋体" w:eastAsia="宋体" w:cs="宋体"/>
                      <w:i w:val="0"/>
                      <w:iCs w:val="0"/>
                      <w:color w:val="000000"/>
                      <w:kern w:val="0"/>
                      <w:sz w:val="20"/>
                      <w:szCs w:val="20"/>
                      <w:u w:val="none"/>
                      <w:lang w:val="en-US" w:eastAsia="zh-CN" w:bidi="ar"/>
                    </w:rPr>
                    <w:t>、美心、兔宝宝、盼盼</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87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2E0A2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1C2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83F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轻钢龙骨</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95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阿姆斯壮、可耐福、龙牌、泰山、圣戈班</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93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36FDD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491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53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集成吊顶、U型槽吊顶</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88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法狮龙、友邦、奥普、欧陆、欧佰</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310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2382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6CDD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C9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铝单板</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2D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方大、吉意、海达、金霸</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44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06C65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E4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AE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铝扣板吊顶</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5F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奥普、友邦、顶善美</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DB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70F78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3C5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9C3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石膏板</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FCD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阿姆斯壮、可耐福、龙牌</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AE1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0286D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60EB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A8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实木吸音板</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2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澳登、美格尔、声之源、天戈声学、双狮</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F3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25AAC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057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E8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乳胶漆、油漆</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7B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多乐士、华润、立邦、三棵树、嘉宝莉</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1D5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6BD09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F5D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E547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外墙涂料（含真石漆、饰面砂浆等）</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ACC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堡密特、富思特、涂耐可、立邦、三棵树</w:t>
                  </w:r>
                </w:p>
              </w:tc>
              <w:tc>
                <w:tcPr>
                  <w:tcW w:w="30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0E3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46F65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7FE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4D96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艺术涂料</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100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立邦、嘉宝莉、三棵树、大师漆</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87D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03C70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501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1C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无机干粉涂料（内墙）</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2A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西蒙、华圣隆、荷仕达</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EA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7D7C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97A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0B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运动场人造草坪</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CC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共创、绿城、火炬</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1CB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0F869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90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3DC0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运动场预制成品橡胶卷材</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43C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同欣、纽威特、盟多、华东</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F5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或中国田径协会田径跑道面层产品审定名录品牌</w:t>
                  </w:r>
                </w:p>
              </w:tc>
            </w:tr>
            <w:tr w14:paraId="7F711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54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F2535">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EPDM</w:t>
                  </w:r>
                  <w:r>
                    <w:rPr>
                      <w:rFonts w:hint="eastAsia" w:ascii="宋体" w:hAnsi="宋体" w:eastAsia="宋体" w:cs="宋体"/>
                      <w:i w:val="0"/>
                      <w:iCs w:val="0"/>
                      <w:color w:val="000000"/>
                      <w:kern w:val="0"/>
                      <w:sz w:val="20"/>
                      <w:szCs w:val="20"/>
                      <w:u w:val="none"/>
                      <w:lang w:val="en-US" w:eastAsia="zh-CN" w:bidi="ar"/>
                    </w:rPr>
                    <w:t>颗粒</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6A0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飞能、绿能、优冠、奥翔</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06C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或中国田径协会田径跑道面层产品审定名录品牌</w:t>
                  </w:r>
                </w:p>
              </w:tc>
            </w:tr>
            <w:tr w14:paraId="37375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27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9C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密封胶、耐候胶、结构胶</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240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广州白云、道康宁、成都硅宝、浙江之江</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C2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479DF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4E5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3D7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门窗五金件</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9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国强、坚朗、立兴、和合</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CD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21D51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B6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FBC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7D4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小野田、海螺、江南、天龙、双猴</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87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788FB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2CFA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369D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专业运动场地木地板</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8B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大连千森、南京延明、上海美凯、北京中科瑞翔、世友</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A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25767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4B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4A9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PVC</w:t>
                  </w:r>
                  <w:r>
                    <w:rPr>
                      <w:rFonts w:hint="eastAsia" w:ascii="宋体" w:hAnsi="宋体" w:eastAsia="宋体" w:cs="宋体"/>
                      <w:i w:val="0"/>
                      <w:iCs w:val="0"/>
                      <w:color w:val="000000"/>
                      <w:kern w:val="0"/>
                      <w:sz w:val="20"/>
                      <w:szCs w:val="20"/>
                      <w:u w:val="none"/>
                      <w:lang w:val="en-US" w:eastAsia="zh-CN" w:bidi="ar"/>
                    </w:rPr>
                    <w:t>地胶</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87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阿姆斯壮、洁福、得嘉、博尔福、福仕嘉</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9E5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2ACD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DA30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748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美缝剂</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B57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三棵树、立邦、东方雨虹、德高</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30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50BAC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824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E8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预拌砂浆</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86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快可美、金隅涂料、华砂</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4B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7A45B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543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0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1E7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定制成品吊柜、地柜</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67F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欧派、我乐、志邦、索菲亚</w:t>
                  </w:r>
                </w:p>
              </w:tc>
              <w:tc>
                <w:tcPr>
                  <w:tcW w:w="30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FC2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bl>
          <w:p w14:paraId="61DEF64B">
            <w:pPr>
              <w:keepNext w:val="0"/>
              <w:keepLines w:val="0"/>
              <w:pageBreakBefore w:val="0"/>
              <w:widowControl w:val="0"/>
              <w:tabs>
                <w:tab w:val="center" w:pos="4572"/>
              </w:tabs>
              <w:kinsoku/>
              <w:wordWrap/>
              <w:overflowPunct/>
              <w:topLinePunct w:val="0"/>
              <w:autoSpaceDE/>
              <w:autoSpaceDN/>
              <w:bidi w:val="0"/>
              <w:adjustRightInd/>
              <w:snapToGrid/>
              <w:spacing w:line="400" w:lineRule="exact"/>
              <w:ind w:left="0" w:leftChars="0" w:right="0" w:rightChars="0" w:firstLine="482" w:firstLineChars="200"/>
              <w:jc w:val="left"/>
              <w:textAlignment w:val="auto"/>
              <w:outlineLvl w:val="9"/>
              <w:rPr>
                <w:rFonts w:hint="eastAsia"/>
                <w:sz w:val="24"/>
                <w:lang w:val="en-US" w:eastAsia="zh-CN"/>
              </w:rPr>
            </w:pPr>
            <w:r>
              <w:rPr>
                <w:rFonts w:hint="eastAsia" w:cs="宋体"/>
                <w:b/>
                <w:bCs/>
                <w:i/>
                <w:iCs/>
                <w:kern w:val="2"/>
                <w:sz w:val="24"/>
                <w:szCs w:val="24"/>
                <w:lang w:val="en-US" w:eastAsia="zh-CN" w:bidi="ar-SA"/>
              </w:rPr>
              <w:t>机电安装</w:t>
            </w:r>
          </w:p>
          <w:tbl>
            <w:tblPr>
              <w:tblStyle w:val="4"/>
              <w:tblW w:w="8814"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0"/>
              <w:gridCol w:w="2104"/>
              <w:gridCol w:w="3015"/>
              <w:gridCol w:w="3015"/>
            </w:tblGrid>
            <w:tr w14:paraId="71191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EEF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3CA8">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w:t>
                  </w:r>
                  <w:r>
                    <w:rPr>
                      <w:rFonts w:hint="default" w:ascii="Times New Roman" w:hAnsi="Times New Roman" w:eastAsia="宋体" w:cs="Times New Roman"/>
                      <w:i w:val="0"/>
                      <w:iCs w:val="0"/>
                      <w:color w:val="000000"/>
                      <w:kern w:val="0"/>
                      <w:sz w:val="20"/>
                      <w:szCs w:val="20"/>
                      <w:u w:val="none"/>
                      <w:lang w:val="en-US" w:eastAsia="zh-CN" w:bidi="ar"/>
                    </w:rPr>
                    <w:t>PPR</w:t>
                  </w:r>
                  <w:r>
                    <w:rPr>
                      <w:rFonts w:hint="eastAsia" w:ascii="宋体" w:hAnsi="宋体" w:eastAsia="宋体" w:cs="宋体"/>
                      <w:i w:val="0"/>
                      <w:iCs w:val="0"/>
                      <w:color w:val="000000"/>
                      <w:kern w:val="0"/>
                      <w:sz w:val="20"/>
                      <w:szCs w:val="20"/>
                      <w:u w:val="none"/>
                      <w:lang w:val="en-US" w:eastAsia="zh-CN" w:bidi="ar"/>
                    </w:rPr>
                    <w:t>管（冷热水）及管件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860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中财、金牛、联塑</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1AB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005FD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6D76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F2EF1">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室内雨污排水管及管件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6A04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中财、金牛、联塑</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AE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32165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6F5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EE1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PPR</w:t>
                  </w:r>
                  <w:r>
                    <w:rPr>
                      <w:rFonts w:hint="eastAsia" w:ascii="宋体" w:hAnsi="宋体" w:eastAsia="宋体" w:cs="宋体"/>
                      <w:i w:val="0"/>
                      <w:iCs w:val="0"/>
                      <w:color w:val="000000"/>
                      <w:kern w:val="0"/>
                      <w:sz w:val="20"/>
                      <w:szCs w:val="20"/>
                      <w:u w:val="none"/>
                      <w:lang w:val="en-US" w:eastAsia="zh-CN" w:bidi="ar"/>
                    </w:rPr>
                    <w:t>管、</w:t>
                  </w:r>
                  <w:r>
                    <w:rPr>
                      <w:rFonts w:hint="default" w:ascii="Times New Roman" w:hAnsi="Times New Roman" w:eastAsia="宋体" w:cs="Times New Roman"/>
                      <w:i w:val="0"/>
                      <w:iCs w:val="0"/>
                      <w:color w:val="000000"/>
                      <w:kern w:val="0"/>
                      <w:sz w:val="20"/>
                      <w:szCs w:val="20"/>
                      <w:u w:val="none"/>
                      <w:lang w:val="en-US" w:eastAsia="zh-CN" w:bidi="ar"/>
                    </w:rPr>
                    <w:t>UPVC</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PSP</w:t>
                  </w:r>
                  <w:r>
                    <w:rPr>
                      <w:rFonts w:hint="eastAsia" w:ascii="宋体" w:hAnsi="宋体" w:eastAsia="宋体" w:cs="宋体"/>
                      <w:i w:val="0"/>
                      <w:iCs w:val="0"/>
                      <w:color w:val="000000"/>
                      <w:kern w:val="0"/>
                      <w:sz w:val="20"/>
                      <w:szCs w:val="20"/>
                      <w:u w:val="none"/>
                      <w:lang w:val="en-US" w:eastAsia="zh-CN" w:bidi="ar"/>
                    </w:rPr>
                    <w:t>线管等</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A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中财、公元、金牛、联塑、伟星</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7EB5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7B72B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2A9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965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热镀锌钢管</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3F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中通、友发、正大、利达、金洲</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4825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71219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A741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A13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阀门</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8F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上海冠龙、上海标一、科科阀门、上海沪工、埃美柯</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FC2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2574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0C0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6</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0A7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桥架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03D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华鹏、通华、长江、大全</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2BD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7191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8F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7</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83622">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配线管</w:t>
                  </w:r>
                  <w:r>
                    <w:rPr>
                      <w:rFonts w:hint="default" w:ascii="Times New Roman" w:hAnsi="Times New Roman" w:eastAsia="宋体" w:cs="Times New Roman"/>
                      <w:i w:val="0"/>
                      <w:iCs w:val="0"/>
                      <w:color w:val="000000"/>
                      <w:kern w:val="0"/>
                      <w:sz w:val="20"/>
                      <w:szCs w:val="20"/>
                      <w:u w:val="none"/>
                      <w:lang w:val="en-US" w:eastAsia="zh-CN" w:bidi="ar"/>
                    </w:rPr>
                    <w:t>KBG</w:t>
                  </w:r>
                  <w:r>
                    <w:rPr>
                      <w:rFonts w:hint="eastAsia" w:ascii="宋体" w:hAnsi="宋体" w:eastAsia="宋体" w:cs="宋体"/>
                      <w:i w:val="0"/>
                      <w:iCs w:val="0"/>
                      <w:color w:val="000000"/>
                      <w:kern w:val="0"/>
                      <w:sz w:val="20"/>
                      <w:szCs w:val="20"/>
                      <w:u w:val="none"/>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JDG</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04F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凯必吉、金德管、优耐特</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3B3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1680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03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8</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DD7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配线管</w:t>
                  </w:r>
                  <w:r>
                    <w:rPr>
                      <w:rFonts w:hint="default" w:ascii="Times New Roman" w:hAnsi="Times New Roman" w:eastAsia="宋体" w:cs="Times New Roman"/>
                      <w:i w:val="0"/>
                      <w:iCs w:val="0"/>
                      <w:color w:val="000000"/>
                      <w:kern w:val="0"/>
                      <w:sz w:val="20"/>
                      <w:szCs w:val="20"/>
                      <w:u w:val="none"/>
                      <w:lang w:val="en-US" w:eastAsia="zh-CN" w:bidi="ar"/>
                    </w:rPr>
                    <w:t>PVC</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EAC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中财、金牛、联塑</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2C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672F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7F07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9</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CE55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配电箱、控制箱、</w:t>
                  </w:r>
                  <w:r>
                    <w:rPr>
                      <w:rFonts w:hint="default" w:ascii="Times New Roman" w:hAnsi="Times New Roman" w:eastAsia="宋体" w:cs="Times New Roman"/>
                      <w:i w:val="0"/>
                      <w:iCs w:val="0"/>
                      <w:color w:val="000000"/>
                      <w:kern w:val="0"/>
                      <w:sz w:val="20"/>
                      <w:szCs w:val="20"/>
                      <w:u w:val="none"/>
                      <w:lang w:val="en-US" w:eastAsia="zh-CN" w:bidi="ar"/>
                    </w:rPr>
                    <w:t>PZ30</w:t>
                  </w:r>
                  <w:r>
                    <w:rPr>
                      <w:rFonts w:hint="eastAsia" w:ascii="宋体" w:hAnsi="宋体" w:eastAsia="宋体" w:cs="宋体"/>
                      <w:i w:val="0"/>
                      <w:iCs w:val="0"/>
                      <w:color w:val="000000"/>
                      <w:kern w:val="0"/>
                      <w:sz w:val="20"/>
                      <w:szCs w:val="20"/>
                      <w:u w:val="none"/>
                      <w:lang w:val="en-US" w:eastAsia="zh-CN" w:bidi="ar"/>
                    </w:rPr>
                    <w:t>箱</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413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正泰、德力西、施耐德、</w:t>
                  </w:r>
                  <w:r>
                    <w:rPr>
                      <w:rFonts w:hint="default" w:ascii="Times New Roman" w:hAnsi="Times New Roman" w:eastAsia="宋体" w:cs="Times New Roman"/>
                      <w:i w:val="0"/>
                      <w:iCs w:val="0"/>
                      <w:color w:val="000000"/>
                      <w:kern w:val="0"/>
                      <w:sz w:val="20"/>
                      <w:szCs w:val="20"/>
                      <w:u w:val="none"/>
                      <w:lang w:val="en-US" w:eastAsia="zh-CN" w:bidi="ar"/>
                    </w:rPr>
                    <w:t>ABB</w:t>
                  </w:r>
                  <w:r>
                    <w:rPr>
                      <w:rFonts w:hint="eastAsia" w:ascii="宋体" w:hAnsi="宋体" w:eastAsia="宋体" w:cs="宋体"/>
                      <w:i w:val="0"/>
                      <w:iCs w:val="0"/>
                      <w:color w:val="000000"/>
                      <w:kern w:val="0"/>
                      <w:sz w:val="20"/>
                      <w:szCs w:val="20"/>
                      <w:u w:val="none"/>
                      <w:lang w:val="en-US" w:eastAsia="zh-CN" w:bidi="ar"/>
                    </w:rPr>
                    <w:t>、西门子</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099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5AD00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40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10</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5B50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电流互感器、电压互感器</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F4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上海雷兹、天津纽泰克、大连大一互</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6AA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42371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605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11</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A3C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通风设备材料</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FF9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2"/>
                      <w:lang w:val="en-US" w:eastAsia="zh-CN" w:bidi="ar"/>
                    </w:rPr>
                    <w:t>格瑞德、浙江金盾、上虞风机、双保、亚太（空调）</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071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673E0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0E2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12</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F11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lang w:val="en-US" w:eastAsia="zh-CN" w:bidi="ar"/>
                    </w:rPr>
                    <w:t>火灾自动报警系统、电气火灾监控系统、防火门监控系统、消防设备电源监控系统</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3E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海湾、北大青鸟、云安（松江）、泰和安科技、无锡蓝天</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2B6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51DCD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CC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13</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E22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空气开关元器件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08E9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施耐德、</w:t>
                  </w:r>
                  <w:r>
                    <w:rPr>
                      <w:rFonts w:hint="default" w:ascii="Times New Roman" w:hAnsi="Times New Roman" w:eastAsia="宋体" w:cs="Times New Roman"/>
                      <w:i w:val="0"/>
                      <w:iCs w:val="0"/>
                      <w:color w:val="000000"/>
                      <w:kern w:val="0"/>
                      <w:sz w:val="20"/>
                      <w:szCs w:val="20"/>
                      <w:u w:val="none"/>
                      <w:lang w:val="en-US" w:eastAsia="zh-CN" w:bidi="ar"/>
                    </w:rPr>
                    <w:t>ABB</w:t>
                  </w:r>
                  <w:r>
                    <w:rPr>
                      <w:rFonts w:hint="eastAsia" w:ascii="宋体" w:hAnsi="宋体" w:eastAsia="宋体" w:cs="宋体"/>
                      <w:i w:val="0"/>
                      <w:iCs w:val="0"/>
                      <w:color w:val="000000"/>
                      <w:kern w:val="0"/>
                      <w:sz w:val="20"/>
                      <w:szCs w:val="20"/>
                      <w:u w:val="none"/>
                      <w:lang w:val="en-US" w:eastAsia="zh-CN" w:bidi="ar"/>
                    </w:rPr>
                    <w:t>、西门子</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F2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1A42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34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14</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4CC6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SPD</w:t>
                  </w:r>
                  <w:r>
                    <w:rPr>
                      <w:rFonts w:hint="eastAsia" w:ascii="宋体" w:hAnsi="宋体" w:eastAsia="宋体" w:cs="宋体"/>
                      <w:i w:val="0"/>
                      <w:iCs w:val="0"/>
                      <w:color w:val="000000"/>
                      <w:kern w:val="0"/>
                      <w:sz w:val="20"/>
                      <w:szCs w:val="20"/>
                      <w:u w:val="none"/>
                      <w:lang w:val="en-US" w:eastAsia="zh-CN" w:bidi="ar"/>
                    </w:rPr>
                    <w:t>及后备保护</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C2C4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森图防雷、地凯、嘉顿威尔</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30A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57282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0EF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15</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AC73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低压电机</w:t>
                  </w:r>
                  <w:r>
                    <w:rPr>
                      <w:rFonts w:hint="default" w:ascii="Times New Roman" w:hAnsi="Times New Roman" w:eastAsia="宋体" w:cs="Times New Roman"/>
                      <w:i w:val="0"/>
                      <w:iCs w:val="0"/>
                      <w:color w:val="000000"/>
                      <w:kern w:val="0"/>
                      <w:sz w:val="20"/>
                      <w:szCs w:val="20"/>
                      <w:u w:val="none"/>
                      <w:lang w:val="en-US" w:eastAsia="zh-CN" w:bidi="ar"/>
                    </w:rPr>
                    <w:t>*XCPS</w:t>
                  </w:r>
                  <w:r>
                    <w:rPr>
                      <w:rFonts w:hint="eastAsia" w:ascii="宋体" w:hAnsi="宋体" w:eastAsia="宋体" w:cs="宋体"/>
                      <w:i w:val="0"/>
                      <w:iCs w:val="0"/>
                      <w:color w:val="000000"/>
                      <w:kern w:val="0"/>
                      <w:sz w:val="20"/>
                      <w:szCs w:val="20"/>
                      <w:u w:val="none"/>
                      <w:lang w:val="en-US" w:eastAsia="zh-CN" w:bidi="ar"/>
                    </w:rPr>
                    <w:t>控制与保护开关</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4CD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上海凯保、浙江中凯、江苏远泰</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6CE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120AE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CC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16</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84BB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低压电机</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接触器、继电器、按钮、指示灯</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65F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ABB</w:t>
                  </w:r>
                  <w:r>
                    <w:rPr>
                      <w:rFonts w:hint="eastAsia" w:ascii="宋体" w:hAnsi="宋体" w:eastAsia="宋体" w:cs="宋体"/>
                      <w:i w:val="0"/>
                      <w:iCs w:val="0"/>
                      <w:color w:val="000000"/>
                      <w:kern w:val="0"/>
                      <w:sz w:val="20"/>
                      <w:szCs w:val="20"/>
                      <w:u w:val="none"/>
                      <w:lang w:val="en-US" w:eastAsia="zh-CN" w:bidi="ar"/>
                    </w:rPr>
                    <w:t>、施耐德、西门子</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185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75D3C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C0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17</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5504">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自动双电源转换装置</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8893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ABB</w:t>
                  </w:r>
                  <w:r>
                    <w:rPr>
                      <w:rFonts w:hint="eastAsia" w:ascii="宋体" w:hAnsi="宋体" w:eastAsia="宋体" w:cs="宋体"/>
                      <w:i w:val="0"/>
                      <w:iCs w:val="0"/>
                      <w:color w:val="000000"/>
                      <w:kern w:val="0"/>
                      <w:sz w:val="20"/>
                      <w:szCs w:val="20"/>
                      <w:u w:val="none"/>
                      <w:lang w:val="en-US" w:eastAsia="zh-CN" w:bidi="ar"/>
                    </w:rPr>
                    <w:t>、施耐德、西门子</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3D49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21F99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FC8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18</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5E3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低压塑壳断路器、负荷</w:t>
                  </w:r>
                  <w:r>
                    <w:rPr>
                      <w:rFonts w:hint="default" w:ascii="Times New Roman" w:hAnsi="Times New Roman" w:eastAsia="宋体" w:cs="Times New Roman"/>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隔离开关</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818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ABB</w:t>
                  </w:r>
                  <w:r>
                    <w:rPr>
                      <w:rFonts w:hint="eastAsia" w:ascii="宋体" w:hAnsi="宋体" w:eastAsia="宋体" w:cs="宋体"/>
                      <w:i w:val="0"/>
                      <w:iCs w:val="0"/>
                      <w:color w:val="000000"/>
                      <w:kern w:val="0"/>
                      <w:sz w:val="20"/>
                      <w:szCs w:val="20"/>
                      <w:u w:val="none"/>
                      <w:lang w:val="en-US" w:eastAsia="zh-CN" w:bidi="ar"/>
                    </w:rPr>
                    <w:t>、施耐德、西门子</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8DAB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38711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E7E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19</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331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电测量仪器仪表</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526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上海纳宇电气、斯菲尔、沈阳斯沃</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417C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600FB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15B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20</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D8AE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电力电缆、电线</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C380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远东、江南、宝胜、江苏上上</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DC8F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3E17A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F60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21</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AE98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灯具、光源</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154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飞利浦、雷士、三雄极光、松下、佛山照明</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979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66847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037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22</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8D0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灯具开关、插座</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57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德力西、正泰、公牛、西门子、</w:t>
                  </w:r>
                  <w:r>
                    <w:rPr>
                      <w:rFonts w:hint="default" w:ascii="Times New Roman" w:hAnsi="Times New Roman" w:eastAsia="宋体" w:cs="Times New Roman"/>
                      <w:i w:val="0"/>
                      <w:iCs w:val="0"/>
                      <w:color w:val="000000"/>
                      <w:kern w:val="0"/>
                      <w:sz w:val="20"/>
                      <w:szCs w:val="20"/>
                      <w:u w:val="none"/>
                      <w:lang w:val="en-US" w:eastAsia="zh-CN" w:bidi="ar"/>
                    </w:rPr>
                    <w:t>ABB</w:t>
                  </w:r>
                  <w:r>
                    <w:rPr>
                      <w:rFonts w:hint="eastAsia" w:ascii="宋体" w:hAnsi="宋体" w:eastAsia="宋体" w:cs="宋体"/>
                      <w:i w:val="0"/>
                      <w:iCs w:val="0"/>
                      <w:color w:val="000000"/>
                      <w:kern w:val="0"/>
                      <w:sz w:val="20"/>
                      <w:szCs w:val="20"/>
                      <w:u w:val="none"/>
                      <w:lang w:val="en-US" w:eastAsia="zh-CN" w:bidi="ar"/>
                    </w:rPr>
                    <w:t>、施耐德</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EB27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11708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F76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23</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8261E">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消防箱及箱内配件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2049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具有消防产品备案登记证书</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05D40">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5446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2FF3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24</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6CED">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消防水炮及相关配件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28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具有消防产品备案登记证书</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03D02">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79A8E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5DE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25</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1D9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能耗监测系统</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2AA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南京天溯、南京磐能、雅达</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72F3">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69159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083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26</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3FA3">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lang w:val="en-US" w:eastAsia="zh-CN" w:bidi="ar"/>
                    </w:rPr>
                    <w:t>风扇包括调速器</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821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lang w:val="en-US" w:eastAsia="zh-CN" w:bidi="ar"/>
                    </w:rPr>
                    <w:t>美的、格力、绿岛风、艾美特</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7365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0087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A486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27</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AD2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Style w:val="13"/>
                      <w:lang w:val="en-US" w:eastAsia="zh-CN" w:bidi="ar"/>
                    </w:rPr>
                    <w:t>风口、风阀、消声器</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C8AC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Style w:val="13"/>
                      <w:lang w:val="en-US" w:eastAsia="zh-CN" w:bidi="ar"/>
                    </w:rPr>
                    <w:t>显隆、兆丰、威士文</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289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32B5EB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04AE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28</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147F">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高速干手器</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958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艾克、英特汉莎、莫顿</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6610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50DC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F74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29</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7D80">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换气扇</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B1A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鸿冠、欧普、艾美特</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3D25">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1620B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D0A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30</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423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排风机组</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86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松下、科禄格、施乐佰</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41C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3F797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B50F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31</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444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轴流风机</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8F7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德通、恒宝、尼科达</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A92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1DCD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24AA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32</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C7D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离心玻璃棉保温材料</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B84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华美、金威、神州、金星</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5D1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2AA83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ED30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33</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1EF6">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橡塑保温材料</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F69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华美、金威、神州、金星</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002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0CC1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178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34</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547B">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门锁、合页、地弹簧</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46B0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GMT</w:t>
                  </w:r>
                  <w:r>
                    <w:rPr>
                      <w:rFonts w:hint="eastAsia" w:ascii="宋体" w:hAnsi="宋体" w:eastAsia="宋体" w:cs="宋体"/>
                      <w:i w:val="0"/>
                      <w:iCs w:val="0"/>
                      <w:color w:val="000000"/>
                      <w:kern w:val="0"/>
                      <w:sz w:val="20"/>
                      <w:szCs w:val="20"/>
                      <w:u w:val="none"/>
                      <w:lang w:val="en-US" w:eastAsia="zh-CN" w:bidi="ar"/>
                    </w:rPr>
                    <w:t>、坚朗、顶固、雅洁、汇泰龙</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9C26">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47798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1CC9">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35</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C8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小五金：顺位器、门碰、门吸、插销、防尘筒等</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97B8">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GMT</w:t>
                  </w:r>
                  <w:r>
                    <w:rPr>
                      <w:rFonts w:hint="eastAsia" w:ascii="宋体" w:hAnsi="宋体" w:eastAsia="宋体" w:cs="宋体"/>
                      <w:i w:val="0"/>
                      <w:iCs w:val="0"/>
                      <w:color w:val="000000"/>
                      <w:kern w:val="0"/>
                      <w:sz w:val="20"/>
                      <w:szCs w:val="20"/>
                      <w:u w:val="none"/>
                      <w:lang w:val="en-US" w:eastAsia="zh-CN" w:bidi="ar"/>
                    </w:rPr>
                    <w:t>、坚朗、顶固、雅洁、汇泰龙</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4FC7">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0AC22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D309F">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36</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B7A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卫生洁具及卫浴五金（含配件）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798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TOTO</w:t>
                  </w:r>
                  <w:r>
                    <w:rPr>
                      <w:rFonts w:hint="eastAsia" w:ascii="宋体" w:hAnsi="宋体" w:eastAsia="宋体" w:cs="宋体"/>
                      <w:i w:val="0"/>
                      <w:iCs w:val="0"/>
                      <w:color w:val="000000"/>
                      <w:kern w:val="0"/>
                      <w:sz w:val="20"/>
                      <w:szCs w:val="20"/>
                      <w:u w:val="none"/>
                      <w:lang w:val="en-US" w:eastAsia="zh-CN" w:bidi="ar"/>
                    </w:rPr>
                    <w:t>、科勒、美标、乐家、法恩莎</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36EC">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140F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9DC7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37</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B32C">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不锈钢管及管件</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DA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友发、共同、金牛、联塑、金羊</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8064E">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4E662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3F5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38</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6AD59">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水龙头</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E2E4">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佑飞、天仕、普飞</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88CD">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365C7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1F91">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39</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33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伸缩门、道闸</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DD22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九竹、科拓、立方、启功、红门</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309C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r w14:paraId="311B7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AEDFB">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40</w:t>
                  </w:r>
                </w:p>
              </w:tc>
              <w:tc>
                <w:tcPr>
                  <w:tcW w:w="21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61F87">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电梯</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EA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日立、迅达、三菱、</w:t>
                  </w:r>
                  <w:r>
                    <w:rPr>
                      <w:rStyle w:val="13"/>
                      <w:lang w:val="en-US" w:eastAsia="zh-CN" w:bidi="ar"/>
                    </w:rPr>
                    <w:t>奥的斯</w:t>
                  </w:r>
                  <w:r>
                    <w:rPr>
                      <w:rFonts w:hint="eastAsia" w:ascii="宋体" w:hAnsi="宋体" w:eastAsia="宋体" w:cs="宋体"/>
                      <w:i w:val="0"/>
                      <w:iCs w:val="0"/>
                      <w:color w:val="000000"/>
                      <w:kern w:val="0"/>
                      <w:sz w:val="20"/>
                      <w:szCs w:val="20"/>
                      <w:u w:val="none"/>
                      <w:lang w:val="en-US" w:eastAsia="zh-CN" w:bidi="ar"/>
                    </w:rPr>
                    <w:t>、通力</w:t>
                  </w:r>
                </w:p>
              </w:tc>
              <w:tc>
                <w:tcPr>
                  <w:tcW w:w="30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3B8A">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或同档次及以上国产优质品牌</w:t>
                  </w:r>
                </w:p>
              </w:tc>
            </w:tr>
          </w:tbl>
          <w:p w14:paraId="27C68079">
            <w:pPr>
              <w:keepNext w:val="0"/>
              <w:keepLines w:val="0"/>
              <w:pageBreakBefore w:val="0"/>
              <w:widowControl w:val="0"/>
              <w:tabs>
                <w:tab w:val="center" w:pos="4572"/>
              </w:tabs>
              <w:kinsoku/>
              <w:wordWrap/>
              <w:overflowPunct/>
              <w:topLinePunct w:val="0"/>
              <w:autoSpaceDE/>
              <w:autoSpaceDN/>
              <w:bidi w:val="0"/>
              <w:adjustRightInd/>
              <w:snapToGrid/>
              <w:spacing w:line="400" w:lineRule="exact"/>
              <w:ind w:left="0" w:leftChars="0" w:right="0" w:rightChars="0" w:firstLine="480" w:firstLineChars="200"/>
              <w:jc w:val="center"/>
              <w:textAlignment w:val="auto"/>
              <w:outlineLvl w:val="9"/>
              <w:rPr>
                <w:rFonts w:hint="default"/>
                <w:sz w:val="24"/>
                <w:lang w:val="en-US" w:eastAsia="zh-CN"/>
              </w:rPr>
            </w:pPr>
          </w:p>
          <w:p w14:paraId="10B4E0D2">
            <w:pPr>
              <w:keepNext w:val="0"/>
              <w:keepLines w:val="0"/>
              <w:pageBreakBefore w:val="0"/>
              <w:widowControl w:val="0"/>
              <w:tabs>
                <w:tab w:val="center" w:pos="4572"/>
              </w:tabs>
              <w:kinsoku/>
              <w:wordWrap/>
              <w:overflowPunct/>
              <w:topLinePunct w:val="0"/>
              <w:autoSpaceDE/>
              <w:autoSpaceDN/>
              <w:bidi w:val="0"/>
              <w:adjustRightInd/>
              <w:snapToGrid/>
              <w:spacing w:line="400" w:lineRule="exact"/>
              <w:ind w:right="0" w:rightChars="0"/>
              <w:jc w:val="both"/>
              <w:textAlignment w:val="auto"/>
              <w:outlineLvl w:val="9"/>
              <w:rPr>
                <w:rFonts w:hint="default"/>
                <w:sz w:val="24"/>
                <w:lang w:val="en-US" w:eastAsia="zh-CN"/>
              </w:rPr>
            </w:pPr>
          </w:p>
        </w:tc>
      </w:tr>
    </w:tbl>
    <w:p w14:paraId="53E6D890"/>
    <w:sectPr>
      <w:pgSz w:w="11906" w:h="16838"/>
      <w:pgMar w:top="1440" w:right="1803" w:bottom="1440" w:left="1803"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938793"/>
    <w:multiLevelType w:val="singleLevel"/>
    <w:tmpl w:val="F493879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yMTI5MjEyMmQ1ODdhNzM3N2E5ZDk3NTVmZmFkMTEifQ=="/>
  </w:docVars>
  <w:rsids>
    <w:rsidRoot w:val="538102AF"/>
    <w:rsid w:val="009D4F38"/>
    <w:rsid w:val="01DD2620"/>
    <w:rsid w:val="047D5273"/>
    <w:rsid w:val="057E11C2"/>
    <w:rsid w:val="05862076"/>
    <w:rsid w:val="0A5E3579"/>
    <w:rsid w:val="0AD331F1"/>
    <w:rsid w:val="0B1A1A6E"/>
    <w:rsid w:val="0B4E759E"/>
    <w:rsid w:val="0B5A0B54"/>
    <w:rsid w:val="0BF351F2"/>
    <w:rsid w:val="0C802428"/>
    <w:rsid w:val="0C9F20D5"/>
    <w:rsid w:val="0CB644DB"/>
    <w:rsid w:val="0DE0138C"/>
    <w:rsid w:val="0E3230CF"/>
    <w:rsid w:val="0ED14B39"/>
    <w:rsid w:val="0EF97133"/>
    <w:rsid w:val="10563D26"/>
    <w:rsid w:val="108F6A88"/>
    <w:rsid w:val="12C41925"/>
    <w:rsid w:val="12C730F7"/>
    <w:rsid w:val="14942310"/>
    <w:rsid w:val="15AB0C2B"/>
    <w:rsid w:val="161C7E52"/>
    <w:rsid w:val="165D0854"/>
    <w:rsid w:val="167F4E7B"/>
    <w:rsid w:val="1A872550"/>
    <w:rsid w:val="1AF17E8F"/>
    <w:rsid w:val="1B886EC9"/>
    <w:rsid w:val="1C0E2D71"/>
    <w:rsid w:val="1E7519B9"/>
    <w:rsid w:val="1E9F391F"/>
    <w:rsid w:val="1FD22AF5"/>
    <w:rsid w:val="1FED5276"/>
    <w:rsid w:val="204A474C"/>
    <w:rsid w:val="20AD7EB1"/>
    <w:rsid w:val="21286B8A"/>
    <w:rsid w:val="215F26BC"/>
    <w:rsid w:val="218E4522"/>
    <w:rsid w:val="230E7103"/>
    <w:rsid w:val="24082954"/>
    <w:rsid w:val="248674EB"/>
    <w:rsid w:val="24E87D48"/>
    <w:rsid w:val="256516E0"/>
    <w:rsid w:val="25C84743"/>
    <w:rsid w:val="283C39E5"/>
    <w:rsid w:val="28602A0B"/>
    <w:rsid w:val="28FB2642"/>
    <w:rsid w:val="29222C66"/>
    <w:rsid w:val="2B2B0E7F"/>
    <w:rsid w:val="2CBC6F38"/>
    <w:rsid w:val="2D0C7AFA"/>
    <w:rsid w:val="2EE63891"/>
    <w:rsid w:val="2FF67788"/>
    <w:rsid w:val="30B06208"/>
    <w:rsid w:val="30C9342F"/>
    <w:rsid w:val="30E63C5D"/>
    <w:rsid w:val="31082964"/>
    <w:rsid w:val="31452D3D"/>
    <w:rsid w:val="32F63CCD"/>
    <w:rsid w:val="333B37D1"/>
    <w:rsid w:val="387B1038"/>
    <w:rsid w:val="38E944B5"/>
    <w:rsid w:val="3A2524D0"/>
    <w:rsid w:val="3B314E88"/>
    <w:rsid w:val="3B344AA0"/>
    <w:rsid w:val="3BAF489A"/>
    <w:rsid w:val="3CE47104"/>
    <w:rsid w:val="3F8F1D6F"/>
    <w:rsid w:val="3FAA26B9"/>
    <w:rsid w:val="3FBA542A"/>
    <w:rsid w:val="402715EF"/>
    <w:rsid w:val="42395C71"/>
    <w:rsid w:val="4321360E"/>
    <w:rsid w:val="43763830"/>
    <w:rsid w:val="43B9736F"/>
    <w:rsid w:val="43D06C3E"/>
    <w:rsid w:val="45621DE2"/>
    <w:rsid w:val="45FA0705"/>
    <w:rsid w:val="48C601F9"/>
    <w:rsid w:val="48EB181E"/>
    <w:rsid w:val="497C3162"/>
    <w:rsid w:val="4A3239D7"/>
    <w:rsid w:val="4A8136C9"/>
    <w:rsid w:val="4BEE0C2F"/>
    <w:rsid w:val="4C0914E9"/>
    <w:rsid w:val="4DBC4E34"/>
    <w:rsid w:val="4DDE28DD"/>
    <w:rsid w:val="4DE72C63"/>
    <w:rsid w:val="4F8D2810"/>
    <w:rsid w:val="503F2B11"/>
    <w:rsid w:val="52C701F1"/>
    <w:rsid w:val="538102AF"/>
    <w:rsid w:val="568B1F00"/>
    <w:rsid w:val="56AB0155"/>
    <w:rsid w:val="579722FB"/>
    <w:rsid w:val="590E560F"/>
    <w:rsid w:val="59382EB9"/>
    <w:rsid w:val="5CC76C03"/>
    <w:rsid w:val="5CE76DCD"/>
    <w:rsid w:val="5D430C57"/>
    <w:rsid w:val="5DAB0F93"/>
    <w:rsid w:val="5DEB0883"/>
    <w:rsid w:val="5DF553FB"/>
    <w:rsid w:val="5E5F2CA2"/>
    <w:rsid w:val="5E760E31"/>
    <w:rsid w:val="60075502"/>
    <w:rsid w:val="608368E3"/>
    <w:rsid w:val="60EF5BC5"/>
    <w:rsid w:val="60F66D6F"/>
    <w:rsid w:val="61493AE2"/>
    <w:rsid w:val="62870F12"/>
    <w:rsid w:val="66FE62F0"/>
    <w:rsid w:val="67A9779D"/>
    <w:rsid w:val="67DA7730"/>
    <w:rsid w:val="68404408"/>
    <w:rsid w:val="69346F3E"/>
    <w:rsid w:val="69401815"/>
    <w:rsid w:val="6A6C05BA"/>
    <w:rsid w:val="6ABB592C"/>
    <w:rsid w:val="6B140CDF"/>
    <w:rsid w:val="6BE33F88"/>
    <w:rsid w:val="6BF072CA"/>
    <w:rsid w:val="6CA46E28"/>
    <w:rsid w:val="6CE47DAE"/>
    <w:rsid w:val="71C46E77"/>
    <w:rsid w:val="71D70272"/>
    <w:rsid w:val="728C161F"/>
    <w:rsid w:val="72F0605A"/>
    <w:rsid w:val="73C60DA7"/>
    <w:rsid w:val="7430261B"/>
    <w:rsid w:val="75075F0F"/>
    <w:rsid w:val="75E32AFB"/>
    <w:rsid w:val="76662460"/>
    <w:rsid w:val="76E16705"/>
    <w:rsid w:val="771B69F9"/>
    <w:rsid w:val="77ED174B"/>
    <w:rsid w:val="7967015F"/>
    <w:rsid w:val="7A2A10CD"/>
    <w:rsid w:val="7CA37C99"/>
    <w:rsid w:val="7D227995"/>
    <w:rsid w:val="7E5C1F59"/>
    <w:rsid w:val="7F7F41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nhideWhenUsed="0" w:uiPriority="1"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9"/>
    <w:basedOn w:val="1"/>
    <w:next w:val="1"/>
    <w:autoRedefine/>
    <w:qFormat/>
    <w:uiPriority w:val="1"/>
    <w:pPr>
      <w:spacing w:before="1"/>
      <w:jc w:val="center"/>
      <w:outlineLvl w:val="9"/>
    </w:pPr>
    <w:rPr>
      <w:rFonts w:ascii="黑体" w:hAnsi="黑体" w:eastAsia="黑体" w:cs="黑体"/>
      <w:sz w:val="32"/>
      <w:szCs w:val="32"/>
      <w:lang w:val="zh-CN" w:eastAsia="zh-CN" w:bidi="zh-CN"/>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1"/>
      <w:szCs w:val="21"/>
      <w:lang w:val="zh-CN" w:eastAsia="zh-CN" w:bidi="zh-CN"/>
    </w:rPr>
  </w:style>
  <w:style w:type="table" w:styleId="5">
    <w:name w:val="Table Grid"/>
    <w:basedOn w:val="4"/>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style>
  <w:style w:type="character" w:customStyle="1" w:styleId="8">
    <w:name w:val="font11"/>
    <w:basedOn w:val="6"/>
    <w:qFormat/>
    <w:uiPriority w:val="0"/>
    <w:rPr>
      <w:rFonts w:hint="eastAsia" w:ascii="宋体" w:hAnsi="宋体" w:eastAsia="宋体" w:cs="宋体"/>
      <w:color w:val="000000"/>
      <w:sz w:val="20"/>
      <w:szCs w:val="20"/>
      <w:u w:val="none"/>
    </w:rPr>
  </w:style>
  <w:style w:type="character" w:customStyle="1" w:styleId="9">
    <w:name w:val="font61"/>
    <w:basedOn w:val="6"/>
    <w:qFormat/>
    <w:uiPriority w:val="0"/>
    <w:rPr>
      <w:rFonts w:hint="eastAsia" w:ascii="宋体" w:hAnsi="宋体" w:eastAsia="宋体" w:cs="宋体"/>
      <w:color w:val="000000"/>
      <w:sz w:val="20"/>
      <w:szCs w:val="20"/>
      <w:u w:val="none"/>
    </w:rPr>
  </w:style>
  <w:style w:type="character" w:customStyle="1" w:styleId="10">
    <w:name w:val="font31"/>
    <w:basedOn w:val="6"/>
    <w:qFormat/>
    <w:uiPriority w:val="0"/>
    <w:rPr>
      <w:rFonts w:hint="default" w:ascii="Times New Roman" w:hAnsi="Times New Roman" w:cs="Times New Roman"/>
      <w:color w:val="000000"/>
      <w:sz w:val="20"/>
      <w:szCs w:val="20"/>
      <w:u w:val="none"/>
    </w:rPr>
  </w:style>
  <w:style w:type="character" w:customStyle="1" w:styleId="11">
    <w:name w:val="font51"/>
    <w:basedOn w:val="6"/>
    <w:qFormat/>
    <w:uiPriority w:val="0"/>
    <w:rPr>
      <w:rFonts w:hint="eastAsia" w:ascii="宋体" w:hAnsi="宋体" w:eastAsia="宋体" w:cs="宋体"/>
      <w:color w:val="000000"/>
      <w:sz w:val="20"/>
      <w:szCs w:val="20"/>
      <w:u w:val="none"/>
    </w:rPr>
  </w:style>
  <w:style w:type="character" w:customStyle="1" w:styleId="12">
    <w:name w:val="font81"/>
    <w:basedOn w:val="6"/>
    <w:qFormat/>
    <w:uiPriority w:val="0"/>
    <w:rPr>
      <w:rFonts w:hint="eastAsia" w:ascii="宋体" w:hAnsi="宋体" w:eastAsia="宋体" w:cs="宋体"/>
      <w:color w:val="000000"/>
      <w:sz w:val="20"/>
      <w:szCs w:val="20"/>
      <w:u w:val="none"/>
    </w:rPr>
  </w:style>
  <w:style w:type="character" w:customStyle="1" w:styleId="13">
    <w:name w:val="font7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4279</Words>
  <Characters>4451</Characters>
  <Lines>0</Lines>
  <Paragraphs>0</Paragraphs>
  <TotalTime>10</TotalTime>
  <ScaleCrop>false</ScaleCrop>
  <LinksUpToDate>false</LinksUpToDate>
  <CharactersWithSpaces>4463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2022-02-15T00:52:00Z</dcterms:created>
  <dc:creator>WPS_1488807953</dc:creator>
  <cp:lastModifiedBy>刘坚</cp:lastModifiedBy>
  <dcterms:modified xsi:type="dcterms:W3CDTF">2026-06-01T09:06:26Z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626AF6BB704C4A34A7940571119E22E0</vt:lpwstr>
  </property>
  <property fmtid="{D5CDD505-2E9C-101B-9397-08002B2CF9AE}" pid="4" name="commondata">
    <vt:lpwstr>eyJoZGlkIjoiODgzMDcxZmI4NTIyYWM4MTQ2YjY1ZWYyM2VhZTEyZjQifQ==</vt:lpwstr>
  </property>
  <property fmtid="{D5CDD505-2E9C-101B-9397-08002B2CF9AE}" pid="5" name="KSOTemplateDocerSaveRecord">
    <vt:lpwstr>eyJoZGlkIjoiYWFkMmNlMWQ2NDEwMWNkMmIyMDVlOTRkMmYxZmMwNjAiLCJ1c2VySWQiOiI1NTg2ODg4MjIifQ==</vt:lpwstr>
  </property>
</Properties>
</file>