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sz w:val="36"/>
        </w:rPr>
      </w:pPr>
      <w:r>
        <w:rPr>
          <w:rFonts w:ascii="宋体" w:hAnsi="宋体"/>
          <w:color w:val="000000"/>
          <w:sz w:val="36"/>
        </w:rPr>
      </w:r>
      <w:r/>
    </w:p>
    <w:p>
      <w:pPr>
        <w:jc w:val="right"/>
        <w:rPr>
          <w:rFonts w:ascii="宋体" w:hAnsi="宋体"/>
          <w:color w:val="000000"/>
          <w:sz w:val="36"/>
        </w:rPr>
      </w:pPr>
      <w:r>
        <w:rPr>
          <w:rFonts w:hint="eastAsia" w:ascii="宋体" w:hAnsi="宋体"/>
          <w:color w:val="000000"/>
          <w:sz w:val="36"/>
        </w:rPr>
        <w:t xml:space="preserve">编号：</w:t>
      </w:r>
      <w:r>
        <w:rPr>
          <w:rFonts w:hint="eastAsia" w:ascii="宋体" w:hAnsi="宋体"/>
          <w:color w:val="000000"/>
          <w:sz w:val="36"/>
          <w:lang w:eastAsia="zh-CN"/>
        </w:rPr>
        <w:t xml:space="preserve">JSZC-321003-YZDX-G2026-0006</w:t>
      </w:r>
      <w:r/>
    </w:p>
    <w:p>
      <w:pPr>
        <w:jc w:val="center"/>
        <w:rPr>
          <w:rFonts w:hint="eastAsia" w:ascii="宋体" w:hAnsi="宋体" w:eastAsia="宋体"/>
          <w:color w:val="000000"/>
          <w:sz w:val="36"/>
          <w:lang w:eastAsia="zh-CN"/>
        </w:rPr>
      </w:pPr>
      <w:r>
        <w:rPr>
          <w:rFonts w:hint="eastAsia" w:ascii="宋体" w:hAnsi="宋体"/>
          <w:color w:val="000000"/>
          <w:sz w:val="36"/>
          <w:lang w:eastAsia="zh-CN"/>
        </w:rPr>
        <w:t xml:space="preserve">江苏省邗江中学消防维保、消控室及配套服务项目</w:t>
      </w:r>
      <w:r/>
    </w:p>
    <w:p>
      <w:pPr>
        <w:jc w:val="center"/>
        <w:rPr>
          <w:rFonts w:ascii="宋体" w:hAnsi="宋体"/>
          <w:color w:val="000000"/>
          <w:sz w:val="36"/>
        </w:rPr>
      </w:pPr>
      <w:r>
        <w:rPr>
          <w:rFonts w:hint="eastAsia" w:ascii="宋体" w:hAnsi="宋体"/>
          <w:color w:val="000000"/>
          <w:sz w:val="36"/>
        </w:rPr>
        <w:t xml:space="preserve">公开招标文件</w:t>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hint="eastAsia" w:ascii="宋体" w:hAnsi="宋体" w:cs="宋体"/>
          <w:sz w:val="36"/>
        </w:rPr>
        <mc:AlternateContent>
          <mc:Choice Requires="wpg">
            <w:drawing>
              <wp:inline xmlns:wp="http://schemas.openxmlformats.org/drawingml/2006/wordprocessingDrawing" distT="0" distB="0" distL="0" distR="0">
                <wp:extent cx="5267325" cy="3429000"/>
                <wp:effectExtent l="0" t="0" r="9525" b="0"/>
                <wp:docPr id="1" name="图片 1" descr="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3"/>
                        <pic:cNvPicPr>
                          <a:picLocks noChangeAspect="1"/>
                        </pic:cNvPicPr>
                        <pic:nvPr/>
                      </pic:nvPicPr>
                      <pic:blipFill>
                        <a:blip r:embed="rId12"/>
                        <a:stretch/>
                      </pic:blipFill>
                      <pic:spPr bwMode="auto">
                        <a:xfrm>
                          <a:off x="0" y="0"/>
                          <a:ext cx="5267325" cy="3429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270.0pt;mso-wrap-distance-left:0.0pt;mso-wrap-distance-top:0.0pt;mso-wrap-distance-right:0.0pt;mso-wrap-distance-bottom:0.0pt;" stroked="f">
                <v:path textboxrect="0,0,0,0"/>
                <v:imagedata r:id="rId12" o:title=""/>
              </v:shape>
            </w:pict>
          </mc:Fallback>
        </mc:AlternateContent>
      </w:r>
      <w:r/>
    </w:p>
    <w:p>
      <w:pPr>
        <w:jc w:val="center"/>
        <w:rPr>
          <w:rFonts w:ascii="宋体" w:hAnsi="宋体"/>
          <w:color w:val="000000"/>
          <w:sz w:val="36"/>
        </w:rPr>
      </w:pPr>
      <w:r>
        <w:rPr>
          <w:rFonts w:ascii="宋体" w:hAnsi="宋体"/>
          <w:color w:val="000000"/>
          <w:sz w:val="36"/>
        </w:rPr>
      </w:r>
      <w:r/>
    </w:p>
    <w:p>
      <w:r/>
      <w:r/>
    </w:p>
    <w:p>
      <w:pPr>
        <w:pStyle w:val="866"/>
      </w:pPr>
      <w:r/>
      <w:r/>
    </w:p>
    <w:p>
      <w:pPr>
        <w:jc w:val="center"/>
        <w:rPr>
          <w:rFonts w:hint="eastAsia" w:ascii="宋体" w:hAnsi="宋体" w:eastAsia="宋体"/>
          <w:color w:val="000000"/>
          <w:sz w:val="36"/>
          <w:highlight w:val="none"/>
          <w:lang w:eastAsia="zh-CN"/>
        </w:rPr>
      </w:pPr>
      <w:r>
        <w:rPr>
          <w:rFonts w:hint="eastAsia" w:ascii="宋体" w:hAnsi="宋体"/>
          <w:color w:val="000000"/>
          <w:sz w:val="36"/>
          <w:highlight w:val="none"/>
          <w:lang w:eastAsia="zh-CN"/>
        </w:rPr>
        <w:t xml:space="preserve">扬州大学工程设计研究院有限公司</w:t>
      </w:r>
      <w:r/>
    </w:p>
    <w:p>
      <w:pPr>
        <w:jc w:val="center"/>
        <w:rPr>
          <w:rFonts w:hint="eastAsia" w:ascii="宋体" w:hAnsi="宋体" w:eastAsia="宋体"/>
          <w:color w:val="000000"/>
          <w:sz w:val="36"/>
          <w:lang w:eastAsia="zh-CN"/>
        </w:rPr>
      </w:pPr>
      <w:r>
        <w:rPr>
          <w:rFonts w:hint="eastAsia" w:ascii="宋体" w:hAnsi="宋体"/>
          <w:color w:val="000000"/>
          <w:sz w:val="36"/>
          <w:lang w:eastAsia="zh-CN"/>
        </w:rPr>
        <w:t xml:space="preserve">202</w:t>
      </w:r>
      <w:r>
        <w:rPr>
          <w:rFonts w:hint="eastAsia" w:ascii="宋体" w:hAnsi="宋体"/>
          <w:color w:val="000000"/>
          <w:sz w:val="36"/>
          <w:lang w:val="en-US" w:eastAsia="zh-CN"/>
        </w:rPr>
        <w:t xml:space="preserve">6</w:t>
      </w:r>
      <w:r>
        <w:rPr>
          <w:rFonts w:hint="eastAsia" w:ascii="宋体" w:hAnsi="宋体"/>
          <w:color w:val="000000"/>
          <w:sz w:val="36"/>
          <w:lang w:eastAsia="zh-CN"/>
        </w:rPr>
        <w:t xml:space="preserve">年</w:t>
      </w:r>
      <w:r>
        <w:rPr>
          <w:rFonts w:hint="eastAsia" w:ascii="宋体" w:hAnsi="宋体"/>
          <w:color w:val="000000"/>
          <w:sz w:val="36"/>
          <w:lang w:val="en-US" w:eastAsia="zh-CN"/>
        </w:rPr>
        <w:t xml:space="preserve">5</w:t>
      </w:r>
      <w:r>
        <w:rPr>
          <w:rFonts w:hint="eastAsia" w:ascii="宋体" w:hAnsi="宋体"/>
          <w:color w:val="000000"/>
          <w:sz w:val="36"/>
          <w:lang w:eastAsia="zh-CN"/>
        </w:rPr>
        <w:t xml:space="preserve">月</w:t>
      </w:r>
      <w:r/>
    </w:p>
    <w:p>
      <w:r>
        <w:br w:type="page" w:clear="all"/>
      </w:r>
      <w:r/>
    </w:p>
    <w:p>
      <w:pPr>
        <w:jc w:val="center"/>
        <w:rPr>
          <w:rFonts w:ascii="宋体" w:hAnsi="宋体"/>
          <w:color w:val="000000"/>
          <w:sz w:val="32"/>
        </w:rPr>
      </w:pPr>
      <w:r>
        <w:rPr>
          <w:rFonts w:hint="eastAsia" w:ascii="宋体" w:hAnsi="宋体"/>
          <w:color w:val="000000"/>
          <w:sz w:val="32"/>
        </w:rPr>
        <w:t xml:space="preserve">目 录</w:t>
      </w:r>
      <w:r/>
    </w:p>
    <w:p>
      <w:pPr>
        <w:pStyle w:val="883"/>
        <w:tabs>
          <w:tab w:val="right" w:pos="9638" w:leader="dot"/>
        </w:tabs>
      </w:pPr>
      <w:r>
        <w:rPr>
          <w:rFonts w:hint="eastAsia" w:ascii="宋体" w:hAnsi="宋体"/>
          <w:color w:val="000000"/>
          <w:sz w:val="28"/>
        </w:rPr>
        <w:fldChar w:fldCharType="begin"/>
      </w:r>
      <w:r>
        <w:rPr>
          <w:rFonts w:hint="eastAsia" w:ascii="宋体" w:hAnsi="宋体"/>
          <w:color w:val="000000"/>
          <w:sz w:val="28"/>
        </w:rPr>
        <w:instrText xml:space="preserve"> TOC \o "1-3" \f </w:instrText>
      </w:r>
      <w:r>
        <w:rPr>
          <w:rFonts w:hint="eastAsia" w:ascii="宋体" w:hAnsi="宋体"/>
          <w:color w:val="000000"/>
          <w:sz w:val="28"/>
        </w:rPr>
        <w:fldChar w:fldCharType="separate"/>
      </w:r>
      <w:r>
        <w:rPr>
          <w:rFonts w:hint="eastAsia" w:ascii="宋体" w:hAnsi="宋体"/>
          <w:szCs w:val="36"/>
        </w:rPr>
        <w:t xml:space="preserve">第一章 招标公告</w:t>
      </w:r>
      <w:r>
        <w:tab/>
      </w:r>
      <w:r>
        <w:fldChar w:fldCharType="begin"/>
      </w:r>
      <w:r>
        <w:instrText xml:space="preserve"> PAGEREF _Toc14576 \h </w:instrText>
      </w:r>
      <w:r>
        <w:fldChar w:fldCharType="separate"/>
      </w:r>
      <w:r>
        <w:t xml:space="preserve">3</w:t>
      </w:r>
      <w:r>
        <w:fldChar w:fldCharType="end"/>
      </w:r>
      <w:r/>
    </w:p>
    <w:p>
      <w:pPr>
        <w:pStyle w:val="883"/>
        <w:tabs>
          <w:tab w:val="right" w:pos="9638" w:leader="dot"/>
        </w:tabs>
      </w:pPr>
      <w:r>
        <w:rPr>
          <w:rFonts w:hint="eastAsia" w:ascii="宋体" w:hAnsi="宋体"/>
          <w:color w:val="000000"/>
          <w:szCs w:val="36"/>
        </w:rPr>
        <w:t xml:space="preserve">第二章 投标人须知</w:t>
      </w:r>
      <w:r>
        <w:tab/>
      </w:r>
      <w:r>
        <w:fldChar w:fldCharType="begin"/>
      </w:r>
      <w:r>
        <w:instrText xml:space="preserve"> PAGEREF _Toc3595 \h </w:instrText>
      </w:r>
      <w:r>
        <w:fldChar w:fldCharType="separate"/>
      </w:r>
      <w:r>
        <w:t xml:space="preserve">7</w:t>
      </w:r>
      <w:r>
        <w:fldChar w:fldCharType="end"/>
      </w:r>
      <w:r/>
    </w:p>
    <w:p>
      <w:pPr>
        <w:pStyle w:val="883"/>
        <w:tabs>
          <w:tab w:val="right" w:pos="9638" w:leader="dot"/>
        </w:tabs>
      </w:pPr>
      <w:r>
        <w:rPr>
          <w:rFonts w:hint="eastAsia" w:ascii="宋体" w:hAnsi="宋体"/>
          <w:color w:val="000000"/>
          <w:szCs w:val="36"/>
        </w:rPr>
        <w:t xml:space="preserve">第三章 合同条款及格式</w:t>
      </w:r>
      <w:r>
        <w:tab/>
      </w:r>
      <w:r>
        <w:fldChar w:fldCharType="begin"/>
      </w:r>
      <w:r>
        <w:instrText xml:space="preserve"> PAGEREF _Toc18150 \h </w:instrText>
      </w:r>
      <w:r>
        <w:fldChar w:fldCharType="separate"/>
      </w:r>
      <w:r>
        <w:t xml:space="preserve">18</w:t>
      </w:r>
      <w:r>
        <w:fldChar w:fldCharType="end"/>
      </w:r>
      <w:r/>
    </w:p>
    <w:p>
      <w:pPr>
        <w:pStyle w:val="883"/>
        <w:tabs>
          <w:tab w:val="right" w:pos="9638" w:leader="dot"/>
        </w:tabs>
      </w:pPr>
      <w:r>
        <w:rPr>
          <w:rFonts w:hint="eastAsia" w:ascii="宋体" w:hAnsi="宋体"/>
        </w:rPr>
        <w:t xml:space="preserve">第四章 项目需求</w:t>
      </w:r>
      <w:r>
        <w:tab/>
      </w:r>
      <w:r>
        <w:fldChar w:fldCharType="begin"/>
      </w:r>
      <w:r>
        <w:instrText xml:space="preserve"> PAGEREF _Toc11197 \h </w:instrText>
      </w:r>
      <w:r>
        <w:fldChar w:fldCharType="separate"/>
      </w:r>
      <w:r>
        <w:t xml:space="preserve">23</w:t>
      </w:r>
      <w:r>
        <w:fldChar w:fldCharType="end"/>
      </w:r>
      <w:r/>
    </w:p>
    <w:p>
      <w:pPr>
        <w:pStyle w:val="883"/>
        <w:tabs>
          <w:tab w:val="right" w:pos="9638" w:leader="dot"/>
        </w:tabs>
      </w:pPr>
      <w:r>
        <w:rPr>
          <w:rFonts w:hint="eastAsia" w:ascii="宋体" w:hAnsi="宋体"/>
          <w:color w:val="000000"/>
        </w:rPr>
        <w:t xml:space="preserve">第五章 评标方法及评标标准</w:t>
      </w:r>
      <w:r>
        <w:tab/>
      </w:r>
      <w:r>
        <w:fldChar w:fldCharType="begin"/>
      </w:r>
      <w:r>
        <w:instrText xml:space="preserve"> PAGEREF _Toc26417 \h </w:instrText>
      </w:r>
      <w:r>
        <w:fldChar w:fldCharType="separate"/>
      </w:r>
      <w:r>
        <w:t xml:space="preserve">23</w:t>
      </w:r>
      <w:r>
        <w:fldChar w:fldCharType="end"/>
      </w:r>
      <w:r/>
    </w:p>
    <w:p>
      <w:pPr>
        <w:pStyle w:val="883"/>
        <w:tabs>
          <w:tab w:val="right" w:pos="9638" w:leader="dot"/>
        </w:tabs>
      </w:pPr>
      <w:r>
        <w:rPr>
          <w:rFonts w:hint="eastAsia" w:ascii="宋体" w:hAnsi="宋体"/>
          <w:color w:val="000000"/>
        </w:rPr>
        <w:t xml:space="preserve">第六章 投标文件格式</w:t>
      </w:r>
      <w:r>
        <w:tab/>
      </w:r>
      <w:r>
        <w:fldChar w:fldCharType="begin"/>
      </w:r>
      <w:r>
        <w:instrText xml:space="preserve"> PAGEREF _Toc28256 \h </w:instrText>
      </w:r>
      <w:r>
        <w:fldChar w:fldCharType="separate"/>
      </w:r>
      <w:r>
        <w:t xml:space="preserve">39</w:t>
      </w:r>
      <w:r>
        <w:fldChar w:fldCharType="end"/>
      </w:r>
      <w:r/>
    </w:p>
    <w:p>
      <w:pPr>
        <w:rPr>
          <w:rFonts w:ascii="宋体" w:hAnsi="宋体"/>
          <w:color w:val="000000"/>
          <w:sz w:val="28"/>
        </w:rPr>
      </w:pPr>
      <w:r>
        <w:rPr>
          <w:rFonts w:hint="eastAsia" w:ascii="宋体" w:hAnsi="宋体"/>
          <w:color w:val="000000"/>
        </w:rPr>
        <w:fldChar w:fldCharType="end"/>
      </w:r>
      <w:r/>
    </w:p>
    <w:p>
      <w:r>
        <w:rPr>
          <w:rFonts w:hint="eastAsia" w:ascii="宋体" w:hAnsi="宋体"/>
          <w:color w:val="000000"/>
          <w:sz w:val="28"/>
        </w:rPr>
        <w:br w:type="page" w:clear="all"/>
      </w:r>
      <w:r/>
    </w:p>
    <w:p>
      <w:pPr>
        <w:pStyle w:val="864"/>
        <w:jc w:val="center"/>
        <w:rPr>
          <w:rFonts w:ascii="宋体" w:hAnsi="宋体"/>
          <w:szCs w:val="36"/>
        </w:rPr>
      </w:pPr>
      <w:r/>
      <w:bookmarkStart w:id="0" w:name="_Toc55204177"/>
      <w:r/>
      <w:bookmarkStart w:id="1" w:name="_Toc14576"/>
      <w:r>
        <w:rPr>
          <w:rFonts w:hint="eastAsia" w:ascii="宋体" w:hAnsi="宋体"/>
          <w:szCs w:val="36"/>
        </w:rPr>
        <w:t xml:space="preserve">第一章 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lang w:eastAsia="zh-CN"/>
        </w:rPr>
        <w:t xml:space="preserve">江苏省邗江中学</w:t>
      </w:r>
      <w:r>
        <w:rPr>
          <w:rFonts w:hint="eastAsia" w:ascii="宋体" w:hAnsi="宋体" w:cs="宋体"/>
        </w:rPr>
        <w:t xml:space="preserve">的委</w:t>
      </w:r>
      <w:r>
        <w:rPr>
          <w:rFonts w:hint="eastAsia" w:ascii="宋体" w:hAnsi="宋体" w:cs="宋体"/>
          <w:highlight w:val="none"/>
        </w:rPr>
        <w:t xml:space="preserve">托，</w:t>
      </w:r>
      <w:r>
        <w:rPr>
          <w:rFonts w:hint="eastAsia" w:ascii="宋体" w:hAnsi="宋体" w:cs="宋体"/>
          <w:highlight w:val="none"/>
          <w:lang w:eastAsia="zh-CN"/>
        </w:rPr>
        <w:t xml:space="preserve">扬州大学工程设计研究院有限公司</w:t>
      </w:r>
      <w:r>
        <w:rPr>
          <w:rFonts w:hint="eastAsia" w:ascii="宋体" w:hAnsi="宋体" w:cs="宋体"/>
          <w:highlight w:val="none"/>
        </w:rPr>
        <w:t xml:space="preserve">就</w:t>
      </w:r>
      <w:r>
        <w:rPr>
          <w:rFonts w:hint="eastAsia" w:ascii="宋体" w:hAnsi="宋体" w:cs="宋体"/>
          <w:highlight w:val="none"/>
          <w:lang w:eastAsia="zh-CN"/>
        </w:rPr>
        <w:t xml:space="preserve">江苏省邗江中学消防维保、消控室及配套服务项目</w:t>
      </w:r>
      <w:r>
        <w:rPr>
          <w:rFonts w:hint="eastAsia" w:ascii="宋体" w:hAnsi="宋体" w:cs="宋体"/>
        </w:rPr>
        <w:t xml:space="preserve">项目进行公开招标采购，欢迎符合条件的供应商投标。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 </w:t>
      </w:r>
      <w:r>
        <w:rPr>
          <w:rFonts w:hint="eastAsia" w:ascii="宋体" w:hAnsi="宋体" w:cs="宋体"/>
          <w:u w:val="single"/>
          <w:lang w:eastAsia="zh-CN"/>
        </w:rPr>
        <w:t xml:space="preserve"> 江苏省邗江中学消防维保、消控室及配套服务项目</w:t>
      </w:r>
      <w:r>
        <w:rPr>
          <w:rFonts w:hint="eastAsia" w:ascii="宋体" w:hAnsi="宋体" w:cs="宋体"/>
        </w:rPr>
        <w:t xml:space="preserve">招标项目的潜在投标人可在</w:t>
      </w:r>
      <w:r>
        <w:rPr>
          <w:rFonts w:hint="eastAsia" w:ascii="宋体" w:hAnsi="宋体" w:cs="宋体"/>
          <w:u w:val="single"/>
        </w:rPr>
        <w:t xml:space="preserve"> </w:t>
      </w:r>
      <w:r>
        <w:rPr>
          <w:rFonts w:hint="eastAsia" w:ascii="宋体" w:hAnsi="宋体" w:cs="宋体"/>
          <w:u w:val="single"/>
          <w:lang w:eastAsia="zh-CN"/>
        </w:rPr>
        <w:t xml:space="preserve">“扬州市邗江区政府采购网”、“扬州市政府采购网”、“江苏省政府采购网”和“中国政府采购网” </w:t>
      </w:r>
      <w:r>
        <w:rPr>
          <w:rFonts w:hint="eastAsia" w:ascii="宋体" w:hAnsi="宋体" w:cs="宋体"/>
          <w:u w:val="single"/>
        </w:rPr>
        <w:t xml:space="preserve">自行免费下载</w:t>
      </w:r>
      <w:r>
        <w:rPr>
          <w:rFonts w:hint="eastAsia" w:ascii="宋体" w:hAnsi="宋体" w:cs="宋体"/>
        </w:rPr>
        <w:t xml:space="preserve">招标文件，并于</w:t>
      </w:r>
      <w:r>
        <w:rPr>
          <w:rFonts w:hint="eastAsia" w:ascii="宋体" w:hAnsi="宋体" w:cs="宋体"/>
          <w:bCs/>
          <w:u w:val="single"/>
          <w:lang w:eastAsia="zh-CN"/>
        </w:rPr>
        <w:t xml:space="preserve">202</w:t>
      </w:r>
      <w:r>
        <w:rPr>
          <w:rFonts w:hint="eastAsia" w:ascii="宋体" w:hAnsi="宋体" w:cs="宋体"/>
          <w:bCs/>
          <w:u w:val="single"/>
          <w:lang w:val="en-US" w:eastAsia="zh-CN"/>
        </w:rPr>
        <w:t xml:space="preserve">6</w:t>
      </w:r>
      <w:r>
        <w:rPr>
          <w:rFonts w:hint="eastAsia" w:ascii="宋体" w:hAnsi="宋体" w:cs="宋体"/>
          <w:bCs/>
          <w:u w:val="single"/>
          <w:lang w:eastAsia="zh-CN"/>
        </w:rPr>
        <w:t xml:space="preserve">年</w:t>
      </w:r>
      <w:r>
        <w:rPr>
          <w:rFonts w:hint="eastAsia" w:ascii="宋体" w:hAnsi="宋体" w:cs="宋体"/>
          <w:bCs/>
          <w:u w:val="single"/>
          <w:lang w:val="en-US" w:eastAsia="zh-CN"/>
        </w:rPr>
        <w:t xml:space="preserve">6</w:t>
      </w:r>
      <w:r>
        <w:rPr>
          <w:rFonts w:hint="eastAsia" w:ascii="宋体" w:hAnsi="宋体" w:cs="宋体"/>
          <w:bCs/>
          <w:u w:val="single"/>
          <w:lang w:eastAsia="zh-CN"/>
        </w:rPr>
        <w:t xml:space="preserve">月</w:t>
      </w:r>
      <w:r>
        <w:rPr>
          <w:rFonts w:hint="eastAsia" w:ascii="宋体" w:hAnsi="宋体" w:cs="宋体"/>
          <w:bCs/>
          <w:u w:val="single"/>
          <w:lang w:val="en-US" w:eastAsia="zh-CN"/>
        </w:rPr>
        <w:t xml:space="preserve">18</w:t>
      </w:r>
      <w:r>
        <w:rPr>
          <w:rFonts w:hint="eastAsia" w:ascii="宋体" w:hAnsi="宋体" w:cs="宋体"/>
          <w:bCs/>
          <w:u w:val="single"/>
          <w:lang w:eastAsia="zh-CN"/>
        </w:rPr>
        <w:t xml:space="preserve">日</w:t>
      </w:r>
      <w:r>
        <w:rPr>
          <w:rFonts w:hint="eastAsia" w:ascii="宋体" w:hAnsi="宋体" w:cs="宋体"/>
          <w:bCs/>
          <w:u w:val="single"/>
          <w:lang w:val="en-US" w:eastAsia="zh-CN"/>
        </w:rPr>
        <w:t xml:space="preserve">09点30分</w:t>
      </w:r>
      <w:r>
        <w:rPr>
          <w:rFonts w:hint="eastAsia" w:ascii="宋体" w:hAnsi="宋体" w:cs="宋体"/>
          <w:bCs/>
          <w:u w:val="single"/>
        </w:rPr>
        <w:t xml:space="preserve">（</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28359079"/>
      <w:r/>
      <w:bookmarkStart w:id="3" w:name="_Toc35393621"/>
      <w:r/>
      <w:bookmarkStart w:id="4" w:name="_Toc28359002"/>
      <w:r/>
      <w:bookmarkStart w:id="5" w:name="_Toc38985263"/>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color w:val="ff0000"/>
          <w:szCs w:val="21"/>
        </w:rPr>
      </w:pPr>
      <w:r>
        <w:rPr>
          <w:rFonts w:hint="eastAsia" w:ascii="宋体" w:hAnsi="宋体" w:cs="宋体"/>
        </w:rPr>
        <w:t xml:space="preserve">1.项目编号：</w:t>
      </w:r>
      <w:r>
        <w:rPr>
          <w:rFonts w:hint="eastAsia" w:ascii="宋体" w:hAnsi="宋体" w:cs="宋体"/>
          <w:lang w:eastAsia="zh-CN"/>
        </w:rPr>
        <w:t xml:space="preserve">JSZC-321003-YZDX-G2026-0006</w:t>
      </w:r>
      <w:r/>
    </w:p>
    <w:p>
      <w:pPr>
        <w:ind w:firstLine="420"/>
        <w:spacing w:line="360" w:lineRule="auto"/>
        <w:rPr>
          <w:rFonts w:hint="eastAsia" w:ascii="宋体" w:hAnsi="宋体" w:eastAsia="宋体" w:cs="宋体"/>
          <w:lang w:eastAsia="zh-CN"/>
        </w:rPr>
      </w:pPr>
      <w:r>
        <w:rPr>
          <w:rFonts w:hint="eastAsia" w:ascii="宋体" w:hAnsi="宋体" w:cs="宋体"/>
        </w:rPr>
        <w:t xml:space="preserve">2.项目名称：</w:t>
      </w:r>
      <w:r>
        <w:rPr>
          <w:rFonts w:hint="eastAsia" w:ascii="宋体" w:hAnsi="宋体" w:cs="宋体"/>
          <w:lang w:eastAsia="zh-CN"/>
        </w:rPr>
        <w:t xml:space="preserve">江苏省邗江中学消防维保、消控室及配套服务项目</w:t>
      </w:r>
      <w:bookmarkEnd w:id="7"/>
      <w:r/>
      <w:r/>
    </w:p>
    <w:p>
      <w:pPr>
        <w:ind w:firstLine="420"/>
        <w:spacing w:line="360" w:lineRule="auto"/>
        <w:rPr>
          <w:rFonts w:hint="eastAsia" w:ascii="宋体" w:hAnsi="宋体" w:eastAsia="宋体" w:cs="宋体"/>
          <w:color w:val="ff0000"/>
          <w:lang w:eastAsia="zh-CN"/>
        </w:rPr>
      </w:pPr>
      <w:r>
        <w:rPr>
          <w:rFonts w:hint="eastAsia" w:ascii="宋体" w:hAnsi="宋体" w:cs="宋体"/>
        </w:rPr>
        <w:t xml:space="preserve">3.预算金额：</w:t>
      </w:r>
      <w:r>
        <w:rPr>
          <w:rFonts w:hint="eastAsia" w:ascii="宋体" w:hAnsi="宋体" w:cs="宋体"/>
          <w:lang w:val="en-US" w:eastAsia="zh-CN"/>
        </w:rPr>
        <w:t xml:space="preserve">150</w:t>
      </w:r>
      <w:r>
        <w:rPr>
          <w:rFonts w:hint="eastAsia" w:ascii="宋体" w:hAnsi="宋体" w:cs="宋体"/>
        </w:rPr>
        <w:t xml:space="preserve">万元</w:t>
      </w:r>
      <w:r>
        <w:rPr>
          <w:rFonts w:hint="eastAsia" w:ascii="宋体" w:hAnsi="宋体" w:cs="宋体"/>
          <w:lang w:eastAsia="zh-CN"/>
        </w:rPr>
        <w:t xml:space="preserve">（</w:t>
      </w:r>
      <w:r>
        <w:rPr>
          <w:rFonts w:hint="eastAsia" w:ascii="宋体" w:hAnsi="宋体" w:cs="宋体"/>
          <w:lang w:val="en-US" w:eastAsia="zh-CN"/>
        </w:rPr>
        <w:t xml:space="preserve">50万元/年</w:t>
      </w:r>
      <w:r>
        <w:rPr>
          <w:rFonts w:hint="eastAsia" w:ascii="宋体" w:hAnsi="宋体" w:cs="宋体"/>
          <w:lang w:eastAsia="zh-CN"/>
        </w:rPr>
        <w:t xml:space="preserve">）</w:t>
      </w:r>
      <w:r/>
    </w:p>
    <w:p>
      <w:pPr>
        <w:ind w:firstLine="420"/>
        <w:spacing w:line="360" w:lineRule="auto"/>
        <w:rPr>
          <w:rFonts w:ascii="宋体" w:hAnsi="宋体" w:cs="宋体"/>
          <w:color w:val="ff0000"/>
        </w:rPr>
      </w:pPr>
      <w:r>
        <w:rPr>
          <w:rFonts w:hint="eastAsia" w:ascii="宋体" w:hAnsi="宋体" w:cs="宋体"/>
        </w:rPr>
        <w:t xml:space="preserve">4.本项目设置最高限价，</w:t>
      </w:r>
      <w:r>
        <w:rPr>
          <w:rFonts w:hint="eastAsia" w:ascii="宋体" w:hAnsi="宋体" w:cs="宋体"/>
          <w:lang w:val="en-US" w:eastAsia="zh-CN"/>
        </w:rPr>
        <w:t xml:space="preserve">150</w:t>
      </w:r>
      <w:r>
        <w:rPr>
          <w:rFonts w:hint="eastAsia" w:ascii="宋体" w:hAnsi="宋体" w:cs="宋体"/>
        </w:rPr>
        <w:t xml:space="preserve">万元</w:t>
      </w:r>
      <w:r>
        <w:rPr>
          <w:rFonts w:hint="eastAsia" w:ascii="宋体" w:hAnsi="宋体" w:cs="宋体"/>
          <w:spacing w:val="-11"/>
          <w:szCs w:val="21"/>
        </w:rPr>
        <w:t xml:space="preserve">（</w:t>
      </w:r>
      <w:r>
        <w:rPr>
          <w:rFonts w:hint="eastAsia" w:ascii="宋体" w:hAnsi="宋体" w:cs="宋体"/>
          <w:spacing w:val="-11"/>
        </w:rPr>
        <w:t xml:space="preserve">本项目设置最高限价</w:t>
      </w:r>
      <w:r>
        <w:rPr>
          <w:rFonts w:hint="eastAsia" w:ascii="宋体" w:hAnsi="宋体" w:cs="宋体"/>
          <w:spacing w:val="-11"/>
          <w:lang w:val="en-US" w:eastAsia="zh-CN"/>
        </w:rPr>
        <w:t xml:space="preserve"> 150</w:t>
      </w:r>
      <w:r>
        <w:rPr>
          <w:rFonts w:hint="eastAsia" w:ascii="宋体" w:hAnsi="宋体" w:cs="宋体"/>
          <w:spacing w:val="-11"/>
        </w:rPr>
        <w:t xml:space="preserve">万元，</w:t>
      </w:r>
      <w:r>
        <w:rPr>
          <w:rFonts w:hint="eastAsia" w:ascii="宋体" w:hAnsi="宋体" w:cs="宋体"/>
          <w:lang w:val="en-US" w:eastAsia="zh-CN"/>
        </w:rPr>
        <w:t xml:space="preserve">50万元/年</w:t>
      </w:r>
      <w:r>
        <w:rPr>
          <w:rFonts w:hint="eastAsia" w:ascii="宋体" w:hAnsi="宋体" w:cs="宋体"/>
          <w:spacing w:val="-11"/>
          <w:lang w:val="en-US" w:eastAsia="zh-CN"/>
        </w:rPr>
        <w:t xml:space="preserve">，</w:t>
      </w:r>
      <w:r>
        <w:rPr>
          <w:rFonts w:hint="eastAsia" w:ascii="宋体" w:hAnsi="宋体" w:cs="宋体"/>
          <w:spacing w:val="-11"/>
        </w:rPr>
        <w:t xml:space="preserve">报价超过最高限价作无效响应处理</w:t>
      </w:r>
      <w:r>
        <w:rPr>
          <w:rFonts w:hint="eastAsia" w:ascii="宋体" w:hAnsi="宋体" w:cs="宋体"/>
          <w:spacing w:val="-11"/>
          <w:szCs w:val="21"/>
        </w:rPr>
        <w:t xml:space="preserve">）</w:t>
      </w:r>
      <w:r>
        <w:rPr>
          <w:rFonts w:hint="eastAsia" w:ascii="宋体" w:hAnsi="宋体" w:cs="宋体"/>
        </w:rPr>
        <w:t xml:space="preserve">。</w:t>
      </w:r>
      <w:r/>
    </w:p>
    <w:p>
      <w:pPr>
        <w:ind w:firstLine="420"/>
        <w:spacing w:line="360" w:lineRule="auto"/>
        <w:rPr>
          <w:rFonts w:ascii="宋体" w:hAnsi="宋体" w:cs="宋体"/>
          <w:u w:val="single"/>
        </w:rPr>
      </w:pPr>
      <w:r>
        <w:rPr>
          <w:rFonts w:hint="eastAsia" w:ascii="宋体" w:hAnsi="宋体" w:cs="宋体"/>
        </w:rPr>
        <w:t xml:space="preserve">5.采购需求：见招标文件第四章</w:t>
      </w:r>
      <w:r/>
    </w:p>
    <w:p>
      <w:pPr>
        <w:ind w:firstLine="420"/>
        <w:spacing w:line="360" w:lineRule="auto"/>
        <w:rPr>
          <w:rFonts w:hint="default" w:ascii="宋体" w:hAnsi="宋体" w:eastAsia="宋体" w:cs="宋体"/>
          <w:lang w:val="en-US" w:eastAsia="zh-CN"/>
        </w:rPr>
      </w:pPr>
      <w:r>
        <w:rPr>
          <w:rFonts w:hint="eastAsia" w:ascii="宋体" w:hAnsi="宋体" w:cs="宋体"/>
        </w:rPr>
        <w:t xml:space="preserve">6.合同履行期限：</w:t>
      </w:r>
      <w:r>
        <w:rPr>
          <w:rFonts w:hint="eastAsia" w:ascii="宋体" w:hAnsi="宋体" w:cs="宋体"/>
          <w:lang w:val="en-US" w:eastAsia="zh-CN"/>
        </w:rPr>
        <w:t xml:space="preserve">服务期限为三年，具体服务起始时间以采购人正式书面通知为准。本合同条款若与现行相关政策法规相抵触、相悖离，当年度不予续签，并由采购人重新组织招标采购工作；服务期间若履约考核评定不合格，采购人有权单方终止本合同。</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7.本项目</w:t>
      </w:r>
      <w:r>
        <w:rPr>
          <w:rFonts w:hint="eastAsia" w:ascii="宋体" w:hAnsi="宋体" w:cs="宋体"/>
          <w:u w:val="single"/>
          <w:lang w:val="en-US" w:eastAsia="zh-CN"/>
        </w:rPr>
        <w:t xml:space="preserve">不接受</w:t>
      </w:r>
      <w:r>
        <w:rPr>
          <w:rFonts w:hint="eastAsia" w:ascii="宋体" w:hAnsi="宋体" w:cs="宋体"/>
          <w:color w:val="000000" w:themeColor="text1"/>
          <w14:textFill>
            <w14:solidFill>
              <w14:schemeClr w14:val="tx1"/>
            </w14:solidFill>
          </w14:textFill>
        </w:rPr>
        <w:t xml:space="preserve">联合体投标。</w:t>
      </w:r>
      <w:r/>
    </w:p>
    <w:p>
      <w:pPr>
        <w:ind w:firstLine="420"/>
        <w:spacing w:line="360" w:lineRule="auto"/>
      </w:pPr>
      <w:r>
        <w:rPr>
          <w:rFonts w:hint="eastAsia" w:ascii="宋体" w:hAnsi="宋体" w:cs="宋体"/>
        </w:rPr>
        <w:t xml:space="preserve">8.本项目</w:t>
      </w:r>
      <w:r>
        <w:rPr>
          <w:rFonts w:hint="eastAsia" w:ascii="宋体" w:hAnsi="宋体" w:cs="宋体"/>
          <w:u w:val="single"/>
          <w:lang w:val="en-US" w:eastAsia="zh-CN"/>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pPr>
      <w:r/>
      <w:bookmarkStart w:id="8" w:name="_Toc38985264"/>
      <w:r/>
      <w:bookmarkStart w:id="9" w:name="_Toc28359080"/>
      <w:r/>
      <w:bookmarkStart w:id="10" w:name="_Toc35393622"/>
      <w:r/>
      <w:bookmarkStart w:id="11" w:name="_Toc28359003"/>
      <w:r/>
      <w:bookmarkStart w:id="12" w:name="_Toc35393791"/>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cs="宋体"/>
          <w:i/>
          <w:iCs/>
          <w:szCs w:val="21"/>
          <w:u w:val="single"/>
        </w:rPr>
      </w:pPr>
      <w:r/>
      <w:bookmarkStart w:id="13" w:name="_Toc35393792"/>
      <w:r/>
      <w:bookmarkStart w:id="14" w:name="_Toc28359081"/>
      <w:r/>
      <w:bookmarkStart w:id="15" w:name="_Toc35393623"/>
      <w:r/>
      <w:bookmarkStart w:id="16" w:name="_Toc38985265"/>
      <w:r/>
      <w:bookmarkStart w:id="17" w:name="_Toc28359004"/>
      <w:r>
        <w:rPr>
          <w:rFonts w:hint="eastAsia" w:ascii="宋体" w:hAnsi="宋体" w:cs="宋体"/>
          <w:szCs w:val="21"/>
        </w:rPr>
        <w:t xml:space="preserve">1.满足《中华人民共和国政府采购法》第二十二条规定，并提供下列材料：</w:t>
      </w:r>
      <w:r/>
    </w:p>
    <w:p>
      <w:pPr>
        <w:pStyle w:val="88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w:t>
      </w:r>
      <w:r>
        <w:rPr>
          <w:rFonts w:hint="eastAsia" w:ascii="宋体" w:hAnsi="宋体" w:cs="宋体"/>
          <w:i/>
          <w:iCs/>
          <w:sz w:val="21"/>
          <w:szCs w:val="21"/>
          <w:u w:val="single"/>
          <w:lang w:val="en-US" w:eastAsia="zh-CN" w:bidi="ar-SA"/>
        </w:rPr>
        <w:t xml:space="preserve">1</w:t>
      </w:r>
      <w:r>
        <w:rPr>
          <w:rFonts w:hint="eastAsia" w:ascii="宋体" w:hAnsi="宋体" w:eastAsia="宋体" w:cs="宋体"/>
          <w:i/>
          <w:iCs/>
          <w:sz w:val="21"/>
          <w:szCs w:val="21"/>
          <w:u w:val="single"/>
          <w:lang w:val="en-US" w:eastAsia="zh-CN" w:bidi="ar-SA"/>
        </w:rPr>
        <w:t xml:space="preserve">法人或者其他组织的营业执照等证明文件，自然人的身份证明</w:t>
      </w:r>
      <w:r/>
    </w:p>
    <w:p>
      <w:pPr>
        <w:pStyle w:val="88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1.2.依法缴纳税收和社会保障资金的相关材料（</w:t>
      </w:r>
      <w:r>
        <w:rPr>
          <w:rFonts w:hint="eastAsia" w:ascii="宋体" w:hAnsi="宋体" w:eastAsia="宋体" w:cs="宋体"/>
          <w:b/>
          <w:bCs/>
          <w:i/>
          <w:iCs/>
          <w:sz w:val="21"/>
          <w:szCs w:val="21"/>
          <w:u w:val="single"/>
          <w:lang w:val="en-US" w:eastAsia="zh-CN" w:bidi="ar-SA"/>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pStyle w:val="88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1.3.上一年度的财务状况报告</w:t>
      </w:r>
      <w:r>
        <w:rPr>
          <w:rFonts w:hint="eastAsia" w:ascii="宋体" w:hAnsi="宋体" w:eastAsia="宋体" w:cs="宋体"/>
          <w:b/>
          <w:bCs/>
          <w:i/>
          <w:iCs/>
          <w:sz w:val="21"/>
          <w:szCs w:val="21"/>
          <w:u w:val="single"/>
          <w:lang w:val="en-US" w:eastAsia="zh-CN" w:bidi="ar-SA"/>
        </w:rPr>
        <w:t xml:space="preserve">（成立不满一年不需提供）</w:t>
      </w:r>
      <w:r/>
    </w:p>
    <w:p>
      <w:pPr>
        <w:pStyle w:val="88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1.4.具备履行合同所必需的设备和专业技术能力的证明材料</w:t>
      </w:r>
      <w:r/>
    </w:p>
    <w:p>
      <w:pPr>
        <w:pStyle w:val="88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1.5.参加本次政府采购活动前3年内在经营活动中没有重大违法记录的书面声明</w:t>
      </w:r>
      <w:r/>
    </w:p>
    <w:p>
      <w:pPr>
        <w:pStyle w:val="88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p>
      <w:pPr>
        <w:pStyle w:val="886"/>
        <w:ind w:left="0" w:right="0" w:firstLine="42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1.7.供应商信用承诺函</w:t>
      </w:r>
      <w:r>
        <w:rPr>
          <w:rFonts w:hint="eastAsia" w:ascii="宋体" w:hAnsi="宋体" w:cs="宋体"/>
          <w:i/>
          <w:iCs/>
          <w:sz w:val="21"/>
          <w:szCs w:val="21"/>
          <w:u w:val="single"/>
          <w:lang w:val="en-US" w:eastAsia="zh-CN" w:bidi="ar-SA"/>
        </w:rPr>
        <w:t xml:space="preserve">/</w:t>
      </w:r>
      <w:r>
        <w:rPr>
          <w:rFonts w:hint="eastAsia" w:ascii="宋体" w:hAnsi="宋体" w:eastAsia="宋体" w:cs="宋体"/>
          <w:i/>
          <w:iCs/>
          <w:sz w:val="21"/>
          <w:szCs w:val="21"/>
          <w:u w:val="single"/>
          <w:lang w:val="en-US" w:eastAsia="zh-CN" w:bidi="ar-SA"/>
        </w:rPr>
        <w:t xml:space="preserve">不参与围标串标承诺书</w:t>
      </w:r>
      <w:r/>
    </w:p>
    <w:p>
      <w:pPr>
        <w:pStyle w:val="88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1.8.投标函</w:t>
      </w:r>
      <w:r/>
    </w:p>
    <w:p>
      <w:pPr>
        <w:pStyle w:val="886"/>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iCs/>
          <w:sz w:val="21"/>
          <w:szCs w:val="21"/>
          <w:u w:val="singl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sz w:val="21"/>
          <w:szCs w:val="21"/>
          <w:u w:val="single"/>
          <w:lang w:val="en-US" w:eastAsia="zh-CN" w:bidi="ar-SA"/>
        </w:rPr>
        <w:t xml:space="preserve">1.9.法人授权书</w:t>
      </w:r>
      <w:r/>
    </w:p>
    <w:p>
      <w:pPr>
        <w:numPr>
          <w:ilvl w:val="0"/>
          <w:numId w:val="1"/>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落实政府采购政策需满足的资格要求：</w:t>
      </w:r>
      <w:r>
        <w:rPr>
          <w:rFonts w:hint="eastAsia" w:ascii="宋体" w:hAnsi="宋体" w:cs="宋体"/>
          <w:i/>
          <w:szCs w:val="21"/>
          <w:highlight w:val="none"/>
          <w:u w:val="single"/>
        </w:rPr>
        <w:t xml:space="preserve">根据《政府采购促进中小企业发展管理办法》的规定，本项目专门面向中小企业采购，投标单位投标时须提供《中小企业声明函》，《中小企业声明函》不符合要求或未提供的，响应文件无效。</w:t>
      </w:r>
      <w:r/>
    </w:p>
    <w:p>
      <w:pPr>
        <w:numPr>
          <w:ilvl w:val="0"/>
          <w:numId w:val="0"/>
        </w:numPr>
        <w:ind w:firstLine="210"/>
        <w:spacing w:line="360" w:lineRule="auto"/>
        <w:rPr>
          <w:rFonts w:hint="eastAsia" w:ascii="宋体" w:hAnsi="宋体" w:cs="宋体"/>
          <w:i/>
          <w:szCs w:val="21"/>
          <w:u w:val="single"/>
        </w:rPr>
      </w:pPr>
      <w:r>
        <w:rPr>
          <w:rFonts w:hint="eastAsia" w:ascii="宋体" w:hAnsi="宋体" w:cs="宋体"/>
          <w:szCs w:val="21"/>
        </w:rPr>
        <w:t xml:space="preserve">3.本项目的特定资格要求：</w:t>
      </w:r>
      <w:r>
        <w:rPr>
          <w:rFonts w:hint="eastAsia" w:ascii="宋体" w:hAnsi="宋体" w:cs="宋体"/>
          <w:i/>
          <w:szCs w:val="21"/>
          <w:u w:val="single"/>
        </w:rPr>
        <w:t xml:space="preserve">具有建设行政主管部门颁发的消防设施工程专业承包二级</w:t>
      </w:r>
      <w:r>
        <w:rPr>
          <w:rFonts w:hint="eastAsia" w:ascii="宋体" w:hAnsi="宋体" w:cs="宋体"/>
          <w:i/>
          <w:szCs w:val="21"/>
          <w:u w:val="single"/>
          <w:lang w:val="en-US" w:eastAsia="zh-CN"/>
        </w:rPr>
        <w:t xml:space="preserve">及</w:t>
      </w:r>
      <w:r>
        <w:rPr>
          <w:rFonts w:hint="eastAsia" w:ascii="宋体" w:hAnsi="宋体" w:cs="宋体"/>
          <w:i/>
          <w:szCs w:val="21"/>
          <w:u w:val="single"/>
        </w:rPr>
        <w:t xml:space="preserve">以上（含）资质且有有效安全生产许可证。</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ascii="宋体" w:hAnsi="宋体" w:cs="宋体"/>
        </w:rPr>
      </w:pPr>
      <w:r/>
      <w:bookmarkStart w:id="18" w:name="_Toc28359005"/>
      <w:r/>
      <w:bookmarkStart w:id="19" w:name="_Toc28359082"/>
      <w:r/>
      <w:bookmarkStart w:id="20" w:name="_Toc35393624"/>
      <w:r/>
      <w:bookmarkStart w:id="21" w:name="_Toc35393793"/>
      <w:r/>
      <w:bookmarkStart w:id="22" w:name="_Toc38985266"/>
      <w:r>
        <w:rPr>
          <w:rFonts w:hint="eastAsia" w:ascii="宋体" w:hAnsi="宋体" w:cs="宋体"/>
        </w:rPr>
        <w:t xml:space="preserve">1.时间</w:t>
      </w:r>
      <w:r>
        <w:rPr>
          <w:rFonts w:hint="eastAsia" w:ascii="宋体" w:hAnsi="宋体" w:cs="宋体"/>
          <w:highlight w:val="none"/>
        </w:rPr>
        <w:t xml:space="preserve">：自招标文件公告发布之日起5个工作日。5</w:t>
      </w:r>
      <w:r>
        <w:rPr>
          <w:rFonts w:hint="eastAsia" w:ascii="宋体" w:hAnsi="宋体" w:cs="宋体"/>
        </w:rPr>
        <w:t xml:space="preserve">个工作日后仍可下载招标文件，但不作为供应商权益受到损害的证明材料和依据。</w:t>
      </w:r>
      <w:r/>
    </w:p>
    <w:p>
      <w:pPr>
        <w:ind w:firstLine="540"/>
        <w:spacing w:line="360" w:lineRule="auto"/>
        <w:rPr>
          <w:rFonts w:ascii="宋体" w:hAnsi="宋体"/>
          <w:b/>
          <w:bCs/>
          <w:color w:val="ff0000"/>
          <w:sz w:val="24"/>
          <w:szCs w:val="24"/>
        </w:rPr>
      </w:pPr>
      <w:r>
        <w:rPr>
          <w:rFonts w:hint="eastAsia" w:ascii="宋体" w:hAnsi="宋体" w:cs="宋体"/>
          <w:b/>
          <w:bCs/>
          <w:color w:val="ff0000"/>
        </w:rPr>
        <w:t xml:space="preserve">2.获取方式：</w:t>
      </w:r>
      <w:r>
        <w:rPr>
          <w:rFonts w:hint="eastAsia" w:ascii="宋体" w:hAnsi="宋体"/>
          <w:b/>
          <w:bCs/>
          <w:color w:val="ff0000"/>
          <w:szCs w:val="21"/>
        </w:rPr>
        <w:t xml:space="preserve">本项目采用网上注册登记方式。</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3、潜在投标人访问政府采购管理交易系统（苏采云）的网络地址和方法：</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（3）“CA数字证书”的办理材料以及供应商操作手册详见：</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http://zfcg.yangzhou.gov.cn/zfcg/xzzx/202309/4d7de1f7865f4a2894fc22bc452f94d8.shtml。</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（4）潜在供应商访问“苏采云”系统的网络地址和方法：“苏采云”系统的网址：http://jszfcg.jsczt.cn/。</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（6）招标代理机构（采购代理机构）将数据电文形式的采购文件加载至“苏采云”系统，供潜在供应商下载或者查阅。     </w:t>
      </w:r>
      <w:r/>
    </w:p>
    <w:p>
      <w:pPr>
        <w:ind w:firstLine="540"/>
        <w:spacing w:line="360" w:lineRule="auto"/>
        <w:rPr>
          <w:rFonts w:hint="eastAsia" w:ascii="宋体" w:hAnsi="宋体" w:eastAsia="宋体" w:cs="Times New Roman"/>
          <w:b/>
          <w:bCs/>
          <w:color w:val="ff0000"/>
          <w:szCs w:val="21"/>
        </w:rPr>
      </w:pPr>
      <w:r>
        <w:rPr>
          <w:rFonts w:hint="eastAsia" w:ascii="宋体" w:hAnsi="宋体" w:eastAsia="宋体" w:cs="Times New Roman"/>
          <w:b/>
          <w:bCs/>
          <w:color w:val="ff0000"/>
          <w:szCs w:val="21"/>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w:t>
      </w:r>
      <w:r>
        <w:rPr>
          <w:rFonts w:hint="eastAsia" w:ascii="宋体" w:hAnsi="宋体" w:cs="宋体"/>
          <w:bCs/>
          <w:u w:val="single"/>
          <w:lang w:val="en-US" w:eastAsia="zh-CN"/>
        </w:rPr>
        <w:t xml:space="preserve">6</w:t>
      </w:r>
      <w:r>
        <w:rPr>
          <w:rFonts w:hint="eastAsia" w:ascii="宋体" w:hAnsi="宋体" w:cs="宋体"/>
          <w:bCs/>
          <w:u w:val="single"/>
        </w:rPr>
        <w:t xml:space="preserve">年</w:t>
      </w:r>
      <w:r>
        <w:rPr>
          <w:rFonts w:hint="eastAsia" w:ascii="宋体" w:hAnsi="宋体" w:cs="宋体"/>
          <w:bCs/>
          <w:u w:val="single"/>
          <w:lang w:val="en-US" w:eastAsia="zh-CN"/>
        </w:rPr>
        <w:t xml:space="preserve">6</w:t>
      </w:r>
      <w:r>
        <w:rPr>
          <w:rFonts w:hint="eastAsia" w:ascii="宋体" w:hAnsi="宋体" w:cs="宋体"/>
          <w:bCs/>
          <w:u w:val="single"/>
        </w:rPr>
        <w:t xml:space="preserve">月</w:t>
      </w:r>
      <w:r>
        <w:rPr>
          <w:rFonts w:hint="eastAsia" w:ascii="宋体" w:hAnsi="宋体" w:cs="宋体"/>
          <w:bCs/>
          <w:u w:val="single"/>
          <w:lang w:val="en-US" w:eastAsia="zh-CN"/>
        </w:rPr>
        <w:t xml:space="preserve">18</w:t>
      </w:r>
      <w:r>
        <w:rPr>
          <w:rFonts w:hint="eastAsia" w:ascii="宋体" w:hAnsi="宋体" w:cs="宋体"/>
          <w:bCs/>
          <w:u w:val="single"/>
        </w:rPr>
        <w:t xml:space="preserve">日09点30分</w:t>
      </w:r>
      <w:r>
        <w:rPr>
          <w:rFonts w:hint="eastAsia" w:ascii="宋体" w:hAnsi="宋体" w:cs="宋体"/>
          <w:bCs/>
        </w:rPr>
        <w:t xml:space="preserve">（北京时间）</w:t>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color w:val="ff0000"/>
          <w:szCs w:val="21"/>
        </w:rPr>
        <w:t xml:space="preserve">“苏采云”系统（网址：http://jszfcg.jsczt.cn/）“开标大厅”</w:t>
      </w:r>
      <w:r/>
    </w:p>
    <w:p>
      <w:pPr>
        <w:spacing w:line="360" w:lineRule="auto"/>
        <w:tabs>
          <w:tab w:val="left" w:pos="266" w:leader="none"/>
        </w:tabs>
        <w:rPr>
          <w:rFonts w:ascii="宋体" w:hAnsi="宋体" w:cs="宋体"/>
          <w:b/>
          <w:bCs/>
        </w:rPr>
      </w:pPr>
      <w:r/>
      <w:bookmarkStart w:id="23" w:name="_Toc35393794"/>
      <w:r/>
      <w:bookmarkStart w:id="24" w:name="_Toc35393625"/>
      <w:r/>
      <w:bookmarkStart w:id="25" w:name="_Toc28359007"/>
      <w:r/>
      <w:bookmarkStart w:id="26" w:name="_Toc38985267"/>
      <w:r/>
      <w:bookmarkStart w:id="27" w:name="_Toc28359084"/>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ascii="宋体" w:hAnsi="宋体" w:cs="宋体"/>
        </w:rPr>
      </w:pPr>
      <w:r/>
      <w:bookmarkStart w:id="28" w:name="_Toc38985268"/>
      <w:r/>
      <w:bookmarkStart w:id="29" w:name="_Toc35393795"/>
      <w:r/>
      <w:bookmarkStart w:id="30" w:name="_Toc35393626"/>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525"/>
        <w:spacing w:line="360" w:lineRule="auto"/>
        <w:rPr>
          <w:rFonts w:ascii="宋体" w:hAnsi="宋体" w:cs="宋体"/>
          <w:szCs w:val="21"/>
        </w:rPr>
      </w:pPr>
      <w:r>
        <w:rPr>
          <w:rFonts w:hint="eastAsia" w:ascii="宋体" w:hAnsi="宋体" w:cs="宋体"/>
        </w:rPr>
        <w:t xml:space="preserve">无</w:t>
      </w:r>
      <w:r/>
    </w:p>
    <w:p>
      <w:pPr>
        <w:spacing w:line="360" w:lineRule="auto"/>
        <w:tabs>
          <w:tab w:val="left" w:pos="266" w:leader="none"/>
        </w:tabs>
        <w:rPr>
          <w:rFonts w:ascii="宋体" w:hAnsi="宋体" w:cs="宋体"/>
          <w:b/>
          <w:bCs/>
        </w:rPr>
      </w:pPr>
      <w:r/>
      <w:bookmarkStart w:id="31" w:name="_Toc35393627"/>
      <w:r/>
      <w:bookmarkStart w:id="32" w:name="_Toc38985269"/>
      <w:r/>
      <w:bookmarkStart w:id="33" w:name="_Toc35393796"/>
      <w:r/>
      <w:bookmarkStart w:id="34" w:name="_Toc28359085"/>
      <w:r/>
      <w:bookmarkStart w:id="35" w:name="_Toc28359008"/>
      <w:r>
        <w:rPr>
          <w:rFonts w:hint="eastAsia" w:ascii="宋体" w:hAnsi="宋体" w:cs="宋体"/>
          <w:b/>
          <w:bCs/>
        </w:rPr>
        <w:t xml:space="preserve">七、本次招标联系方式</w:t>
      </w:r>
      <w:bookmarkEnd w:id="31"/>
      <w:r/>
      <w:bookmarkEnd w:id="32"/>
      <w:r/>
      <w:bookmarkEnd w:id="33"/>
      <w:r/>
      <w:bookmarkEnd w:id="34"/>
      <w:r/>
      <w:bookmarkEnd w:id="35"/>
      <w:r/>
      <w:r/>
    </w:p>
    <w:p>
      <w:pPr>
        <w:pStyle w:val="878"/>
        <w:ind w:firstLine="420"/>
        <w:spacing w:line="360" w:lineRule="auto"/>
        <w:rPr>
          <w:rFonts w:hint="eastAsia" w:hAnsi="宋体" w:cs="宋体"/>
          <w:sz w:val="21"/>
          <w:szCs w:val="21"/>
        </w:rPr>
      </w:pPr>
      <w:r/>
      <w:bookmarkStart w:id="36" w:name="_Toc28359087"/>
      <w:r/>
      <w:bookmarkStart w:id="37" w:name="_Toc28359010"/>
      <w:r>
        <w:rPr>
          <w:rFonts w:hint="eastAsia" w:hAnsi="宋体" w:cs="宋体"/>
          <w:sz w:val="21"/>
          <w:szCs w:val="21"/>
        </w:rPr>
        <w:t xml:space="preserve">1.采购人信息</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u w:val="single"/>
          <w:lang w:eastAsia="zh-CN"/>
        </w:rPr>
        <w:t xml:space="preserve">江苏省邗江中学</w:t>
      </w:r>
      <w:r/>
    </w:p>
    <w:p>
      <w:pPr>
        <w:ind w:firstLine="420"/>
        <w:spacing w:line="360" w:lineRule="auto"/>
        <w:shd w:val="clear" w:color="auto" w:fill="ffffff"/>
        <w:widowControl/>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地   址：</w:t>
      </w:r>
      <w:r>
        <w:rPr>
          <w:rFonts w:hint="eastAsia" w:cs="宋体" w:asciiTheme="minorEastAsia" w:hAnsiTheme="minorEastAsia" w:eastAsiaTheme="minorEastAsia"/>
          <w:szCs w:val="21"/>
          <w:u w:val="single"/>
        </w:rPr>
        <w:t xml:space="preserve">江苏省扬州市邗江区润蜀路与扬冶路交叉口西北侧</w:t>
      </w:r>
      <w:r/>
    </w:p>
    <w:p>
      <w:pPr>
        <w:ind w:firstLine="420"/>
        <w:jc w:val="left"/>
        <w:spacing w:line="360" w:lineRule="auto"/>
        <w:rPr>
          <w:rFonts w:hint="default" w:ascii="宋体" w:hAnsi="宋体" w:eastAsia="宋体" w:cs="宋体"/>
          <w:lang w:val="en-US" w:eastAsia="zh-CN"/>
        </w:rPr>
      </w:pPr>
      <w:r>
        <w:rPr>
          <w:rFonts w:hint="eastAsia" w:ascii="宋体" w:hAnsi="宋体" w:cs="宋体"/>
        </w:rPr>
        <w:t xml:space="preserve">联系人：</w:t>
      </w:r>
      <w:r>
        <w:rPr>
          <w:rFonts w:hint="eastAsia" w:ascii="宋体" w:hAnsi="宋体" w:cs="宋体"/>
          <w:u w:val="single"/>
          <w:lang w:val="en-US" w:eastAsia="zh-CN"/>
        </w:rPr>
        <w:t xml:space="preserve">徐峰</w:t>
      </w:r>
      <w:r/>
    </w:p>
    <w:p>
      <w:pPr>
        <w:ind w:firstLine="420"/>
        <w:jc w:val="left"/>
        <w:spacing w:line="360" w:lineRule="auto"/>
        <w:rPr>
          <w:rFonts w:hint="default" w:ascii="宋体" w:hAnsi="宋体" w:eastAsia="宋体" w:cs="宋体"/>
          <w:u w:val="single"/>
          <w:lang w:val="en-US" w:eastAsia="zh-CN"/>
        </w:rPr>
      </w:pPr>
      <w:r>
        <w:rPr>
          <w:rFonts w:hint="eastAsia" w:ascii="宋体" w:hAnsi="宋体" w:cs="宋体"/>
        </w:rPr>
        <w:t xml:space="preserve">联系方式：</w:t>
      </w:r>
      <w:r>
        <w:rPr>
          <w:rFonts w:hint="eastAsia" w:ascii="宋体" w:hAnsi="宋体" w:cs="宋体"/>
          <w:u w:val="single"/>
          <w:lang w:val="en-US" w:eastAsia="zh-CN"/>
        </w:rPr>
        <w:t xml:space="preserve">13852207686</w:t>
      </w:r>
      <w:r/>
    </w:p>
    <w:p>
      <w:pPr>
        <w:pStyle w:val="878"/>
        <w:ind w:firstLine="420"/>
        <w:spacing w:line="360" w:lineRule="auto"/>
        <w:rPr>
          <w:rFonts w:hint="eastAsia" w:hAnsi="宋体" w:cs="宋体"/>
          <w:sz w:val="21"/>
          <w:szCs w:val="21"/>
        </w:rPr>
      </w:pPr>
      <w:r>
        <w:rPr>
          <w:rFonts w:hint="eastAsia" w:hAnsi="宋体" w:cs="宋体"/>
          <w:sz w:val="21"/>
          <w:szCs w:val="21"/>
        </w:rPr>
        <w:t xml:space="preserve">2.</w:t>
      </w:r>
      <w:r>
        <w:rPr>
          <w:rFonts w:hint="eastAsia" w:hAnsi="宋体" w:cs="宋体"/>
          <w:sz w:val="21"/>
          <w:szCs w:val="21"/>
          <w:lang w:eastAsia="zh-CN"/>
        </w:rPr>
        <w:t xml:space="preserve">扬州大学工程设计研究院有限公司</w:t>
      </w:r>
      <w:r/>
    </w:p>
    <w:p>
      <w:pPr>
        <w:pStyle w:val="878"/>
        <w:ind w:firstLine="420"/>
        <w:spacing w:line="360" w:lineRule="auto"/>
        <w:rPr>
          <w:rFonts w:hint="eastAsia" w:hAnsi="宋体" w:cs="宋体"/>
          <w:sz w:val="21"/>
          <w:szCs w:val="21"/>
          <w:u w:val="single"/>
        </w:rPr>
      </w:pPr>
      <w:r>
        <w:rPr>
          <w:rFonts w:hint="eastAsia" w:hAnsi="宋体" w:cs="宋体"/>
          <w:sz w:val="21"/>
          <w:szCs w:val="21"/>
        </w:rPr>
        <w:t xml:space="preserve">地　　址：</w:t>
      </w:r>
      <w:r>
        <w:rPr>
          <w:rFonts w:hint="eastAsia" w:hAnsi="宋体" w:cs="宋体"/>
          <w:sz w:val="21"/>
          <w:szCs w:val="21"/>
          <w:u w:val="single"/>
        </w:rPr>
        <w:t xml:space="preserve">扬州大学工程设计研究院有限公司</w:t>
      </w:r>
      <w:r/>
    </w:p>
    <w:p>
      <w:pPr>
        <w:pStyle w:val="878"/>
        <w:ind w:firstLine="420"/>
        <w:spacing w:line="360" w:lineRule="auto"/>
        <w:rPr>
          <w:rFonts w:hint="eastAsia" w:hAnsi="宋体" w:cs="宋体"/>
          <w:sz w:val="21"/>
          <w:szCs w:val="21"/>
          <w:u w:val="single"/>
          <w:lang w:val="en-US" w:eastAsia="zh-CN"/>
        </w:rPr>
      </w:pPr>
      <w:r>
        <w:rPr>
          <w:rFonts w:hint="eastAsia" w:hAnsi="宋体" w:cs="宋体"/>
          <w:sz w:val="21"/>
          <w:szCs w:val="21"/>
        </w:rPr>
        <w:t xml:space="preserve">联系人：</w:t>
      </w:r>
      <w:r>
        <w:rPr>
          <w:rFonts w:hint="eastAsia" w:hAnsi="宋体" w:cs="宋体"/>
          <w:sz w:val="21"/>
          <w:szCs w:val="21"/>
          <w:u w:val="single"/>
          <w:lang w:val="en-US" w:eastAsia="zh-CN"/>
        </w:rPr>
        <w:t xml:space="preserve">高刘英</w:t>
      </w:r>
      <w:r/>
    </w:p>
    <w:p>
      <w:pPr>
        <w:pStyle w:val="878"/>
        <w:ind w:firstLine="420"/>
        <w:spacing w:line="360" w:lineRule="auto"/>
        <w:rPr>
          <w:rFonts w:hint="default" w:hAnsi="宋体" w:cs="宋体"/>
          <w:sz w:val="21"/>
          <w:szCs w:val="21"/>
          <w:u w:val="single"/>
          <w:lang w:val="en-US" w:eastAsia="zh-CN"/>
        </w:rPr>
      </w:pPr>
      <w:r>
        <w:rPr>
          <w:rFonts w:hint="eastAsia" w:hAnsi="宋体" w:cs="宋体"/>
          <w:sz w:val="21"/>
          <w:szCs w:val="21"/>
          <w:u w:val="none"/>
          <w:lang w:val="en-US" w:eastAsia="zh-CN"/>
        </w:rPr>
        <w:t xml:space="preserve">联系方式：</w:t>
      </w:r>
      <w:r>
        <w:rPr>
          <w:rFonts w:hint="eastAsia" w:hAnsi="宋体" w:cs="宋体"/>
          <w:sz w:val="21"/>
          <w:szCs w:val="21"/>
          <w:u w:val="single"/>
          <w:lang w:val="en-US" w:eastAsia="zh-CN"/>
        </w:rPr>
        <w:t xml:space="preserve">18556131196</w:t>
      </w:r>
      <w:r/>
    </w:p>
    <w:p>
      <w:pPr>
        <w:pStyle w:val="903"/>
        <w:spacing w:line="360" w:lineRule="auto"/>
        <w:rPr>
          <w:rFonts w:hint="eastAsia" w:ascii="宋体" w:hAnsi="宋体" w:eastAsia="宋体" w:cs="宋体"/>
          <w:b/>
          <w:bCs/>
          <w:color w:val="000000"/>
          <w:sz w:val="21"/>
          <w:szCs w:val="21"/>
          <w:lang w:val="en-US" w:eastAsia="zh-CN" w:bidi="ar-SA"/>
        </w:rPr>
      </w:pPr>
      <w:r>
        <w:rPr>
          <w:rFonts w:hint="eastAsia" w:ascii="宋体" w:hAnsi="宋体" w:cs="宋体"/>
          <w:b/>
          <w:bCs/>
        </w:rPr>
        <w:t xml:space="preserve">八、</w:t>
      </w:r>
      <w:r>
        <w:rPr>
          <w:rFonts w:hint="eastAsia" w:ascii="宋体" w:hAnsi="宋体" w:eastAsia="宋体" w:cs="宋体"/>
          <w:b/>
          <w:bCs/>
          <w:color w:val="000000"/>
          <w:sz w:val="21"/>
          <w:szCs w:val="21"/>
          <w:lang w:val="en-US" w:eastAsia="zh-CN" w:bidi="ar-SA"/>
        </w:rPr>
        <w:t xml:space="preserve">相关文件要求</w:t>
      </w:r>
      <w:r/>
    </w:p>
    <w:p>
      <w:pPr>
        <w:ind w:firstLine="422"/>
        <w:keepLines w:val="0"/>
        <w:keepNext w:val="0"/>
        <w:pageBreakBefore w:val="0"/>
        <w:spacing w:line="360" w:lineRule="auto"/>
        <w:widowControl w:val="off"/>
        <w:tabs>
          <w:tab w:val="left" w:pos="266" w:leader="none"/>
        </w:tabs>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 xml:space="preserve">1.</w:t>
      </w:r>
      <w:r>
        <w:rPr>
          <w:rFonts w:hint="eastAsia" w:ascii="宋体" w:hAnsi="宋体" w:eastAsia="宋体" w:cs="宋体"/>
          <w:b/>
          <w:bCs/>
          <w:color w:val="000000"/>
          <w:szCs w:val="21"/>
        </w:rPr>
        <w:t xml:space="preserve">落实好政府采购履约资金扶持政策。中标/成交供应商可凭政府采购合同办理融资贷款，详见江苏政府采购网“政采贷”专栏。”。</w:t>
      </w:r>
      <w:r/>
    </w:p>
    <w:p>
      <w:pPr>
        <w:ind w:firstLine="422"/>
        <w:keepLines w:val="0"/>
        <w:keepNext w:val="0"/>
        <w:pageBreakBefore w:val="0"/>
        <w:spacing w:line="360" w:lineRule="auto"/>
        <w:widowControl w:val="off"/>
        <w:tabs>
          <w:tab w:val="left" w:pos="266" w:leader="none"/>
        </w:tabs>
        <w:rPr>
          <w:rFonts w:ascii="宋体" w:hAnsi="宋体" w:cs="宋体"/>
          <w:b/>
          <w:bCs/>
          <w:color w:val="000000"/>
          <w:szCs w:val="21"/>
        </w:rPr>
      </w:pPr>
      <w:r>
        <w:rPr>
          <w:rFonts w:hint="eastAsia" w:ascii="宋体" w:hAnsi="宋体" w:cs="宋体"/>
          <w:b/>
          <w:bCs/>
          <w:color w:val="000000"/>
          <w:szCs w:val="21"/>
        </w:rPr>
        <w:t xml:space="preserve">2.</w:t>
      </w:r>
      <w:r>
        <w:rPr>
          <w:rFonts w:hint="eastAsia" w:ascii="宋体" w:hAnsi="宋体"/>
          <w:szCs w:val="21"/>
        </w:rPr>
        <w:t xml:space="preserve"> </w:t>
      </w:r>
      <w:r>
        <w:rPr>
          <w:rFonts w:hint="eastAsia" w:ascii="宋体" w:hAnsi="宋体" w:cs="宋体"/>
          <w:b/>
          <w:bCs/>
          <w:color w:val="000000"/>
          <w:szCs w:val="21"/>
        </w:rPr>
        <w:t xml:space="preserve">供应商对于投标产品的包装应按照“财办库〔2020〕123号《关于印发《商品包装政府采购需求标准（试行）》、《快递包装政府采购需求标准（试行）》的通知》”执行。</w:t>
      </w:r>
      <w:r/>
    </w:p>
    <w:p>
      <w:pPr>
        <w:pStyle w:val="870"/>
        <w:numPr>
          <w:ilvl w:val="0"/>
          <w:numId w:val="0"/>
        </w:num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3.严格执行政府采购关于支持</w:t>
      </w:r>
      <w:r>
        <w:rPr>
          <w:rFonts w:hint="eastAsia" w:ascii="宋体" w:hAnsi="宋体" w:eastAsia="宋体" w:cs="宋体"/>
          <w:b/>
          <w:bCs/>
          <w:color w:val="000000"/>
          <w:sz w:val="21"/>
          <w:szCs w:val="21"/>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36"/>
      <w:r/>
      <w:bookmarkEnd w:id="37"/>
      <w:r/>
      <w:r/>
    </w:p>
    <w:p>
      <w:pPr>
        <w:ind w:firstLine="422"/>
        <w:spacing w:line="360" w:lineRule="auto"/>
        <w:shd w:val="clear" w:color="auto" w:fill="ffffff" w:themeFill="background1"/>
        <w:rPr>
          <w:rFonts w:hint="eastAsia" w:ascii="宋体" w:hAnsi="宋体" w:eastAsia="宋体"/>
          <w:b/>
          <w:bCs/>
          <w:color w:val="ff0000"/>
          <w:szCs w:val="21"/>
        </w:rPr>
      </w:pPr>
      <w:r>
        <w:rPr>
          <w:rFonts w:hint="eastAsia" w:ascii="宋体" w:hAnsi="宋体" w:eastAsia="宋体"/>
          <w:b/>
          <w:bCs/>
          <w:color w:val="ff0000"/>
          <w:szCs w:val="21"/>
        </w:rPr>
        <w:t xml:space="preserve">九、其他</w:t>
      </w:r>
      <w:r/>
    </w:p>
    <w:p>
      <w:pPr>
        <w:ind w:firstLine="422"/>
        <w:spacing w:line="360" w:lineRule="auto"/>
        <w:shd w:val="clear" w:color="auto" w:fill="ffffff" w:themeFill="background1"/>
        <w:rPr>
          <w:rFonts w:ascii="宋体" w:hAnsi="宋体"/>
          <w:b/>
          <w:bCs/>
          <w:color w:val="ff0000"/>
        </w:rPr>
      </w:pPr>
      <w:r>
        <w:rPr>
          <w:rFonts w:hint="eastAsia" w:ascii="宋体" w:hAnsi="宋体"/>
          <w:b/>
          <w:bCs/>
          <w:color w:val="ff0000"/>
        </w:rPr>
        <w:t xml:space="preserve">1.</w:t>
      </w:r>
      <w:r>
        <w:rPr>
          <w:rFonts w:hint="eastAsia" w:ascii="宋体" w:hAnsi="宋体"/>
          <w:b/>
          <w:bCs/>
          <w:color w:val="ff0000"/>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color w:val="ff0000"/>
        </w:rPr>
        <w:t xml:space="preserve">《政府采购管理交易系统（苏采云）供应商操作手册》</w:t>
      </w:r>
      <w:r>
        <w:rPr>
          <w:rFonts w:hint="eastAsia" w:ascii="宋体" w:hAnsi="宋体"/>
          <w:b/>
          <w:bCs/>
          <w:color w:val="ff0000"/>
          <w:szCs w:val="21"/>
        </w:rPr>
        <w:t xml:space="preserve">参加投标活动。</w:t>
      </w:r>
      <w:r>
        <w:rPr>
          <w:rFonts w:hint="eastAsia" w:ascii="宋体" w:hAnsi="宋体"/>
          <w:b/>
          <w:bCs/>
          <w:color w:val="ff0000"/>
        </w:rPr>
        <w:t xml:space="preserve">如投标人未按要求操作，由此所产生的风险由投标人自行承担。</w:t>
      </w:r>
      <w:r/>
    </w:p>
    <w:p>
      <w:pPr>
        <w:ind w:firstLine="422"/>
        <w:spacing w:line="360" w:lineRule="auto"/>
        <w:shd w:val="clear" w:color="auto" w:fill="ffffff" w:themeFill="background1"/>
        <w:rPr>
          <w:rFonts w:ascii="宋体" w:hAnsi="宋体"/>
          <w:b/>
          <w:bCs/>
          <w:color w:val="ff0000"/>
          <w:szCs w:val="21"/>
        </w:rPr>
      </w:pPr>
      <w:r>
        <w:rPr>
          <w:rFonts w:hint="eastAsia" w:ascii="宋体" w:hAnsi="宋体"/>
          <w:b/>
          <w:bCs/>
          <w:color w:val="ff0000"/>
        </w:rPr>
        <w:t xml:space="preserve">2.</w:t>
      </w:r>
      <w:r>
        <w:rPr>
          <w:rFonts w:hint="eastAsia" w:ascii="宋体" w:hAnsi="宋体" w:cs="宋体"/>
          <w:b/>
          <w:bCs/>
          <w:color w:val="ff0000"/>
        </w:rPr>
        <w:t xml:space="preserve">供应商如确定参加投标，可自行下载招标文件及有关资料，按照《操作手册》进行注</w:t>
      </w:r>
      <w:r>
        <w:rPr>
          <w:rFonts w:hint="eastAsia" w:ascii="宋体" w:hAnsi="宋体"/>
          <w:b/>
          <w:bCs/>
          <w:color w:val="ff0000"/>
          <w:szCs w:val="21"/>
        </w:rPr>
        <w:t xml:space="preserve">册，领取CA和办理电子签章，并按《操作手册》要求制作、上传电子投标文件，技术支持联系方式：</w:t>
      </w:r>
      <w:r>
        <w:rPr>
          <w:rFonts w:hint="eastAsia" w:ascii="宋体" w:hAnsi="宋体" w:cs="宋体"/>
          <w:b/>
          <w:bCs/>
          <w:color w:val="ff0000"/>
          <w:szCs w:val="21"/>
        </w:rPr>
        <w:t xml:space="preserve">13813140731</w:t>
      </w:r>
      <w:r>
        <w:rPr>
          <w:rFonts w:hint="eastAsia" w:ascii="宋体" w:hAnsi="宋体"/>
          <w:b/>
          <w:bCs/>
          <w:color w:val="ff0000"/>
          <w:szCs w:val="21"/>
        </w:rPr>
        <w:t xml:space="preserve">。</w:t>
      </w:r>
      <w:r/>
    </w:p>
    <w:p>
      <w:pPr>
        <w:ind w:firstLine="422"/>
        <w:jc w:val="left"/>
        <w:spacing w:line="360" w:lineRule="auto"/>
        <w:widowControl/>
        <w:rPr>
          <w:rFonts w:ascii="宋体" w:hAnsi="宋体" w:cs="宋体"/>
          <w:b/>
        </w:rPr>
      </w:pPr>
      <w:r>
        <w:rPr>
          <w:rFonts w:hint="eastAsia" w:ascii="宋体" w:hAnsi="宋体" w:cs="宋体"/>
          <w:b/>
        </w:rPr>
        <w:t xml:space="preserve">3.潜在投标人对招标文件项目需求部分的询问、质疑请向采购人提出，由采购人负责答复。</w:t>
      </w:r>
      <w:r/>
    </w:p>
    <w:p>
      <w:pPr>
        <w:ind w:firstLine="420"/>
        <w:spacing w:line="360" w:lineRule="auto"/>
        <w:rPr>
          <w:rFonts w:ascii="宋体" w:hAnsi="宋体" w:cs="宋体"/>
          <w:bCs/>
          <w:color w:val="ff0000"/>
        </w:rPr>
      </w:pPr>
      <w:r>
        <w:rPr>
          <w:rFonts w:hint="eastAsia" w:ascii="宋体" w:hAnsi="宋体" w:cs="宋体"/>
          <w:bCs/>
          <w:szCs w:val="21"/>
        </w:rPr>
        <w:t xml:space="preserve">4.</w:t>
      </w:r>
      <w:r>
        <w:rPr>
          <w:rFonts w:hint="eastAsia" w:ascii="宋体" w:hAnsi="宋体"/>
        </w:rPr>
        <w:t xml:space="preserve">本次招标</w:t>
      </w:r>
      <w:r>
        <w:rPr>
          <w:rFonts w:hint="eastAsia" w:ascii="宋体" w:hAnsi="宋体"/>
          <w:color w:val="0000ff"/>
        </w:rPr>
        <w:t xml:space="preserve">不收取</w:t>
      </w:r>
      <w:r>
        <w:rPr>
          <w:rFonts w:hint="eastAsia" w:ascii="宋体" w:hAnsi="宋体"/>
        </w:rPr>
        <w:t xml:space="preserve">投标保证金。</w:t>
      </w:r>
      <w:r/>
    </w:p>
    <w:p>
      <w:pPr>
        <w:ind w:firstLine="420"/>
        <w:spacing w:line="360" w:lineRule="auto"/>
        <w:rPr>
          <w:rFonts w:ascii="宋体" w:hAnsi="宋体" w:cs="宋体"/>
          <w:bCs/>
        </w:rPr>
      </w:pPr>
      <w:r>
        <w:rPr>
          <w:rFonts w:hint="eastAsia" w:ascii="宋体" w:hAnsi="宋体"/>
          <w:szCs w:val="21"/>
        </w:rPr>
        <w:t xml:space="preserve">5.</w:t>
      </w:r>
      <w:r>
        <w:rPr>
          <w:rFonts w:hint="eastAsia" w:ascii="宋体" w:hAnsi="宋体" w:cs="宋体"/>
          <w:bCs/>
        </w:rPr>
        <w:t xml:space="preserve">有关本次招标的事项若存在变动或修改，敬请及时关注</w:t>
      </w:r>
      <w:r>
        <w:rPr>
          <w:rFonts w:hint="eastAsia" w:ascii="宋体" w:hAnsi="宋体" w:cs="宋体"/>
          <w:bCs/>
          <w:lang w:eastAsia="zh-CN"/>
        </w:rPr>
        <w:t xml:space="preserve">“扬州市邗江区政府采购网”、“扬州市政府采购网”、“江苏省政府采购网”和“中国政府采购网” </w:t>
      </w:r>
      <w:r>
        <w:rPr>
          <w:rFonts w:hint="eastAsia" w:ascii="宋体" w:hAnsi="宋体" w:cs="宋体"/>
          <w:bCs/>
        </w:rPr>
        <w:t xml:space="preserve">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6.本项目招标文件中所有斜体下划线部分为实质性条款，如不满足，则为无效投标。</w:t>
      </w:r>
      <w:r/>
    </w:p>
    <w:p>
      <w:r>
        <w:br w:type="page" w:clear="all"/>
      </w:r>
      <w:r/>
    </w:p>
    <w:p>
      <w:pPr>
        <w:pStyle w:val="864"/>
        <w:jc w:val="center"/>
        <w:rPr>
          <w:rFonts w:ascii="宋体" w:hAnsi="宋体"/>
          <w:color w:val="000000"/>
          <w:szCs w:val="36"/>
        </w:rPr>
      </w:pPr>
      <w:r/>
      <w:bookmarkStart w:id="38" w:name="_Toc3595"/>
      <w:r/>
      <w:bookmarkStart w:id="39" w:name="_Toc55204178"/>
      <w:r>
        <w:rPr>
          <w:rFonts w:hint="eastAsia" w:ascii="宋体" w:hAnsi="宋体"/>
          <w:color w:val="000000"/>
          <w:szCs w:val="36"/>
        </w:rPr>
        <w:t xml:space="preserve">第二章 投标人须知</w:t>
      </w:r>
      <w:bookmarkEnd w:id="38"/>
      <w:r/>
      <w:bookmarkEnd w:id="39"/>
      <w:r/>
      <w:r/>
    </w:p>
    <w:p>
      <w:pPr>
        <w:ind w:firstLine="422"/>
        <w:spacing w:line="440" w:lineRule="exact"/>
        <w:rPr>
          <w:rFonts w:ascii="宋体" w:hAnsi="宋体"/>
          <w:b/>
          <w:szCs w:val="21"/>
        </w:rPr>
      </w:pPr>
      <w:r>
        <w:rPr>
          <w:rFonts w:hint="eastAsia" w:ascii="宋体" w:hAnsi="宋体"/>
          <w:b/>
          <w:szCs w:val="21"/>
        </w:rPr>
        <w:t xml:space="preserve">1、招标方式</w:t>
      </w:r>
      <w:r/>
    </w:p>
    <w:p>
      <w:pPr>
        <w:ind w:firstLine="420"/>
        <w:spacing w:line="440" w:lineRule="exact"/>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lang w:eastAsia="zh-CN"/>
        </w:rPr>
        <w:t xml:space="preserve">JSZC-321003-YZDX-G2026-0006</w:t>
      </w:r>
      <w:r>
        <w:rPr>
          <w:rFonts w:hint="eastAsia" w:ascii="宋体" w:hAnsi="宋体"/>
          <w:bCs/>
          <w:szCs w:val="21"/>
        </w:rPr>
        <w:t xml:space="preserve">号项目。</w:t>
      </w:r>
      <w:r/>
    </w:p>
    <w:p>
      <w:pPr>
        <w:ind w:firstLine="422"/>
        <w:spacing w:line="440" w:lineRule="exact"/>
        <w:rPr>
          <w:rFonts w:ascii="宋体" w:hAnsi="宋体"/>
          <w:b/>
          <w:szCs w:val="21"/>
        </w:rPr>
      </w:pPr>
      <w:r>
        <w:rPr>
          <w:rFonts w:hint="eastAsia" w:ascii="宋体" w:hAnsi="宋体"/>
          <w:b/>
          <w:szCs w:val="21"/>
        </w:rPr>
        <w:t xml:space="preserve">2、投标人</w:t>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rPr>
          <w:rFonts w:ascii="宋体" w:hAnsi="宋体"/>
          <w:bCs/>
          <w:szCs w:val="21"/>
        </w:rPr>
      </w:pPr>
      <w:r>
        <w:rPr>
          <w:rFonts w:hint="eastAsia" w:ascii="宋体" w:hAnsi="宋体"/>
          <w:bCs/>
          <w:szCs w:val="21"/>
        </w:rPr>
        <w:t xml:space="preserve">2.2.2 满足本文件实质性条款的规定。</w:t>
      </w:r>
      <w:r/>
    </w:p>
    <w:p>
      <w:pPr>
        <w:ind w:firstLine="422"/>
        <w:spacing w:line="440" w:lineRule="exact"/>
        <w:rPr>
          <w:rFonts w:ascii="宋体" w:hAnsi="宋体"/>
          <w:b/>
          <w:szCs w:val="21"/>
        </w:rPr>
      </w:pPr>
      <w:r>
        <w:rPr>
          <w:rFonts w:hint="eastAsia" w:ascii="宋体" w:hAnsi="宋体"/>
          <w:b/>
          <w:szCs w:val="21"/>
        </w:rPr>
        <w:t xml:space="preserve">3、适用法律</w:t>
      </w:r>
      <w:r/>
    </w:p>
    <w:p>
      <w:pPr>
        <w:ind w:firstLine="420"/>
        <w:spacing w:line="440" w:lineRule="exact"/>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ascii="宋体" w:hAnsi="宋体"/>
          <w:b/>
          <w:szCs w:val="21"/>
        </w:rPr>
      </w:pPr>
      <w:r>
        <w:rPr>
          <w:rFonts w:hint="eastAsia" w:ascii="宋体" w:hAnsi="宋体"/>
          <w:b/>
          <w:szCs w:val="21"/>
        </w:rPr>
        <w:t xml:space="preserve">4、投标费用</w:t>
      </w:r>
      <w:r/>
    </w:p>
    <w:p>
      <w:pPr>
        <w:ind w:firstLine="420"/>
        <w:spacing w:line="440" w:lineRule="exact"/>
      </w:pPr>
      <w:r>
        <w:t xml:space="preserve">4.1 投标人应自行承担所有与参加投标有关的费用，无论投标过程中的做法和结果如何，代理机构在任何情况下均无义务和责任承担这些费用。 </w:t>
      </w:r>
      <w:r/>
    </w:p>
    <w:p>
      <w:pPr>
        <w:ind w:firstLine="422"/>
        <w:spacing w:line="440" w:lineRule="exact"/>
        <w:rPr>
          <w:rFonts w:hint="eastAsia"/>
          <w:b/>
          <w:bCs/>
        </w:rPr>
      </w:pPr>
      <w:r>
        <w:rPr>
          <w:b/>
          <w:bCs/>
        </w:rPr>
        <w:t xml:space="preserve">4.</w:t>
      </w:r>
      <w:r>
        <w:rPr>
          <w:rFonts w:hint="eastAsia"/>
          <w:b/>
          <w:bCs/>
        </w:rPr>
        <w:t xml:space="preserve">2本项目采购代理服务费由中标人在领取中标通知书前一次性支付。根据《江苏省财政厅关于进一步规范政府采购活动相关费用管理的通知》（苏财规〔2026〕1 号）规定，本项目代理服务费由中标人支付，投标人报价须包含代理服务费，采购文件已明示收费方式及标准。</w:t>
      </w:r>
      <w:r/>
    </w:p>
    <w:p>
      <w:pPr>
        <w:ind w:firstLine="422"/>
        <w:spacing w:line="440" w:lineRule="exact"/>
        <w:rPr>
          <w:rFonts w:hint="eastAsia"/>
          <w:b/>
          <w:bCs/>
          <w:lang w:val="en-US" w:eastAsia="zh-CN"/>
        </w:rPr>
      </w:pPr>
      <w:r>
        <w:rPr>
          <w:rFonts w:hint="eastAsia"/>
          <w:b/>
          <w:bCs/>
          <w:lang w:val="en-US" w:eastAsia="zh-CN"/>
        </w:rPr>
        <w:t xml:space="preserve">4.3收费标准：按照国家计委《招标代理服务收费管理暂行办法》（计价格〔2002〕1980 号）服务类标准 ×31.5%计取，以本项目中标金额为计费基数。</w:t>
      </w:r>
      <w:r/>
    </w:p>
    <w:p>
      <w:pPr>
        <w:ind w:firstLine="420"/>
        <w:spacing w:line="440" w:lineRule="exact"/>
      </w:pPr>
      <w:r>
        <w:t xml:space="preserve">（1）代理服务费以人民币支付； </w:t>
      </w:r>
      <w:r/>
    </w:p>
    <w:p>
      <w:pPr>
        <w:ind w:firstLine="420"/>
        <w:spacing w:line="440" w:lineRule="exact"/>
      </w:pPr>
      <w:r>
        <w:t xml:space="preserve">（2）代理服务费一次性以电汇、转账等非现金形式支付； </w:t>
      </w:r>
      <w:r/>
    </w:p>
    <w:p>
      <w:pPr>
        <w:ind w:firstLine="420"/>
        <w:spacing w:line="440" w:lineRule="exact"/>
      </w:pPr>
      <w:r>
        <w:t xml:space="preserve">（3）招标代理服务费不在投标报价中单列，包含在投标总价中，由中标单位支付给代理机构。 </w:t>
      </w:r>
      <w:r/>
    </w:p>
    <w:p>
      <w:pPr>
        <w:ind w:firstLine="422"/>
        <w:spacing w:line="360" w:lineRule="auto"/>
        <w:rPr>
          <w:rFonts w:hint="eastAsia" w:ascii="宋体" w:hAnsi="宋体" w:cs="宋体"/>
          <w:b/>
          <w:szCs w:val="21"/>
        </w:rPr>
      </w:pPr>
      <w:r>
        <w:rPr>
          <w:rFonts w:hint="eastAsia" w:ascii="宋体" w:hAnsi="宋体" w:cs="宋体"/>
          <w:b/>
          <w:szCs w:val="21"/>
        </w:rPr>
        <w:t xml:space="preserve">代理服务费开户银行：</w:t>
      </w:r>
      <w:r>
        <w:rPr>
          <w:rFonts w:hint="eastAsia" w:ascii="宋体" w:hAnsi="宋体" w:cs="宋体"/>
          <w:b/>
          <w:szCs w:val="21"/>
        </w:rPr>
        <w:t xml:space="preserve">江苏银行扬州唐城支行</w:t>
      </w:r>
      <w:r/>
    </w:p>
    <w:p>
      <w:pPr>
        <w:ind w:firstLine="422"/>
        <w:spacing w:line="360" w:lineRule="auto"/>
        <w:rPr>
          <w:rFonts w:hint="eastAsia" w:ascii="宋体" w:hAnsi="宋体" w:cs="宋体"/>
          <w:b/>
          <w:szCs w:val="21"/>
        </w:rPr>
      </w:pPr>
      <w:r>
        <w:rPr>
          <w:rFonts w:hint="eastAsia" w:ascii="宋体" w:hAnsi="宋体" w:cs="宋体"/>
          <w:b/>
          <w:szCs w:val="21"/>
        </w:rPr>
        <w:t xml:space="preserve">             开户名称：</w:t>
      </w:r>
      <w:r>
        <w:rPr>
          <w:rFonts w:hint="eastAsia" w:ascii="宋体" w:hAnsi="宋体" w:cs="宋体"/>
          <w:b/>
          <w:szCs w:val="21"/>
        </w:rPr>
        <w:t xml:space="preserve">扬州大学工程设计研究院有限公司</w:t>
      </w:r>
      <w:r/>
    </w:p>
    <w:p>
      <w:pPr>
        <w:ind w:firstLine="422"/>
        <w:spacing w:line="360" w:lineRule="auto"/>
        <w:rPr>
          <w:rFonts w:hint="eastAsia" w:ascii="宋体" w:hAnsi="宋体" w:cs="宋体"/>
          <w:b/>
          <w:szCs w:val="21"/>
        </w:rPr>
      </w:pPr>
      <w:r>
        <w:rPr>
          <w:rFonts w:hint="eastAsia" w:ascii="宋体" w:hAnsi="宋体" w:cs="宋体"/>
          <w:b/>
          <w:szCs w:val="21"/>
        </w:rPr>
        <w:t xml:space="preserve">             开户帐号：</w:t>
      </w:r>
      <w:r>
        <w:rPr>
          <w:rFonts w:hint="eastAsia" w:ascii="宋体" w:hAnsi="宋体" w:cs="宋体"/>
          <w:b/>
          <w:spacing w:val="20"/>
          <w:szCs w:val="21"/>
        </w:rPr>
        <w:t xml:space="preserve">90160188000103894</w:t>
      </w:r>
      <w:r/>
    </w:p>
    <w:p>
      <w:pPr>
        <w:ind w:firstLine="420"/>
        <w:spacing w:line="440" w:lineRule="exact"/>
        <w:rPr>
          <w:highlight w:val="none"/>
        </w:rPr>
      </w:pPr>
      <w:r>
        <w:rPr>
          <w:highlight w:val="none"/>
        </w:rPr>
        <w:t xml:space="preserve">4.</w:t>
      </w:r>
      <w:r>
        <w:rPr>
          <w:rFonts w:hint="eastAsia"/>
          <w:highlight w:val="none"/>
          <w:lang w:val="en-US" w:eastAsia="zh-CN"/>
        </w:rPr>
        <w:t xml:space="preserve">4</w:t>
      </w:r>
      <w:r>
        <w:rPr>
          <w:highlight w:val="none"/>
        </w:rPr>
        <w:t xml:space="preserve">专家评审费按扬财购【2020】40 号文《关于</w:t>
      </w:r>
      <w:r>
        <w:rPr>
          <w:rFonts w:hint="eastAsia"/>
          <w:highlight w:val="none"/>
        </w:rPr>
        <w:t xml:space="preserve">进一步</w:t>
      </w:r>
      <w:r>
        <w:rPr>
          <w:highlight w:val="none"/>
        </w:rPr>
        <w:t xml:space="preserve">规范扬州市政府采购专家评审费标准的 通知》执行。</w:t>
      </w:r>
      <w:r/>
    </w:p>
    <w:p>
      <w:pPr>
        <w:ind w:firstLine="422"/>
        <w:spacing w:line="440" w:lineRule="exact"/>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w:t>
      </w:r>
      <w:r>
        <w:rPr>
          <w:rFonts w:hint="eastAsia" w:ascii="宋体" w:hAnsi="宋体"/>
          <w:bCs/>
          <w:szCs w:val="21"/>
          <w:lang w:eastAsia="zh-CN"/>
        </w:rPr>
        <w:t xml:space="preserve">“扬州市邗江区政府采购网”、“扬州市政府采购网”、“江苏省政府采购网”和“中国政府采购网” </w:t>
      </w:r>
      <w:r>
        <w:rPr>
          <w:rFonts w:hint="eastAsia" w:ascii="宋体" w:hAnsi="宋体"/>
          <w:bCs/>
          <w:szCs w:val="21"/>
        </w:rPr>
        <w:t xml:space="preserve">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color w:val="ff0000"/>
          <w:szCs w:val="21"/>
        </w:rPr>
      </w:pPr>
      <w:r>
        <w:rPr>
          <w:rFonts w:hint="eastAsia" w:ascii="宋体" w:hAnsi="宋体"/>
          <w:bCs/>
          <w:color w:val="ff0000"/>
          <w:szCs w:val="21"/>
        </w:rPr>
        <w:t xml:space="preserve">（1）资格审查响应对照表</w:t>
      </w:r>
      <w:r/>
    </w:p>
    <w:p>
      <w:pPr>
        <w:ind w:firstLine="420"/>
        <w:spacing w:line="360" w:lineRule="auto"/>
        <w:rPr>
          <w:rFonts w:ascii="宋体" w:hAnsi="宋体"/>
          <w:bCs/>
          <w:color w:val="ff0000"/>
          <w:szCs w:val="21"/>
        </w:rPr>
      </w:pPr>
      <w:r>
        <w:rPr>
          <w:rFonts w:hint="eastAsia" w:ascii="宋体" w:hAnsi="宋体"/>
          <w:bCs/>
          <w:color w:val="ff0000"/>
          <w:szCs w:val="21"/>
        </w:rPr>
        <w:t xml:space="preserve">（2）符合性审查响应对照表</w:t>
      </w:r>
      <w:r/>
    </w:p>
    <w:p>
      <w:pPr>
        <w:ind w:firstLine="420"/>
        <w:spacing w:line="360" w:lineRule="auto"/>
        <w:rPr>
          <w:rFonts w:ascii="宋体" w:hAnsi="宋体"/>
          <w:bCs/>
          <w:color w:val="ff0000"/>
          <w:szCs w:val="21"/>
        </w:rPr>
      </w:pPr>
      <w:r>
        <w:rPr>
          <w:rFonts w:hint="eastAsia" w:ascii="宋体" w:hAnsi="宋体"/>
          <w:bCs/>
          <w:color w:val="ff0000"/>
          <w:szCs w:val="21"/>
        </w:rPr>
        <w:t xml:space="preserve">（3）非实质性响应对照表</w:t>
      </w:r>
      <w:r/>
    </w:p>
    <w:p>
      <w:pPr>
        <w:ind w:firstLine="420"/>
        <w:spacing w:line="360" w:lineRule="auto"/>
        <w:rPr>
          <w:rFonts w:ascii="宋体" w:hAnsi="宋体"/>
          <w:bCs/>
          <w:color w:val="ff0000"/>
          <w:szCs w:val="21"/>
        </w:rPr>
      </w:pPr>
      <w:r>
        <w:rPr>
          <w:rFonts w:hint="eastAsia" w:ascii="宋体" w:hAnsi="宋体"/>
          <w:bCs/>
          <w:color w:val="ff0000"/>
          <w:szCs w:val="21"/>
        </w:rPr>
        <w:t xml:space="preserve">（4）开标一览表 </w:t>
      </w:r>
      <w:r/>
    </w:p>
    <w:p>
      <w:pPr>
        <w:ind w:firstLine="420"/>
        <w:spacing w:line="360" w:lineRule="auto"/>
        <w:rPr>
          <w:rFonts w:ascii="宋体" w:hAnsi="宋体"/>
          <w:bCs/>
          <w:color w:val="ff0000"/>
          <w:szCs w:val="21"/>
        </w:rPr>
      </w:pPr>
      <w:r>
        <w:rPr>
          <w:rFonts w:hint="eastAsia" w:ascii="宋体" w:hAnsi="宋体"/>
          <w:bCs/>
          <w:color w:val="ff0000"/>
          <w:szCs w:val="21"/>
        </w:rPr>
        <w:t xml:space="preserve">（5）分项报价表 </w:t>
      </w:r>
      <w:r/>
    </w:p>
    <w:p>
      <w:pPr>
        <w:ind w:firstLine="420"/>
        <w:spacing w:line="360" w:lineRule="auto"/>
        <w:rPr>
          <w:rFonts w:ascii="宋体" w:hAnsi="宋体"/>
          <w:bCs/>
          <w:color w:val="ff0000"/>
          <w:szCs w:val="21"/>
        </w:rPr>
      </w:pPr>
      <w:r>
        <w:rPr>
          <w:rFonts w:hint="eastAsia" w:ascii="宋体" w:hAnsi="宋体"/>
          <w:bCs/>
          <w:color w:val="ff0000"/>
          <w:szCs w:val="21"/>
        </w:rPr>
        <w:t xml:space="preserve">（6）技术参数响应及偏离表 </w:t>
      </w:r>
      <w:r/>
    </w:p>
    <w:p>
      <w:pPr>
        <w:ind w:firstLine="420"/>
        <w:spacing w:line="360" w:lineRule="auto"/>
        <w:rPr>
          <w:rFonts w:ascii="宋体" w:hAnsi="宋体"/>
          <w:bCs/>
          <w:color w:val="ff0000"/>
          <w:szCs w:val="21"/>
        </w:rPr>
      </w:pPr>
      <w:r>
        <w:rPr>
          <w:rFonts w:hint="eastAsia" w:ascii="宋体" w:hAnsi="宋体"/>
          <w:bCs/>
          <w:color w:val="ff0000"/>
          <w:szCs w:val="21"/>
        </w:rPr>
        <w:t xml:space="preserve">（7）商务条款响应及偏离表 </w:t>
      </w:r>
      <w:r/>
    </w:p>
    <w:p>
      <w:pPr>
        <w:ind w:firstLine="420"/>
        <w:spacing w:line="360" w:lineRule="auto"/>
        <w:rPr>
          <w:rFonts w:ascii="宋体" w:hAnsi="宋体"/>
          <w:bCs/>
          <w:color w:val="ff0000"/>
          <w:szCs w:val="21"/>
        </w:rPr>
      </w:pPr>
      <w:r>
        <w:rPr>
          <w:rFonts w:hint="eastAsia" w:ascii="宋体" w:hAnsi="宋体"/>
          <w:bCs/>
          <w:color w:val="ff0000"/>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highlight w:val="none"/>
        </w:rPr>
      </w:pPr>
      <w:r>
        <w:rPr>
          <w:rFonts w:hint="eastAsia" w:ascii="宋体" w:hAnsi="宋体"/>
          <w:b/>
          <w:szCs w:val="21"/>
          <w:highlight w:val="none"/>
        </w:rPr>
        <w:t xml:space="preserve">12、</w:t>
      </w:r>
      <w:r>
        <w:rPr>
          <w:rFonts w:hint="eastAsia"/>
          <w:b/>
          <w:bCs/>
          <w:highlight w:val="none"/>
        </w:rPr>
        <w:t xml:space="preserve">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rPr>
      </w:pPr>
      <w:r>
        <w:rPr>
          <w:rFonts w:hint="eastAsia" w:ascii="宋体" w:hAnsi="宋体"/>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ff0000"/>
          <w:szCs w:val="21"/>
        </w:rPr>
      </w:pPr>
      <w:r>
        <w:rPr>
          <w:rFonts w:hint="eastAsia" w:ascii="宋体" w:hAnsi="宋体"/>
          <w:b/>
          <w:color w:val="ff0000"/>
          <w:szCs w:val="21"/>
        </w:rPr>
        <w:t xml:space="preserve">13、技术参数响应及偏离表、商务条款响应及偏离表及投标货物说明</w:t>
      </w:r>
      <w:r/>
    </w:p>
    <w:p>
      <w:pPr>
        <w:ind w:firstLine="420"/>
        <w:spacing w:line="360" w:lineRule="auto"/>
        <w:rPr>
          <w:rFonts w:ascii="宋体" w:hAnsi="宋体"/>
          <w:bCs/>
          <w:color w:val="ff0000"/>
          <w:szCs w:val="21"/>
        </w:rPr>
      </w:pPr>
      <w:r>
        <w:rPr>
          <w:rFonts w:hint="eastAsia" w:ascii="宋体" w:hAnsi="宋体"/>
          <w:bCs/>
          <w:color w:val="ff0000"/>
          <w:szCs w:val="21"/>
        </w:rPr>
        <w:t xml:space="preserve">13.1 对招标文件中的技术与商务条款要求逐项作出响应或偏离，并说明原因；</w:t>
      </w:r>
      <w:r/>
    </w:p>
    <w:p>
      <w:pPr>
        <w:ind w:firstLine="420"/>
        <w:spacing w:line="360" w:lineRule="auto"/>
        <w:rPr>
          <w:rFonts w:ascii="宋体" w:hAnsi="宋体"/>
          <w:bCs/>
          <w:color w:val="ff0000"/>
          <w:szCs w:val="21"/>
        </w:rPr>
      </w:pPr>
      <w:r>
        <w:rPr>
          <w:rFonts w:hint="eastAsia" w:ascii="宋体" w:hAnsi="宋体"/>
          <w:bCs/>
          <w:color w:val="ff0000"/>
          <w:szCs w:val="21"/>
        </w:rPr>
        <w:t xml:space="preserve">13.2 提供参加本项目类似案例简介；</w:t>
      </w:r>
      <w:r/>
    </w:p>
    <w:p>
      <w:pPr>
        <w:ind w:firstLine="420"/>
        <w:spacing w:line="360" w:lineRule="auto"/>
        <w:rPr>
          <w:rFonts w:ascii="宋体" w:hAnsi="宋体"/>
          <w:bCs/>
          <w:color w:val="ff0000"/>
          <w:szCs w:val="21"/>
        </w:rPr>
      </w:pPr>
      <w:r>
        <w:rPr>
          <w:rFonts w:hint="eastAsia" w:ascii="宋体" w:hAnsi="宋体"/>
          <w:bCs/>
          <w:color w:val="ff0000"/>
          <w:szCs w:val="21"/>
        </w:rPr>
        <w:t xml:space="preserve">13.3 培训计划；</w:t>
      </w:r>
      <w:r/>
    </w:p>
    <w:p>
      <w:pPr>
        <w:ind w:firstLine="420"/>
        <w:spacing w:line="360" w:lineRule="auto"/>
        <w:rPr>
          <w:rFonts w:ascii="宋体" w:hAnsi="宋体"/>
          <w:bCs/>
          <w:color w:val="ff0000"/>
          <w:szCs w:val="21"/>
        </w:rPr>
      </w:pPr>
      <w:r>
        <w:rPr>
          <w:rFonts w:hint="eastAsia" w:ascii="宋体" w:hAnsi="宋体"/>
          <w:bCs/>
          <w:color w:val="ff0000"/>
          <w:szCs w:val="21"/>
        </w:rPr>
        <w:t xml:space="preserve">13.4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0" w:name="_Toc16938541"/>
      <w:r/>
      <w:bookmarkStart w:id="41" w:name="_Toc462564084"/>
      <w:r/>
      <w:bookmarkStart w:id="42" w:name="_Toc20823297"/>
      <w:r/>
      <w:bookmarkStart w:id="43" w:name="_Toc513029225"/>
      <w:r>
        <w:rPr>
          <w:rFonts w:hint="eastAsia" w:ascii="宋体" w:hAnsi="宋体"/>
          <w:b/>
          <w:szCs w:val="21"/>
        </w:rPr>
        <w:t xml:space="preserve">17、投标文件</w:t>
      </w:r>
      <w:bookmarkEnd w:id="40"/>
      <w:r/>
      <w:bookmarkEnd w:id="41"/>
      <w:r/>
      <w:bookmarkEnd w:id="42"/>
      <w:r/>
      <w:bookmarkEnd w:id="43"/>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4" w:name="_Toc20823298"/>
      <w:r/>
      <w:bookmarkStart w:id="45" w:name="_Toc513029226"/>
      <w:r/>
      <w:bookmarkStart w:id="46" w:name="_Toc16938542"/>
      <w:r/>
      <w:r/>
    </w:p>
    <w:p>
      <w:pPr>
        <w:ind w:firstLine="422"/>
        <w:spacing w:line="360" w:lineRule="auto"/>
        <w:rPr>
          <w:rFonts w:ascii="宋体" w:hAnsi="宋体"/>
          <w:b/>
          <w:color w:val="ff0000"/>
          <w:szCs w:val="21"/>
        </w:rPr>
      </w:pPr>
      <w:r>
        <w:rPr>
          <w:rFonts w:hint="eastAsia" w:ascii="宋体" w:hAnsi="宋体"/>
          <w:b/>
          <w:color w:val="ff0000"/>
          <w:szCs w:val="21"/>
        </w:rPr>
        <w:t xml:space="preserve">17.2</w:t>
      </w:r>
      <w:r>
        <w:rPr>
          <w:rFonts w:hint="eastAsia" w:ascii="宋体" w:hAnsi="宋体"/>
          <w:b/>
          <w:bCs/>
          <w:color w:val="ff0000"/>
          <w:szCs w:val="21"/>
        </w:rPr>
        <w:t xml:space="preserve">政府采购管理交易系统（苏采云）</w:t>
      </w:r>
      <w:r>
        <w:rPr>
          <w:rFonts w:hint="eastAsia" w:ascii="宋体" w:hAnsi="宋体"/>
          <w:b/>
          <w:color w:val="ff0000"/>
          <w:szCs w:val="21"/>
        </w:rPr>
        <w:t xml:space="preserve">相关要求是本招标文件的组成部分。</w:t>
      </w:r>
      <w:r/>
    </w:p>
    <w:p>
      <w:pPr>
        <w:ind w:firstLine="422"/>
        <w:spacing w:line="360" w:lineRule="auto"/>
        <w:rPr>
          <w:rFonts w:ascii="宋体" w:hAnsi="宋体"/>
          <w:b/>
          <w:color w:val="ff0000"/>
          <w:szCs w:val="21"/>
        </w:rPr>
      </w:pPr>
      <w:r>
        <w:rPr>
          <w:rFonts w:hint="eastAsia" w:ascii="宋体" w:hAnsi="宋体"/>
          <w:b/>
          <w:color w:val="ff0000"/>
          <w:szCs w:val="21"/>
        </w:rPr>
        <w:t xml:space="preserve">17.3投标人应对 CA 证书妥善保管，如被他人盗用投标，因此带来的结果均由投标人自行承担。</w:t>
      </w:r>
      <w:r/>
    </w:p>
    <w:p>
      <w:pPr>
        <w:ind w:firstLine="422"/>
        <w:spacing w:line="360" w:lineRule="auto"/>
        <w:rPr>
          <w:rFonts w:ascii="宋体" w:hAnsi="宋体"/>
          <w:b/>
          <w:color w:val="ff0000"/>
          <w:szCs w:val="21"/>
        </w:rPr>
      </w:pPr>
      <w:r>
        <w:rPr>
          <w:rFonts w:hint="eastAsia" w:ascii="宋体" w:hAnsi="宋体"/>
          <w:b/>
          <w:color w:val="ff0000"/>
          <w:szCs w:val="21"/>
        </w:rPr>
        <w:t xml:space="preserve">17.4投标人应当对招标文件提出的要求和条件作出实质性响应，并在电子投标系统逐条应答。</w:t>
      </w:r>
      <w:r/>
    </w:p>
    <w:p>
      <w:pPr>
        <w:ind w:firstLine="422"/>
        <w:spacing w:line="360" w:lineRule="auto"/>
        <w:rPr>
          <w:rFonts w:ascii="宋体" w:hAnsi="宋体"/>
          <w:b/>
          <w:color w:val="ff0000"/>
          <w:szCs w:val="21"/>
        </w:rPr>
      </w:pPr>
      <w:r>
        <w:rPr>
          <w:rFonts w:hint="eastAsia" w:ascii="宋体" w:hAnsi="宋体"/>
          <w:b/>
          <w:color w:val="ff0000"/>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ff0000"/>
          <w:szCs w:val="21"/>
        </w:rPr>
      </w:pPr>
      <w:r>
        <w:rPr>
          <w:rFonts w:hint="eastAsia" w:ascii="宋体" w:hAnsi="宋体"/>
          <w:b/>
          <w:color w:val="ff0000"/>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color w:val="ff0000"/>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4"/>
      <w:r/>
      <w:bookmarkEnd w:id="45"/>
      <w:r/>
      <w:bookmarkEnd w:id="46"/>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7" w:name="_Toc20823299"/>
      <w:r/>
      <w:bookmarkStart w:id="48" w:name="_Toc513029227"/>
      <w:r/>
      <w:bookmarkStart w:id="49" w:name="_Toc16938543"/>
      <w:r>
        <w:rPr>
          <w:rFonts w:hint="eastAsia" w:ascii="宋体" w:hAnsi="宋体"/>
          <w:b/>
          <w:szCs w:val="21"/>
        </w:rPr>
        <w:t xml:space="preserve">19、投标文件</w:t>
      </w:r>
      <w:bookmarkEnd w:id="47"/>
      <w:r/>
      <w:bookmarkEnd w:id="48"/>
      <w:r/>
      <w:bookmarkEnd w:id="49"/>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0" w:name="_Toc16938544"/>
      <w:r/>
      <w:bookmarkStart w:id="51" w:name="_Toc513029228"/>
      <w:r/>
      <w:bookmarkStart w:id="52" w:name="_Toc20823300"/>
      <w:r>
        <w:rPr>
          <w:rFonts w:hint="eastAsia" w:ascii="宋体" w:hAnsi="宋体"/>
          <w:b/>
          <w:szCs w:val="21"/>
        </w:rPr>
        <w:t xml:space="preserve">20、投标文件的撤回和修改</w:t>
      </w:r>
      <w:bookmarkEnd w:id="50"/>
      <w:r/>
      <w:bookmarkEnd w:id="51"/>
      <w:r/>
      <w:bookmarkEnd w:id="52"/>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Cs/>
          <w:color w:val="ff0000"/>
          <w:szCs w:val="21"/>
        </w:rPr>
        <w:t xml:space="preserve"> </w:t>
      </w:r>
      <w:r>
        <w:rPr>
          <w:rFonts w:hint="eastAsia" w:ascii="宋体" w:hAnsi="宋体"/>
          <w:b/>
          <w:color w:val="ff0000"/>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w:t>
      </w:r>
      <w:r>
        <w:rPr>
          <w:rFonts w:hint="eastAsia" w:ascii="宋体" w:hAnsi="宋体"/>
          <w:bCs/>
          <w:szCs w:val="21"/>
          <w:lang w:eastAsia="zh-CN"/>
        </w:rPr>
        <w:t xml:space="preserve">“扬州市邗江区政府采购网”、“扬州市政府采购网”、“江苏省政府采购网”和“中国政府采购网” </w:t>
      </w:r>
      <w:r>
        <w:rPr>
          <w:rFonts w:hint="eastAsia" w:ascii="宋体" w:hAnsi="宋体"/>
          <w:bCs/>
          <w:szCs w:val="21"/>
        </w:rPr>
        <w:t xml:space="preserve">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r>
      <w:r>
        <w:rPr>
          <w:rFonts w:hint="eastAsia" w:ascii="宋体" w:hAnsi="宋体"/>
          <w:bCs/>
          <w:szCs w:val="21"/>
        </w:rPr>
        <w:t xml:space="preserve">    28.2.2对采购过程提出质疑的，为各采购程序环节结束之日起7个工作日内提出。</w:t>
      </w:r>
      <w:r>
        <w:rPr>
          <w:rFonts w:hint="eastAsia" w:ascii="宋体" w:hAnsi="宋体"/>
          <w:bCs/>
          <w:szCs w:val="21"/>
        </w:rPr>
        <w:br/>
      </w:r>
      <w:r>
        <w:rPr>
          <w:rFonts w:hint="eastAsia" w:ascii="宋体" w:hAnsi="宋体"/>
          <w:bCs/>
          <w:szCs w:val="21"/>
        </w:rP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highlight w:val="none"/>
        </w:rPr>
      </w:pPr>
      <w:r>
        <w:rPr>
          <w:rFonts w:hint="eastAsia" w:ascii="宋体" w:hAnsi="宋体"/>
          <w:bCs/>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szCs w:val="21"/>
          <w:highlight w:val="none"/>
        </w:rPr>
      </w:pPr>
      <w:r>
        <w:rPr>
          <w:rFonts w:hint="eastAsia" w:ascii="宋体" w:hAnsi="宋体"/>
          <w:bCs/>
          <w:szCs w:val="21"/>
          <w:highlight w:val="none"/>
        </w:rPr>
        <w:t xml:space="preserve">30.3 合同在“政府采购管理交易系统（苏采云）”中签订，签订合同后，</w:t>
      </w:r>
      <w:r>
        <w:rPr>
          <w:rFonts w:hint="eastAsia" w:ascii="宋体" w:hAnsi="宋体"/>
          <w:bCs/>
          <w:i/>
          <w:iCs/>
          <w:szCs w:val="21"/>
          <w:highlight w:val="none"/>
          <w:u w:val="single"/>
        </w:rPr>
        <w:t xml:space="preserve">中标人不得将货物或服务及其他服务进行转包</w:t>
      </w:r>
      <w:r>
        <w:rPr>
          <w:rFonts w:hint="eastAsia" w:ascii="宋体" w:hAnsi="宋体"/>
          <w:bCs/>
          <w:szCs w:val="21"/>
          <w:highlight w:val="none"/>
        </w:rPr>
        <w:t xml:space="preserve">。未经采购人同意，</w:t>
      </w:r>
      <w:r>
        <w:rPr>
          <w:rFonts w:hint="eastAsia" w:ascii="宋体" w:hAnsi="宋体"/>
          <w:bCs/>
          <w:color w:val="ff0000"/>
          <w:szCs w:val="21"/>
          <w:highlight w:val="none"/>
        </w:rPr>
        <w:t xml:space="preserve">中标人也不得采用分包的形式履行合同，</w:t>
      </w:r>
      <w:r>
        <w:rPr>
          <w:rFonts w:hint="eastAsia" w:ascii="宋体" w:hAnsi="宋体"/>
          <w:bCs/>
          <w:szCs w:val="21"/>
          <w:highlight w:val="none"/>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highlight w:val="none"/>
        </w:rPr>
        <w:t xml:space="preserve">30.4采购人不得向中标人提出任何不合理的要求作为签订合同的条件，不得与中标</w:t>
      </w:r>
      <w:r>
        <w:rPr>
          <w:rFonts w:hint="eastAsia" w:ascii="宋体" w:hAnsi="宋体"/>
          <w:bCs/>
          <w:szCs w:val="21"/>
        </w:rPr>
        <w:t xml:space="preserve">人私下订立背离合同实质性内容的协议。所签订的合同不得对招标文件确定事项和中标人投标文件作实质性修改。</w:t>
      </w:r>
      <w:r/>
    </w:p>
    <w:p>
      <w:pPr>
        <w:ind w:firstLine="422"/>
        <w:spacing w:line="360" w:lineRule="auto"/>
        <w:rPr>
          <w:rFonts w:ascii="宋体" w:hAnsi="宋体"/>
          <w:bCs/>
          <w:szCs w:val="21"/>
        </w:rPr>
      </w:pPr>
      <w:r>
        <w:rPr>
          <w:b/>
          <w:bCs/>
        </w:rPr>
        <w:t xml:space="preserve">3</w:t>
      </w:r>
      <w:r>
        <w:rPr>
          <w:rFonts w:hint="eastAsia"/>
          <w:b/>
          <w:bCs/>
        </w:rPr>
        <w:t xml:space="preserve">1其他</w:t>
      </w:r>
      <w:r>
        <w:br/>
      </w:r>
      <w:r>
        <w:t xml:space="preserve">    3</w:t>
      </w:r>
      <w:r>
        <w:rPr>
          <w:rFonts w:hint="eastAsia"/>
        </w:rPr>
        <w:t xml:space="preserve">1</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bCs/>
          <w:szCs w:val="21"/>
        </w:rPr>
      </w:pPr>
      <w:r>
        <w:rPr>
          <w:rFonts w:hint="eastAsia" w:ascii="宋体" w:hAnsi="宋体"/>
          <w:bCs/>
          <w:szCs w:val="21"/>
        </w:rPr>
        <w:br w:type="page" w:clear="all"/>
      </w:r>
      <w:r/>
    </w:p>
    <w:p>
      <w:r/>
      <w:r/>
    </w:p>
    <w:p>
      <w:r/>
      <w:r/>
    </w:p>
    <w:p>
      <w:pPr>
        <w:pStyle w:val="864"/>
        <w:jc w:val="center"/>
        <w:rPr>
          <w:rFonts w:ascii="宋体" w:hAnsi="宋体"/>
          <w:color w:val="000000"/>
          <w:szCs w:val="36"/>
        </w:rPr>
      </w:pPr>
      <w:r/>
      <w:bookmarkStart w:id="53" w:name="_Toc18150"/>
      <w:r/>
      <w:bookmarkStart w:id="54" w:name="_Toc55204179"/>
      <w:r/>
      <w:bookmarkStart w:id="55" w:name="_Hlk69392822"/>
      <w:r>
        <w:rPr>
          <w:rFonts w:hint="eastAsia" w:ascii="宋体" w:hAnsi="宋体"/>
          <w:color w:val="000000"/>
          <w:szCs w:val="36"/>
        </w:rPr>
        <w:t xml:space="preserve">第三章 合同条款及格式</w:t>
      </w:r>
      <w:bookmarkEnd w:id="53"/>
      <w:r/>
      <w:bookmarkEnd w:id="54"/>
      <w:r/>
      <w:r/>
    </w:p>
    <w:p>
      <w:pPr>
        <w:pStyle w:val="878"/>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878"/>
        <w:ind w:firstLine="422"/>
        <w:jc w:val="center"/>
        <w:spacing w:before="120" w:after="120" w:line="360" w:lineRule="auto"/>
        <w:rPr>
          <w:rFonts w:hAnsi="宋体"/>
          <w:b/>
          <w:bCs/>
          <w:sz w:val="21"/>
        </w:rPr>
      </w:pPr>
      <w:r>
        <w:rPr>
          <w:rFonts w:hint="eastAsia" w:hAnsi="宋体"/>
          <w:b/>
          <w:bCs/>
          <w:sz w:val="21"/>
        </w:rPr>
        <w:t xml:space="preserve">扬州市政府采购合同（合同编号）</w:t>
      </w:r>
      <w:r/>
    </w:p>
    <w:p>
      <w:pPr>
        <w:pStyle w:val="878"/>
        <w:ind w:firstLine="420"/>
        <w:spacing w:before="120" w:after="120" w:line="360" w:lineRule="auto"/>
        <w:rPr>
          <w:rFonts w:hint="eastAsia" w:hAnsi="宋体"/>
          <w:sz w:val="21"/>
        </w:rPr>
      </w:pPr>
      <w:r>
        <w:rPr>
          <w:rFonts w:hint="eastAsia" w:hAnsi="宋体"/>
          <w:sz w:val="21"/>
        </w:rPr>
        <w:t xml:space="preserve">项目名称：</w:t>
      </w:r>
      <w:r>
        <w:rPr>
          <w:rFonts w:hint="eastAsia" w:hAnsi="宋体"/>
          <w:sz w:val="21"/>
          <w:lang w:eastAsia="zh-CN"/>
        </w:rPr>
        <w:t xml:space="preserve">江苏省邗江中学消防维保、消控室及配套服务项目</w:t>
      </w:r>
      <w:r>
        <w:rPr>
          <w:rFonts w:hint="eastAsia" w:hAnsi="宋体"/>
          <w:sz w:val="21"/>
        </w:rPr>
        <w:t xml:space="preserve">               </w:t>
      </w:r>
      <w:r/>
    </w:p>
    <w:p>
      <w:pPr>
        <w:pStyle w:val="878"/>
        <w:ind w:firstLine="420"/>
        <w:spacing w:before="120" w:after="120" w:line="360" w:lineRule="auto"/>
        <w:rPr>
          <w:rFonts w:hAnsi="宋体"/>
          <w:sz w:val="21"/>
        </w:rPr>
      </w:pPr>
      <w:r>
        <w:rPr>
          <w:rFonts w:hint="eastAsia" w:hAnsi="宋体"/>
          <w:sz w:val="21"/>
        </w:rPr>
        <w:t xml:space="preserve">项目编号：</w:t>
      </w:r>
      <w:r>
        <w:rPr>
          <w:rFonts w:hint="eastAsia" w:hAnsi="宋体"/>
          <w:sz w:val="21"/>
          <w:lang w:eastAsia="zh-CN"/>
        </w:rPr>
        <w:t xml:space="preserve">JSZC-321003-YZDX-G2026-0006</w:t>
      </w:r>
      <w:r/>
    </w:p>
    <w:p>
      <w:pPr>
        <w:pStyle w:val="878"/>
        <w:ind w:firstLine="420"/>
        <w:spacing w:before="120" w:after="120" w:line="360" w:lineRule="auto"/>
        <w:rPr>
          <w:rFonts w:hint="eastAsia" w:hAnsi="宋体" w:eastAsia="宋体"/>
          <w:sz w:val="21"/>
          <w:lang w:eastAsia="zh-CN"/>
        </w:rPr>
      </w:pPr>
      <w:r>
        <w:rPr>
          <w:rFonts w:hint="eastAsia" w:hAnsi="宋体"/>
          <w:sz w:val="21"/>
        </w:rPr>
        <w:t xml:space="preserve">甲方：（买方）</w:t>
      </w:r>
      <w:r>
        <w:rPr>
          <w:rFonts w:hint="eastAsia" w:hAnsi="宋体"/>
          <w:sz w:val="21"/>
          <w:lang w:eastAsia="zh-CN"/>
        </w:rPr>
        <w:t xml:space="preserve">江苏省邗江中学</w:t>
      </w:r>
      <w:r/>
    </w:p>
    <w:p>
      <w:pPr>
        <w:pStyle w:val="878"/>
        <w:ind w:firstLine="420"/>
        <w:spacing w:before="120" w:after="120" w:line="360" w:lineRule="auto"/>
        <w:rPr>
          <w:rFonts w:hint="default" w:hAnsi="宋体" w:eastAsia="宋体"/>
          <w:sz w:val="21"/>
          <w:u w:val="single"/>
          <w:lang w:val="en-US" w:eastAsia="zh-CN"/>
        </w:rPr>
      </w:pPr>
      <w:r>
        <w:rPr>
          <w:rFonts w:hint="eastAsia" w:hAnsi="宋体"/>
          <w:sz w:val="21"/>
        </w:rPr>
        <w:t xml:space="preserve">乙方：（卖方）</w:t>
      </w:r>
      <w:r>
        <w:rPr>
          <w:rFonts w:hint="eastAsia" w:hAnsi="宋体"/>
          <w:sz w:val="21"/>
          <w:u w:val="single"/>
          <w:lang w:val="en-US" w:eastAsia="zh-CN"/>
        </w:rPr>
        <w:t xml:space="preserve">                   </w:t>
      </w:r>
      <w:r/>
    </w:p>
    <w:p>
      <w:pPr>
        <w:pStyle w:val="878"/>
        <w:ind w:firstLine="420"/>
        <w:spacing w:before="120" w:after="120" w:line="360" w:lineRule="auto"/>
        <w:rPr>
          <w:rFonts w:hAnsi="宋体"/>
          <w:sz w:val="21"/>
        </w:rPr>
      </w:pPr>
      <w:r>
        <w:rPr>
          <w:rFonts w:hint="eastAsia" w:hAnsi="宋体"/>
          <w:sz w:val="21"/>
        </w:rPr>
        <w:t xml:space="preserve">见证方：</w:t>
      </w:r>
      <w:r/>
    </w:p>
    <w:p>
      <w:pPr>
        <w:pStyle w:val="878"/>
        <w:ind w:firstLine="420"/>
        <w:spacing w:before="120" w:after="120" w:line="360" w:lineRule="auto"/>
        <w:rPr>
          <w:rFonts w:hAnsi="宋体"/>
          <w:sz w:val="21"/>
        </w:rPr>
      </w:pPr>
      <w:r>
        <w:rPr>
          <w:rFonts w:hint="eastAsia" w:hAnsi="宋体"/>
          <w:sz w:val="21"/>
        </w:rPr>
        <w:t xml:space="preserve">甲、乙双方</w:t>
      </w:r>
      <w:r>
        <w:rPr>
          <w:rFonts w:hint="eastAsia" w:hAnsi="宋体"/>
          <w:sz w:val="21"/>
          <w:highlight w:val="none"/>
        </w:rPr>
        <w:t xml:space="preserve">根据</w:t>
      </w:r>
      <w:r>
        <w:rPr>
          <w:rFonts w:hint="eastAsia" w:hAnsi="宋体"/>
          <w:sz w:val="21"/>
          <w:highlight w:val="none"/>
          <w:lang w:eastAsia="zh-CN"/>
        </w:rPr>
        <w:t xml:space="preserve">扬州大学工程设计研究院有限公司</w:t>
      </w:r>
      <w:r>
        <w:rPr>
          <w:rFonts w:hint="eastAsia" w:hAnsi="宋体"/>
          <w:sz w:val="21"/>
          <w:highlight w:val="none"/>
          <w:u w:val="single"/>
        </w:rPr>
        <w:t xml:space="preserve">  </w:t>
      </w:r>
      <w:r>
        <w:rPr>
          <w:rFonts w:hint="eastAsia" w:hAnsi="宋体"/>
          <w:sz w:val="21"/>
          <w:highlight w:val="none"/>
          <w:u w:val="single"/>
          <w:lang w:eastAsia="zh-CN"/>
        </w:rPr>
        <w:t xml:space="preserve">江苏省邗江中学消防维保、消控室及配套服务项目</w:t>
      </w:r>
      <w:r>
        <w:rPr>
          <w:rFonts w:hint="eastAsia" w:hAnsi="宋体"/>
          <w:sz w:val="21"/>
          <w:u w:val="single"/>
        </w:rPr>
        <w:t xml:space="preserve">  </w:t>
      </w:r>
      <w:r>
        <w:rPr>
          <w:rFonts w:hint="eastAsia" w:hAnsi="宋体"/>
          <w:sz w:val="21"/>
        </w:rPr>
        <w:t xml:space="preserve">项目公开招标的结果，签署本合同。</w:t>
      </w:r>
      <w:r/>
    </w:p>
    <w:p>
      <w:pPr>
        <w:pStyle w:val="878"/>
        <w:ind w:firstLine="422"/>
        <w:spacing w:before="120" w:after="120" w:line="360" w:lineRule="auto"/>
        <w:rPr>
          <w:rFonts w:hAnsi="宋体"/>
          <w:b/>
          <w:bCs/>
          <w:sz w:val="21"/>
        </w:rPr>
      </w:pPr>
      <w:r>
        <w:rPr>
          <w:rFonts w:hint="eastAsia" w:hAnsi="宋体"/>
          <w:b/>
          <w:bCs/>
          <w:sz w:val="21"/>
        </w:rPr>
        <w:t xml:space="preserve">一、服务及货物</w:t>
      </w:r>
      <w:r/>
    </w:p>
    <w:p>
      <w:pPr>
        <w:pStyle w:val="878"/>
        <w:ind w:firstLine="420"/>
        <w:spacing w:before="120" w:after="120" w:line="360" w:lineRule="auto"/>
        <w:rPr>
          <w:rFonts w:hint="eastAsia" w:hAnsi="宋体"/>
          <w:sz w:val="21"/>
          <w:u w:val="single"/>
          <w:lang w:val="en-US" w:eastAsia="zh-CN"/>
        </w:rPr>
      </w:pPr>
      <w:r>
        <w:rPr>
          <w:rFonts w:hint="eastAsia" w:hAnsi="宋体"/>
          <w:sz w:val="21"/>
        </w:rPr>
        <w:t xml:space="preserve">1.1 服务及货物名称：</w:t>
      </w:r>
      <w:r>
        <w:rPr>
          <w:rFonts w:hint="eastAsia" w:hAnsi="宋体"/>
          <w:sz w:val="21"/>
          <w:u w:val="single"/>
          <w:lang w:val="en-US" w:eastAsia="zh-CN"/>
        </w:rPr>
        <w:t xml:space="preserve"> 江苏省邗江中学消防维保、消控室及配套服务项目。 </w:t>
      </w:r>
      <w:r/>
    </w:p>
    <w:p>
      <w:pPr>
        <w:pStyle w:val="878"/>
        <w:ind w:firstLine="420"/>
        <w:spacing w:before="120" w:after="120" w:line="360" w:lineRule="auto"/>
        <w:rPr>
          <w:rFonts w:hAnsi="宋体"/>
          <w:b/>
          <w:bCs/>
          <w:sz w:val="21"/>
        </w:rPr>
      </w:pPr>
      <w:r>
        <w:rPr>
          <w:rFonts w:hAnsi="宋体"/>
          <w:sz w:val="21"/>
        </w:rPr>
        <w:t xml:space="preserve">1.2 </w:t>
      </w:r>
      <w:r>
        <w:rPr>
          <w:rFonts w:hint="eastAsia" w:hAnsi="宋体"/>
          <w:sz w:val="21"/>
          <w:szCs w:val="21"/>
        </w:rPr>
        <w:t xml:space="preserve">项目服务内容：</w:t>
      </w:r>
      <w:r>
        <w:rPr>
          <w:rFonts w:hint="eastAsia" w:hAnsi="宋体"/>
          <w:sz w:val="21"/>
          <w:u w:val="single"/>
          <w:lang w:val="en-US" w:eastAsia="zh-CN"/>
        </w:rPr>
        <w:t xml:space="preserve">按照采购文件第四章“项目需求”执行。</w:t>
      </w:r>
      <w:r/>
    </w:p>
    <w:p>
      <w:pPr>
        <w:pStyle w:val="878"/>
        <w:ind w:firstLine="420"/>
        <w:spacing w:before="120" w:after="120" w:line="360" w:lineRule="auto"/>
        <w:rPr>
          <w:rFonts w:hAnsi="宋体"/>
          <w:sz w:val="21"/>
        </w:rPr>
      </w:pPr>
      <w:r>
        <w:rPr>
          <w:rFonts w:hAnsi="宋体"/>
          <w:sz w:val="21"/>
        </w:rPr>
        <w:t xml:space="preserve">1.3 数量（单位）</w:t>
      </w:r>
      <w:r>
        <w:rPr>
          <w:rFonts w:hint="eastAsia" w:hAnsi="宋体"/>
          <w:sz w:val="21"/>
          <w:u w:val="single"/>
          <w:lang w:val="en-US" w:eastAsia="zh-CN"/>
        </w:rPr>
        <w:t xml:space="preserve">  项  </w:t>
      </w:r>
      <w:r/>
    </w:p>
    <w:p>
      <w:pPr>
        <w:pStyle w:val="878"/>
        <w:ind w:firstLine="422"/>
        <w:spacing w:before="120" w:after="120" w:line="360" w:lineRule="auto"/>
        <w:rPr>
          <w:rFonts w:hAnsi="宋体"/>
          <w:b/>
          <w:bCs/>
          <w:sz w:val="21"/>
        </w:rPr>
      </w:pPr>
      <w:r>
        <w:rPr>
          <w:rFonts w:hint="eastAsia" w:hAnsi="宋体"/>
          <w:b/>
          <w:bCs/>
          <w:sz w:val="21"/>
        </w:rPr>
        <w:t xml:space="preserve">二、合同金额</w:t>
      </w:r>
      <w:r/>
    </w:p>
    <w:p>
      <w:pPr>
        <w:pStyle w:val="878"/>
        <w:ind w:firstLine="420"/>
        <w:spacing w:before="120" w:after="120" w:line="360" w:lineRule="auto"/>
        <w:rPr>
          <w:rFonts w:hAnsi="宋体"/>
          <w:sz w:val="21"/>
        </w:rPr>
      </w:pPr>
      <w:r>
        <w:rPr>
          <w:rFonts w:hint="eastAsia" w:hAnsi="宋体"/>
          <w:sz w:val="21"/>
        </w:rPr>
        <w:t xml:space="preserve">2.1 本合同金额为（大写）：____________________________________圆（_______________元）人民币。</w:t>
      </w:r>
      <w:r/>
    </w:p>
    <w:p>
      <w:pPr>
        <w:pStyle w:val="878"/>
        <w:ind w:firstLine="422"/>
        <w:spacing w:before="120" w:after="120" w:line="360" w:lineRule="auto"/>
        <w:rPr>
          <w:rFonts w:hAnsi="宋体"/>
          <w:b/>
          <w:bCs/>
          <w:sz w:val="21"/>
        </w:rPr>
      </w:pPr>
      <w:r>
        <w:rPr>
          <w:rFonts w:hint="eastAsia" w:hAnsi="宋体"/>
          <w:b/>
          <w:bCs/>
          <w:sz w:val="21"/>
        </w:rPr>
        <w:t xml:space="preserve">三、技术资料</w:t>
      </w:r>
      <w:r/>
    </w:p>
    <w:p>
      <w:pPr>
        <w:pStyle w:val="878"/>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p>
    <w:p>
      <w:pPr>
        <w:pStyle w:val="878"/>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8"/>
        <w:ind w:firstLine="422"/>
        <w:spacing w:before="120" w:after="120" w:line="360" w:lineRule="auto"/>
        <w:rPr>
          <w:rFonts w:hAnsi="宋体"/>
          <w:b/>
          <w:bCs/>
          <w:sz w:val="21"/>
        </w:rPr>
      </w:pPr>
      <w:r>
        <w:rPr>
          <w:rFonts w:hint="eastAsia" w:hAnsi="宋体"/>
          <w:b/>
          <w:bCs/>
          <w:sz w:val="21"/>
        </w:rPr>
        <w:t xml:space="preserve">四、知识产权</w:t>
      </w:r>
      <w:r/>
    </w:p>
    <w:p>
      <w:pPr>
        <w:pStyle w:val="878"/>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78"/>
        <w:ind w:firstLine="422"/>
        <w:spacing w:before="120" w:after="120" w:line="360" w:lineRule="auto"/>
        <w:rPr>
          <w:rFonts w:hAnsi="宋体"/>
          <w:b/>
          <w:bCs/>
          <w:sz w:val="21"/>
        </w:rPr>
      </w:pPr>
      <w:r>
        <w:rPr>
          <w:rFonts w:hint="eastAsia" w:hAnsi="宋体"/>
          <w:b/>
          <w:bCs/>
          <w:sz w:val="21"/>
        </w:rPr>
        <w:t xml:space="preserve">五、产权担保</w:t>
      </w:r>
      <w:r/>
    </w:p>
    <w:p>
      <w:pPr>
        <w:pStyle w:val="878"/>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p>
    <w:p>
      <w:pPr>
        <w:pStyle w:val="878"/>
        <w:ind w:firstLine="422"/>
        <w:spacing w:before="120" w:after="120" w:line="360" w:lineRule="auto"/>
        <w:rPr>
          <w:rFonts w:hAnsi="宋体"/>
          <w:b/>
          <w:bCs/>
          <w:sz w:val="21"/>
        </w:rPr>
      </w:pPr>
      <w:r>
        <w:rPr>
          <w:rFonts w:hint="eastAsia" w:hAnsi="宋体"/>
          <w:b/>
          <w:bCs/>
          <w:sz w:val="21"/>
        </w:rPr>
        <w:t xml:space="preserve">六、履约保证金</w:t>
      </w:r>
      <w:r/>
    </w:p>
    <w:p>
      <w:pPr>
        <w:pStyle w:val="878"/>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878"/>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78"/>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履约保证金扣除甲方应得的补偿后的余额，在本合同履行结束后由甲方退还。逾期退还的，按中国人民银行同期贷款基准利率上浮20%后的利率支付超期资金占用费，但因乙方自身原因导致无法及时退还的除外。 </w:t>
      </w:r>
      <w:r/>
    </w:p>
    <w:p>
      <w:pPr>
        <w:pStyle w:val="878"/>
        <w:ind w:firstLine="420"/>
        <w:spacing w:before="120" w:after="120" w:line="360" w:lineRule="auto"/>
        <w:rPr>
          <w:rFonts w:hAnsi="宋体"/>
          <w:sz w:val="21"/>
        </w:rPr>
      </w:pPr>
      <w:r>
        <w:rPr>
          <w:rFonts w:hint="eastAsia" w:hAnsi="宋体"/>
          <w:sz w:val="21"/>
        </w:rPr>
        <w:t xml:space="preserve">6.4 履约保证金收取：无</w:t>
      </w:r>
      <w:r/>
    </w:p>
    <w:p>
      <w:pPr>
        <w:pStyle w:val="878"/>
        <w:ind w:firstLine="422"/>
        <w:spacing w:before="120" w:after="120" w:line="360" w:lineRule="auto"/>
        <w:rPr>
          <w:rFonts w:hAnsi="宋体"/>
          <w:b/>
          <w:bCs/>
          <w:sz w:val="21"/>
        </w:rPr>
      </w:pPr>
      <w:r>
        <w:rPr>
          <w:rFonts w:hint="eastAsia" w:hAnsi="宋体"/>
          <w:b/>
          <w:bCs/>
          <w:sz w:val="21"/>
        </w:rPr>
        <w:t xml:space="preserve">七、转包或分包</w:t>
      </w:r>
      <w:r/>
    </w:p>
    <w:p>
      <w:pPr>
        <w:pStyle w:val="878"/>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p>
    <w:p>
      <w:pPr>
        <w:pStyle w:val="878"/>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p>
    <w:p>
      <w:pPr>
        <w:pStyle w:val="878"/>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878"/>
        <w:ind w:firstLine="422"/>
        <w:spacing w:before="120" w:after="120" w:line="360" w:lineRule="auto"/>
        <w:rPr>
          <w:rFonts w:hint="default" w:hAnsi="宋体" w:eastAsia="宋体"/>
          <w:b/>
          <w:bCs/>
          <w:sz w:val="21"/>
          <w:lang w:val="en-US" w:eastAsia="zh-CN"/>
        </w:rPr>
      </w:pPr>
      <w:r>
        <w:rPr>
          <w:rFonts w:hint="eastAsia" w:hAnsi="宋体"/>
          <w:b/>
          <w:bCs/>
          <w:sz w:val="21"/>
        </w:rPr>
        <w:t xml:space="preserve">八、质保期</w:t>
      </w:r>
      <w:r>
        <w:rPr>
          <w:rFonts w:hint="eastAsia" w:hAnsi="宋体"/>
          <w:b/>
          <w:bCs/>
          <w:sz w:val="21"/>
          <w:lang w:val="en-US" w:eastAsia="zh-CN"/>
        </w:rPr>
        <w:t xml:space="preserve">/服务期</w:t>
      </w:r>
      <w:r/>
    </w:p>
    <w:p>
      <w:pPr>
        <w:pStyle w:val="878"/>
        <w:ind w:firstLine="420"/>
        <w:spacing w:before="120" w:after="120" w:line="360" w:lineRule="auto"/>
        <w:rPr>
          <w:rFonts w:hAnsi="宋体"/>
          <w:sz w:val="21"/>
        </w:rPr>
      </w:pPr>
      <w:r>
        <w:rPr>
          <w:rFonts w:hint="eastAsia" w:hAnsi="宋体"/>
          <w:sz w:val="21"/>
        </w:rPr>
        <w:t xml:space="preserve">8.1 质保期</w:t>
      </w:r>
      <w:r>
        <w:rPr>
          <w:rFonts w:hint="eastAsia" w:hAnsi="宋体"/>
          <w:sz w:val="21"/>
          <w:lang w:val="en-US" w:eastAsia="zh-CN"/>
        </w:rPr>
        <w:t xml:space="preserve">/服务期</w:t>
      </w:r>
      <w:r>
        <w:rPr>
          <w:rFonts w:hint="eastAsia" w:hAnsi="宋体"/>
          <w:sz w:val="21"/>
        </w:rPr>
        <w:t xml:space="preserve"> </w:t>
      </w:r>
      <w:r>
        <w:rPr>
          <w:rFonts w:hint="eastAsia" w:hAnsi="宋体"/>
          <w:sz w:val="21"/>
          <w:u w:val="single"/>
          <w:lang w:val="en-US" w:eastAsia="zh-CN"/>
        </w:rPr>
        <w:t xml:space="preserve"> 叁  </w:t>
      </w:r>
      <w:r>
        <w:rPr>
          <w:rFonts w:hint="eastAsia" w:hAnsi="宋体"/>
          <w:sz w:val="21"/>
        </w:rPr>
        <w:t xml:space="preserve">年。（自</w:t>
      </w:r>
      <w:r>
        <w:rPr>
          <w:rFonts w:hint="eastAsia" w:hAnsi="宋体"/>
          <w:sz w:val="21"/>
          <w:lang w:val="en-US" w:eastAsia="zh-CN"/>
        </w:rPr>
        <w:t xml:space="preserve">合同签订之日起</w:t>
      </w:r>
      <w:r>
        <w:rPr>
          <w:rFonts w:hint="eastAsia" w:hAnsi="宋体"/>
          <w:sz w:val="21"/>
        </w:rPr>
        <w:t xml:space="preserve">）</w:t>
      </w:r>
      <w:r/>
    </w:p>
    <w:p>
      <w:pPr>
        <w:pStyle w:val="878"/>
        <w:ind w:firstLine="422"/>
        <w:spacing w:before="120" w:after="120" w:line="360" w:lineRule="auto"/>
        <w:rPr>
          <w:rFonts w:hAnsi="宋体"/>
          <w:b/>
          <w:bCs/>
          <w:sz w:val="21"/>
        </w:rPr>
      </w:pPr>
      <w:r>
        <w:rPr>
          <w:rFonts w:hint="eastAsia" w:hAnsi="宋体"/>
          <w:b/>
          <w:bCs/>
          <w:sz w:val="21"/>
        </w:rPr>
        <w:t xml:space="preserve">九、交付期、交付方式及交付地点</w:t>
      </w:r>
      <w:r/>
    </w:p>
    <w:p>
      <w:pPr>
        <w:pStyle w:val="878"/>
        <w:ind w:firstLine="420"/>
        <w:spacing w:before="120" w:after="120" w:line="360" w:lineRule="auto"/>
        <w:rPr>
          <w:rFonts w:hint="eastAsia" w:hAnsi="宋体"/>
          <w:sz w:val="21"/>
          <w:highlight w:val="none"/>
          <w:u w:val="single"/>
          <w:lang w:val="en-US" w:eastAsia="zh-CN"/>
        </w:rPr>
      </w:pPr>
      <w:r>
        <w:rPr>
          <w:rFonts w:hint="eastAsia" w:hAnsi="宋体"/>
          <w:sz w:val="21"/>
        </w:rPr>
        <w:t xml:space="preserve">9.1 交付期：</w:t>
      </w:r>
      <w:r>
        <w:rPr>
          <w:rFonts w:hint="eastAsia" w:hAnsi="宋体"/>
          <w:sz w:val="21"/>
          <w:highlight w:val="none"/>
          <w:u w:val="single"/>
          <w:lang w:val="en-US" w:eastAsia="zh-CN"/>
        </w:rPr>
        <w:t xml:space="preserve">服务期限为三年，具体服务起始时间以采购人正式书面通知为准。本合同条款若与现行相关政策法规相抵触、相悖离，当年度不予续签，并由采购人重新组织招标采购工作；服务期间若履约考核评定不合格，采购人有权单方终止本合同。</w:t>
      </w:r>
      <w:r/>
    </w:p>
    <w:p>
      <w:pPr>
        <w:pStyle w:val="878"/>
        <w:ind w:firstLine="420"/>
        <w:spacing w:before="120" w:after="120" w:line="360" w:lineRule="auto"/>
        <w:rPr>
          <w:rFonts w:hint="default" w:hAnsi="宋体" w:eastAsia="宋体"/>
          <w:sz w:val="21"/>
          <w:highlight w:val="none"/>
          <w:u w:val="single"/>
          <w:lang w:val="en-US" w:eastAsia="zh-CN"/>
        </w:rPr>
      </w:pPr>
      <w:r>
        <w:rPr>
          <w:rFonts w:hint="eastAsia" w:hAnsi="宋体"/>
          <w:sz w:val="21"/>
          <w:highlight w:val="none"/>
        </w:rPr>
        <w:t xml:space="preserve">9.2 交付方式：</w:t>
      </w:r>
      <w:r>
        <w:rPr>
          <w:rFonts w:hint="eastAsia" w:hAnsi="宋体"/>
          <w:sz w:val="21"/>
          <w:highlight w:val="none"/>
          <w:u w:val="single"/>
          <w:lang w:val="en-US" w:eastAsia="zh-CN"/>
        </w:rPr>
        <w:t xml:space="preserve">按照招标文件以及甲方要求。</w:t>
      </w:r>
      <w:r/>
    </w:p>
    <w:p>
      <w:pPr>
        <w:pStyle w:val="878"/>
        <w:ind w:firstLine="420"/>
        <w:spacing w:before="120" w:after="120" w:line="360" w:lineRule="auto"/>
        <w:rPr>
          <w:rFonts w:hAnsi="宋体"/>
          <w:sz w:val="21"/>
          <w:highlight w:val="none"/>
        </w:rPr>
      </w:pPr>
      <w:r>
        <w:rPr>
          <w:rFonts w:hint="eastAsia" w:hAnsi="宋体"/>
          <w:sz w:val="21"/>
          <w:highlight w:val="none"/>
        </w:rPr>
        <w:t xml:space="preserve">9.3 交付地点：_</w:t>
      </w:r>
      <w:r>
        <w:rPr>
          <w:rFonts w:hint="eastAsia" w:hAnsi="宋体"/>
          <w:sz w:val="21"/>
          <w:highlight w:val="none"/>
          <w:u w:val="single"/>
          <w:lang w:val="en-US" w:eastAsia="zh-CN"/>
        </w:rPr>
        <w:t xml:space="preserve">江苏省邗江中学内_</w:t>
      </w:r>
      <w:r/>
    </w:p>
    <w:p>
      <w:pPr>
        <w:pStyle w:val="878"/>
        <w:ind w:firstLine="422"/>
        <w:spacing w:before="120" w:after="120" w:line="360" w:lineRule="auto"/>
        <w:rPr>
          <w:rFonts w:hAnsi="宋体"/>
          <w:b/>
          <w:bCs/>
          <w:sz w:val="21"/>
          <w:highlight w:val="none"/>
        </w:rPr>
      </w:pPr>
      <w:r>
        <w:rPr>
          <w:rFonts w:hint="eastAsia" w:hAnsi="宋体"/>
          <w:b/>
          <w:bCs/>
          <w:sz w:val="21"/>
          <w:highlight w:val="none"/>
        </w:rPr>
        <w:t xml:space="preserve">十、货款支付</w:t>
      </w:r>
      <w:r/>
    </w:p>
    <w:p>
      <w:pPr>
        <w:ind w:firstLine="420"/>
        <w:spacing w:line="360" w:lineRule="auto"/>
        <w:rPr>
          <w:rFonts w:ascii="宋体" w:hAnsi="宋体" w:cs="宋体"/>
          <w:color w:val="000000"/>
          <w:szCs w:val="21"/>
          <w:highlight w:val="none"/>
        </w:rPr>
      </w:pPr>
      <w:r>
        <w:rPr>
          <w:rFonts w:hint="eastAsia" w:ascii="宋体" w:hAnsi="宋体" w:cs="宋体"/>
          <w:szCs w:val="21"/>
          <w:highlight w:val="none"/>
        </w:rPr>
        <w:t xml:space="preserve">10.1 </w:t>
      </w:r>
      <w:r>
        <w:rPr>
          <w:rFonts w:hint="eastAsia" w:ascii="宋体" w:hAnsi="宋体" w:cs="宋体"/>
          <w:color w:val="000000"/>
          <w:szCs w:val="21"/>
          <w:highlight w:val="none"/>
        </w:rPr>
        <w:t xml:space="preserve">本合同项下所有款项均以人民币支付。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p>
    <w:p>
      <w:pPr>
        <w:pStyle w:val="878"/>
        <w:ind w:firstLine="420"/>
        <w:spacing w:line="360" w:lineRule="auto"/>
        <w:rPr>
          <w:rFonts w:hAnsi="宋体" w:cs="宋体"/>
          <w:color w:val="000000"/>
          <w:sz w:val="21"/>
          <w:highlight w:val="none"/>
        </w:rPr>
      </w:pPr>
      <w:r>
        <w:rPr>
          <w:rFonts w:hint="eastAsia" w:hAnsi="宋体" w:cs="宋体"/>
          <w:sz w:val="21"/>
          <w:highlight w:val="none"/>
        </w:rPr>
        <w:t xml:space="preserve">10.3</w:t>
      </w:r>
      <w:r>
        <w:rPr>
          <w:rFonts w:hint="eastAsia" w:hAnsi="宋体" w:cs="宋体"/>
          <w:color w:val="000000"/>
          <w:sz w:val="21"/>
          <w:highlight w:val="none"/>
        </w:rPr>
        <w:t xml:space="preserve"> 甲方付款方式：</w:t>
      </w:r>
      <w:r/>
    </w:p>
    <w:p>
      <w:pPr>
        <w:pStyle w:val="878"/>
        <w:ind w:firstLine="422"/>
        <w:spacing w:before="120" w:after="120" w:line="360" w:lineRule="auto"/>
        <w:rPr>
          <w:rFonts w:hint="eastAsia" w:ascii="宋体" w:hAnsi="宋体" w:cs="宋体"/>
          <w:b/>
          <w:bCs/>
          <w:sz w:val="21"/>
          <w:szCs w:val="21"/>
          <w:highlight w:val="none"/>
          <w:u w:val="single"/>
        </w:rPr>
      </w:pPr>
      <w:r>
        <w:rPr>
          <w:rFonts w:hint="eastAsia" w:ascii="宋体" w:hAnsi="宋体" w:cs="宋体"/>
          <w:b/>
          <w:bCs/>
          <w:sz w:val="21"/>
          <w:szCs w:val="21"/>
          <w:highlight w:val="none"/>
          <w:u w:val="single"/>
        </w:rPr>
        <w:t xml:space="preserve">合同签订后，甲方收到乙方开具的发票10日内预付合同金额的30%，剩余金额分4个季度支付，每个季度的15日前结算上季度服务费用（如上季度的月度考核有扣款意见的，则按考核意见扣款），甲方收到乙方开具的正式发票15日内付款。</w:t>
      </w:r>
      <w:r/>
    </w:p>
    <w:p>
      <w:pPr>
        <w:pStyle w:val="878"/>
        <w:ind w:firstLine="422"/>
        <w:spacing w:before="120" w:after="120" w:line="360" w:lineRule="auto"/>
        <w:rPr>
          <w:rFonts w:hAnsi="宋体"/>
          <w:b/>
          <w:bCs/>
          <w:sz w:val="21"/>
        </w:rPr>
      </w:pPr>
      <w:r>
        <w:rPr>
          <w:rFonts w:hint="eastAsia" w:hAnsi="宋体"/>
          <w:b/>
          <w:bCs/>
          <w:sz w:val="21"/>
        </w:rPr>
        <w:t xml:space="preserve">十一、税费</w:t>
      </w:r>
      <w:r/>
    </w:p>
    <w:p>
      <w:pPr>
        <w:pStyle w:val="878"/>
        <w:ind w:firstLine="420"/>
        <w:spacing w:before="120" w:after="120" w:line="360" w:lineRule="auto"/>
        <w:rPr>
          <w:rFonts w:hAnsi="宋体"/>
          <w:sz w:val="21"/>
        </w:rPr>
      </w:pPr>
      <w:r>
        <w:rPr>
          <w:rFonts w:hint="eastAsia" w:hAnsi="宋体"/>
          <w:sz w:val="21"/>
        </w:rPr>
        <w:t xml:space="preserve">11.1本合同执行中相关的一切税费均由乙方负担。</w:t>
      </w:r>
      <w:r/>
    </w:p>
    <w:p>
      <w:pPr>
        <w:pStyle w:val="878"/>
        <w:ind w:firstLine="422"/>
        <w:spacing w:before="120" w:after="120" w:line="360" w:lineRule="auto"/>
        <w:rPr>
          <w:rFonts w:hAnsi="宋体"/>
          <w:b/>
          <w:bCs/>
          <w:sz w:val="21"/>
        </w:rPr>
      </w:pPr>
      <w:r>
        <w:rPr>
          <w:rFonts w:hint="eastAsia" w:hAnsi="宋体"/>
          <w:b/>
          <w:bCs/>
          <w:sz w:val="21"/>
        </w:rPr>
        <w:t xml:space="preserve">十二、质量保证及售后服务</w:t>
      </w:r>
      <w:r/>
    </w:p>
    <w:p>
      <w:pPr>
        <w:pStyle w:val="878"/>
        <w:ind w:firstLine="420"/>
        <w:spacing w:before="120" w:after="120" w:line="360" w:lineRule="auto"/>
        <w:rPr>
          <w:rFonts w:hAnsi="宋体"/>
          <w:sz w:val="21"/>
        </w:rPr>
      </w:pPr>
      <w:r>
        <w:rPr>
          <w:rFonts w:hint="eastAsia" w:hAnsi="宋体"/>
          <w:sz w:val="21"/>
        </w:rPr>
        <w:t xml:space="preserve">12.1 乙方应按招标文件规定的货物及服务性能、技术要求、质量标准向甲方提供。</w:t>
      </w:r>
      <w:r/>
    </w:p>
    <w:p>
      <w:pPr>
        <w:pStyle w:val="878"/>
        <w:ind w:firstLine="420"/>
        <w:spacing w:before="120" w:after="120" w:line="360" w:lineRule="auto"/>
        <w:rPr>
          <w:rFonts w:hAnsi="宋体"/>
          <w:sz w:val="21"/>
        </w:rPr>
      </w:pPr>
      <w:r>
        <w:rPr>
          <w:rFonts w:hint="eastAsia" w:hAnsi="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878"/>
        <w:ind w:firstLine="420"/>
        <w:spacing w:before="120" w:after="120" w:line="360" w:lineRule="auto"/>
        <w:rPr>
          <w:rFonts w:hAnsi="宋体"/>
          <w:sz w:val="21"/>
        </w:rPr>
      </w:pPr>
      <w:r>
        <w:rPr>
          <w:rFonts w:hint="eastAsia" w:hAnsi="宋体"/>
          <w:sz w:val="21"/>
        </w:rPr>
        <w:t xml:space="preserve">⑴更换：由乙方承担所发生的全部费用。</w:t>
      </w:r>
      <w:r/>
    </w:p>
    <w:p>
      <w:pPr>
        <w:pStyle w:val="878"/>
        <w:ind w:firstLine="420"/>
        <w:spacing w:before="120" w:after="120" w:line="360" w:lineRule="auto"/>
        <w:rPr>
          <w:rFonts w:hAnsi="宋体"/>
          <w:sz w:val="21"/>
        </w:rPr>
      </w:pPr>
      <w:r>
        <w:rPr>
          <w:rFonts w:hint="eastAsia" w:hAnsi="宋体"/>
          <w:sz w:val="21"/>
        </w:rPr>
        <w:t xml:space="preserve">⑵贬值处理：由甲乙双方合议定价。</w:t>
      </w:r>
      <w:r/>
    </w:p>
    <w:p>
      <w:pPr>
        <w:pStyle w:val="878"/>
        <w:ind w:firstLine="420"/>
        <w:spacing w:before="120" w:after="120" w:line="360" w:lineRule="auto"/>
        <w:rPr>
          <w:rFonts w:hAnsi="宋体"/>
          <w:sz w:val="21"/>
        </w:rPr>
      </w:pPr>
      <w:r>
        <w:rPr>
          <w:rFonts w:hint="eastAsia" w:hAnsi="宋体"/>
          <w:sz w:val="21"/>
        </w:rPr>
        <w:t xml:space="preserve">⑶退还处理：乙方应退还甲方支付的合同款，同时应承担该货物及服务的直接费用（运输、保险、检验、款项利息及银行手续费等）。</w:t>
      </w:r>
      <w:r/>
    </w:p>
    <w:p>
      <w:pPr>
        <w:pStyle w:val="878"/>
        <w:ind w:firstLine="420"/>
        <w:spacing w:before="120" w:after="120" w:line="360" w:lineRule="auto"/>
        <w:rPr>
          <w:rFonts w:hAnsi="宋体"/>
          <w:sz w:val="21"/>
        </w:rPr>
      </w:pPr>
      <w:r>
        <w:rPr>
          <w:rFonts w:hint="eastAsia" w:hAnsi="宋体"/>
          <w:sz w:val="21"/>
        </w:rPr>
        <w:t xml:space="preserve">12.3 如在使用过程中发生质量问题，乙方在接到甲方通知后在______小时内</w:t>
      </w:r>
      <w:r>
        <w:rPr>
          <w:rFonts w:hint="eastAsia" w:hAnsi="宋体"/>
          <w:sz w:val="21"/>
          <w:lang w:val="en-US" w:eastAsia="zh-CN"/>
        </w:rPr>
        <w:t xml:space="preserve">响应</w:t>
      </w:r>
      <w:r>
        <w:rPr>
          <w:rFonts w:hint="eastAsia" w:hAnsi="宋体"/>
          <w:sz w:val="21"/>
          <w:lang w:eastAsia="zh-CN"/>
        </w:rPr>
        <w:t xml:space="preserve">，</w:t>
      </w:r>
      <w:r>
        <w:rPr>
          <w:rFonts w:hint="eastAsia" w:hAnsi="宋体"/>
          <w:sz w:val="21"/>
        </w:rPr>
        <w:t xml:space="preserve">在______小时内到达甲方现场。</w:t>
      </w:r>
      <w:r/>
    </w:p>
    <w:p>
      <w:pPr>
        <w:pStyle w:val="878"/>
        <w:ind w:firstLine="420"/>
        <w:spacing w:before="120" w:after="120" w:line="360" w:lineRule="auto"/>
        <w:rPr>
          <w:rFonts w:hAnsi="宋体"/>
          <w:sz w:val="21"/>
        </w:rPr>
      </w:pPr>
      <w:r>
        <w:rPr>
          <w:rFonts w:hint="eastAsia" w:hAnsi="宋体"/>
          <w:sz w:val="21"/>
        </w:rPr>
        <w:t xml:space="preserve">12.4 在质保期内，乙方应对货物及服务出现的质量及安全问题负责处理解决并承担一切费用。</w:t>
      </w:r>
      <w:r/>
    </w:p>
    <w:p>
      <w:pPr>
        <w:pStyle w:val="878"/>
        <w:ind w:firstLine="420"/>
        <w:spacing w:before="120" w:after="120" w:line="360" w:lineRule="auto"/>
        <w:rPr>
          <w:rFonts w:hAnsi="宋体"/>
          <w:sz w:val="21"/>
        </w:rPr>
      </w:pPr>
      <w:r>
        <w:rPr>
          <w:rFonts w:hint="eastAsia" w:hAnsi="宋体"/>
          <w:sz w:val="21"/>
        </w:rPr>
        <w:t xml:space="preserve">12.5上述的货物及服务免费保修期为 </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878"/>
        <w:ind w:firstLine="422"/>
        <w:spacing w:before="120" w:after="120" w:line="360" w:lineRule="auto"/>
        <w:rPr>
          <w:rFonts w:hAnsi="宋体"/>
          <w:b/>
          <w:bCs/>
          <w:sz w:val="21"/>
        </w:rPr>
      </w:pPr>
      <w:r>
        <w:rPr>
          <w:rFonts w:hint="eastAsia" w:hAnsi="宋体"/>
          <w:b/>
          <w:bCs/>
          <w:sz w:val="21"/>
        </w:rPr>
        <w:t xml:space="preserve">十三、调试和验收</w:t>
      </w:r>
      <w:r/>
    </w:p>
    <w:p>
      <w:pPr>
        <w:pStyle w:val="878"/>
        <w:ind w:firstLine="420"/>
        <w:spacing w:before="120" w:after="120" w:line="360" w:lineRule="auto"/>
        <w:rPr>
          <w:rFonts w:hAnsi="宋体"/>
          <w:sz w:val="21"/>
        </w:rPr>
      </w:pPr>
      <w:r>
        <w:rPr>
          <w:rFonts w:hint="eastAsia" w:hAnsi="宋体"/>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78"/>
        <w:ind w:firstLine="420"/>
        <w:spacing w:before="120" w:after="120" w:line="360" w:lineRule="auto"/>
        <w:rPr>
          <w:rFonts w:hAnsi="宋体"/>
          <w:sz w:val="21"/>
        </w:rPr>
      </w:pPr>
      <w:r>
        <w:rPr>
          <w:rFonts w:hint="eastAsia" w:hAnsi="宋体"/>
          <w:sz w:val="21"/>
        </w:rPr>
        <w:t xml:space="preserve">13.2 乙方交付前应对货物及服务作出全面检查和对验收文件进行整理，并列出清单，作为甲方交付验收和使用的技术条件依据，检验的结果应随货物及服务交甲方。</w:t>
      </w:r>
      <w:r/>
    </w:p>
    <w:p>
      <w:pPr>
        <w:pStyle w:val="878"/>
        <w:ind w:firstLine="420"/>
        <w:spacing w:before="120" w:after="120" w:line="360" w:lineRule="auto"/>
        <w:rPr>
          <w:rFonts w:hAnsi="宋体"/>
          <w:sz w:val="21"/>
        </w:rPr>
      </w:pPr>
      <w:r>
        <w:rPr>
          <w:rFonts w:hint="eastAsia" w:hAnsi="宋体"/>
          <w:sz w:val="21"/>
        </w:rPr>
        <w:t xml:space="preserve">13.3 甲方对乙方提供的货物及服务在使用前进行调试时，乙方需负责安装并培训甲方的使用操作人员，并协助甲方一起调试，直到符合技术要求，甲方才做最终验收。</w:t>
      </w:r>
      <w:r/>
    </w:p>
    <w:p>
      <w:pPr>
        <w:pStyle w:val="878"/>
        <w:ind w:firstLine="420"/>
        <w:spacing w:before="120" w:after="120" w:line="360" w:lineRule="auto"/>
        <w:rPr>
          <w:rFonts w:hAnsi="宋体"/>
          <w:sz w:val="21"/>
        </w:rPr>
      </w:pPr>
      <w:r>
        <w:rPr>
          <w:rFonts w:hint="eastAsia" w:hAnsi="宋体"/>
          <w:sz w:val="21"/>
        </w:rPr>
        <w:t xml:space="preserve">13.4 对技术复杂的货物及服务，甲方可请国家认可的专业检测机构参与初步验收及最终验收，并由其出具质量检测报告。</w:t>
      </w:r>
      <w:r/>
    </w:p>
    <w:p>
      <w:pPr>
        <w:pStyle w:val="878"/>
        <w:ind w:firstLine="420"/>
        <w:spacing w:before="120" w:after="120" w:line="360" w:lineRule="auto"/>
        <w:rPr>
          <w:rFonts w:hAnsi="宋体"/>
          <w:sz w:val="21"/>
        </w:rPr>
      </w:pPr>
      <w:r>
        <w:rPr>
          <w:rFonts w:hint="eastAsia" w:hAnsi="宋体"/>
          <w:sz w:val="21"/>
        </w:rPr>
        <w:t xml:space="preserve">13.5 验收时乙方必须在现场，验收完毕后作出验收结果报告；验收费用由甲乙双方协商解决。</w:t>
      </w:r>
      <w:r/>
    </w:p>
    <w:p>
      <w:pPr>
        <w:pStyle w:val="878"/>
        <w:ind w:firstLine="422"/>
        <w:spacing w:before="120" w:after="120" w:line="360" w:lineRule="auto"/>
        <w:rPr>
          <w:rFonts w:hAnsi="宋体"/>
          <w:b/>
          <w:bCs/>
          <w:sz w:val="21"/>
        </w:rPr>
      </w:pPr>
      <w:r>
        <w:rPr>
          <w:rFonts w:hint="eastAsia" w:hAnsi="宋体"/>
          <w:b/>
          <w:bCs/>
          <w:sz w:val="21"/>
        </w:rPr>
        <w:t xml:space="preserve">十四、货物及服务包装、发运及运输</w:t>
      </w:r>
      <w:r/>
    </w:p>
    <w:p>
      <w:pPr>
        <w:pStyle w:val="878"/>
        <w:ind w:firstLine="420"/>
        <w:spacing w:before="120" w:after="120" w:line="360" w:lineRule="auto"/>
        <w:rPr>
          <w:rFonts w:hAnsi="宋体"/>
          <w:sz w:val="21"/>
        </w:rPr>
      </w:pPr>
      <w:r>
        <w:rPr>
          <w:rFonts w:hint="eastAsia" w:hAnsi="宋体"/>
          <w:sz w:val="21"/>
        </w:rPr>
        <w:t xml:space="preserve">14.1 乙方应在货物及服务发运前对其进行满足运输距离、防潮、防震、防锈和防破损装卸等要求包装，以保证货物及服务安全运达甲方指定地点。</w:t>
      </w:r>
      <w:r/>
    </w:p>
    <w:p>
      <w:pPr>
        <w:pStyle w:val="878"/>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p>
    <w:p>
      <w:pPr>
        <w:pStyle w:val="878"/>
        <w:ind w:firstLine="420"/>
        <w:spacing w:before="120" w:after="120" w:line="360" w:lineRule="auto"/>
        <w:rPr>
          <w:rFonts w:hAnsi="宋体"/>
          <w:sz w:val="21"/>
        </w:rPr>
      </w:pPr>
      <w:r>
        <w:rPr>
          <w:rFonts w:hint="eastAsia" w:hAnsi="宋体"/>
          <w:sz w:val="21"/>
        </w:rPr>
        <w:t xml:space="preserve">14.3 乙方在货物及服务发运手续办理完毕后24小时内或交付到甲方48小时前通知甲方，以准备接受交付。</w:t>
      </w:r>
      <w:r/>
    </w:p>
    <w:p>
      <w:pPr>
        <w:pStyle w:val="878"/>
        <w:ind w:firstLine="420"/>
        <w:spacing w:before="120" w:after="120" w:line="360" w:lineRule="auto"/>
        <w:rPr>
          <w:rFonts w:hAnsi="宋体"/>
          <w:sz w:val="21"/>
        </w:rPr>
      </w:pPr>
      <w:r>
        <w:rPr>
          <w:rFonts w:hint="eastAsia" w:hAnsi="宋体"/>
          <w:sz w:val="21"/>
        </w:rPr>
        <w:t xml:space="preserve">14.4 货物在交付甲方前发生的风险均由乙方负责。</w:t>
      </w:r>
      <w:r/>
    </w:p>
    <w:p>
      <w:pPr>
        <w:pStyle w:val="878"/>
        <w:ind w:firstLine="420"/>
        <w:spacing w:before="120" w:after="120" w:line="360" w:lineRule="auto"/>
        <w:rPr>
          <w:rFonts w:hAnsi="宋体"/>
          <w:sz w:val="21"/>
        </w:rPr>
      </w:pPr>
      <w:r>
        <w:rPr>
          <w:rFonts w:hint="eastAsia" w:hAnsi="宋体"/>
          <w:sz w:val="21"/>
        </w:rPr>
        <w:t xml:space="preserve">14.5 货物及服务在规定的交付期限内由乙方送达甲方指定的地点视为交付，乙方同时需通知甲方货物及服务已送达。</w:t>
      </w:r>
      <w:r/>
    </w:p>
    <w:p>
      <w:pPr>
        <w:pStyle w:val="878"/>
        <w:ind w:firstLine="422"/>
        <w:spacing w:before="120" w:after="120" w:line="360" w:lineRule="auto"/>
        <w:rPr>
          <w:rFonts w:hAnsi="宋体"/>
          <w:b/>
          <w:bCs/>
          <w:sz w:val="21"/>
        </w:rPr>
      </w:pPr>
      <w:r>
        <w:rPr>
          <w:rFonts w:hint="eastAsia" w:hAnsi="宋体"/>
          <w:b/>
          <w:bCs/>
          <w:sz w:val="21"/>
        </w:rPr>
        <w:t xml:space="preserve">十五、违约责任</w:t>
      </w:r>
      <w:r/>
    </w:p>
    <w:p>
      <w:pPr>
        <w:pStyle w:val="878"/>
        <w:ind w:firstLine="420"/>
        <w:spacing w:before="120" w:after="120" w:line="360" w:lineRule="auto"/>
        <w:rPr>
          <w:rFonts w:hAnsi="宋体"/>
          <w:sz w:val="21"/>
        </w:rPr>
      </w:pPr>
      <w:r>
        <w:rPr>
          <w:rFonts w:hint="eastAsia" w:hAnsi="宋体"/>
          <w:sz w:val="21"/>
        </w:rPr>
        <w:t xml:space="preserve">15.1 甲方无正当理由拒收货物及服务的，甲方向乙方偿付拒收款项总值的百分之五违约金。</w:t>
      </w:r>
      <w:r/>
    </w:p>
    <w:p>
      <w:pPr>
        <w:pStyle w:val="878"/>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878"/>
        <w:ind w:firstLine="420"/>
        <w:spacing w:before="120" w:after="120" w:line="360" w:lineRule="auto"/>
        <w:rPr>
          <w:rFonts w:hAnsi="宋体"/>
          <w:sz w:val="21"/>
        </w:rPr>
      </w:pPr>
      <w:r>
        <w:rPr>
          <w:rFonts w:hint="eastAsia" w:hAnsi="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78"/>
        <w:ind w:firstLine="420"/>
        <w:spacing w:before="120" w:after="120" w:line="360" w:lineRule="auto"/>
        <w:rPr>
          <w:rFonts w:hAnsi="宋体"/>
          <w:sz w:val="21"/>
        </w:rPr>
      </w:pPr>
      <w:r>
        <w:rPr>
          <w:rFonts w:hint="eastAsia" w:hAnsi="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78"/>
        <w:ind w:firstLine="422"/>
        <w:spacing w:before="120" w:after="120" w:line="360" w:lineRule="auto"/>
        <w:rPr>
          <w:rFonts w:hAnsi="宋体"/>
          <w:b/>
          <w:bCs/>
          <w:sz w:val="21"/>
        </w:rPr>
      </w:pPr>
      <w:r>
        <w:rPr>
          <w:rFonts w:hint="eastAsia" w:hAnsi="宋体"/>
          <w:b/>
          <w:bCs/>
          <w:sz w:val="21"/>
        </w:rPr>
        <w:t xml:space="preserve">十六、不可抗力事件处理</w:t>
      </w:r>
      <w:r/>
    </w:p>
    <w:p>
      <w:pPr>
        <w:pStyle w:val="878"/>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878"/>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878"/>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878"/>
        <w:ind w:firstLine="422"/>
        <w:spacing w:before="120" w:after="120" w:line="360" w:lineRule="auto"/>
        <w:rPr>
          <w:rFonts w:hAnsi="宋体"/>
          <w:b/>
          <w:bCs/>
          <w:sz w:val="21"/>
        </w:rPr>
      </w:pPr>
      <w:r>
        <w:rPr>
          <w:rFonts w:hint="eastAsia" w:hAnsi="宋体"/>
          <w:b/>
          <w:bCs/>
          <w:sz w:val="21"/>
        </w:rPr>
        <w:t xml:space="preserve">十七、诉讼</w:t>
      </w:r>
      <w:r/>
    </w:p>
    <w:p>
      <w:pPr>
        <w:pStyle w:val="878"/>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878"/>
        <w:ind w:firstLine="422"/>
        <w:spacing w:before="120" w:after="120" w:line="360" w:lineRule="auto"/>
        <w:rPr>
          <w:rFonts w:hAnsi="宋体"/>
          <w:b/>
          <w:bCs/>
          <w:sz w:val="21"/>
        </w:rPr>
      </w:pPr>
      <w:r>
        <w:rPr>
          <w:rFonts w:hint="eastAsia" w:hAnsi="宋体"/>
          <w:b/>
          <w:bCs/>
          <w:sz w:val="21"/>
        </w:rPr>
        <w:t xml:space="preserve">十九、合同生效及其它</w:t>
      </w:r>
      <w:r/>
    </w:p>
    <w:p>
      <w:pPr>
        <w:pStyle w:val="878"/>
        <w:ind w:firstLine="420"/>
        <w:spacing w:before="120" w:after="120" w:line="360" w:lineRule="auto"/>
        <w:rPr>
          <w:rFonts w:hAnsi="宋体"/>
          <w:sz w:val="21"/>
        </w:rPr>
      </w:pPr>
      <w:r>
        <w:rPr>
          <w:rFonts w:hint="eastAsia" w:hAnsi="宋体"/>
          <w:sz w:val="21"/>
        </w:rPr>
        <w:t xml:space="preserve">19.1 合同经双方法定代表人签章并加盖单位公章，并经</w:t>
      </w:r>
      <w:r>
        <w:rPr>
          <w:rFonts w:hint="eastAsia" w:hAnsi="宋体"/>
          <w:sz w:val="21"/>
          <w:highlight w:val="none"/>
          <w:lang w:eastAsia="zh-CN"/>
        </w:rPr>
        <w:t xml:space="preserve">扬州大学工程设计研究院有限公司</w:t>
      </w:r>
      <w:r>
        <w:rPr>
          <w:rFonts w:hint="eastAsia" w:hAnsi="宋体"/>
          <w:sz w:val="21"/>
          <w:highlight w:val="none"/>
        </w:rPr>
        <w:t xml:space="preserve">见</w:t>
      </w:r>
      <w:r>
        <w:rPr>
          <w:rFonts w:hint="eastAsia" w:hAnsi="宋体"/>
          <w:sz w:val="21"/>
        </w:rPr>
        <w:t xml:space="preserve">证盖章后生效。</w:t>
      </w:r>
      <w:r/>
    </w:p>
    <w:p>
      <w:pPr>
        <w:pStyle w:val="878"/>
        <w:ind w:firstLine="420"/>
        <w:spacing w:before="120" w:after="120" w:line="360" w:lineRule="auto"/>
        <w:rPr>
          <w:rFonts w:hAnsi="宋体"/>
          <w:sz w:val="21"/>
        </w:rPr>
      </w:pPr>
      <w:r>
        <w:rPr>
          <w:rFonts w:hint="eastAsia" w:hAnsi="宋体"/>
          <w:sz w:val="21"/>
        </w:rPr>
        <w:t xml:space="preserve">19.2本合同未尽事宜，遵照《民法典》有关条文执行。</w:t>
      </w:r>
      <w:r/>
    </w:p>
    <w:p>
      <w:pPr>
        <w:pStyle w:val="878"/>
        <w:ind w:firstLine="420"/>
        <w:spacing w:before="120" w:after="120" w:line="360" w:lineRule="auto"/>
        <w:rPr>
          <w:rFonts w:hAnsi="宋体"/>
          <w:sz w:val="21"/>
        </w:rPr>
      </w:pPr>
      <w:r>
        <w:rPr>
          <w:rFonts w:hint="eastAsia" w:hAnsi="宋体"/>
          <w:sz w:val="21"/>
        </w:rPr>
        <w:t xml:space="preserve">19.3 本合同正本一式</w:t>
      </w:r>
      <w:r>
        <w:rPr>
          <w:rFonts w:hint="eastAsia" w:hAnsi="宋体"/>
          <w:sz w:val="21"/>
          <w:lang w:val="en-US" w:eastAsia="zh-CN"/>
        </w:rPr>
        <w:t xml:space="preserve">五</w:t>
      </w:r>
      <w:r>
        <w:rPr>
          <w:rFonts w:hint="eastAsia" w:hAnsi="宋体"/>
          <w:sz w:val="21"/>
        </w:rPr>
        <w:t xml:space="preserve">份，具有同等法律效力，甲方、乙方、见证方及财政监管部门（扬州市财政局政府采购管理处）各执一份。  </w:t>
      </w:r>
      <w:r/>
    </w:p>
    <w:tbl>
      <w:tblPr>
        <w:tblStyle w:val="869"/>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8"/>
              <w:spacing w:before="120" w:after="120" w:line="360" w:lineRule="auto"/>
              <w:rPr>
                <w:rFonts w:hint="eastAsia" w:hAnsi="宋体" w:eastAsia="宋体"/>
                <w:sz w:val="21"/>
                <w:lang w:eastAsia="zh-CN"/>
              </w:rPr>
            </w:pPr>
            <w:r>
              <w:rPr>
                <w:rFonts w:hint="eastAsia" w:hAnsi="宋体"/>
                <w:sz w:val="21"/>
              </w:rPr>
              <w:t xml:space="preserve">甲方：</w:t>
            </w:r>
            <w:r>
              <w:rPr>
                <w:rFonts w:hint="eastAsia" w:hAnsi="宋体"/>
                <w:sz w:val="21"/>
                <w:lang w:eastAsia="zh-CN"/>
              </w:rPr>
              <w:t xml:space="preserve">江苏省邗江中学</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8"/>
              <w:spacing w:before="120" w:after="120" w:line="360" w:lineRule="auto"/>
              <w:rPr>
                <w:rFonts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8"/>
              <w:spacing w:before="120" w:after="120" w:line="360" w:lineRule="auto"/>
              <w:rPr>
                <w:rFonts w:hint="eastAsia" w:hAnsi="宋体" w:eastAsia="宋体"/>
                <w:sz w:val="21"/>
                <w:lang w:eastAsia="zh-CN"/>
              </w:rPr>
            </w:pPr>
            <w:r>
              <w:rPr>
                <w:rFonts w:hint="eastAsia" w:hAnsi="宋体"/>
                <w:sz w:val="21"/>
              </w:rPr>
              <w:t xml:space="preserve">地址：</w:t>
            </w:r>
            <w:r>
              <w:rPr>
                <w:rFonts w:hint="eastAsia" w:hAnsi="宋体"/>
                <w:sz w:val="21"/>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8"/>
              <w:spacing w:before="120" w:after="120" w:line="360" w:lineRule="auto"/>
              <w:rPr>
                <w:rFonts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8"/>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8"/>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8"/>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8"/>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78"/>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78"/>
              <w:spacing w:before="120" w:after="120" w:line="360" w:lineRule="auto"/>
              <w:rPr>
                <w:rFonts w:hAnsi="宋体"/>
                <w:sz w:val="21"/>
              </w:rPr>
            </w:pPr>
            <w:r>
              <w:rPr>
                <w:rFonts w:hint="eastAsia" w:hAnsi="宋体"/>
                <w:sz w:val="21"/>
              </w:rPr>
              <w:t xml:space="preserve">日期：      年    月    日</w:t>
            </w:r>
            <w:r/>
          </w:p>
        </w:tc>
      </w:tr>
    </w:tbl>
    <w:p>
      <w:pPr>
        <w:pStyle w:val="878"/>
        <w:spacing w:before="120" w:after="120" w:line="360" w:lineRule="auto"/>
        <w:rPr>
          <w:rFonts w:hAnsi="宋体"/>
          <w:sz w:val="21"/>
        </w:rPr>
      </w:pPr>
      <w:r>
        <w:rPr>
          <w:rFonts w:hint="eastAsia" w:hAnsi="宋体"/>
          <w:sz w:val="21"/>
        </w:rPr>
        <w:t xml:space="preserve"> </w:t>
      </w:r>
      <w:r/>
    </w:p>
    <w:p>
      <w:pPr>
        <w:pStyle w:val="878"/>
        <w:spacing w:before="120" w:after="120" w:line="360" w:lineRule="auto"/>
        <w:rPr>
          <w:rFonts w:hint="eastAsia" w:hAnsi="宋体" w:eastAsia="宋体"/>
          <w:sz w:val="21"/>
          <w:highlight w:val="none"/>
          <w:lang w:eastAsia="zh-CN"/>
        </w:rPr>
      </w:pPr>
      <w:r>
        <w:rPr>
          <w:rFonts w:hint="eastAsia" w:hAnsi="宋体"/>
          <w:sz w:val="21"/>
        </w:rPr>
        <w:t xml:space="preserve">  见证方：</w:t>
      </w:r>
      <w:r>
        <w:rPr>
          <w:rFonts w:hint="eastAsia" w:hAnsi="宋体"/>
          <w:sz w:val="21"/>
          <w:highlight w:val="none"/>
          <w:lang w:eastAsia="zh-CN"/>
        </w:rPr>
        <w:t xml:space="preserve">扬州大学工程设计研究院有限公司</w:t>
      </w:r>
      <w:r/>
    </w:p>
    <w:p>
      <w:pPr>
        <w:pStyle w:val="878"/>
        <w:ind w:firstLine="210"/>
        <w:spacing w:before="120" w:after="120" w:line="360" w:lineRule="auto"/>
        <w:rPr>
          <w:rFonts w:hint="default" w:hAnsi="宋体" w:eastAsia="宋体"/>
          <w:sz w:val="21"/>
          <w:lang w:val="en-US" w:eastAsia="zh-CN"/>
        </w:rPr>
      </w:pPr>
      <w:r>
        <w:rPr>
          <w:rFonts w:hint="eastAsia" w:hAnsi="宋体"/>
          <w:sz w:val="21"/>
        </w:rPr>
        <w:t xml:space="preserve">项目经办人：</w:t>
      </w:r>
      <w:r>
        <w:rPr>
          <w:rFonts w:hint="eastAsia" w:hAnsi="宋体"/>
          <w:sz w:val="21"/>
          <w:lang w:val="en-US" w:eastAsia="zh-CN"/>
        </w:rPr>
        <w:t xml:space="preserve">高刘英</w:t>
      </w:r>
      <w:r/>
    </w:p>
    <w:p>
      <w:pPr>
        <w:pStyle w:val="878"/>
        <w:ind w:firstLine="210"/>
        <w:spacing w:before="120" w:after="120" w:line="360" w:lineRule="auto"/>
        <w:rPr>
          <w:rFonts w:hAnsi="宋体"/>
          <w:sz w:val="21"/>
        </w:rPr>
      </w:pPr>
      <w:r>
        <w:rPr>
          <w:rFonts w:hint="eastAsia" w:hAnsi="宋体"/>
          <w:sz w:val="21"/>
        </w:rPr>
        <w:t xml:space="preserve">日期：     年   月   日</w:t>
      </w:r>
      <w:r/>
    </w:p>
    <w:p>
      <w:r>
        <w:br w:type="page" w:clear="all"/>
      </w:r>
      <w:bookmarkEnd w:id="55"/>
      <w:r/>
      <w:r/>
    </w:p>
    <w:p>
      <w:pPr>
        <w:pStyle w:val="864"/>
        <w:numPr>
          <w:ilvl w:val="0"/>
          <w:numId w:val="2"/>
        </w:numPr>
        <w:jc w:val="center"/>
        <w:rPr>
          <w:rFonts w:ascii="宋体" w:hAnsi="宋体"/>
        </w:rPr>
      </w:pPr>
      <w:r/>
      <w:bookmarkStart w:id="56" w:name="_Toc11197"/>
      <w:r>
        <w:rPr>
          <w:rFonts w:hint="eastAsia" w:ascii="宋体" w:hAnsi="宋体"/>
        </w:rPr>
        <w:t xml:space="preserve">项目需求</w:t>
      </w:r>
      <w:bookmarkEnd w:id="56"/>
      <w:r/>
      <w:r/>
    </w:p>
    <w:p>
      <w:pPr>
        <w:pStyle w:val="881"/>
        <w:keepLines w:val="0"/>
        <w:keepNext w:val="0"/>
        <w:pageBreakBefore w:val="0"/>
        <w:spacing w:line="360" w:lineRule="auto"/>
        <w:widowControl w:val="off"/>
        <w:rPr>
          <w:rFonts w:hint="eastAsia" w:ascii="宋体" w:hAnsi="宋体"/>
          <w:b/>
          <w:bCs/>
          <w:sz w:val="21"/>
          <w:szCs w:val="21"/>
        </w:rPr>
      </w:pPr>
      <w:r/>
      <w:bookmarkStart w:id="57" w:name="_Toc55204181"/>
      <w:r/>
      <w:bookmarkStart w:id="58" w:name="_Toc26417"/>
      <w:r>
        <w:rPr>
          <w:rFonts w:hint="eastAsia" w:ascii="宋体" w:hAnsi="宋体" w:cs="宋体"/>
          <w:b/>
          <w:bCs/>
          <w:sz w:val="21"/>
          <w:szCs w:val="21"/>
        </w:rPr>
        <w:t xml:space="preserve">所属行业：租赁和商务服务业</w:t>
      </w:r>
      <w:r/>
    </w:p>
    <w:p>
      <w:pPr>
        <w:numPr>
          <w:ilvl w:val="0"/>
          <w:numId w:val="3"/>
        </w:numPr>
        <w:ind w:left="208" w:firstLine="422"/>
        <w:spacing w:line="360" w:lineRule="auto"/>
        <w:rPr>
          <w:rFonts w:hint="eastAsia" w:ascii="宋体" w:hAnsi="宋体"/>
          <w:b/>
          <w:bCs/>
          <w:sz w:val="21"/>
          <w:szCs w:val="21"/>
        </w:rPr>
      </w:pPr>
      <w:r>
        <w:rPr>
          <w:rFonts w:hint="eastAsia" w:ascii="宋体" w:hAnsi="宋体"/>
          <w:b/>
          <w:bCs/>
          <w:sz w:val="21"/>
          <w:szCs w:val="21"/>
        </w:rPr>
        <w:t xml:space="preserve">项目概况</w:t>
      </w:r>
      <w:r/>
    </w:p>
    <w:p>
      <w:pPr>
        <w:ind w:firstLine="420"/>
        <w:keepLines w:val="0"/>
        <w:keepNext w:val="0"/>
        <w:pageBreakBefore w:val="0"/>
        <w:spacing w:after="0" w:line="36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1、</w:t>
      </w:r>
      <w:r>
        <w:rPr>
          <w:rFonts w:hint="eastAsia" w:ascii="Times New Roman" w:hAnsi="Times New Roman" w:eastAsia="宋体" w:cs="Times New Roman"/>
          <w:sz w:val="21"/>
          <w:szCs w:val="21"/>
        </w:rPr>
        <w:t xml:space="preserve">项目名称：江苏省邗江中学消防维保、消控室及配套服务项目</w:t>
      </w:r>
      <w:r/>
    </w:p>
    <w:p>
      <w:pPr>
        <w:ind w:firstLine="420"/>
        <w:keepLines w:val="0"/>
        <w:keepNext w:val="0"/>
        <w:pageBreakBefore w:val="0"/>
        <w:spacing w:after="0" w:line="36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2、</w:t>
      </w:r>
      <w:r>
        <w:rPr>
          <w:rFonts w:hint="eastAsia" w:ascii="Times New Roman" w:hAnsi="Times New Roman" w:eastAsia="宋体" w:cs="Times New Roman"/>
          <w:sz w:val="21"/>
          <w:szCs w:val="21"/>
        </w:rPr>
        <w:t xml:space="preserve">服务内容：消防设施全面维保 + 消控室 24 小时值班 + 校园消防巡查 + 配套消防服务</w:t>
      </w:r>
      <w:r/>
    </w:p>
    <w:p>
      <w:pPr>
        <w:ind w:firstLine="420"/>
        <w:keepLines w:val="0"/>
        <w:keepNext w:val="0"/>
        <w:pageBreakBefore w:val="0"/>
        <w:spacing w:after="0" w:line="36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3、</w:t>
      </w:r>
      <w:r>
        <w:rPr>
          <w:rFonts w:hint="eastAsia" w:ascii="Times New Roman" w:hAnsi="Times New Roman" w:eastAsia="宋体" w:cs="Times New Roman"/>
          <w:sz w:val="21"/>
          <w:szCs w:val="21"/>
        </w:rPr>
        <w:t xml:space="preserve">服务期限：</w:t>
      </w:r>
      <w:r>
        <w:rPr>
          <w:rFonts w:hint="eastAsia" w:ascii="宋体" w:hAnsi="宋体" w:cs="宋体"/>
          <w:lang w:val="en-US" w:eastAsia="zh-CN"/>
        </w:rPr>
        <w:t xml:space="preserve">服务期限为三年，具体服务起始时间以采购人正式书面通知为准。本合同条款若与现行相关政策法规相抵触、相悖离，当年度不予续签，并由采购人重新组织招标采购工作；服务期间若履约考核评定不合格，采购人有权单方终止本合同。</w:t>
      </w:r>
      <w:r/>
    </w:p>
    <w:p>
      <w:pPr>
        <w:ind w:firstLine="420"/>
        <w:keepLines w:val="0"/>
        <w:keepNext w:val="0"/>
        <w:pageBreakBefore w:val="0"/>
        <w:spacing w:after="0" w:line="36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4、</w:t>
      </w:r>
      <w:r>
        <w:rPr>
          <w:rFonts w:hint="eastAsia" w:ascii="Times New Roman" w:hAnsi="Times New Roman" w:eastAsia="宋体" w:cs="Times New Roman"/>
          <w:sz w:val="21"/>
          <w:szCs w:val="21"/>
        </w:rPr>
        <w:t xml:space="preserve">预算金额：150 万元（三年总预算</w:t>
      </w:r>
      <w:r>
        <w:rPr>
          <w:rFonts w:hint="eastAsia" w:ascii="Times New Roman" w:hAnsi="Times New Roman" w:eastAsia="宋体" w:cs="Times New Roman"/>
          <w:sz w:val="21"/>
          <w:szCs w:val="21"/>
          <w:lang w:eastAsia="zh-CN"/>
        </w:rPr>
        <w:t xml:space="preserve">，</w:t>
      </w:r>
      <w:r>
        <w:rPr>
          <w:rFonts w:hint="eastAsia" w:ascii="宋体" w:hAnsi="宋体" w:cs="宋体"/>
          <w:lang w:val="en-US" w:eastAsia="zh-CN"/>
        </w:rPr>
        <w:t xml:space="preserve">50万元/年</w:t>
      </w:r>
      <w:r>
        <w:rPr>
          <w:rFonts w:hint="eastAsia" w:ascii="Times New Roman" w:hAnsi="Times New Roman" w:eastAsia="宋体" w:cs="Times New Roman"/>
          <w:sz w:val="21"/>
          <w:szCs w:val="21"/>
        </w:rPr>
        <w:t xml:space="preserve">）</w:t>
      </w:r>
      <w:r/>
    </w:p>
    <w:p>
      <w:pPr>
        <w:ind w:firstLine="420"/>
        <w:keepLines w:val="0"/>
        <w:keepNext w:val="0"/>
        <w:pageBreakBefore w:val="0"/>
        <w:spacing w:after="0" w:line="36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5、</w:t>
      </w:r>
      <w:r>
        <w:rPr>
          <w:rFonts w:hint="eastAsia" w:ascii="Times New Roman" w:hAnsi="Times New Roman" w:eastAsia="宋体" w:cs="Times New Roman"/>
          <w:sz w:val="21"/>
          <w:szCs w:val="21"/>
        </w:rPr>
        <w:t xml:space="preserve">最高限价：150 万元（三年总预算</w:t>
      </w:r>
      <w:r>
        <w:rPr>
          <w:rFonts w:hint="eastAsia" w:ascii="Times New Roman" w:hAnsi="Times New Roman" w:eastAsia="宋体" w:cs="Times New Roman"/>
          <w:sz w:val="21"/>
          <w:szCs w:val="21"/>
          <w:lang w:eastAsia="zh-CN"/>
        </w:rPr>
        <w:t xml:space="preserve">，</w:t>
      </w:r>
      <w:r>
        <w:rPr>
          <w:rFonts w:hint="eastAsia" w:ascii="宋体" w:hAnsi="宋体" w:cs="宋体"/>
          <w:lang w:val="en-US" w:eastAsia="zh-CN"/>
        </w:rPr>
        <w:t xml:space="preserve">50万元/年</w:t>
      </w:r>
      <w:r>
        <w:rPr>
          <w:rFonts w:hint="eastAsia" w:ascii="Times New Roman" w:hAnsi="Times New Roman" w:eastAsia="宋体" w:cs="Times New Roman"/>
          <w:sz w:val="21"/>
          <w:szCs w:val="21"/>
        </w:rPr>
        <w:t xml:space="preserve">）投标报价超过最高限价按无效响应处理</w:t>
      </w:r>
      <w:r/>
    </w:p>
    <w:p>
      <w:pPr>
        <w:ind w:firstLine="420"/>
        <w:keepLines w:val="0"/>
        <w:keepNext w:val="0"/>
        <w:pageBreakBefore w:val="0"/>
        <w:spacing w:after="0" w:line="36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6、</w:t>
      </w:r>
      <w:r>
        <w:rPr>
          <w:rFonts w:hint="eastAsia" w:ascii="Times New Roman" w:hAnsi="Times New Roman" w:eastAsia="宋体" w:cs="Times New Roman"/>
          <w:sz w:val="21"/>
          <w:szCs w:val="21"/>
        </w:rPr>
        <w:t xml:space="preserve">服务标准：符合国家消防规范、学校管理规定及本文件全部要求</w:t>
      </w:r>
      <w:r/>
    </w:p>
    <w:p>
      <w:pPr>
        <w:pStyle w:val="865"/>
        <w:jc w:val="both"/>
        <w:spacing w:line="24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二、</w:t>
      </w:r>
      <w:r>
        <w:rPr>
          <w:rFonts w:hint="eastAsia" w:ascii="宋体" w:hAnsi="宋体" w:eastAsia="宋体" w:cs="宋体"/>
          <w:b/>
          <w:bCs/>
          <w:sz w:val="21"/>
          <w:szCs w:val="21"/>
          <w:lang w:val="en-US" w:eastAsia="zh-CN"/>
        </w:rPr>
        <w:t xml:space="preserve">服务</w:t>
      </w:r>
      <w:r>
        <w:rPr>
          <w:rFonts w:hint="eastAsia" w:ascii="宋体" w:hAnsi="宋体" w:eastAsia="宋体" w:cs="宋体"/>
          <w:b/>
          <w:bCs/>
          <w:sz w:val="21"/>
          <w:szCs w:val="21"/>
          <w:lang w:eastAsia="zh-CN"/>
        </w:rPr>
        <w:t xml:space="preserve">范围</w:t>
      </w:r>
      <w:r/>
    </w:p>
    <w:p>
      <w:pPr>
        <w:ind w:firstLine="420"/>
        <w:keepLines w:val="0"/>
        <w:keepNext w:val="0"/>
        <w:pageBreakBefore w:val="0"/>
        <w:spacing w:after="0" w:line="360" w:lineRule="auto"/>
        <w:widowControl/>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对江苏省邗江中学（新校区）建筑（构）物进行消防维保，出具正式维保报告</w:t>
      </w:r>
      <w:r>
        <w:rPr>
          <w:rFonts w:hint="eastAsia" w:ascii="Times New Roman" w:hAnsi="Times New Roman" w:eastAsia="宋体" w:cs="Times New Roman"/>
          <w:sz w:val="21"/>
          <w:szCs w:val="21"/>
          <w:lang w:val="en-US" w:eastAsia="zh-CN"/>
        </w:rPr>
        <w:t xml:space="preserve">并交予甲方存档</w:t>
      </w:r>
      <w:r>
        <w:rPr>
          <w:rFonts w:hint="eastAsia" w:ascii="Times New Roman" w:hAnsi="Times New Roman" w:eastAsia="宋体" w:cs="Times New Roman"/>
          <w:sz w:val="21"/>
          <w:szCs w:val="21"/>
        </w:rPr>
        <w:t xml:space="preserve">。江苏省邗江中学全区域共计有20栋独立建筑（含南北地下室），各楼栋的建筑信息如下：</w:t>
      </w:r>
      <w:r/>
    </w:p>
    <w:tbl>
      <w:tblPr>
        <w:tblStyle w:val="869"/>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81"/>
        <w:gridCol w:w="2099"/>
        <w:gridCol w:w="2105"/>
        <w:gridCol w:w="1267"/>
        <w:gridCol w:w="1267"/>
      </w:tblGrid>
      <w:tr>
        <w:trPr>
          <w:jc w:val="center"/>
          <w:trHeight w:val="468"/>
        </w:trPr>
        <w:tc>
          <w:tcPr>
            <w:gridSpan w:val="2"/>
            <w:shd w:val="clear" w:color="auto" w:fill="auto"/>
            <w:tcW w:w="0" w:type="auto"/>
            <w:vAlign w:val="center"/>
            <w:vMerge w:val="restart"/>
            <w:textDirection w:val="lrTb"/>
            <w:noWrap w:val="false"/>
          </w:tcPr>
          <w:p>
            <w:pPr>
              <w:jc w:val="center"/>
              <w:widowControl/>
              <w:rPr>
                <w:rFonts w:hint="eastAsia" w:ascii="宋体" w:hAnsi="宋体" w:eastAsia="宋体" w:cs="宋体"/>
                <w:b/>
                <w:color w:val="000000"/>
                <w:sz w:val="21"/>
                <w:szCs w:val="21"/>
                <w:lang w:bidi="ar"/>
              </w:rPr>
            </w:pPr>
            <w:r>
              <w:rPr>
                <w:rFonts w:hint="eastAsia" w:ascii="宋体" w:hAnsi="宋体" w:eastAsia="宋体" w:cs="宋体"/>
                <w:b/>
                <w:color w:val="000000"/>
                <w:sz w:val="21"/>
                <w:szCs w:val="21"/>
                <w:lang w:bidi="ar"/>
              </w:rPr>
              <w:t xml:space="preserve">楼栋号（名称）</w:t>
            </w:r>
            <w:r/>
          </w:p>
        </w:tc>
        <w:tc>
          <w:tcPr>
            <w:shd w:val="clear" w:color="auto" w:fill="auto"/>
            <w:tcW w:w="0" w:type="auto"/>
            <w:vAlign w:val="center"/>
            <w:vMerge w:val="restart"/>
            <w:textDirection w:val="lrTb"/>
            <w:noWrap w:val="false"/>
          </w:tcPr>
          <w:p>
            <w:pPr>
              <w:jc w:val="center"/>
              <w:widowControl/>
              <w:rPr>
                <w:rFonts w:hint="eastAsia" w:ascii="宋体" w:hAnsi="宋体" w:eastAsia="宋体" w:cs="宋体"/>
                <w:b/>
                <w:color w:val="000000"/>
                <w:sz w:val="21"/>
                <w:szCs w:val="21"/>
                <w:lang w:bidi="ar"/>
              </w:rPr>
            </w:pPr>
            <w:r>
              <w:rPr>
                <w:rFonts w:hint="eastAsia" w:ascii="宋体" w:hAnsi="宋体" w:eastAsia="宋体" w:cs="宋体"/>
                <w:b/>
                <w:color w:val="000000"/>
                <w:sz w:val="21"/>
                <w:szCs w:val="21"/>
                <w:lang w:bidi="ar"/>
              </w:rPr>
              <w:t xml:space="preserve">建筑面积</w:t>
            </w:r>
            <w:r/>
          </w:p>
          <w:p>
            <w:pPr>
              <w:jc w:val="center"/>
              <w:widowControl/>
              <w:rPr>
                <w:rFonts w:hint="eastAsia" w:ascii="宋体" w:hAnsi="宋体" w:eastAsia="宋体" w:cs="宋体"/>
                <w:b/>
                <w:color w:val="000000"/>
                <w:sz w:val="21"/>
                <w:szCs w:val="21"/>
                <w:lang w:bidi="ar"/>
              </w:rPr>
            </w:pPr>
            <w:r>
              <w:rPr>
                <w:rFonts w:hint="eastAsia" w:ascii="宋体" w:hAnsi="宋体" w:eastAsia="宋体" w:cs="宋体"/>
                <w:b/>
                <w:color w:val="000000"/>
                <w:sz w:val="21"/>
                <w:szCs w:val="21"/>
                <w:lang w:bidi="ar"/>
              </w:rPr>
              <w:t xml:space="preserve">(</w:t>
            </w:r>
            <w:r>
              <w:rPr>
                <w:rFonts w:hint="eastAsia" w:ascii="宋体" w:hAnsi="宋体" w:eastAsia="宋体" w:cs="宋体"/>
                <w:b/>
                <w:bCs/>
                <w:color w:val="000000"/>
                <w:sz w:val="21"/>
                <w:szCs w:val="21"/>
              </w:rPr>
              <w:t xml:space="preserve">m</w:t>
            </w:r>
            <w:r>
              <w:rPr>
                <w:rFonts w:hint="eastAsia" w:ascii="宋体" w:hAnsi="宋体" w:eastAsia="宋体" w:cs="宋体"/>
                <w:b/>
                <w:bCs/>
                <w:color w:val="000000"/>
                <w:sz w:val="21"/>
                <w:szCs w:val="21"/>
                <w:vertAlign w:val="superscript"/>
              </w:rPr>
              <w:t xml:space="preserve">2</w:t>
            </w:r>
            <w:r>
              <w:rPr>
                <w:rFonts w:hint="eastAsia" w:ascii="宋体" w:hAnsi="宋体" w:eastAsia="宋体" w:cs="宋体"/>
                <w:b/>
                <w:bCs/>
                <w:color w:val="000000"/>
                <w:sz w:val="21"/>
                <w:szCs w:val="21"/>
              </w:rPr>
              <w:t xml:space="preserve">)</w:t>
            </w:r>
            <w:r/>
          </w:p>
        </w:tc>
        <w:tc>
          <w:tcPr>
            <w:gridSpan w:val="2"/>
            <w:shd w:val="clear" w:color="auto" w:fill="auto"/>
            <w:tcW w:w="0" w:type="auto"/>
            <w:vAlign w:val="center"/>
            <w:textDirection w:val="lrTb"/>
            <w:noWrap w:val="false"/>
          </w:tcPr>
          <w:p>
            <w:pPr>
              <w:jc w:val="center"/>
              <w:widowControl/>
              <w:rPr>
                <w:rFonts w:hint="eastAsia" w:ascii="宋体" w:hAnsi="宋体" w:eastAsia="宋体" w:cs="宋体"/>
                <w:b/>
                <w:color w:val="000000"/>
                <w:sz w:val="21"/>
                <w:szCs w:val="21"/>
                <w:lang w:bidi="ar"/>
              </w:rPr>
            </w:pPr>
            <w:r>
              <w:rPr>
                <w:rFonts w:hint="eastAsia" w:ascii="宋体" w:hAnsi="宋体" w:eastAsia="宋体" w:cs="宋体"/>
                <w:b/>
                <w:color w:val="000000"/>
                <w:sz w:val="21"/>
                <w:szCs w:val="21"/>
                <w:lang w:bidi="ar"/>
              </w:rPr>
              <w:t xml:space="preserve">层数</w:t>
            </w:r>
            <w:r/>
          </w:p>
        </w:tc>
      </w:tr>
      <w:tr>
        <w:trPr>
          <w:jc w:val="center"/>
          <w:trHeight w:val="380"/>
        </w:trPr>
        <w:tc>
          <w:tcPr>
            <w:gridSpan w:val="2"/>
            <w:shd w:val="clear" w:color="auto" w:fill="auto"/>
            <w:tcBorders>
              <w:bottom w:val="single" w:color="auto" w:sz="4" w:space="0"/>
            </w:tcBorders>
            <w:tcW w:w="0" w:type="auto"/>
            <w:vAlign w:val="center"/>
            <w:vMerge w:val="continue"/>
            <w:textDirection w:val="lrTb"/>
            <w:noWrap w:val="false"/>
          </w:tcPr>
          <w:p>
            <w:pPr>
              <w:jc w:val="center"/>
              <w:widowControl/>
              <w:rPr>
                <w:rFonts w:hint="eastAsia" w:ascii="宋体" w:hAnsi="宋体" w:eastAsia="宋体" w:cs="宋体"/>
                <w:b/>
                <w:color w:val="000000"/>
                <w:sz w:val="21"/>
                <w:szCs w:val="21"/>
                <w:lang w:bidi="ar"/>
              </w:rPr>
            </w:pPr>
            <w:r>
              <w:rPr>
                <w:rFonts w:hint="eastAsia" w:ascii="宋体" w:hAnsi="宋体" w:eastAsia="宋体" w:cs="宋体"/>
                <w:b/>
                <w:color w:val="000000"/>
                <w:sz w:val="21"/>
                <w:szCs w:val="21"/>
                <w:lang w:bidi="ar"/>
              </w:rPr>
            </w:r>
            <w:r/>
          </w:p>
        </w:tc>
        <w:tc>
          <w:tcPr>
            <w:shd w:val="clear" w:color="auto" w:fill="auto"/>
            <w:tcW w:w="0" w:type="auto"/>
            <w:vAlign w:val="center"/>
            <w:vMerge w:val="continue"/>
            <w:textDirection w:val="lrTb"/>
            <w:noWrap w:val="false"/>
          </w:tcPr>
          <w:p>
            <w:pPr>
              <w:jc w:val="center"/>
              <w:widowControl/>
              <w:rPr>
                <w:rFonts w:hint="eastAsia" w:ascii="宋体" w:hAnsi="宋体" w:eastAsia="宋体" w:cs="宋体"/>
                <w:b/>
                <w:color w:val="000000"/>
                <w:sz w:val="21"/>
                <w:szCs w:val="21"/>
                <w:lang w:bidi="ar"/>
              </w:rPr>
            </w:pPr>
            <w:r>
              <w:rPr>
                <w:rFonts w:hint="eastAsia" w:ascii="宋体" w:hAnsi="宋体" w:eastAsia="宋体" w:cs="宋体"/>
                <w:b/>
                <w:color w:val="000000"/>
                <w:sz w:val="21"/>
                <w:szCs w:val="21"/>
                <w:lang w:bidi="ar"/>
              </w:rPr>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b/>
                <w:color w:val="000000"/>
                <w:sz w:val="21"/>
                <w:szCs w:val="21"/>
                <w:lang w:bidi="ar"/>
              </w:rPr>
              <w:t xml:space="preserve">地上</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b/>
                <w:color w:val="000000"/>
                <w:sz w:val="21"/>
                <w:szCs w:val="21"/>
                <w:lang w:bidi="ar"/>
              </w:rPr>
              <w:t xml:space="preserve">地下</w:t>
            </w:r>
            <w:r/>
          </w:p>
        </w:tc>
      </w:tr>
      <w:tr>
        <w:trPr>
          <w:jc w:val="center"/>
          <w:trHeight w:val="407"/>
        </w:trPr>
        <w:tc>
          <w:tcPr>
            <w:gridSpan w:val="2"/>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学生公寓1</w:t>
            </w:r>
            <w:r/>
          </w:p>
        </w:tc>
        <w:tc>
          <w:tcPr>
            <w:shd w:val="clear" w:color="auto" w:fill="auto"/>
            <w:tcW w:w="0" w:type="auto"/>
            <w:vAlign w:val="center"/>
            <w:vMerge w:val="restart"/>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43984.91</w:t>
            </w:r>
            <w:r/>
          </w:p>
        </w:tc>
        <w:tc>
          <w:tcPr>
            <w:shd w:val="clear" w:color="auto" w:fill="auto"/>
            <w:tcW w:w="0" w:type="auto"/>
            <w:vAlign w:val="center"/>
            <w:vMerge w:val="restart"/>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gridSpan w:val="2"/>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学生公寓2</w:t>
            </w:r>
            <w:r/>
          </w:p>
        </w:tc>
        <w:tc>
          <w:tcPr>
            <w:shd w:val="clear" w:color="auto" w:fill="auto"/>
            <w:tcW w:w="0" w:type="auto"/>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0" w:type="auto"/>
            <w:vAlign w:val="center"/>
            <w:vMerge w:val="restart"/>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gridSpan w:val="2"/>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学生公寓3</w:t>
            </w:r>
            <w:r/>
          </w:p>
        </w:tc>
        <w:tc>
          <w:tcPr>
            <w:shd w:val="clear" w:color="auto" w:fill="auto"/>
            <w:tcW w:w="0" w:type="auto"/>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0" w:type="auto"/>
            <w:vAlign w:val="center"/>
            <w:vMerge w:val="restart"/>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gridSpan w:val="2"/>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学生公寓4</w:t>
            </w:r>
            <w:r/>
          </w:p>
        </w:tc>
        <w:tc>
          <w:tcPr>
            <w:shd w:val="clear" w:color="auto" w:fill="auto"/>
            <w:tcW w:w="0" w:type="auto"/>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0" w:type="auto"/>
            <w:vAlign w:val="center"/>
            <w:vMerge w:val="restart"/>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gridSpan w:val="2"/>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学生公寓5</w:t>
            </w:r>
            <w:r/>
          </w:p>
        </w:tc>
        <w:tc>
          <w:tcPr>
            <w:shd w:val="clear" w:color="auto" w:fill="auto"/>
            <w:tcW w:w="0" w:type="auto"/>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0" w:type="auto"/>
            <w:vAlign w:val="center"/>
            <w:vMerge w:val="restart"/>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gridSpan w:val="2"/>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教师公寓</w:t>
            </w:r>
            <w:r/>
          </w:p>
        </w:tc>
        <w:tc>
          <w:tcPr>
            <w:shd w:val="clear" w:color="auto" w:fill="auto"/>
            <w:tcW w:w="0" w:type="auto"/>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gridSpan w:val="2"/>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冶园</w:t>
            </w:r>
            <w:r>
              <w:rPr>
                <w:rFonts w:hint="eastAsia" w:ascii="宋体" w:hAnsi="宋体" w:eastAsia="宋体" w:cs="宋体"/>
                <w:color w:val="000000"/>
                <w:sz w:val="21"/>
                <w:szCs w:val="21"/>
                <w:lang w:val="en-US" w:eastAsia="zh-CN" w:bidi="ar"/>
              </w:rPr>
              <w:t xml:space="preserve"> </w:t>
            </w:r>
            <w:r>
              <w:rPr>
                <w:rFonts w:hint="eastAsia" w:ascii="宋体" w:hAnsi="宋体" w:eastAsia="宋体" w:cs="宋体"/>
                <w:color w:val="000000"/>
                <w:sz w:val="21"/>
                <w:szCs w:val="21"/>
                <w:lang w:bidi="ar"/>
              </w:rPr>
              <w:t xml:space="preserve">后勤、食堂</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10700.00</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gridSpan w:val="2"/>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科技馆</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10200.00</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shd w:val="clear" w:color="auto" w:fill="auto"/>
            <w:tcBorders>
              <w:right w:val="none" w:color="000000" w:sz="4" w:space="0"/>
            </w:tcBorders>
            <w:tcW w:w="1681" w:type="dxa"/>
            <w:vAlign w:val="center"/>
            <w:textDirection w:val="lrTb"/>
            <w:noWrap w:val="false"/>
          </w:tcPr>
          <w:p>
            <w:pPr>
              <w:jc w:val="righ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思贤楼</w:t>
            </w:r>
            <w:r/>
          </w:p>
        </w:tc>
        <w:tc>
          <w:tcPr>
            <w:shd w:val="clear" w:color="auto" w:fill="auto"/>
            <w:tcBorders>
              <w:left w:val="none" w:color="000000" w:sz="4" w:space="0"/>
            </w:tcBorders>
            <w:tcW w:w="2099" w:type="dxa"/>
            <w:vAlign w:val="center"/>
            <w:textDirection w:val="lrTb"/>
            <w:noWrap w:val="false"/>
          </w:tcPr>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教学楼</w:t>
            </w:r>
            <w:r/>
          </w:p>
        </w:tc>
        <w:tc>
          <w:tcPr>
            <w:shd w:val="clear" w:color="auto" w:fill="auto"/>
            <w:tcW w:w="0" w:type="auto"/>
            <w:vAlign w:val="center"/>
            <w:vMerge w:val="restart"/>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38989.29</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shd w:val="clear" w:color="auto" w:fill="auto"/>
            <w:tcBorders>
              <w:right w:val="none" w:color="000000" w:sz="4" w:space="0"/>
            </w:tcBorders>
            <w:tcW w:w="1681" w:type="dxa"/>
            <w:vAlign w:val="center"/>
            <w:textDirection w:val="lrTb"/>
            <w:noWrap w:val="false"/>
          </w:tcPr>
          <w:p>
            <w:pPr>
              <w:jc w:val="righ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崇德楼</w:t>
            </w:r>
            <w:r/>
          </w:p>
        </w:tc>
        <w:tc>
          <w:tcPr>
            <w:shd w:val="clear" w:color="auto" w:fill="auto"/>
            <w:tcBorders>
              <w:left w:val="none" w:color="000000" w:sz="4" w:space="0"/>
            </w:tcBorders>
            <w:tcW w:w="2099" w:type="dxa"/>
            <w:vAlign w:val="center"/>
            <w:textDirection w:val="lrTb"/>
            <w:noWrap w:val="false"/>
          </w:tcPr>
          <w:p>
            <w:pPr>
              <w:jc w:val="lef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教学楼</w:t>
            </w:r>
            <w:r/>
          </w:p>
        </w:tc>
        <w:tc>
          <w:tcPr>
            <w:shd w:val="clear" w:color="auto" w:fill="auto"/>
            <w:tcW w:w="0" w:type="auto"/>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shd w:val="clear" w:color="auto" w:fill="auto"/>
            <w:tcBorders>
              <w:right w:val="none" w:color="000000" w:sz="4" w:space="0"/>
            </w:tcBorders>
            <w:tcW w:w="1681" w:type="dxa"/>
            <w:vAlign w:val="center"/>
            <w:textDirection w:val="lrTb"/>
            <w:noWrap w:val="false"/>
          </w:tcPr>
          <w:p>
            <w:pPr>
              <w:jc w:val="righ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知新楼</w:t>
            </w:r>
            <w:r/>
          </w:p>
        </w:tc>
        <w:tc>
          <w:tcPr>
            <w:shd w:val="clear" w:color="auto" w:fill="auto"/>
            <w:tcBorders>
              <w:left w:val="none" w:color="000000" w:sz="4" w:space="0"/>
            </w:tcBorders>
            <w:tcW w:w="2099" w:type="dxa"/>
            <w:vAlign w:val="center"/>
            <w:textDirection w:val="lrTb"/>
            <w:noWrap w:val="false"/>
          </w:tcPr>
          <w:p>
            <w:pPr>
              <w:jc w:val="lef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教学楼</w:t>
            </w:r>
            <w:r/>
          </w:p>
        </w:tc>
        <w:tc>
          <w:tcPr>
            <w:shd w:val="clear" w:color="auto" w:fill="auto"/>
            <w:tcW w:w="0" w:type="auto"/>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shd w:val="clear" w:color="auto" w:fill="auto"/>
            <w:tcBorders>
              <w:right w:val="none" w:color="000000" w:sz="4" w:space="0"/>
            </w:tcBorders>
            <w:tcW w:w="1681" w:type="dxa"/>
            <w:vAlign w:val="center"/>
            <w:textDirection w:val="lrTb"/>
            <w:noWrap w:val="false"/>
          </w:tcPr>
          <w:p>
            <w:pPr>
              <w:jc w:val="righ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尚能楼</w:t>
            </w:r>
            <w:r/>
          </w:p>
        </w:tc>
        <w:tc>
          <w:tcPr>
            <w:shd w:val="clear" w:color="auto" w:fill="auto"/>
            <w:tcBorders>
              <w:left w:val="none" w:color="000000" w:sz="4" w:space="0"/>
            </w:tcBorders>
            <w:tcW w:w="2099" w:type="dxa"/>
            <w:vAlign w:val="center"/>
            <w:textDirection w:val="lrTb"/>
            <w:noWrap w:val="false"/>
          </w:tcPr>
          <w:p>
            <w:pPr>
              <w:jc w:val="lef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教学楼</w:t>
            </w:r>
            <w:r/>
          </w:p>
        </w:tc>
        <w:tc>
          <w:tcPr>
            <w:shd w:val="clear" w:color="auto" w:fill="auto"/>
            <w:tcW w:w="0" w:type="auto"/>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shd w:val="clear" w:color="auto" w:fill="auto"/>
            <w:tcBorders>
              <w:right w:val="none" w:color="000000" w:sz="4" w:space="0"/>
            </w:tcBorders>
            <w:tcW w:w="1681" w:type="dxa"/>
            <w:vAlign w:val="center"/>
            <w:textDirection w:val="lrTb"/>
            <w:noWrap w:val="false"/>
          </w:tcPr>
          <w:p>
            <w:pPr>
              <w:jc w:val="righ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文萃苑</w:t>
            </w:r>
            <w:r/>
          </w:p>
        </w:tc>
        <w:tc>
          <w:tcPr>
            <w:shd w:val="clear" w:color="auto" w:fill="auto"/>
            <w:tcBorders>
              <w:left w:val="none" w:color="000000" w:sz="4" w:space="0"/>
            </w:tcBorders>
            <w:tcW w:w="2099" w:type="dxa"/>
            <w:vAlign w:val="center"/>
            <w:textDirection w:val="lrTb"/>
            <w:noWrap w:val="false"/>
          </w:tcPr>
          <w:p>
            <w:pPr>
              <w:jc w:val="lef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图文中心</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18489.28</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shd w:val="clear" w:color="auto" w:fill="auto"/>
            <w:tcBorders>
              <w:right w:val="none" w:color="000000" w:sz="4" w:space="0"/>
            </w:tcBorders>
            <w:tcW w:w="1681" w:type="dxa"/>
            <w:vAlign w:val="center"/>
            <w:textDirection w:val="lrTb"/>
            <w:noWrap w:val="false"/>
          </w:tcPr>
          <w:p>
            <w:pPr>
              <w:jc w:val="righ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艺术馆</w:t>
            </w:r>
            <w:r/>
          </w:p>
        </w:tc>
        <w:tc>
          <w:tcPr>
            <w:shd w:val="clear" w:color="auto" w:fill="auto"/>
            <w:tcBorders>
              <w:left w:val="none" w:color="000000" w:sz="4" w:space="0"/>
            </w:tcBorders>
            <w:tcW w:w="2099" w:type="dxa"/>
            <w:vAlign w:val="center"/>
            <w:textDirection w:val="lrTb"/>
            <w:noWrap w:val="false"/>
          </w:tcPr>
          <w:p>
            <w:pPr>
              <w:jc w:val="lef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艺术中心</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14569.00</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shd w:val="clear" w:color="auto" w:fill="auto"/>
            <w:tcBorders>
              <w:right w:val="none" w:color="000000" w:sz="4" w:space="0"/>
            </w:tcBorders>
            <w:tcW w:w="1681" w:type="dxa"/>
            <w:vAlign w:val="center"/>
            <w:textDirection w:val="lrTb"/>
            <w:noWrap w:val="false"/>
          </w:tcPr>
          <w:p>
            <w:pPr>
              <w:jc w:val="righ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体育馆</w:t>
            </w:r>
            <w:r/>
          </w:p>
        </w:tc>
        <w:tc>
          <w:tcPr>
            <w:shd w:val="clear" w:color="auto" w:fill="auto"/>
            <w:tcBorders>
              <w:left w:val="none" w:color="000000" w:sz="4" w:space="0"/>
            </w:tcBorders>
            <w:tcW w:w="2099" w:type="dxa"/>
            <w:vAlign w:val="center"/>
            <w:textDirection w:val="lrTb"/>
            <w:noWrap w:val="false"/>
          </w:tcPr>
          <w:p>
            <w:pPr>
              <w:jc w:val="lef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体育中心</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12337.00</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shd w:val="clear" w:color="auto" w:fill="auto"/>
            <w:tcBorders>
              <w:right w:val="none" w:color="000000" w:sz="4" w:space="0"/>
            </w:tcBorders>
            <w:tcW w:w="1681" w:type="dxa"/>
            <w:vAlign w:val="center"/>
            <w:textDirection w:val="lrTb"/>
            <w:noWrap w:val="false"/>
          </w:tcPr>
          <w:p>
            <w:pPr>
              <w:jc w:val="righ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看台</w:t>
            </w:r>
            <w:r/>
          </w:p>
        </w:tc>
        <w:tc>
          <w:tcPr>
            <w:shd w:val="clear" w:color="auto" w:fill="auto"/>
            <w:tcBorders>
              <w:left w:val="none" w:color="000000" w:sz="4" w:space="0"/>
            </w:tcBorders>
            <w:tcW w:w="2099" w:type="dxa"/>
            <w:vAlign w:val="center"/>
            <w:textDirection w:val="lrTb"/>
            <w:noWrap w:val="false"/>
          </w:tcPr>
          <w:p>
            <w:pPr>
              <w:jc w:val="lef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体育场</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1002.51</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gridSpan w:val="2"/>
            <w:shd w:val="clear" w:color="auto" w:fill="auto"/>
            <w:tcW w:w="0" w:type="auto"/>
            <w:vAlign w:val="center"/>
            <w:textDirection w:val="lrTb"/>
            <w:noWrap w:val="false"/>
          </w:tcPr>
          <w:p>
            <w:pPr>
              <w:jc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南区地下室</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21488.16</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407"/>
        </w:trPr>
        <w:tc>
          <w:tcPr>
            <w:gridSpan w:val="2"/>
            <w:shd w:val="clear" w:color="auto" w:fill="auto"/>
            <w:tcW w:w="0" w:type="auto"/>
            <w:vAlign w:val="center"/>
            <w:textDirection w:val="lrTb"/>
            <w:noWrap w:val="false"/>
          </w:tcPr>
          <w:p>
            <w:pPr>
              <w:jc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北区地下室</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21488.16</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407"/>
        </w:trPr>
        <w:tc>
          <w:tcPr>
            <w:gridSpan w:val="2"/>
            <w:shd w:val="clear" w:color="auto" w:fill="auto"/>
            <w:tcW w:w="0" w:type="auto"/>
            <w:vAlign w:val="center"/>
            <w:textDirection w:val="lrTb"/>
            <w:noWrap w:val="false"/>
          </w:tcPr>
          <w:p>
            <w:pPr>
              <w:jc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东门卫</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41.6</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gridSpan w:val="2"/>
            <w:shd w:val="clear" w:color="auto" w:fill="auto"/>
            <w:tcW w:w="0" w:type="auto"/>
            <w:vAlign w:val="center"/>
            <w:textDirection w:val="lrTb"/>
            <w:noWrap w:val="false"/>
          </w:tcPr>
          <w:p>
            <w:pPr>
              <w:jc w:val="cente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北门卫</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139.29</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07"/>
        </w:trPr>
        <w:tc>
          <w:tcPr>
            <w:shd w:val="clear" w:color="auto" w:fill="auto"/>
            <w:tcBorders>
              <w:right w:val="none" w:color="000000" w:sz="4" w:space="0"/>
            </w:tcBorders>
            <w:tcW w:w="1681" w:type="dxa"/>
            <w:vAlign w:val="center"/>
            <w:textDirection w:val="lrTb"/>
            <w:noWrap w:val="false"/>
          </w:tcPr>
          <w:p>
            <w:pPr>
              <w:jc w:val="righ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南门卫</w:t>
            </w:r>
            <w:r/>
          </w:p>
        </w:tc>
        <w:tc>
          <w:tcPr>
            <w:shd w:val="clear" w:color="auto" w:fill="auto"/>
            <w:tcBorders>
              <w:left w:val="none" w:color="000000" w:sz="4" w:space="0"/>
            </w:tcBorders>
            <w:tcW w:w="2099" w:type="dxa"/>
            <w:vAlign w:val="center"/>
            <w:textDirection w:val="lrTb"/>
            <w:noWrap w:val="false"/>
          </w:tcPr>
          <w:p>
            <w:pPr>
              <w:jc w:val="lef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161.2</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r>
        <w:trPr>
          <w:jc w:val="center"/>
          <w:trHeight w:val="427"/>
        </w:trPr>
        <w:tc>
          <w:tcPr>
            <w:shd w:val="clear" w:color="auto" w:fill="auto"/>
            <w:tcBorders>
              <w:right w:val="none" w:color="000000" w:sz="4" w:space="0"/>
            </w:tcBorders>
            <w:tcW w:w="1681" w:type="dxa"/>
            <w:vAlign w:val="center"/>
            <w:textDirection w:val="lrTb"/>
            <w:noWrap w:val="false"/>
          </w:tcPr>
          <w:p>
            <w:pPr>
              <w:jc w:val="righ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开闭所</w:t>
            </w:r>
            <w:r/>
          </w:p>
        </w:tc>
        <w:tc>
          <w:tcPr>
            <w:shd w:val="clear" w:color="auto" w:fill="auto"/>
            <w:tcBorders>
              <w:left w:val="none" w:color="000000" w:sz="4" w:space="0"/>
            </w:tcBorders>
            <w:tcW w:w="2099" w:type="dxa"/>
            <w:vAlign w:val="center"/>
            <w:textDirection w:val="lrTb"/>
            <w:noWrap w:val="false"/>
          </w:tcPr>
          <w:p>
            <w:pPr>
              <w:jc w:val="lef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372.3</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c>
          <w:tcPr>
            <w:shd w:val="clear" w:color="auto" w:fill="auto"/>
            <w:tcW w:w="0" w:type="auto"/>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p>
        </w:tc>
      </w:tr>
    </w:tbl>
    <w:p>
      <w:pPr>
        <w:jc w:val="left"/>
        <w:widowControl/>
        <w:rPr>
          <w:rFonts w:hint="eastAsia" w:ascii="宋体" w:hAnsi="宋体" w:eastAsia="宋体" w:cs="宋体"/>
          <w:sz w:val="21"/>
          <w:szCs w:val="21"/>
        </w:rPr>
      </w:pPr>
      <w:r>
        <w:rPr>
          <w:rFonts w:hint="eastAsia" w:ascii="宋体" w:hAnsi="宋体" w:eastAsia="宋体" w:cs="宋体"/>
          <w:sz w:val="21"/>
          <w:szCs w:val="21"/>
        </w:rPr>
      </w:r>
      <w:r/>
    </w:p>
    <w:p>
      <w:pPr>
        <w:pStyle w:val="865"/>
        <w:jc w:val="both"/>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三</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维保服务</w:t>
      </w:r>
      <w:r>
        <w:rPr>
          <w:rFonts w:hint="eastAsia" w:ascii="宋体" w:hAnsi="宋体" w:eastAsia="宋体" w:cs="宋体"/>
          <w:b/>
          <w:bCs/>
          <w:sz w:val="21"/>
          <w:szCs w:val="21"/>
        </w:rPr>
        <w:t xml:space="preserve">内容包括不局限于：</w:t>
      </w:r>
      <w:r/>
    </w:p>
    <w:p>
      <w:pPr>
        <w:jc w:val="left"/>
        <w:spacing w:after="156" w:line="360" w:lineRule="auto"/>
        <w:widowControl/>
        <w:rPr>
          <w:rFonts w:hint="eastAsia" w:ascii="宋体" w:hAnsi="宋体" w:eastAsia="宋体" w:cs="宋体"/>
          <w:b/>
          <w:sz w:val="21"/>
          <w:szCs w:val="21"/>
        </w:rPr>
      </w:pPr>
      <w:r>
        <w:rPr>
          <w:rFonts w:hint="eastAsia" w:ascii="宋体" w:hAnsi="宋体" w:eastAsia="宋体" w:cs="宋体"/>
          <w:sz w:val="21"/>
          <w:szCs w:val="21"/>
        </w:rPr>
        <w:t xml:space="preserve">江苏省邗江中学全区域</w:t>
      </w:r>
      <w:r>
        <w:rPr>
          <w:rFonts w:hint="eastAsia" w:ascii="宋体" w:hAnsi="宋体" w:eastAsia="宋体" w:cs="宋体"/>
          <w:sz w:val="21"/>
          <w:szCs w:val="21"/>
          <w:lang w:bidi="ar"/>
        </w:rPr>
        <w:t xml:space="preserve">共计有17大类建筑消防设施</w:t>
      </w:r>
      <w:r>
        <w:rPr>
          <w:rFonts w:hint="eastAsia" w:ascii="宋体" w:hAnsi="宋体" w:eastAsia="宋体" w:cs="宋体"/>
          <w:sz w:val="21"/>
          <w:szCs w:val="21"/>
          <w:lang w:val="en-US" w:eastAsia="zh-CN" w:bidi="ar"/>
        </w:rPr>
        <w:t xml:space="preserve">:</w:t>
      </w:r>
      <w:r>
        <w:rPr>
          <w:rFonts w:hint="eastAsia" w:ascii="宋体" w:hAnsi="宋体" w:eastAsia="宋体" w:cs="宋体"/>
          <w:b/>
          <w:sz w:val="21"/>
          <w:szCs w:val="21"/>
        </w:rPr>
        <w:t xml:space="preserve"> </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火灾自动报警及联动控制系统;</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消防供电配电设施;</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消防供水设施:</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消火栓系统;</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自动喷水灭火系统;</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自动跟踪定位射流灭火系统;</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气体灭火系统;</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可燃气体报警系统;</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机械防排烟系统;</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图形显示装置;</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消防应急广播系统;</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消防对讲电话系统;</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防火分隔设施;</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电气火灾监控系统;</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消防设备电源监控系统;</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应急照明和疏散指示系统;</w:t>
      </w:r>
      <w:r/>
    </w:p>
    <w:p>
      <w:pPr>
        <w:pStyle w:val="867"/>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lang w:val="en-US" w:eastAsia="zh-CN" w:bidi="ar-SA"/>
        </w:rPr>
        <w:t xml:space="preserve">灭火器。</w:t>
      </w:r>
      <w:r/>
    </w:p>
    <w:p>
      <w:pPr>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p>
    <w:p>
      <w:pPr>
        <w:pStyle w:val="867"/>
        <w:numPr>
          <w:ilvl w:val="0"/>
          <w:numId w:val="5"/>
        </w:numP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 xml:space="preserve">服务要求</w:t>
      </w:r>
      <w:r>
        <w:rPr>
          <w:rFonts w:hint="eastAsia" w:ascii="宋体" w:hAnsi="宋体" w:eastAsia="宋体"/>
          <w:b/>
          <w:bCs/>
          <w:sz w:val="24"/>
          <w:szCs w:val="24"/>
          <w:lang w:val="en-US" w:eastAsia="zh-CN"/>
        </w:rPr>
        <w:tab/>
      </w:r>
      <w:r/>
    </w:p>
    <w:p>
      <w:pPr>
        <w:numPr>
          <w:ilvl w:val="0"/>
          <w:numId w:val="0"/>
        </w:numPr>
        <w:ind w:firstLine="420"/>
        <w:keepLines w:val="0"/>
        <w:keepNext w:val="0"/>
        <w:pageBreakBefore w:val="0"/>
        <w:spacing w:line="360" w:lineRule="auto"/>
        <w:widowControl w:val="off"/>
        <w:rPr>
          <w:rFonts w:hint="default"/>
          <w:lang w:val="en-US" w:eastAsia="zh-CN"/>
        </w:rPr>
      </w:pPr>
      <w:r>
        <w:rPr>
          <w:rFonts w:hint="default"/>
          <w:lang w:val="en-US" w:eastAsia="zh-CN"/>
        </w:rPr>
        <w:t xml:space="preserve">（一）维护保养服务的要求</w:t>
      </w:r>
      <w:r/>
    </w:p>
    <w:p>
      <w:pPr>
        <w:numPr>
          <w:ilvl w:val="0"/>
          <w:numId w:val="0"/>
        </w:numPr>
        <w:ind w:firstLine="420"/>
        <w:keepLines w:val="0"/>
        <w:keepNext w:val="0"/>
        <w:pageBreakBefore w:val="0"/>
        <w:spacing w:line="360" w:lineRule="auto"/>
        <w:widowControl w:val="off"/>
        <w:rPr>
          <w:rFonts w:hint="default"/>
          <w:highlight w:val="none"/>
          <w:lang w:val="en-US" w:eastAsia="zh-CN"/>
        </w:rPr>
      </w:pPr>
      <w:r>
        <w:rPr>
          <w:rFonts w:hint="default"/>
          <w:lang w:val="en-US" w:eastAsia="zh-CN"/>
        </w:rPr>
        <w:t xml:space="preserve">1.在每月的例行维保期间，投标人需提供至少4人以上的维保人员参与消防设施的维护保养（除驻场人员外）。需明确技术负责人、项目负责人及维保现场负责人，如有人员调动，需提前向招标人报备。技术负责人及项目负责人需持有一级注册消防工程师资格证书。现场负责人及维保</w:t>
      </w:r>
      <w:r>
        <w:rPr>
          <w:rFonts w:hint="default"/>
          <w:highlight w:val="none"/>
          <w:lang w:val="en-US" w:eastAsia="zh-CN"/>
        </w:rPr>
        <w:t xml:space="preserve">人员需持有消防设施操作员（中级）资格证书。</w:t>
      </w:r>
      <w:r/>
    </w:p>
    <w:p>
      <w:pPr>
        <w:numPr>
          <w:ilvl w:val="0"/>
          <w:numId w:val="0"/>
        </w:numPr>
        <w:ind w:firstLine="420"/>
        <w:keepLines w:val="0"/>
        <w:keepNext w:val="0"/>
        <w:pageBreakBefore w:val="0"/>
        <w:spacing w:line="360" w:lineRule="auto"/>
        <w:widowControl w:val="off"/>
        <w:rPr>
          <w:rFonts w:hint="default"/>
          <w:lang w:val="en-US" w:eastAsia="zh-CN"/>
        </w:rPr>
      </w:pPr>
      <w:r>
        <w:rPr>
          <w:rFonts w:hint="default"/>
          <w:lang w:val="en-US" w:eastAsia="zh-CN"/>
        </w:rPr>
        <w:t xml:space="preserve">2.建筑消防系统类型、维护保养内容、周期：并根据《建筑消防设施维护保养规程》DB32/T 4696-2024相关要求编制维护方案。</w:t>
      </w:r>
      <w:r/>
    </w:p>
    <w:tbl>
      <w:tblPr>
        <w:tblStyle w:val="8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0"/>
        <w:gridCol w:w="1889"/>
        <w:gridCol w:w="3827"/>
        <w:gridCol w:w="2126"/>
      </w:tblGrid>
      <w:tr>
        <w:trPr>
          <w:jc w:val="center"/>
          <w:trHeight w:val="482" w:hRule="exact"/>
        </w:trPr>
        <w:tc>
          <w:tcPr>
            <w:tcW w:w="1230"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系统</w:t>
            </w:r>
            <w:r/>
          </w:p>
        </w:tc>
        <w:tc>
          <w:tcPr>
            <w:tcW w:w="1889"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子项目</w:t>
            </w:r>
            <w:r/>
          </w:p>
        </w:tc>
        <w:tc>
          <w:tcPr>
            <w:tcW w:w="3827"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维护保养内容</w:t>
            </w:r>
            <w:r/>
          </w:p>
        </w:tc>
        <w:tc>
          <w:tcPr>
            <w:tcW w:w="2126"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周期</w:t>
            </w:r>
            <w:r/>
          </w:p>
        </w:tc>
      </w:tr>
      <w:tr>
        <w:trPr>
          <w:jc w:val="center"/>
          <w:trHeight w:val="425" w:hRule="exact"/>
        </w:trPr>
        <w:tc>
          <w:tcPr>
            <w:tcW w:w="1230"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消防供电配电</w:t>
            </w:r>
            <w:r/>
          </w:p>
        </w:tc>
        <w:tc>
          <w:tcPr>
            <w:tcW w:w="1889" w:type="dxa"/>
            <w:vAlign w:val="center"/>
            <w:vMerge w:val="restart"/>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t xml:space="preserve">消防配电柜（箱）</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消防主、备电源</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175"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检查外观、标识</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175"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检查指示灯、开关及控制按钮的操作</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175"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试验消防设备末端配电双电源切换</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半年1次全数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t xml:space="preserve">联动试验</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试验非消防电源的联动切断</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全年1次全数</w:t>
            </w:r>
            <w:r/>
          </w:p>
        </w:tc>
      </w:tr>
      <w:tr>
        <w:trPr>
          <w:jc w:val="center"/>
          <w:trHeight w:val="425" w:hRule="exact"/>
        </w:trPr>
        <w:tc>
          <w:tcPr>
            <w:tcW w:w="1230"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消防电源监控系统</w:t>
            </w:r>
            <w:r/>
          </w:p>
        </w:tc>
        <w:tc>
          <w:tcPr>
            <w:tcW w:w="1889" w:type="dxa"/>
            <w:vAlign w:val="center"/>
            <w:vMerge w:val="restart"/>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t xml:space="preserve">电流/电压信号传感器</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检查外观</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验证信息传输功能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每年1次全数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restart"/>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t xml:space="preserve">监控器</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检查外观、基本功能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核对系统注册点数、正常点数、异常点数</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消防控制室</w:t>
            </w:r>
            <w:r/>
          </w:p>
        </w:tc>
        <w:tc>
          <w:tcPr>
            <w:tcW w:w="1889"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环境清洁，疏散门畅通</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设备和布线外观完好无损</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火灾报警的外线电话</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火灾自动报警控制系统</w:t>
            </w:r>
            <w:r/>
          </w:p>
        </w:tc>
        <w:tc>
          <w:tcPr>
            <w:tcW w:w="1889" w:type="dxa"/>
            <w:vAlign w:val="center"/>
            <w:textDirection w:val="lrTb"/>
            <w:noWrap w:val="false"/>
          </w:tcPr>
          <w:p>
            <w:pPr>
              <w:numPr>
                <w:ilvl w:val="0"/>
                <w:numId w:val="0"/>
              </w:numPr>
              <w:jc w:val="center"/>
              <w:tabs>
                <w:tab w:val="left" w:pos="175" w:leader="none"/>
              </w:tabs>
              <w:rPr>
                <w:rFonts w:hint="eastAsia" w:ascii="宋体" w:hAnsi="宋体" w:eastAsia="宋体" w:cs="宋体"/>
                <w:sz w:val="18"/>
                <w:szCs w:val="18"/>
              </w:rPr>
            </w:pPr>
            <w:r>
              <w:rPr>
                <w:rFonts w:hint="eastAsia" w:ascii="宋体" w:hAnsi="宋体" w:eastAsia="宋体" w:cs="宋体"/>
                <w:sz w:val="18"/>
                <w:szCs w:val="18"/>
              </w:rPr>
              <w:t xml:space="preserve">火灾探测器</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检查安装及外观、试验报警功能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textDirection w:val="lrTb"/>
            <w:noWrap w:val="false"/>
          </w:tcPr>
          <w:p>
            <w:pPr>
              <w:numPr>
                <w:ilvl w:val="0"/>
                <w:numId w:val="0"/>
              </w:numPr>
              <w:jc w:val="center"/>
              <w:tabs>
                <w:tab w:val="left" w:pos="317" w:leader="none"/>
              </w:tabs>
              <w:rPr>
                <w:rFonts w:hint="eastAsia" w:ascii="宋体" w:hAnsi="宋体" w:eastAsia="宋体" w:cs="宋体"/>
                <w:sz w:val="18"/>
                <w:szCs w:val="18"/>
              </w:rPr>
            </w:pPr>
            <w:r>
              <w:rPr>
                <w:rFonts w:hint="eastAsia" w:ascii="宋体" w:hAnsi="宋体" w:eastAsia="宋体" w:cs="宋体"/>
                <w:sz w:val="18"/>
                <w:szCs w:val="18"/>
              </w:rPr>
              <w:t xml:space="preserve">手动报警按钮</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检查安装及外观、试验报警功能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textDirection w:val="lrTb"/>
            <w:noWrap w:val="false"/>
          </w:tcPr>
          <w:p>
            <w:pPr>
              <w:numPr>
                <w:ilvl w:val="0"/>
                <w:numId w:val="0"/>
              </w:numPr>
              <w:jc w:val="center"/>
              <w:tabs>
                <w:tab w:val="left" w:pos="317" w:leader="none"/>
              </w:tabs>
              <w:rPr>
                <w:rFonts w:hint="eastAsia" w:ascii="宋体" w:hAnsi="宋体" w:eastAsia="宋体" w:cs="宋体"/>
                <w:sz w:val="18"/>
                <w:szCs w:val="18"/>
              </w:rPr>
            </w:pPr>
            <w:r>
              <w:rPr>
                <w:rFonts w:hint="eastAsia" w:ascii="宋体" w:hAnsi="宋体" w:eastAsia="宋体" w:cs="宋体"/>
                <w:sz w:val="18"/>
                <w:szCs w:val="18"/>
              </w:rPr>
              <w:t xml:space="preserve">火灾显示盘</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检查安装及外观、报警显示功能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restart"/>
            <w:textDirection w:val="lrTb"/>
            <w:noWrap w:val="false"/>
          </w:tcPr>
          <w:p>
            <w:pPr>
              <w:numPr>
                <w:ilvl w:val="0"/>
                <w:numId w:val="0"/>
              </w:numPr>
              <w:jc w:val="center"/>
              <w:tabs>
                <w:tab w:val="left" w:pos="317" w:leader="none"/>
              </w:tabs>
              <w:rPr>
                <w:rFonts w:hint="eastAsia" w:ascii="宋体" w:hAnsi="宋体" w:eastAsia="宋体" w:cs="宋体"/>
                <w:sz w:val="18"/>
                <w:szCs w:val="18"/>
              </w:rPr>
            </w:pPr>
            <w:r>
              <w:rPr>
                <w:rFonts w:hint="eastAsia" w:ascii="宋体" w:hAnsi="宋体" w:eastAsia="宋体" w:cs="宋体"/>
                <w:sz w:val="18"/>
                <w:szCs w:val="18"/>
              </w:rPr>
              <w:t xml:space="preserve">声光警报装置</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检查安装及外观、试验警报功能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31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测试声压级</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numPr>
                <w:ilvl w:val="0"/>
                <w:numId w:val="6"/>
              </w:numPr>
              <w:ind w:left="34" w:hanging="34"/>
              <w:jc w:val="center"/>
              <w:tabs>
                <w:tab w:val="left" w:pos="31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声警报与应急广播交替循环</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textDirection w:val="lrTb"/>
            <w:noWrap w:val="false"/>
          </w:tcPr>
          <w:p>
            <w:pPr>
              <w:numPr>
                <w:ilvl w:val="0"/>
                <w:numId w:val="0"/>
              </w:numPr>
              <w:jc w:val="center"/>
              <w:tabs>
                <w:tab w:val="left" w:pos="317" w:leader="none"/>
              </w:tabs>
              <w:rPr>
                <w:rFonts w:hint="eastAsia" w:ascii="宋体" w:hAnsi="宋体" w:eastAsia="宋体" w:cs="宋体"/>
                <w:sz w:val="18"/>
                <w:szCs w:val="18"/>
              </w:rPr>
            </w:pPr>
            <w:r>
              <w:rPr>
                <w:rFonts w:hint="eastAsia" w:ascii="宋体" w:hAnsi="宋体" w:eastAsia="宋体" w:cs="宋体"/>
                <w:sz w:val="18"/>
                <w:szCs w:val="18"/>
              </w:rPr>
              <w:t xml:space="preserve">输出模块</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检查安装及外观、在线状态</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restart"/>
            <w:textDirection w:val="lrTb"/>
            <w:noWrap w:val="false"/>
          </w:tcPr>
          <w:p>
            <w:pPr>
              <w:numPr>
                <w:ilvl w:val="0"/>
                <w:numId w:val="0"/>
              </w:numPr>
              <w:jc w:val="center"/>
              <w:tabs>
                <w:tab w:val="left" w:pos="317" w:leader="none"/>
              </w:tabs>
              <w:rPr>
                <w:rFonts w:hint="eastAsia" w:ascii="宋体" w:hAnsi="宋体" w:eastAsia="宋体" w:cs="宋体"/>
                <w:sz w:val="18"/>
                <w:szCs w:val="18"/>
              </w:rPr>
            </w:pPr>
            <w:r>
              <w:rPr>
                <w:rFonts w:hint="eastAsia" w:ascii="宋体" w:hAnsi="宋体" w:eastAsia="宋体" w:cs="宋体"/>
                <w:sz w:val="18"/>
                <w:szCs w:val="18"/>
              </w:rPr>
              <w:t xml:space="preserve">火灾报警控制器（联动型）</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检查安装及外观、基本功能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31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核对系统点位数</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31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备电投运试验</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每季1次全数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textDirection w:val="lrTb"/>
            <w:noWrap w:val="false"/>
          </w:tcPr>
          <w:p>
            <w:pPr>
              <w:numPr>
                <w:ilvl w:val="0"/>
                <w:numId w:val="0"/>
              </w:numPr>
              <w:jc w:val="center"/>
              <w:tabs>
                <w:tab w:val="left" w:pos="317" w:leader="none"/>
              </w:tabs>
              <w:rPr>
                <w:rFonts w:hint="eastAsia" w:ascii="宋体" w:hAnsi="宋体" w:eastAsia="宋体" w:cs="宋体"/>
                <w:sz w:val="18"/>
                <w:szCs w:val="18"/>
              </w:rPr>
            </w:pPr>
            <w:r>
              <w:rPr>
                <w:rFonts w:hint="eastAsia" w:ascii="宋体" w:hAnsi="宋体" w:eastAsia="宋体" w:cs="宋体"/>
                <w:sz w:val="18"/>
                <w:szCs w:val="18"/>
              </w:rPr>
              <w:t xml:space="preserve">联动控制功能</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试验报警联动控制有关设备</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每年1次以上全数</w:t>
            </w:r>
            <w:r/>
          </w:p>
        </w:tc>
      </w:tr>
      <w:tr>
        <w:trPr>
          <w:jc w:val="center"/>
          <w:trHeight w:val="565" w:hRule="exact"/>
        </w:trPr>
        <w:tc>
          <w:tcPr>
            <w:tcW w:w="1230"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图形显示装置</w:t>
            </w:r>
            <w:r/>
          </w:p>
        </w:tc>
        <w:tc>
          <w:tcPr>
            <w:tcW w:w="1889"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外观</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是否完好、无腐蚀</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restart"/>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基本功能</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检查显示器是否能正常显示</w:t>
            </w:r>
            <w:r/>
          </w:p>
        </w:tc>
        <w:tc>
          <w:tcPr>
            <w:tcW w:w="2126" w:type="dxa"/>
            <w:vAlign w:val="center"/>
            <w:vMerge w:val="continue"/>
            <w:textDirection w:val="lrTb"/>
            <w:noWrap w:val="false"/>
          </w:tcPr>
          <w:p>
            <w:pP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left"/>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检查各类报警声音是否正常</w:t>
            </w:r>
            <w:r/>
          </w:p>
        </w:tc>
        <w:tc>
          <w:tcPr>
            <w:tcW w:w="2126" w:type="dxa"/>
            <w:vAlign w:val="center"/>
            <w:vMerge w:val="continue"/>
            <w:textDirection w:val="lrTb"/>
            <w:noWrap w:val="false"/>
          </w:tcPr>
          <w:p>
            <w:pP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left"/>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试验消音、复位功能</w:t>
            </w:r>
            <w:r/>
          </w:p>
        </w:tc>
        <w:tc>
          <w:tcPr>
            <w:tcW w:w="2126" w:type="dxa"/>
            <w:vAlign w:val="center"/>
            <w:vMerge w:val="continue"/>
            <w:textDirection w:val="lrTb"/>
            <w:noWrap w:val="false"/>
          </w:tcPr>
          <w:p>
            <w:pP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left"/>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检查联网通讯是否正常</w:t>
            </w:r>
            <w:r/>
          </w:p>
        </w:tc>
        <w:tc>
          <w:tcPr>
            <w:tcW w:w="2126" w:type="dxa"/>
            <w:vAlign w:val="center"/>
            <w:vMerge w:val="continue"/>
            <w:textDirection w:val="lrTb"/>
            <w:noWrap w:val="false"/>
          </w:tcPr>
          <w:p>
            <w:pPr>
              <w:rPr>
                <w:rFonts w:hint="eastAsia" w:ascii="宋体" w:hAnsi="宋体" w:eastAsia="宋体" w:cs="宋体"/>
                <w:sz w:val="18"/>
                <w:szCs w:val="18"/>
              </w:rPr>
            </w:pPr>
            <w:r>
              <w:rPr>
                <w:rFonts w:hint="eastAsia" w:ascii="宋体" w:hAnsi="宋体" w:eastAsia="宋体" w:cs="宋体"/>
                <w:sz w:val="18"/>
                <w:szCs w:val="18"/>
              </w:rPr>
            </w:r>
            <w:r/>
          </w:p>
        </w:tc>
      </w:tr>
    </w:tbl>
    <w:p>
      <w:pPr>
        <w:jc w:val="left"/>
        <w:spacing w:after="156" w:line="400" w:lineRule="exact"/>
        <w:widowControl/>
        <w:rPr>
          <w:rFonts w:hint="eastAsia" w:ascii="Times New Roman" w:hAnsi="Times New Roman" w:eastAsia="宋体" w:cs="Times New Roman"/>
          <w:b/>
          <w:szCs w:val="21"/>
        </w:rPr>
      </w:pPr>
      <w:r>
        <w:rPr>
          <w:rFonts w:hint="eastAsia" w:ascii="Times New Roman" w:hAnsi="Times New Roman" w:eastAsia="宋体" w:cs="Times New Roman"/>
          <w:b/>
          <w:szCs w:val="21"/>
        </w:rPr>
        <w:t xml:space="preserve">（续）</w:t>
      </w:r>
      <w:r/>
    </w:p>
    <w:tbl>
      <w:tblPr>
        <w:tblStyle w:val="8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0"/>
        <w:gridCol w:w="1889"/>
        <w:gridCol w:w="3827"/>
        <w:gridCol w:w="2126"/>
      </w:tblGrid>
      <w:tr>
        <w:trPr>
          <w:jc w:val="center"/>
          <w:trHeight w:val="482" w:hRule="exact"/>
        </w:trPr>
        <w:tc>
          <w:tcPr>
            <w:tcW w:w="1230"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系统</w:t>
            </w:r>
            <w:r/>
          </w:p>
        </w:tc>
        <w:tc>
          <w:tcPr>
            <w:tcW w:w="1889"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子项目</w:t>
            </w:r>
            <w:r/>
          </w:p>
        </w:tc>
        <w:tc>
          <w:tcPr>
            <w:tcW w:w="3827"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维护保养内容</w:t>
            </w:r>
            <w:r/>
          </w:p>
        </w:tc>
        <w:tc>
          <w:tcPr>
            <w:tcW w:w="2126"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周期</w:t>
            </w:r>
            <w:r/>
          </w:p>
        </w:tc>
      </w:tr>
      <w:tr>
        <w:trPr>
          <w:jc w:val="center"/>
          <w:trHeight w:val="678" w:hRule="exact"/>
        </w:trPr>
        <w:tc>
          <w:tcPr>
            <w:tcW w:w="1230"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消防供水设施</w:t>
            </w:r>
            <w:r/>
          </w:p>
        </w:tc>
        <w:tc>
          <w:tcPr>
            <w:tcW w:w="1889" w:type="dxa"/>
            <w:vAlign w:val="center"/>
            <w:vMerge w:val="restart"/>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t xml:space="preserve">消防水泵控制柜</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自动启泵（压力开关、流量开关、消火栓按钮、电极点压力表）</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80"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状态信号反馈（控制方式、启停泵）</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restart"/>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t xml:space="preserve">稳(增)压泵控制</w:t>
            </w:r>
            <w:r/>
          </w:p>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t xml:space="preserve">气压水罐</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检查外观，控制箱的指示灯和开关</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气压水罐的气压、水位、有效容积</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679"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模拟系统渗漏，测试稳压泵、增压泵及气压水罐自动稳压、增压的工况</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每季1次全数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手动、自动状态切换及用户设置</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启停泵压力、启停次数</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手动、自动、故障切换功能测试</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每季1次全数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restart"/>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t xml:space="preserve">管道阀门</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检查管道、阀门开闭状态是否正常</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检查铅封、锁链的状况</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室外阀门井中控制阀门的开启状态</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每季1次全数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检测电动（磁）阀的供电、启闭功能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试验减压装置减压功能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检查室外消火栓给水引入管倒流防止器的设置</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restart"/>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t xml:space="preserve">水泵接合器</w:t>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检查外观、系统标识</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闸阀的启闭、密封性</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每季1次全数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周围应无障碍物</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利用消防车或机动泵测试供水能力</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每年1次全数</w:t>
            </w:r>
            <w:r/>
          </w:p>
        </w:tc>
      </w:tr>
      <w:tr>
        <w:trPr>
          <w:jc w:val="center"/>
          <w:trHeight w:val="425" w:hRule="exact"/>
        </w:trPr>
        <w:tc>
          <w:tcPr>
            <w:tcW w:w="1230"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消火栓系统</w:t>
            </w:r>
            <w:r/>
          </w:p>
        </w:tc>
        <w:tc>
          <w:tcPr>
            <w:tcW w:w="1889" w:type="dxa"/>
            <w:vAlign w:val="center"/>
            <w:vMerge w:val="restart"/>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室内消火栓</w:t>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检查消火栓箱外观、可开启角度</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检查消火栓箱标识、配件及外观</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检查栓口、手轮转动及密封性</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检查减压孔板的外观</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检查栓口出水状况</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测试最不利点（或试验消火栓）压力</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周围应无影响使用的障碍物</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测试消火栓按钮报警功能</w:t>
            </w:r>
            <w:r/>
          </w:p>
        </w:tc>
        <w:tc>
          <w:tcPr>
            <w:tcW w:w="2126" w:type="dxa"/>
            <w:vAlign w:val="center"/>
            <w:vMerge w:val="continue"/>
            <w:textDirection w:val="lrTb"/>
            <w:noWrap w:val="false"/>
          </w:tcPr>
          <w:p>
            <w:pP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测试联动（联锁）启泵功能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每月1次年全数</w:t>
            </w:r>
            <w:r/>
          </w:p>
        </w:tc>
      </w:tr>
      <w:tr>
        <w:trPr>
          <w:jc w:val="center"/>
          <w:trHeight w:val="425" w:hRule="exact"/>
        </w:trPr>
        <w:tc>
          <w:tcPr>
            <w:tcW w:w="123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89"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室外消火栓</w:t>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检查外观及标识</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bl>
    <w:p>
      <w:pPr>
        <w:jc w:val="left"/>
        <w:spacing w:after="156" w:line="400" w:lineRule="exact"/>
        <w:widowControl/>
        <w:rPr>
          <w:rFonts w:hint="eastAsia" w:ascii="Times New Roman" w:hAnsi="Times New Roman" w:eastAsia="宋体" w:cs="Times New Roman"/>
          <w:b/>
          <w:szCs w:val="21"/>
        </w:rPr>
      </w:pPr>
      <w:r>
        <w:rPr>
          <w:rFonts w:hint="eastAsia" w:ascii="Times New Roman" w:hAnsi="Times New Roman" w:eastAsia="宋体" w:cs="Times New Roman"/>
          <w:b/>
          <w:szCs w:val="21"/>
        </w:rPr>
        <w:t xml:space="preserve">（续）</w:t>
      </w:r>
      <w:r/>
    </w:p>
    <w:tbl>
      <w:tblPr>
        <w:tblStyle w:val="869"/>
        <w:tblpPr w:horzAnchor="page" w:tblpX="1522" w:vertAnchor="text" w:tblpY="546" w:leftFromText="180" w:topFromText="0" w:rightFromText="180" w:bottomFromText="0"/>
        <w:tblW w:w="9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1859"/>
        <w:gridCol w:w="3827"/>
        <w:gridCol w:w="2126"/>
      </w:tblGrid>
      <w:tr>
        <w:trPr>
          <w:trHeight w:val="482" w:hRule="exact"/>
        </w:trPr>
        <w:tc>
          <w:tcPr>
            <w:tcW w:w="1260"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系统</w:t>
            </w:r>
            <w:r/>
          </w:p>
        </w:tc>
        <w:tc>
          <w:tcPr>
            <w:tcW w:w="1859"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子项目</w:t>
            </w:r>
            <w:r/>
          </w:p>
        </w:tc>
        <w:tc>
          <w:tcPr>
            <w:tcW w:w="3827"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维护保养内容</w:t>
            </w:r>
            <w:r/>
          </w:p>
        </w:tc>
        <w:tc>
          <w:tcPr>
            <w:tcW w:w="2126"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周期</w:t>
            </w:r>
            <w:r/>
          </w:p>
        </w:tc>
      </w:tr>
      <w:tr>
        <w:trPr>
          <w:trHeight w:val="425" w:hRule="exact"/>
        </w:trPr>
        <w:tc>
          <w:tcPr>
            <w:tcW w:w="1260"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消火栓系统</w:t>
            </w:r>
            <w:r/>
          </w:p>
        </w:tc>
        <w:tc>
          <w:tcPr>
            <w:tcW w:w="1859" w:type="dxa"/>
            <w:vAlign w:val="center"/>
            <w:vMerge w:val="restart"/>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t xml:space="preserve">室外消火栓</w:t>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检查闷盖的完好性</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检查栓口操作性能、密封性</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每季1次全数</w:t>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tabs>
                <w:tab w:val="left" w:pos="3877" w:leader="none"/>
              </w:tabs>
              <w:rPr>
                <w:rFonts w:hint="eastAsia" w:ascii="宋体" w:hAnsi="宋体" w:eastAsia="宋体" w:cs="宋体"/>
                <w:sz w:val="18"/>
                <w:szCs w:val="18"/>
              </w:rPr>
            </w:pPr>
            <w:r>
              <w:rPr>
                <w:rFonts w:hint="eastAsia" w:ascii="宋体" w:hAnsi="宋体" w:eastAsia="宋体" w:cs="宋体"/>
                <w:sz w:val="18"/>
                <w:szCs w:val="18"/>
              </w:rPr>
              <w:t xml:space="preserve">周围应无影响使用的障碍物</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sz w:val="18"/>
                <w:szCs w:val="18"/>
              </w:rPr>
              <w:t xml:space="preserve">测试静压、动压</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每季1次全数</w:t>
            </w:r>
            <w:r/>
          </w:p>
        </w:tc>
      </w:tr>
      <w:tr>
        <w:trPr>
          <w:trHeight w:val="425" w:hRule="exact"/>
        </w:trPr>
        <w:tc>
          <w:tcPr>
            <w:tcW w:w="1260"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自动喷水灭火系统</w:t>
            </w:r>
            <w:r/>
          </w:p>
        </w:tc>
        <w:tc>
          <w:tcPr>
            <w:tcW w:w="1859" w:type="dxa"/>
            <w:vAlign w:val="center"/>
            <w:textDirection w:val="lrTb"/>
            <w:noWrap w:val="false"/>
          </w:tcPr>
          <w:p>
            <w:pPr>
              <w:numPr>
                <w:ilvl w:val="0"/>
                <w:numId w:val="0"/>
              </w:numPr>
              <w:ind w:left="34"/>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喷头</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检查外观、安装、选型及周边障碍物</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vMerge w:val="restart"/>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湿式报警阀组</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检查外观</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核查系统压力值</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试验压力开关动作反馈及联动启泵</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试验警铃声报警功能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textDirection w:val="lrTb"/>
            <w:noWrap w:val="false"/>
          </w:tcPr>
          <w:p>
            <w:pPr>
              <w:numPr>
                <w:ilvl w:val="0"/>
                <w:numId w:val="0"/>
              </w:numPr>
              <w:ind w:left="34"/>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水流指示器</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试验反馈信号</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vMerge w:val="restart"/>
            <w:textDirection w:val="lrTb"/>
            <w:noWrap w:val="false"/>
          </w:tcPr>
          <w:p>
            <w:pPr>
              <w:numPr>
                <w:ilvl w:val="0"/>
                <w:numId w:val="0"/>
              </w:numPr>
              <w:ind w:left="34"/>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末端试水装置</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检查外观（出水口、试验阀、压力表）</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检查排水设施</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进行放水试验</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textDirection w:val="lrTb"/>
            <w:noWrap w:val="false"/>
          </w:tcPr>
          <w:p>
            <w:pPr>
              <w:numPr>
                <w:ilvl w:val="0"/>
                <w:numId w:val="0"/>
              </w:num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t xml:space="preserve">联动试验</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测试联锁启动喷淋泵功能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每年1次全数</w:t>
            </w:r>
            <w:r/>
          </w:p>
        </w:tc>
      </w:tr>
      <w:tr>
        <w:trPr>
          <w:trHeight w:val="425" w:hRule="exact"/>
        </w:trPr>
        <w:tc>
          <w:tcPr>
            <w:tcW w:w="1260"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气体灭火系统</w:t>
            </w:r>
            <w:r/>
          </w:p>
        </w:tc>
        <w:tc>
          <w:tcPr>
            <w:tcW w:w="1859"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系统各组件</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外观、铭牌、标识、固定、铅封、防护罩</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灭火剂储存装置</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压力指示或称重等</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vMerge w:val="restart"/>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驱动气存储容器</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外观、铭牌</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vMerge w:val="continue"/>
            <w:textDirection w:val="lrTb"/>
            <w:noWrap w:val="false"/>
          </w:tcPr>
          <w:p>
            <w:pPr>
              <w:numPr>
                <w:ilvl w:val="0"/>
                <w:numId w:val="7"/>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压力指示</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喷嘴</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孔口有无堵塞</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输送管道</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有无损伤或堵塞</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检漏装置</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测试称重、检漏功能</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声光报警</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试验声光警报功能</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每季1次全数</w:t>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放气指示</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试验放气指示功能</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电磁阀</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试验电磁阀的启动</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火灾探测器</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试验报警功能</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textDirection w:val="lrTb"/>
            <w:noWrap w:val="false"/>
          </w:tcPr>
          <w:p>
            <w:pPr>
              <w:numPr>
                <w:ilvl w:val="0"/>
                <w:numId w:val="0"/>
              </w:numPr>
              <w:ind w:right="-109"/>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紧急启/停按钮</w:t>
            </w:r>
            <w:r/>
          </w:p>
        </w:tc>
        <w:tc>
          <w:tcPr>
            <w:tcW w:w="3827" w:type="dxa"/>
            <w:vAlign w:val="center"/>
            <w:textDirection w:val="lrTb"/>
            <w:noWrap w:val="false"/>
          </w:tcPr>
          <w:p>
            <w:pPr>
              <w:ind w:right="-109"/>
              <w:jc w:val="center"/>
              <w:rPr>
                <w:rFonts w:hint="eastAsia" w:ascii="宋体" w:hAnsi="宋体" w:eastAsia="宋体" w:cs="宋体"/>
                <w:sz w:val="18"/>
                <w:szCs w:val="18"/>
              </w:rPr>
            </w:pPr>
            <w:r>
              <w:rPr>
                <w:rFonts w:hint="eastAsia" w:ascii="宋体" w:hAnsi="宋体" w:eastAsia="宋体" w:cs="宋体"/>
                <w:sz w:val="18"/>
                <w:szCs w:val="18"/>
              </w:rPr>
              <w:t xml:space="preserve">试验按钮的紧急功能</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textDirection w:val="lrTb"/>
            <w:noWrap w:val="false"/>
          </w:tcPr>
          <w:p>
            <w:pPr>
              <w:numPr>
                <w:ilvl w:val="0"/>
                <w:numId w:val="0"/>
              </w:numPr>
              <w:ind w:right="-109"/>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通风换气设备</w:t>
            </w:r>
            <w:r/>
          </w:p>
        </w:tc>
        <w:tc>
          <w:tcPr>
            <w:tcW w:w="3827" w:type="dxa"/>
            <w:vAlign w:val="center"/>
            <w:textDirection w:val="lrTb"/>
            <w:noWrap w:val="false"/>
          </w:tcPr>
          <w:p>
            <w:pPr>
              <w:ind w:right="-109"/>
              <w:jc w:val="center"/>
              <w:rPr>
                <w:rFonts w:hint="eastAsia" w:ascii="宋体" w:hAnsi="宋体" w:eastAsia="宋体" w:cs="宋体"/>
                <w:sz w:val="18"/>
                <w:szCs w:val="18"/>
              </w:rPr>
            </w:pPr>
            <w:r>
              <w:rPr>
                <w:rFonts w:hint="eastAsia" w:ascii="宋体" w:hAnsi="宋体" w:eastAsia="宋体" w:cs="宋体"/>
                <w:sz w:val="18"/>
                <w:szCs w:val="18"/>
              </w:rPr>
              <w:t xml:space="preserve">检查通风换气功能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textDirection w:val="lrTb"/>
            <w:noWrap w:val="false"/>
          </w:tcPr>
          <w:p>
            <w:pPr>
              <w:numPr>
                <w:ilvl w:val="0"/>
                <w:numId w:val="0"/>
              </w:numPr>
              <w:ind w:right="-109"/>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气体灭火控制器</w:t>
            </w:r>
            <w:r/>
          </w:p>
        </w:tc>
        <w:tc>
          <w:tcPr>
            <w:tcW w:w="3827" w:type="dxa"/>
            <w:vAlign w:val="center"/>
            <w:textDirection w:val="lrTb"/>
            <w:noWrap w:val="false"/>
          </w:tcPr>
          <w:p>
            <w:pPr>
              <w:ind w:right="-109"/>
              <w:rPr>
                <w:rFonts w:hint="eastAsia" w:ascii="宋体" w:hAnsi="宋体" w:eastAsia="宋体" w:cs="宋体"/>
                <w:sz w:val="18"/>
                <w:szCs w:val="18"/>
              </w:rPr>
            </w:pPr>
            <w:r>
              <w:rPr>
                <w:rFonts w:hint="eastAsia" w:ascii="宋体" w:hAnsi="宋体" w:eastAsia="宋体" w:cs="宋体"/>
                <w:sz w:val="18"/>
                <w:szCs w:val="18"/>
              </w:rPr>
              <w:t xml:space="preserve">检查基本功能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trHeight w:val="425" w:hRule="exact"/>
        </w:trPr>
        <w:tc>
          <w:tcPr>
            <w:tcW w:w="126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59" w:type="dxa"/>
            <w:vAlign w:val="center"/>
            <w:textDirection w:val="lrTb"/>
            <w:noWrap w:val="false"/>
          </w:tcPr>
          <w:p>
            <w:pPr>
              <w:numPr>
                <w:ilvl w:val="0"/>
                <w:numId w:val="0"/>
              </w:numPr>
              <w:ind w:right="-109"/>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联动控制功能</w:t>
            </w:r>
            <w:r/>
          </w:p>
        </w:tc>
        <w:tc>
          <w:tcPr>
            <w:tcW w:w="3827" w:type="dxa"/>
            <w:vAlign w:val="center"/>
            <w:textDirection w:val="lrTb"/>
            <w:noWrap w:val="false"/>
          </w:tcPr>
          <w:p>
            <w:pPr>
              <w:ind w:right="-109"/>
              <w:rPr>
                <w:rFonts w:hint="eastAsia" w:ascii="宋体" w:hAnsi="宋体" w:eastAsia="宋体" w:cs="宋体"/>
                <w:sz w:val="18"/>
                <w:szCs w:val="18"/>
              </w:rPr>
            </w:pPr>
            <w:r>
              <w:rPr>
                <w:rFonts w:hint="eastAsia" w:ascii="宋体" w:hAnsi="宋体" w:eastAsia="宋体" w:cs="宋体"/>
                <w:sz w:val="18"/>
                <w:szCs w:val="18"/>
              </w:rPr>
              <w:t xml:space="preserve">试验报警联动控制有关设备</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每季1次全数</w:t>
            </w:r>
            <w:r/>
          </w:p>
        </w:tc>
      </w:tr>
    </w:tbl>
    <w:p>
      <w:pPr>
        <w:jc w:val="left"/>
        <w:spacing w:after="156"/>
        <w:widowControl/>
        <w:rPr>
          <w:rFonts w:hint="eastAsia" w:ascii="Times New Roman" w:hAnsi="Times New Roman" w:eastAsia="宋体" w:cs="Times New Roman"/>
          <w:b/>
          <w:szCs w:val="21"/>
        </w:rPr>
      </w:pPr>
      <w:r>
        <w:rPr>
          <w:rFonts w:hint="eastAsia" w:ascii="Times New Roman" w:hAnsi="Times New Roman" w:eastAsia="宋体" w:cs="Times New Roman"/>
          <w:b/>
          <w:szCs w:val="21"/>
        </w:rPr>
        <w:t xml:space="preserve">（续）</w:t>
      </w:r>
      <w:r/>
    </w:p>
    <w:tbl>
      <w:tblPr>
        <w:tblStyle w:val="8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5"/>
        <w:gridCol w:w="1844"/>
        <w:gridCol w:w="3827"/>
        <w:gridCol w:w="2126"/>
      </w:tblGrid>
      <w:tr>
        <w:trPr>
          <w:jc w:val="center"/>
          <w:trHeight w:val="482" w:hRule="exact"/>
        </w:trPr>
        <w:tc>
          <w:tcPr>
            <w:tcW w:w="1275"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系统</w:t>
            </w:r>
            <w:r/>
          </w:p>
        </w:tc>
        <w:tc>
          <w:tcPr>
            <w:tcW w:w="1844"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子项目</w:t>
            </w:r>
            <w:r/>
          </w:p>
        </w:tc>
        <w:tc>
          <w:tcPr>
            <w:tcW w:w="3827"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维护保养内容</w:t>
            </w:r>
            <w:r/>
          </w:p>
        </w:tc>
        <w:tc>
          <w:tcPr>
            <w:tcW w:w="2126"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b/>
                <w:sz w:val="18"/>
                <w:szCs w:val="18"/>
              </w:rPr>
              <w:t xml:space="preserve">周期</w:t>
            </w:r>
            <w:r/>
          </w:p>
        </w:tc>
      </w:tr>
      <w:tr>
        <w:trPr>
          <w:jc w:val="center"/>
          <w:trHeight w:val="425" w:hRule="exact"/>
        </w:trPr>
        <w:tc>
          <w:tcPr>
            <w:tcW w:w="1275"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机械加压送风系统</w:t>
            </w:r>
            <w:r/>
          </w:p>
        </w:tc>
        <w:tc>
          <w:tcPr>
            <w:tcW w:w="1844" w:type="dxa"/>
            <w:vAlign w:val="center"/>
            <w:textDirection w:val="lrTb"/>
            <w:noWrap w:val="false"/>
          </w:tcPr>
          <w:p>
            <w:pPr>
              <w:numPr>
                <w:ilvl w:val="0"/>
                <w:numId w:val="0"/>
              </w:numPr>
              <w:jc w:val="center"/>
              <w:rPr>
                <w:rFonts w:hint="eastAsia" w:ascii="宋体" w:hAnsi="宋体" w:eastAsia="宋体" w:cs="宋体"/>
                <w:sz w:val="18"/>
                <w:szCs w:val="18"/>
              </w:rPr>
            </w:pPr>
            <w:r>
              <w:rPr>
                <w:rFonts w:hint="eastAsia" w:ascii="宋体" w:hAnsi="宋体" w:eastAsia="宋体" w:cs="宋体"/>
                <w:sz w:val="18"/>
                <w:szCs w:val="18"/>
              </w:rPr>
              <w:t xml:space="preserve">风管（道）</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检查完好状况，有无异物、变形</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textDirection w:val="lrTb"/>
            <w:noWrap w:val="false"/>
          </w:tcPr>
          <w:p>
            <w:pPr>
              <w:numPr>
                <w:ilvl w:val="0"/>
                <w:numId w:val="0"/>
              </w:numPr>
              <w:jc w:val="center"/>
              <w:rPr>
                <w:rFonts w:hint="eastAsia" w:ascii="宋体" w:hAnsi="宋体" w:eastAsia="宋体" w:cs="宋体"/>
                <w:sz w:val="18"/>
                <w:szCs w:val="18"/>
              </w:rPr>
            </w:pPr>
            <w:r>
              <w:rPr>
                <w:rFonts w:hint="eastAsia" w:ascii="宋体" w:hAnsi="宋体" w:eastAsia="宋体" w:cs="宋体"/>
                <w:sz w:val="18"/>
                <w:szCs w:val="18"/>
              </w:rPr>
              <w:t xml:space="preserve">室外进风口</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检查进风口是否通畅</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textDirection w:val="lrTb"/>
            <w:noWrap w:val="false"/>
          </w:tcPr>
          <w:p>
            <w:pPr>
              <w:numPr>
                <w:ilvl w:val="0"/>
                <w:numId w:val="0"/>
              </w:numPr>
              <w:jc w:val="center"/>
              <w:rPr>
                <w:rFonts w:hint="eastAsia" w:ascii="宋体" w:hAnsi="宋体" w:eastAsia="宋体" w:cs="宋体"/>
                <w:sz w:val="18"/>
                <w:szCs w:val="18"/>
              </w:rPr>
            </w:pPr>
            <w:r>
              <w:rPr>
                <w:rFonts w:hint="eastAsia" w:ascii="宋体" w:hAnsi="宋体" w:eastAsia="宋体" w:cs="宋体"/>
                <w:sz w:val="18"/>
                <w:szCs w:val="18"/>
              </w:rPr>
              <w:t xml:space="preserve">供电</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检查供电线路，双电源切换试验</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vMerge w:val="restart"/>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送风口</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检查外观及有无遮挡物</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检查系统启动后风的状况</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vMerge w:val="restart"/>
            <w:textDirection w:val="lrTb"/>
            <w:noWrap w:val="false"/>
          </w:tcPr>
          <w:p>
            <w:pPr>
              <w:numPr>
                <w:ilvl w:val="0"/>
                <w:numId w:val="0"/>
              </w:numPr>
              <w:jc w:val="center"/>
              <w:tabs>
                <w:tab w:val="left" w:pos="327" w:leader="none"/>
              </w:tabs>
              <w:rPr>
                <w:rFonts w:hint="eastAsia" w:ascii="宋体" w:hAnsi="宋体" w:eastAsia="宋体" w:cs="宋体"/>
                <w:sz w:val="18"/>
                <w:szCs w:val="18"/>
              </w:rPr>
            </w:pPr>
            <w:r>
              <w:rPr>
                <w:rFonts w:hint="eastAsia" w:ascii="宋体" w:hAnsi="宋体" w:eastAsia="宋体" w:cs="宋体"/>
                <w:sz w:val="18"/>
                <w:szCs w:val="18"/>
              </w:rPr>
              <w:t xml:space="preserve">送风阀</w:t>
            </w:r>
            <w:r/>
          </w:p>
        </w:tc>
        <w:tc>
          <w:tcPr>
            <w:tcW w:w="3827" w:type="dxa"/>
            <w:vAlign w:val="center"/>
            <w:textDirection w:val="lrTb"/>
            <w:noWrap w:val="false"/>
          </w:tcPr>
          <w:p>
            <w:pPr>
              <w:jc w:val="center"/>
              <w:rPr>
                <w:rFonts w:hint="eastAsia" w:ascii="宋体" w:hAnsi="宋体" w:eastAsia="宋体" w:cs="宋体"/>
                <w:b/>
                <w:sz w:val="18"/>
                <w:szCs w:val="18"/>
              </w:rPr>
            </w:pPr>
            <w:r>
              <w:rPr>
                <w:rFonts w:hint="eastAsia" w:ascii="宋体" w:hAnsi="宋体" w:eastAsia="宋体" w:cs="宋体"/>
                <w:sz w:val="18"/>
                <w:szCs w:val="18"/>
              </w:rPr>
              <w:t xml:space="preserve">试验手动开闭，查反馈信号</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试验联动送风机启动功能</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送风机</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试验手动启、停功能，核对反馈信号</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每季1次全数</w:t>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vMerge w:val="restart"/>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送风机控制柜</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检查外观、标识</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检查指示灯、按钮功能</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联动控制功能</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试验报警联动</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每年1次全数</w:t>
            </w:r>
            <w:r/>
          </w:p>
        </w:tc>
      </w:tr>
      <w:tr>
        <w:trPr>
          <w:jc w:val="center"/>
          <w:trHeight w:val="425" w:hRule="exact"/>
        </w:trPr>
        <w:tc>
          <w:tcPr>
            <w:tcW w:w="1275"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机械排烟系统</w:t>
            </w:r>
            <w:r/>
          </w:p>
        </w:tc>
        <w:tc>
          <w:tcPr>
            <w:tcW w:w="1844" w:type="dxa"/>
            <w:vAlign w:val="center"/>
            <w:textDirection w:val="lrTb"/>
            <w:noWrap w:val="false"/>
          </w:tcPr>
          <w:p>
            <w:pPr>
              <w:numPr>
                <w:ilvl w:val="0"/>
                <w:numId w:val="0"/>
              </w:numPr>
              <w:jc w:val="center"/>
              <w:rPr>
                <w:rFonts w:hint="eastAsia" w:ascii="宋体" w:hAnsi="宋体" w:eastAsia="宋体" w:cs="宋体"/>
                <w:sz w:val="18"/>
                <w:szCs w:val="18"/>
              </w:rPr>
            </w:pPr>
            <w:r>
              <w:rPr>
                <w:rFonts w:hint="eastAsia" w:ascii="宋体" w:hAnsi="宋体" w:eastAsia="宋体" w:cs="宋体"/>
                <w:sz w:val="18"/>
                <w:szCs w:val="18"/>
              </w:rPr>
              <w:t xml:space="preserve">风管（道）</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检查完好状况，有无异物、变形</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每月1次全数</w:t>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textDirection w:val="lrTb"/>
            <w:noWrap w:val="false"/>
          </w:tcPr>
          <w:p>
            <w:pPr>
              <w:numPr>
                <w:ilvl w:val="0"/>
                <w:numId w:val="0"/>
              </w:numPr>
              <w:jc w:val="center"/>
              <w:rPr>
                <w:rFonts w:hint="eastAsia" w:ascii="宋体" w:hAnsi="宋体" w:eastAsia="宋体" w:cs="宋体"/>
                <w:sz w:val="18"/>
                <w:szCs w:val="18"/>
              </w:rPr>
            </w:pPr>
            <w:r>
              <w:rPr>
                <w:rFonts w:hint="eastAsia" w:ascii="宋体" w:hAnsi="宋体" w:eastAsia="宋体" w:cs="宋体"/>
                <w:sz w:val="18"/>
                <w:szCs w:val="18"/>
              </w:rPr>
              <w:t xml:space="preserve">室外出风口</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检查出风口是否通畅</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textDirection w:val="lrTb"/>
            <w:noWrap w:val="false"/>
          </w:tcPr>
          <w:p>
            <w:pPr>
              <w:numPr>
                <w:ilvl w:val="0"/>
                <w:numId w:val="0"/>
              </w:numPr>
              <w:jc w:val="center"/>
              <w:rPr>
                <w:rFonts w:hint="eastAsia" w:ascii="宋体" w:hAnsi="宋体" w:eastAsia="宋体" w:cs="宋体"/>
                <w:sz w:val="18"/>
                <w:szCs w:val="18"/>
              </w:rPr>
            </w:pPr>
            <w:r>
              <w:rPr>
                <w:rFonts w:hint="eastAsia" w:ascii="宋体" w:hAnsi="宋体" w:eastAsia="宋体" w:cs="宋体"/>
                <w:sz w:val="18"/>
                <w:szCs w:val="18"/>
              </w:rPr>
              <w:t xml:space="preserve">供电</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检查供电线路，双电源切换试验</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自然排烟设施</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试验开启功能</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每月10%以上年数</w:t>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vMerge w:val="restart"/>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排烟口</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检查外观及无遮挡物</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每月10%以上年数</w:t>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检查系统启动后风的状况</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vMerge w:val="restart"/>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排烟阀</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试验手动开闭，核对反馈信号</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试验联动排烟风机启动功能</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排烟防火阀(280°C)</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试验联动排烟风机停止功能</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vMerge w:val="restart"/>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挡烟垂壁</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检查外观</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测试电动挡烟垂壁的释放，核查反馈信号</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排烟风机</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试验手动启停，核对反馈信号</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每季1次全数</w:t>
            </w:r>
            <w:r/>
          </w:p>
        </w:tc>
      </w:tr>
      <w:tr>
        <w:trPr>
          <w:jc w:val="center"/>
          <w:trHeight w:val="53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vMerge w:val="restart"/>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排烟风机控制柜</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检查外观、标识</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520"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vMerge w:val="continue"/>
            <w:textDirection w:val="lrTb"/>
            <w:noWrap w:val="false"/>
          </w:tcPr>
          <w:p>
            <w:pPr>
              <w:jc w:val="center"/>
              <w:tabs>
                <w:tab w:val="left" w:pos="267" w:leader="none"/>
              </w:tabs>
              <w:rPr>
                <w:rFonts w:hint="eastAsia" w:ascii="宋体" w:hAnsi="宋体" w:eastAsia="宋体" w:cs="宋体"/>
                <w:sz w:val="18"/>
                <w:szCs w:val="18"/>
              </w:rPr>
            </w:pPr>
            <w:r>
              <w:rPr>
                <w:rFonts w:hint="eastAsia" w:ascii="宋体" w:hAnsi="宋体" w:eastAsia="宋体" w:cs="宋体"/>
                <w:sz w:val="18"/>
                <w:szCs w:val="18"/>
              </w:rPr>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检查指示灯、按钮功能</w:t>
            </w:r>
            <w:r/>
          </w:p>
        </w:tc>
        <w:tc>
          <w:tcPr>
            <w:tcW w:w="2126"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540"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联动控制功能</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试验报警联动</w:t>
            </w:r>
            <w:r/>
          </w:p>
        </w:tc>
        <w:tc>
          <w:tcPr>
            <w:tcW w:w="2126"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每年1次全数</w:t>
            </w:r>
            <w:r/>
          </w:p>
        </w:tc>
      </w:tr>
      <w:tr>
        <w:trPr>
          <w:jc w:val="center"/>
          <w:trHeight w:val="555" w:hRule="exact"/>
        </w:trPr>
        <w:tc>
          <w:tcPr>
            <w:tcW w:w="1275"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应急照明和疏散指示系统</w:t>
            </w:r>
            <w:r/>
          </w:p>
        </w:tc>
        <w:tc>
          <w:tcPr>
            <w:tcW w:w="1844"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外观及固定</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检查灯具外观及固定状况</w:t>
            </w:r>
            <w:r/>
          </w:p>
        </w:tc>
        <w:tc>
          <w:tcPr>
            <w:tcW w:w="2126" w:type="dxa"/>
            <w:vAlign w:val="center"/>
            <w:vMerge w:val="restart"/>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每月10%以上年全数</w:t>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应急照明灯</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检查正常及应急状态下的显示</w:t>
            </w:r>
            <w:r/>
          </w:p>
        </w:tc>
        <w:tc>
          <w:tcPr>
            <w:tcW w:w="2126" w:type="dxa"/>
            <w:vAlign w:val="center"/>
            <w:vMerge w:val="continue"/>
            <w:textDirection w:val="lrTb"/>
            <w:noWrap w:val="false"/>
          </w:tcPr>
          <w:p>
            <w:pPr>
              <w:rPr>
                <w:rFonts w:hint="eastAsia" w:ascii="宋体" w:hAnsi="宋体" w:eastAsia="宋体" w:cs="宋体"/>
                <w:sz w:val="18"/>
                <w:szCs w:val="18"/>
              </w:rPr>
            </w:pPr>
            <w:r>
              <w:rPr>
                <w:rFonts w:hint="eastAsia" w:ascii="宋体" w:hAnsi="宋体" w:eastAsia="宋体" w:cs="宋体"/>
                <w:sz w:val="18"/>
                <w:szCs w:val="18"/>
              </w:rPr>
            </w:r>
            <w:r/>
          </w:p>
        </w:tc>
      </w:tr>
      <w:tr>
        <w:trPr>
          <w:jc w:val="center"/>
          <w:trHeight w:val="425" w:hRule="exact"/>
        </w:trPr>
        <w:tc>
          <w:tcPr>
            <w:tcW w:w="127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W w:w="1844" w:type="dxa"/>
            <w:vAlign w:val="center"/>
            <w:textDirection w:val="lrTb"/>
            <w:noWrap w:val="false"/>
          </w:tcPr>
          <w:p>
            <w:pPr>
              <w:numPr>
                <w:ilvl w:val="0"/>
                <w:numId w:val="0"/>
              </w:numPr>
              <w:jc w:val="center"/>
              <w:tabs>
                <w:tab w:val="left" w:pos="318" w:leader="none"/>
              </w:tabs>
              <w:rPr>
                <w:rFonts w:hint="eastAsia" w:ascii="宋体" w:hAnsi="宋体" w:eastAsia="宋体" w:cs="宋体"/>
                <w:sz w:val="18"/>
                <w:szCs w:val="18"/>
              </w:rPr>
            </w:pPr>
            <w:r>
              <w:rPr>
                <w:rFonts w:hint="eastAsia" w:ascii="宋体" w:hAnsi="宋体" w:eastAsia="宋体" w:cs="宋体"/>
                <w:sz w:val="18"/>
                <w:szCs w:val="18"/>
              </w:rPr>
              <w:t xml:space="preserve">疏散指示标志</w:t>
            </w:r>
            <w:r/>
          </w:p>
        </w:tc>
        <w:tc>
          <w:tcPr>
            <w:tcW w:w="3827"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t xml:space="preserve">检查正常及应急状态下的显示</w:t>
            </w:r>
            <w:r/>
          </w:p>
        </w:tc>
        <w:tc>
          <w:tcPr>
            <w:tcW w:w="2126" w:type="dxa"/>
            <w:vAlign w:val="center"/>
            <w:vMerge w:val="continue"/>
            <w:textDirection w:val="lrTb"/>
            <w:noWrap w:val="false"/>
          </w:tcPr>
          <w:p>
            <w:pPr>
              <w:rPr>
                <w:rFonts w:hint="eastAsia" w:ascii="宋体" w:hAnsi="宋体" w:eastAsia="宋体" w:cs="宋体"/>
                <w:sz w:val="18"/>
                <w:szCs w:val="18"/>
              </w:rPr>
            </w:pPr>
            <w:r>
              <w:rPr>
                <w:rFonts w:hint="eastAsia" w:ascii="宋体" w:hAnsi="宋体" w:eastAsia="宋体" w:cs="宋体"/>
                <w:sz w:val="18"/>
                <w:szCs w:val="18"/>
              </w:rPr>
            </w:r>
            <w:r/>
          </w:p>
        </w:tc>
      </w:tr>
    </w:tbl>
    <w:p>
      <w:pPr>
        <w:ind w:firstLine="21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维护保养所涉及的周期抽查方式必须为循环巡检法。</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在本项目中，火灾自动报警系统和防火门监控等所使用的产品，要求投标单位具备丰富的技术服务能力，并能够熟练应对实际技术问题的解决。</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任何消防设备的更换能够独立完成主机程序的调整。</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在服务期间，投标人有责任和义务配合招标人及上级主管部门进行消防检查、培训、宣传以及其他与消防相关的工作。同时，投标人应具备针对甲方不同场景和岗位的培训能力。</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在消防设施维护保养服务期间，投标人必须确保系统的正常运行。根据《建筑消防设施的维护管理》（GB25201）和《建筑消防设施维护保养规程》（DB32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T 4696）等消防技术规程的相关要求，包括内容、程序和周期等，投标人需对约定范围内的建筑消防设施进行检查、维修、保养、测试和更换等技术服务。</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消防设备维护保养单位应严格按照标准要求进行维护保养工作，确保每月按计划完成当月的维保任务。同时，单位需向招标人提交消防系统的维护保养报告。在合同期结束前，还应提供消防维护的年度总结报告及详细的技术文档等相关资料。</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维保资料的要求：投标人需向招标人提交的维护保养报告，必须符合《建筑消防设施维护保养规程》（DB32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T 4696-2024）的相关规定。报告应按楼栋或区域进行分类，所有文本内容除了必要的签字外，均需采用打印格式并整理成册。同时，文件目录及文本内容也需遵循《建筑消防设施维护保养规程》（DB32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T 4696-2024）的要求。</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投标人投标人应自行现场踏勘，充分了解各楼栋消防设施设备的现状</w:t>
      </w:r>
      <w:r>
        <w:rPr>
          <w:rFonts w:hint="eastAsia" w:ascii="宋体" w:hAnsi="宋体" w:cs="宋体"/>
          <w:sz w:val="21"/>
          <w:szCs w:val="21"/>
          <w:lang w:eastAsia="zh-CN"/>
        </w:rPr>
        <w:t xml:space="preserve">，</w:t>
      </w:r>
      <w:r>
        <w:rPr>
          <w:rFonts w:hint="eastAsia" w:ascii="宋体" w:hAnsi="宋体" w:eastAsia="宋体" w:cs="宋体"/>
          <w:sz w:val="21"/>
          <w:szCs w:val="21"/>
        </w:rPr>
        <w:t xml:space="preserve">风险自负。</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sz w:val="21"/>
          <w:szCs w:val="21"/>
        </w:rPr>
        <w:t xml:space="preserve">投标人需根据现场系统的需求，提交备品备件的清单以及相关的产品规格和型号。</w:t>
      </w:r>
      <w:r/>
    </w:p>
    <w:p>
      <w:pPr>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r>
      <w:r/>
    </w:p>
    <w:p>
      <w:pPr>
        <w:pStyle w:val="867"/>
        <w:ind w:left="0" w:right="0"/>
        <w:jc w:val="left"/>
        <w:keepLines w:val="0"/>
        <w:keepNext w:val="0"/>
        <w:spacing w:before="0" w:beforeAutospacing="0" w:after="0" w:afterAutospacing="0" w:line="288" w:lineRule="atLeast"/>
        <w:widowControl/>
        <w:rPr>
          <w:rFonts w:hint="eastAsia" w:ascii="宋体" w:hAnsi="宋体" w:eastAsia="宋体" w:cs="宋体"/>
          <w:b/>
          <w:bCs/>
          <w:sz w:val="21"/>
          <w:szCs w:val="21"/>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rPr>
        <w:t xml:space="preserve">（二）</w:t>
      </w:r>
      <w:r>
        <w:rPr>
          <w:rFonts w:hint="eastAsia" w:ascii="宋体" w:hAnsi="宋体" w:eastAsia="宋体" w:cs="宋体"/>
          <w:b/>
          <w:bCs/>
          <w:sz w:val="21"/>
          <w:szCs w:val="21"/>
          <w:lang w:val="en-US" w:eastAsia="zh-CN"/>
        </w:rPr>
        <w:t xml:space="preserve">消控室</w:t>
      </w:r>
      <w:r>
        <w:rPr>
          <w:rFonts w:hint="eastAsia" w:ascii="宋体" w:hAnsi="宋体" w:eastAsia="宋体" w:cs="宋体"/>
          <w:b/>
          <w:bCs/>
          <w:sz w:val="21"/>
          <w:szCs w:val="21"/>
        </w:rPr>
        <w:t xml:space="preserve">服务要求</w:t>
      </w:r>
      <w:r>
        <w:rPr>
          <w:rFonts w:hint="eastAsia" w:ascii="宋体" w:hAnsi="宋体" w:eastAsia="宋体" w:cs="宋体"/>
          <w:b/>
          <w:bCs/>
          <w:sz w:val="21"/>
          <w:szCs w:val="21"/>
          <w:lang w:val="en-US" w:eastAsia="zh-CN"/>
        </w:rPr>
        <w:t xml:space="preserve">及其他配套要求</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派驻人员要求：</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（1）人数：共 4 人，其中消控室值班人员 3 人、专职对接人员 1 人；</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（2）性别：男性；</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（3）学历：</w:t>
      </w:r>
      <w:r>
        <w:rPr>
          <w:rFonts w:hint="eastAsia" w:ascii="宋体" w:hAnsi="宋体" w:eastAsia="宋体" w:cs="宋体"/>
          <w:sz w:val="21"/>
          <w:szCs w:val="21"/>
          <w:lang w:val="en-US" w:eastAsia="zh-CN"/>
        </w:rPr>
        <w:t xml:space="preserve">高中</w:t>
      </w:r>
      <w:r>
        <w:rPr>
          <w:rFonts w:hint="eastAsia" w:ascii="宋体" w:hAnsi="宋体" w:eastAsia="宋体" w:cs="宋体"/>
          <w:sz w:val="21"/>
          <w:szCs w:val="21"/>
        </w:rPr>
        <w:t xml:space="preserve">及以上学历；</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（4）年龄：</w:t>
      </w:r>
      <w:r>
        <w:rPr>
          <w:rFonts w:hint="eastAsia" w:ascii="宋体" w:hAnsi="宋体" w:eastAsia="宋体" w:cs="宋体"/>
          <w:sz w:val="21"/>
          <w:szCs w:val="21"/>
          <w:lang w:val="en-US" w:eastAsia="zh-CN"/>
        </w:rPr>
        <w:t xml:space="preserve">60</w:t>
      </w:r>
      <w:r>
        <w:rPr>
          <w:rFonts w:hint="eastAsia" w:ascii="宋体" w:hAnsi="宋体" w:eastAsia="宋体" w:cs="宋体"/>
          <w:sz w:val="21"/>
          <w:szCs w:val="21"/>
        </w:rPr>
        <w:t xml:space="preserve">周岁以下；</w:t>
      </w:r>
      <w:r/>
    </w:p>
    <w:p>
      <w:pPr>
        <w:numPr>
          <w:ilvl w:val="0"/>
          <w:numId w:val="0"/>
        </w:numPr>
        <w:ind w:firstLine="42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资格：消控室 3 名值班人员须持中级及以上消防设施操作员证书；专职对接人员应熟悉消防管理流程，具备良好沟通协调能力；</w:t>
      </w:r>
      <w:r/>
    </w:p>
    <w:p>
      <w:pPr>
        <w:numPr>
          <w:ilvl w:val="0"/>
          <w:numId w:val="0"/>
        </w:numPr>
        <w:ind w:firstLine="42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（6）身体条件：身体健康，无不良嗜好。</w:t>
      </w:r>
      <w:r/>
    </w:p>
    <w:p>
      <w:pPr>
        <w:pStyle w:val="866"/>
        <w:numPr>
          <w:ilvl w:val="0"/>
          <w:numId w:val="0"/>
        </w:numPr>
        <w:ind w:firstLine="210"/>
        <w:pageBreakBefore w:val="0"/>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2、人员职责要求</w:t>
      </w:r>
      <w:r/>
    </w:p>
    <w:p>
      <w:pPr>
        <w:pStyle w:val="866"/>
        <w:numPr>
          <w:ilvl w:val="0"/>
          <w:numId w:val="0"/>
        </w:numPr>
        <w:ind w:firstLine="210"/>
        <w:pageBreakBefore w:val="0"/>
        <w:widowControl w:val="off"/>
        <w:rPr>
          <w:rFonts w:hint="eastAsia" w:ascii="宋体" w:hAnsi="宋体" w:eastAsia="宋体" w:cs="宋体"/>
          <w:b/>
          <w:bCs/>
          <w:i/>
          <w:iCs/>
          <w:sz w:val="21"/>
          <w:szCs w:val="21"/>
          <w:highlight w:val="none"/>
          <w:u w:val="single"/>
          <w:lang w:val="en-US" w:eastAsia="zh-CN" w:bidi="ar-SA"/>
        </w:rPr>
      </w:pPr>
      <w:r>
        <w:rPr>
          <w:rFonts w:hint="eastAsia" w:ascii="宋体" w:hAnsi="宋体" w:eastAsia="宋体" w:cs="宋体"/>
          <w:b w:val="0"/>
          <w:bCs w:val="0"/>
          <w:i/>
          <w:iCs/>
          <w:sz w:val="21"/>
          <w:szCs w:val="21"/>
          <w:highlight w:val="none"/>
          <w:u w:val="single"/>
          <w:lang w:val="en-US" w:eastAsia="zh-CN" w:bidi="ar-SA"/>
        </w:rPr>
        <w:t xml:space="preserve">项目实施期间，3 名持证值班人员负责消控室 24 小时值班、校园日常消防安全巡查及消防设施点检；1 名专职对接人员全程配合校方，完成各项消防安全管理、台账上报、应急保障及其他专项工作。根据学校工作安排及重大活动、重点敏感时段要求，消控室确保不少于 2 人在岗值班，值班人员可与消防维保人员统一统筹、合理调配排班值守。</w:t>
      </w:r>
      <w:r>
        <w:rPr>
          <w:rFonts w:hint="eastAsia" w:ascii="宋体" w:hAnsi="宋体" w:cs="宋体"/>
          <w:b/>
          <w:bCs/>
          <w:i/>
          <w:iCs/>
          <w:sz w:val="21"/>
          <w:szCs w:val="21"/>
          <w:highlight w:val="none"/>
          <w:u w:val="single"/>
          <w:lang w:val="en-US" w:eastAsia="zh-CN" w:bidi="ar-SA"/>
        </w:rPr>
        <w:t xml:space="preserve">（提供承诺函，格式自拟）</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对校园重点部位、重大危险源开展消防安全巡查，及时排查火灾隐患。</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逐楼层检查消防设施设备完好状态，确保功能正常。</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实时监测消防水箱、消防水池水位，检查稳压泵运行频次与工作状态。</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检查消防水泵房设备运行情况，确保供水系统可靠稳定。</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每月对全校区域室内消火栓箱、灭火器开展一次全面点检并记录。</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及时响应报修平台及日常巡查发现的消防设施故障，按要求处置。</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规范填写各类消防安全巡查、检查、维保记录，确保台账完整。</w:t>
      </w:r>
      <w:r/>
    </w:p>
    <w:p>
      <w:pPr>
        <w:ind w:firstLine="21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每周登录《江苏省校园安全风险管控系统》，如实上报安全风险及消防安全管理情况。</w:t>
      </w:r>
      <w:r/>
    </w:p>
    <w:p>
      <w:pPr>
        <w:ind w:firstLine="210"/>
        <w:jc w:val="left"/>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lang w:val="en-US" w:eastAsia="zh-CN"/>
        </w:rPr>
        <w:t xml:space="preserve">在高考、普通高中学业水平考试（小高考）及校内各类大型活动期间，落实专项消防安全保障，做好值守、巡检与应急备勤工作。</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.协助校方完成其他日常消防安全管理工作。</w:t>
      </w:r>
      <w:r/>
    </w:p>
    <w:p>
      <w:pPr>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（三）服务保障</w:t>
      </w:r>
      <w:r/>
    </w:p>
    <w:p>
      <w:pPr>
        <w:ind w:firstLine="21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服务要求</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投标人在项目进场时，应组建一支高效的服务保障团队，团队成员包括</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技术保障人员（技术负责人、项目负责人）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应急调度人员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驻校服务</w:t>
      </w:r>
      <w:r>
        <w:rPr>
          <w:rFonts w:hint="eastAsia" w:ascii="宋体" w:hAnsi="宋体" w:eastAsia="宋体" w:cs="宋体"/>
          <w:sz w:val="21"/>
          <w:szCs w:val="21"/>
        </w:rPr>
        <w:t xml:space="preserve">人员以及例行维保人员（现场负责人、建筑消防设施操作员）。相关人员的信息需提交给投标人备案。</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投标人需在维保过程中，对一般故障在2小时内作出响应并进行维修。如需向招标人报价审批维修，投标人应在24小时内提供维修及报价方案，并在方案获得招标人确认后24小时内实施（对于需临时采购的设备，待设备到位后方可执行）。</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投标人应提供可直接拨打的服务工程师移动电话（包括非工作时间），未经招标人同意，不得随意更换。如擅自更换，将承担违约责任。</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投标人应根据具体情况及国家标准、</w:t>
      </w:r>
      <w:r>
        <w:rPr>
          <w:rFonts w:hint="eastAsia" w:ascii="宋体" w:hAnsi="宋体" w:eastAsia="宋体" w:cs="宋体"/>
          <w:sz w:val="21"/>
          <w:szCs w:val="21"/>
          <w:lang w:val="en-US" w:eastAsia="zh-CN"/>
        </w:rPr>
        <w:t xml:space="preserve">教育系统</w:t>
      </w:r>
      <w:r>
        <w:rPr>
          <w:rFonts w:hint="eastAsia" w:ascii="宋体" w:hAnsi="宋体" w:eastAsia="宋体" w:cs="宋体"/>
          <w:sz w:val="21"/>
          <w:szCs w:val="21"/>
        </w:rPr>
        <w:t xml:space="preserve">消防安全工作要求和</w:t>
      </w:r>
      <w:r>
        <w:rPr>
          <w:rFonts w:hint="eastAsia" w:ascii="宋体" w:hAnsi="宋体" w:eastAsia="宋体" w:cs="宋体"/>
          <w:sz w:val="21"/>
          <w:szCs w:val="21"/>
          <w:lang w:val="en-US" w:eastAsia="zh-CN"/>
        </w:rPr>
        <w:t xml:space="preserve">校</w:t>
      </w:r>
      <w:r>
        <w:rPr>
          <w:rFonts w:hint="eastAsia" w:ascii="宋体" w:hAnsi="宋体" w:eastAsia="宋体" w:cs="宋体"/>
          <w:sz w:val="21"/>
          <w:szCs w:val="21"/>
        </w:rPr>
        <w:t xml:space="preserve">方标准，制定维护保养实施计划，内容和要求不得低于国家标准的规定。</w:t>
      </w:r>
      <w:r/>
    </w:p>
    <w:p>
      <w:pPr>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在项目实施期间，投标人安排的所有现场作业人员必须统一着装。</w:t>
      </w:r>
      <w:r/>
    </w:p>
    <w:p>
      <w:pPr>
        <w:jc w:val="left"/>
        <w:pageBreakBefore w:val="0"/>
        <w:spacing w:line="360" w:lineRule="auto"/>
        <w:widowControl w:val="off"/>
        <w:rPr>
          <w:rFonts w:hint="default"/>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消防设备的维护保养合同禁止以任何形式进行分包或转包。</w:t>
      </w:r>
      <w:r/>
    </w:p>
    <w:p>
      <w:pPr>
        <w:pStyle w:val="865"/>
        <w:jc w:val="both"/>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五</w:t>
      </w:r>
      <w:r>
        <w:rPr>
          <w:rFonts w:hint="eastAsia" w:ascii="宋体" w:hAnsi="宋体" w:eastAsia="宋体" w:cs="宋体"/>
          <w:b/>
          <w:bCs/>
          <w:sz w:val="21"/>
          <w:szCs w:val="21"/>
          <w:lang w:val="zh-CN"/>
        </w:rPr>
        <w:t xml:space="preserve">、维保依据</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项目消防设施配置及甲方要求</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《建筑设计防火规范》 GB50016-2014；</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《火灾自动报警系统施工及验收规范》 GB50166-2016；</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rPr>
        <w:t xml:space="preserve">《自动喷水灭火系统施工及验收规范》 GB50261-2017；</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rPr>
        <w:t xml:space="preserve">《给水排水管道工程施工及验收规范》 GB50268-2010；</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rPr>
        <w:t xml:space="preserve">《建筑防烟排烟系统技术标准》GB51251-2017；</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rPr>
        <w:t xml:space="preserve">《气体灭火系统施工及验收规范》 GB50263-2007；</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rPr>
        <w:t xml:space="preserve">《消防应急照明和疏散指示系统技术标准》 GB 51309-2018；</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（9）</w:t>
      </w:r>
      <w:r>
        <w:rPr>
          <w:rFonts w:hint="eastAsia" w:ascii="宋体" w:hAnsi="宋体" w:eastAsia="宋体" w:cs="宋体"/>
          <w:sz w:val="21"/>
          <w:szCs w:val="21"/>
        </w:rPr>
        <w:t xml:space="preserve">《建筑灭火器配置验收及检查规范》 GB 50444-2008；</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（10）</w:t>
      </w:r>
      <w:r>
        <w:rPr>
          <w:rFonts w:hint="eastAsia" w:ascii="宋体" w:hAnsi="宋体" w:eastAsia="宋体" w:cs="宋体"/>
          <w:sz w:val="21"/>
          <w:szCs w:val="21"/>
        </w:rPr>
        <w:t xml:space="preserve">《建筑消防设施的维护管理》 GB 25201-2010；</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（11）</w:t>
      </w:r>
      <w:r>
        <w:rPr>
          <w:rFonts w:hint="eastAsia" w:ascii="宋体" w:hAnsi="宋体" w:eastAsia="宋体" w:cs="宋体"/>
          <w:sz w:val="21"/>
          <w:szCs w:val="21"/>
        </w:rPr>
        <w:t xml:space="preserve">《江苏省建筑消防设施维护管理规定》 苏公规（2011）2号。</w:t>
      </w:r>
      <w:r/>
    </w:p>
    <w:p>
      <w:pPr>
        <w:pStyle w:val="866"/>
        <w:ind w:left="0" w:right="0"/>
        <w:jc w:val="left"/>
        <w:keepLines w:val="0"/>
        <w:keepNext w:val="0"/>
        <w:spacing w:before="0" w:beforeAutospacing="0" w:after="0" w:afterAutospacing="0" w:line="288" w:lineRule="atLeast"/>
        <w:widowControl/>
        <w:rPr>
          <w:rFonts w:hint="eastAsia" w:ascii="宋体" w:hAnsi="宋体" w:eastAsia="宋体" w:cs="宋体"/>
          <w:b/>
          <w:bCs/>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lang w:val="en-US" w:eastAsia="zh-CN" w:bidi="ar-SA"/>
        </w:rPr>
      </w:r>
      <w:r/>
    </w:p>
    <w:p>
      <w:pPr>
        <w:pStyle w:val="866"/>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sz w:val="21"/>
          <w:szCs w:val="21"/>
          <w:lang w:val="en-US" w:eastAsia="zh-CN" w:bidi="ar-SA"/>
        </w:rPr>
        <w:t xml:space="preserve">六</w:t>
      </w:r>
      <w:r>
        <w:rPr>
          <w:rFonts w:hint="eastAsia" w:ascii="宋体" w:hAnsi="宋体" w:eastAsia="宋体" w:cs="宋体"/>
          <w:b/>
          <w:bCs/>
          <w:sz w:val="21"/>
          <w:szCs w:val="21"/>
          <w:lang w:val="en-US" w:eastAsia="zh-CN" w:bidi="ar-SA"/>
        </w:rPr>
        <w:t xml:space="preserve">、付款方式及考核办法</w:t>
      </w:r>
      <w:r/>
    </w:p>
    <w:p>
      <w:pPr>
        <w:pStyle w:val="867"/>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rPr>
        <w:t xml:space="preserve">（一）付款方式</w:t>
      </w:r>
      <w:r/>
    </w:p>
    <w:p>
      <w:pPr>
        <w:pStyle w:val="867"/>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yellow"/>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yellow"/>
          <w:lang w:val="en-US" w:eastAsia="zh-CN"/>
        </w:rPr>
        <w:t xml:space="preserve">合同签订后，甲方收到乙方开具的发票10日内预付合同金额的30%，剩余金额分4个季度支付，每个季度的15日前结算上季度服务费用（如上季度的月度考核有扣款意见的，则按考核意见扣款），甲方收到乙方开具的正式发票15日内付款。</w:t>
      </w:r>
      <w:r/>
    </w:p>
    <w:p>
      <w:pPr>
        <w:pStyle w:val="867"/>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rPr>
        <w:t xml:space="preserve">（二）考核办法</w:t>
      </w:r>
      <w:r/>
    </w:p>
    <w:p>
      <w:pPr>
        <w:pStyle w:val="897"/>
        <w:numPr>
          <w:ilvl w:val="0"/>
          <w:numId w:val="0"/>
        </w:numPr>
        <w:ind w:left="420" w:right="0"/>
        <w:jc w:val="center"/>
        <w:keepLines w:val="0"/>
        <w:keepNext w:val="0"/>
        <w:pageBreakBefore w:val="0"/>
        <w:spacing w:before="0" w:after="0" w:line="440" w:lineRule="exact"/>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消防维保考核表</w:t>
      </w:r>
      <w:r/>
    </w:p>
    <w:tbl>
      <w:tblPr>
        <w:tblStyle w:val="889"/>
        <w:tblW w:w="9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224"/>
        <w:gridCol w:w="6036"/>
        <w:gridCol w:w="1189"/>
      </w:tblGrid>
      <w:tr>
        <w:trPr>
          <w:jc w:val="center"/>
        </w:trPr>
        <w:tc>
          <w:tcPr>
            <w:tcW w:w="819" w:type="dxa"/>
            <w:vAlign w:val="center"/>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序号</w:t>
            </w:r>
            <w:r/>
          </w:p>
        </w:tc>
        <w:tc>
          <w:tcPr>
            <w:tcW w:w="1224" w:type="dxa"/>
            <w:vAlign w:val="center"/>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考核项目</w:t>
            </w:r>
            <w:r/>
          </w:p>
        </w:tc>
        <w:tc>
          <w:tcPr>
            <w:tcW w:w="6036" w:type="dxa"/>
            <w:vAlign w:val="top"/>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考核内容</w:t>
            </w:r>
            <w:r/>
          </w:p>
        </w:tc>
        <w:tc>
          <w:tcPr>
            <w:tcW w:w="1189" w:type="dxa"/>
            <w:vAlign w:val="top"/>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扣分</w:t>
            </w:r>
            <w:r/>
          </w:p>
        </w:tc>
      </w:tr>
      <w:tr>
        <w:trPr>
          <w:jc w:val="center"/>
        </w:trPr>
        <w:tc>
          <w:tcPr>
            <w:tcW w:w="819" w:type="dxa"/>
            <w:vAlign w:val="center"/>
            <w:vMerge w:val="restart"/>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p>
        </w:tc>
        <w:tc>
          <w:tcPr>
            <w:tcW w:w="1224" w:type="dxa"/>
            <w:vAlign w:val="center"/>
            <w:vMerge w:val="restart"/>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工作纪律</w:t>
            </w:r>
            <w:r/>
          </w:p>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w:t>
            </w:r>
            <w:r>
              <w:rPr>
                <w:rFonts w:hint="eastAsia" w:ascii="宋体" w:hAnsi="宋体" w:eastAsia="宋体" w:cs="宋体"/>
                <w:color w:val="auto"/>
                <w:sz w:val="21"/>
                <w:szCs w:val="21"/>
                <w:highlight w:val="none"/>
                <w:vertAlign w:val="baseline"/>
                <w:lang w:val="en-US" w:eastAsia="zh-CN" w:bidi="ar-SA"/>
              </w:rPr>
              <w:t xml:space="preserve">8分</w:t>
            </w:r>
            <w:r>
              <w:rPr>
                <w:rFonts w:hint="eastAsia" w:ascii="宋体" w:hAnsi="宋体" w:eastAsia="宋体" w:cs="宋体"/>
                <w:color w:val="auto"/>
                <w:sz w:val="21"/>
                <w:szCs w:val="21"/>
                <w:highlight w:val="none"/>
                <w:vertAlign w:val="baseline"/>
                <w:lang w:val="zh-CN" w:eastAsia="zh-CN" w:bidi="ar-SA"/>
              </w:rPr>
              <w:t xml:space="preserve">）</w:t>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未遵守维修响应时效（</w:t>
            </w:r>
            <w:r>
              <w:rPr>
                <w:rFonts w:hint="eastAsia" w:ascii="宋体" w:hAnsi="宋体" w:eastAsia="宋体" w:cs="宋体"/>
                <w:color w:val="auto"/>
                <w:sz w:val="21"/>
                <w:szCs w:val="21"/>
                <w:highlight w:val="none"/>
                <w:vertAlign w:val="baseline"/>
                <w:lang w:val="en-US" w:eastAsia="zh-CN" w:bidi="ar-SA"/>
              </w:rPr>
              <w:t xml:space="preserve">2小时内到场处置</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未遵守相关消防法律法规。（</w:t>
            </w:r>
            <w:r>
              <w:rPr>
                <w:rFonts w:hint="eastAsia" w:ascii="宋体" w:hAnsi="宋体" w:eastAsia="宋体" w:cs="宋体"/>
                <w:color w:val="auto"/>
                <w:sz w:val="21"/>
                <w:szCs w:val="21"/>
                <w:highlight w:val="none"/>
                <w:vertAlign w:val="baseline"/>
                <w:lang w:val="en-US" w:eastAsia="zh-CN" w:bidi="ar-SA"/>
              </w:rPr>
              <w:t xml:space="preserve">3分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未遵守消防安全管理制度。（</w:t>
            </w:r>
            <w:r>
              <w:rPr>
                <w:rFonts w:hint="eastAsia" w:ascii="宋体" w:hAnsi="宋体" w:eastAsia="宋体" w:cs="宋体"/>
                <w:color w:val="auto"/>
                <w:sz w:val="21"/>
                <w:szCs w:val="21"/>
                <w:highlight w:val="none"/>
                <w:vertAlign w:val="baseline"/>
                <w:lang w:val="en-US" w:eastAsia="zh-CN" w:bidi="ar-SA"/>
              </w:rPr>
              <w:t xml:space="preserve">2分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center"/>
            <w:vMerge w:val="restart"/>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p>
        </w:tc>
        <w:tc>
          <w:tcPr>
            <w:tcW w:w="1224" w:type="dxa"/>
            <w:vAlign w:val="center"/>
            <w:vMerge w:val="restart"/>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工作内容</w:t>
            </w:r>
            <w:r/>
          </w:p>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w:t>
            </w:r>
            <w:r>
              <w:rPr>
                <w:rFonts w:hint="eastAsia" w:ascii="宋体" w:hAnsi="宋体" w:eastAsia="宋体" w:cs="宋体"/>
                <w:color w:val="auto"/>
                <w:sz w:val="21"/>
                <w:szCs w:val="21"/>
                <w:highlight w:val="none"/>
                <w:vertAlign w:val="baseline"/>
                <w:lang w:val="en-US" w:eastAsia="zh-CN" w:bidi="ar-SA"/>
              </w:rPr>
              <w:t xml:space="preserve">35分</w:t>
            </w:r>
            <w:r>
              <w:rPr>
                <w:rFonts w:hint="eastAsia" w:ascii="宋体" w:hAnsi="宋体" w:eastAsia="宋体" w:cs="宋体"/>
                <w:color w:val="auto"/>
                <w:sz w:val="21"/>
                <w:szCs w:val="21"/>
                <w:highlight w:val="none"/>
                <w:vertAlign w:val="baseline"/>
                <w:lang w:val="zh-CN" w:eastAsia="zh-CN" w:bidi="ar-SA"/>
              </w:rPr>
              <w:t xml:space="preserve">）</w:t>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未及时更新可靠联系方式。（</w:t>
            </w:r>
            <w:r>
              <w:rPr>
                <w:rFonts w:hint="eastAsia" w:ascii="宋体" w:hAnsi="宋体" w:eastAsia="宋体" w:cs="宋体"/>
                <w:color w:val="auto"/>
                <w:sz w:val="21"/>
                <w:szCs w:val="21"/>
                <w:highlight w:val="none"/>
                <w:vertAlign w:val="baseline"/>
                <w:lang w:val="en-US" w:eastAsia="zh-CN" w:bidi="ar-SA"/>
              </w:rPr>
              <w:t xml:space="preserve">2分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top"/>
            <w:vMerge w:val="continue"/>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未按要求对现场技术人员进行安全作业培训，并进行安全作业检查、防护和监督等工作。（</w:t>
            </w:r>
            <w:r>
              <w:rPr>
                <w:rFonts w:hint="eastAsia" w:ascii="宋体" w:hAnsi="宋体" w:eastAsia="宋体" w:cs="宋体"/>
                <w:color w:val="auto"/>
                <w:sz w:val="21"/>
                <w:szCs w:val="21"/>
                <w:highlight w:val="none"/>
                <w:vertAlign w:val="baseline"/>
                <w:lang w:val="en-US" w:eastAsia="zh-CN" w:bidi="ar-SA"/>
              </w:rPr>
              <w:t xml:space="preserve">3分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top"/>
            <w:vMerge w:val="continue"/>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未配合制定与消防安全相关的应急预案。（</w:t>
            </w:r>
            <w:r>
              <w:rPr>
                <w:rFonts w:hint="eastAsia" w:ascii="宋体" w:hAnsi="宋体" w:eastAsia="宋体" w:cs="宋体"/>
                <w:color w:val="auto"/>
                <w:sz w:val="21"/>
                <w:szCs w:val="21"/>
                <w:highlight w:val="none"/>
                <w:vertAlign w:val="baseline"/>
                <w:lang w:val="en-US" w:eastAsia="zh-CN" w:bidi="ar-SA"/>
              </w:rPr>
              <w:t xml:space="preserve">2分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top"/>
            <w:vMerge w:val="continue"/>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未按要求履行负责消防验审或检查等有关的协调工作。（</w:t>
            </w:r>
            <w:r>
              <w:rPr>
                <w:rFonts w:hint="eastAsia" w:ascii="宋体" w:hAnsi="宋体" w:eastAsia="宋体" w:cs="宋体"/>
                <w:color w:val="auto"/>
                <w:sz w:val="21"/>
                <w:szCs w:val="21"/>
                <w:highlight w:val="none"/>
                <w:vertAlign w:val="baseline"/>
                <w:lang w:val="en-US" w:eastAsia="zh-CN" w:bidi="ar-SA"/>
              </w:rPr>
              <w:t xml:space="preserve">2分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top"/>
            <w:vMerge w:val="continue"/>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未按要求配合对全场每月进行防火检查工作。（</w:t>
            </w:r>
            <w:r>
              <w:rPr>
                <w:rFonts w:hint="eastAsia" w:ascii="宋体" w:hAnsi="宋体" w:eastAsia="宋体" w:cs="宋体"/>
                <w:color w:val="auto"/>
                <w:sz w:val="21"/>
                <w:szCs w:val="21"/>
                <w:highlight w:val="none"/>
                <w:vertAlign w:val="baseline"/>
                <w:lang w:val="en-US" w:eastAsia="zh-CN" w:bidi="ar-SA"/>
              </w:rPr>
              <w:t xml:space="preserve">2分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未按要求及时完成月检工作。（</w:t>
            </w:r>
            <w:r>
              <w:rPr>
                <w:rFonts w:hint="eastAsia" w:ascii="宋体" w:hAnsi="宋体" w:eastAsia="宋体" w:cs="宋体"/>
                <w:color w:val="auto"/>
                <w:sz w:val="21"/>
                <w:szCs w:val="21"/>
                <w:highlight w:val="none"/>
                <w:vertAlign w:val="baseline"/>
                <w:lang w:val="en-US" w:eastAsia="zh-CN" w:bidi="ar-SA"/>
              </w:rPr>
              <w:t xml:space="preserve">2分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未按要求及时完成季检及联动测试工作。（</w:t>
            </w:r>
            <w:r>
              <w:rPr>
                <w:rFonts w:hint="eastAsia" w:ascii="宋体" w:hAnsi="宋体" w:eastAsia="宋体" w:cs="宋体"/>
                <w:color w:val="auto"/>
                <w:sz w:val="21"/>
                <w:szCs w:val="21"/>
                <w:highlight w:val="none"/>
                <w:vertAlign w:val="baseline"/>
                <w:lang w:val="en-US" w:eastAsia="zh-CN" w:bidi="ar-SA"/>
              </w:rPr>
              <w:t xml:space="preserve">3分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未按要求完成半年检测及联动测试工作。（</w:t>
            </w:r>
            <w:r>
              <w:rPr>
                <w:rFonts w:hint="eastAsia" w:ascii="宋体" w:hAnsi="宋体" w:eastAsia="宋体" w:cs="宋体"/>
                <w:color w:val="auto"/>
                <w:sz w:val="21"/>
                <w:szCs w:val="21"/>
                <w:highlight w:val="none"/>
                <w:vertAlign w:val="baseline"/>
                <w:lang w:val="en-US" w:eastAsia="zh-CN" w:bidi="ar-SA"/>
              </w:rPr>
              <w:t xml:space="preserve">4分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未按要求及时完成年度检测及联动测试工作。（</w:t>
            </w:r>
            <w:r>
              <w:rPr>
                <w:rFonts w:hint="eastAsia" w:ascii="宋体" w:hAnsi="宋体" w:eastAsia="宋体" w:cs="宋体"/>
                <w:color w:val="auto"/>
                <w:sz w:val="21"/>
                <w:szCs w:val="21"/>
                <w:highlight w:val="none"/>
                <w:vertAlign w:val="baseline"/>
                <w:lang w:val="en-US" w:eastAsia="zh-CN" w:bidi="ar-SA"/>
              </w:rPr>
              <w:t xml:space="preserve">8分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未按要求及时完成各种设施设备日常保养、维护工作。（</w:t>
            </w:r>
            <w:r>
              <w:rPr>
                <w:rFonts w:hint="eastAsia" w:ascii="宋体" w:hAnsi="宋体" w:eastAsia="宋体" w:cs="宋体"/>
                <w:color w:val="auto"/>
                <w:sz w:val="21"/>
                <w:szCs w:val="21"/>
                <w:highlight w:val="none"/>
                <w:vertAlign w:val="baseline"/>
                <w:lang w:val="en-US" w:eastAsia="zh-CN" w:bidi="ar-SA"/>
              </w:rPr>
              <w:t xml:space="preserve">5分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top"/>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未加强信息反馈，发现问题未及时处理，未及时通报。（</w:t>
            </w:r>
            <w:r>
              <w:rPr>
                <w:rFonts w:hint="eastAsia" w:ascii="宋体" w:hAnsi="宋体" w:eastAsia="宋体" w:cs="宋体"/>
                <w:color w:val="auto"/>
                <w:sz w:val="21"/>
                <w:szCs w:val="21"/>
                <w:highlight w:val="none"/>
                <w:vertAlign w:val="baseline"/>
                <w:lang w:val="en-US" w:eastAsia="zh-CN" w:bidi="ar-SA"/>
              </w:rPr>
              <w:t xml:space="preserve">2分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top"/>
            <w:vMerge w:val="restart"/>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w:t>
            </w:r>
            <w:r/>
          </w:p>
        </w:tc>
        <w:tc>
          <w:tcPr>
            <w:tcW w:w="1224" w:type="dxa"/>
            <w:vAlign w:val="top"/>
            <w:vMerge w:val="restart"/>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工作效率</w:t>
            </w:r>
            <w:r/>
          </w:p>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w:t>
            </w:r>
            <w:r>
              <w:rPr>
                <w:rFonts w:hint="eastAsia" w:ascii="宋体" w:hAnsi="宋体" w:eastAsia="宋体" w:cs="宋体"/>
                <w:color w:val="auto"/>
                <w:sz w:val="21"/>
                <w:szCs w:val="21"/>
                <w:highlight w:val="none"/>
                <w:vertAlign w:val="baseline"/>
                <w:lang w:val="en-US" w:eastAsia="zh-CN" w:bidi="ar-SA"/>
              </w:rPr>
              <w:t xml:space="preserve">12分</w:t>
            </w:r>
            <w:r>
              <w:rPr>
                <w:rFonts w:hint="eastAsia" w:ascii="宋体" w:hAnsi="宋体" w:eastAsia="宋体" w:cs="宋体"/>
                <w:color w:val="auto"/>
                <w:sz w:val="21"/>
                <w:szCs w:val="21"/>
                <w:highlight w:val="none"/>
                <w:vertAlign w:val="baseline"/>
                <w:lang w:val="zh-CN" w:eastAsia="zh-CN" w:bidi="ar-SA"/>
              </w:rPr>
              <w:t xml:space="preserve">）</w:t>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发生故障或事故时接到通知未及时到达工作现场。（</w:t>
            </w:r>
            <w:r>
              <w:rPr>
                <w:rFonts w:hint="eastAsia" w:ascii="宋体" w:hAnsi="宋体" w:eastAsia="宋体" w:cs="宋体"/>
                <w:color w:val="auto"/>
                <w:sz w:val="21"/>
                <w:szCs w:val="21"/>
                <w:highlight w:val="none"/>
                <w:vertAlign w:val="baseline"/>
                <w:lang w:val="en-US" w:eastAsia="zh-CN" w:bidi="ar-SA"/>
              </w:rPr>
              <w:t xml:space="preserve">5分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未及时处理各种故障、事故及安全隐患。（</w:t>
            </w:r>
            <w:r>
              <w:rPr>
                <w:rFonts w:hint="eastAsia" w:ascii="宋体" w:hAnsi="宋体" w:eastAsia="宋体" w:cs="宋体"/>
                <w:color w:val="auto"/>
                <w:sz w:val="21"/>
                <w:szCs w:val="21"/>
                <w:highlight w:val="none"/>
                <w:vertAlign w:val="baseline"/>
                <w:lang w:val="en-US" w:eastAsia="zh-CN" w:bidi="ar-SA"/>
              </w:rPr>
              <w:t xml:space="preserve">5分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未及时进行</w:t>
            </w:r>
            <w:r>
              <w:rPr>
                <w:rFonts w:hint="eastAsia" w:ascii="宋体" w:hAnsi="宋体" w:eastAsia="宋体" w:cs="宋体"/>
                <w:color w:val="auto"/>
                <w:sz w:val="21"/>
                <w:szCs w:val="21"/>
                <w:highlight w:val="none"/>
                <w:vertAlign w:val="baseline"/>
                <w:lang w:val="en-US" w:eastAsia="zh-CN" w:bidi="ar-SA"/>
              </w:rPr>
              <w:t xml:space="preserve">维保</w:t>
            </w:r>
            <w:r>
              <w:rPr>
                <w:rFonts w:hint="eastAsia" w:ascii="宋体" w:hAnsi="宋体" w:eastAsia="宋体" w:cs="宋体"/>
                <w:color w:val="auto"/>
                <w:sz w:val="21"/>
                <w:szCs w:val="21"/>
                <w:highlight w:val="none"/>
                <w:vertAlign w:val="baseline"/>
                <w:lang w:val="zh-CN" w:eastAsia="zh-CN" w:bidi="ar-SA"/>
              </w:rPr>
              <w:t xml:space="preserve">、及时提供各项检查报告。（</w:t>
            </w:r>
            <w:r>
              <w:rPr>
                <w:rFonts w:hint="eastAsia" w:ascii="宋体" w:hAnsi="宋体" w:eastAsia="宋体" w:cs="宋体"/>
                <w:color w:val="auto"/>
                <w:sz w:val="21"/>
                <w:szCs w:val="21"/>
                <w:highlight w:val="none"/>
                <w:vertAlign w:val="baseline"/>
                <w:lang w:val="en-US" w:eastAsia="zh-CN" w:bidi="ar-SA"/>
              </w:rPr>
              <w:t xml:space="preserve">2分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center"/>
            <w:vMerge w:val="restart"/>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4</w:t>
            </w:r>
            <w:r/>
          </w:p>
        </w:tc>
        <w:tc>
          <w:tcPr>
            <w:tcW w:w="1224" w:type="dxa"/>
            <w:vAlign w:val="center"/>
            <w:vMerge w:val="restart"/>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工作质量</w:t>
            </w:r>
            <w:r/>
          </w:p>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w:t>
            </w:r>
            <w:r>
              <w:rPr>
                <w:rFonts w:hint="eastAsia" w:ascii="宋体" w:hAnsi="宋体" w:eastAsia="宋体" w:cs="宋体"/>
                <w:color w:val="auto"/>
                <w:sz w:val="21"/>
                <w:szCs w:val="21"/>
                <w:highlight w:val="none"/>
                <w:vertAlign w:val="baseline"/>
                <w:lang w:val="en-US" w:eastAsia="zh-CN" w:bidi="ar-SA"/>
              </w:rPr>
              <w:t xml:space="preserve">40分</w:t>
            </w:r>
            <w:r>
              <w:rPr>
                <w:rFonts w:hint="eastAsia" w:ascii="宋体" w:hAnsi="宋体" w:eastAsia="宋体" w:cs="宋体"/>
                <w:color w:val="auto"/>
                <w:sz w:val="21"/>
                <w:szCs w:val="21"/>
                <w:highlight w:val="none"/>
                <w:vertAlign w:val="baseline"/>
                <w:lang w:val="zh-CN" w:eastAsia="zh-CN" w:bidi="ar-SA"/>
              </w:rPr>
              <w:t xml:space="preserve">）</w:t>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未保证各种消防设施设备原有功能正常。（</w:t>
            </w:r>
            <w:r>
              <w:rPr>
                <w:rFonts w:hint="eastAsia" w:ascii="宋体" w:hAnsi="宋体" w:eastAsia="宋体" w:cs="宋体"/>
                <w:color w:val="auto"/>
                <w:sz w:val="21"/>
                <w:szCs w:val="21"/>
                <w:highlight w:val="none"/>
                <w:vertAlign w:val="baseline"/>
                <w:lang w:val="en-US" w:eastAsia="zh-CN" w:bidi="ar-SA"/>
              </w:rPr>
              <w:t xml:space="preserve">10分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未及时排除火灾隐患。（</w:t>
            </w:r>
            <w:r>
              <w:rPr>
                <w:rFonts w:hint="eastAsia" w:ascii="宋体" w:hAnsi="宋体" w:eastAsia="宋体" w:cs="宋体"/>
                <w:color w:val="auto"/>
                <w:sz w:val="21"/>
                <w:szCs w:val="21"/>
                <w:highlight w:val="none"/>
                <w:vertAlign w:val="baseline"/>
                <w:lang w:val="en-US" w:eastAsia="zh-CN" w:bidi="ar-SA"/>
              </w:rPr>
              <w:t xml:space="preserve">10分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发生火情时，消防系统相关联动装置未动作或动作滞后。（乙方维保问题，则一票否决）</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各类设施设备维护保养未达标。（</w:t>
            </w:r>
            <w:r>
              <w:rPr>
                <w:rFonts w:hint="eastAsia" w:ascii="宋体" w:hAnsi="宋体" w:eastAsia="宋体" w:cs="宋体"/>
                <w:color w:val="auto"/>
                <w:sz w:val="21"/>
                <w:szCs w:val="21"/>
                <w:highlight w:val="none"/>
                <w:vertAlign w:val="baseline"/>
                <w:lang w:val="en-US" w:eastAsia="zh-CN" w:bidi="ar-SA"/>
              </w:rPr>
              <w:t xml:space="preserve">10分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设备保养不当造成损失。（</w:t>
            </w:r>
            <w:r>
              <w:rPr>
                <w:rFonts w:hint="eastAsia" w:ascii="宋体" w:hAnsi="宋体" w:eastAsia="宋体" w:cs="宋体"/>
                <w:color w:val="auto"/>
                <w:sz w:val="21"/>
                <w:szCs w:val="21"/>
                <w:highlight w:val="none"/>
                <w:vertAlign w:val="baseline"/>
                <w:lang w:val="en-US" w:eastAsia="zh-CN" w:bidi="ar-SA"/>
              </w:rPr>
              <w:t xml:space="preserve">10分</w:t>
            </w:r>
            <w:r>
              <w:rPr>
                <w:rFonts w:hint="eastAsia" w:ascii="宋体" w:hAnsi="宋体" w:eastAsia="宋体" w:cs="宋体"/>
                <w:color w:val="auto"/>
                <w:sz w:val="21"/>
                <w:szCs w:val="21"/>
                <w:highlight w:val="none"/>
                <w:vertAlign w:val="baseline"/>
                <w:lang w:val="zh-CN" w:eastAsia="zh-CN" w:bidi="ar-SA"/>
              </w:rPr>
              <w:t xml:space="preserve">）</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1224" w:type="dxa"/>
            <w:vAlign w:val="center"/>
            <w:vMerge w:val="continue"/>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维保记录不规范（5分）</w:t>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Pr>
        <w:tc>
          <w:tcPr>
            <w:tcW w:w="819" w:type="dxa"/>
            <w:vAlign w:val="center"/>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5</w:t>
            </w:r>
            <w:r/>
          </w:p>
        </w:tc>
        <w:tc>
          <w:tcPr>
            <w:tcW w:w="1224" w:type="dxa"/>
            <w:vAlign w:val="center"/>
            <w:textDirection w:val="lrTb"/>
            <w:noWrap w:val="false"/>
          </w:tcPr>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其他问题</w:t>
            </w:r>
            <w:r/>
          </w:p>
          <w:p>
            <w:pPr>
              <w:pStyle w:val="897"/>
              <w:numPr>
                <w:ilvl w:val="0"/>
                <w:numId w:val="0"/>
              </w:numPr>
              <w:ind w:right="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t xml:space="preserve">（</w:t>
            </w:r>
            <w:r>
              <w:rPr>
                <w:rFonts w:hint="eastAsia" w:ascii="宋体" w:hAnsi="宋体" w:eastAsia="宋体" w:cs="宋体"/>
                <w:color w:val="auto"/>
                <w:sz w:val="21"/>
                <w:szCs w:val="21"/>
                <w:highlight w:val="none"/>
                <w:vertAlign w:val="baseline"/>
                <w:lang w:val="en-US" w:eastAsia="zh-CN" w:bidi="ar-SA"/>
              </w:rPr>
              <w:t xml:space="preserve">5分</w:t>
            </w:r>
            <w:r>
              <w:rPr>
                <w:rFonts w:hint="eastAsia" w:ascii="宋体" w:hAnsi="宋体" w:eastAsia="宋体" w:cs="宋体"/>
                <w:color w:val="auto"/>
                <w:sz w:val="21"/>
                <w:szCs w:val="21"/>
                <w:highlight w:val="none"/>
                <w:vertAlign w:val="baseline"/>
                <w:lang w:val="zh-CN" w:eastAsia="zh-CN" w:bidi="ar-SA"/>
              </w:rPr>
              <w:t xml:space="preserve">）</w:t>
            </w:r>
            <w:r/>
          </w:p>
        </w:tc>
        <w:tc>
          <w:tcPr>
            <w:tcW w:w="6036"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c>
          <w:tcPr>
            <w:tcW w:w="1189" w:type="dxa"/>
            <w:vAlign w:val="top"/>
            <w:textDirection w:val="lrTb"/>
            <w:noWrap w:val="false"/>
          </w:tcPr>
          <w:p>
            <w:pPr>
              <w:pStyle w:val="897"/>
              <w:numPr>
                <w:ilvl w:val="0"/>
                <w:numId w:val="0"/>
              </w:numPr>
              <w:ind w:right="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vertAlign w:val="baseline"/>
                <w:lang w:val="zh-CN" w:eastAsia="zh-CN" w:bidi="ar-SA"/>
              </w:rPr>
            </w:r>
            <w:r/>
          </w:p>
        </w:tc>
      </w:tr>
      <w:tr>
        <w:trPr>
          <w:jc w:val="center"/>
          <w:trHeight w:val="2325"/>
        </w:trPr>
        <w:tc>
          <w:tcPr>
            <w:gridSpan w:val="4"/>
            <w:tcW w:w="9268" w:type="dxa"/>
            <w:vAlign w:val="center"/>
            <w:textDirection w:val="lrTb"/>
            <w:noWrap w:val="false"/>
          </w:tcPr>
          <w:p>
            <w:pPr>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p>
            <w:pPr>
              <w:pStyle w:val="897"/>
              <w:numPr>
                <w:ilvl w:val="0"/>
                <w:numId w:val="0"/>
              </w:numPr>
              <w:ind w:right="0" w:firstLine="210"/>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该评分细则按学期进行考核，维保费用与考核结果挂钩。满分 100 分，90 分为合格线，考核评定由学校消防系统维保管理考核小组具体负责。每学期考核得分90 分及以上为合格，该学期维保服务费全额支付；低于 90 分的，每低 1 分，按该学期应支付服务费的 0.5% 予以扣除。年度考核不合格的，学校有权更换维保单位。</w:t>
            </w:r>
            <w:r/>
          </w:p>
          <w:p>
            <w:pPr>
              <w:pStyle w:val="897"/>
              <w:numPr>
                <w:ilvl w:val="0"/>
                <w:numId w:val="0"/>
              </w:numPr>
              <w:ind w:right="0" w:firstLine="210"/>
              <w:keepLines w:val="0"/>
              <w:keepNext w:val="0"/>
              <w:pageBreakBefore w:val="0"/>
              <w:spacing w:before="0" w:after="0" w:line="44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每月累计扣分达到 40 分及以上的，校方有权单方终止维保合同；因此造成损失的，由维保单位承担全部赔偿责任。</w:t>
            </w:r>
            <w:r/>
          </w:p>
          <w:p>
            <w:pPr>
              <w:pStyle w:val="897"/>
              <w:numPr>
                <w:ilvl w:val="0"/>
                <w:numId w:val="0"/>
              </w:numPr>
              <w:ind w:right="0" w:firstLine="210"/>
              <w:keepLines w:val="0"/>
              <w:keepNext w:val="0"/>
              <w:pageBreakBefore w:val="0"/>
              <w:spacing w:before="0" w:after="0" w:line="440" w:lineRule="exact"/>
              <w:widowControl w:val="off"/>
              <w:rPr>
                <w:rFonts w:hint="eastAsia" w:ascii="宋体" w:hAnsi="宋体" w:eastAsia="宋体" w:cs="宋体"/>
                <w:color w:val="auto"/>
                <w:sz w:val="21"/>
                <w:szCs w:val="21"/>
                <w:highlight w:val="none"/>
                <w:vertAlign w:val="baseline"/>
                <w:lang w:val="zh-CN" w:eastAsia="zh-CN" w:bidi="ar-SA"/>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因维保单位操作不当、误操作等原因引发安全事故或造成设备损坏的，所有直接与间接损失均由维保单位全额承担。</w:t>
            </w:r>
            <w:r/>
          </w:p>
        </w:tc>
      </w:tr>
    </w:tbl>
    <w:p>
      <w:pPr>
        <w:pStyle w:val="897"/>
        <w:numPr>
          <w:ilvl w:val="0"/>
          <w:numId w:val="0"/>
        </w:numPr>
        <w:ind w:left="422" w:right="0"/>
        <w:keepLines w:val="0"/>
        <w:keepNext w:val="0"/>
        <w:pageBreakBefore w:val="0"/>
        <w:spacing w:before="0" w:after="0"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zh-CN" w:eastAsia="zh-CN" w:bidi="ar-SA"/>
        </w:rPr>
        <w:t xml:space="preserve">负责人（签字）：</w:t>
      </w:r>
      <w:r>
        <w:rPr>
          <w:rFonts w:hint="eastAsia" w:ascii="宋体" w:hAnsi="宋体" w:eastAsia="宋体" w:cs="宋体"/>
          <w:color w:val="auto"/>
          <w:sz w:val="21"/>
          <w:szCs w:val="21"/>
          <w:highlight w:val="none"/>
          <w:lang w:val="en-US" w:eastAsia="zh-CN" w:bidi="ar-SA"/>
        </w:rPr>
        <w:t xml:space="preserve">                   维保单位（签字）：</w:t>
      </w:r>
      <w:r/>
    </w:p>
    <w:p>
      <w:pPr>
        <w:pStyle w:val="866"/>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lang w:val="en-US" w:eastAsia="zh-CN" w:bidi="ar-SA"/>
        </w:rPr>
      </w:r>
      <w:r/>
    </w:p>
    <w:p>
      <w:pPr>
        <w:pStyle w:val="866"/>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sz w:val="21"/>
          <w:szCs w:val="21"/>
          <w:lang w:val="en-US" w:eastAsia="zh-CN" w:bidi="ar-SA"/>
        </w:rPr>
        <w:t xml:space="preserve">七</w:t>
      </w:r>
      <w:r>
        <w:rPr>
          <w:rFonts w:hint="eastAsia" w:ascii="宋体" w:hAnsi="宋体" w:eastAsia="宋体" w:cs="宋体"/>
          <w:b/>
          <w:bCs/>
          <w:sz w:val="21"/>
          <w:szCs w:val="21"/>
          <w:lang w:val="en-US" w:eastAsia="zh-CN" w:bidi="ar-SA"/>
        </w:rPr>
        <w:t xml:space="preserve">、责任厘清</w:t>
      </w:r>
      <w:r/>
    </w:p>
    <w:p>
      <w:pPr>
        <w:numPr>
          <w:ilvl w:val="0"/>
          <w:numId w:val="0"/>
        </w:numPr>
        <w:ind w:left="-363" w:right="0" w:firstLine="363"/>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rPr>
        <w:t xml:space="preserve">派驻的工作人员应为专职人员，不再兼任原公司其他工作。如因公、因私导致实际派驻人员不足学校要求的，应及时安排人员顶岗。</w:t>
      </w:r>
      <w:r/>
    </w:p>
    <w:p>
      <w:pPr>
        <w:numPr>
          <w:ilvl w:val="0"/>
          <w:numId w:val="0"/>
        </w:numPr>
        <w:ind w:left="-363" w:right="0" w:firstLine="363"/>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rPr>
        <w:t xml:space="preserve">如因派驻工作人员技术能力不足、操作不规范导致学校设备损坏、重大活动受到影响，服务公司应承担相应的修复与赔偿责任。</w:t>
      </w:r>
      <w:r/>
    </w:p>
    <w:p>
      <w:pPr>
        <w:numPr>
          <w:ilvl w:val="0"/>
          <w:numId w:val="0"/>
        </w:numPr>
        <w:ind w:left="-363" w:right="0" w:firstLine="363"/>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rPr>
        <w:t xml:space="preserve">派驻工作人员不得将与学校相关的任何工作资料（包括且不限于软硬件资料等）外传，造成不良影响的，由服务公司承担相应责任。</w:t>
      </w:r>
      <w:r/>
    </w:p>
    <w:p>
      <w:pPr>
        <w:numPr>
          <w:ilvl w:val="0"/>
          <w:numId w:val="0"/>
        </w:numPr>
        <w:ind w:left="-363" w:right="0" w:firstLine="363"/>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rPr>
        <w:t xml:space="preserve">消防控制室必须保证 24 小时派驻人员值班，值班人员不得擅自离岗，并且在每天交换班次时保证完成全校一次消防安全巡查，并完成消防安全的巡查记录。</w:t>
      </w:r>
      <w:r/>
    </w:p>
    <w:p>
      <w:pPr>
        <w:numPr>
          <w:ilvl w:val="0"/>
          <w:numId w:val="0"/>
        </w:numPr>
        <w:ind w:left="-363" w:right="0" w:firstLine="363"/>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rPr>
        <w:t xml:space="preserve">供应商无条件配合学校有关消防方面的其他工作安排及要求。</w:t>
      </w:r>
      <w:r/>
    </w:p>
    <w:p>
      <w:pPr>
        <w:numPr>
          <w:ilvl w:val="0"/>
          <w:numId w:val="0"/>
        </w:numPr>
        <w:ind w:left="-363" w:right="0" w:firstLine="363"/>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rPr>
        <w:t xml:space="preserve">供应商中标后，严格按照消防控制室资料管理制度的要求完善并保存相关资料，积极配合相关部门的各类检查。</w:t>
      </w:r>
      <w:r/>
    </w:p>
    <w:p>
      <w:pPr>
        <w:numPr>
          <w:ilvl w:val="0"/>
          <w:numId w:val="0"/>
        </w:numPr>
        <w:ind w:left="-363" w:right="0" w:firstLine="363"/>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rPr>
        <w:t xml:space="preserve">派驻人员在工作期间因自身原因导致的安全责任由供应商承担，学校不承担任何责任。</w:t>
      </w:r>
      <w:r/>
    </w:p>
    <w:p>
      <w:pPr>
        <w:pStyle w:val="865"/>
        <w:jc w:val="lef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八、</w:t>
      </w:r>
      <w:r>
        <w:rPr>
          <w:rFonts w:hint="eastAsia" w:ascii="宋体" w:hAnsi="宋体" w:eastAsia="宋体" w:cs="宋体"/>
          <w:b/>
          <w:bCs/>
          <w:sz w:val="21"/>
          <w:szCs w:val="21"/>
        </w:rPr>
        <w:t xml:space="preserve">其它未列出的属于工作范围事宜</w:t>
      </w:r>
      <w:r/>
    </w:p>
    <w:p>
      <w:pPr>
        <w:pStyle w:val="874"/>
        <w:numPr>
          <w:ilvl w:val="-1"/>
          <w:numId w:val="0"/>
        </w:numPr>
        <w:ind w:left="0" w:firstLine="0"/>
        <w:keepLines w:val="0"/>
        <w:keepNext w:val="0"/>
        <w:pageBreakBefore w:val="0"/>
        <w:spacing w:after="0" w:line="360" w:lineRule="auto"/>
        <w:widowControl w:val="off"/>
        <w:rPr>
          <w:rFonts w:hint="default" w:ascii="宋体" w:hAnsi="宋体" w:eastAsia="宋体" w:cs="宋体"/>
          <w:i/>
          <w:iCs/>
          <w:sz w:val="21"/>
          <w:szCs w:val="21"/>
          <w:u w:val="single"/>
          <w:lang w:val="en-US" w:eastAsia="zh-CN"/>
        </w:rPr>
      </w:pPr>
      <w:r>
        <w:rPr>
          <w:rFonts w:hint="eastAsia" w:ascii="宋体" w:hAnsi="宋体" w:eastAsia="宋体" w:cs="宋体"/>
          <w:i/>
          <w:iCs/>
          <w:sz w:val="21"/>
          <w:szCs w:val="21"/>
          <w:u w:val="single"/>
          <w:lang w:val="en-US" w:eastAsia="zh-CN"/>
        </w:rPr>
        <w:t xml:space="preserve">（1）每年委派持专业资质的技术人员，为校方相关人员开展不少于一次消防安全知识培训，并提供培训记录、签到表及课件资料;</w:t>
      </w:r>
      <w:r/>
    </w:p>
    <w:p>
      <w:pPr>
        <w:pStyle w:val="874"/>
        <w:numPr>
          <w:ilvl w:val="-1"/>
          <w:numId w:val="0"/>
        </w:numPr>
        <w:ind w:left="0" w:firstLine="0"/>
        <w:keepLines w:val="0"/>
        <w:keepNext w:val="0"/>
        <w:pageBreakBefore w:val="0"/>
        <w:spacing w:after="0" w:line="360" w:lineRule="auto"/>
        <w:widowControl w:val="off"/>
        <w:rPr>
          <w:rFonts w:hint="eastAsia" w:ascii="宋体" w:hAnsi="宋体" w:eastAsia="宋体" w:cs="宋体"/>
          <w:i/>
          <w:iCs/>
          <w:sz w:val="21"/>
          <w:szCs w:val="21"/>
          <w:u w:val="single"/>
          <w:lang w:val="en-US" w:eastAsia="zh-CN"/>
        </w:rPr>
      </w:pPr>
      <w:r>
        <w:rPr>
          <w:rFonts w:hint="eastAsia" w:ascii="宋体" w:hAnsi="宋体" w:eastAsia="宋体" w:cs="宋体"/>
          <w:i/>
          <w:iCs/>
          <w:sz w:val="21"/>
          <w:szCs w:val="21"/>
          <w:u w:val="single"/>
          <w:lang w:val="en-US" w:eastAsia="zh-CN"/>
        </w:rPr>
        <w:t xml:space="preserve">（2）</w:t>
      </w:r>
      <w:bookmarkStart w:id="59" w:name="_Toc11948"/>
      <w:r>
        <w:rPr>
          <w:rFonts w:hint="eastAsia" w:ascii="宋体" w:hAnsi="宋体" w:eastAsia="宋体" w:cs="宋体"/>
          <w:i/>
          <w:iCs/>
          <w:sz w:val="21"/>
          <w:szCs w:val="21"/>
          <w:u w:val="single"/>
          <w:lang w:val="en-US" w:eastAsia="zh-CN"/>
        </w:rPr>
        <w:t xml:space="preserve">全程配合校方组织的年度消防应急演练，负责技术指导、现场保障及演练相关配合工作;</w:t>
      </w:r>
      <w:r/>
    </w:p>
    <w:p>
      <w:pPr>
        <w:pStyle w:val="874"/>
        <w:numPr>
          <w:ilvl w:val="-1"/>
          <w:numId w:val="0"/>
        </w:numPr>
        <w:ind w:left="0" w:firstLine="0"/>
        <w:keepLines w:val="0"/>
        <w:keepNext w:val="0"/>
        <w:pageBreakBefore w:val="0"/>
        <w:spacing w:after="0" w:line="360" w:lineRule="auto"/>
        <w:widowControl w:val="off"/>
        <w:rPr>
          <w:rFonts w:hint="eastAsia" w:ascii="宋体" w:hAnsi="宋体" w:eastAsia="宋体" w:cs="宋体"/>
          <w:i/>
          <w:iCs/>
          <w:sz w:val="21"/>
          <w:szCs w:val="21"/>
          <w:u w:val="single"/>
          <w:lang w:val="en-US" w:eastAsia="zh-CN"/>
        </w:rPr>
      </w:pPr>
      <w:r>
        <w:rPr>
          <w:rFonts w:hint="eastAsia" w:ascii="宋体" w:hAnsi="宋体" w:eastAsia="宋体" w:cs="宋体"/>
          <w:i/>
          <w:iCs/>
          <w:sz w:val="21"/>
          <w:szCs w:val="21"/>
          <w:u w:val="single"/>
          <w:lang w:val="en-US" w:eastAsia="zh-CN"/>
        </w:rPr>
        <w:t xml:space="preserve">（3）</w:t>
      </w:r>
      <w:bookmarkEnd w:id="59"/>
      <w:r>
        <w:rPr>
          <w:rFonts w:hint="eastAsia" w:ascii="宋体" w:hAnsi="宋体" w:eastAsia="宋体" w:cs="宋体"/>
          <w:i/>
          <w:iCs/>
          <w:sz w:val="21"/>
          <w:szCs w:val="21"/>
          <w:u w:val="single"/>
          <w:lang w:val="en-US" w:eastAsia="zh-CN"/>
        </w:rPr>
        <w:t xml:space="preserve">服务期内遇重要活动、考试及关键保障时段，须提前编制专项消防安全应急预案，并增派持证维保人员现场值守，保障活动安全有序开展；</w:t>
      </w:r>
      <w:r/>
    </w:p>
    <w:p>
      <w:pPr>
        <w:pStyle w:val="874"/>
        <w:numPr>
          <w:ilvl w:val="-1"/>
          <w:numId w:val="0"/>
        </w:numPr>
        <w:ind w:left="0" w:firstLine="0"/>
        <w:keepLines w:val="0"/>
        <w:keepNext w:val="0"/>
        <w:pageBreakBefore w:val="0"/>
        <w:spacing w:after="0" w:line="360" w:lineRule="auto"/>
        <w:widowControl w:val="off"/>
        <w:rPr>
          <w:rFonts w:hint="eastAsia" w:ascii="宋体" w:hAnsi="宋体" w:eastAsia="宋体" w:cs="宋体"/>
          <w:i/>
          <w:iCs/>
          <w:sz w:val="21"/>
          <w:szCs w:val="21"/>
          <w:u w:val="single"/>
          <w:lang w:eastAsia="zh-CN"/>
        </w:rPr>
      </w:pPr>
      <w:r>
        <w:rPr>
          <w:rFonts w:hint="eastAsia" w:ascii="宋体" w:hAnsi="宋体" w:eastAsia="宋体" w:cs="宋体"/>
          <w:i/>
          <w:iCs/>
          <w:sz w:val="21"/>
          <w:szCs w:val="21"/>
          <w:u w:val="single"/>
          <w:lang w:val="en-US" w:eastAsia="zh-CN"/>
        </w:rPr>
        <w:t xml:space="preserve">（4）按照消防主管部门及校方要求，规范整理消防维保资料，建立完整台账，做到分类清晰、记录齐全、可随时查阅</w:t>
      </w:r>
      <w:r>
        <w:rPr>
          <w:rFonts w:hint="eastAsia" w:ascii="宋体" w:hAnsi="宋体" w:eastAsia="宋体" w:cs="宋体"/>
          <w:i/>
          <w:iCs/>
          <w:sz w:val="21"/>
          <w:szCs w:val="21"/>
          <w:u w:val="single"/>
          <w:lang w:eastAsia="zh-CN"/>
        </w:rPr>
        <w:t xml:space="preserve">；</w:t>
      </w:r>
      <w:r/>
    </w:p>
    <w:p>
      <w:pPr>
        <w:pStyle w:val="874"/>
        <w:numPr>
          <w:ilvl w:val="-1"/>
          <w:numId w:val="0"/>
        </w:numPr>
        <w:ind w:left="0" w:firstLine="0"/>
        <w:keepLines w:val="0"/>
        <w:keepNext w:val="0"/>
        <w:pageBreakBefore w:val="0"/>
        <w:spacing w:after="0" w:line="360" w:lineRule="auto"/>
        <w:widowControl w:val="off"/>
        <w:rPr>
          <w:rFonts w:hint="eastAsia" w:ascii="宋体" w:hAnsi="宋体" w:eastAsia="宋体" w:cs="宋体"/>
          <w:i/>
          <w:iCs/>
          <w:sz w:val="21"/>
          <w:szCs w:val="21"/>
          <w:u w:val="single"/>
          <w:lang w:val="en-US" w:eastAsia="zh-CN"/>
        </w:rPr>
      </w:pPr>
      <w:r>
        <w:rPr>
          <w:rFonts w:hint="eastAsia" w:ascii="宋体" w:hAnsi="宋体" w:eastAsia="宋体" w:cs="宋体"/>
          <w:i/>
          <w:iCs/>
          <w:sz w:val="21"/>
          <w:szCs w:val="21"/>
          <w:u w:val="single"/>
          <w:lang w:val="en-US" w:eastAsia="zh-CN"/>
        </w:rPr>
        <w:t xml:space="preserve">（5）积极配合教育、消防等上级主管部门的各类监督检查，按要求提供资料、现场配合及问题整改。</w:t>
      </w:r>
      <w:r/>
    </w:p>
    <w:p>
      <w:pPr>
        <w:pStyle w:val="874"/>
        <w:numPr>
          <w:ilvl w:val="-1"/>
          <w:numId w:val="0"/>
        </w:numPr>
        <w:ind w:left="0" w:firstLine="0"/>
        <w:keepLines w:val="0"/>
        <w:keepNext w:val="0"/>
        <w:pageBreakBefore w:val="0"/>
        <w:spacing w:after="0" w:line="360" w:lineRule="auto"/>
        <w:widowControl w:val="off"/>
        <w:rPr>
          <w:rFonts w:hint="eastAsia" w:ascii="宋体" w:hAnsi="宋体" w:cs="宋体"/>
          <w:i/>
          <w:iCs/>
          <w:sz w:val="21"/>
          <w:szCs w:val="21"/>
          <w:u w:val="single"/>
          <w:lang w:val="en-US" w:eastAsia="zh-CN"/>
        </w:rPr>
      </w:pPr>
      <w:r>
        <w:rPr>
          <w:rFonts w:hint="eastAsia" w:ascii="宋体" w:hAnsi="宋体" w:eastAsia="宋体" w:cs="宋体"/>
          <w:i/>
          <w:iCs/>
          <w:sz w:val="21"/>
          <w:szCs w:val="21"/>
          <w:u w:val="single"/>
          <w:lang w:val="en-US" w:eastAsia="zh-CN"/>
        </w:rPr>
        <w:t xml:space="preserve">（6）因维保单位未按合同及规范履约，导致消防设施故障、功能失效或引发次生事故的，全部责任与损失由中标单位承担</w:t>
      </w:r>
      <w:r>
        <w:rPr>
          <w:rFonts w:hint="eastAsia" w:ascii="宋体" w:hAnsi="宋体" w:cs="宋体"/>
          <w:i/>
          <w:iCs/>
          <w:sz w:val="21"/>
          <w:szCs w:val="21"/>
          <w:u w:val="single"/>
          <w:lang w:val="en-US" w:eastAsia="zh-CN"/>
        </w:rPr>
        <w:t xml:space="preserve">。</w:t>
      </w:r>
      <w:r/>
    </w:p>
    <w:p>
      <w:pPr>
        <w:pStyle w:val="874"/>
        <w:numPr>
          <w:ilvl w:val="-1"/>
          <w:numId w:val="0"/>
        </w:numPr>
        <w:ind w:left="0" w:firstLine="0"/>
        <w:keepLines w:val="0"/>
        <w:keepNext w:val="0"/>
        <w:pageBreakBefore w:val="0"/>
        <w:spacing w:after="0" w:line="360" w:lineRule="auto"/>
        <w:widowControl w:val="off"/>
        <w:rPr>
          <w:rFonts w:hint="eastAsia" w:ascii="宋体" w:hAnsi="宋体" w:cs="宋体"/>
          <w:b/>
          <w:bCs/>
          <w:i/>
          <w:iCs/>
          <w:sz w:val="21"/>
          <w:szCs w:val="21"/>
          <w:u w:val="single"/>
          <w:lang w:val="en-US" w:eastAsia="zh-CN"/>
        </w:rPr>
      </w:pPr>
      <w:r>
        <w:rPr>
          <w:rFonts w:hint="eastAsia" w:ascii="宋体" w:hAnsi="宋体" w:cs="宋体"/>
          <w:b/>
          <w:bCs/>
          <w:i/>
          <w:iCs/>
          <w:sz w:val="21"/>
          <w:szCs w:val="21"/>
          <w:u w:val="single"/>
          <w:lang w:val="en-US" w:eastAsia="zh-CN"/>
        </w:rPr>
        <w:t xml:space="preserve">供应商须就上述全部服务内容，逐项出具书面承诺函，承诺严格履行各项义务，承诺函须加盖单位公章，并按要求在投标文件中上传。</w:t>
      </w:r>
      <w:r/>
    </w:p>
    <w:p>
      <w:pPr>
        <w:pStyle w:val="885"/>
        <w:numPr>
          <w:ilvl w:val="0"/>
          <w:numId w:val="0"/>
        </w:numPr>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九、配件部份</w:t>
      </w:r>
      <w:r/>
    </w:p>
    <w:p>
      <w:pPr>
        <w:pStyle w:val="885"/>
        <w:numPr>
          <w:ilvl w:val="0"/>
          <w:numId w:val="0"/>
        </w:numPr>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1、维保配件报价表（收费部份，不含在总报价中）</w:t>
      </w:r>
      <w:r/>
    </w:p>
    <w:tbl>
      <w:tblPr>
        <w:tblStyle w:val="86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2328"/>
        <w:gridCol w:w="1835"/>
        <w:gridCol w:w="1522"/>
        <w:gridCol w:w="1518"/>
        <w:gridCol w:w="1552"/>
      </w:tblGrid>
      <w:tr>
        <w:trPr>
          <w:cantSplit/>
          <w:trHeight w:val="294"/>
        </w:trPr>
        <w:tc>
          <w:tcPr>
            <w:tcW w:w="554" w:type="pct"/>
            <w:vAlign w:val="center"/>
            <w:textDirection w:val="lrTb"/>
            <w:noWrap w:val="false"/>
          </w:tcPr>
          <w:p>
            <w:pPr>
              <w:jc w:val="center"/>
              <w:rPr>
                <w:rFonts w:hint="default" w:ascii="宋体" w:hAnsi="宋体" w:eastAsia="宋体"/>
                <w:b/>
                <w:bCs/>
                <w:szCs w:val="21"/>
                <w:highlight w:val="yellow"/>
                <w:lang w:val="en-US" w:eastAsia="zh-CN"/>
              </w:rPr>
            </w:pPr>
            <w:r>
              <w:rPr>
                <w:rFonts w:hint="eastAsia" w:ascii="宋体" w:hAnsi="宋体"/>
                <w:b/>
                <w:bCs/>
                <w:szCs w:val="21"/>
                <w:highlight w:val="yellow"/>
                <w:lang w:val="en-US" w:eastAsia="zh-CN"/>
              </w:rPr>
              <w:t xml:space="preserve">序号</w:t>
            </w:r>
            <w:r/>
          </w:p>
        </w:tc>
        <w:tc>
          <w:tcPr>
            <w:tcW w:w="1182" w:type="pct"/>
            <w:vAlign w:val="center"/>
            <w:textDirection w:val="lrTb"/>
            <w:noWrap w:val="false"/>
          </w:tcPr>
          <w:p>
            <w:pPr>
              <w:jc w:val="center"/>
              <w:rPr>
                <w:rFonts w:hint="default" w:ascii="宋体" w:hAnsi="宋体" w:eastAsia="宋体"/>
                <w:b/>
                <w:bCs/>
                <w:szCs w:val="21"/>
                <w:highlight w:val="yellow"/>
                <w:lang w:val="en-US" w:eastAsia="zh-CN"/>
              </w:rPr>
            </w:pPr>
            <w:r>
              <w:rPr>
                <w:rFonts w:hint="eastAsia" w:ascii="宋体" w:hAnsi="宋体"/>
                <w:b/>
                <w:bCs/>
                <w:szCs w:val="21"/>
                <w:highlight w:val="yellow"/>
                <w:lang w:val="en-US" w:eastAsia="zh-CN"/>
              </w:rPr>
              <w:t xml:space="preserve">常用配件名称</w:t>
            </w:r>
            <w:r/>
          </w:p>
        </w:tc>
        <w:tc>
          <w:tcPr>
            <w:tcW w:w="932" w:type="pct"/>
            <w:vAlign w:val="center"/>
            <w:textDirection w:val="lrTb"/>
            <w:noWrap w:val="false"/>
          </w:tcPr>
          <w:p>
            <w:pPr>
              <w:jc w:val="center"/>
              <w:rPr>
                <w:rFonts w:ascii="宋体" w:hAnsi="宋体"/>
                <w:b/>
                <w:bCs/>
                <w:szCs w:val="21"/>
                <w:highlight w:val="yellow"/>
              </w:rPr>
            </w:pPr>
            <w:r>
              <w:rPr>
                <w:rFonts w:hint="eastAsia" w:ascii="宋体" w:hAnsi="宋体"/>
                <w:b/>
                <w:bCs/>
                <w:szCs w:val="21"/>
                <w:highlight w:val="yellow"/>
                <w:lang w:val="en-US" w:eastAsia="zh-CN"/>
              </w:rPr>
              <w:t xml:space="preserve">规格</w:t>
            </w:r>
            <w:r/>
          </w:p>
        </w:tc>
        <w:tc>
          <w:tcPr>
            <w:tcW w:w="773" w:type="pct"/>
            <w:vAlign w:val="center"/>
            <w:textDirection w:val="lrTb"/>
            <w:noWrap w:val="false"/>
          </w:tcPr>
          <w:p>
            <w:pPr>
              <w:jc w:val="center"/>
              <w:rPr>
                <w:rFonts w:hint="eastAsia" w:ascii="宋体" w:hAnsi="宋体" w:eastAsia="宋体"/>
                <w:b/>
                <w:bCs/>
                <w:szCs w:val="21"/>
                <w:highlight w:val="yellow"/>
                <w:lang w:val="en-US" w:eastAsia="zh-CN"/>
              </w:rPr>
            </w:pPr>
            <w:r>
              <w:rPr>
                <w:rFonts w:hint="eastAsia" w:ascii="宋体" w:hAnsi="宋体"/>
                <w:b/>
                <w:bCs/>
                <w:szCs w:val="21"/>
                <w:highlight w:val="yellow"/>
              </w:rPr>
              <w:t xml:space="preserve">单</w:t>
            </w:r>
            <w:r>
              <w:rPr>
                <w:rFonts w:hint="eastAsia" w:ascii="宋体" w:hAnsi="宋体"/>
                <w:b/>
                <w:bCs/>
                <w:szCs w:val="21"/>
                <w:highlight w:val="yellow"/>
                <w:lang w:val="en-US" w:eastAsia="zh-CN"/>
              </w:rPr>
              <w:t xml:space="preserve">位</w:t>
            </w:r>
            <w:r/>
          </w:p>
        </w:tc>
        <w:tc>
          <w:tcPr>
            <w:tcW w:w="771" w:type="pct"/>
            <w:vAlign w:val="center"/>
            <w:textDirection w:val="lrTb"/>
            <w:noWrap w:val="false"/>
          </w:tcPr>
          <w:p>
            <w:pPr>
              <w:jc w:val="center"/>
              <w:rPr>
                <w:rFonts w:hint="default" w:ascii="宋体" w:hAnsi="宋体" w:eastAsia="宋体"/>
                <w:b/>
                <w:bCs/>
                <w:szCs w:val="21"/>
                <w:highlight w:val="yellow"/>
                <w:lang w:val="en-US" w:eastAsia="zh-CN"/>
              </w:rPr>
            </w:pPr>
            <w:r>
              <w:rPr>
                <w:rFonts w:hint="eastAsia" w:ascii="宋体" w:hAnsi="宋体"/>
                <w:b/>
                <w:bCs/>
                <w:szCs w:val="21"/>
                <w:highlight w:val="yellow"/>
              </w:rPr>
              <w:t xml:space="preserve">单价</w:t>
            </w:r>
            <w:r/>
          </w:p>
        </w:tc>
        <w:tc>
          <w:tcPr>
            <w:tcW w:w="784" w:type="pct"/>
            <w:vAlign w:val="center"/>
            <w:textDirection w:val="lrTb"/>
            <w:noWrap w:val="false"/>
          </w:tcPr>
          <w:p>
            <w:pPr>
              <w:jc w:val="center"/>
              <w:rPr>
                <w:rFonts w:hint="eastAsia" w:ascii="宋体" w:hAnsi="宋体"/>
                <w:b/>
                <w:bCs/>
                <w:szCs w:val="21"/>
                <w:highlight w:val="yellow"/>
                <w:lang w:val="en-US" w:eastAsia="zh-CN"/>
              </w:rPr>
            </w:pPr>
            <w:r>
              <w:rPr>
                <w:rFonts w:hint="eastAsia" w:ascii="宋体" w:hAnsi="宋体"/>
                <w:b/>
                <w:bCs/>
                <w:szCs w:val="21"/>
                <w:highlight w:val="yellow"/>
                <w:lang w:val="en-US" w:eastAsia="zh-CN"/>
              </w:rPr>
              <w:t xml:space="preserve">备注</w:t>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感烟探测器</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JBF5100</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感温探测器</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JBF5110</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手动报警按钮</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4121B-P</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消火栓按钮</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4123B</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声光报警器</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JBF5011 </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消防电话分机</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HY5716B</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输入模块</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JBF5131</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输出模块</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JBF4143</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输入输出模块</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JBF5141</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疏散指示灯</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220V 暗装</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安全出口灯</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220V 暗装</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应急照明灯</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220V</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疏散指示灯</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36V集中控制型</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水带（含接口）</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8-65-25</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自救卷盘</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25M</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消火栓栓口</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DN65</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消火栓箱门</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800*650</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消火栓箱门</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1800*700</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扇</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浮球阀</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DN80</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遥控浮球阀</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DN100</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止回阀</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DN150</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止回阀</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DN100</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信号蝶阀</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DN150</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防火门闭门器</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普通</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W w:w="118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亚克力玻璃</w:t>
            </w:r>
            <w:r/>
          </w:p>
        </w:tc>
        <w:tc>
          <w:tcPr>
            <w:tcW w:w="932"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56.8*90.8cm</w:t>
            </w:r>
            <w:r/>
          </w:p>
        </w:tc>
        <w:tc>
          <w:tcPr>
            <w:tcW w:w="773"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W w:w="11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亚克力玻璃</w:t>
            </w:r>
            <w:r/>
          </w:p>
        </w:tc>
        <w:tc>
          <w:tcP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56.8cm*67cm</w:t>
            </w:r>
            <w:r/>
          </w:p>
        </w:tc>
        <w:tc>
          <w:tcPr>
            <w:tcW w:w="77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W w:w="11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干粉灭火器</w:t>
            </w:r>
            <w:r/>
          </w:p>
        </w:tc>
        <w:tc>
          <w:tcP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4kg</w:t>
            </w:r>
            <w:r/>
          </w:p>
        </w:tc>
        <w:tc>
          <w:tcPr>
            <w:tcW w:w="77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W w:w="118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灭火器箱</w:t>
            </w:r>
            <w:r/>
          </w:p>
        </w:tc>
        <w:tc>
          <w:tcP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tcW w:w="77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29</w:t>
            </w:r>
            <w:r/>
          </w:p>
        </w:tc>
        <w:tc>
          <w:tcPr>
            <w:tcW w:w="1182"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应急照明灯</w:t>
            </w:r>
            <w:r/>
          </w:p>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（普通型）</w:t>
            </w:r>
            <w:r/>
          </w:p>
        </w:tc>
        <w:tc>
          <w:tcPr>
            <w:tcW w:w="932"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220V，3W</w:t>
            </w:r>
            <w:r/>
          </w:p>
        </w:tc>
        <w:tc>
          <w:tcPr>
            <w:tcW w:w="773"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张</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30</w:t>
            </w:r>
            <w:r/>
          </w:p>
        </w:tc>
        <w:tc>
          <w:tcPr>
            <w:tcW w:w="1182"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应急照明灯</w:t>
            </w:r>
            <w:r/>
          </w:p>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（集中控制型）</w:t>
            </w:r>
            <w:r/>
          </w:p>
        </w:tc>
        <w:tc>
          <w:tcPr>
            <w:tcW w:w="93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36V，3W</w:t>
            </w:r>
            <w:r/>
          </w:p>
        </w:tc>
        <w:tc>
          <w:tcPr>
            <w:tcW w:w="773"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张</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90"/>
        </w:trPr>
        <w:tc>
          <w:tcPr>
            <w:tcW w:w="554" w:type="pct"/>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31</w:t>
            </w:r>
            <w:r/>
          </w:p>
        </w:tc>
        <w:tc>
          <w:tcPr>
            <w:tcW w:w="118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应急吸顶灯</w:t>
            </w:r>
            <w:r/>
          </w:p>
        </w:tc>
        <w:tc>
          <w:tcPr>
            <w:tcW w:w="932"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12W</w:t>
            </w:r>
            <w:r/>
          </w:p>
        </w:tc>
        <w:tc>
          <w:tcPr>
            <w:tcW w:w="773"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张</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554" w:type="pct"/>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32</w:t>
            </w:r>
            <w:r/>
          </w:p>
        </w:tc>
        <w:tc>
          <w:tcPr>
            <w:tcW w:w="1182" w:type="pct"/>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应急筒灯</w:t>
            </w:r>
            <w:r/>
          </w:p>
        </w:tc>
        <w:tc>
          <w:tcPr>
            <w:tcW w:w="932"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w:t>
            </w:r>
            <w:r/>
          </w:p>
        </w:tc>
        <w:tc>
          <w:tcPr>
            <w:tcW w:w="773" w:type="pct"/>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张</w:t>
            </w:r>
            <w:r/>
          </w:p>
        </w:tc>
        <w:tc>
          <w:tcPr>
            <w:tcW w:w="77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c>
          <w:tcPr>
            <w:tcW w:w="784"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580"/>
        </w:trPr>
        <w:tc>
          <w:tcPr>
            <w:gridSpan w:val="6"/>
            <w:tcW w:w="5000" w:type="pct"/>
            <w:vAlign w:val="center"/>
            <w:textDirection w:val="lrTb"/>
            <w:noWrap w:val="false"/>
          </w:tcPr>
          <w:p>
            <w:pPr>
              <w:rPr>
                <w:rFonts w:hint="eastAsia" w:ascii="宋体" w:hAnsi="宋体"/>
                <w:b/>
                <w:bCs/>
                <w:i/>
                <w:iCs/>
                <w:szCs w:val="21"/>
                <w:highlight w:val="yellow"/>
                <w:u w:val="single"/>
              </w:rPr>
            </w:pPr>
            <w:r>
              <w:rPr>
                <w:rFonts w:hint="eastAsia" w:ascii="宋体" w:hAnsi="宋体"/>
                <w:b/>
                <w:bCs/>
                <w:i/>
                <w:iCs/>
                <w:szCs w:val="21"/>
                <w:highlight w:val="yellow"/>
                <w:u w:val="single"/>
              </w:rPr>
              <w:t xml:space="preserve">定价依据：常用配件最终定价，以中标候选人前三名的配件报价平均值作为基准价。</w:t>
            </w:r>
            <w:r/>
          </w:p>
          <w:p>
            <w:pPr>
              <w:rPr>
                <w:rFonts w:hint="eastAsia" w:ascii="宋体" w:hAnsi="宋体"/>
                <w:b/>
                <w:bCs/>
                <w:i/>
                <w:iCs/>
                <w:szCs w:val="21"/>
                <w:highlight w:val="yellow"/>
                <w:u w:val="single"/>
              </w:rPr>
            </w:pPr>
            <w:r>
              <w:rPr>
                <w:rFonts w:hint="eastAsia" w:ascii="宋体" w:hAnsi="宋体"/>
                <w:b/>
                <w:bCs/>
                <w:i/>
                <w:iCs/>
                <w:szCs w:val="21"/>
                <w:highlight w:val="yellow"/>
                <w:u w:val="single"/>
              </w:rPr>
              <w:t xml:space="preserve">价格确定</w:t>
            </w:r>
            <w:r/>
          </w:p>
          <w:p>
            <w:pPr>
              <w:rPr>
                <w:rFonts w:hint="eastAsia" w:ascii="宋体" w:hAnsi="宋体"/>
                <w:b/>
                <w:bCs/>
                <w:i/>
                <w:iCs/>
                <w:szCs w:val="21"/>
                <w:highlight w:val="yellow"/>
                <w:u w:val="single"/>
              </w:rPr>
            </w:pPr>
            <w:r>
              <w:rPr>
                <w:rFonts w:hint="eastAsia" w:ascii="宋体" w:hAnsi="宋体"/>
                <w:b/>
                <w:bCs/>
                <w:i/>
                <w:iCs/>
                <w:szCs w:val="21"/>
                <w:highlight w:val="yellow"/>
                <w:u w:val="single"/>
              </w:rPr>
              <w:t xml:space="preserve">若平均价＜中标人报价：按平均价执行。</w:t>
            </w:r>
            <w:r/>
          </w:p>
          <w:p>
            <w:pPr>
              <w:rPr>
                <w:rFonts w:hint="eastAsia" w:ascii="宋体" w:hAnsi="宋体"/>
                <w:b/>
                <w:bCs/>
                <w:i/>
                <w:iCs/>
                <w:szCs w:val="21"/>
                <w:highlight w:val="yellow"/>
                <w:u w:val="single"/>
              </w:rPr>
            </w:pPr>
            <w:r>
              <w:rPr>
                <w:rFonts w:hint="eastAsia" w:ascii="宋体" w:hAnsi="宋体"/>
                <w:b/>
                <w:bCs/>
                <w:i/>
                <w:iCs/>
                <w:szCs w:val="21"/>
                <w:highlight w:val="yellow"/>
                <w:u w:val="single"/>
              </w:rPr>
              <w:t xml:space="preserve">若平均价＞中标人报价：按中标人报价执行。</w:t>
            </w:r>
            <w:r/>
          </w:p>
          <w:p>
            <w:pPr>
              <w:rPr>
                <w:rFonts w:hint="eastAsia" w:ascii="宋体" w:hAnsi="宋体"/>
                <w:b/>
                <w:bCs/>
                <w:i/>
                <w:iCs/>
                <w:szCs w:val="21"/>
                <w:highlight w:val="yellow"/>
                <w:u w:val="single"/>
              </w:rPr>
            </w:pPr>
            <w:r>
              <w:rPr>
                <w:rFonts w:hint="eastAsia" w:ascii="宋体" w:hAnsi="宋体"/>
                <w:b/>
                <w:bCs/>
                <w:i/>
                <w:iCs/>
                <w:szCs w:val="21"/>
                <w:highlight w:val="yellow"/>
                <w:u w:val="single"/>
              </w:rPr>
              <w:t xml:space="preserve">适用范围：本项目消防维保、消控室及配套服务中，所有常用备品备件均按上述规则定价，不另行议价。</w:t>
            </w:r>
            <w:r/>
          </w:p>
          <w:p>
            <w:pPr>
              <w:rPr>
                <w:rFonts w:hint="eastAsia" w:ascii="宋体" w:hAnsi="宋体"/>
                <w:b/>
                <w:bCs/>
                <w:i/>
                <w:iCs/>
                <w:szCs w:val="21"/>
                <w:highlight w:val="yellow"/>
                <w:u w:val="single"/>
              </w:rPr>
            </w:pPr>
            <w:r>
              <w:rPr>
                <w:rFonts w:hint="eastAsia" w:ascii="宋体" w:hAnsi="宋体"/>
                <w:b/>
                <w:bCs/>
                <w:i/>
                <w:iCs/>
                <w:szCs w:val="21"/>
                <w:highlight w:val="yellow"/>
                <w:u w:val="single"/>
              </w:rPr>
              <w:t xml:space="preserve">执行要求：中标人须严格遵照定价标准提供配件，不得擅自加价，否则按考核条款违约处理。</w:t>
            </w:r>
            <w:r/>
          </w:p>
        </w:tc>
      </w:tr>
    </w:tbl>
    <w:p>
      <w:pPr>
        <w:rPr>
          <w:rFonts w:hint="eastAsia" w:asciiTheme="minorEastAsia" w:hAnsiTheme="minorEastAsia" w:eastAsiaTheme="minorEastAsia"/>
          <w:sz w:val="32"/>
        </w:rPr>
      </w:pPr>
      <w:r>
        <w:rPr>
          <w:rFonts w:hint="eastAsia" w:asciiTheme="minorEastAsia" w:hAnsiTheme="minorEastAsia" w:eastAsiaTheme="minorEastAsia"/>
          <w:sz w:val="32"/>
        </w:rPr>
      </w:r>
      <w:r/>
    </w:p>
    <w:p>
      <w:pPr>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2、维保配件报价表（免费部份）</w:t>
      </w:r>
      <w:r/>
    </w:p>
    <w:tbl>
      <w:tblPr>
        <w:tblStyle w:val="86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5"/>
        <w:gridCol w:w="3543"/>
        <w:gridCol w:w="2314"/>
        <w:gridCol w:w="2328"/>
      </w:tblGrid>
      <w:tr>
        <w:trPr>
          <w:cantSplit/>
          <w:trHeight w:val="294"/>
        </w:trPr>
        <w:tc>
          <w:tcPr>
            <w:tcW w:w="845" w:type="pct"/>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序号</w:t>
            </w:r>
            <w:r/>
          </w:p>
        </w:tc>
        <w:tc>
          <w:tcPr>
            <w:tcW w:w="1798" w:type="pct"/>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常用配件名称</w:t>
            </w:r>
            <w:r/>
          </w:p>
        </w:tc>
        <w:tc>
          <w:tcPr>
            <w:tcW w:w="1174" w:type="pct"/>
            <w:vAlign w:val="center"/>
            <w:textDirection w:val="lrTb"/>
            <w:noWrap w:val="false"/>
          </w:tcPr>
          <w:p>
            <w:pPr>
              <w:jc w:val="center"/>
              <w:rPr>
                <w:rFonts w:hint="eastAsia" w:ascii="宋体" w:hAnsi="宋体" w:eastAsia="宋体"/>
                <w:szCs w:val="21"/>
                <w:highlight w:val="none"/>
                <w:lang w:val="en-US" w:eastAsia="zh-CN"/>
              </w:rPr>
            </w:pPr>
            <w:r>
              <w:rPr>
                <w:rFonts w:hint="eastAsia" w:ascii="宋体" w:hAnsi="宋体"/>
                <w:szCs w:val="21"/>
                <w:highlight w:val="none"/>
              </w:rPr>
              <w:t xml:space="preserve">单</w:t>
            </w:r>
            <w:r>
              <w:rPr>
                <w:rFonts w:hint="eastAsia" w:ascii="宋体" w:hAnsi="宋体"/>
                <w:szCs w:val="21"/>
                <w:highlight w:val="none"/>
                <w:lang w:val="en-US" w:eastAsia="zh-CN"/>
              </w:rPr>
              <w:t xml:space="preserve">位</w:t>
            </w:r>
            <w:r/>
          </w:p>
        </w:tc>
        <w:tc>
          <w:tcPr>
            <w:tcW w:w="1181" w:type="pct"/>
            <w:vAlign w:val="center"/>
            <w:textDirection w:val="lrTb"/>
            <w:noWrap w:val="false"/>
          </w:tcPr>
          <w:p>
            <w:pPr>
              <w:jc w:val="center"/>
              <w:rPr>
                <w:rFonts w:hint="eastAsia" w:ascii="宋体" w:hAnsi="宋体"/>
                <w:szCs w:val="21"/>
                <w:highlight w:val="none"/>
                <w:lang w:val="en-US" w:eastAsia="zh-CN"/>
              </w:rPr>
            </w:pPr>
            <w:r>
              <w:rPr>
                <w:rFonts w:hint="eastAsia" w:ascii="宋体" w:hAnsi="宋体"/>
                <w:szCs w:val="21"/>
                <w:highlight w:val="none"/>
                <w:lang w:val="en-US" w:eastAsia="zh-CN"/>
              </w:rPr>
              <w:t xml:space="preserve">备注</w:t>
            </w:r>
            <w:r/>
          </w:p>
        </w:tc>
      </w:tr>
      <w:tr>
        <w:trPr>
          <w:cantSplit/>
          <w:trHeight w:val="294"/>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防火门顺序器</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自救卷盘快开阀</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压力表</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洒水喷头</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卷帘门控制箱备电电池</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2"/>
                <w:szCs w:val="22"/>
                <w:u w:val="none"/>
                <w:lang w:val="en-US" w:eastAsia="zh-CN" w:bidi="ar"/>
              </w:rPr>
              <w:t xml:space="preserve">节</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消防水枪头DN65</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消火栓接口DN65</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消火栓箱门锁</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主机打印纸</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1"/>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阀门标识牌</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DC24V继电器</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端子排</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油漆</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桶</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黄油</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袋</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845" w:type="pct"/>
            <w:vAlign w:val="center"/>
            <w:textDirection w:val="lrTb"/>
            <w:noWrap w:val="false"/>
          </w:tcPr>
          <w:p>
            <w:pPr>
              <w:jc w:val="center"/>
              <w:keepLines w:val="0"/>
              <w:keepNext w:val="0"/>
              <w:widowControl/>
              <w:rPr>
                <w:rFonts w:hint="eastAsia" w:ascii="宋体" w:hAnsi="宋体"/>
                <w:szCs w:val="21"/>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W w:w="1798"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演习用烟雾弹</w:t>
            </w:r>
            <w:r/>
          </w:p>
        </w:tc>
        <w:tc>
          <w:tcPr>
            <w:tcW w:w="1174" w:type="pct"/>
            <w:vAlign w:val="center"/>
            <w:textDirection w:val="lrTb"/>
            <w:noWrap w:val="false"/>
          </w:tcPr>
          <w:p>
            <w:pPr>
              <w:jc w:val="center"/>
              <w:keepLines w:val="0"/>
              <w:keepNext w:val="0"/>
              <w:widowControl/>
              <w:rPr>
                <w:rFonts w:hint="eastAsia" w:ascii="宋体" w:hAnsi="宋体"/>
                <w:szCs w:val="21"/>
                <w:highlight w:val="yellow"/>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r>
        <w:trPr>
          <w:cantSplit/>
          <w:trHeight w:val="294"/>
        </w:trPr>
        <w:tc>
          <w:tcPr>
            <w:tcW w:w="845"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16</w:t>
            </w:r>
            <w:r/>
          </w:p>
        </w:tc>
        <w:tc>
          <w:tcPr>
            <w:tcW w:w="179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卷帘门控制箱备电电池</w:t>
            </w:r>
            <w:r/>
          </w:p>
        </w:tc>
        <w:tc>
          <w:tcPr>
            <w:tcW w:w="11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只</w:t>
            </w:r>
            <w:r/>
          </w:p>
        </w:tc>
        <w:tc>
          <w:tcPr>
            <w:tcW w:w="1181" w:type="pct"/>
            <w:vAlign w:val="center"/>
            <w:textDirection w:val="lrTb"/>
            <w:noWrap w:val="false"/>
          </w:tcPr>
          <w:p>
            <w:pPr>
              <w:jc w:val="center"/>
              <w:rPr>
                <w:rFonts w:hint="eastAsia" w:ascii="宋体" w:hAnsi="宋体"/>
                <w:szCs w:val="21"/>
                <w:highlight w:val="yellow"/>
              </w:rPr>
            </w:pPr>
            <w:r>
              <w:rPr>
                <w:rFonts w:hint="eastAsia" w:ascii="宋体" w:hAnsi="宋体"/>
                <w:szCs w:val="21"/>
                <w:highlight w:val="yellow"/>
              </w:rPr>
            </w:r>
            <w:r/>
          </w:p>
        </w:tc>
      </w:tr>
    </w:tbl>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firstLine="420"/>
        <w:jc w:val="left"/>
        <w:keepLines w:val="0"/>
        <w:keepNext w:val="0"/>
        <w:pageBreakBefore w:val="0"/>
        <w:spacing w:before="0" w:beforeAutospacing="0" w:after="0" w:afterAutospacing="0" w:line="360" w:lineRule="auto"/>
        <w:widowControl/>
        <w:rPr>
          <w:i/>
          <w:iCs/>
          <w:color w:val="000000"/>
          <w:sz w:val="21"/>
          <w:szCs w:val="21"/>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color w:val="000000"/>
          <w:sz w:val="21"/>
          <w:szCs w:val="21"/>
          <w:u w:val="single"/>
          <w:lang w:val="en-US" w:eastAsia="zh-CN" w:bidi="ar"/>
        </w:rPr>
        <w:t xml:space="preserve">备注：</w:t>
      </w:r>
      <w:r>
        <w:rPr>
          <w:rFonts w:ascii="宋体" w:hAnsi="宋体" w:eastAsia="宋体" w:cs="宋体"/>
          <w:i/>
          <w:iCs/>
          <w:color w:val="000000"/>
          <w:sz w:val="21"/>
          <w:szCs w:val="21"/>
          <w:u w:val="single"/>
          <w:lang w:val="en-US" w:eastAsia="zh-CN" w:bidi="ar"/>
        </w:rPr>
        <w:t xml:space="preserve">投标人须就本项目维保期内的</w:t>
      </w:r>
      <w:r>
        <w:rPr>
          <w:rStyle w:val="890"/>
          <w:rFonts w:ascii="宋体" w:hAnsi="宋体" w:eastAsia="宋体" w:cs="宋体"/>
          <w:b/>
          <w:bCs/>
          <w:i/>
          <w:iCs/>
          <w:color w:val="000000"/>
          <w:sz w:val="21"/>
          <w:szCs w:val="21"/>
          <w:u w:val="single"/>
          <w:lang w:val="en-US" w:eastAsia="zh-CN" w:bidi="ar"/>
        </w:rPr>
        <w:t xml:space="preserve">收费备件</w:t>
      </w:r>
      <w:r>
        <w:rPr>
          <w:rFonts w:ascii="宋体" w:hAnsi="宋体" w:eastAsia="宋体" w:cs="宋体"/>
          <w:i/>
          <w:iCs/>
          <w:color w:val="000000"/>
          <w:sz w:val="21"/>
          <w:szCs w:val="21"/>
          <w:u w:val="single"/>
          <w:lang w:val="en-US" w:eastAsia="zh-CN" w:bidi="ar"/>
        </w:rPr>
        <w:t xml:space="preserve">与</w:t>
      </w:r>
      <w:r>
        <w:rPr>
          <w:rStyle w:val="890"/>
          <w:rFonts w:ascii="宋体" w:hAnsi="宋体" w:eastAsia="宋体" w:cs="宋体"/>
          <w:b/>
          <w:bCs/>
          <w:i/>
          <w:iCs/>
          <w:color w:val="000000"/>
          <w:sz w:val="21"/>
          <w:szCs w:val="21"/>
          <w:u w:val="single"/>
          <w:lang w:val="en-US" w:eastAsia="zh-CN" w:bidi="ar"/>
        </w:rPr>
        <w:t xml:space="preserve">免费备件</w:t>
      </w:r>
      <w:r>
        <w:rPr>
          <w:rFonts w:ascii="宋体" w:hAnsi="宋体" w:eastAsia="宋体" w:cs="宋体"/>
          <w:i/>
          <w:iCs/>
          <w:color w:val="000000"/>
          <w:sz w:val="21"/>
          <w:szCs w:val="21"/>
          <w:u w:val="single"/>
          <w:lang w:val="en-US" w:eastAsia="zh-CN" w:bidi="ar"/>
        </w:rPr>
        <w:t xml:space="preserve">分别出具书面承诺函：</w:t>
      </w:r>
      <w:r/>
    </w:p>
    <w:p>
      <w:pPr>
        <w:numPr>
          <w:ilvl w:val="0"/>
          <w:numId w:val="8"/>
        </w:numPr>
        <w:ind w:left="0" w:right="0" w:firstLine="420"/>
        <w:jc w:val="left"/>
        <w:keepLines w:val="0"/>
        <w:keepNext w:val="0"/>
        <w:pageBreakBefore w:val="0"/>
        <w:spacing w:before="0" w:beforeAutospacing="0" w:after="0" w:afterAutospacing="0" w:line="360" w:lineRule="auto"/>
        <w:widowControl/>
        <w:rPr>
          <w:i/>
          <w:iCs/>
          <w:color w:val="000000"/>
          <w:sz w:val="21"/>
          <w:szCs w:val="21"/>
          <w:u w:val="single"/>
        </w:rPr>
        <w:pBdr>
          <w:top w:val="none" w:color="auto" w:sz="0" w:space="0"/>
          <w:left w:val="none" w:color="auto" w:sz="0" w:space="0"/>
          <w:bottom w:val="none" w:color="auto" w:sz="0" w:space="0"/>
          <w:right w:val="none" w:color="auto" w:sz="0" w:space="0"/>
        </w:pBdr>
        <w:suppressLineNumbers w:val="0"/>
      </w:pPr>
      <w:r>
        <w:rPr>
          <w:i/>
          <w:iCs/>
          <w:color w:val="000000"/>
          <w:sz w:val="21"/>
          <w:szCs w:val="21"/>
          <w:u w:val="single"/>
        </w:rPr>
        <w:t xml:space="preserve">收费备件部分：投标人须提交</w:t>
      </w:r>
      <w:r>
        <w:rPr>
          <w:rStyle w:val="890"/>
          <w:b/>
          <w:bCs/>
          <w:i/>
          <w:iCs/>
          <w:color w:val="000000"/>
          <w:sz w:val="21"/>
          <w:szCs w:val="21"/>
          <w:u w:val="single"/>
        </w:rPr>
        <w:t xml:space="preserve">收费备件报价明细表</w:t>
      </w:r>
      <w:r>
        <w:rPr>
          <w:i/>
          <w:iCs/>
          <w:color w:val="000000"/>
          <w:sz w:val="21"/>
          <w:szCs w:val="21"/>
          <w:u w:val="single"/>
        </w:rPr>
        <w:t xml:space="preserve">，列明常用配件名称、规格型号、单位、单价等关键信息，该部分报价</w:t>
      </w:r>
      <w:r>
        <w:rPr>
          <w:rStyle w:val="890"/>
          <w:b/>
          <w:bCs/>
          <w:i/>
          <w:iCs/>
          <w:color w:val="000000"/>
          <w:sz w:val="21"/>
          <w:szCs w:val="21"/>
          <w:u w:val="single"/>
        </w:rPr>
        <w:t xml:space="preserve">不含在投标总报价中</w:t>
      </w:r>
      <w:r>
        <w:rPr>
          <w:i/>
          <w:iCs/>
          <w:color w:val="000000"/>
          <w:sz w:val="21"/>
          <w:szCs w:val="21"/>
          <w:u w:val="single"/>
        </w:rPr>
        <w:t xml:space="preserve">，格式由投标人自拟。</w:t>
      </w:r>
      <w:r/>
    </w:p>
    <w:p>
      <w:pPr>
        <w:numPr>
          <w:ilvl w:val="0"/>
          <w:numId w:val="8"/>
        </w:numPr>
        <w:ind w:left="0" w:right="0" w:firstLine="420"/>
        <w:jc w:val="left"/>
        <w:keepLines w:val="0"/>
        <w:keepNext w:val="0"/>
        <w:pageBreakBefore w:val="0"/>
        <w:spacing w:before="0" w:beforeAutospacing="0" w:after="0" w:afterAutospacing="0" w:line="360" w:lineRule="auto"/>
        <w:widowControl/>
        <w:rPr>
          <w:i/>
          <w:iCs/>
          <w:color w:val="000000"/>
          <w:sz w:val="21"/>
          <w:szCs w:val="21"/>
          <w:u w:val="single"/>
        </w:rPr>
        <w:pBdr>
          <w:top w:val="none" w:color="auto" w:sz="0" w:space="0"/>
          <w:left w:val="none" w:color="auto" w:sz="0" w:space="0"/>
          <w:bottom w:val="none" w:color="auto" w:sz="0" w:space="0"/>
          <w:right w:val="none" w:color="auto" w:sz="0" w:space="0"/>
        </w:pBdr>
        <w:suppressLineNumbers w:val="0"/>
      </w:pPr>
      <w:r>
        <w:rPr>
          <w:i/>
          <w:iCs/>
          <w:color w:val="000000"/>
          <w:sz w:val="21"/>
          <w:szCs w:val="21"/>
          <w:u w:val="single"/>
        </w:rPr>
        <w:t xml:space="preserve">免费备件部分：投标人须提交免费备件服务承诺，明确免费供应的配件范围、服务标准等，格式由投标人自拟。</w:t>
      </w:r>
      <w:r/>
    </w:p>
    <w:p>
      <w:pPr>
        <w:pStyle w:val="885"/>
        <w:numPr>
          <w:ilvl w:val="0"/>
          <w:numId w:val="0"/>
        </w:numPr>
        <w:rPr>
          <w:rFonts w:hint="default" w:ascii="宋体" w:hAnsi="宋体" w:cs="宋体"/>
          <w:b/>
          <w:bCs/>
          <w:i/>
          <w:iCs/>
          <w:sz w:val="21"/>
          <w:szCs w:val="21"/>
          <w:u w:val="single"/>
          <w:lang w:val="en-US" w:eastAsia="zh-CN"/>
        </w:rPr>
      </w:pPr>
      <w:r>
        <w:rPr>
          <w:rFonts w:hint="default" w:ascii="宋体" w:hAnsi="宋体" w:cs="宋体"/>
          <w:b/>
          <w:bCs/>
          <w:i/>
          <w:iCs/>
          <w:sz w:val="21"/>
          <w:szCs w:val="21"/>
          <w:u w:val="single"/>
          <w:lang w:val="en-US" w:eastAsia="zh-CN"/>
        </w:rPr>
      </w:r>
      <w:r/>
    </w:p>
    <w:p>
      <w:pPr>
        <w:pStyle w:val="899"/>
        <w:rPr>
          <w:b/>
          <w:bCs/>
        </w:rPr>
      </w:pPr>
      <w:r>
        <w:rPr>
          <w:rFonts w:hint="eastAsia" w:ascii="Calibri" w:hAnsi="Calibri" w:eastAsia="宋体" w:cs="Times New Roman"/>
          <w:b/>
          <w:bCs/>
          <w:sz w:val="21"/>
          <w:szCs w:val="22"/>
          <w:lang w:val="en-US" w:eastAsia="zh-CN" w:bidi="ar-SA"/>
        </w:rPr>
        <w:t xml:space="preserve">注： 本章内容里斜体且有下划线部分为实质性要求和条件，投标文件不满足的，视为无效投标处理。请各供应商制作电子投标文件时，将实质性响应的内容在政府采购管理交易系统（苏采云）</w:t>
      </w:r>
      <w:r>
        <w:rPr>
          <w:rFonts w:ascii="Calibri" w:hAnsi="Calibri" w:eastAsia="宋体" w:cs="Times New Roman"/>
          <w:b/>
          <w:bCs/>
          <w:sz w:val="21"/>
          <w:szCs w:val="22"/>
          <w:lang w:val="en-US" w:eastAsia="zh-CN" w:bidi="ar-SA"/>
        </w:rPr>
        <w:t xml:space="preserve">“</w:t>
      </w:r>
      <w:r>
        <w:rPr>
          <w:rFonts w:hint="eastAsia" w:ascii="Calibri" w:hAnsi="Calibri" w:eastAsia="宋体" w:cs="Times New Roman"/>
          <w:b/>
          <w:bCs/>
          <w:sz w:val="21"/>
          <w:szCs w:val="22"/>
          <w:lang w:val="en-US" w:eastAsia="zh-CN" w:bidi="ar-SA"/>
        </w:rPr>
        <w:t xml:space="preserve">符合证明文件格式</w:t>
      </w:r>
      <w:r>
        <w:rPr>
          <w:rFonts w:ascii="Calibri" w:hAnsi="Calibri" w:eastAsia="宋体" w:cs="Times New Roman"/>
          <w:b/>
          <w:bCs/>
          <w:sz w:val="21"/>
          <w:szCs w:val="22"/>
          <w:lang w:val="en-US" w:eastAsia="zh-CN" w:bidi="ar-SA"/>
        </w:rPr>
        <w:t xml:space="preserve">”</w:t>
      </w:r>
      <w:r>
        <w:rPr>
          <w:rFonts w:hint="eastAsia" w:ascii="Calibri" w:hAnsi="Calibri" w:eastAsia="宋体" w:cs="Times New Roman"/>
          <w:b/>
          <w:bCs/>
          <w:sz w:val="21"/>
          <w:szCs w:val="22"/>
          <w:lang w:val="en-US" w:eastAsia="zh-CN" w:bidi="ar-SA"/>
        </w:rPr>
        <w:t xml:space="preserve">中准确填写或上传。</w:t>
      </w:r>
      <w:r/>
    </w:p>
    <w:p>
      <w:pPr>
        <w:rPr>
          <w:rFonts w:hint="eastAsia" w:ascii="宋体" w:hAnsi="宋体"/>
          <w:color w:val="000000"/>
        </w:rPr>
      </w:pPr>
      <w:r>
        <w:rPr>
          <w:rFonts w:hint="eastAsia" w:ascii="宋体" w:hAnsi="宋体"/>
          <w:color w:val="000000"/>
        </w:rPr>
        <w:br w:type="page" w:clear="all"/>
      </w:r>
      <w:r/>
    </w:p>
    <w:p>
      <w:pPr>
        <w:pStyle w:val="864"/>
        <w:jc w:val="center"/>
        <w:rPr>
          <w:rFonts w:ascii="宋体" w:hAnsi="宋体"/>
          <w:color w:val="000000"/>
        </w:rPr>
      </w:pPr>
      <w:r>
        <w:rPr>
          <w:rFonts w:hint="eastAsia" w:ascii="宋体" w:hAnsi="宋体"/>
          <w:color w:val="000000"/>
        </w:rPr>
        <w:t xml:space="preserve">第五章 评标方法及评标标准</w:t>
      </w:r>
      <w:bookmarkEnd w:id="57"/>
      <w:r/>
      <w:bookmarkEnd w:id="58"/>
      <w:r/>
      <w:r/>
    </w:p>
    <w:p>
      <w:pPr>
        <w:pStyle w:val="897"/>
        <w:ind w:firstLine="422"/>
        <w:rPr>
          <w:rFonts w:ascii="宋体" w:hAnsi="宋体"/>
          <w:b/>
          <w:sz w:val="21"/>
          <w:szCs w:val="21"/>
        </w:rPr>
      </w:pPr>
      <w:r>
        <w:rPr>
          <w:rFonts w:hint="eastAsia" w:ascii="宋体" w:hAnsi="宋体"/>
          <w:b/>
          <w:sz w:val="21"/>
          <w:szCs w:val="21"/>
        </w:rPr>
        <w:t xml:space="preserve">一、评标方法</w:t>
      </w:r>
      <w:r/>
    </w:p>
    <w:p>
      <w:pPr>
        <w:pStyle w:val="897"/>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98"/>
        <w:ind w:firstLine="210"/>
        <w:spacing w:line="360" w:lineRule="auto"/>
        <w:rPr>
          <w:szCs w:val="21"/>
        </w:rPr>
      </w:pPr>
      <w:r>
        <w:rPr>
          <w:szCs w:val="21"/>
        </w:rPr>
        <w:t xml:space="preserve">1、中小企业</w:t>
      </w:r>
      <w:r/>
    </w:p>
    <w:p>
      <w:pPr>
        <w:pStyle w:val="898"/>
        <w:ind w:firstLine="210"/>
        <w:spacing w:line="360" w:lineRule="auto"/>
        <w:rPr>
          <w:rFonts w:ascii="宋体" w:hAnsi="宋体"/>
          <w:szCs w:val="21"/>
        </w:rPr>
      </w:pPr>
      <w:r>
        <w:rPr>
          <w:szCs w:val="21"/>
        </w:rPr>
        <w:t xml:space="preserve">（1）</w:t>
      </w:r>
      <w:r>
        <w:rPr>
          <w:rFonts w:ascii="宋体" w:hAnsi="宋体"/>
          <w:sz w:val="21"/>
          <w:szCs w:val="21"/>
        </w:rPr>
        <w:t xml:space="preserve">供应商需按照采购文件的要求提供相应的《企业声明函》</w:t>
      </w:r>
      <w:r>
        <w:rPr>
          <w:rFonts w:ascii="宋体" w:hAnsi="宋体"/>
          <w:szCs w:val="21"/>
        </w:rPr>
        <w:t xml:space="preserve">。</w:t>
      </w:r>
      <w:r/>
    </w:p>
    <w:p>
      <w:pPr>
        <w:pStyle w:val="898"/>
        <w:ind w:firstLine="210"/>
        <w:spacing w:line="360" w:lineRule="auto"/>
        <w:rPr>
          <w:szCs w:val="21"/>
        </w:rPr>
      </w:pPr>
      <w:r>
        <w:rPr>
          <w:szCs w:val="21"/>
        </w:rPr>
        <w:t xml:space="preserve">（2）企业标准请</w:t>
      </w:r>
      <w:r>
        <w:rPr>
          <w:szCs w:val="21"/>
        </w:rPr>
        <w:tab/>
      </w:r>
      <w:r>
        <w:rPr>
          <w:szCs w:val="21"/>
        </w:rPr>
        <w:t xml:space="preserve">参照《关于印发中小企业划型标准规定的通知》（工信部联企业[2011]300</w:t>
      </w:r>
      <w:r/>
    </w:p>
    <w:p>
      <w:pPr>
        <w:pStyle w:val="898"/>
        <w:ind w:firstLine="210"/>
        <w:spacing w:line="360" w:lineRule="auto"/>
        <w:rPr>
          <w:szCs w:val="21"/>
        </w:rPr>
      </w:pPr>
      <w:r>
        <w:rPr>
          <w:szCs w:val="21"/>
        </w:rPr>
        <w:t xml:space="preserve">号）文件规定自行填写。</w:t>
      </w:r>
      <w:r/>
    </w:p>
    <w:p>
      <w:pPr>
        <w:pStyle w:val="898"/>
        <w:ind w:firstLine="210"/>
        <w:spacing w:line="360" w:lineRule="auto"/>
        <w:rPr>
          <w:szCs w:val="21"/>
        </w:rPr>
      </w:pPr>
      <w:r>
        <w:rPr>
          <w:szCs w:val="21"/>
        </w:rPr>
        <w:t xml:space="preserve">  2、残疾人福利单位</w:t>
      </w:r>
      <w:r/>
    </w:p>
    <w:p>
      <w:pPr>
        <w:pStyle w:val="898"/>
        <w:ind w:firstLine="210"/>
        <w:spacing w:line="360" w:lineRule="auto"/>
        <w:rPr>
          <w:szCs w:val="21"/>
        </w:rPr>
      </w:pPr>
      <w:r>
        <w:rPr>
          <w:szCs w:val="21"/>
        </w:rPr>
        <w:t xml:space="preserve">（1）本项目对残疾人福利性单位视同小型、微型企业。</w:t>
      </w:r>
      <w:r/>
    </w:p>
    <w:p>
      <w:pPr>
        <w:pStyle w:val="898"/>
        <w:spacing w:line="360" w:lineRule="auto"/>
        <w:rPr>
          <w:szCs w:val="21"/>
        </w:rPr>
      </w:pPr>
      <w:r>
        <w:rPr>
          <w:szCs w:val="21"/>
        </w:rPr>
        <w:t xml:space="preserve">（2）残疾人福利单位需按照采购文件的要求提供《残疾人福利性单位声明函》。</w:t>
      </w:r>
      <w:r/>
    </w:p>
    <w:p>
      <w:pPr>
        <w:pStyle w:val="898"/>
        <w:spacing w:line="360" w:lineRule="auto"/>
        <w:rPr>
          <w:szCs w:val="21"/>
        </w:rPr>
      </w:pPr>
      <w:r>
        <w:rPr>
          <w:szCs w:val="21"/>
        </w:rPr>
        <w:t xml:space="preserve">（3）残疾人福利单位标准请参照《关于促进残疾人就业政府采购政策的通知》（财库〔2017〕141号）。</w:t>
      </w:r>
      <w:r/>
    </w:p>
    <w:p>
      <w:pPr>
        <w:pStyle w:val="898"/>
        <w:spacing w:line="360" w:lineRule="auto"/>
        <w:rPr>
          <w:szCs w:val="21"/>
        </w:rPr>
      </w:pPr>
      <w:r>
        <w:rPr>
          <w:szCs w:val="21"/>
        </w:rPr>
        <w:t xml:space="preserve">  3、监狱和戒毒企业</w:t>
      </w:r>
      <w:r/>
    </w:p>
    <w:p>
      <w:pPr>
        <w:pStyle w:val="898"/>
        <w:spacing w:line="360" w:lineRule="auto"/>
        <w:rPr>
          <w:szCs w:val="21"/>
        </w:rPr>
      </w:pPr>
      <w:r>
        <w:rPr>
          <w:szCs w:val="21"/>
        </w:rPr>
        <w:t xml:space="preserve">（1）本项目对监狱和戒毒企业（简称监狱企业）视同小型、微型企业。</w:t>
      </w:r>
      <w:r/>
    </w:p>
    <w:p>
      <w:pPr>
        <w:pStyle w:val="898"/>
        <w:spacing w:line="360" w:lineRule="auto"/>
        <w:rPr>
          <w:szCs w:val="21"/>
        </w:rPr>
      </w:pPr>
      <w:r>
        <w:rPr>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8"/>
        <w:spacing w:line="360" w:lineRule="auto"/>
        <w:rPr>
          <w:szCs w:val="21"/>
        </w:rPr>
      </w:pPr>
      <w:r>
        <w:rPr>
          <w:szCs w:val="21"/>
        </w:rPr>
        <w:t xml:space="preserve">（3）监狱企业标准请参照《关于政府采购支持监狱企业发展有关问题的通知》（财库[2014]68号）。</w:t>
      </w:r>
      <w:r/>
    </w:p>
    <w:p>
      <w:pPr>
        <w:pStyle w:val="898"/>
        <w:spacing w:line="360" w:lineRule="auto"/>
        <w:rPr>
          <w:szCs w:val="21"/>
        </w:rPr>
      </w:pPr>
      <w:r>
        <w:rPr>
          <w:szCs w:val="21"/>
        </w:rPr>
        <w:t xml:space="preserve">  4、根据《江苏省政府采购供应商监督管理暂行办法》的规定，诚信记录分每减10分，</w:t>
      </w:r>
      <w:r/>
    </w:p>
    <w:p>
      <w:pPr>
        <w:pStyle w:val="898"/>
        <w:spacing w:line="360" w:lineRule="auto"/>
        <w:rPr>
          <w:rFonts w:hint="eastAsia" w:ascii="宋体" w:hAnsi="宋体" w:cs="宋体"/>
          <w:b/>
          <w:bCs/>
        </w:rPr>
      </w:pPr>
      <w:r>
        <w:rPr>
          <w:szCs w:val="21"/>
        </w:rPr>
        <w:t xml:space="preserve">给予本项目总分值2%的扣分，扣分最多不超过本项目总分值6%</w:t>
      </w:r>
      <w:r>
        <w:rPr>
          <w:rFonts w:hint="eastAsia"/>
          <w:szCs w:val="21"/>
        </w:rPr>
        <w:t xml:space="preserve"> </w:t>
      </w:r>
      <w:r>
        <w:rPr>
          <w:szCs w:val="21"/>
        </w:rPr>
        <w:t xml:space="preserve">。</w:t>
      </w:r>
      <w:r/>
    </w:p>
    <w:p>
      <w:pPr>
        <w:pStyle w:val="897"/>
        <w:numPr>
          <w:ilvl w:val="0"/>
          <w:numId w:val="3"/>
        </w:numPr>
        <w:ind w:left="208" w:firstLine="422"/>
        <w:rPr>
          <w:rFonts w:hint="eastAsia" w:ascii="宋体" w:hAnsi="宋体"/>
          <w:b/>
          <w:sz w:val="21"/>
          <w:szCs w:val="21"/>
        </w:rPr>
      </w:pPr>
      <w:r>
        <w:rPr>
          <w:rFonts w:hint="eastAsia" w:ascii="宋体" w:hAnsi="宋体"/>
          <w:b/>
          <w:sz w:val="21"/>
          <w:szCs w:val="21"/>
        </w:rPr>
        <w:t xml:space="preserve">评审标准</w:t>
      </w:r>
      <w:r/>
    </w:p>
    <w:tbl>
      <w:tblPr>
        <w:tblStyle w:val="869"/>
        <w:tblW w:w="4995"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90"/>
        <w:gridCol w:w="1315"/>
        <w:gridCol w:w="7139"/>
      </w:tblGrid>
      <w:tr>
        <w:trPr>
          <w:jc w:val="center"/>
          <w:trHeight w:val="90"/>
        </w:trPr>
        <w:tc>
          <w:tcPr>
            <w:tcW w:w="706" w:type="pct"/>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报价</w:t>
            </w:r>
            <w:r/>
          </w:p>
          <w:p>
            <w:pPr>
              <w:jc w:val="center"/>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lang w:val="en-US" w:eastAsia="zh-CN"/>
              </w:rPr>
              <w:t xml:space="preserve">26</w:t>
            </w:r>
            <w:r>
              <w:rPr>
                <w:rFonts w:hint="eastAsia" w:ascii="宋体" w:hAnsi="宋体"/>
                <w:sz w:val="21"/>
                <w:szCs w:val="21"/>
              </w:rPr>
              <w:t xml:space="preserve">分）</w:t>
            </w:r>
            <w:r/>
          </w:p>
        </w:tc>
        <w:tc>
          <w:tcPr>
            <w:gridSpan w:val="2"/>
            <w:tcW w:w="4293" w:type="pct"/>
            <w:vAlign w:val="center"/>
            <w:textDirection w:val="lrTb"/>
            <w:noWrap w:val="false"/>
          </w:tcPr>
          <w:p>
            <w:pPr>
              <w:spacing w:line="360" w:lineRule="auto"/>
              <w:widowControl/>
              <w:rPr>
                <w:rFonts w:ascii="宋体" w:hAnsi="宋体" w:cs="宋体"/>
                <w:sz w:val="21"/>
                <w:szCs w:val="21"/>
              </w:rPr>
            </w:pPr>
            <w:r>
              <w:rPr>
                <w:rFonts w:hint="eastAsia" w:ascii="宋体" w:hAnsi="宋体" w:cs="宋体"/>
                <w:sz w:val="21"/>
                <w:szCs w:val="21"/>
              </w:rPr>
              <w:t xml:space="preserve">满足</w:t>
            </w:r>
            <w:r>
              <w:rPr>
                <w:rFonts w:hint="eastAsia" w:ascii="宋体" w:hAnsi="宋体" w:cs="宋体"/>
                <w:sz w:val="21"/>
                <w:szCs w:val="21"/>
                <w:lang w:val="en-US" w:eastAsia="zh-CN"/>
              </w:rPr>
              <w:t xml:space="preserve">招标</w:t>
            </w:r>
            <w:r>
              <w:rPr>
                <w:rFonts w:hint="eastAsia" w:ascii="宋体" w:hAnsi="宋体" w:cs="宋体"/>
                <w:sz w:val="21"/>
                <w:szCs w:val="21"/>
              </w:rPr>
              <w:t xml:space="preserve">文件要求报价最低的供应商的价格为基准价，其价格分为满分。其他供应商的价格分统一按照下列公式计算：报价得分=(基准价／报价)×</w:t>
            </w:r>
            <w:r>
              <w:rPr>
                <w:rFonts w:hint="eastAsia" w:ascii="宋体" w:hAnsi="宋体" w:cs="宋体"/>
                <w:sz w:val="21"/>
                <w:szCs w:val="21"/>
                <w:lang w:val="en-US" w:eastAsia="zh-CN"/>
              </w:rPr>
              <w:t xml:space="preserve">26</w:t>
            </w:r>
            <w:r>
              <w:rPr>
                <w:rFonts w:hint="eastAsia" w:ascii="宋体" w:hAnsi="宋体" w:cs="宋体"/>
                <w:sz w:val="21"/>
                <w:szCs w:val="21"/>
              </w:rPr>
              <w:t xml:space="preserve">×100%（保留二位小数）。</w:t>
            </w:r>
            <w:r/>
          </w:p>
          <w:p>
            <w:pPr>
              <w:spacing w:line="360" w:lineRule="auto"/>
              <w:rPr>
                <w:rFonts w:ascii="宋体" w:hAnsi="宋体" w:cs="宋体"/>
                <w:sz w:val="21"/>
                <w:szCs w:val="21"/>
              </w:rPr>
            </w:pPr>
            <w:r>
              <w:rPr>
                <w:rFonts w:hint="eastAsia" w:ascii="宋体" w:hAnsi="宋体" w:cs="宋体"/>
                <w:sz w:val="21"/>
                <w:szCs w:val="21"/>
                <w:lang w:val="zh-CN"/>
              </w:rPr>
              <w:t xml:space="preserve">注：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567"/>
        </w:trPr>
        <w:tc>
          <w:tcPr>
            <w:tcW w:w="706" w:type="pct"/>
            <w:vAlign w:val="center"/>
            <w:vMerge w:val="restart"/>
            <w:textDirection w:val="lrTb"/>
            <w:noWrap w:val="false"/>
          </w:tcPr>
          <w:p>
            <w:pPr>
              <w:jc w:val="center"/>
              <w:spacing w:line="360" w:lineRule="auto"/>
              <w:rPr>
                <w:rFonts w:ascii="宋体" w:hAnsi="宋体" w:cs="宋体"/>
                <w:sz w:val="21"/>
                <w:szCs w:val="21"/>
                <w:lang w:val="zh-CN"/>
              </w:rPr>
            </w:pPr>
            <w:r>
              <w:rPr>
                <w:rFonts w:hint="eastAsia" w:ascii="宋体" w:hAnsi="宋体" w:cs="宋体"/>
                <w:sz w:val="21"/>
                <w:szCs w:val="21"/>
                <w:lang w:val="zh-CN"/>
              </w:rPr>
              <w:t xml:space="preserve">服务方案</w:t>
            </w:r>
            <w:r>
              <w:rPr>
                <w:rFonts w:hint="eastAsia" w:ascii="宋体" w:hAnsi="宋体"/>
                <w:sz w:val="21"/>
                <w:szCs w:val="21"/>
                <w:lang w:val="zh-CN"/>
              </w:rPr>
              <w:t xml:space="preserve">（</w:t>
            </w:r>
            <w:r>
              <w:rPr>
                <w:rFonts w:hint="eastAsia" w:ascii="宋体" w:hAnsi="宋体"/>
                <w:sz w:val="21"/>
                <w:szCs w:val="21"/>
                <w:lang w:val="en-US" w:eastAsia="zh-CN"/>
              </w:rPr>
              <w:t xml:space="preserve">42</w:t>
            </w:r>
            <w:r>
              <w:rPr>
                <w:rFonts w:hint="eastAsia" w:ascii="宋体" w:hAnsi="宋体"/>
                <w:sz w:val="21"/>
                <w:szCs w:val="21"/>
                <w:lang w:val="zh-CN"/>
              </w:rPr>
              <w:t xml:space="preserve">分）</w:t>
            </w:r>
            <w:r/>
          </w:p>
        </w:tc>
        <w:tc>
          <w:tcPr>
            <w:tcBorders>
              <w:right w:val="single" w:color="auto" w:sz="4" w:space="0"/>
            </w:tcBorders>
            <w:tcW w:w="668" w:type="pct"/>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服务整体方案（</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p>
        </w:tc>
        <w:tc>
          <w:tcPr>
            <w:tcBorders>
              <w:left w:val="single" w:color="auto" w:sz="4" w:space="0"/>
            </w:tcBorders>
            <w:tcW w:w="3624" w:type="pct"/>
            <w:vAlign w:val="center"/>
            <w:textDirection w:val="lrTb"/>
            <w:noWrap w:val="false"/>
          </w:tcPr>
          <w:p>
            <w:pPr>
              <w:jc w:val="left"/>
              <w:spacing w:line="360" w:lineRule="auto"/>
              <w:rPr>
                <w:rFonts w:hint="eastAsia" w:ascii="宋体" w:hAnsi="宋体" w:cs="宋体"/>
                <w:sz w:val="21"/>
                <w:szCs w:val="21"/>
              </w:rPr>
            </w:pPr>
            <w:r>
              <w:rPr>
                <w:rFonts w:hint="eastAsia" w:ascii="宋体" w:hAnsi="宋体" w:cs="宋体"/>
                <w:sz w:val="21"/>
                <w:szCs w:val="21"/>
              </w:rPr>
              <w:t xml:space="preserve">包括维护内容、方法、实施方案、进度控制、巡检服务、服务记录等，方案全面、具有可操作性优秀得1</w:t>
            </w:r>
            <w:r>
              <w:rPr>
                <w:rFonts w:hint="eastAsia" w:ascii="宋体" w:hAnsi="宋体" w:cs="宋体"/>
                <w:sz w:val="21"/>
                <w:szCs w:val="21"/>
                <w:lang w:val="en-US" w:eastAsia="zh-CN"/>
              </w:rPr>
              <w:t xml:space="preserve">0</w:t>
            </w:r>
            <w:r>
              <w:rPr>
                <w:rFonts w:hint="eastAsia" w:ascii="宋体" w:hAnsi="宋体" w:cs="宋体"/>
                <w:sz w:val="21"/>
                <w:szCs w:val="21"/>
              </w:rPr>
              <w:t xml:space="preserve">分； </w:t>
            </w:r>
            <w:r/>
          </w:p>
          <w:p>
            <w:pPr>
              <w:jc w:val="left"/>
              <w:spacing w:line="360" w:lineRule="auto"/>
              <w:rPr>
                <w:rFonts w:hint="eastAsia" w:ascii="宋体" w:hAnsi="宋体" w:cs="宋体"/>
                <w:sz w:val="21"/>
                <w:szCs w:val="21"/>
              </w:rPr>
            </w:pPr>
            <w:r>
              <w:rPr>
                <w:rFonts w:hint="eastAsia" w:ascii="宋体" w:hAnsi="宋体" w:cs="宋体"/>
                <w:sz w:val="21"/>
                <w:szCs w:val="21"/>
              </w:rPr>
              <w:t xml:space="preserve">维护内容、方法、实施方案、进度控制、巡检服务、服务记录等，方案全面、具有可操作性良好得</w:t>
            </w:r>
            <w:r>
              <w:rPr>
                <w:rFonts w:hint="eastAsia" w:ascii="宋体" w:hAnsi="宋体" w:cs="宋体"/>
                <w:sz w:val="21"/>
                <w:szCs w:val="21"/>
                <w:lang w:val="en-US" w:eastAsia="zh-CN"/>
              </w:rPr>
              <w:t xml:space="preserve">7</w:t>
            </w:r>
            <w:r>
              <w:rPr>
                <w:rFonts w:hint="eastAsia" w:ascii="宋体" w:hAnsi="宋体" w:cs="宋体"/>
                <w:sz w:val="21"/>
                <w:szCs w:val="21"/>
              </w:rPr>
              <w:t xml:space="preserve">分； </w:t>
            </w:r>
            <w:r/>
          </w:p>
          <w:p>
            <w:pPr>
              <w:jc w:val="left"/>
              <w:spacing w:line="360" w:lineRule="auto"/>
              <w:rPr>
                <w:rFonts w:hint="eastAsia" w:ascii="宋体" w:hAnsi="宋体" w:cs="宋体"/>
                <w:sz w:val="21"/>
                <w:szCs w:val="21"/>
              </w:rPr>
            </w:pPr>
            <w:r>
              <w:rPr>
                <w:rFonts w:hint="eastAsia" w:ascii="宋体" w:hAnsi="宋体" w:cs="宋体"/>
                <w:sz w:val="21"/>
                <w:szCs w:val="21"/>
              </w:rPr>
              <w:t xml:space="preserve">维护内容、方法、实施方案、进度控制、巡检服务、服务记录等，方案全面、具有可操作性一般得</w:t>
            </w:r>
            <w:r>
              <w:rPr>
                <w:rFonts w:hint="eastAsia" w:ascii="宋体" w:hAnsi="宋体" w:cs="宋体"/>
                <w:sz w:val="21"/>
                <w:szCs w:val="21"/>
                <w:lang w:val="en-US" w:eastAsia="zh-CN"/>
              </w:rPr>
              <w:t xml:space="preserve">3</w:t>
            </w:r>
            <w:r>
              <w:rPr>
                <w:rFonts w:hint="eastAsia" w:ascii="宋体" w:hAnsi="宋体" w:cs="宋体"/>
                <w:sz w:val="21"/>
                <w:szCs w:val="21"/>
              </w:rPr>
              <w:t xml:space="preserve">分； </w:t>
            </w:r>
            <w:r/>
          </w:p>
          <w:p>
            <w:pPr>
              <w:jc w:val="left"/>
              <w:spacing w:line="360" w:lineRule="auto"/>
              <w:rPr>
                <w:rFonts w:hint="eastAsia" w:ascii="宋体" w:hAnsi="宋体" w:cs="宋体"/>
                <w:sz w:val="21"/>
                <w:szCs w:val="21"/>
              </w:rPr>
            </w:pPr>
            <w:r>
              <w:rPr>
                <w:rFonts w:hint="eastAsia" w:ascii="宋体" w:hAnsi="宋体" w:cs="宋体"/>
                <w:sz w:val="21"/>
                <w:szCs w:val="21"/>
              </w:rPr>
              <w:t xml:space="preserve">维护内容、方法、实施方案、进度控制、巡检服务、服务记录等，方案全面、具有可操作性差得</w:t>
            </w:r>
            <w:r>
              <w:rPr>
                <w:rFonts w:hint="eastAsia" w:ascii="宋体" w:hAnsi="宋体" w:cs="宋体"/>
                <w:sz w:val="21"/>
                <w:szCs w:val="21"/>
                <w:lang w:val="en-US" w:eastAsia="zh-CN"/>
              </w:rPr>
              <w:t xml:space="preserve">1</w:t>
            </w:r>
            <w:r>
              <w:rPr>
                <w:rFonts w:hint="eastAsia" w:ascii="宋体" w:hAnsi="宋体" w:cs="宋体"/>
                <w:sz w:val="21"/>
                <w:szCs w:val="21"/>
              </w:rPr>
              <w:t xml:space="preserve">分。</w:t>
            </w:r>
            <w:r/>
          </w:p>
          <w:p>
            <w:pPr>
              <w:jc w:val="left"/>
              <w:spacing w:line="360" w:lineRule="auto"/>
              <w:rPr>
                <w:rFonts w:ascii="宋体" w:hAnsi="宋体" w:cs="宋体"/>
                <w:sz w:val="21"/>
                <w:szCs w:val="21"/>
              </w:rPr>
            </w:pPr>
            <w:r>
              <w:rPr>
                <w:rFonts w:hint="eastAsia" w:ascii="宋体" w:hAnsi="宋体" w:cs="宋体"/>
                <w:sz w:val="21"/>
                <w:szCs w:val="21"/>
              </w:rPr>
              <w:t xml:space="preserve">不提供不得分。</w:t>
            </w:r>
            <w:r/>
          </w:p>
        </w:tc>
      </w:tr>
      <w:tr>
        <w:trPr>
          <w:jc w:val="center"/>
          <w:trHeight w:val="567"/>
        </w:trPr>
        <w:tc>
          <w:tcPr>
            <w:tcW w:w="706" w:type="pct"/>
            <w:vAlign w:val="center"/>
            <w:vMerge w:val="continue"/>
            <w:textDirection w:val="lrTb"/>
            <w:noWrap w:val="false"/>
          </w:tcPr>
          <w:p>
            <w:pPr>
              <w:jc w:val="center"/>
              <w:spacing w:line="360" w:lineRule="auto"/>
              <w:rPr>
                <w:rFonts w:ascii="宋体" w:hAnsi="宋体"/>
                <w:sz w:val="21"/>
                <w:szCs w:val="21"/>
              </w:rPr>
            </w:pPr>
            <w:r>
              <w:rPr>
                <w:rFonts w:ascii="宋体" w:hAnsi="宋体"/>
                <w:sz w:val="21"/>
                <w:szCs w:val="21"/>
              </w:rPr>
            </w:r>
            <w:r/>
          </w:p>
        </w:tc>
        <w:tc>
          <w:tcPr>
            <w:tcBorders>
              <w:right w:val="single" w:color="auto" w:sz="4" w:space="0"/>
            </w:tcBorders>
            <w:tcW w:w="668" w:type="pct"/>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日常维保服务方案</w:t>
            </w:r>
            <w:r/>
          </w:p>
          <w:p>
            <w:pPr>
              <w:jc w:val="center"/>
              <w:spacing w:line="360" w:lineRule="auto"/>
              <w:widowControl/>
              <w:rPr>
                <w:rFonts w:ascii="宋体" w:hAnsi="宋体" w:cs="宋体"/>
                <w:sz w:val="21"/>
                <w:szCs w:val="21"/>
              </w:rPr>
            </w:pPr>
            <w:r>
              <w:rPr>
                <w:rFonts w:hint="eastAsia" w:ascii="宋体" w:hAnsi="宋体" w:cs="宋体"/>
                <w:sz w:val="21"/>
                <w:szCs w:val="21"/>
              </w:rPr>
              <w:t xml:space="preserve">（8分）</w:t>
            </w:r>
            <w:r/>
          </w:p>
        </w:tc>
        <w:tc>
          <w:tcPr>
            <w:tcBorders>
              <w:left w:val="single" w:color="auto" w:sz="4" w:space="0"/>
            </w:tcBorders>
            <w:tcW w:w="3624" w:type="pct"/>
            <w:vAlign w:val="center"/>
            <w:textDirection w:val="lrTb"/>
            <w:noWrap w:val="false"/>
          </w:tcPr>
          <w:p>
            <w:pPr>
              <w:jc w:val="left"/>
              <w:spacing w:line="360" w:lineRule="auto"/>
              <w:rPr>
                <w:rFonts w:ascii="宋体" w:hAnsi="宋体" w:cs="宋体"/>
                <w:sz w:val="21"/>
                <w:szCs w:val="21"/>
              </w:rPr>
            </w:pPr>
            <w:r>
              <w:rPr>
                <w:rFonts w:hint="eastAsia" w:ascii="宋体" w:hAnsi="宋体" w:cs="宋体"/>
                <w:sz w:val="21"/>
                <w:szCs w:val="21"/>
              </w:rPr>
              <w:t xml:space="preserve">针对本项目拟定火灾自动报警</w:t>
            </w:r>
            <w:r>
              <w:rPr>
                <w:rFonts w:hint="eastAsia" w:ascii="宋体" w:hAnsi="宋体" w:cs="宋体"/>
                <w:bCs/>
                <w:sz w:val="21"/>
                <w:szCs w:val="21"/>
                <w:lang w:val="en-US" w:eastAsia="zh-CN"/>
              </w:rPr>
              <w:t xml:space="preserve">设施</w:t>
            </w:r>
            <w:r>
              <w:rPr>
                <w:rFonts w:hint="eastAsia" w:ascii="宋体" w:hAnsi="宋体" w:cs="宋体"/>
                <w:sz w:val="21"/>
                <w:szCs w:val="21"/>
              </w:rPr>
              <w:t xml:space="preserve">、自动喷水灭火</w:t>
            </w:r>
            <w:r>
              <w:rPr>
                <w:rFonts w:hint="eastAsia" w:ascii="宋体" w:hAnsi="宋体" w:cs="宋体"/>
                <w:bCs/>
                <w:sz w:val="21"/>
                <w:szCs w:val="21"/>
                <w:lang w:val="en-US" w:eastAsia="zh-CN"/>
              </w:rPr>
              <w:t xml:space="preserve">设施</w:t>
            </w:r>
            <w:r>
              <w:rPr>
                <w:rFonts w:hint="eastAsia" w:ascii="宋体" w:hAnsi="宋体" w:cs="宋体"/>
                <w:sz w:val="21"/>
                <w:szCs w:val="21"/>
              </w:rPr>
              <w:t xml:space="preserve">、消防控制联动</w:t>
            </w:r>
            <w:r>
              <w:rPr>
                <w:rFonts w:hint="eastAsia" w:ascii="宋体" w:hAnsi="宋体" w:cs="宋体"/>
                <w:bCs/>
                <w:sz w:val="21"/>
                <w:szCs w:val="21"/>
                <w:lang w:val="en-US" w:eastAsia="zh-CN"/>
              </w:rPr>
              <w:t xml:space="preserve">设施</w:t>
            </w:r>
            <w:r>
              <w:rPr>
                <w:rFonts w:hint="eastAsia" w:ascii="宋体" w:hAnsi="宋体" w:cs="宋体"/>
                <w:sz w:val="21"/>
                <w:szCs w:val="21"/>
              </w:rPr>
              <w:t xml:space="preserve">、消火栓</w:t>
            </w:r>
            <w:r>
              <w:rPr>
                <w:rFonts w:hint="eastAsia" w:ascii="宋体" w:hAnsi="宋体" w:cs="宋体"/>
                <w:bCs/>
                <w:sz w:val="21"/>
                <w:szCs w:val="21"/>
                <w:lang w:val="en-US" w:eastAsia="zh-CN"/>
              </w:rPr>
              <w:t xml:space="preserve">设施</w:t>
            </w:r>
            <w:r>
              <w:rPr>
                <w:rFonts w:hint="eastAsia" w:ascii="宋体" w:hAnsi="宋体" w:cs="宋体"/>
                <w:sz w:val="21"/>
                <w:szCs w:val="21"/>
              </w:rPr>
              <w:t xml:space="preserve">、灭火器</w:t>
            </w:r>
            <w:r>
              <w:rPr>
                <w:rFonts w:hint="eastAsia" w:ascii="宋体" w:hAnsi="宋体" w:cs="宋体"/>
                <w:bCs/>
                <w:sz w:val="21"/>
                <w:szCs w:val="21"/>
                <w:lang w:val="en-US" w:eastAsia="zh-CN"/>
              </w:rPr>
              <w:t xml:space="preserve">设施</w:t>
            </w:r>
            <w:r>
              <w:rPr>
                <w:rFonts w:hint="eastAsia" w:ascii="宋体" w:hAnsi="宋体" w:cs="宋体"/>
                <w:sz w:val="21"/>
                <w:szCs w:val="21"/>
              </w:rPr>
              <w:t xml:space="preserve">、背景音乐</w:t>
            </w:r>
            <w:r>
              <w:rPr>
                <w:rFonts w:hint="eastAsia" w:ascii="宋体" w:hAnsi="宋体" w:cs="宋体"/>
                <w:bCs/>
                <w:sz w:val="21"/>
                <w:szCs w:val="21"/>
                <w:lang w:val="en-US" w:eastAsia="zh-CN"/>
              </w:rPr>
              <w:t xml:space="preserve">设施</w:t>
            </w:r>
            <w:r>
              <w:rPr>
                <w:rFonts w:hint="eastAsia" w:ascii="宋体" w:hAnsi="宋体" w:cs="宋体"/>
                <w:sz w:val="21"/>
                <w:szCs w:val="21"/>
              </w:rPr>
              <w:t xml:space="preserve">及消防广播</w:t>
            </w:r>
            <w:r>
              <w:rPr>
                <w:rFonts w:hint="eastAsia" w:ascii="宋体" w:hAnsi="宋体" w:cs="宋体"/>
                <w:bCs/>
                <w:sz w:val="21"/>
                <w:szCs w:val="21"/>
                <w:lang w:val="en-US" w:eastAsia="zh-CN"/>
              </w:rPr>
              <w:t xml:space="preserve">设施</w:t>
            </w:r>
            <w:r>
              <w:rPr>
                <w:rFonts w:hint="eastAsia" w:ascii="宋体" w:hAnsi="宋体" w:cs="宋体"/>
                <w:sz w:val="21"/>
                <w:szCs w:val="21"/>
              </w:rPr>
              <w:t xml:space="preserve">等方面的维护保养方案：</w:t>
            </w:r>
            <w:r/>
          </w:p>
          <w:p>
            <w:pPr>
              <w:spacing w:line="360" w:lineRule="auto"/>
              <w:widowControl/>
              <w:rPr>
                <w:rFonts w:ascii="宋体" w:hAnsi="宋体" w:cs="宋体"/>
                <w:sz w:val="21"/>
                <w:szCs w:val="21"/>
              </w:rPr>
            </w:pPr>
            <w:r>
              <w:rPr>
                <w:rFonts w:hint="eastAsia" w:ascii="宋体" w:hAnsi="宋体" w:cs="宋体"/>
                <w:sz w:val="21"/>
                <w:szCs w:val="21"/>
              </w:rPr>
              <w:t xml:space="preserve">维保方案科学、严密、合理，描述详细且具有针对性的得 8 分；</w:t>
            </w:r>
            <w:r/>
          </w:p>
          <w:p>
            <w:pPr>
              <w:spacing w:line="360" w:lineRule="auto"/>
              <w:widowControl/>
              <w:rPr>
                <w:rFonts w:ascii="宋体" w:hAnsi="宋体" w:cs="宋体"/>
                <w:sz w:val="21"/>
                <w:szCs w:val="21"/>
              </w:rPr>
            </w:pPr>
            <w:r>
              <w:rPr>
                <w:rFonts w:hint="eastAsia" w:ascii="宋体" w:hAnsi="宋体" w:cs="宋体"/>
                <w:sz w:val="21"/>
                <w:szCs w:val="21"/>
              </w:rPr>
              <w:t xml:space="preserve">维保方案较合理、严密、描述较为详细，不存在实施难度的得 6分；</w:t>
            </w:r>
            <w:r/>
          </w:p>
          <w:p>
            <w:pPr>
              <w:pStyle w:val="876"/>
              <w:ind w:left="0" w:firstLine="0"/>
              <w:spacing w:line="360" w:lineRule="auto"/>
              <w:rPr>
                <w:rFonts w:ascii="宋体" w:hAnsi="宋体"/>
                <w:sz w:val="21"/>
                <w:szCs w:val="21"/>
              </w:rPr>
            </w:pPr>
            <w:r>
              <w:rPr>
                <w:rFonts w:hint="eastAsia" w:ascii="宋体" w:hAnsi="宋体"/>
                <w:sz w:val="21"/>
                <w:szCs w:val="21"/>
              </w:rPr>
              <w:t xml:space="preserve">维保方案基本合理、严密，描述基本齐全，基本具有可操作性的得3分；</w:t>
            </w:r>
            <w:r/>
          </w:p>
          <w:p>
            <w:pPr>
              <w:spacing w:line="360" w:lineRule="auto"/>
              <w:widowControl/>
              <w:rPr>
                <w:rFonts w:ascii="宋体" w:hAnsi="宋体" w:cs="宋体"/>
                <w:sz w:val="21"/>
                <w:szCs w:val="21"/>
              </w:rPr>
            </w:pPr>
            <w:r>
              <w:rPr>
                <w:rFonts w:hint="eastAsia" w:ascii="宋体" w:hAnsi="宋体" w:cs="宋体"/>
                <w:sz w:val="21"/>
                <w:szCs w:val="21"/>
              </w:rPr>
              <w:t xml:space="preserve">维保方案具有不合理项、描述略欠缺、存在一定的实施难度的得 </w:t>
            </w:r>
            <w:r>
              <w:rPr>
                <w:rFonts w:ascii="宋体" w:hAnsi="宋体" w:cs="宋体"/>
                <w:sz w:val="21"/>
                <w:szCs w:val="21"/>
              </w:rPr>
              <w:t xml:space="preserve">1</w:t>
            </w:r>
            <w:r>
              <w:rPr>
                <w:rFonts w:hint="eastAsia" w:ascii="宋体" w:hAnsi="宋体" w:cs="宋体"/>
                <w:sz w:val="21"/>
                <w:szCs w:val="21"/>
              </w:rPr>
              <w:t xml:space="preserve">分；</w:t>
            </w:r>
            <w:r/>
          </w:p>
          <w:p>
            <w:pPr>
              <w:jc w:val="left"/>
              <w:spacing w:line="360" w:lineRule="auto"/>
              <w:widowControl/>
              <w:rPr>
                <w:rFonts w:ascii="宋体" w:hAnsi="宋体" w:cs="宋体"/>
                <w:sz w:val="21"/>
                <w:szCs w:val="21"/>
              </w:rPr>
            </w:pPr>
            <w:r>
              <w:rPr>
                <w:rFonts w:hint="eastAsia" w:ascii="宋体" w:hAnsi="宋体" w:cs="宋体"/>
                <w:sz w:val="21"/>
                <w:szCs w:val="21"/>
              </w:rPr>
              <w:t xml:space="preserve">未提供不得分。</w:t>
            </w:r>
            <w:r/>
          </w:p>
        </w:tc>
      </w:tr>
      <w:tr>
        <w:trPr>
          <w:jc w:val="center"/>
          <w:trHeight w:val="567"/>
        </w:trPr>
        <w:tc>
          <w:tcPr>
            <w:tcW w:w="706" w:type="pct"/>
            <w:vAlign w:val="center"/>
            <w:vMerge w:val="continue"/>
            <w:textDirection w:val="lrTb"/>
            <w:noWrap w:val="false"/>
          </w:tcPr>
          <w:p>
            <w:pPr>
              <w:jc w:val="center"/>
              <w:spacing w:line="360" w:lineRule="auto"/>
              <w:rPr>
                <w:rFonts w:ascii="宋体" w:hAnsi="宋体" w:cs="宋体"/>
                <w:sz w:val="21"/>
                <w:szCs w:val="21"/>
                <w:lang w:val="zh-CN"/>
              </w:rPr>
            </w:pPr>
            <w:r>
              <w:rPr>
                <w:rFonts w:ascii="宋体" w:hAnsi="宋体" w:cs="宋体"/>
                <w:sz w:val="21"/>
                <w:szCs w:val="21"/>
                <w:lang w:val="zh-CN"/>
              </w:rPr>
            </w:r>
            <w:r/>
          </w:p>
        </w:tc>
        <w:tc>
          <w:tcPr>
            <w:tcBorders>
              <w:right w:val="single" w:color="auto" w:sz="4" w:space="0"/>
            </w:tcBorders>
            <w:tcW w:w="668" w:type="pct"/>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服务质量的保证措施</w:t>
            </w:r>
            <w:r/>
          </w:p>
          <w:p>
            <w:pPr>
              <w:jc w:val="left"/>
              <w:spacing w:line="360" w:lineRule="auto"/>
              <w:widowControl/>
              <w:rPr>
                <w:rFonts w:ascii="宋体" w:hAnsi="宋体" w:cs="宋体"/>
                <w:sz w:val="21"/>
                <w:szCs w:val="21"/>
              </w:rPr>
            </w:pPr>
            <w:r>
              <w:rPr>
                <w:rFonts w:hint="eastAsia" w:ascii="宋体" w:hAnsi="宋体" w:cs="宋体"/>
                <w:sz w:val="21"/>
                <w:szCs w:val="21"/>
              </w:rPr>
              <w:t xml:space="preserve">（5分）</w:t>
            </w:r>
            <w:r/>
          </w:p>
        </w:tc>
        <w:tc>
          <w:tcPr>
            <w:tcBorders>
              <w:left w:val="single" w:color="auto" w:sz="4" w:space="0"/>
            </w:tcBorders>
            <w:tcW w:w="3624" w:type="pct"/>
            <w:vAlign w:val="center"/>
            <w:textDirection w:val="lrTb"/>
            <w:noWrap w:val="false"/>
          </w:tcPr>
          <w:p>
            <w:pPr>
              <w:spacing w:line="360" w:lineRule="auto"/>
              <w:widowControl/>
              <w:rPr>
                <w:rFonts w:ascii="宋体" w:hAnsi="宋体" w:cs="宋体"/>
                <w:sz w:val="21"/>
                <w:szCs w:val="21"/>
              </w:rPr>
            </w:pPr>
            <w:r>
              <w:rPr>
                <w:rFonts w:hint="eastAsia" w:ascii="宋体" w:hAnsi="宋体" w:cs="宋体"/>
                <w:sz w:val="21"/>
                <w:szCs w:val="21"/>
              </w:rPr>
              <w:t xml:space="preserve">对维保服务有详细的质量控制及保证措施的得5分；</w:t>
            </w:r>
            <w:r/>
          </w:p>
          <w:p>
            <w:pPr>
              <w:spacing w:line="360" w:lineRule="auto"/>
              <w:widowControl/>
              <w:rPr>
                <w:rFonts w:ascii="宋体" w:hAnsi="宋体" w:cs="宋体"/>
                <w:sz w:val="21"/>
                <w:szCs w:val="21"/>
              </w:rPr>
            </w:pPr>
            <w:r>
              <w:rPr>
                <w:rFonts w:hint="eastAsia" w:ascii="宋体" w:hAnsi="宋体" w:cs="宋体"/>
                <w:sz w:val="21"/>
                <w:szCs w:val="21"/>
              </w:rPr>
              <w:t xml:space="preserve">对维保服务有较详细的质量控制及保证措施的得3分；</w:t>
            </w:r>
            <w:r/>
          </w:p>
          <w:p>
            <w:pPr>
              <w:spacing w:line="360" w:lineRule="auto"/>
              <w:widowControl/>
              <w:rPr>
                <w:rFonts w:ascii="宋体" w:hAnsi="宋体" w:cs="宋体"/>
                <w:sz w:val="21"/>
                <w:szCs w:val="21"/>
              </w:rPr>
            </w:pPr>
            <w:r>
              <w:rPr>
                <w:rFonts w:hint="eastAsia" w:ascii="宋体" w:hAnsi="宋体" w:cs="宋体"/>
                <w:sz w:val="21"/>
                <w:szCs w:val="21"/>
              </w:rPr>
              <w:t xml:space="preserve">维保服务质量控制及保证措施不完善的得1分；</w:t>
            </w:r>
            <w:r/>
          </w:p>
          <w:p>
            <w:pPr>
              <w:spacing w:line="360" w:lineRule="auto"/>
              <w:widowControl/>
              <w:rPr>
                <w:rFonts w:ascii="宋体" w:hAnsi="宋体" w:cs="宋体"/>
                <w:sz w:val="21"/>
                <w:szCs w:val="21"/>
              </w:rPr>
            </w:pPr>
            <w:r>
              <w:rPr>
                <w:rFonts w:hint="eastAsia" w:ascii="宋体" w:hAnsi="宋体" w:cs="宋体"/>
                <w:sz w:val="21"/>
                <w:szCs w:val="21"/>
              </w:rPr>
              <w:t xml:space="preserve">未提供的不得分。</w:t>
            </w:r>
            <w:r/>
          </w:p>
        </w:tc>
      </w:tr>
      <w:tr>
        <w:trPr>
          <w:jc w:val="center"/>
          <w:trHeight w:val="567"/>
        </w:trPr>
        <w:tc>
          <w:tcPr>
            <w:tcW w:w="706" w:type="pct"/>
            <w:vAlign w:val="center"/>
            <w:vMerge w:val="continue"/>
            <w:textDirection w:val="lrTb"/>
            <w:noWrap w:val="false"/>
          </w:tcPr>
          <w:p>
            <w:pPr>
              <w:jc w:val="center"/>
              <w:spacing w:line="360" w:lineRule="auto"/>
              <w:rPr>
                <w:rFonts w:ascii="宋体" w:hAnsi="宋体" w:cs="宋体"/>
                <w:sz w:val="21"/>
                <w:szCs w:val="21"/>
                <w:lang w:val="zh-CN"/>
              </w:rPr>
            </w:pPr>
            <w:r>
              <w:rPr>
                <w:rFonts w:ascii="宋体" w:hAnsi="宋体" w:cs="宋体"/>
                <w:sz w:val="21"/>
                <w:szCs w:val="21"/>
                <w:lang w:val="zh-CN"/>
              </w:rPr>
            </w:r>
            <w:r/>
          </w:p>
        </w:tc>
        <w:tc>
          <w:tcPr>
            <w:tcBorders>
              <w:right w:val="single" w:color="auto" w:sz="4" w:space="0"/>
            </w:tcBorders>
            <w:tcW w:w="668" w:type="pct"/>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重点、难度分析</w:t>
            </w:r>
            <w:r/>
          </w:p>
          <w:p>
            <w:pPr>
              <w:jc w:val="center"/>
              <w:spacing w:line="360" w:lineRule="auto"/>
              <w:widowControl/>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p>
        </w:tc>
        <w:tc>
          <w:tcPr>
            <w:tcBorders>
              <w:left w:val="single" w:color="auto" w:sz="4" w:space="0"/>
            </w:tcBorders>
            <w:tcW w:w="3624" w:type="pct"/>
            <w:vAlign w:val="center"/>
            <w:textDirection w:val="lrTb"/>
            <w:noWrap w:val="false"/>
          </w:tcPr>
          <w:p>
            <w:pPr>
              <w:spacing w:line="360" w:lineRule="auto"/>
              <w:widowControl/>
              <w:rPr>
                <w:rFonts w:ascii="宋体" w:hAnsi="宋体" w:cs="宋体"/>
                <w:sz w:val="21"/>
                <w:szCs w:val="21"/>
              </w:rPr>
            </w:pPr>
            <w:r>
              <w:rPr>
                <w:rFonts w:hint="eastAsia" w:ascii="宋体" w:hAnsi="宋体" w:cs="宋体"/>
                <w:sz w:val="21"/>
                <w:szCs w:val="21"/>
              </w:rPr>
              <w:t xml:space="preserve">针对本项目重点、难点问题分析及解决方法：</w:t>
            </w:r>
            <w:r/>
          </w:p>
          <w:p>
            <w:pPr>
              <w:spacing w:line="360" w:lineRule="auto"/>
              <w:widowControl/>
              <w:rPr>
                <w:rFonts w:ascii="宋体" w:hAnsi="宋体" w:cs="宋体"/>
                <w:sz w:val="21"/>
                <w:szCs w:val="21"/>
              </w:rPr>
            </w:pPr>
            <w:r>
              <w:rPr>
                <w:rFonts w:hint="eastAsia" w:ascii="宋体" w:hAnsi="宋体" w:cs="宋体"/>
                <w:sz w:val="21"/>
                <w:szCs w:val="21"/>
              </w:rPr>
              <w:t xml:space="preserve">方案科学、合理、具有可实施性的得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p>
          <w:p>
            <w:pPr>
              <w:spacing w:line="360" w:lineRule="auto"/>
              <w:widowControl/>
              <w:rPr>
                <w:rFonts w:ascii="宋体" w:hAnsi="宋体" w:cs="宋体"/>
                <w:sz w:val="21"/>
                <w:szCs w:val="21"/>
              </w:rPr>
            </w:pPr>
            <w:r>
              <w:rPr>
                <w:rFonts w:hint="eastAsia" w:ascii="宋体" w:hAnsi="宋体" w:cs="宋体"/>
                <w:sz w:val="21"/>
                <w:szCs w:val="21"/>
              </w:rPr>
              <w:t xml:space="preserve">方案较科学、较合理、较有操作性的得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spacing w:line="360" w:lineRule="auto"/>
              <w:widowControl/>
              <w:rPr>
                <w:rFonts w:ascii="宋体" w:hAnsi="宋体" w:cs="宋体"/>
                <w:sz w:val="21"/>
                <w:szCs w:val="21"/>
              </w:rPr>
            </w:pPr>
            <w:r>
              <w:rPr>
                <w:rFonts w:hint="eastAsia" w:ascii="宋体" w:hAnsi="宋体" w:cs="宋体"/>
                <w:sz w:val="21"/>
                <w:szCs w:val="21"/>
              </w:rPr>
              <w:t xml:space="preserve">方案缺乏科学合理性、存在一定的实施难度的得1分；</w:t>
            </w:r>
            <w:r/>
          </w:p>
          <w:p>
            <w:pPr>
              <w:spacing w:line="360" w:lineRule="auto"/>
              <w:widowControl/>
              <w:rPr>
                <w:rFonts w:ascii="宋体" w:hAnsi="宋体" w:cs="宋体"/>
                <w:sz w:val="21"/>
                <w:szCs w:val="21"/>
              </w:rPr>
            </w:pPr>
            <w:r>
              <w:rPr>
                <w:rFonts w:hint="eastAsia" w:ascii="宋体" w:hAnsi="宋体" w:cs="宋体"/>
                <w:sz w:val="21"/>
                <w:szCs w:val="21"/>
              </w:rPr>
              <w:t xml:space="preserve">未提供方案的不得分。</w:t>
            </w:r>
            <w:r/>
          </w:p>
        </w:tc>
      </w:tr>
      <w:tr>
        <w:trPr>
          <w:jc w:val="center"/>
          <w:trHeight w:val="567"/>
        </w:trPr>
        <w:tc>
          <w:tcPr>
            <w:tcW w:w="706" w:type="pct"/>
            <w:vAlign w:val="center"/>
            <w:vMerge w:val="continue"/>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Borders>
              <w:right w:val="single" w:color="auto" w:sz="4" w:space="0"/>
            </w:tcBorders>
            <w:tcW w:w="668" w:type="pct"/>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应急事件</w:t>
            </w:r>
            <w:r/>
          </w:p>
          <w:p>
            <w:pPr>
              <w:jc w:val="center"/>
              <w:spacing w:line="360" w:lineRule="auto"/>
              <w:rPr>
                <w:rFonts w:ascii="宋体" w:hAnsi="宋体" w:cs="宋体"/>
                <w:sz w:val="21"/>
                <w:szCs w:val="21"/>
              </w:rPr>
            </w:pPr>
            <w:r>
              <w:rPr>
                <w:rFonts w:hint="eastAsia" w:ascii="宋体" w:hAnsi="宋体" w:cs="宋体"/>
                <w:sz w:val="21"/>
                <w:szCs w:val="21"/>
              </w:rPr>
              <w:t xml:space="preserve">处理方案</w:t>
            </w:r>
            <w:r/>
          </w:p>
          <w:p>
            <w:pPr>
              <w:jc w:val="center"/>
              <w:spacing w:line="360" w:lineRule="auto"/>
              <w:widowControl/>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tc>
        <w:tc>
          <w:tcPr>
            <w:tcBorders>
              <w:left w:val="single" w:color="auto" w:sz="4" w:space="0"/>
            </w:tcBorders>
            <w:tcW w:w="3624" w:type="pct"/>
            <w:vAlign w:val="center"/>
            <w:textDirection w:val="lrTb"/>
            <w:noWrap w:val="false"/>
          </w:tcPr>
          <w:p>
            <w:pPr>
              <w:spacing w:line="360" w:lineRule="auto"/>
              <w:rPr>
                <w:rFonts w:ascii="宋体" w:hAnsi="宋体" w:cs="宋体"/>
                <w:sz w:val="21"/>
                <w:szCs w:val="21"/>
              </w:rPr>
            </w:pPr>
            <w:r>
              <w:rPr>
                <w:rFonts w:hint="eastAsia" w:ascii="宋体" w:hAnsi="宋体" w:cs="宋体"/>
                <w:sz w:val="21"/>
                <w:szCs w:val="21"/>
              </w:rPr>
              <w:t xml:space="preserve">应急事件处理方案内容描述详细全面、可操作性强的得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spacing w:line="360" w:lineRule="auto"/>
              <w:rPr>
                <w:rFonts w:ascii="宋体" w:hAnsi="宋体" w:cs="宋体"/>
                <w:sz w:val="21"/>
                <w:szCs w:val="21"/>
              </w:rPr>
            </w:pPr>
            <w:r>
              <w:rPr>
                <w:rFonts w:hint="eastAsia" w:ascii="宋体" w:hAnsi="宋体" w:cs="宋体"/>
                <w:sz w:val="21"/>
                <w:szCs w:val="21"/>
              </w:rPr>
              <w:t xml:space="preserve">内容描述较详细、较有操作性的得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spacing w:line="360" w:lineRule="auto"/>
              <w:rPr>
                <w:rFonts w:ascii="宋体" w:hAnsi="宋体" w:cs="宋体"/>
                <w:sz w:val="21"/>
                <w:szCs w:val="21"/>
              </w:rPr>
            </w:pPr>
            <w:r>
              <w:rPr>
                <w:rFonts w:hint="eastAsia" w:ascii="宋体" w:hAnsi="宋体" w:cs="宋体"/>
                <w:sz w:val="21"/>
                <w:szCs w:val="21"/>
              </w:rPr>
              <w:t xml:space="preserve">内容描述基本齐全、可操作性一般得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spacing w:line="360" w:lineRule="auto"/>
              <w:rPr>
                <w:rFonts w:ascii="宋体" w:hAnsi="宋体" w:cs="宋体"/>
                <w:sz w:val="21"/>
                <w:szCs w:val="21"/>
              </w:rPr>
            </w:pPr>
            <w:r>
              <w:rPr>
                <w:rFonts w:hint="eastAsia" w:ascii="宋体" w:hAnsi="宋体" w:cs="宋体"/>
                <w:sz w:val="21"/>
                <w:szCs w:val="21"/>
              </w:rPr>
              <w:t xml:space="preserve">内容描述较简单、可操作性差的得1分；</w:t>
            </w:r>
            <w:r/>
          </w:p>
          <w:p>
            <w:pPr>
              <w:spacing w:line="360" w:lineRule="auto"/>
              <w:widowControl/>
              <w:rPr>
                <w:rFonts w:ascii="宋体" w:hAnsi="宋体" w:cs="宋体"/>
                <w:sz w:val="21"/>
                <w:szCs w:val="21"/>
              </w:rPr>
            </w:pPr>
            <w:r>
              <w:rPr>
                <w:rFonts w:hint="eastAsia" w:ascii="宋体" w:hAnsi="宋体" w:cs="宋体"/>
                <w:sz w:val="21"/>
                <w:szCs w:val="21"/>
              </w:rPr>
              <w:t xml:space="preserve">未提供方案的不得分。</w:t>
            </w:r>
            <w:r/>
          </w:p>
        </w:tc>
      </w:tr>
      <w:tr>
        <w:trPr>
          <w:jc w:val="center"/>
          <w:trHeight w:val="567"/>
        </w:trPr>
        <w:tc>
          <w:tcPr>
            <w:tcW w:w="706" w:type="pct"/>
            <w:vAlign w:val="center"/>
            <w:vMerge w:val="continue"/>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Borders>
              <w:right w:val="single" w:color="auto" w:sz="4" w:space="0"/>
            </w:tcBorders>
            <w:tcW w:w="668" w:type="pct"/>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服务措施承诺及服务响应时间</w:t>
            </w:r>
            <w:r/>
          </w:p>
          <w:p>
            <w:pPr>
              <w:jc w:val="center"/>
              <w:spacing w:line="360" w:lineRule="auto"/>
              <w:rPr>
                <w:rFonts w:ascii="宋体" w:hAnsi="宋体" w:cs="宋体"/>
                <w:sz w:val="21"/>
                <w:szCs w:val="21"/>
              </w:rPr>
            </w:pPr>
            <w:r>
              <w:rPr>
                <w:rFonts w:hint="eastAsia" w:ascii="宋体" w:hAnsi="宋体" w:cs="宋体"/>
                <w:sz w:val="21"/>
                <w:szCs w:val="21"/>
              </w:rPr>
              <w:t xml:space="preserve">（5分）</w:t>
            </w:r>
            <w:r/>
          </w:p>
        </w:tc>
        <w:tc>
          <w:tcPr>
            <w:tcBorders>
              <w:left w:val="single" w:color="auto" w:sz="4" w:space="0"/>
            </w:tcBorders>
            <w:tcW w:w="3624" w:type="pct"/>
            <w:vAlign w:val="center"/>
            <w:textDirection w:val="lrTb"/>
            <w:noWrap w:val="false"/>
          </w:tcPr>
          <w:p>
            <w:pPr>
              <w:spacing w:line="360" w:lineRule="auto"/>
              <w:rPr>
                <w:rFonts w:ascii="宋体" w:hAnsi="宋体" w:cs="宋体"/>
                <w:sz w:val="21"/>
                <w:szCs w:val="21"/>
              </w:rPr>
            </w:pPr>
            <w:r>
              <w:rPr>
                <w:rFonts w:hint="eastAsia" w:ascii="宋体" w:hAnsi="宋体" w:cs="宋体"/>
                <w:sz w:val="21"/>
                <w:szCs w:val="21"/>
              </w:rPr>
              <w:t xml:space="preserve">供应商接到采购人故障通知，能够20分钟（含）内到达现场进行处理的得5分；能够在20分钟</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不含</w:t>
            </w:r>
            <w:r>
              <w:rPr>
                <w:rFonts w:hint="eastAsia" w:ascii="宋体" w:hAnsi="宋体" w:cs="宋体"/>
                <w:sz w:val="21"/>
                <w:szCs w:val="21"/>
                <w:lang w:eastAsia="zh-CN"/>
              </w:rPr>
              <w:t xml:space="preserve">）</w:t>
            </w:r>
            <w:r>
              <w:rPr>
                <w:rFonts w:hint="eastAsia" w:ascii="宋体" w:hAnsi="宋体" w:cs="宋体"/>
                <w:sz w:val="21"/>
                <w:szCs w:val="21"/>
              </w:rPr>
              <w:t xml:space="preserve">至30分钟（不含）内到达现场进行处理的得3分。</w:t>
            </w:r>
            <w:r>
              <w:rPr>
                <w:rFonts w:hint="eastAsia" w:ascii="宋体" w:hAnsi="宋体" w:cs="宋体"/>
                <w:sz w:val="21"/>
                <w:szCs w:val="21"/>
                <w:lang w:val="en-US" w:eastAsia="zh-CN"/>
              </w:rPr>
              <w:t xml:space="preserve">30分钟（不含）以外的得1分，</w:t>
            </w:r>
            <w:r>
              <w:rPr>
                <w:rFonts w:hint="eastAsia" w:ascii="宋体" w:hAnsi="宋体" w:cs="宋体"/>
                <w:sz w:val="21"/>
                <w:szCs w:val="21"/>
              </w:rPr>
              <w:t xml:space="preserve">未提供的不得分。</w:t>
            </w:r>
            <w:r>
              <w:rPr>
                <w:rFonts w:hint="eastAsia" w:ascii="宋体" w:hAnsi="宋体" w:cs="宋体"/>
                <w:b/>
                <w:bCs/>
                <w:sz w:val="21"/>
                <w:szCs w:val="21"/>
              </w:rPr>
              <w:t xml:space="preserve">（</w:t>
            </w:r>
            <w:r>
              <w:rPr>
                <w:rFonts w:hint="eastAsia" w:ascii="宋体" w:hAnsi="宋体" w:eastAsia="宋体" w:cs="宋体"/>
                <w:b w:val="0"/>
                <w:bCs w:val="0"/>
                <w:sz w:val="21"/>
                <w:szCs w:val="21"/>
              </w:rPr>
              <w:t xml:space="preserve">须提供应急响应承诺函原件</w:t>
            </w:r>
            <w:r>
              <w:rPr>
                <w:rFonts w:hint="eastAsia" w:ascii="宋体" w:hAnsi="宋体" w:cs="宋体"/>
                <w:b w:val="0"/>
                <w:bCs w:val="0"/>
                <w:sz w:val="21"/>
                <w:szCs w:val="21"/>
                <w:lang w:val="en-US" w:eastAsia="zh-CN"/>
              </w:rPr>
              <w:t xml:space="preserve">上传</w:t>
            </w:r>
            <w:r>
              <w:rPr>
                <w:rFonts w:hint="eastAsia" w:ascii="宋体" w:hAnsi="宋体" w:eastAsia="宋体" w:cs="宋体"/>
                <w:b w:val="0"/>
                <w:bCs w:val="0"/>
                <w:sz w:val="21"/>
                <w:szCs w:val="21"/>
              </w:rPr>
              <w:t xml:space="preserve">，通过百度地图上的“驾车”模式，测算</w:t>
            </w:r>
            <w:r>
              <w:rPr>
                <w:rFonts w:hint="eastAsia" w:ascii="宋体" w:hAnsi="宋体" w:cs="宋体"/>
                <w:sz w:val="21"/>
                <w:szCs w:val="21"/>
                <w:lang w:val="en-US" w:eastAsia="zh-CN"/>
              </w:rPr>
              <w:t xml:space="preserve">单位地址</w:t>
            </w:r>
            <w:r>
              <w:rPr>
                <w:rFonts w:hint="eastAsia" w:ascii="宋体" w:hAnsi="宋体" w:eastAsia="宋体" w:cs="宋体"/>
                <w:b w:val="0"/>
                <w:bCs w:val="0"/>
                <w:sz w:val="21"/>
                <w:szCs w:val="21"/>
              </w:rPr>
              <w:t xml:space="preserve">与</w:t>
            </w:r>
            <w:r>
              <w:rPr>
                <w:rFonts w:hint="eastAsia" w:ascii="宋体" w:hAnsi="宋体" w:cs="宋体"/>
                <w:b w:val="0"/>
                <w:bCs w:val="0"/>
                <w:sz w:val="21"/>
                <w:szCs w:val="21"/>
                <w:lang w:val="en-US" w:eastAsia="zh-CN"/>
              </w:rPr>
              <w:t xml:space="preserve">江苏省邗江中学</w:t>
            </w:r>
            <w:r>
              <w:rPr>
                <w:rFonts w:hint="eastAsia" w:ascii="宋体" w:hAnsi="宋体" w:eastAsia="宋体" w:cs="宋体"/>
                <w:b w:val="0"/>
                <w:bCs w:val="0"/>
                <w:sz w:val="21"/>
                <w:szCs w:val="21"/>
              </w:rPr>
              <w:t xml:space="preserve">（地址：</w:t>
            </w:r>
            <w:r>
              <w:rPr>
                <w:rFonts w:hint="eastAsia" w:ascii="宋体" w:hAnsi="宋体" w:cs="宋体"/>
                <w:color w:val="auto"/>
                <w:sz w:val="21"/>
                <w:szCs w:val="21"/>
                <w:u w:val="single"/>
                <w:lang w:eastAsia="zh-CN"/>
              </w:rPr>
              <w:t xml:space="preserve">江苏省扬州市邗江区润蜀路与扬冶路交叉口西北侧</w:t>
            </w:r>
            <w:r>
              <w:rPr>
                <w:rFonts w:hint="eastAsia" w:ascii="宋体" w:hAnsi="宋体" w:eastAsia="宋体" w:cs="宋体"/>
                <w:b w:val="0"/>
                <w:bCs w:val="0"/>
                <w:sz w:val="21"/>
                <w:szCs w:val="21"/>
              </w:rPr>
              <w:t xml:space="preserve">）的到达时间，以“到达时间”作为投标单位实际应急响应时间，并提供以上带有到达时间的截图。</w:t>
            </w:r>
            <w:r>
              <w:rPr>
                <w:rFonts w:hint="eastAsia" w:ascii="宋体" w:hAnsi="宋体" w:cs="宋体"/>
                <w:b/>
                <w:bCs/>
                <w:sz w:val="21"/>
                <w:szCs w:val="21"/>
              </w:rPr>
              <w:t xml:space="preserve">）</w:t>
            </w:r>
            <w:r/>
          </w:p>
        </w:tc>
      </w:tr>
      <w:tr>
        <w:trPr>
          <w:jc w:val="center"/>
          <w:trHeight w:val="567"/>
        </w:trPr>
        <w:tc>
          <w:tcPr>
            <w:tcW w:w="706" w:type="pct"/>
            <w:vAlign w:val="center"/>
            <w:vMerge w:val="continue"/>
            <w:textDirection w:val="lrTb"/>
            <w:noWrap w:val="false"/>
          </w:tcPr>
          <w:p>
            <w:pPr>
              <w:jc w:val="center"/>
              <w:spacing w:line="360" w:lineRule="auto"/>
              <w:rPr>
                <w:rFonts w:ascii="宋体" w:hAnsi="宋体" w:cs="宋体"/>
                <w:sz w:val="21"/>
                <w:szCs w:val="21"/>
                <w:lang w:val="zh-CN"/>
              </w:rPr>
            </w:pPr>
            <w:r>
              <w:rPr>
                <w:rFonts w:ascii="宋体" w:hAnsi="宋体" w:cs="宋体"/>
                <w:sz w:val="21"/>
                <w:szCs w:val="21"/>
                <w:lang w:val="zh-CN"/>
              </w:rPr>
            </w:r>
            <w:r/>
          </w:p>
        </w:tc>
        <w:tc>
          <w:tcPr>
            <w:tcBorders>
              <w:right w:val="single" w:color="auto" w:sz="4" w:space="0"/>
            </w:tcBorders>
            <w:tcW w:w="668" w:type="pct"/>
            <w:vAlign w:val="center"/>
            <w:textDirection w:val="lrTb"/>
            <w:noWrap w:val="false"/>
          </w:tcPr>
          <w:p>
            <w:pPr>
              <w:jc w:val="center"/>
              <w:spacing w:line="360" w:lineRule="auto"/>
              <w:rPr>
                <w:rFonts w:ascii="宋体" w:hAnsi="宋体" w:cs="宋体"/>
                <w:sz w:val="21"/>
                <w:szCs w:val="21"/>
              </w:rPr>
            </w:pPr>
            <w:r>
              <w:rPr>
                <w:rFonts w:hint="eastAsia" w:ascii="宋体" w:hAnsi="宋体" w:eastAsia="宋体" w:cs="宋体"/>
                <w:sz w:val="21"/>
                <w:szCs w:val="21"/>
              </w:rPr>
              <w:t xml:space="preserve">安全防范措施及应急方案</w:t>
            </w:r>
            <w:r>
              <w:rPr>
                <w:rFonts w:hint="eastAsia" w:ascii="宋体" w:hAnsi="宋体" w:cs="宋体"/>
                <w:sz w:val="21"/>
                <w:szCs w:val="21"/>
              </w:rPr>
              <w:t xml:space="preserve">（</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tc>
        <w:tc>
          <w:tcPr>
            <w:tcBorders>
              <w:left w:val="single" w:color="auto" w:sz="4" w:space="0"/>
            </w:tcBorders>
            <w:tcW w:w="3624" w:type="pct"/>
            <w:vAlign w:val="center"/>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t xml:space="preserve">针对本项目消防维保、消控室 24 小时值班、校园消防巡查、设施故障处置、突发事件应对等工作内容，编制</w:t>
            </w:r>
            <w:r>
              <w:rPr>
                <w:rStyle w:val="890"/>
                <w:rFonts w:ascii="宋体" w:hAnsi="宋体" w:eastAsia="宋体" w:cs="宋体"/>
                <w:b/>
                <w:bCs/>
                <w:color w:val="000000"/>
                <w:sz w:val="21"/>
                <w:szCs w:val="21"/>
              </w:rPr>
              <w:t xml:space="preserve">安全防范措</w:t>
            </w:r>
            <w:r>
              <w:rPr>
                <w:rFonts w:ascii="宋体" w:hAnsi="宋体" w:eastAsia="宋体" w:cs="宋体"/>
                <w:sz w:val="21"/>
                <w:szCs w:val="21"/>
              </w:rPr>
              <w:t xml:space="preserve">施及应急方案：</w:t>
            </w:r>
            <w:r/>
          </w:p>
          <w:p>
            <w:pPr>
              <w:spacing w:line="360" w:lineRule="auto"/>
              <w:rPr>
                <w:rFonts w:ascii="宋体" w:hAnsi="宋体" w:eastAsia="宋体" w:cs="宋体"/>
                <w:sz w:val="21"/>
                <w:szCs w:val="21"/>
              </w:rPr>
            </w:pPr>
            <w:r>
              <w:rPr>
                <w:rFonts w:ascii="宋体" w:hAnsi="宋体" w:eastAsia="宋体" w:cs="宋体"/>
                <w:sz w:val="21"/>
                <w:szCs w:val="21"/>
              </w:rPr>
              <w:t xml:space="preserve">方案全面完整、贴合校园实际、岗位职责清晰、流程规范严谨、可操作性强，得</w:t>
            </w:r>
            <w:r>
              <w:rPr>
                <w:rFonts w:hint="eastAsia" w:ascii="宋体" w:hAnsi="宋体" w:cs="宋体"/>
                <w:sz w:val="21"/>
                <w:szCs w:val="21"/>
                <w:lang w:val="en-US" w:eastAsia="zh-CN"/>
              </w:rPr>
              <w:t xml:space="preserve">5</w:t>
            </w:r>
            <w:r>
              <w:rPr>
                <w:rFonts w:ascii="宋体" w:hAnsi="宋体" w:eastAsia="宋体" w:cs="宋体"/>
                <w:sz w:val="21"/>
                <w:szCs w:val="21"/>
              </w:rPr>
              <w:t xml:space="preserve">分；</w:t>
            </w:r>
            <w:r/>
          </w:p>
          <w:p>
            <w:pPr>
              <w:spacing w:line="360" w:lineRule="auto"/>
              <w:rPr>
                <w:rFonts w:ascii="宋体" w:hAnsi="宋体" w:eastAsia="宋体" w:cs="宋体"/>
                <w:sz w:val="21"/>
                <w:szCs w:val="21"/>
              </w:rPr>
            </w:pPr>
            <w:r>
              <w:rPr>
                <w:rFonts w:ascii="宋体" w:hAnsi="宋体" w:eastAsia="宋体" w:cs="宋体"/>
                <w:sz w:val="21"/>
                <w:szCs w:val="21"/>
              </w:rPr>
              <w:t xml:space="preserve">方案较为全面、基本符合项目实际、岗位职责与流程基本合理、可操作性较好，得</w:t>
            </w:r>
            <w:r>
              <w:rPr>
                <w:rFonts w:hint="eastAsia" w:ascii="宋体" w:hAnsi="宋体" w:cs="宋体"/>
                <w:sz w:val="21"/>
                <w:szCs w:val="21"/>
                <w:lang w:val="en-US" w:eastAsia="zh-CN"/>
              </w:rPr>
              <w:t xml:space="preserve">3</w:t>
            </w:r>
            <w:r>
              <w:rPr>
                <w:rFonts w:ascii="宋体" w:hAnsi="宋体" w:eastAsia="宋体" w:cs="宋体"/>
                <w:sz w:val="21"/>
                <w:szCs w:val="21"/>
              </w:rPr>
              <w:t xml:space="preserve"> 分；</w:t>
            </w:r>
            <w:r/>
          </w:p>
          <w:p>
            <w:pPr>
              <w:spacing w:line="360" w:lineRule="auto"/>
              <w:rPr>
                <w:rFonts w:ascii="宋体" w:hAnsi="宋体" w:eastAsia="宋体" w:cs="宋体"/>
                <w:sz w:val="21"/>
                <w:szCs w:val="21"/>
              </w:rPr>
            </w:pPr>
            <w:r>
              <w:rPr>
                <w:rFonts w:ascii="宋体" w:hAnsi="宋体" w:eastAsia="宋体" w:cs="宋体"/>
                <w:sz w:val="21"/>
                <w:szCs w:val="21"/>
              </w:rPr>
              <w:t xml:space="preserve">方案不够完整、针对性不强、岗位职责或流程存在缺失、可操作性一般，得</w:t>
            </w:r>
            <w:r>
              <w:rPr>
                <w:rFonts w:hint="eastAsia" w:ascii="宋体" w:hAnsi="宋体" w:cs="宋体"/>
                <w:sz w:val="21"/>
                <w:szCs w:val="21"/>
                <w:lang w:val="en-US" w:eastAsia="zh-CN"/>
              </w:rPr>
              <w:t xml:space="preserve">1</w:t>
            </w:r>
            <w:r>
              <w:rPr>
                <w:rFonts w:ascii="宋体" w:hAnsi="宋体" w:eastAsia="宋体" w:cs="宋体"/>
                <w:sz w:val="21"/>
                <w:szCs w:val="21"/>
              </w:rPr>
              <w:t xml:space="preserve">分；</w:t>
            </w:r>
            <w:r/>
          </w:p>
          <w:p>
            <w:pPr>
              <w:spacing w:line="360" w:lineRule="auto"/>
              <w:rPr>
                <w:sz w:val="21"/>
                <w:szCs w:val="21"/>
              </w:rPr>
            </w:pPr>
            <w:r>
              <w:rPr>
                <w:rFonts w:ascii="宋体" w:hAnsi="宋体" w:eastAsia="宋体" w:cs="宋体"/>
                <w:sz w:val="21"/>
                <w:szCs w:val="21"/>
              </w:rPr>
              <w:t xml:space="preserve">未提供安全防范措施及应急方案，得0 分。</w:t>
            </w:r>
            <w:r/>
          </w:p>
        </w:tc>
      </w:tr>
      <w:tr>
        <w:trPr>
          <w:jc w:val="center"/>
          <w:trHeight w:val="1472"/>
        </w:trPr>
        <w:tc>
          <w:tcPr>
            <w:tcW w:w="706" w:type="pct"/>
            <w:vAlign w:val="center"/>
            <w:vMerge w:val="restart"/>
            <w:textDirection w:val="lrTb"/>
            <w:noWrap w:val="false"/>
          </w:tcPr>
          <w:p>
            <w:pPr>
              <w:jc w:val="center"/>
              <w:spacing w:line="360" w:lineRule="auto"/>
              <w:rPr>
                <w:rFonts w:ascii="宋体" w:hAnsi="宋体" w:cs="宋体"/>
                <w:sz w:val="21"/>
                <w:szCs w:val="21"/>
                <w:lang w:val="zh-CN"/>
              </w:rPr>
            </w:pPr>
            <w:r>
              <w:rPr>
                <w:rFonts w:hint="eastAsia" w:ascii="宋体" w:hAnsi="宋体" w:cs="宋体"/>
                <w:sz w:val="21"/>
                <w:szCs w:val="21"/>
                <w:lang w:val="zh-CN"/>
              </w:rPr>
              <w:t xml:space="preserve">企业实力</w:t>
            </w:r>
            <w:r>
              <w:rPr>
                <w:rFonts w:hint="eastAsia"/>
                <w:sz w:val="21"/>
                <w:szCs w:val="21"/>
                <w:lang w:val="zh-CN"/>
              </w:rPr>
              <w:t xml:space="preserve">（</w:t>
            </w:r>
            <w:r>
              <w:rPr>
                <w:rFonts w:hint="eastAsia"/>
                <w:sz w:val="21"/>
                <w:szCs w:val="21"/>
                <w:lang w:val="en-US" w:eastAsia="zh-CN"/>
              </w:rPr>
              <w:t xml:space="preserve">23</w:t>
            </w:r>
            <w:bookmarkStart w:id="78" w:name="_GoBack"/>
            <w:r/>
            <w:bookmarkEnd w:id="78"/>
            <w:r>
              <w:rPr>
                <w:rFonts w:hint="eastAsia"/>
                <w:sz w:val="21"/>
                <w:szCs w:val="21"/>
                <w:lang w:val="zh-CN"/>
              </w:rPr>
              <w:t xml:space="preserve">分）</w:t>
            </w:r>
            <w:r/>
          </w:p>
        </w:tc>
        <w:tc>
          <w:tcPr>
            <w:tcBorders>
              <w:right w:val="single" w:color="auto" w:sz="4" w:space="0"/>
            </w:tcBorders>
            <w:tcW w:w="668" w:type="pct"/>
            <w:vAlign w:val="center"/>
            <w:textDirection w:val="lrTb"/>
            <w:noWrap w:val="false"/>
          </w:tcPr>
          <w:p>
            <w:pPr>
              <w:jc w:val="center"/>
              <w:spacing w:line="360" w:lineRule="auto"/>
              <w:rPr>
                <w:sz w:val="21"/>
                <w:szCs w:val="21"/>
              </w:rPr>
            </w:pPr>
            <w:r>
              <w:rPr>
                <w:rFonts w:hint="eastAsia" w:ascii="宋体" w:hAnsi="宋体" w:cs="宋体"/>
                <w:sz w:val="21"/>
                <w:szCs w:val="21"/>
              </w:rPr>
              <w:t xml:space="preserve">体系认证</w:t>
            </w:r>
            <w:r>
              <w:rPr>
                <w:rFonts w:hint="eastAsia"/>
                <w:sz w:val="21"/>
                <w:szCs w:val="21"/>
              </w:rPr>
              <w:t xml:space="preserve">（</w:t>
            </w:r>
            <w:r>
              <w:rPr>
                <w:rFonts w:hint="eastAsia"/>
                <w:sz w:val="21"/>
                <w:szCs w:val="21"/>
                <w:lang w:val="en-US" w:eastAsia="zh-CN"/>
              </w:rPr>
              <w:t xml:space="preserve">3</w:t>
            </w:r>
            <w:r>
              <w:rPr>
                <w:rFonts w:hint="eastAsia"/>
                <w:sz w:val="21"/>
                <w:szCs w:val="21"/>
              </w:rPr>
              <w:t xml:space="preserve">分）</w:t>
            </w:r>
            <w:r/>
          </w:p>
        </w:tc>
        <w:tc>
          <w:tcPr>
            <w:tcBorders>
              <w:left w:val="single" w:color="auto" w:sz="4" w:space="0"/>
            </w:tcBorders>
            <w:tcW w:w="3624" w:type="pct"/>
            <w:vAlign w:val="center"/>
            <w:textDirection w:val="lrTb"/>
            <w:noWrap w:val="false"/>
          </w:tcPr>
          <w:p>
            <w:pPr>
              <w:spacing w:line="360" w:lineRule="auto"/>
              <w:rPr>
                <w:rFonts w:hint="default" w:ascii="宋体" w:hAnsi="宋体" w:eastAsia="宋体" w:cs="宋体"/>
                <w:sz w:val="21"/>
                <w:szCs w:val="21"/>
                <w:lang w:val="en-US" w:eastAsia="zh-CN"/>
              </w:rPr>
            </w:pPr>
            <w:r>
              <w:rPr>
                <w:rFonts w:hint="eastAsia" w:ascii="宋体" w:hAnsi="宋体" w:cs="宋体"/>
                <w:sz w:val="21"/>
                <w:szCs w:val="21"/>
              </w:rPr>
              <w:t xml:space="preserve">供应商具有有效的质量管理体系认证证书、环境管理体系认证证书、职业健康安全体系认证证书的，每提供一项得</w:t>
            </w:r>
            <w:r>
              <w:rPr>
                <w:rFonts w:hint="eastAsia" w:ascii="宋体" w:hAnsi="宋体" w:cs="宋体"/>
                <w:sz w:val="21"/>
                <w:szCs w:val="21"/>
                <w:lang w:val="en-US" w:eastAsia="zh-CN"/>
              </w:rPr>
              <w:t xml:space="preserve">1</w:t>
            </w:r>
            <w:r>
              <w:rPr>
                <w:rFonts w:hint="eastAsia" w:ascii="宋体" w:hAnsi="宋体" w:cs="宋体"/>
                <w:sz w:val="21"/>
                <w:szCs w:val="21"/>
              </w:rPr>
              <w:t xml:space="preserve">分，满分</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rPr>
                <w:rFonts w:hint="eastAsia" w:ascii="宋体" w:hAnsi="宋体" w:cs="宋体"/>
                <w:b/>
                <w:bCs/>
                <w:sz w:val="21"/>
                <w:szCs w:val="21"/>
              </w:rPr>
              <w:t xml:space="preserve">（提供证书复印件以及国家认证认可信息公共服务平台查询截图，并加盖供应商公章</w:t>
            </w:r>
            <w:r>
              <w:rPr>
                <w:rFonts w:hint="eastAsia" w:ascii="宋体" w:hAnsi="宋体" w:cs="宋体"/>
                <w:b/>
                <w:bCs/>
                <w:sz w:val="21"/>
                <w:szCs w:val="21"/>
                <w:lang w:val="en-US" w:eastAsia="zh-CN"/>
              </w:rPr>
              <w:t xml:space="preserve">上传</w:t>
            </w:r>
            <w:r>
              <w:rPr>
                <w:rFonts w:hint="eastAsia" w:ascii="宋体" w:hAnsi="宋体" w:cs="宋体"/>
                <w:b/>
                <w:bCs/>
                <w:sz w:val="21"/>
                <w:szCs w:val="21"/>
              </w:rPr>
              <w:t xml:space="preserve">，证书原件</w:t>
            </w:r>
            <w:r>
              <w:rPr>
                <w:rFonts w:hint="eastAsia" w:ascii="宋体" w:hAnsi="宋体" w:cs="宋体"/>
                <w:b/>
                <w:bCs/>
                <w:sz w:val="21"/>
                <w:szCs w:val="21"/>
                <w:lang w:val="en-US" w:eastAsia="zh-CN"/>
              </w:rPr>
              <w:t xml:space="preserve">上传</w:t>
            </w:r>
            <w:r>
              <w:rPr>
                <w:rFonts w:hint="eastAsia" w:ascii="宋体" w:hAnsi="宋体" w:cs="宋体"/>
                <w:b/>
                <w:bCs/>
                <w:sz w:val="21"/>
                <w:szCs w:val="21"/>
              </w:rPr>
              <w:t xml:space="preserve">）</w:t>
            </w:r>
            <w:r>
              <w:rPr>
                <w:rFonts w:hint="eastAsia" w:ascii="宋体" w:hAnsi="宋体" w:cs="宋体"/>
                <w:b/>
                <w:bCs/>
                <w:sz w:val="21"/>
                <w:szCs w:val="21"/>
                <w:lang w:val="en-US" w:eastAsia="zh-CN"/>
              </w:rPr>
              <w:t xml:space="preserve">                        </w:t>
            </w:r>
            <w:r/>
          </w:p>
        </w:tc>
      </w:tr>
      <w:tr>
        <w:trPr>
          <w:jc w:val="center"/>
          <w:trHeight w:val="1158"/>
        </w:trPr>
        <w:tc>
          <w:tcPr>
            <w:tcW w:w="706" w:type="pct"/>
            <w:vAlign w:val="center"/>
            <w:vMerge w:val="continue"/>
            <w:textDirection w:val="lrTb"/>
            <w:noWrap w:val="false"/>
          </w:tcPr>
          <w:p>
            <w:pPr>
              <w:jc w:val="center"/>
              <w:spacing w:line="360" w:lineRule="auto"/>
              <w:rPr>
                <w:rFonts w:ascii="宋体" w:hAnsi="宋体" w:cs="宋体"/>
                <w:sz w:val="21"/>
                <w:szCs w:val="21"/>
                <w:lang w:val="zh-CN"/>
              </w:rPr>
            </w:pPr>
            <w:r>
              <w:rPr>
                <w:rFonts w:ascii="宋体" w:hAnsi="宋体" w:cs="宋体"/>
                <w:sz w:val="21"/>
                <w:szCs w:val="21"/>
                <w:lang w:val="zh-CN"/>
              </w:rPr>
            </w:r>
            <w:r/>
          </w:p>
        </w:tc>
        <w:tc>
          <w:tcPr>
            <w:tcBorders>
              <w:right w:val="single" w:color="auto" w:sz="4" w:space="0"/>
            </w:tcBorders>
            <w:tcW w:w="668" w:type="pct"/>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lang w:eastAsia="zh-CN"/>
              </w:rPr>
              <w:t xml:space="preserve">维保</w:t>
            </w:r>
            <w:r>
              <w:rPr>
                <w:rFonts w:hint="eastAsia" w:ascii="宋体" w:hAnsi="宋体" w:cs="宋体"/>
                <w:sz w:val="21"/>
                <w:szCs w:val="21"/>
              </w:rPr>
              <w:t xml:space="preserve">工具</w:t>
            </w:r>
            <w:r/>
          </w:p>
          <w:p>
            <w:pPr>
              <w:jc w:val="center"/>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tc>
        <w:tc>
          <w:tcPr>
            <w:tcBorders>
              <w:left w:val="single" w:color="auto" w:sz="4" w:space="0"/>
            </w:tcBorders>
            <w:tcW w:w="3624" w:type="pct"/>
            <w:vAlign w:val="center"/>
            <w:textDirection w:val="lrTb"/>
            <w:noWrap w:val="false"/>
          </w:tcPr>
          <w:p>
            <w:pPr>
              <w:jc w:val="left"/>
              <w:spacing w:line="360" w:lineRule="auto"/>
              <w:rPr>
                <w:rFonts w:hint="default" w:ascii="宋体" w:hAnsi="宋体" w:eastAsia="宋体" w:cs="宋体"/>
                <w:sz w:val="21"/>
                <w:szCs w:val="21"/>
                <w:lang w:val="en-US" w:eastAsia="zh-CN"/>
              </w:rPr>
            </w:pPr>
            <w:r>
              <w:rPr>
                <w:rFonts w:hint="eastAsia" w:ascii="宋体" w:hAnsi="宋体" w:cs="宋体"/>
                <w:sz w:val="21"/>
                <w:szCs w:val="21"/>
              </w:rPr>
              <w:t xml:space="preserve">供应商针对本项目配备详细的维保工具，每提供一个得0.5分，最高得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rPr>
                <w:rFonts w:hint="eastAsia" w:ascii="宋体" w:hAnsi="宋体" w:cs="宋体"/>
                <w:b/>
                <w:bCs/>
                <w:sz w:val="21"/>
                <w:szCs w:val="21"/>
              </w:rPr>
              <w:t xml:space="preserve">（需提供</w:t>
            </w:r>
            <w:r>
              <w:rPr>
                <w:rFonts w:hint="eastAsia" w:ascii="宋体" w:hAnsi="宋体" w:cs="宋体"/>
                <w:b/>
                <w:bCs/>
                <w:sz w:val="21"/>
                <w:szCs w:val="21"/>
                <w:lang w:eastAsia="zh-CN"/>
              </w:rPr>
              <w:t xml:space="preserve">维保设备</w:t>
            </w:r>
            <w:r>
              <w:rPr>
                <w:rFonts w:hint="eastAsia" w:ascii="宋体" w:hAnsi="宋体" w:cs="宋体"/>
                <w:b/>
                <w:bCs/>
                <w:sz w:val="21"/>
                <w:szCs w:val="21"/>
              </w:rPr>
              <w:t xml:space="preserve">清单、图片及</w:t>
            </w:r>
            <w:r>
              <w:rPr>
                <w:rFonts w:hint="eastAsia" w:ascii="宋体" w:hAnsi="宋体" w:eastAsia="宋体" w:cs="宋体"/>
                <w:b/>
                <w:bCs/>
                <w:color w:val="auto"/>
                <w:szCs w:val="21"/>
                <w:highlight w:val="none"/>
              </w:rPr>
              <w:t xml:space="preserve">检定（校准）证书</w:t>
            </w:r>
            <w:r>
              <w:rPr>
                <w:rFonts w:hint="eastAsia" w:ascii="宋体" w:hAnsi="宋体" w:cs="宋体"/>
                <w:b/>
                <w:bCs/>
                <w:sz w:val="21"/>
                <w:szCs w:val="21"/>
                <w:lang w:val="en-US" w:eastAsia="zh-CN"/>
              </w:rPr>
              <w:t xml:space="preserve">原件扫描上传</w:t>
            </w:r>
            <w:r>
              <w:rPr>
                <w:rFonts w:hint="eastAsia" w:ascii="宋体" w:hAnsi="宋体" w:cs="宋体"/>
                <w:b/>
                <w:bCs/>
                <w:sz w:val="21"/>
                <w:szCs w:val="21"/>
              </w:rPr>
              <w:t xml:space="preserve">）</w:t>
            </w:r>
            <w:r/>
          </w:p>
        </w:tc>
      </w:tr>
      <w:tr>
        <w:trPr>
          <w:jc w:val="center"/>
          <w:trHeight w:val="567"/>
        </w:trPr>
        <w:tc>
          <w:tcPr>
            <w:tcW w:w="706" w:type="pct"/>
            <w:vAlign w:val="center"/>
            <w:vMerge w:val="continue"/>
            <w:textDirection w:val="lrTb"/>
            <w:noWrap w:val="false"/>
          </w:tcPr>
          <w:p>
            <w:pPr>
              <w:jc w:val="center"/>
              <w:spacing w:line="360" w:lineRule="auto"/>
              <w:rPr>
                <w:rFonts w:ascii="宋体" w:hAnsi="宋体" w:cs="宋体"/>
                <w:sz w:val="21"/>
                <w:szCs w:val="21"/>
                <w:lang w:val="zh-CN"/>
              </w:rPr>
            </w:pPr>
            <w:r>
              <w:rPr>
                <w:rFonts w:ascii="宋体" w:hAnsi="宋体" w:cs="宋体"/>
                <w:sz w:val="21"/>
                <w:szCs w:val="21"/>
                <w:lang w:val="zh-CN"/>
              </w:rPr>
            </w:r>
            <w:r/>
          </w:p>
        </w:tc>
        <w:tc>
          <w:tcPr>
            <w:tcBorders>
              <w:right w:val="single" w:color="auto" w:sz="4" w:space="0"/>
            </w:tcBorders>
            <w:tcW w:w="668" w:type="pct"/>
            <w:vAlign w:val="center"/>
            <w:textDirection w:val="lrTb"/>
            <w:noWrap w:val="false"/>
          </w:tcPr>
          <w:p>
            <w:pPr>
              <w:jc w:val="center"/>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客户评价</w:t>
            </w:r>
            <w:r/>
          </w:p>
          <w:p>
            <w:pPr>
              <w:jc w:val="cente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6分</w:t>
            </w:r>
            <w:r>
              <w:rPr>
                <w:rFonts w:hint="eastAsia" w:ascii="宋体" w:hAnsi="宋体" w:cs="宋体"/>
                <w:sz w:val="21"/>
                <w:szCs w:val="21"/>
                <w:highlight w:val="none"/>
                <w:lang w:eastAsia="zh-CN"/>
              </w:rPr>
              <w:t xml:space="preserve">）</w:t>
            </w:r>
            <w:r/>
          </w:p>
        </w:tc>
        <w:tc>
          <w:tcPr>
            <w:tcBorders>
              <w:left w:val="single" w:color="auto" w:sz="4" w:space="0"/>
            </w:tcBorders>
            <w:tcW w:w="3624" w:type="pct"/>
            <w:vAlign w:val="center"/>
            <w:textDirection w:val="lrTb"/>
            <w:noWrap w:val="false"/>
          </w:tcPr>
          <w:p>
            <w:pPr>
              <w:jc w:val="left"/>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2021</w:t>
            </w:r>
            <w:r>
              <w:rPr>
                <w:rFonts w:hint="eastAsia" w:ascii="宋体" w:hAnsi="宋体" w:cs="宋体"/>
                <w:sz w:val="21"/>
                <w:szCs w:val="21"/>
                <w:highlight w:val="none"/>
              </w:rPr>
              <w:t xml:space="preserve">年度至今</w:t>
            </w:r>
            <w:r>
              <w:rPr>
                <w:rFonts w:hint="eastAsia" w:ascii="宋体" w:hAnsi="宋体" w:cs="宋体"/>
                <w:sz w:val="21"/>
                <w:szCs w:val="21"/>
                <w:highlight w:val="none"/>
                <w:lang w:eastAsia="zh-CN"/>
              </w:rPr>
              <w:t xml:space="preserve">供应商或者个人</w:t>
            </w:r>
            <w:r>
              <w:rPr>
                <w:rFonts w:hint="eastAsia" w:ascii="宋体" w:hAnsi="宋体" w:cs="宋体"/>
                <w:sz w:val="21"/>
                <w:szCs w:val="21"/>
                <w:highlight w:val="none"/>
              </w:rPr>
              <w:t xml:space="preserve">受到业主优质服务</w:t>
            </w:r>
            <w:r>
              <w:rPr>
                <w:rFonts w:hint="eastAsia" w:ascii="宋体" w:hAnsi="宋体" w:cs="宋体"/>
                <w:sz w:val="21"/>
                <w:szCs w:val="21"/>
                <w:highlight w:val="none"/>
                <w:lang w:eastAsia="zh-CN"/>
              </w:rPr>
              <w:t xml:space="preserve">书面表彰</w:t>
            </w:r>
            <w:r>
              <w:rPr>
                <w:rFonts w:hint="eastAsia" w:ascii="宋体" w:hAnsi="宋体" w:cs="宋体"/>
                <w:sz w:val="21"/>
                <w:szCs w:val="21"/>
                <w:highlight w:val="none"/>
              </w:rPr>
              <w:t xml:space="preserve">的，每提供1份加1分，最多得</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分。</w:t>
            </w:r>
            <w:r>
              <w:rPr>
                <w:rFonts w:hint="eastAsia" w:ascii="宋体" w:hAnsi="宋体" w:cs="宋体"/>
                <w:b/>
                <w:bCs/>
                <w:sz w:val="21"/>
                <w:szCs w:val="21"/>
              </w:rPr>
              <w:t xml:space="preserve">（需提供证书</w:t>
            </w:r>
            <w:r>
              <w:rPr>
                <w:rFonts w:hint="eastAsia" w:ascii="宋体" w:hAnsi="宋体" w:cs="宋体"/>
                <w:b/>
                <w:bCs/>
                <w:sz w:val="21"/>
                <w:szCs w:val="21"/>
                <w:lang w:val="en-US" w:eastAsia="zh-CN"/>
              </w:rPr>
              <w:t xml:space="preserve">原件扫描上传</w:t>
            </w:r>
            <w:r>
              <w:rPr>
                <w:rFonts w:hint="eastAsia" w:ascii="宋体" w:hAnsi="宋体" w:cs="宋体"/>
                <w:b/>
                <w:bCs/>
                <w:sz w:val="21"/>
                <w:szCs w:val="21"/>
              </w:rPr>
              <w:t xml:space="preserve">）</w:t>
            </w:r>
            <w:r/>
          </w:p>
        </w:tc>
      </w:tr>
      <w:tr>
        <w:trPr>
          <w:jc w:val="center"/>
          <w:trHeight w:val="899"/>
        </w:trPr>
        <w:tc>
          <w:tcPr>
            <w:tcW w:w="706" w:type="pct"/>
            <w:vAlign w:val="center"/>
            <w:vMerge w:val="continue"/>
            <w:textDirection w:val="lrTb"/>
            <w:noWrap w:val="false"/>
          </w:tcPr>
          <w:p>
            <w:pPr>
              <w:jc w:val="center"/>
              <w:spacing w:line="360" w:lineRule="auto"/>
              <w:rPr>
                <w:sz w:val="21"/>
                <w:szCs w:val="21"/>
                <w:lang w:val="zh-CN"/>
              </w:rPr>
            </w:pPr>
            <w:r>
              <w:rPr>
                <w:sz w:val="21"/>
                <w:szCs w:val="21"/>
                <w:lang w:val="zh-CN"/>
              </w:rPr>
            </w:r>
            <w:r/>
          </w:p>
        </w:tc>
        <w:tc>
          <w:tcPr>
            <w:tcBorders>
              <w:right w:val="single" w:color="auto" w:sz="4" w:space="0"/>
            </w:tcBorders>
            <w:tcW w:w="668" w:type="pct"/>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从业人员维保资格证人数</w:t>
            </w:r>
            <w:r/>
          </w:p>
          <w:p>
            <w:pPr>
              <w:jc w:val="center"/>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eastAsia="zh-CN"/>
              </w:rPr>
              <w:t xml:space="preserve">9</w:t>
            </w:r>
            <w:r>
              <w:rPr>
                <w:rFonts w:hint="eastAsia" w:ascii="宋体" w:hAnsi="宋体" w:cs="宋体"/>
                <w:sz w:val="21"/>
                <w:szCs w:val="21"/>
              </w:rPr>
              <w:t xml:space="preserve">分）</w:t>
            </w:r>
            <w:r/>
          </w:p>
        </w:tc>
        <w:tc>
          <w:tcPr>
            <w:tcBorders>
              <w:left w:val="single" w:color="auto" w:sz="4" w:space="0"/>
            </w:tcBorders>
            <w:tcW w:w="3624" w:type="pct"/>
            <w:vAlign w:val="center"/>
            <w:textDirection w:val="lrTb"/>
            <w:noWrap w:val="false"/>
          </w:tcPr>
          <w:p>
            <w:pPr>
              <w:pStyle w:val="873"/>
              <w:numPr>
                <w:ilvl w:val="0"/>
                <w:numId w:val="9"/>
              </w:numPr>
              <w:spacing w:line="360" w:lineRule="auto"/>
              <w:rPr>
                <w:rFonts w:hint="eastAsia"/>
                <w:sz w:val="21"/>
                <w:szCs w:val="21"/>
                <w:lang w:val="en-US" w:eastAsia="zh-CN"/>
              </w:rPr>
            </w:pPr>
            <w:r>
              <w:rPr>
                <w:rFonts w:hint="eastAsia"/>
                <w:sz w:val="21"/>
                <w:szCs w:val="21"/>
              </w:rPr>
              <w:t xml:space="preserve">本项目配备的项目负责人：具有一级消防工程师证书的得</w:t>
            </w:r>
            <w:r>
              <w:rPr>
                <w:rFonts w:hint="eastAsia"/>
                <w:sz w:val="21"/>
                <w:szCs w:val="21"/>
                <w:lang w:val="en-US" w:eastAsia="zh-CN"/>
              </w:rPr>
              <w:t xml:space="preserve">3</w:t>
            </w:r>
            <w:r>
              <w:rPr>
                <w:rFonts w:hint="eastAsia"/>
                <w:sz w:val="21"/>
                <w:szCs w:val="21"/>
              </w:rPr>
              <w:t xml:space="preserve">分。</w:t>
            </w:r>
            <w:r/>
          </w:p>
          <w:p>
            <w:pPr>
              <w:pStyle w:val="873"/>
              <w:numPr>
                <w:ilvl w:val="0"/>
                <w:numId w:val="9"/>
              </w:numPr>
              <w:spacing w:line="360" w:lineRule="auto"/>
              <w:rPr>
                <w:sz w:val="21"/>
                <w:szCs w:val="21"/>
              </w:rPr>
            </w:pPr>
            <w:r>
              <w:rPr>
                <w:rFonts w:hint="eastAsia"/>
                <w:sz w:val="21"/>
                <w:szCs w:val="21"/>
              </w:rPr>
              <w:t xml:space="preserve">维</w:t>
            </w:r>
            <w:r>
              <w:rPr>
                <w:rFonts w:hint="eastAsia" w:ascii="Times New Roman" w:hAnsi="Times New Roman" w:cs="Times New Roman"/>
                <w:sz w:val="21"/>
                <w:szCs w:val="21"/>
              </w:rPr>
              <w:t xml:space="preserve">保人员（项目负责人除外）具有注册消防工程师</w:t>
            </w:r>
            <w:r>
              <w:rPr>
                <w:rFonts w:hint="eastAsia" w:ascii="Times New Roman" w:hAnsi="Times New Roman" w:cs="Times New Roman"/>
                <w:sz w:val="21"/>
                <w:szCs w:val="21"/>
                <w:lang w:eastAsia="zh-CN"/>
              </w:rPr>
              <w:t xml:space="preserve">资格的，每提供一人得</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分；</w:t>
            </w:r>
            <w:r>
              <w:rPr>
                <w:rFonts w:hint="eastAsia" w:ascii="Times New Roman" w:hAnsi="Times New Roman" w:cs="Times New Roman"/>
                <w:sz w:val="21"/>
                <w:szCs w:val="21"/>
              </w:rPr>
              <w:t xml:space="preserve">具有消防设施四级消防员（或操作员）及</w:t>
            </w:r>
            <w:r>
              <w:rPr>
                <w:rFonts w:hint="eastAsia" w:ascii="宋体" w:hAnsi="宋体" w:cs="宋体"/>
                <w:sz w:val="21"/>
                <w:szCs w:val="21"/>
              </w:rPr>
              <w:t xml:space="preserve">以上级别证书，</w:t>
            </w:r>
            <w:r>
              <w:rPr>
                <w:rFonts w:hint="eastAsia"/>
                <w:sz w:val="21"/>
                <w:szCs w:val="21"/>
              </w:rPr>
              <w:t xml:space="preserve">每提供一个人得</w:t>
            </w:r>
            <w:r>
              <w:rPr>
                <w:rFonts w:hint="eastAsia"/>
                <w:sz w:val="21"/>
                <w:szCs w:val="21"/>
                <w:lang w:val="en-US" w:eastAsia="zh-CN"/>
              </w:rPr>
              <w:t xml:space="preserve">1</w:t>
            </w:r>
            <w:r>
              <w:rPr>
                <w:rFonts w:hint="eastAsia"/>
                <w:sz w:val="21"/>
                <w:szCs w:val="21"/>
              </w:rPr>
              <w:t xml:space="preserve">分，最高得</w:t>
            </w:r>
            <w:r>
              <w:rPr>
                <w:rFonts w:hint="eastAsia"/>
                <w:sz w:val="21"/>
                <w:szCs w:val="21"/>
                <w:lang w:val="en-US" w:eastAsia="zh-CN"/>
              </w:rPr>
              <w:t xml:space="preserve">6</w:t>
            </w:r>
            <w:r>
              <w:rPr>
                <w:rFonts w:hint="eastAsia"/>
                <w:sz w:val="21"/>
                <w:szCs w:val="21"/>
              </w:rPr>
              <w:t xml:space="preserve">分。</w:t>
            </w:r>
            <w:r/>
          </w:p>
          <w:p>
            <w:pPr>
              <w:spacing w:line="360" w:lineRule="auto"/>
              <w:rPr>
                <w:rFonts w:ascii="宋体" w:hAnsi="宋体" w:cs="宋体"/>
                <w:sz w:val="21"/>
                <w:szCs w:val="21"/>
              </w:rPr>
            </w:pPr>
            <w:r>
              <w:rPr>
                <w:rFonts w:hint="eastAsia" w:ascii="宋体" w:hAnsi="宋体" w:cs="宋体"/>
                <w:b/>
                <w:sz w:val="21"/>
                <w:szCs w:val="21"/>
              </w:rPr>
              <w:t xml:space="preserve">注：人员必须为本单位正式员工，需提供上述人员相关证书及近三个月</w:t>
            </w:r>
            <w:r>
              <w:rPr>
                <w:rFonts w:hint="eastAsia" w:ascii="宋体" w:hAnsi="宋体" w:cs="宋体"/>
                <w:b/>
                <w:sz w:val="21"/>
                <w:szCs w:val="21"/>
                <w:lang w:val="en-US" w:eastAsia="zh-CN"/>
              </w:rPr>
              <w:t xml:space="preserve">任一个月</w:t>
            </w:r>
            <w:r>
              <w:rPr>
                <w:rFonts w:hint="eastAsia" w:ascii="宋体" w:hAnsi="宋体" w:cs="宋体"/>
                <w:b/>
                <w:sz w:val="21"/>
                <w:szCs w:val="21"/>
              </w:rPr>
              <w:t xml:space="preserve">的社保证明</w:t>
            </w:r>
            <w:r>
              <w:rPr>
                <w:rFonts w:hint="eastAsia" w:ascii="宋体" w:hAnsi="宋体" w:cs="宋体"/>
                <w:b/>
                <w:color w:val="auto"/>
                <w:sz w:val="21"/>
                <w:szCs w:val="21"/>
              </w:rPr>
              <w:t xml:space="preserve">文件，证书原件</w:t>
            </w:r>
            <w:r>
              <w:rPr>
                <w:rFonts w:hint="eastAsia" w:ascii="宋体" w:hAnsi="宋体" w:cs="宋体"/>
                <w:b/>
                <w:color w:val="auto"/>
                <w:sz w:val="21"/>
                <w:szCs w:val="21"/>
                <w:lang w:val="en-US" w:eastAsia="zh-CN"/>
              </w:rPr>
              <w:t xml:space="preserve">上传</w:t>
            </w:r>
            <w:r>
              <w:rPr>
                <w:rFonts w:hint="eastAsia" w:ascii="宋体" w:hAnsi="宋体" w:cs="宋体"/>
                <w:b/>
                <w:color w:val="auto"/>
                <w:sz w:val="21"/>
                <w:szCs w:val="21"/>
              </w:rPr>
              <w:t xml:space="preserve">，未提供的不得分。</w:t>
            </w:r>
            <w:r/>
          </w:p>
        </w:tc>
      </w:tr>
      <w:tr>
        <w:trPr>
          <w:jc w:val="center"/>
          <w:trHeight w:val="567"/>
        </w:trPr>
        <w:tc>
          <w:tcPr>
            <w:tcBorders>
              <w:bottom w:val="single" w:color="auto" w:sz="4" w:space="0"/>
            </w:tcBorders>
            <w:tcW w:w="706" w:type="pct"/>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企业业绩</w:t>
            </w:r>
            <w:r/>
          </w:p>
          <w:p>
            <w:pPr>
              <w:jc w:val="center"/>
              <w:spacing w:line="360" w:lineRule="auto"/>
              <w:rPr>
                <w:sz w:val="21"/>
                <w:szCs w:val="21"/>
              </w:rPr>
            </w:pPr>
            <w:r>
              <w:rPr>
                <w:rFonts w:hint="eastAsia"/>
                <w:sz w:val="21"/>
                <w:szCs w:val="21"/>
              </w:rPr>
              <w:t xml:space="preserve">（</w:t>
            </w:r>
            <w:r>
              <w:rPr>
                <w:rFonts w:hint="eastAsia"/>
                <w:sz w:val="21"/>
                <w:szCs w:val="21"/>
                <w:lang w:val="en-US" w:eastAsia="zh-CN"/>
              </w:rPr>
              <w:t xml:space="preserve">9</w:t>
            </w:r>
            <w:r>
              <w:rPr>
                <w:rFonts w:hint="eastAsia"/>
                <w:sz w:val="21"/>
                <w:szCs w:val="21"/>
              </w:rPr>
              <w:t xml:space="preserve">分）</w:t>
            </w:r>
            <w:r/>
          </w:p>
        </w:tc>
        <w:tc>
          <w:tcPr>
            <w:gridSpan w:val="2"/>
            <w:tcBorders>
              <w:bottom w:val="single" w:color="auto" w:sz="4" w:space="0"/>
            </w:tcBorders>
            <w:tcW w:w="4293" w:type="pct"/>
            <w:vAlign w:val="center"/>
            <w:textDirection w:val="lrTb"/>
            <w:noWrap w:val="false"/>
          </w:tcPr>
          <w:p>
            <w:pPr>
              <w:spacing w:line="360" w:lineRule="auto"/>
              <w:rPr>
                <w:b/>
                <w:bCs/>
                <w:sz w:val="21"/>
                <w:szCs w:val="21"/>
                <w:highlight w:val="none"/>
              </w:rPr>
            </w:pPr>
            <w:r>
              <w:rPr>
                <w:rFonts w:hint="eastAsia" w:ascii="宋体" w:hAnsi="宋体" w:cs="宋体"/>
                <w:sz w:val="21"/>
                <w:szCs w:val="21"/>
                <w:highlight w:val="none"/>
              </w:rPr>
              <w:t xml:space="preserve">20</w:t>
            </w:r>
            <w:r>
              <w:rPr>
                <w:rFonts w:ascii="宋体" w:hAnsi="宋体" w:cs="宋体"/>
                <w:sz w:val="21"/>
                <w:szCs w:val="21"/>
                <w:highlight w:val="none"/>
              </w:rPr>
              <w:t xml:space="preserve">2</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年1月1日至今供应商承担过消防维保、消控室值班等类似服务项目业绩，每有一个得3分，满分</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分。</w:t>
            </w:r>
            <w:r>
              <w:rPr>
                <w:rFonts w:hint="eastAsia" w:ascii="宋体" w:hAnsi="宋体" w:cs="宋体"/>
                <w:b/>
                <w:bCs/>
                <w:sz w:val="21"/>
                <w:szCs w:val="21"/>
                <w:highlight w:val="none"/>
              </w:rPr>
              <w:t xml:space="preserve">（提供合同原件</w:t>
            </w:r>
            <w:r>
              <w:rPr>
                <w:rFonts w:hint="eastAsia" w:ascii="宋体" w:hAnsi="宋体" w:cs="宋体"/>
                <w:b/>
                <w:bCs/>
                <w:sz w:val="21"/>
                <w:szCs w:val="21"/>
                <w:highlight w:val="none"/>
                <w:lang w:val="en-US" w:eastAsia="zh-CN"/>
              </w:rPr>
              <w:t xml:space="preserve">上传</w:t>
            </w:r>
            <w:r>
              <w:rPr>
                <w:rFonts w:hint="eastAsia" w:ascii="宋体" w:hAnsi="宋体" w:cs="宋体"/>
                <w:b/>
                <w:bCs/>
                <w:sz w:val="21"/>
                <w:szCs w:val="21"/>
                <w:highlight w:val="none"/>
              </w:rPr>
              <w:t xml:space="preserve">。以合同签订之日为准）</w:t>
            </w:r>
            <w:r/>
          </w:p>
        </w:tc>
      </w:tr>
    </w:tbl>
    <w:p>
      <w:pPr>
        <w:ind w:right="0"/>
        <w:jc w:val="both"/>
        <w:keepLines w:val="0"/>
        <w:keepNext w:val="0"/>
        <w:pageBreakBefore w:val="0"/>
        <w:spacing w:before="0" w:after="0" w:line="360" w:lineRule="auto"/>
        <w:widowControl w:val="off"/>
        <w:rPr>
          <w:rFonts w:ascii="Times New Roman" w:hAnsi="Times New Roman" w:eastAsia="宋体" w:cs="Times New Roman"/>
          <w:b/>
          <w:bCs/>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
          <w:bCs/>
          <w:sz w:val="21"/>
          <w:szCs w:val="21"/>
          <w:lang w:val="en-US" w:eastAsia="zh-CN" w:bidi="ar-SA"/>
        </w:rPr>
        <w:t xml:space="preserve">说明：</w:t>
      </w:r>
      <w:r>
        <w:rPr>
          <w:rFonts w:ascii="Times New Roman" w:hAnsi="Times New Roman" w:eastAsia="宋体" w:cs="Times New Roman"/>
          <w:b/>
          <w:bCs/>
          <w:sz w:val="21"/>
          <w:szCs w:val="21"/>
          <w:lang w:val="en-US" w:eastAsia="zh-CN" w:bidi="ar-SA"/>
        </w:rPr>
        <w:t xml:space="preserve">评审过程中出现下列情形之一的，评审委员会应当启动异常低价投标（响应）审查程序：</w:t>
      </w:r>
      <w:r/>
    </w:p>
    <w:p>
      <w:pPr>
        <w:numPr>
          <w:ilvl w:val="0"/>
          <w:numId w:val="10"/>
        </w:numPr>
        <w:ind w:right="0"/>
        <w:jc w:val="both"/>
        <w:keepLines w:val="0"/>
        <w:keepNext w:val="0"/>
        <w:pageBreakBefore w:val="0"/>
        <w:spacing w:before="0" w:after="0" w:line="360" w:lineRule="auto"/>
        <w:widowControl w:val="off"/>
        <w:rPr>
          <w:rFonts w:ascii="Times New Roman" w:hAnsi="Times New Roman" w:eastAsia="宋体" w:cs="Times New Roman"/>
          <w:b/>
          <w:bCs/>
          <w:sz w:val="21"/>
          <w:szCs w:val="21"/>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sz w:val="21"/>
          <w:szCs w:val="21"/>
          <w:lang w:val="en-US" w:eastAsia="zh-CN" w:bidi="ar-SA"/>
        </w:rPr>
        <w:t xml:space="preserve">投标（响应）报价低于采购项目预算50% 的，即投标（响应）报价＜采购项目预算×50% ；</w:t>
      </w:r>
      <w:r/>
    </w:p>
    <w:p>
      <w:pPr>
        <w:numPr>
          <w:ilvl w:val="0"/>
          <w:numId w:val="10"/>
        </w:numPr>
        <w:ind w:right="0"/>
        <w:jc w:val="both"/>
        <w:keepLines w:val="0"/>
        <w:keepNext w:val="0"/>
        <w:pageBreakBefore w:val="0"/>
        <w:spacing w:before="0" w:after="0" w:line="360" w:lineRule="auto"/>
        <w:widowControl w:val="off"/>
        <w:rPr>
          <w:rFonts w:ascii="Times New Roman" w:hAnsi="Times New Roman" w:eastAsia="宋体" w:cs="Times New Roman"/>
          <w:b/>
          <w:bCs/>
          <w:sz w:val="21"/>
          <w:szCs w:val="21"/>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sz w:val="21"/>
          <w:szCs w:val="21"/>
          <w:lang w:val="en-US" w:eastAsia="zh-CN" w:bidi="ar-SA"/>
        </w:rPr>
        <w:t xml:space="preserve">投标（响应）报价低于采购项目最高限价45% 的，即投标（响应）报价＜采购项目最高限价×45% ；（3）评审委员会认定的供应商报价过低、有可能影响产品质量或者不能诚信履约的其他情形。</w:t>
      </w:r>
      <w:r/>
    </w:p>
    <w:p>
      <w:pPr>
        <w:ind w:left="0" w:right="0" w:firstLine="0"/>
        <w:jc w:val="both"/>
        <w:keepLines w:val="0"/>
        <w:keepNext w:val="0"/>
        <w:pageBreakBefore w:val="0"/>
        <w:spacing w:before="0" w:after="0" w:line="360" w:lineRule="auto"/>
        <w:widowControl w:val="off"/>
        <w:rPr>
          <w:rFonts w:ascii="Times New Roman" w:hAnsi="Times New Roman" w:eastAsia="宋体" w:cs="Times New Roman"/>
          <w:b/>
          <w:bCs/>
          <w:sz w:val="21"/>
          <w:szCs w:val="21"/>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sz w:val="21"/>
          <w:szCs w:val="21"/>
          <w:lang w:val="en-US" w:eastAsia="zh-CN" w:bidi="ar-SA"/>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rPr>
          <w:rFonts w:ascii="黑体" w:eastAsia="黑体"/>
          <w:bCs/>
          <w:sz w:val="44"/>
        </w:rPr>
      </w:pPr>
      <w:r>
        <w:rPr>
          <w:rFonts w:ascii="黑体" w:eastAsia="黑体"/>
          <w:bCs/>
          <w:sz w:val="44"/>
        </w:rPr>
      </w:r>
      <w:r/>
    </w:p>
    <w:p>
      <w:pPr>
        <w:rPr>
          <w:rFonts w:hint="eastAsia" w:ascii="宋体" w:hAnsi="宋体"/>
          <w:color w:val="000000"/>
        </w:rPr>
      </w:pPr>
      <w:r>
        <w:rPr>
          <w:rFonts w:hint="eastAsia" w:ascii="宋体" w:hAnsi="宋体"/>
          <w:color w:val="000000"/>
        </w:rPr>
        <w:br w:type="page" w:clear="all"/>
      </w:r>
      <w:r/>
    </w:p>
    <w:p>
      <w:pPr>
        <w:pStyle w:val="864"/>
        <w:jc w:val="center"/>
        <w:rPr>
          <w:rFonts w:ascii="宋体" w:hAnsi="宋体"/>
          <w:color w:val="000000"/>
        </w:rPr>
      </w:pPr>
      <w:r>
        <w:rPr>
          <w:rFonts w:hint="eastAsia" w:ascii="宋体" w:hAnsi="宋体"/>
          <w:color w:val="000000"/>
        </w:rPr>
        <w:t xml:space="preserve"> </w:t>
      </w:r>
      <w:bookmarkStart w:id="60" w:name="_Toc28256"/>
      <w:r>
        <w:rPr>
          <w:rFonts w:hint="eastAsia" w:ascii="宋体" w:hAnsi="宋体"/>
          <w:color w:val="000000"/>
        </w:rPr>
        <w:t xml:space="preserve">第六章 投标文件格式</w:t>
      </w:r>
      <w:bookmarkEnd w:id="60"/>
      <w:r>
        <w:rPr>
          <w:rFonts w:hint="eastAsia" w:ascii="宋体" w:hAnsi="宋体"/>
          <w:color w:val="000000"/>
        </w:rPr>
        <w:t xml:space="preserve"> </w:t>
      </w:r>
      <w:r/>
    </w:p>
    <w:p>
      <w:pPr>
        <w:rPr>
          <w:rFonts w:ascii="黑体" w:eastAsia="黑体"/>
          <w:bCs/>
          <w:sz w:val="44"/>
        </w:rPr>
      </w:pPr>
      <w:r>
        <w:rPr>
          <w:rFonts w:ascii="黑体" w:eastAsia="黑体"/>
          <w:bCs/>
          <w:sz w:val="44"/>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rPr>
          <w:rFonts w:hint="eastAsia" w:ascii="宋体" w:hAnsi="宋体"/>
          <w:b/>
          <w:bCs/>
          <w:sz w:val="32"/>
          <w:szCs w:val="32"/>
        </w:rPr>
      </w:pPr>
      <w:r>
        <w:rPr>
          <w:rFonts w:hint="eastAsia" w:ascii="宋体" w:hAnsi="宋体"/>
          <w:b/>
          <w:bCs/>
          <w:sz w:val="32"/>
          <w:szCs w:val="32"/>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ascii="宋体" w:hAnsi="宋体"/>
          <w:b/>
          <w:sz w:val="32"/>
          <w:szCs w:val="32"/>
        </w:rPr>
      </w:pPr>
      <w:r>
        <w:rPr>
          <w:rFonts w:ascii="宋体" w:hAnsi="宋体"/>
          <w:b/>
          <w:sz w:val="32"/>
          <w:szCs w:val="32"/>
        </w:rPr>
      </w:r>
      <w:r/>
    </w:p>
    <w:p>
      <w:pPr>
        <w:pStyle w:val="865"/>
        <w:rPr>
          <w:rFonts w:asciiTheme="minorEastAsia" w:hAnsiTheme="minorEastAsia" w:eastAsiaTheme="minorEastAsia"/>
          <w:b w:val="0"/>
          <w:sz w:val="32"/>
          <w:szCs w:val="32"/>
        </w:rPr>
      </w:pPr>
      <w:r>
        <w:rPr>
          <w:rFonts w:hint="eastAsia" w:ascii="宋体" w:hAnsi="宋体"/>
          <w:sz w:val="32"/>
          <w:szCs w:val="32"/>
        </w:rPr>
        <w:br w:type="page" w:clear="all"/>
      </w:r>
      <w:bookmarkStart w:id="61" w:name="_Toc1505"/>
      <w:r>
        <w:rPr>
          <w:rFonts w:hint="eastAsia" w:asciiTheme="minorEastAsia" w:hAnsiTheme="minorEastAsia" w:eastAsiaTheme="minorEastAsia"/>
          <w:sz w:val="32"/>
        </w:rPr>
        <w:t xml:space="preserve">一、资格审查响应对照表</w:t>
      </w:r>
      <w:bookmarkEnd w:id="61"/>
      <w:r/>
      <w:r/>
    </w:p>
    <w:tbl>
      <w:tblPr>
        <w:tblStyle w:val="869"/>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b w:val="0"/>
                <w:bCs w:val="0"/>
                <w:i w:val="0"/>
                <w:iCs w:val="0"/>
                <w:szCs w:val="21"/>
                <w:u w:val="none"/>
              </w:rPr>
            </w:pPr>
            <w:r>
              <w:rPr>
                <w:rFonts w:hint="eastAsia" w:ascii="宋体" w:hAnsi="宋体" w:eastAsia="宋体" w:cs="宋体"/>
                <w:b w:val="0"/>
                <w:bCs w:val="0"/>
                <w:i w:val="0"/>
                <w:iCs w:val="0"/>
                <w:sz w:val="21"/>
                <w:szCs w:val="21"/>
                <w:u w:val="none"/>
                <w:lang w:val="en-US" w:eastAsia="zh-CN" w:bidi="ar-SA"/>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pStyle w:val="886"/>
              <w:ind w:right="0"/>
              <w:jc w:val="left"/>
              <w:keepLines w:val="0"/>
              <w:keepNext w:val="0"/>
              <w:pageBreakBefore w:val="0"/>
              <w:spacing w:before="0" w:beforeAutospacing="0" w:after="0" w:afterAutospacing="0" w:line="360" w:lineRule="auto"/>
              <w:shd w:val="clear" w:color="auto" w:fill="ffffff"/>
              <w:widowControl/>
              <w:rPr>
                <w:rFonts w:ascii="宋体" w:hAnsi="宋体"/>
                <w:b w:val="0"/>
                <w:bCs w:val="0"/>
                <w:i w:val="0"/>
                <w:iCs w:val="0"/>
                <w:szCs w:val="21"/>
                <w:u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sz w:val="21"/>
                <w:szCs w:val="21"/>
                <w:u w:val="none"/>
                <w:lang w:val="en-US" w:eastAsia="zh-CN" w:bidi="ar-SA"/>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pStyle w:val="886"/>
              <w:ind w:right="0"/>
              <w:jc w:val="left"/>
              <w:keepLines w:val="0"/>
              <w:keepNext w:val="0"/>
              <w:pageBreakBefore w:val="0"/>
              <w:spacing w:before="0" w:beforeAutospacing="0" w:after="0" w:afterAutospacing="0" w:line="360" w:lineRule="auto"/>
              <w:shd w:val="clear" w:color="auto" w:fill="ffffff"/>
              <w:widowControl/>
              <w:rPr>
                <w:rFonts w:ascii="宋体" w:hAnsi="宋体"/>
                <w:b w:val="0"/>
                <w:bCs w:val="0"/>
                <w:i w:val="0"/>
                <w:iCs w:val="0"/>
                <w:szCs w:val="21"/>
                <w:u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sz w:val="21"/>
                <w:szCs w:val="21"/>
                <w:u w:val="none"/>
                <w:lang w:val="en-US" w:eastAsia="zh-CN" w:bidi="ar-SA"/>
              </w:rPr>
              <w:t xml:space="preserve">上一年度的财务状况报告（成立不满一年不需提供）</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pStyle w:val="886"/>
              <w:ind w:right="0"/>
              <w:jc w:val="left"/>
              <w:keepLines w:val="0"/>
              <w:keepNext w:val="0"/>
              <w:pageBreakBefore w:val="0"/>
              <w:spacing w:before="0" w:beforeAutospacing="0" w:after="0" w:afterAutospacing="0" w:line="360" w:lineRule="auto"/>
              <w:shd w:val="clear" w:color="auto" w:fill="ffffff"/>
              <w:widowControl/>
              <w:rPr>
                <w:rFonts w:ascii="宋体" w:hAnsi="宋体"/>
                <w:b w:val="0"/>
                <w:bCs w:val="0"/>
                <w:i w:val="0"/>
                <w:iCs w:val="0"/>
                <w:szCs w:val="21"/>
                <w:u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sz w:val="21"/>
                <w:szCs w:val="21"/>
                <w:u w:val="none"/>
                <w:lang w:val="en-US" w:eastAsia="zh-CN" w:bidi="ar-SA"/>
              </w:rPr>
              <w:t xml:space="preserve">具备履行合同所必需的设备和专业技术能力的证明材料</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pStyle w:val="886"/>
              <w:ind w:right="0"/>
              <w:jc w:val="left"/>
              <w:keepLines w:val="0"/>
              <w:keepNext w:val="0"/>
              <w:pageBreakBefore w:val="0"/>
              <w:spacing w:before="0" w:beforeAutospacing="0" w:after="0" w:afterAutospacing="0" w:line="360" w:lineRule="auto"/>
              <w:shd w:val="clear" w:color="auto" w:fill="ffffff"/>
              <w:widowControl/>
              <w:rPr>
                <w:rFonts w:ascii="宋体" w:hAnsi="宋体"/>
                <w:b w:val="0"/>
                <w:bCs w:val="0"/>
                <w:i w:val="0"/>
                <w:iCs w:val="0"/>
                <w:szCs w:val="21"/>
                <w:u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sz w:val="21"/>
                <w:szCs w:val="21"/>
                <w:u w:val="none"/>
                <w:lang w:val="en-US" w:eastAsia="zh-CN" w:bidi="ar-SA"/>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pStyle w:val="886"/>
              <w:ind w:right="0"/>
              <w:jc w:val="left"/>
              <w:keepLines w:val="0"/>
              <w:keepNext w:val="0"/>
              <w:pageBreakBefore w:val="0"/>
              <w:spacing w:before="0" w:beforeAutospacing="0" w:after="0" w:afterAutospacing="0" w:line="360" w:lineRule="auto"/>
              <w:shd w:val="clear" w:color="auto" w:fill="ffffff"/>
              <w:widowControl/>
              <w:rPr>
                <w:rFonts w:ascii="宋体" w:hAnsi="宋体"/>
                <w:b w:val="0"/>
                <w:bCs w:val="0"/>
                <w:i w:val="0"/>
                <w:iCs w:val="0"/>
                <w:szCs w:val="21"/>
                <w:u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i w:val="0"/>
                <w:iCs w:val="0"/>
                <w:szCs w:val="21"/>
                <w:u w:val="none"/>
              </w:rPr>
              <w:t xml:space="preserve"> </w:t>
            </w:r>
            <w:r>
              <w:rPr>
                <w:rFonts w:hint="eastAsia" w:ascii="宋体" w:hAnsi="宋体" w:eastAsia="宋体" w:cs="宋体"/>
                <w:b w:val="0"/>
                <w:bCs w:val="0"/>
                <w:i w:val="0"/>
                <w:iCs w:val="0"/>
                <w:sz w:val="21"/>
                <w:szCs w:val="21"/>
                <w:u w:val="none"/>
                <w:lang w:val="en-US" w:eastAsia="zh-CN" w:bidi="ar-SA"/>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7</w:t>
            </w:r>
            <w:r/>
          </w:p>
        </w:tc>
        <w:tc>
          <w:tcPr>
            <w:tcW w:w="5447" w:type="dxa"/>
            <w:vAlign w:val="center"/>
            <w:textDirection w:val="lrTb"/>
            <w:noWrap w:val="false"/>
          </w:tcPr>
          <w:p>
            <w:pPr>
              <w:spacing w:line="360" w:lineRule="auto"/>
              <w:rPr>
                <w:rFonts w:ascii="宋体" w:hAnsi="宋体" w:cs="宋体"/>
                <w:b w:val="0"/>
                <w:bCs w:val="0"/>
                <w:i w:val="0"/>
                <w:iCs w:val="0"/>
                <w:szCs w:val="21"/>
                <w:u w:val="none"/>
              </w:rPr>
            </w:pPr>
            <w:r>
              <w:rPr>
                <w:rFonts w:hint="eastAsia" w:ascii="宋体" w:hAnsi="宋体" w:eastAsia="宋体" w:cs="宋体"/>
                <w:b w:val="0"/>
                <w:bCs w:val="0"/>
                <w:i w:val="0"/>
                <w:iCs w:val="0"/>
                <w:sz w:val="21"/>
                <w:szCs w:val="21"/>
                <w:u w:val="none"/>
                <w:lang w:val="en-US" w:eastAsia="zh-CN" w:bidi="ar-SA"/>
              </w:rPr>
              <w:t xml:space="preserve">供应商信用承诺函/不参与围标串标承诺书</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trHeight w:val="623"/>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8</w:t>
            </w:r>
            <w:r/>
          </w:p>
        </w:tc>
        <w:tc>
          <w:tcPr>
            <w:tcW w:w="5447" w:type="dxa"/>
            <w:vAlign w:val="center"/>
            <w:textDirection w:val="lrTb"/>
            <w:noWrap w:val="false"/>
          </w:tcPr>
          <w:p>
            <w:pPr>
              <w:pStyle w:val="866"/>
            </w:pPr>
            <w:r/>
            <w:bookmarkStart w:id="62" w:name="_Toc27422"/>
            <w:r>
              <w:rPr>
                <w:rFonts w:hint="eastAsia" w:ascii="宋体" w:hAnsi="宋体" w:eastAsia="宋体" w:cs="宋体"/>
                <w:b w:val="0"/>
                <w:bCs w:val="0"/>
                <w:sz w:val="21"/>
                <w:szCs w:val="21"/>
                <w:lang w:val="en-US" w:eastAsia="zh-CN" w:bidi="ar-SA"/>
              </w:rPr>
              <w:t xml:space="preserve">中小企业声明函</w:t>
            </w:r>
            <w:bookmarkEnd w:id="62"/>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9</w:t>
            </w:r>
            <w:r/>
          </w:p>
        </w:tc>
        <w:tc>
          <w:tcPr>
            <w:tcW w:w="5447" w:type="dxa"/>
            <w:vAlign w:val="center"/>
            <w:textDirection w:val="lrTb"/>
            <w:noWrap w:val="false"/>
          </w:tcPr>
          <w:p>
            <w:pPr>
              <w:rPr>
                <w:rFonts w:hint="eastAsia" w:ascii="宋体" w:hAnsi="宋体" w:eastAsia="宋体"/>
                <w:iCs/>
                <w:szCs w:val="21"/>
                <w:lang w:val="en-US" w:eastAsia="zh-CN"/>
              </w:rPr>
            </w:pPr>
            <w:r>
              <w:rPr>
                <w:rFonts w:hint="eastAsia"/>
              </w:rPr>
              <w:t xml:space="preserve">具有建设行政主管部门颁发的消防设施工程专业承包二级及以上（含）资质且有有效安全生产许可证。</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0</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49"/>
        </w:trPr>
        <w:tc>
          <w:tcPr>
            <w:tcW w:w="646"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1</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ascii="宋体" w:hAnsi="宋体"/>
                <w:szCs w:val="21"/>
              </w:rPr>
            </w:pPr>
            <w:r>
              <w:rPr>
                <w:rFonts w:ascii="宋体" w:hAnsi="宋体"/>
                <w:szCs w:val="21"/>
              </w:rPr>
            </w:r>
            <w:r/>
          </w:p>
        </w:tc>
      </w:tr>
    </w:tbl>
    <w:p>
      <w:pPr>
        <w:rPr>
          <w:rFonts w:hint="eastAsia" w:ascii="宋体" w:hAnsi="宋体"/>
          <w:b/>
          <w:bCs/>
        </w:rPr>
      </w:pPr>
      <w:r>
        <w:rPr>
          <w:rFonts w:hint="eastAsia" w:ascii="宋体" w:hAnsi="宋体"/>
          <w:b/>
          <w:bCs/>
        </w:rPr>
        <w:br w:type="page" w:clear="all"/>
      </w:r>
      <w:r/>
    </w:p>
    <w:p>
      <w:pPr>
        <w:ind w:firstLine="1476"/>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pStyle w:val="866"/>
      </w:pPr>
      <w:r/>
      <w:r/>
    </w:p>
    <w:p>
      <w:pPr>
        <w:contextualSpacing/>
        <w:spacing w:line="600" w:lineRule="exact"/>
        <w:rPr>
          <w:rFonts w:ascii="宋体" w:hAnsi="宋体"/>
          <w:b/>
          <w:color w:val="000000"/>
          <w:sz w:val="36"/>
        </w:rPr>
      </w:pPr>
      <w:r>
        <w:rPr>
          <w:rFonts w:ascii="宋体" w:hAnsi="宋体"/>
          <w:b/>
          <w:color w:val="000000"/>
          <w:sz w:val="36"/>
        </w:rPr>
      </w:r>
      <w:r/>
    </w:p>
    <w:p>
      <w:pPr>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ind w:firstLine="420"/>
        <w:spacing w:line="56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56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56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56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szCs w:val="21"/>
        </w:rPr>
      </w:pPr>
      <w:r>
        <w:rPr>
          <w:rFonts w:hint="eastAsia" w:ascii="宋体" w:hAnsi="宋体"/>
          <w:szCs w:val="21"/>
        </w:rPr>
        <w:t xml:space="preserve">十、本承诺书自签订之日起生效。</w:t>
      </w:r>
      <w:r/>
    </w:p>
    <w:p>
      <w:pPr>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p>
    <w:p>
      <w:pPr>
        <w:jc w:val="center"/>
        <w:spacing w:line="560" w:lineRule="exact"/>
        <w:rPr>
          <w:rFonts w:ascii="宋体" w:hAnsi="宋体"/>
          <w:szCs w:val="21"/>
        </w:rPr>
      </w:pPr>
      <w:r>
        <w:rPr>
          <w:rFonts w:hint="eastAsia" w:ascii="宋体" w:hAnsi="宋体"/>
          <w:szCs w:val="21"/>
        </w:rPr>
        <w:t xml:space="preserve">　　　　　　　　　　        承诺单位（签章）：           </w:t>
      </w:r>
      <w:r/>
    </w:p>
    <w:p>
      <w:pPr>
        <w:jc w:val="center"/>
        <w:spacing w:line="560" w:lineRule="exact"/>
        <w:rPr>
          <w:rFonts w:ascii="宋体" w:hAnsi="宋体"/>
          <w:szCs w:val="21"/>
        </w:rPr>
      </w:pPr>
      <w:r>
        <w:rPr>
          <w:rFonts w:hint="eastAsia" w:ascii="宋体" w:hAnsi="宋体"/>
          <w:szCs w:val="21"/>
        </w:rPr>
        <w:t xml:space="preserve">　　　　　　　　　   　  法定代表人（负责人）：</w:t>
      </w:r>
      <w:r/>
    </w:p>
    <w:p>
      <w:pPr>
        <w:jc w:val="center"/>
        <w:spacing w:line="560" w:lineRule="exact"/>
        <w:rPr>
          <w:rFonts w:hint="eastAsia" w:ascii="宋体" w:hAnsi="宋体"/>
          <w:szCs w:val="21"/>
        </w:rPr>
      </w:pPr>
      <w:r>
        <w:rPr>
          <w:rFonts w:hint="eastAsia" w:ascii="宋体" w:hAnsi="宋体"/>
          <w:szCs w:val="21"/>
        </w:rPr>
        <w:t xml:space="preserve">　　　　　　　　　      　年    月    日</w:t>
      </w:r>
      <w:r/>
    </w:p>
    <w:p>
      <w:pPr>
        <w:rPr>
          <w:rFonts w:hint="eastAsia" w:ascii="宋体" w:hAnsi="宋体"/>
          <w:szCs w:val="21"/>
        </w:rPr>
      </w:pPr>
      <w:r>
        <w:rPr>
          <w:rFonts w:hint="eastAsia" w:ascii="宋体" w:hAnsi="宋体"/>
          <w:szCs w:val="21"/>
        </w:rPr>
        <w:br w:type="page" w:clear="all"/>
      </w:r>
      <w:r/>
    </w:p>
    <w:p>
      <w:pPr>
        <w:jc w:val="center"/>
        <w:rPr>
          <w:b/>
          <w:bCs/>
          <w:sz w:val="43"/>
          <w:szCs w:val="43"/>
        </w:rPr>
      </w:pPr>
      <w:r>
        <w:rPr>
          <w:b/>
          <w:bCs/>
          <w:spacing w:val="6"/>
          <w:sz w:val="43"/>
          <w:szCs w:val="43"/>
        </w:rPr>
        <w:t xml:space="preserve">不参与围标串标承诺书</w:t>
      </w:r>
      <w:r/>
    </w:p>
    <w:p>
      <w:pPr>
        <w:spacing w:line="285" w:lineRule="auto"/>
      </w:pPr>
      <w:r/>
      <w:r/>
    </w:p>
    <w:p>
      <w:pPr>
        <w:spacing w:line="286" w:lineRule="auto"/>
      </w:pPr>
      <w:r/>
      <w:r/>
    </w:p>
    <w:p>
      <w:pPr>
        <w:pStyle w:val="874"/>
        <w:ind w:left="33" w:right="96" w:firstLine="553"/>
        <w:spacing w:before="291" w:line="411" w:lineRule="auto"/>
        <w:tabs>
          <w:tab w:val="left" w:pos="8322" w:leader="none"/>
        </w:tabs>
        <w:rPr>
          <w:rFonts w:ascii="Times New Roman" w:hAnsi="Times New Roman" w:eastAsia="宋体"/>
          <w:sz w:val="21"/>
          <w:szCs w:val="21"/>
        </w:rPr>
      </w:pPr>
      <w:r>
        <w:rPr>
          <w:rFonts w:ascii="Times New Roman" w:hAnsi="Times New Roman" w:eastAsia="宋体"/>
          <w:sz w:val="21"/>
          <w:szCs w:val="21"/>
        </w:rPr>
        <w:t xml:space="preserve">我单位参加（项目名称）（项目编号）的投标活动，现我单位对以下事项作出承诺：</w:t>
      </w:r>
      <w:r/>
    </w:p>
    <w:p>
      <w:pPr>
        <w:pStyle w:val="874"/>
        <w:ind w:left="52" w:right="149" w:firstLine="628"/>
        <w:spacing w:before="3" w:line="280" w:lineRule="auto"/>
        <w:rPr>
          <w:rFonts w:ascii="Times New Roman" w:hAnsi="Times New Roman" w:eastAsia="宋体"/>
          <w:sz w:val="21"/>
          <w:szCs w:val="21"/>
        </w:rPr>
      </w:pPr>
      <w:r>
        <w:rPr>
          <w:rFonts w:ascii="Times New Roman" w:hAnsi="Times New Roman" w:eastAsia="宋体"/>
          <w:sz w:val="21"/>
          <w:szCs w:val="21"/>
        </w:rPr>
        <w:t xml:space="preserve">一、我单位遵守国家招投标法律法规和采购人的招标采购管理制度，依法依规参与本项目竞标。</w:t>
      </w:r>
      <w:r/>
    </w:p>
    <w:p>
      <w:pPr>
        <w:pStyle w:val="874"/>
        <w:ind w:left="40" w:right="147" w:firstLine="645"/>
        <w:spacing w:before="176" w:line="280" w:lineRule="auto"/>
        <w:rPr>
          <w:rFonts w:ascii="Times New Roman" w:hAnsi="Times New Roman" w:eastAsia="宋体"/>
          <w:sz w:val="21"/>
          <w:szCs w:val="21"/>
        </w:rPr>
      </w:pPr>
      <w:r>
        <w:rPr>
          <w:rFonts w:ascii="Times New Roman" w:hAnsi="Times New Roman" w:eastAsia="宋体"/>
          <w:sz w:val="21"/>
          <w:szCs w:val="21"/>
        </w:rPr>
        <w:t xml:space="preserve">二、我单位及投标代表在本项目招标采购活动中，承诺不参与围标串标，承诺不与招标人、其他投标单位存在关联关系。</w:t>
      </w:r>
      <w:r/>
    </w:p>
    <w:p>
      <w:pPr>
        <w:pStyle w:val="874"/>
        <w:ind w:left="35" w:right="149" w:firstLine="649"/>
        <w:spacing w:before="181" w:line="280" w:lineRule="auto"/>
        <w:rPr>
          <w:rFonts w:ascii="Times New Roman" w:hAnsi="Times New Roman" w:eastAsia="宋体"/>
          <w:sz w:val="21"/>
          <w:szCs w:val="21"/>
        </w:rPr>
      </w:pPr>
      <w:r>
        <w:rPr>
          <w:rFonts w:ascii="Times New Roman" w:hAnsi="Times New Roman" w:eastAsia="宋体"/>
          <w:sz w:val="21"/>
          <w:szCs w:val="21"/>
        </w:rPr>
        <w:t xml:space="preserve">三、我单位如存在围标串标等违法违规行为，承担相关经济和法律责任，接受相应处罚和失信惩戒。</w:t>
      </w:r>
      <w:r/>
    </w:p>
    <w:p>
      <w:pPr>
        <w:pStyle w:val="874"/>
        <w:ind w:left="35" w:right="149" w:firstLine="649"/>
        <w:spacing w:before="181" w:line="280" w:lineRule="auto"/>
        <w:rPr>
          <w:rFonts w:ascii="Times New Roman" w:hAnsi="Times New Roman" w:eastAsia="宋体"/>
          <w:sz w:val="21"/>
          <w:szCs w:val="21"/>
        </w:rPr>
      </w:pPr>
      <w:r>
        <w:rPr>
          <w:rFonts w:ascii="Times New Roman" w:hAnsi="Times New Roman" w:eastAsia="宋体"/>
          <w:sz w:val="21"/>
          <w:szCs w:val="21"/>
        </w:rPr>
      </w:r>
      <w:r/>
    </w:p>
    <w:p>
      <w:pPr>
        <w:pStyle w:val="874"/>
        <w:ind w:left="35" w:right="149" w:firstLine="649"/>
        <w:spacing w:before="181" w:line="280" w:lineRule="auto"/>
        <w:rPr>
          <w:rFonts w:ascii="Times New Roman" w:hAnsi="Times New Roman" w:eastAsia="宋体"/>
          <w:sz w:val="21"/>
          <w:szCs w:val="21"/>
        </w:rPr>
      </w:pPr>
      <w:r>
        <w:rPr>
          <w:rFonts w:ascii="Times New Roman" w:hAnsi="Times New Roman" w:eastAsia="宋体"/>
          <w:sz w:val="21"/>
          <w:szCs w:val="21"/>
        </w:rPr>
        <w:t xml:space="preserve">与本公司负责人为同一人或者存在直接控股、管理关系的不同供应商信息：</w:t>
      </w:r>
      <w:r/>
    </w:p>
    <w:p>
      <w:pPr>
        <w:pStyle w:val="874"/>
        <w:ind w:left="35" w:right="149" w:firstLine="649"/>
        <w:spacing w:before="181" w:line="280" w:lineRule="auto"/>
        <w:rPr>
          <w:rFonts w:ascii="Times New Roman" w:hAnsi="Times New Roman" w:eastAsia="宋体"/>
          <w:sz w:val="21"/>
          <w:szCs w:val="21"/>
        </w:rPr>
      </w:pPr>
      <w:r>
        <w:rPr>
          <w:rFonts w:ascii="Times New Roman" w:hAnsi="Times New Roman" w:eastAsia="宋体"/>
          <w:sz w:val="21"/>
          <w:szCs w:val="21"/>
        </w:rPr>
        <w:t xml:space="preserve">公司1：</w:t>
      </w:r>
      <w:r/>
    </w:p>
    <w:p>
      <w:pPr>
        <w:pStyle w:val="874"/>
        <w:ind w:left="35" w:right="149" w:firstLine="649"/>
        <w:spacing w:before="181" w:line="280" w:lineRule="auto"/>
        <w:rPr>
          <w:rFonts w:ascii="Times New Roman" w:hAnsi="Times New Roman" w:eastAsia="宋体"/>
          <w:sz w:val="21"/>
          <w:szCs w:val="21"/>
        </w:rPr>
      </w:pPr>
      <w:r>
        <w:rPr>
          <w:rFonts w:ascii="Times New Roman" w:hAnsi="Times New Roman" w:eastAsia="宋体"/>
          <w:sz w:val="21"/>
          <w:szCs w:val="21"/>
        </w:rPr>
        <w:t xml:space="preserve">公司2：</w:t>
      </w:r>
      <w:r/>
    </w:p>
    <w:p>
      <w:pPr>
        <w:pStyle w:val="874"/>
        <w:ind w:left="35" w:right="149" w:firstLine="649"/>
        <w:spacing w:before="181" w:line="280" w:lineRule="auto"/>
        <w:rPr>
          <w:rFonts w:ascii="Times New Roman" w:hAnsi="Times New Roman" w:eastAsia="宋体"/>
          <w:sz w:val="21"/>
          <w:szCs w:val="21"/>
        </w:rPr>
      </w:pPr>
      <w:r>
        <w:rPr>
          <w:rFonts w:ascii="Times New Roman" w:hAnsi="Times New Roman" w:eastAsia="宋体"/>
          <w:sz w:val="21"/>
          <w:szCs w:val="21"/>
        </w:rPr>
        <w:t xml:space="preserve">……</w:t>
      </w:r>
      <w:r/>
    </w:p>
    <w:p>
      <w:pPr>
        <w:spacing w:line="298" w:lineRule="auto"/>
        <w:rPr>
          <w:szCs w:val="21"/>
        </w:rPr>
      </w:pPr>
      <w:r>
        <w:rPr>
          <w:szCs w:val="21"/>
        </w:rPr>
      </w:r>
      <w:r/>
    </w:p>
    <w:p>
      <w:pPr>
        <w:spacing w:line="273" w:lineRule="auto"/>
        <w:rPr>
          <w:szCs w:val="21"/>
        </w:rPr>
      </w:pPr>
      <w:r>
        <w:rPr>
          <w:szCs w:val="21"/>
        </w:rPr>
      </w:r>
      <w:r/>
    </w:p>
    <w:p>
      <w:pPr>
        <w:pStyle w:val="874"/>
        <w:ind w:left="448"/>
        <w:jc w:val="center"/>
        <w:spacing w:before="91" w:line="220" w:lineRule="auto"/>
        <w:rPr>
          <w:rFonts w:ascii="Times New Roman" w:hAnsi="Times New Roman" w:eastAsia="宋体"/>
          <w:sz w:val="21"/>
          <w:szCs w:val="21"/>
        </w:rPr>
      </w:pPr>
      <w:r>
        <w:rPr>
          <w:rFonts w:ascii="Times New Roman" w:hAnsi="Times New Roman" w:eastAsia="宋体"/>
          <w:sz w:val="21"/>
          <w:szCs w:val="21"/>
        </w:rPr>
        <w:t xml:space="preserve">法人或授权委托人签字：</w:t>
      </w:r>
      <w:r/>
    </w:p>
    <w:p>
      <w:pPr>
        <w:jc w:val="right"/>
        <w:spacing w:line="273" w:lineRule="auto"/>
        <w:rPr>
          <w:szCs w:val="21"/>
        </w:rPr>
      </w:pPr>
      <w:r>
        <w:rPr>
          <w:szCs w:val="21"/>
        </w:rPr>
      </w:r>
      <w:r/>
    </w:p>
    <w:p>
      <w:pPr>
        <w:pStyle w:val="874"/>
        <w:ind w:left="448"/>
        <w:jc w:val="center"/>
        <w:spacing w:before="91" w:line="219" w:lineRule="auto"/>
        <w:rPr>
          <w:rFonts w:ascii="Times New Roman" w:hAnsi="Times New Roman" w:eastAsia="宋体"/>
          <w:sz w:val="21"/>
          <w:szCs w:val="21"/>
        </w:rPr>
      </w:pPr>
      <w:r>
        <w:rPr>
          <w:rFonts w:ascii="Times New Roman" w:hAnsi="Times New Roman" w:eastAsia="宋体"/>
          <w:sz w:val="21"/>
          <w:szCs w:val="21"/>
        </w:rPr>
        <w:t xml:space="preserve">投标单位公章：</w:t>
      </w:r>
      <w:r/>
    </w:p>
    <w:p>
      <w:pPr>
        <w:jc w:val="center"/>
        <w:spacing w:line="560" w:lineRule="exact"/>
        <w:rPr>
          <w:rFonts w:ascii="宋体" w:hAnsi="宋体"/>
          <w:b/>
          <w:bCs/>
        </w:rPr>
      </w:pPr>
      <w:r>
        <w:rPr>
          <w:rFonts w:ascii="Times New Roman" w:hAnsi="Times New Roman" w:eastAsia="宋体"/>
          <w:sz w:val="21"/>
          <w:szCs w:val="21"/>
        </w:rPr>
        <w:t xml:space="preserve">年月日</w:t>
      </w:r>
      <w:r>
        <w:rPr>
          <w:rFonts w:hint="eastAsia" w:ascii="宋体" w:hAnsi="宋体"/>
          <w:b/>
          <w:bCs/>
        </w:rPr>
        <w:br w:type="page" w:clear="all"/>
      </w:r>
      <w:r/>
    </w:p>
    <w:p>
      <w:pPr>
        <w:jc w:val="center"/>
        <w:spacing w:line="360" w:lineRule="auto"/>
        <w:rPr>
          <w:rFonts w:ascii="宋体" w:hAnsi="宋体"/>
          <w:b/>
          <w:bCs/>
        </w:rPr>
      </w:pPr>
      <w:r>
        <w:rPr>
          <w:rFonts w:hint="eastAsia" w:ascii="宋体" w:hAnsi="宋体"/>
          <w:b/>
          <w:bCs/>
        </w:rPr>
        <w:t xml:space="preserve">投标函格式</w:t>
      </w:r>
      <w:r/>
    </w:p>
    <w:p>
      <w:pPr>
        <w:pStyle w:val="897"/>
        <w:ind w:firstLine="0"/>
        <w:spacing w:before="0" w:after="0"/>
        <w:rPr>
          <w:rFonts w:hint="eastAsia" w:ascii="宋体" w:hAnsi="宋体" w:eastAsia="宋体"/>
          <w:sz w:val="21"/>
          <w:szCs w:val="21"/>
          <w:highlight w:val="none"/>
          <w:lang w:eastAsia="zh-CN"/>
        </w:rPr>
      </w:pPr>
      <w:r>
        <w:rPr>
          <w:rFonts w:hint="eastAsia" w:ascii="宋体" w:hAnsi="宋体"/>
          <w:sz w:val="21"/>
          <w:szCs w:val="21"/>
        </w:rPr>
        <w:t xml:space="preserve">致：</w:t>
      </w:r>
      <w:r>
        <w:rPr>
          <w:rFonts w:hint="eastAsia" w:hAnsi="宋体"/>
          <w:sz w:val="21"/>
          <w:highlight w:val="none"/>
          <w:lang w:eastAsia="zh-CN"/>
        </w:rPr>
        <w:t xml:space="preserve">扬州大学工程设计研究院有限公司</w:t>
      </w:r>
      <w:r/>
    </w:p>
    <w:p>
      <w:pPr>
        <w:pStyle w:val="897"/>
        <w:ind w:firstLine="420"/>
        <w:spacing w:before="0" w:after="0"/>
        <w:rPr>
          <w:rFonts w:ascii="宋体" w:hAnsi="宋体"/>
          <w:sz w:val="21"/>
          <w:szCs w:val="21"/>
        </w:rPr>
      </w:pPr>
      <w:r>
        <w:rPr>
          <w:rFonts w:hint="eastAsia" w:ascii="宋体" w:hAnsi="宋体"/>
          <w:sz w:val="21"/>
          <w:szCs w:val="21"/>
          <w:highlight w:val="none"/>
        </w:rPr>
        <w:t xml:space="preserve">根据贵方的（）</w:t>
      </w:r>
      <w:r>
        <w:rPr>
          <w:rFonts w:hint="eastAsia" w:ascii="宋体" w:hAnsi="宋体"/>
          <w:color w:val="000000"/>
          <w:sz w:val="21"/>
          <w:szCs w:val="21"/>
          <w:highlight w:val="none"/>
        </w:rPr>
        <w:t xml:space="preserve">号</w:t>
      </w:r>
      <w:r>
        <w:rPr>
          <w:rFonts w:hint="eastAsia" w:ascii="宋体" w:hAnsi="宋体"/>
          <w:sz w:val="21"/>
          <w:szCs w:val="21"/>
          <w:highlight w:val="none"/>
        </w:rPr>
        <w:t xml:space="preserve">招标文件，正式授权下述签字</w:t>
      </w:r>
      <w:r>
        <w:rPr>
          <w:rFonts w:hint="eastAsia" w:ascii="宋体" w:hAnsi="宋体"/>
          <w:sz w:val="21"/>
          <w:szCs w:val="21"/>
        </w:rPr>
        <w:t xml:space="preserve">人_________________(姓名)代表我方______________（投标人的名称），全权处理本次项目投标的有关事宜。</w:t>
      </w:r>
      <w:r/>
    </w:p>
    <w:p>
      <w:pPr>
        <w:pStyle w:val="897"/>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897"/>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897"/>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897"/>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897"/>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897"/>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897"/>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897"/>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897"/>
        <w:ind w:firstLine="478"/>
        <w:spacing w:before="0" w:after="0"/>
        <w:rPr>
          <w:rFonts w:ascii="宋体" w:hAnsi="宋体"/>
          <w:sz w:val="21"/>
          <w:szCs w:val="21"/>
        </w:rPr>
      </w:pPr>
      <w:r>
        <w:rPr>
          <w:rFonts w:hint="eastAsia" w:ascii="宋体" w:hAnsi="宋体"/>
          <w:sz w:val="21"/>
          <w:szCs w:val="21"/>
        </w:rPr>
        <w:t xml:space="preserve">地 址：</w:t>
      </w:r>
      <w:r/>
    </w:p>
    <w:p>
      <w:pPr>
        <w:pStyle w:val="897"/>
        <w:ind w:firstLine="478"/>
        <w:spacing w:before="0" w:after="0"/>
        <w:rPr>
          <w:rFonts w:ascii="宋体" w:hAnsi="宋体"/>
          <w:sz w:val="21"/>
          <w:szCs w:val="21"/>
        </w:rPr>
      </w:pPr>
      <w:r>
        <w:rPr>
          <w:rFonts w:hint="eastAsia" w:ascii="宋体" w:hAnsi="宋体"/>
          <w:sz w:val="21"/>
          <w:szCs w:val="21"/>
        </w:rPr>
        <w:t xml:space="preserve">邮 编：</w:t>
      </w:r>
      <w:r/>
    </w:p>
    <w:p>
      <w:pPr>
        <w:pStyle w:val="897"/>
        <w:ind w:firstLine="478"/>
        <w:spacing w:before="0" w:after="0"/>
        <w:rPr>
          <w:rFonts w:ascii="宋体" w:hAnsi="宋体"/>
          <w:sz w:val="21"/>
          <w:szCs w:val="21"/>
        </w:rPr>
      </w:pPr>
      <w:r>
        <w:rPr>
          <w:rFonts w:hint="eastAsia" w:ascii="宋体" w:hAnsi="宋体"/>
          <w:sz w:val="21"/>
          <w:szCs w:val="21"/>
        </w:rPr>
        <w:t xml:space="preserve">电 话： </w:t>
      </w:r>
      <w:r/>
    </w:p>
    <w:p>
      <w:pPr>
        <w:pStyle w:val="897"/>
        <w:ind w:firstLine="478"/>
        <w:spacing w:before="0" w:after="0"/>
        <w:rPr>
          <w:rFonts w:ascii="宋体" w:hAnsi="宋体"/>
          <w:sz w:val="21"/>
          <w:szCs w:val="21"/>
        </w:rPr>
      </w:pPr>
      <w:r>
        <w:rPr>
          <w:rFonts w:hint="eastAsia" w:ascii="宋体" w:hAnsi="宋体"/>
          <w:sz w:val="21"/>
          <w:szCs w:val="21"/>
        </w:rPr>
        <w:t xml:space="preserve">传 真： </w:t>
      </w:r>
      <w:r/>
    </w:p>
    <w:p>
      <w:pPr>
        <w:pStyle w:val="897"/>
        <w:ind w:firstLine="478"/>
        <w:spacing w:before="0" w:after="0"/>
        <w:rPr>
          <w:rFonts w:ascii="宋体" w:hAnsi="宋体"/>
          <w:sz w:val="21"/>
          <w:szCs w:val="21"/>
        </w:rPr>
      </w:pPr>
      <w:r>
        <w:rPr>
          <w:rFonts w:hint="eastAsia" w:ascii="宋体" w:hAnsi="宋体"/>
          <w:sz w:val="21"/>
          <w:szCs w:val="21"/>
        </w:rPr>
        <w:t xml:space="preserve">投标人开户行：</w:t>
      </w:r>
      <w:r/>
    </w:p>
    <w:p>
      <w:pPr>
        <w:pStyle w:val="897"/>
        <w:ind w:firstLine="478"/>
        <w:spacing w:before="0" w:after="0"/>
        <w:rPr>
          <w:rFonts w:ascii="宋体" w:hAnsi="宋体"/>
          <w:sz w:val="21"/>
          <w:szCs w:val="21"/>
        </w:rPr>
      </w:pPr>
      <w:r>
        <w:rPr>
          <w:rFonts w:hint="eastAsia" w:ascii="宋体" w:hAnsi="宋体"/>
          <w:sz w:val="21"/>
          <w:szCs w:val="21"/>
        </w:rPr>
        <w:t xml:space="preserve">账 户： </w:t>
      </w:r>
      <w:r/>
    </w:p>
    <w:p>
      <w:pPr>
        <w:pStyle w:val="897"/>
        <w:ind w:firstLine="478"/>
        <w:spacing w:before="0" w:after="0"/>
        <w:rPr>
          <w:rFonts w:ascii="宋体" w:hAnsi="宋体"/>
          <w:sz w:val="21"/>
          <w:szCs w:val="21"/>
        </w:rPr>
      </w:pPr>
      <w:r>
        <w:rPr>
          <w:rFonts w:hint="eastAsia" w:ascii="宋体" w:hAnsi="宋体"/>
          <w:sz w:val="21"/>
          <w:szCs w:val="21"/>
        </w:rPr>
        <w:t xml:space="preserve">行 号：</w:t>
      </w:r>
      <w:r/>
    </w:p>
    <w:p>
      <w:pPr>
        <w:pStyle w:val="897"/>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sz w:val="32"/>
          <w:szCs w:val="32"/>
        </w:rPr>
      </w:pPr>
      <w:r>
        <w:rPr>
          <w:rFonts w:hint="eastAsia" w:ascii="宋体" w:hAnsi="宋体"/>
          <w:b/>
          <w:sz w:val="32"/>
          <w:szCs w:val="32"/>
        </w:rPr>
        <w:br w:type="page" w:clear="all"/>
      </w:r>
      <w:r/>
    </w:p>
    <w:p>
      <w:pPr>
        <w:pStyle w:val="900"/>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900"/>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w:t>
      </w:r>
      <w:r>
        <w:rPr>
          <w:rFonts w:hint="eastAsia" w:ascii="宋体" w:hAnsi="宋体"/>
          <w:sz w:val="21"/>
          <w:szCs w:val="21"/>
        </w:rPr>
        <w:t xml:space="preserve">号（项目名称）项目采购活动的合法代理人，以本公司名义全权处理一切与该项目采购有关的事务。</w:t>
      </w:r>
      <w:r/>
    </w:p>
    <w:p>
      <w:pPr>
        <w:pStyle w:val="900"/>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00"/>
        <w:ind w:firstLine="0"/>
        <w:spacing w:line="360" w:lineRule="auto"/>
        <w:rPr>
          <w:rFonts w:ascii="宋体" w:hAnsi="宋体"/>
          <w:sz w:val="21"/>
          <w:szCs w:val="21"/>
        </w:rPr>
      </w:pPr>
      <w:r>
        <w:rPr>
          <w:rFonts w:ascii="宋体" w:hAnsi="宋体"/>
          <w:sz w:val="21"/>
          <w:szCs w:val="21"/>
        </w:rPr>
        <w:t xml:space="preserve">    </w:t>
      </w:r>
      <w:r/>
    </w:p>
    <w:p>
      <w:pPr>
        <w:pStyle w:val="900"/>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00"/>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00"/>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00"/>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00"/>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sectPr>
          <w:headerReference w:type="default" r:id="rId9"/>
          <w:footerReference w:type="default" r:id="rId11"/>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bCs/>
        </w:rPr>
        <w:t xml:space="preserve">被授权人身份证复印</w:t>
      </w:r>
      <w:r/>
    </w:p>
    <w:p>
      <w:pPr>
        <w:pStyle w:val="865"/>
        <w:rPr>
          <w:rFonts w:asciiTheme="minorEastAsia" w:hAnsiTheme="minorEastAsia" w:eastAsiaTheme="minorEastAsia"/>
          <w:sz w:val="32"/>
        </w:rPr>
      </w:pPr>
      <w:r/>
      <w:bookmarkStart w:id="63" w:name="_Toc24407"/>
      <w:r>
        <w:rPr>
          <w:rFonts w:hint="eastAsia" w:asciiTheme="minorEastAsia" w:hAnsiTheme="minorEastAsia" w:eastAsiaTheme="minorEastAsia"/>
          <w:sz w:val="32"/>
        </w:rPr>
        <w:t xml:space="preserve">二、符合性审查响应对照表</w:t>
      </w:r>
      <w:bookmarkEnd w:id="63"/>
      <w:r/>
      <w:r/>
    </w:p>
    <w:p>
      <w:pPr>
        <w:rPr>
          <w:rFonts w:ascii="宋体" w:hAnsi="宋体"/>
          <w:b/>
          <w:sz w:val="32"/>
          <w:szCs w:val="32"/>
        </w:rPr>
      </w:pPr>
      <w:r>
        <w:rPr>
          <w:rFonts w:ascii="宋体" w:hAnsi="宋体"/>
          <w:b/>
          <w:sz w:val="32"/>
          <w:szCs w:val="32"/>
        </w:rPr>
      </w:r>
      <w:r/>
    </w:p>
    <w:tbl>
      <w:tblPr>
        <w:tblStyle w:val="86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65"/>
        <w:rPr>
          <w:rFonts w:asciiTheme="minorEastAsia" w:hAnsiTheme="minorEastAsia" w:eastAsiaTheme="minorEastAsia"/>
          <w:sz w:val="32"/>
        </w:rPr>
      </w:pPr>
      <w:r/>
      <w:bookmarkStart w:id="64" w:name="_Toc24910"/>
      <w:r>
        <w:rPr>
          <w:rFonts w:hint="eastAsia" w:asciiTheme="minorEastAsia" w:hAnsiTheme="minorEastAsia" w:eastAsiaTheme="minorEastAsia"/>
          <w:sz w:val="32"/>
        </w:rPr>
        <w:t xml:space="preserve">三、非实质性响应对照表</w:t>
      </w:r>
      <w:bookmarkEnd w:id="64"/>
      <w:r/>
      <w:r/>
    </w:p>
    <w:p>
      <w:pPr>
        <w:rPr>
          <w:rFonts w:ascii="宋体" w:hAnsi="宋体"/>
          <w:b/>
          <w:sz w:val="32"/>
          <w:szCs w:val="32"/>
        </w:rPr>
      </w:pPr>
      <w:r>
        <w:rPr>
          <w:rFonts w:ascii="宋体" w:hAnsi="宋体"/>
          <w:b/>
          <w:sz w:val="32"/>
          <w:szCs w:val="32"/>
        </w:rPr>
      </w:r>
      <w:r/>
    </w:p>
    <w:tbl>
      <w:tblPr>
        <w:tblStyle w:val="86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before="312" w:after="312" w:line="360" w:lineRule="auto"/>
        <w:rPr>
          <w:b/>
          <w:bCs/>
          <w:highlight w:val="yellow"/>
        </w:rPr>
      </w:pPr>
      <w:r>
        <w:rPr>
          <w:b/>
          <w:bCs/>
          <w:highlight w:val="yellow"/>
        </w:rPr>
      </w:r>
      <w:r/>
    </w:p>
    <w:p>
      <w:pPr>
        <w:rPr>
          <w:rFonts w:hint="eastAsia"/>
          <w:b/>
          <w:bCs/>
          <w:highlight w:val="yellow"/>
        </w:rPr>
      </w:pPr>
      <w:r>
        <w:rPr>
          <w:rFonts w:hint="eastAsia"/>
          <w:b/>
          <w:bCs/>
          <w:highlight w:val="yellow"/>
        </w:rPr>
        <w:br w:type="page" w:clear="all"/>
      </w:r>
      <w:r/>
    </w:p>
    <w:p>
      <w:pPr>
        <w:jc w:val="center"/>
        <w:spacing w:before="312" w:after="312" w:line="360" w:lineRule="auto"/>
        <w:rPr>
          <w:b/>
          <w:bCs/>
          <w:highlight w:val="none"/>
        </w:rPr>
      </w:pPr>
      <w:r>
        <w:rPr>
          <w:rFonts w:hint="eastAsia"/>
          <w:b/>
          <w:bCs/>
          <w:highlight w:val="none"/>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租赁和商务服务业</w:t>
      </w:r>
      <w:r>
        <w:rPr>
          <w:rFonts w:hint="eastAsia"/>
          <w:b/>
          <w:bCs/>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w:t>
      </w:r>
      <w:r>
        <w:rPr>
          <w:rFonts w:ascii="Wingdings" w:hAnsi="Wingdings" w:eastAsia="Wingdings" w:cs="Wingdings"/>
          <w:u w:val="single"/>
        </w:rPr>
        <w:t xml:space="preserve">¨</w:t>
      </w:r>
      <w:r>
        <w:rPr>
          <w:rFonts w:hint="eastAsia"/>
          <w:u w:val="single"/>
        </w:rPr>
        <w:t xml:space="preserve">中型企业、</w:t>
      </w:r>
      <w:r>
        <w:rPr>
          <w:rFonts w:ascii="Wingdings" w:hAnsi="Wingdings" w:eastAsia="Wingdings" w:cs="Wingdings"/>
          <w:u w:val="single"/>
        </w:rPr>
        <w:t xml:space="preserve">¨</w:t>
      </w:r>
      <w:r>
        <w:rPr>
          <w:rFonts w:hint="eastAsia"/>
          <w:u w:val="single"/>
        </w:rPr>
        <w:t xml:space="preserve">小型企业、</w:t>
      </w:r>
      <w:r>
        <w:rPr>
          <w:rFonts w:ascii="Wingdings" w:hAnsi="Wingdings" w:eastAsia="Wingdings" w:cs="Wingdings"/>
          <w:u w:val="single"/>
        </w:rPr>
        <w:t xml:space="preserve">¨</w:t>
      </w:r>
      <w:r>
        <w:rPr>
          <w:rFonts w:hint="eastAsia"/>
          <w:u w:val="single"/>
        </w:rPr>
        <w:t xml:space="preserve">微型企业）</w:t>
      </w:r>
      <w:r>
        <w:rPr>
          <w:rFonts w:hint="eastAsia"/>
          <w:u w:val="single"/>
          <w:lang w:val="en-US" w:eastAsia="zh-CN"/>
        </w:rPr>
        <w:t xml:space="preserve">请在相应的位置打</w:t>
      </w:r>
      <w:r>
        <w:rPr>
          <w:rFonts w:hint="default" w:ascii="Arial" w:hAnsi="Arial" w:cs="Arial"/>
          <w:u w:val="single"/>
          <w:lang w:val="en-US" w:eastAsia="zh-CN"/>
        </w:rPr>
        <w:t xml:space="preserve">√</w:t>
      </w:r>
      <w:r>
        <w:rPr>
          <w:rFonts w:hint="eastAsia"/>
          <w:u w:val="single"/>
        </w:rPr>
        <w:t xml:space="preserve">；</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pStyle w:val="865"/>
        <w:spacing w:before="300" w:after="300" w:line="360" w:lineRule="auto"/>
        <w:widowControl/>
        <w:rPr>
          <w:rFonts w:ascii="宋体" w:hAnsi="宋体" w:eastAsia="宋体"/>
          <w:color w:val="666666"/>
          <w:sz w:val="21"/>
          <w:szCs w:val="21"/>
        </w:rPr>
      </w:pPr>
      <w:r/>
      <w:bookmarkStart w:id="65" w:name="_Toc8247"/>
      <w:r>
        <w:rPr>
          <w:rFonts w:hint="eastAsia" w:ascii="宋体" w:hAnsi="宋体" w:eastAsia="宋体" w:cs="微软雅黑"/>
          <w:bCs w:val="0"/>
          <w:color w:val="333333"/>
          <w:sz w:val="21"/>
          <w:szCs w:val="21"/>
        </w:rPr>
        <w:t xml:space="preserve">中小微企业划型标准</w:t>
      </w:r>
      <w:r>
        <w:rPr>
          <w:rFonts w:hint="eastAsia" w:ascii="宋体" w:hAnsi="宋体" w:eastAsia="宋体" w:cs="微软雅黑"/>
          <w:bCs w:val="0"/>
          <w:color w:val="666666"/>
          <w:sz w:val="21"/>
          <w:szCs w:val="21"/>
        </w:rPr>
        <w:t xml:space="preserve"> </w:t>
      </w:r>
      <w:bookmarkEnd w:id="65"/>
      <w:r/>
      <w:r/>
    </w:p>
    <w:p>
      <w:pPr>
        <w:pStyle w:val="886"/>
        <w:ind w:firstLine="420"/>
        <w:spacing w:before="300" w:after="452" w:line="360" w:lineRule="auto"/>
        <w:widowControl/>
        <w:rPr>
          <w:rFonts w:ascii="宋体" w:hAnsi="宋体"/>
          <w:color w:val="666666"/>
          <w:sz w:val="21"/>
          <w:szCs w:val="21"/>
        </w:rPr>
      </w:pPr>
      <w:r>
        <w:rPr>
          <w:rFonts w:hint="eastAsia" w:ascii="宋体" w:hAnsi="宋体" w:cs="仿宋"/>
          <w:color w:val="666666"/>
          <w:sz w:val="21"/>
          <w:szCs w:val="21"/>
        </w:rPr>
        <w:t xml:space="preserve">    </w:t>
      </w:r>
      <w:r>
        <w:rPr>
          <w:rStyle w:val="890"/>
          <w:rFonts w:hint="eastAsia" w:ascii="宋体" w:hAnsi="宋体" w:cs="仿宋"/>
          <w:color w:val="666666"/>
          <w:sz w:val="21"/>
          <w:szCs w:val="21"/>
        </w:rPr>
        <w:t xml:space="preserve">中小微企业划型标准如下：</w:t>
      </w:r>
      <w:r/>
    </w:p>
    <w:tbl>
      <w:tblPr>
        <w:tblStyle w:val="869"/>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86"/>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86"/>
              <w:ind w:firstLine="420"/>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86"/>
              <w:jc w:val="center"/>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86"/>
              <w:ind w:firstLine="420"/>
              <w:spacing w:after="150" w:line="360" w:lineRule="auto"/>
              <w:widowControl/>
              <w:rPr>
                <w:rFonts w:ascii="宋体" w:hAnsi="宋体"/>
                <w:color w:val="666666"/>
                <w:sz w:val="21"/>
                <w:szCs w:val="21"/>
              </w:rPr>
            </w:pPr>
            <w:r>
              <w:rPr>
                <w:rStyle w:val="890"/>
                <w:rFonts w:hint="eastAsia" w:ascii="宋体" w:hAnsi="宋体" w:cs="仿宋"/>
                <w:color w:val="666666"/>
                <w:sz w:val="21"/>
                <w:szCs w:val="21"/>
              </w:rPr>
              <w:t xml:space="preserve">X＜10</w:t>
            </w:r>
            <w:r/>
          </w:p>
        </w:tc>
      </w:tr>
    </w:tbl>
    <w:p>
      <w:pPr>
        <w:pStyle w:val="886"/>
        <w:ind w:firstLine="810"/>
        <w:spacing w:before="300" w:after="452" w:line="360" w:lineRule="auto"/>
        <w:widowControl/>
        <w:rPr>
          <w:rStyle w:val="890"/>
          <w:rFonts w:ascii="宋体" w:hAnsi="宋体" w:cs="仿宋"/>
          <w:color w:val="666666"/>
          <w:sz w:val="21"/>
          <w:szCs w:val="21"/>
        </w:rPr>
      </w:pPr>
      <w:r>
        <w:rPr>
          <w:rStyle w:val="890"/>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pStyle w:val="866"/>
        <w:rPr>
          <w:rStyle w:val="890"/>
          <w:rFonts w:cs="仿宋"/>
          <w:b w:val="0"/>
          <w:color w:val="666666"/>
          <w:sz w:val="21"/>
          <w:szCs w:val="21"/>
        </w:rPr>
      </w:pPr>
      <w:r>
        <w:rPr>
          <w:rStyle w:val="890"/>
          <w:rFonts w:ascii="宋体" w:hAnsi="宋体" w:cs="仿宋"/>
          <w:b w:val="0"/>
          <w:color w:val="666666"/>
          <w:sz w:val="21"/>
          <w:szCs w:val="21"/>
        </w:rPr>
        <w:br w:type="page" w:clear="all"/>
      </w:r>
      <w:r/>
    </w:p>
    <w:p>
      <w:pPr>
        <w:jc w:val="cente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line="360" w:lineRule="auto"/>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ascii="宋体" w:hAnsi="宋体"/>
          <w:sz w:val="32"/>
          <w:szCs w:val="32"/>
        </w:rPr>
      </w:pPr>
      <w:r>
        <w:rPr>
          <w:rFonts w:hint="eastAsia" w:ascii="宋体" w:hAnsi="宋体"/>
          <w:b/>
          <w:sz w:val="32"/>
          <w:szCs w:val="32"/>
        </w:rPr>
        <w:br w:type="page" w:clear="all"/>
      </w:r>
      <w:r/>
    </w:p>
    <w:p>
      <w:pPr>
        <w:pStyle w:val="865"/>
        <w:ind w:firstLine="3213"/>
        <w:jc w:val="both"/>
        <w:spacing w:line="360" w:lineRule="auto"/>
        <w:rPr>
          <w:rFonts w:eastAsia="仿宋_GB2312"/>
          <w:sz w:val="24"/>
          <w:szCs w:val="20"/>
        </w:rPr>
      </w:pPr>
      <w:r/>
      <w:bookmarkStart w:id="66" w:name="_Toc13054"/>
      <w:r>
        <w:rPr>
          <w:rFonts w:hint="eastAsia" w:ascii="宋体" w:hAnsi="宋体" w:eastAsia="宋体" w:cs="Times New Roman"/>
          <w:bCs w:val="0"/>
          <w:sz w:val="32"/>
          <w:szCs w:val="32"/>
        </w:rPr>
        <w:t xml:space="preserve">四、</w:t>
      </w:r>
      <w:r>
        <w:rPr>
          <w:rFonts w:hint="eastAsia" w:ascii="宋体" w:hAnsi="宋体"/>
          <w:sz w:val="32"/>
          <w:szCs w:val="32"/>
        </w:rPr>
        <w:t xml:space="preserve">开标一览表</w:t>
      </w:r>
      <w:bookmarkEnd w:id="66"/>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86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74"/>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r/>
          </w:p>
        </w:tc>
        <w:tc>
          <w:tcPr>
            <w:tcW w:w="6405" w:type="dxa"/>
            <w:vAlign w:val="center"/>
            <w:textDirection w:val="lrTb"/>
            <w:noWrap w:val="false"/>
          </w:tcPr>
          <w:p>
            <w:pPr>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874"/>
              <w:spacing w:line="30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897"/>
              <w:ind w:firstLine="0"/>
              <w:spacing w:before="0" w:after="0" w:line="500" w:lineRule="exact"/>
              <w:rPr>
                <w:rFonts w:ascii="宋体" w:hAnsi="宋体" w:cs="宋体"/>
                <w:sz w:val="21"/>
                <w:szCs w:val="21"/>
              </w:rPr>
            </w:pPr>
            <w:r>
              <w:rPr>
                <w:rFonts w:hint="eastAsia" w:ascii="宋体" w:hAnsi="宋体" w:cs="宋体"/>
                <w:sz w:val="21"/>
                <w:szCs w:val="21"/>
              </w:rPr>
              <w:t xml:space="preserve">大写：                       </w:t>
            </w:r>
            <w:r/>
          </w:p>
          <w:p>
            <w:pPr>
              <w:pStyle w:val="897"/>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（人民币：元   ）</w:t>
            </w:r>
            <w:r/>
          </w:p>
        </w:tc>
      </w:tr>
    </w:tbl>
    <w:p>
      <w:pPr>
        <w:rPr>
          <w:rFonts w:ascii="宋体" w:hAnsi="宋体"/>
          <w:szCs w:val="21"/>
        </w:rPr>
      </w:pPr>
      <w:r>
        <w:rPr>
          <w:rFonts w:ascii="宋体" w:hAnsi="宋体"/>
          <w:szCs w:val="21"/>
        </w:rPr>
      </w:r>
      <w:r/>
    </w:p>
    <w:p>
      <w:pPr>
        <w:ind w:firstLine="48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865"/>
        <w:ind w:firstLine="3213"/>
        <w:jc w:val="both"/>
        <w:rPr>
          <w:rFonts w:ascii="宋体" w:hAnsi="宋体" w:eastAsia="宋体" w:cs="Times New Roman"/>
          <w:bCs w:val="0"/>
          <w:sz w:val="32"/>
          <w:szCs w:val="32"/>
        </w:rPr>
      </w:pPr>
      <w:r>
        <w:rPr>
          <w:rFonts w:ascii="宋体" w:hAnsi="宋体" w:eastAsia="宋体" w:cs="Times New Roman"/>
          <w:bCs w:val="0"/>
          <w:sz w:val="32"/>
          <w:szCs w:val="32"/>
        </w:rPr>
      </w:r>
      <w:r/>
    </w:p>
    <w:p>
      <w:pPr>
        <w:pStyle w:val="872"/>
        <w:ind w:firstLine="640"/>
        <w:rPr>
          <w:rFonts w:ascii="宋体" w:hAnsi="宋体"/>
          <w:sz w:val="32"/>
          <w:szCs w:val="32"/>
        </w:rPr>
      </w:pPr>
      <w:r>
        <w:rPr>
          <w:rFonts w:ascii="宋体" w:hAnsi="宋体"/>
          <w:sz w:val="32"/>
          <w:szCs w:val="32"/>
        </w:rPr>
      </w:r>
      <w:r/>
    </w:p>
    <w:p>
      <w:pPr>
        <w:rPr>
          <w:rFonts w:ascii="宋体" w:hAnsi="宋体"/>
          <w:sz w:val="32"/>
          <w:szCs w:val="32"/>
        </w:rPr>
      </w:pPr>
      <w:r>
        <w:rPr>
          <w:rFonts w:hint="eastAsia" w:ascii="宋体" w:hAnsi="宋体"/>
          <w:sz w:val="32"/>
          <w:szCs w:val="32"/>
        </w:rPr>
        <w:br w:type="page" w:clear="all"/>
      </w:r>
      <w:r/>
    </w:p>
    <w:p>
      <w:pPr>
        <w:pStyle w:val="865"/>
        <w:ind w:firstLine="3213"/>
        <w:jc w:val="both"/>
        <w:rPr>
          <w:rFonts w:ascii="宋体" w:hAnsi="宋体" w:eastAsia="宋体" w:cs="Times New Roman"/>
          <w:bCs w:val="0"/>
          <w:sz w:val="32"/>
          <w:szCs w:val="32"/>
          <w:highlight w:val="none"/>
        </w:rPr>
      </w:pPr>
      <w:r/>
      <w:bookmarkStart w:id="67" w:name="_Toc113352361"/>
      <w:r/>
      <w:bookmarkStart w:id="68" w:name="_Toc29262"/>
      <w:r>
        <w:rPr>
          <w:rFonts w:hint="eastAsia" w:ascii="宋体" w:hAnsi="宋体" w:eastAsia="宋体" w:cs="Times New Roman"/>
          <w:bCs w:val="0"/>
          <w:sz w:val="32"/>
          <w:szCs w:val="32"/>
          <w:highlight w:val="none"/>
        </w:rPr>
        <w:t xml:space="preserve">五、分项报价表</w:t>
      </w:r>
      <w:bookmarkEnd w:id="67"/>
      <w:r/>
      <w:bookmarkEnd w:id="68"/>
      <w:r/>
      <w:r/>
    </w:p>
    <w:tbl>
      <w:tblPr>
        <w:tblStyle w:val="86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2021"/>
        <w:gridCol w:w="1590"/>
        <w:gridCol w:w="1319"/>
        <w:gridCol w:w="1314"/>
        <w:gridCol w:w="1322"/>
      </w:tblGrid>
      <w:tr>
        <w:trPr>
          <w:cantSplit/>
          <w:trHeight w:val="544"/>
        </w:trPr>
        <w:tc>
          <w:tcPr>
            <w:tcW w:w="559"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1186"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933"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774"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c>
          <w:tcPr>
            <w:tcW w:w="771" w:type="pct"/>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775" w:type="pct"/>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r>
      <w:tr>
        <w:trPr>
          <w:cantSplit/>
          <w:trHeight w:val="294"/>
        </w:trPr>
        <w:tc>
          <w:tcPr>
            <w:tcW w:w="559" w:type="pct"/>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服务项目</w:t>
            </w:r>
            <w:r/>
          </w:p>
        </w:tc>
        <w:tc>
          <w:tcPr>
            <w:tcW w:w="1186"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数量</w:t>
            </w:r>
            <w:r/>
          </w:p>
        </w:tc>
        <w:tc>
          <w:tcPr>
            <w:tcW w:w="933"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单价</w:t>
            </w:r>
            <w:r/>
          </w:p>
        </w:tc>
        <w:tc>
          <w:tcPr>
            <w:tcW w:w="774" w:type="pct"/>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总价</w:t>
            </w:r>
            <w:r/>
          </w:p>
        </w:tc>
        <w:tc>
          <w:tcPr>
            <w:tcW w:w="771" w:type="pct"/>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775" w:type="pct"/>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r>
      <w:tr>
        <w:trPr>
          <w:cantSplit/>
          <w:trHeight w:val="924"/>
        </w:trPr>
        <w:tc>
          <w:tcPr>
            <w:tcW w:w="559" w:type="pct"/>
            <w:vAlign w:val="center"/>
            <w:textDirection w:val="lrTb"/>
            <w:noWrap w:val="false"/>
          </w:tcPr>
          <w:p>
            <w:pPr>
              <w:rPr>
                <w:rFonts w:ascii="宋体" w:hAnsi="宋体"/>
                <w:szCs w:val="21"/>
                <w:highlight w:val="none"/>
              </w:rPr>
            </w:pPr>
            <w:r>
              <w:rPr>
                <w:rFonts w:ascii="宋体" w:hAnsi="宋体"/>
                <w:szCs w:val="21"/>
                <w:highlight w:val="none"/>
              </w:rPr>
            </w:r>
            <w:r/>
          </w:p>
        </w:tc>
        <w:tc>
          <w:tcPr>
            <w:tcW w:w="1186" w:type="pct"/>
            <w:vAlign w:val="center"/>
            <w:textDirection w:val="lrTb"/>
            <w:noWrap w:val="false"/>
          </w:tcPr>
          <w:p>
            <w:pPr>
              <w:rPr>
                <w:rFonts w:ascii="宋体" w:hAnsi="宋体"/>
                <w:szCs w:val="21"/>
                <w:highlight w:val="none"/>
              </w:rPr>
            </w:pPr>
            <w:r>
              <w:rPr>
                <w:rFonts w:ascii="宋体" w:hAnsi="宋体"/>
                <w:szCs w:val="21"/>
                <w:highlight w:val="none"/>
              </w:rPr>
            </w:r>
            <w:r/>
          </w:p>
        </w:tc>
        <w:tc>
          <w:tcPr>
            <w:tcW w:w="933" w:type="pct"/>
            <w:vAlign w:val="center"/>
            <w:textDirection w:val="lrTb"/>
            <w:noWrap w:val="false"/>
          </w:tcPr>
          <w:p>
            <w:pPr>
              <w:rPr>
                <w:rFonts w:ascii="宋体" w:hAnsi="宋体"/>
                <w:szCs w:val="21"/>
                <w:highlight w:val="none"/>
              </w:rPr>
            </w:pPr>
            <w:r>
              <w:rPr>
                <w:rFonts w:ascii="宋体" w:hAnsi="宋体"/>
                <w:szCs w:val="21"/>
                <w:highlight w:val="none"/>
              </w:rPr>
            </w:r>
            <w:r/>
          </w:p>
        </w:tc>
        <w:tc>
          <w:tcPr>
            <w:tcW w:w="774" w:type="pct"/>
            <w:vAlign w:val="center"/>
            <w:textDirection w:val="lrTb"/>
            <w:noWrap w:val="false"/>
          </w:tcPr>
          <w:p>
            <w:pPr>
              <w:rPr>
                <w:rFonts w:ascii="宋体" w:hAnsi="宋体"/>
                <w:szCs w:val="21"/>
                <w:highlight w:val="none"/>
              </w:rPr>
            </w:pPr>
            <w:r>
              <w:rPr>
                <w:rFonts w:ascii="宋体" w:hAnsi="宋体"/>
                <w:szCs w:val="21"/>
                <w:highlight w:val="none"/>
              </w:rPr>
            </w:r>
            <w:r/>
          </w:p>
        </w:tc>
        <w:tc>
          <w:tcPr>
            <w:tcW w:w="771" w:type="pct"/>
            <w:vAlign w:val="center"/>
            <w:textDirection w:val="lrTb"/>
            <w:noWrap w:val="false"/>
          </w:tcPr>
          <w:p>
            <w:pPr>
              <w:rPr>
                <w:rFonts w:ascii="宋体" w:hAnsi="宋体"/>
                <w:szCs w:val="21"/>
                <w:highlight w:val="none"/>
              </w:rPr>
            </w:pPr>
            <w:r>
              <w:rPr>
                <w:rFonts w:ascii="宋体" w:hAnsi="宋体"/>
                <w:szCs w:val="21"/>
                <w:highlight w:val="none"/>
              </w:rPr>
            </w:r>
            <w:r/>
          </w:p>
        </w:tc>
        <w:tc>
          <w:tcPr>
            <w:tcW w:w="775" w:type="pct"/>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924"/>
        </w:trPr>
        <w:tc>
          <w:tcPr>
            <w:tcW w:w="559" w:type="pct"/>
            <w:vAlign w:val="center"/>
            <w:textDirection w:val="lrTb"/>
            <w:noWrap w:val="false"/>
          </w:tcPr>
          <w:p>
            <w:pPr>
              <w:rPr>
                <w:rFonts w:ascii="宋体" w:hAnsi="宋体"/>
                <w:szCs w:val="21"/>
                <w:highlight w:val="none"/>
              </w:rPr>
            </w:pPr>
            <w:r>
              <w:rPr>
                <w:rFonts w:ascii="宋体" w:hAnsi="宋体"/>
                <w:szCs w:val="21"/>
                <w:highlight w:val="none"/>
              </w:rPr>
            </w:r>
            <w:r/>
          </w:p>
        </w:tc>
        <w:tc>
          <w:tcPr>
            <w:tcW w:w="1186" w:type="pct"/>
            <w:vAlign w:val="center"/>
            <w:textDirection w:val="lrTb"/>
            <w:noWrap w:val="false"/>
          </w:tcPr>
          <w:p>
            <w:pPr>
              <w:rPr>
                <w:rFonts w:ascii="宋体" w:hAnsi="宋体"/>
                <w:szCs w:val="21"/>
                <w:highlight w:val="none"/>
              </w:rPr>
            </w:pPr>
            <w:r>
              <w:rPr>
                <w:rFonts w:ascii="宋体" w:hAnsi="宋体"/>
                <w:szCs w:val="21"/>
                <w:highlight w:val="none"/>
              </w:rPr>
            </w:r>
            <w:r/>
          </w:p>
        </w:tc>
        <w:tc>
          <w:tcPr>
            <w:tcW w:w="933" w:type="pct"/>
            <w:vAlign w:val="center"/>
            <w:textDirection w:val="lrTb"/>
            <w:noWrap w:val="false"/>
          </w:tcPr>
          <w:p>
            <w:pPr>
              <w:rPr>
                <w:rFonts w:ascii="宋体" w:hAnsi="宋体"/>
                <w:szCs w:val="21"/>
                <w:highlight w:val="none"/>
              </w:rPr>
            </w:pPr>
            <w:r>
              <w:rPr>
                <w:rFonts w:ascii="宋体" w:hAnsi="宋体"/>
                <w:szCs w:val="21"/>
                <w:highlight w:val="none"/>
              </w:rPr>
            </w:r>
            <w:r/>
          </w:p>
        </w:tc>
        <w:tc>
          <w:tcPr>
            <w:tcW w:w="774" w:type="pct"/>
            <w:vAlign w:val="center"/>
            <w:textDirection w:val="lrTb"/>
            <w:noWrap w:val="false"/>
          </w:tcPr>
          <w:p>
            <w:pPr>
              <w:rPr>
                <w:rFonts w:ascii="宋体" w:hAnsi="宋体"/>
                <w:szCs w:val="21"/>
                <w:highlight w:val="none"/>
              </w:rPr>
            </w:pPr>
            <w:r>
              <w:rPr>
                <w:rFonts w:ascii="宋体" w:hAnsi="宋体"/>
                <w:szCs w:val="21"/>
                <w:highlight w:val="none"/>
              </w:rPr>
            </w:r>
            <w:r/>
          </w:p>
        </w:tc>
        <w:tc>
          <w:tcPr>
            <w:tcW w:w="771" w:type="pct"/>
            <w:vAlign w:val="center"/>
            <w:textDirection w:val="lrTb"/>
            <w:noWrap w:val="false"/>
          </w:tcPr>
          <w:p>
            <w:pPr>
              <w:rPr>
                <w:rFonts w:ascii="宋体" w:hAnsi="宋体"/>
                <w:szCs w:val="21"/>
                <w:highlight w:val="none"/>
              </w:rPr>
            </w:pPr>
            <w:r>
              <w:rPr>
                <w:rFonts w:ascii="宋体" w:hAnsi="宋体"/>
                <w:szCs w:val="21"/>
                <w:highlight w:val="none"/>
              </w:rPr>
            </w:r>
            <w:r/>
          </w:p>
        </w:tc>
        <w:tc>
          <w:tcPr>
            <w:tcW w:w="775" w:type="pct"/>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924"/>
        </w:trPr>
        <w:tc>
          <w:tcPr>
            <w:tcW w:w="559" w:type="pct"/>
            <w:vAlign w:val="center"/>
            <w:textDirection w:val="lrTb"/>
            <w:noWrap w:val="false"/>
          </w:tcPr>
          <w:p>
            <w:pPr>
              <w:rPr>
                <w:rFonts w:ascii="宋体" w:hAnsi="宋体"/>
                <w:szCs w:val="21"/>
                <w:highlight w:val="none"/>
              </w:rPr>
            </w:pPr>
            <w:r>
              <w:rPr>
                <w:rFonts w:ascii="宋体" w:hAnsi="宋体"/>
                <w:szCs w:val="21"/>
                <w:highlight w:val="none"/>
              </w:rPr>
            </w:r>
            <w:r/>
          </w:p>
        </w:tc>
        <w:tc>
          <w:tcPr>
            <w:tcW w:w="1186" w:type="pct"/>
            <w:vAlign w:val="center"/>
            <w:textDirection w:val="lrTb"/>
            <w:noWrap w:val="false"/>
          </w:tcPr>
          <w:p>
            <w:pPr>
              <w:rPr>
                <w:rFonts w:ascii="宋体" w:hAnsi="宋体"/>
                <w:szCs w:val="21"/>
                <w:highlight w:val="none"/>
              </w:rPr>
            </w:pPr>
            <w:r>
              <w:rPr>
                <w:rFonts w:ascii="宋体" w:hAnsi="宋体"/>
                <w:szCs w:val="21"/>
                <w:highlight w:val="none"/>
              </w:rPr>
            </w:r>
            <w:r/>
          </w:p>
        </w:tc>
        <w:tc>
          <w:tcPr>
            <w:tcW w:w="933" w:type="pct"/>
            <w:vAlign w:val="center"/>
            <w:textDirection w:val="lrTb"/>
            <w:noWrap w:val="false"/>
          </w:tcPr>
          <w:p>
            <w:pPr>
              <w:rPr>
                <w:rFonts w:ascii="宋体" w:hAnsi="宋体"/>
                <w:szCs w:val="21"/>
                <w:highlight w:val="none"/>
              </w:rPr>
            </w:pPr>
            <w:r>
              <w:rPr>
                <w:rFonts w:ascii="宋体" w:hAnsi="宋体"/>
                <w:szCs w:val="21"/>
                <w:highlight w:val="none"/>
              </w:rPr>
            </w:r>
            <w:r/>
          </w:p>
        </w:tc>
        <w:tc>
          <w:tcPr>
            <w:tcW w:w="774" w:type="pct"/>
            <w:vAlign w:val="center"/>
            <w:textDirection w:val="lrTb"/>
            <w:noWrap w:val="false"/>
          </w:tcPr>
          <w:p>
            <w:pPr>
              <w:rPr>
                <w:rFonts w:ascii="宋体" w:hAnsi="宋体"/>
                <w:szCs w:val="21"/>
                <w:highlight w:val="none"/>
              </w:rPr>
            </w:pPr>
            <w:r>
              <w:rPr>
                <w:rFonts w:ascii="宋体" w:hAnsi="宋体"/>
                <w:szCs w:val="21"/>
                <w:highlight w:val="none"/>
              </w:rPr>
            </w:r>
            <w:r/>
          </w:p>
        </w:tc>
        <w:tc>
          <w:tcPr>
            <w:tcW w:w="771" w:type="pct"/>
            <w:vAlign w:val="center"/>
            <w:textDirection w:val="lrTb"/>
            <w:noWrap w:val="false"/>
          </w:tcPr>
          <w:p>
            <w:pPr>
              <w:rPr>
                <w:rFonts w:ascii="宋体" w:hAnsi="宋体"/>
                <w:szCs w:val="21"/>
                <w:highlight w:val="none"/>
              </w:rPr>
            </w:pPr>
            <w:r>
              <w:rPr>
                <w:rFonts w:ascii="宋体" w:hAnsi="宋体"/>
                <w:szCs w:val="21"/>
                <w:highlight w:val="none"/>
              </w:rPr>
            </w:r>
            <w:r/>
          </w:p>
        </w:tc>
        <w:tc>
          <w:tcPr>
            <w:tcW w:w="775" w:type="pct"/>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484"/>
        </w:trPr>
        <w:tc>
          <w:tcPr>
            <w:tcW w:w="559" w:type="pct"/>
            <w:vAlign w:val="center"/>
            <w:textDirection w:val="lrTb"/>
            <w:noWrap w:val="false"/>
          </w:tcPr>
          <w:p>
            <w:pPr>
              <w:rPr>
                <w:rFonts w:ascii="宋体" w:hAnsi="宋体"/>
                <w:szCs w:val="21"/>
                <w:highlight w:val="none"/>
              </w:rPr>
            </w:pPr>
            <w:r>
              <w:rPr>
                <w:rFonts w:ascii="宋体" w:hAnsi="宋体"/>
                <w:szCs w:val="21"/>
                <w:highlight w:val="none"/>
              </w:rPr>
            </w:r>
            <w:r/>
          </w:p>
        </w:tc>
        <w:tc>
          <w:tcPr>
            <w:tcW w:w="1186" w:type="pct"/>
            <w:vAlign w:val="center"/>
            <w:textDirection w:val="lrTb"/>
            <w:noWrap w:val="false"/>
          </w:tcPr>
          <w:p>
            <w:pPr>
              <w:rPr>
                <w:rFonts w:ascii="宋体" w:hAnsi="宋体"/>
                <w:szCs w:val="21"/>
                <w:highlight w:val="none"/>
              </w:rPr>
            </w:pPr>
            <w:r>
              <w:rPr>
                <w:rFonts w:ascii="宋体" w:hAnsi="宋体"/>
                <w:szCs w:val="21"/>
                <w:highlight w:val="none"/>
              </w:rPr>
            </w:r>
            <w:r/>
          </w:p>
        </w:tc>
        <w:tc>
          <w:tcPr>
            <w:tcW w:w="933" w:type="pct"/>
            <w:vAlign w:val="center"/>
            <w:textDirection w:val="lrTb"/>
            <w:noWrap w:val="false"/>
          </w:tcPr>
          <w:p>
            <w:pPr>
              <w:rPr>
                <w:rFonts w:ascii="宋体" w:hAnsi="宋体"/>
                <w:szCs w:val="21"/>
                <w:highlight w:val="none"/>
              </w:rPr>
            </w:pPr>
            <w:r>
              <w:rPr>
                <w:rFonts w:ascii="宋体" w:hAnsi="宋体"/>
                <w:szCs w:val="21"/>
                <w:highlight w:val="none"/>
              </w:rPr>
            </w:r>
            <w:r/>
          </w:p>
        </w:tc>
        <w:tc>
          <w:tcPr>
            <w:tcW w:w="774" w:type="pct"/>
            <w:vAlign w:val="center"/>
            <w:textDirection w:val="lrTb"/>
            <w:noWrap w:val="false"/>
          </w:tcPr>
          <w:p>
            <w:pPr>
              <w:rPr>
                <w:rFonts w:ascii="宋体" w:hAnsi="宋体"/>
                <w:szCs w:val="21"/>
                <w:highlight w:val="none"/>
              </w:rPr>
            </w:pPr>
            <w:r>
              <w:rPr>
                <w:rFonts w:ascii="宋体" w:hAnsi="宋体"/>
                <w:szCs w:val="21"/>
                <w:highlight w:val="none"/>
              </w:rPr>
            </w:r>
            <w:r/>
          </w:p>
        </w:tc>
        <w:tc>
          <w:tcPr>
            <w:tcW w:w="771" w:type="pct"/>
            <w:vAlign w:val="center"/>
            <w:textDirection w:val="lrTb"/>
            <w:noWrap w:val="false"/>
          </w:tcPr>
          <w:p>
            <w:pPr>
              <w:rPr>
                <w:rFonts w:ascii="宋体" w:hAnsi="宋体"/>
                <w:szCs w:val="21"/>
                <w:highlight w:val="none"/>
              </w:rPr>
            </w:pPr>
            <w:r>
              <w:rPr>
                <w:rFonts w:ascii="宋体" w:hAnsi="宋体"/>
                <w:szCs w:val="21"/>
                <w:highlight w:val="none"/>
              </w:rPr>
            </w:r>
            <w:r/>
          </w:p>
        </w:tc>
        <w:tc>
          <w:tcPr>
            <w:tcW w:w="775" w:type="pct"/>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580"/>
        </w:trPr>
        <w:tc>
          <w:tcPr>
            <w:tcW w:w="559" w:type="pct"/>
            <w:vAlign w:val="center"/>
            <w:textDirection w:val="lrTb"/>
            <w:noWrap w:val="false"/>
          </w:tcPr>
          <w:p>
            <w:pPr>
              <w:rPr>
                <w:rFonts w:ascii="宋体" w:hAnsi="宋体"/>
                <w:szCs w:val="21"/>
                <w:highlight w:val="none"/>
              </w:rPr>
            </w:pPr>
            <w:r>
              <w:rPr>
                <w:rFonts w:hint="eastAsia" w:ascii="宋体" w:hAnsi="宋体"/>
                <w:szCs w:val="21"/>
                <w:highlight w:val="none"/>
              </w:rPr>
              <w:t xml:space="preserve">合计</w:t>
            </w:r>
            <w:r/>
          </w:p>
        </w:tc>
        <w:tc>
          <w:tcPr>
            <w:gridSpan w:val="5"/>
            <w:tcW w:w="4440" w:type="pct"/>
            <w:vAlign w:val="center"/>
            <w:textDirection w:val="lrTb"/>
            <w:noWrap w:val="false"/>
          </w:tcPr>
          <w:p>
            <w:pPr>
              <w:rPr>
                <w:rFonts w:ascii="宋体" w:hAnsi="宋体"/>
                <w:szCs w:val="21"/>
                <w:highlight w:val="none"/>
              </w:rPr>
            </w:pPr>
            <w:r>
              <w:rPr>
                <w:rFonts w:ascii="宋体" w:hAnsi="宋体"/>
                <w:szCs w:val="21"/>
                <w:highlight w:val="none"/>
              </w:rPr>
            </w:r>
            <w:r/>
          </w:p>
        </w:tc>
      </w:tr>
    </w:tbl>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hint="eastAsia" w:asciiTheme="minorEastAsia" w:hAnsiTheme="minorEastAsia" w:eastAsiaTheme="minorEastAsia"/>
          <w:sz w:val="32"/>
        </w:rPr>
      </w:pPr>
      <w:r/>
      <w:bookmarkStart w:id="69" w:name="_Toc23266"/>
      <w:r/>
      <w:r/>
    </w:p>
    <w:p>
      <w:pPr>
        <w:rPr>
          <w:rFonts w:hint="eastAsia" w:asciiTheme="minorEastAsia" w:hAnsiTheme="minorEastAsia" w:eastAsiaTheme="minorEastAsia"/>
          <w:sz w:val="32"/>
        </w:rPr>
      </w:pPr>
      <w:r>
        <w:rPr>
          <w:rFonts w:hint="eastAsia" w:asciiTheme="minorEastAsia" w:hAnsiTheme="minorEastAsia" w:eastAsiaTheme="minorEastAsia"/>
          <w:sz w:val="32"/>
        </w:rPr>
        <w:br w:type="page" w:clear="all"/>
      </w:r>
      <w:r/>
    </w:p>
    <w:p>
      <w:pPr>
        <w:pStyle w:val="865"/>
        <w:rPr>
          <w:rFonts w:asciiTheme="minorEastAsia" w:hAnsiTheme="minorEastAsia" w:eastAsiaTheme="minorEastAsia"/>
          <w:sz w:val="32"/>
        </w:rPr>
      </w:pPr>
      <w:r>
        <w:rPr>
          <w:rFonts w:hint="eastAsia" w:asciiTheme="minorEastAsia" w:hAnsiTheme="minorEastAsia" w:eastAsiaTheme="minorEastAsia"/>
          <w:sz w:val="32"/>
        </w:rPr>
        <w:t xml:space="preserve">六、技术参数响应及偏离表</w:t>
      </w:r>
      <w:bookmarkEnd w:id="69"/>
      <w:r/>
      <w:r/>
    </w:p>
    <w:tbl>
      <w:tblPr>
        <w:tblStyle w:val="86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pStyle w:val="865"/>
        <w:rPr>
          <w:rFonts w:ascii="宋体" w:hAnsi="宋体" w:eastAsia="宋体" w:cs="Times New Roman"/>
          <w:bCs w:val="0"/>
          <w:sz w:val="32"/>
          <w:szCs w:val="32"/>
        </w:rPr>
      </w:pPr>
      <w:r/>
      <w:bookmarkStart w:id="70" w:name="_Hlt26955054"/>
      <w:r/>
      <w:bookmarkEnd w:id="70"/>
      <w:r/>
      <w:bookmarkStart w:id="71" w:name="_Toc17744"/>
      <w:r/>
      <w:bookmarkStart w:id="72" w:name="_Toc113352363"/>
      <w:r>
        <w:rPr>
          <w:rFonts w:hint="eastAsia" w:ascii="宋体" w:hAnsi="宋体" w:eastAsia="宋体" w:cs="Times New Roman"/>
          <w:bCs w:val="0"/>
          <w:sz w:val="32"/>
          <w:szCs w:val="32"/>
        </w:rPr>
        <w:t xml:space="preserve">七、商务条款响应及偏离表</w:t>
      </w:r>
      <w:bookmarkEnd w:id="71"/>
      <w:r/>
      <w:bookmarkEnd w:id="72"/>
      <w:r/>
      <w:r/>
    </w:p>
    <w:tbl>
      <w:tblPr>
        <w:tblStyle w:val="869"/>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bl>
    <w:p>
      <w:pPr>
        <w:spacing w:line="480" w:lineRule="auto"/>
        <w:rPr>
          <w:rFonts w:ascii="仿宋_GB2312" w:hAnsi="Arial"/>
          <w:sz w:val="30"/>
        </w:rPr>
      </w:pPr>
      <w:r>
        <w:rPr>
          <w:rFonts w:ascii="仿宋_GB2312" w:hAnsi="Arial"/>
          <w:sz w:val="30"/>
        </w:rPr>
      </w:r>
      <w:r/>
    </w:p>
    <w:p>
      <w:pPr>
        <w:pStyle w:val="872"/>
        <w:ind w:firstLine="480"/>
        <w:rPr>
          <w:rFonts w:ascii="宋体" w:hAnsi="宋体"/>
          <w:sz w:val="24"/>
        </w:rPr>
      </w:pPr>
      <w:r/>
      <w:bookmarkStart w:id="73" w:name="_Hlt26609389"/>
      <w:r/>
      <w:bookmarkEnd w:id="73"/>
      <w:r/>
      <w:bookmarkStart w:id="74" w:name="_Hlt26955066"/>
      <w:r/>
      <w:bookmarkEnd w:id="74"/>
      <w:r/>
      <w:bookmarkStart w:id="75" w:name="_Hlt26671374"/>
      <w:r/>
      <w:bookmarkEnd w:id="75"/>
      <w:r/>
      <w:bookmarkStart w:id="76" w:name="_Toc462564146"/>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hint="eastAsia" w:ascii="宋体" w:hAnsi="宋体"/>
          <w:sz w:val="24"/>
        </w:rPr>
        <w:t xml:space="preserve">.</w:t>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r/>
    </w:p>
    <w:p>
      <w:pPr>
        <w:pStyle w:val="872"/>
        <w:ind w:firstLine="480"/>
        <w:rPr>
          <w:rFonts w:ascii="宋体" w:hAnsi="宋体"/>
          <w:sz w:val="24"/>
        </w:rPr>
      </w:pPr>
      <w:r>
        <w:rPr>
          <w:rFonts w:ascii="宋体" w:hAnsi="宋体"/>
          <w:sz w:val="24"/>
        </w:rPr>
      </w:r>
      <w:bookmarkEnd w:id="76"/>
      <w:r/>
      <w:r/>
    </w:p>
    <w:p>
      <w:pPr>
        <w:jc w:val="left"/>
        <w:widowControl/>
        <w:rPr>
          <w:rFonts w:ascii="宋体" w:hAnsi="宋体"/>
          <w:b/>
        </w:rPr>
      </w:pPr>
      <w:r/>
      <w:bookmarkStart w:id="77" w:name="_格式2__法定代表人授权书"/>
      <w:r/>
      <w:bookmarkEnd w:id="77"/>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869"/>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color w:val="ff0000"/>
        </w:rPr>
      </w:pPr>
      <w:r>
        <w:rPr>
          <w:rFonts w:hint="eastAsia" w:ascii="宋体" w:hAnsi="宋体"/>
        </w:rPr>
        <w:t xml:space="preserve">1、我们自愿组成联合体，参加（代理机构）的采购编号为</w:t>
      </w:r>
      <w:r>
        <w:rPr>
          <w:rFonts w:hint="eastAsia" w:ascii="宋体" w:hAnsi="宋体"/>
          <w:color w:val="000000"/>
        </w:rPr>
        <w:t xml:space="preserve">（项目编号）</w:t>
      </w:r>
      <w:r>
        <w:rPr>
          <w:rFonts w:hint="eastAsia" w:ascii="宋体" w:hAnsi="宋体"/>
        </w:rPr>
        <w:t xml:space="preserve">（项目全称）的政府采购活动。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r/>
      <w:r/>
    </w:p>
    <w:p>
      <w:pPr>
        <w:jc w:val="left"/>
        <w:spacing w:before="100" w:beforeAutospacing="1" w:after="143"/>
        <w:widowControl/>
        <w:rPr>
          <w:rFonts w:ascii="宋体" w:hAnsi="宋体" w:cs="宋体"/>
          <w:sz w:val="24"/>
          <w:szCs w:val="24"/>
        </w:rPr>
      </w:pPr>
      <w:r>
        <w:rPr>
          <w:rFonts w:ascii="宋体" w:hAnsi="宋体" w:cs="宋体"/>
          <w:sz w:val="24"/>
          <w:szCs w:val="24"/>
        </w:rPr>
      </w:r>
      <w:r/>
    </w:p>
    <w:p>
      <w:r/>
      <w:r/>
    </w:p>
    <w:p>
      <w:r/>
      <w:r/>
    </w:p>
    <w:p>
      <w:r/>
      <w:r/>
    </w:p>
    <w:p>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Fonts w:hint="eastAsia" w:eastAsia="宋体"/>
        <w:lang w:eastAsia="zh-CN"/>
      </w:rPr>
    </w:pPr>
    <w:r>
      <w:rPr>
        <w:rFonts w:hint="eastAsia"/>
        <w:lang w:eastAsia="zh-CN"/>
      </w:rPr>
      <w:t xml:space="preserve">JSZC-321003-YZDX-G2026-0006</w:t>
    </w:r>
    <w:r>
      <w:rPr>
        <w:rFonts w:hint="eastAsia"/>
      </w:rPr>
      <w:t xml:space="preserve">                                              </w:t>
    </w:r>
    <w:r>
      <w:rPr>
        <w:rFonts w:hint="eastAsia"/>
        <w:highlight w:val="none"/>
        <w:lang w:eastAsia="zh-CN"/>
      </w:rPr>
      <w:t xml:space="preserve">扬州大学工程设计研究院有限公司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both"/>
      <w:rPr>
        <w:rFonts w:hint="eastAsia" w:eastAsia="宋体"/>
        <w:lang w:eastAsia="zh-CN"/>
      </w:rPr>
    </w:pPr>
    <w:r>
      <w:rPr>
        <w:rFonts w:hint="eastAsia"/>
        <w:lang w:eastAsia="zh-CN"/>
      </w:rPr>
      <w:t xml:space="preserve">JSZC-321003-YZDX-G2026-0006</w:t>
    </w:r>
    <w:r>
      <w:tab/>
    </w:r>
    <w:r>
      <w:rPr>
        <w:rFonts w:hint="eastAsia"/>
      </w:rPr>
      <w:t xml:space="preserve">                                 </w:t>
    </w:r>
    <w:r>
      <w:rPr>
        <w:rFonts w:hint="eastAsia"/>
        <w:lang w:eastAsia="zh-CN"/>
      </w:rPr>
      <w:t xml:space="preserve">扬州大学工程设计研究院有限公司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2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8"/>
  </w:num>
  <w:num w:numId="3">
    <w:abstractNumId w:val="4"/>
  </w:num>
  <w:num w:numId="4">
    <w:abstractNumId w:val="1"/>
  </w:num>
  <w:num w:numId="5">
    <w:abstractNumId w:val="0"/>
  </w:num>
  <w:num w:numId="6">
    <w:abstractNumId w:val="9"/>
  </w:num>
  <w:num w:numId="7">
    <w:abstractNumId w:val="5"/>
  </w:num>
  <w:num w:numId="8">
    <w:abstractNumId w:val="7"/>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1 Char"/>
    <w:basedOn w:val="868"/>
    <w:link w:val="864"/>
    <w:uiPriority w:val="9"/>
    <w:rPr>
      <w:rFonts w:ascii="Arial" w:hAnsi="Arial" w:eastAsia="Arial" w:cs="Arial"/>
      <w:sz w:val="40"/>
      <w:szCs w:val="40"/>
    </w:rPr>
  </w:style>
  <w:style w:type="character" w:styleId="698">
    <w:name w:val="Heading 2 Char"/>
    <w:basedOn w:val="868"/>
    <w:link w:val="865"/>
    <w:uiPriority w:val="9"/>
    <w:rPr>
      <w:rFonts w:ascii="Arial" w:hAnsi="Arial" w:eastAsia="Arial" w:cs="Arial"/>
      <w:sz w:val="34"/>
    </w:rPr>
  </w:style>
  <w:style w:type="character" w:styleId="699">
    <w:name w:val="Heading 3 Char"/>
    <w:basedOn w:val="868"/>
    <w:link w:val="866"/>
    <w:uiPriority w:val="9"/>
    <w:rPr>
      <w:rFonts w:ascii="Arial" w:hAnsi="Arial" w:eastAsia="Arial" w:cs="Arial"/>
      <w:sz w:val="30"/>
      <w:szCs w:val="30"/>
    </w:rPr>
  </w:style>
  <w:style w:type="character" w:styleId="700">
    <w:name w:val="Heading 4 Char"/>
    <w:basedOn w:val="868"/>
    <w:link w:val="867"/>
    <w:uiPriority w:val="9"/>
    <w:rPr>
      <w:rFonts w:ascii="Arial" w:hAnsi="Arial" w:eastAsia="Arial" w:cs="Arial"/>
      <w:b/>
      <w:bCs/>
      <w:sz w:val="26"/>
      <w:szCs w:val="26"/>
    </w:rPr>
  </w:style>
  <w:style w:type="paragraph" w:styleId="701">
    <w:name w:val="Heading 5"/>
    <w:basedOn w:val="863"/>
    <w:next w:val="863"/>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68"/>
    <w:link w:val="701"/>
    <w:uiPriority w:val="9"/>
    <w:rPr>
      <w:rFonts w:ascii="Arial" w:hAnsi="Arial" w:eastAsia="Arial" w:cs="Arial"/>
      <w:b/>
      <w:bCs/>
      <w:sz w:val="24"/>
      <w:szCs w:val="24"/>
    </w:rPr>
  </w:style>
  <w:style w:type="paragraph" w:styleId="703">
    <w:name w:val="Heading 6"/>
    <w:basedOn w:val="863"/>
    <w:next w:val="863"/>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68"/>
    <w:link w:val="703"/>
    <w:uiPriority w:val="9"/>
    <w:rPr>
      <w:rFonts w:ascii="Arial" w:hAnsi="Arial" w:eastAsia="Arial" w:cs="Arial"/>
      <w:b/>
      <w:bCs/>
      <w:sz w:val="22"/>
      <w:szCs w:val="22"/>
    </w:rPr>
  </w:style>
  <w:style w:type="paragraph" w:styleId="705">
    <w:name w:val="Heading 7"/>
    <w:basedOn w:val="863"/>
    <w:next w:val="863"/>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68"/>
    <w:link w:val="705"/>
    <w:uiPriority w:val="9"/>
    <w:rPr>
      <w:rFonts w:ascii="Arial" w:hAnsi="Arial" w:eastAsia="Arial" w:cs="Arial"/>
      <w:b/>
      <w:bCs/>
      <w:i/>
      <w:iCs/>
      <w:sz w:val="22"/>
      <w:szCs w:val="22"/>
    </w:rPr>
  </w:style>
  <w:style w:type="paragraph" w:styleId="707">
    <w:name w:val="Heading 8"/>
    <w:basedOn w:val="863"/>
    <w:next w:val="863"/>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68"/>
    <w:link w:val="707"/>
    <w:uiPriority w:val="9"/>
    <w:rPr>
      <w:rFonts w:ascii="Arial" w:hAnsi="Arial" w:eastAsia="Arial" w:cs="Arial"/>
      <w:i/>
      <w:iCs/>
      <w:sz w:val="22"/>
      <w:szCs w:val="22"/>
    </w:rPr>
  </w:style>
  <w:style w:type="paragraph" w:styleId="709">
    <w:name w:val="Heading 9"/>
    <w:basedOn w:val="863"/>
    <w:next w:val="863"/>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68"/>
    <w:link w:val="709"/>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paragraph" w:styleId="712">
    <w:name w:val="Title"/>
    <w:basedOn w:val="863"/>
    <w:next w:val="863"/>
    <w:link w:val="713"/>
    <w:uiPriority w:val="10"/>
    <w:qFormat/>
    <w:pPr>
      <w:contextualSpacing/>
      <w:spacing w:before="300" w:after="200"/>
    </w:pPr>
    <w:rPr>
      <w:sz w:val="48"/>
      <w:szCs w:val="48"/>
    </w:rPr>
  </w:style>
  <w:style w:type="character" w:styleId="713">
    <w:name w:val="Title Char"/>
    <w:basedOn w:val="868"/>
    <w:link w:val="712"/>
    <w:uiPriority w:val="10"/>
    <w:rPr>
      <w:sz w:val="48"/>
      <w:szCs w:val="48"/>
    </w:rPr>
  </w:style>
  <w:style w:type="paragraph" w:styleId="714">
    <w:name w:val="Subtitle"/>
    <w:basedOn w:val="863"/>
    <w:next w:val="863"/>
    <w:link w:val="715"/>
    <w:uiPriority w:val="11"/>
    <w:qFormat/>
    <w:pPr>
      <w:spacing w:before="200" w:after="200"/>
    </w:pPr>
    <w:rPr>
      <w:sz w:val="24"/>
      <w:szCs w:val="24"/>
    </w:rPr>
  </w:style>
  <w:style w:type="character" w:styleId="715">
    <w:name w:val="Subtitle Char"/>
    <w:basedOn w:val="868"/>
    <w:link w:val="714"/>
    <w:uiPriority w:val="11"/>
    <w:rPr>
      <w:sz w:val="24"/>
      <w:szCs w:val="24"/>
    </w:rPr>
  </w:style>
  <w:style w:type="paragraph" w:styleId="716">
    <w:name w:val="Quote"/>
    <w:basedOn w:val="863"/>
    <w:next w:val="863"/>
    <w:link w:val="717"/>
    <w:uiPriority w:val="29"/>
    <w:qFormat/>
    <w:pPr>
      <w:ind w:left="720" w:right="720"/>
    </w:pPr>
    <w:rPr>
      <w:i/>
    </w:rPr>
  </w:style>
  <w:style w:type="character" w:styleId="717">
    <w:name w:val="Quote Char"/>
    <w:link w:val="716"/>
    <w:uiPriority w:val="29"/>
    <w:rPr>
      <w:i/>
    </w:rPr>
  </w:style>
  <w:style w:type="paragraph" w:styleId="718">
    <w:name w:val="Intense Quote"/>
    <w:basedOn w:val="863"/>
    <w:next w:val="863"/>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68"/>
    <w:link w:val="882"/>
    <w:uiPriority w:val="99"/>
  </w:style>
  <w:style w:type="character" w:styleId="721">
    <w:name w:val="Footer Char"/>
    <w:basedOn w:val="868"/>
    <w:link w:val="880"/>
    <w:uiPriority w:val="99"/>
  </w:style>
  <w:style w:type="paragraph" w:styleId="722">
    <w:name w:val="Caption"/>
    <w:basedOn w:val="863"/>
    <w:next w:val="863"/>
    <w:uiPriority w:val="35"/>
    <w:semiHidden/>
    <w:unhideWhenUsed/>
    <w:qFormat/>
    <w:pPr>
      <w:spacing w:line="276" w:lineRule="auto"/>
    </w:pPr>
    <w:rPr>
      <w:b/>
      <w:bCs/>
      <w:color w:val="4f81bd" w:themeColor="accent1"/>
      <w:sz w:val="18"/>
      <w:szCs w:val="18"/>
    </w:rPr>
  </w:style>
  <w:style w:type="character" w:styleId="723">
    <w:name w:val="Caption Char"/>
    <w:basedOn w:val="722"/>
    <w:link w:val="880"/>
    <w:uiPriority w:val="99"/>
  </w:style>
  <w:style w:type="table" w:styleId="724">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0">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1">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2">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3">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4">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5">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5">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6">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7">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8">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9">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0">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2">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3">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4">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5">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6">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7">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6">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7">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8">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9">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0">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1">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3">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4">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5">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6">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7">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8">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0">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4">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7">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8">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9">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0">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1">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2">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9">
    <w:name w:val="footnote text"/>
    <w:basedOn w:val="863"/>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basedOn w:val="868"/>
    <w:uiPriority w:val="99"/>
    <w:unhideWhenUsed/>
    <w:rPr>
      <w:vertAlign w:val="superscript"/>
    </w:rPr>
  </w:style>
  <w:style w:type="paragraph" w:styleId="852">
    <w:name w:val="endnote text"/>
    <w:basedOn w:val="863"/>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68"/>
    <w:uiPriority w:val="99"/>
    <w:semiHidden/>
    <w:unhideWhenUsed/>
    <w:rPr>
      <w:vertAlign w:val="superscript"/>
    </w:r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70"/>
    <w:uiPriority w:val="0"/>
    <w:qFormat/>
    <w:pPr>
      <w:jc w:val="both"/>
      <w:widowControl w:val="off"/>
    </w:pPr>
    <w:rPr>
      <w:rFonts w:ascii="Calibri" w:hAnsi="Calibri" w:eastAsia="宋体" w:cs="Times New Roman"/>
      <w:sz w:val="21"/>
      <w:szCs w:val="22"/>
      <w:lang w:val="en-US" w:eastAsia="zh-CN" w:bidi="ar-SA"/>
    </w:rPr>
  </w:style>
  <w:style w:type="paragraph" w:styleId="864">
    <w:name w:val="Heading 1"/>
    <w:basedOn w:val="863"/>
    <w:next w:val="863"/>
    <w:uiPriority w:val="9"/>
    <w:qFormat/>
    <w:pPr>
      <w:keepLines/>
      <w:keepNext/>
      <w:spacing w:before="340" w:after="330" w:line="578" w:lineRule="auto"/>
      <w:outlineLvl w:val="0"/>
    </w:pPr>
    <w:rPr>
      <w:b/>
      <w:bCs/>
      <w:sz w:val="44"/>
      <w:szCs w:val="44"/>
    </w:rPr>
  </w:style>
  <w:style w:type="paragraph" w:styleId="865">
    <w:name w:val="Heading 2"/>
    <w:basedOn w:val="863"/>
    <w:next w:val="8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6">
    <w:name w:val="Heading 3"/>
    <w:basedOn w:val="863"/>
    <w:next w:val="863"/>
    <w:uiPriority w:val="0"/>
    <w:qFormat/>
    <w:pPr>
      <w:keepLines/>
      <w:keepNext/>
      <w:spacing w:before="260" w:after="260" w:line="416" w:lineRule="auto"/>
      <w:outlineLvl w:val="2"/>
    </w:pPr>
    <w:rPr>
      <w:b/>
      <w:bCs/>
      <w:sz w:val="32"/>
      <w:szCs w:val="32"/>
    </w:rPr>
  </w:style>
  <w:style w:type="paragraph" w:styleId="867">
    <w:name w:val="Heading 4"/>
    <w:basedOn w:val="863"/>
    <w:next w:val="863"/>
    <w:uiPriority w:val="9"/>
    <w:unhideWhenUsed/>
    <w:qFormat/>
    <w:pPr>
      <w:keepLines/>
      <w:keepNext/>
      <w:spacing w:before="320" w:after="200"/>
      <w:outlineLvl w:val="3"/>
    </w:pPr>
    <w:rPr>
      <w:rFonts w:ascii="Arial" w:hAnsi="Arial" w:eastAsia="Arial" w:cs="Arial"/>
      <w:b/>
      <w:bCs/>
      <w:sz w:val="26"/>
      <w:szCs w:val="26"/>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customStyle="1">
    <w:name w:val="正文1"/>
    <w:basedOn w:val="863"/>
    <w:next w:val="863"/>
    <w:uiPriority w:val="0"/>
    <w:qFormat/>
    <w:pPr>
      <w:jc w:val="left"/>
      <w:spacing w:line="360" w:lineRule="atLeast"/>
    </w:pPr>
    <w:rPr>
      <w:rFonts w:ascii="宋体" w:hAnsiTheme="minorHAnsi" w:eastAsiaTheme="minorEastAsia" w:cstheme="minorBidi"/>
      <w:sz w:val="24"/>
      <w:szCs w:val="20"/>
    </w:rPr>
  </w:style>
  <w:style w:type="paragraph" w:styleId="871">
    <w:name w:val="table of authorities"/>
    <w:basedOn w:val="863"/>
    <w:next w:val="863"/>
    <w:uiPriority w:val="0"/>
    <w:qFormat/>
    <w:pPr>
      <w:ind w:left="420"/>
    </w:pPr>
  </w:style>
  <w:style w:type="paragraph" w:styleId="872">
    <w:name w:val="Normal Indent"/>
    <w:basedOn w:val="863"/>
    <w:uiPriority w:val="0"/>
    <w:unhideWhenUsed/>
    <w:qFormat/>
    <w:pPr>
      <w:ind w:firstLine="420"/>
    </w:pPr>
  </w:style>
  <w:style w:type="paragraph" w:styleId="873">
    <w:name w:val="annotation text"/>
    <w:basedOn w:val="863"/>
    <w:uiPriority w:val="0"/>
    <w:qFormat/>
    <w:pPr>
      <w:jc w:val="left"/>
    </w:pPr>
  </w:style>
  <w:style w:type="paragraph" w:styleId="874">
    <w:name w:val="Body Text"/>
    <w:basedOn w:val="863"/>
    <w:uiPriority w:val="0"/>
    <w:qFormat/>
    <w:rPr>
      <w:rFonts w:ascii="楷体_GB2312" w:hAnsi="Arial" w:eastAsia="楷体_GB2312"/>
      <w:sz w:val="28"/>
      <w:szCs w:val="28"/>
    </w:rPr>
  </w:style>
  <w:style w:type="paragraph" w:styleId="875">
    <w:name w:val="Body Text Indent"/>
    <w:basedOn w:val="863"/>
    <w:next w:val="863"/>
    <w:uiPriority w:val="0"/>
    <w:qFormat/>
    <w:pPr>
      <w:ind w:left="420"/>
      <w:spacing w:after="120"/>
    </w:pPr>
  </w:style>
  <w:style w:type="paragraph" w:styleId="876">
    <w:name w:val="index 4"/>
    <w:basedOn w:val="863"/>
    <w:next w:val="863"/>
    <w:uiPriority w:val="99"/>
    <w:semiHidden/>
    <w:unhideWhenUsed/>
    <w:qFormat/>
    <w:pPr>
      <w:ind w:left="600"/>
    </w:pPr>
  </w:style>
  <w:style w:type="paragraph" w:styleId="877">
    <w:name w:val="toc 3"/>
    <w:basedOn w:val="863"/>
    <w:next w:val="863"/>
    <w:uiPriority w:val="0"/>
    <w:qFormat/>
    <w:pPr>
      <w:ind w:left="840"/>
    </w:pPr>
  </w:style>
  <w:style w:type="paragraph" w:styleId="878">
    <w:name w:val="Plain Text"/>
    <w:basedOn w:val="863"/>
    <w:uiPriority w:val="99"/>
    <w:qFormat/>
    <w:rPr>
      <w:rFonts w:ascii="宋体" w:hAnsi="Courier New"/>
      <w:sz w:val="20"/>
      <w:szCs w:val="21"/>
    </w:rPr>
  </w:style>
  <w:style w:type="paragraph" w:styleId="879">
    <w:name w:val="Balloon Text"/>
    <w:basedOn w:val="863"/>
    <w:link w:val="901"/>
    <w:uiPriority w:val="0"/>
    <w:qFormat/>
    <w:rPr>
      <w:sz w:val="18"/>
      <w:szCs w:val="18"/>
    </w:rPr>
  </w:style>
  <w:style w:type="paragraph" w:styleId="880">
    <w:name w:val="Footer"/>
    <w:basedOn w:val="863"/>
    <w:uiPriority w:val="99"/>
    <w:unhideWhenUsed/>
    <w:qFormat/>
    <w:pPr>
      <w:jc w:val="left"/>
      <w:tabs>
        <w:tab w:val="center" w:pos="4153" w:leader="none"/>
        <w:tab w:val="right" w:pos="8306" w:leader="none"/>
      </w:tabs>
    </w:pPr>
    <w:rPr>
      <w:sz w:val="18"/>
      <w:szCs w:val="18"/>
    </w:rPr>
  </w:style>
  <w:style w:type="paragraph" w:styleId="881">
    <w:name w:val="envelope return"/>
    <w:basedOn w:val="863"/>
    <w:uiPriority w:val="99"/>
    <w:unhideWhenUsed/>
    <w:qFormat/>
    <w:rPr>
      <w:rFonts w:ascii="Arial" w:hAnsi="Arial"/>
    </w:rPr>
  </w:style>
  <w:style w:type="paragraph" w:styleId="882">
    <w:name w:val="Header"/>
    <w:basedOn w:val="86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3">
    <w:name w:val="toc 1"/>
    <w:basedOn w:val="863"/>
    <w:next w:val="863"/>
    <w:uiPriority w:val="39"/>
    <w:unhideWhenUsed/>
    <w:qFormat/>
  </w:style>
  <w:style w:type="paragraph" w:styleId="884">
    <w:name w:val="toc 2"/>
    <w:basedOn w:val="863"/>
    <w:next w:val="863"/>
    <w:uiPriority w:val="0"/>
    <w:qFormat/>
    <w:pPr>
      <w:ind w:left="420"/>
    </w:pPr>
  </w:style>
  <w:style w:type="paragraph" w:styleId="885">
    <w:name w:val="Body Text 2"/>
    <w:basedOn w:val="863"/>
    <w:uiPriority w:val="0"/>
    <w:qFormat/>
    <w:pPr>
      <w:spacing w:after="120" w:line="480" w:lineRule="auto"/>
    </w:pPr>
  </w:style>
  <w:style w:type="paragraph" w:styleId="886">
    <w:name w:val="Normal (Web)"/>
    <w:basedOn w:val="863"/>
    <w:uiPriority w:val="0"/>
    <w:qFormat/>
    <w:rPr>
      <w:rFonts w:ascii="Times New Roman" w:hAnsi="Times New Roman"/>
      <w:sz w:val="24"/>
    </w:rPr>
  </w:style>
  <w:style w:type="paragraph" w:styleId="887">
    <w:name w:val="Body Text First Indent"/>
    <w:basedOn w:val="874"/>
    <w:next w:val="863"/>
    <w:uiPriority w:val="0"/>
    <w:qFormat/>
    <w:pPr>
      <w:ind w:firstLine="420"/>
    </w:pPr>
    <w:rPr>
      <w:rFonts w:ascii="Times New Roman" w:hAnsi="Times New Roman"/>
      <w:szCs w:val="20"/>
    </w:rPr>
  </w:style>
  <w:style w:type="paragraph" w:styleId="888">
    <w:name w:val="Body Text First Indent 2"/>
    <w:basedOn w:val="875"/>
    <w:next w:val="863"/>
    <w:uiPriority w:val="0"/>
    <w:qFormat/>
    <w:pPr>
      <w:ind w:firstLine="420"/>
    </w:pPr>
  </w:style>
  <w:style w:type="table" w:styleId="889">
    <w:name w:val="Table Grid"/>
    <w:basedOn w:val="869"/>
    <w:uiPriority w:val="37"/>
    <w:qFormat/>
    <w:rPr>
      <w:rFonts w:ascii="Calibri" w:hAnsi="Calibri" w:eastAsia="宋体" w:cs="Times New Roman"/>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0">
    <w:name w:val="Strong"/>
    <w:basedOn w:val="868"/>
    <w:uiPriority w:val="0"/>
    <w:qFormat/>
    <w:rPr>
      <w:b/>
    </w:rPr>
  </w:style>
  <w:style w:type="character" w:styleId="891">
    <w:name w:val="Hyperlink"/>
    <w:basedOn w:val="868"/>
    <w:uiPriority w:val="0"/>
    <w:qFormat/>
    <w:rPr>
      <w:color w:val="0000ff"/>
      <w:u w:val="single"/>
    </w:rPr>
  </w:style>
  <w:style w:type="character" w:styleId="892">
    <w:name w:val="annotation reference"/>
    <w:basedOn w:val="868"/>
    <w:uiPriority w:val="0"/>
    <w:qFormat/>
    <w:rPr>
      <w:sz w:val="21"/>
      <w:szCs w:val="21"/>
    </w:rPr>
  </w:style>
  <w:style w:type="paragraph" w:styleId="893" w:customStyle="1">
    <w:name w:val="正文文本1"/>
    <w:basedOn w:val="870"/>
    <w:next w:val="894"/>
    <w:uiPriority w:val="0"/>
    <w:qFormat/>
    <w:pPr>
      <w:spacing w:after="120"/>
    </w:pPr>
    <w:rPr>
      <w:lang w:eastAsia="en-US"/>
    </w:rPr>
  </w:style>
  <w:style w:type="paragraph" w:styleId="894" w:customStyle="1">
    <w:name w:val="一级条标题"/>
    <w:basedOn w:val="895"/>
    <w:next w:val="8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5" w:customStyle="1">
    <w:name w:val="章标题"/>
    <w:next w:val="86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6" w:customStyle="1">
    <w:name w:val="段"/>
    <w:basedOn w:val="870"/>
    <w:next w:val="863"/>
    <w:uiPriority w:val="0"/>
    <w:qFormat/>
    <w:pPr>
      <w:ind w:firstLine="200"/>
      <w:widowControl/>
    </w:pPr>
    <w:rPr>
      <w:sz w:val="20"/>
    </w:rPr>
  </w:style>
  <w:style w:type="paragraph" w:styleId="897" w:customStyle="1">
    <w:name w:val="普通正文"/>
    <w:basedOn w:val="898"/>
    <w:uiPriority w:val="0"/>
    <w:qFormat/>
    <w:pPr>
      <w:ind w:firstLine="480"/>
      <w:jc w:val="left"/>
      <w:spacing w:before="120" w:after="120" w:line="360" w:lineRule="auto"/>
    </w:pPr>
    <w:rPr>
      <w:rFonts w:ascii="Arial" w:hAnsi="Arial"/>
      <w:sz w:val="24"/>
      <w:szCs w:val="24"/>
    </w:rPr>
  </w:style>
  <w:style w:type="paragraph" w:styleId="898" w:customStyle="1">
    <w:name w:val="正文11"/>
    <w:next w:val="899"/>
    <w:uiPriority w:val="0"/>
    <w:qFormat/>
    <w:pPr>
      <w:jc w:val="both"/>
      <w:widowControl w:val="off"/>
    </w:pPr>
    <w:rPr>
      <w:rFonts w:ascii="Times New Roman" w:hAnsi="Times New Roman" w:eastAsia="宋体" w:cs="Times New Roman"/>
      <w:sz w:val="21"/>
      <w:szCs w:val="22"/>
      <w:lang w:val="en-US" w:eastAsia="zh-CN" w:bidi="ar-SA"/>
    </w:rPr>
  </w:style>
  <w:style w:type="paragraph" w:styleId="899" w:customStyle="1">
    <w:name w:val="标题 31"/>
    <w:basedOn w:val="863"/>
    <w:next w:val="898"/>
    <w:uiPriority w:val="0"/>
    <w:qFormat/>
    <w:pPr>
      <w:keepLines/>
      <w:keepNext/>
      <w:spacing w:before="260" w:after="260" w:line="416" w:lineRule="auto"/>
      <w:outlineLvl w:val="2"/>
    </w:pPr>
    <w:rPr>
      <w:rFonts w:ascii="Calibri" w:hAnsi="Calibri"/>
      <w:b/>
      <w:bCs/>
      <w:sz w:val="32"/>
      <w:szCs w:val="32"/>
    </w:rPr>
  </w:style>
  <w:style w:type="paragraph" w:styleId="900" w:customStyle="1">
    <w:name w:val="Char"/>
    <w:basedOn w:val="863"/>
    <w:uiPriority w:val="0"/>
    <w:qFormat/>
    <w:pPr>
      <w:ind w:firstLine="200"/>
      <w:tabs>
        <w:tab w:val="left" w:pos="360" w:leader="none"/>
      </w:tabs>
    </w:pPr>
    <w:rPr>
      <w:rFonts w:ascii="Times New Roman" w:hAnsi="Times New Roman"/>
      <w:sz w:val="28"/>
      <w:szCs w:val="30"/>
    </w:rPr>
  </w:style>
  <w:style w:type="character" w:styleId="901" w:customStyle="1">
    <w:name w:val="批注框文本 Char"/>
    <w:basedOn w:val="868"/>
    <w:link w:val="879"/>
    <w:uiPriority w:val="0"/>
    <w:qFormat/>
    <w:rPr>
      <w:sz w:val="18"/>
      <w:szCs w:val="18"/>
    </w:rPr>
  </w:style>
  <w:style w:type="paragraph" w:styleId="902" w:customStyle="1">
    <w:name w:val="正文（缩进）"/>
    <w:basedOn w:val="863"/>
    <w:uiPriority w:val="0"/>
    <w:qFormat/>
    <w:pPr>
      <w:ind w:firstLine="480"/>
    </w:pPr>
  </w:style>
  <w:style w:type="paragraph" w:styleId="903" w:customStyle="1">
    <w:name w:val="纯文本1"/>
    <w:basedOn w:val="863"/>
    <w:uiPriority w:val="99"/>
    <w:unhideWhenUsed/>
    <w:qFormat/>
    <w:rPr>
      <w:rFonts w:ascii="宋体" w:hAnsi="Courier New"/>
      <w:sz w:val="20"/>
      <w:szCs w:val="20"/>
    </w:rPr>
  </w:style>
  <w:style w:type="paragraph" w:styleId="904">
    <w:name w:val="List Paragraph"/>
    <w:basedOn w:val="863"/>
    <w:next w:val="874"/>
    <w:uiPriority w:val="34"/>
    <w:qFormat/>
    <w:pPr>
      <w:contextualSpacing/>
      <w:ind w:left="720"/>
    </w:p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高刘英</cp:lastModifiedBy>
  <cp:revision>23</cp:revision>
  <dcterms:created xsi:type="dcterms:W3CDTF">2014-10-29T12:08:00Z</dcterms:created>
  <dcterms:modified xsi:type="dcterms:W3CDTF">2026-05-28T08:09:36Z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A7035DB425774D1787877B4EDCAB0811_13</vt:lpwstr>
  </property>
  <property fmtid="{D5CDD505-2E9C-101B-9397-08002B2CF9AE}" pid="4" name="KSOTemplateDocerSaveRecord">
    <vt:lpwstr>eyJoZGlkIjoiMDA5YjIwN2VmYTE1MDYzMDE0MTdjYWI0YmJhZWY4NzciLCJ1c2VySWQiOiI5MjYyMTY5MDgifQ==</vt:lpwstr>
  </property>
</Properties>
</file>