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2" w:right="-1459" w:hanging="416"/>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南京鼓楼医院(含江北院区)</w:t>
      </w:r>
      <w:r/>
    </w:p>
    <w:p>
      <w:pPr>
        <w:ind w:left="-2" w:right="-1459" w:hanging="416"/>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食堂干调采购项目</w:t>
      </w:r>
      <w:r/>
    </w:p>
    <w:p>
      <w:pPr>
        <w:pStyle w:val="784"/>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784"/>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6"/>
        <w:jc w:val="center"/>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JSZC-320100-JITC-G2026-0143</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五</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11"/>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1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09"/>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09"/>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70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ind w:firstLine="569"/>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lang w:val="zh-CN"/>
          <w14:textFill>
            <w14:solidFill>
              <w14:schemeClr w14:val="tx1"/>
            </w14:solidFill>
          </w14:textFill>
        </w:rPr>
        <w:br w:type="page" w:clear="all"/>
      </w:r>
      <w:bookmarkEnd w:id="0"/>
      <w:r/>
      <w:bookmarkEnd w:id="1"/>
      <w:r/>
      <w:r/>
    </w:p>
    <w:p>
      <w:pPr>
        <w:pStyle w:val="801"/>
        <w:ind w:firstLine="3213"/>
        <w:jc w:val="both"/>
        <w:rPr>
          <w:rFonts w:hint="eastAsia" w:ascii="宋体" w:hAnsi="宋体" w:cs="宋体"/>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bCs/>
          <w:color w:val="000000" w:themeColor="text1"/>
          <w:szCs w:val="21"/>
          <w:highlight w:val="none"/>
          <w14:textFill>
            <w14:solidFill>
              <w14:schemeClr w14:val="tx1"/>
            </w14:solidFill>
          </w14:textFill>
        </w:rPr>
        <w:t xml:space="preserve">的潜在投标人应在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下载</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18</w:t>
      </w:r>
      <w:r>
        <w:rPr>
          <w:rFonts w:hint="eastAsia" w:ascii="宋体" w:hAnsi="宋体" w:cs="宋体"/>
          <w:bCs/>
          <w:color w:val="000000" w:themeColor="text1"/>
          <w:szCs w:val="21"/>
          <w:highlight w:val="none"/>
          <w:u w:val="single"/>
          <w14:textFill>
            <w14:solidFill>
              <w14:schemeClr w14:val="tx1"/>
            </w14:solidFill>
          </w14:textFill>
        </w:rPr>
        <w:t xml:space="preserve">日9:30（北京时间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JSZC-320100-JITC-G2026-0143</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南京鼓楼医院(含江北院区)食堂干调采购项目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375</w:t>
      </w:r>
      <w:r>
        <w:rPr>
          <w:rFonts w:hint="eastAsia" w:ascii="宋体" w:hAnsi="宋体" w:cs="宋体"/>
          <w:bCs/>
          <w:color w:val="000000" w:themeColor="text1"/>
          <w:szCs w:val="21"/>
          <w:highlight w:val="none"/>
          <w:lang w:eastAsia="zh-CN"/>
          <w14:textFill>
            <w14:solidFill>
              <w14:schemeClr w14:val="tx1"/>
            </w14:solidFill>
          </w14:textFill>
        </w:rPr>
        <w:t xml:space="preserve">万元（</w:t>
      </w:r>
      <w:r>
        <w:rPr>
          <w:rFonts w:hint="eastAsia" w:ascii="宋体" w:hAnsi="宋体" w:cs="宋体"/>
          <w:bCs/>
          <w:color w:val="000000" w:themeColor="text1"/>
          <w:szCs w:val="21"/>
          <w:highlight w:val="none"/>
          <w:lang w:val="en-US" w:eastAsia="zh-CN"/>
          <w14:textFill>
            <w14:solidFill>
              <w14:schemeClr w14:val="tx1"/>
            </w14:solidFill>
          </w14:textFill>
        </w:rPr>
        <w:t xml:space="preserve">其中本部干调预算 309 万元，江北院区干调预算 66 万元</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1.4最高限价：</w:t>
      </w:r>
      <w:r>
        <w:rPr>
          <w:rFonts w:hint="eastAsia"/>
          <w:color w:val="000000" w:themeColor="text1"/>
          <w:highlight w:val="none"/>
          <w:lang w:val="en-US" w:eastAsia="zh-CN"/>
          <w14:textFill>
            <w14:solidFill>
              <w14:schemeClr w14:val="tx1"/>
            </w14:solidFill>
          </w14:textFill>
        </w:rPr>
        <w:t xml:space="preserve">不设置。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1.5采购需求：为</w:t>
      </w:r>
      <w:r>
        <w:rPr>
          <w:rFonts w:hint="eastAsia" w:ascii="宋体" w:hAnsi="宋体" w:cs="宋体"/>
          <w:bCs/>
          <w:color w:val="000000" w:themeColor="text1"/>
          <w:szCs w:val="21"/>
          <w:highlight w:val="none"/>
          <w:lang w:val="en-US" w:eastAsia="zh-CN"/>
          <w14:textFill>
            <w14:solidFill>
              <w14:schemeClr w14:val="tx1"/>
            </w14:solidFill>
          </w14:textFill>
        </w:rPr>
        <w:t xml:space="preserve">采购人进行</w:t>
      </w:r>
      <w:r>
        <w:rPr>
          <w:rFonts w:hint="eastAsia" w:ascii="宋体" w:hAnsi="宋体" w:cs="宋体"/>
          <w:color w:val="000000" w:themeColor="text1"/>
          <w:szCs w:val="21"/>
          <w:highlight w:val="none"/>
          <w14:textFill>
            <w14:solidFill>
              <w14:schemeClr w14:val="tx1"/>
            </w14:solidFill>
          </w14:textFill>
        </w:rPr>
        <w:t xml:space="preserve">食堂干调</w:t>
      </w:r>
      <w:r>
        <w:rPr>
          <w:rFonts w:hint="eastAsia" w:ascii="宋体" w:hAnsi="宋体" w:cs="宋体"/>
          <w:bCs/>
          <w:color w:val="000000" w:themeColor="text1"/>
          <w:szCs w:val="21"/>
          <w:highlight w:val="none"/>
          <w:lang w:eastAsia="zh-CN"/>
          <w14:textFill>
            <w14:solidFill>
              <w14:schemeClr w14:val="tx1"/>
            </w14:solidFill>
          </w14:textFill>
        </w:rPr>
        <w:t xml:space="preserve">采购</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1.7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792690"/>
      <w:r/>
      <w:bookmarkStart w:id="14" w:name="_Toc93909067"/>
      <w:r/>
      <w:bookmarkStart w:id="15" w:name="_Toc80264699"/>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2.1.1法人或者其他组织的营业执照等证明文件，自然人的身份证明；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2024年度或2025年度</w:t>
      </w:r>
      <w:r>
        <w:rPr>
          <w:rFonts w:hint="eastAsia" w:ascii="宋体" w:hAnsi="宋体" w:cs="宋体"/>
          <w:bCs/>
          <w:color w:val="000000" w:themeColor="text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2.1.4有依法缴纳税收和社会保障资金的良好记录，提供本次采购活动前6个月内（</w:t>
      </w:r>
      <w:r>
        <w:rPr>
          <w:rFonts w:hint="eastAsia" w:ascii="宋体" w:hAnsi="宋体" w:cs="宋体"/>
          <w:bCs/>
          <w:color w:val="000000" w:themeColor="text1"/>
          <w:szCs w:val="21"/>
          <w:highlight w:val="none"/>
          <w:lang w:eastAsia="zh-CN"/>
          <w14:textFill>
            <w14:solidFill>
              <w14:schemeClr w14:val="tx1"/>
            </w14:solidFill>
          </w14:textFill>
        </w:rPr>
        <w:t xml:space="preserve">即2025年10月（含）以来</w:t>
      </w:r>
      <w:r>
        <w:rPr>
          <w:rFonts w:hint="eastAsia" w:ascii="宋体" w:hAnsi="宋体" w:cs="宋体"/>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其他资格要求：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若投标人为</w:t>
      </w:r>
      <w:r>
        <w:rPr>
          <w:rFonts w:hint="eastAsia" w:ascii="宋体" w:hAnsi="宋体" w:cs="宋体"/>
          <w:bCs/>
          <w:color w:val="000000" w:themeColor="text1"/>
          <w:szCs w:val="21"/>
          <w:highlight w:val="none"/>
          <w:lang w:val="en-US" w:eastAsia="zh-CN"/>
          <w14:textFill>
            <w14:solidFill>
              <w14:schemeClr w14:val="tx1"/>
            </w14:solidFill>
          </w14:textFill>
        </w:rPr>
        <w:t xml:space="preserve">食品销售企业</w:t>
      </w:r>
      <w:r>
        <w:rPr>
          <w:rFonts w:hint="eastAsia" w:ascii="宋体" w:hAnsi="宋体" w:cs="宋体"/>
          <w:bCs/>
          <w:color w:val="000000" w:themeColor="text1"/>
          <w:szCs w:val="21"/>
          <w:highlight w:val="none"/>
          <w14:textFill>
            <w14:solidFill>
              <w14:schemeClr w14:val="tx1"/>
            </w14:solidFill>
          </w14:textFill>
        </w:rPr>
        <w:t xml:space="preserve">的须具有行业主管部门颁发的《食品经营许可证》</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提供证书复印件，如供应商仅销售预包装食品，可提供相应有效证明材料</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）投标人若为生产型企业且仅销售其生产的产品的，还须提供《食品生产许可证》</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bookmarkStart w:id="19" w:name="_Toc80792691"/>
      <w:r/>
      <w:bookmarkStart w:id="20" w:name="_Toc96347854"/>
      <w:r/>
      <w:bookmarkStart w:id="21"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获取地点：江苏政府采购网系统内注册登记成功后</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下载</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w:t>
      </w:r>
      <w:r>
        <w:rPr>
          <w:rFonts w:hint="eastAsia" w:ascii="Microsoft New Tai Lue" w:hAnsi="Microsoft New Tai Lue" w:eastAsia="宋体" w:cs="Microsoft New Tai Lue"/>
          <w:bCs/>
          <w:color w:val="000000" w:themeColor="text1"/>
          <w:szCs w:val="21"/>
          <w:highlight w:val="none"/>
          <w14:textFill>
            <w14:solidFill>
              <w14:schemeClr w14:val="tx1"/>
            </w14:solidFill>
          </w14:textFill>
        </w:rPr>
        <w:t xml:space="preserve">：0元。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22" w:name="_Toc80792693"/>
      <w:r/>
      <w:bookmarkStart w:id="23" w:name="_Toc96347855"/>
      <w:r/>
      <w:bookmarkStart w:id="24"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eastAsia="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Cs w:val="21"/>
          <w:highlight w:val="none"/>
          <w14:textFill>
            <w14:solidFill>
              <w14:schemeClr w14:val="tx1"/>
            </w14:solidFill>
          </w14:textFill>
        </w:rPr>
        <w:t xml:space="preserve">日9：30（北京时间）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5" w:name="_Toc96347856"/>
      <w:r/>
      <w:bookmarkStart w:id="26"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7" w:name="_Toc80264702"/>
      <w:r/>
      <w:bookmarkStart w:id="28" w:name="_Toc80792694"/>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sdt>
        <w:sdtPr>
          <w15:appearance w15:val="boundingBox"/>
          <w:id w:val="147480598"/>
          <w:placeholder>
            <w:docPart w:val="{3c167147-c3f6-44e3-a5c6-d04c04d28542}"/>
          </w:placeholder>
          <w:rPr>
            <w:rFonts w:hint="eastAsia" w:ascii="宋体" w:hAnsi="宋体" w:cs="宋体"/>
            <w:color w:val="000000" w:themeColor="text1"/>
            <w:szCs w:val="21"/>
            <w:highlight w:val="none"/>
            <w14:textFill>
              <w14:solidFill>
                <w14:schemeClr w14:val="tx1"/>
              </w14:solidFill>
            </w14:textFill>
          </w:rPr>
        </w:sdtPr>
        <w:sdtContent>
          <w:r>
            <w:rPr>
              <w:rFonts w:hint="eastAsia" w:ascii="宋体" w:hAnsi="宋体" w:cs="宋体"/>
              <w:color w:val="000000" w:themeColor="text1"/>
              <w:szCs w:val="21"/>
              <w:highlight w:val="none"/>
              <w14:textFill>
                <w14:solidFill>
                  <w14:schemeClr w14:val="tx1"/>
                </w14:solidFill>
              </w14:textFill>
            </w:rPr>
            <w:t xml:space="preserve">南京市中山路321号</w:t>
          </w:r>
        </w:sdtContent>
      </w:sd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鲁</w:t>
      </w:r>
      <w:r>
        <w:rPr>
          <w:rFonts w:hint="eastAsia" w:ascii="宋体" w:hAnsi="宋体" w:cs="宋体"/>
          <w:color w:val="000000" w:themeColor="text1"/>
          <w:szCs w:val="21"/>
          <w:highlight w:val="none"/>
          <w14:textFill>
            <w14:solidFill>
              <w14:schemeClr w14:val="tx1"/>
            </w14:solidFill>
          </w14:textFill>
        </w:rPr>
        <w:t xml:space="preserve">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025-83105762</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马翊然、高颖</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呼禹、宗超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史平华、马继烨</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rPr>
          <w:rFonts w:hint="eastAsia" w:ascii="宋体" w:hAnsi="宋体" w:cs="宋体"/>
          <w:color w:val="000000" w:themeColor="text1"/>
          <w:szCs w:val="21"/>
          <w:highlight w:val="none"/>
          <w:lang w:val="en-US" w:eastAsia="zh-CN"/>
          <w14:textFill>
            <w14:solidFill>
              <w14:schemeClr w14:val="tx1"/>
            </w14:solidFill>
          </w14:textFill>
        </w:rPr>
        <w:t xml:space="preserve">18805151053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马翊然、高颖</w:t>
      </w:r>
      <w:r>
        <w:rPr>
          <w:rFonts w:hint="eastAsia" w:ascii="宋体" w:hAnsi="宋体" w:cs="宋体"/>
          <w:color w:val="000000" w:themeColor="text1"/>
          <w:szCs w:val="21"/>
          <w:highlight w:val="none"/>
          <w14:textFill>
            <w14:solidFill>
              <w14:schemeClr w14:val="tx1"/>
            </w14:solidFill>
          </w14:textFill>
        </w:rPr>
        <w:t xml:space="preserve">、宗超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w:t>
      </w:r>
      <w:r>
        <w:rPr>
          <w:rFonts w:hint="eastAsia" w:ascii="宋体" w:hAnsi="宋体" w:cs="宋体"/>
          <w:color w:val="000000" w:themeColor="text1"/>
          <w:szCs w:val="21"/>
          <w:highlight w:val="none"/>
          <w14:textFill>
            <w14:solidFill>
              <w14:schemeClr w14:val="tx1"/>
            </w14:solidFill>
          </w14:textFill>
        </w:rPr>
        <w:t xml:space="preserve">呼禹</w:t>
      </w:r>
      <w:r>
        <w:rPr>
          <w:rFonts w:hint="eastAsia" w:ascii="宋体" w:hAnsi="宋体" w:cs="宋体"/>
          <w:color w:val="000000" w:themeColor="text1"/>
          <w:szCs w:val="21"/>
          <w:highlight w:val="none"/>
          <w:lang w:val="en-US" w:eastAsia="zh-CN"/>
          <w14:textFill>
            <w14:solidFill>
              <w14:schemeClr w14:val="tx1"/>
            </w14:solidFill>
          </w14:textFill>
        </w:rPr>
        <w:t xml:space="preserve">、马继烨</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rPr>
          <w:rFonts w:hint="eastAsia"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2"/>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7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03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103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103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103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tcPr>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联系人：鲁老师</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联系方式：025-83105762</w:t>
            </w:r>
            <w:r/>
          </w:p>
        </w:tc>
      </w:tr>
      <w:tr>
        <w:trPr>
          <w:jc w:val="center"/>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马翊然、高颖</w:t>
            </w:r>
            <w:r>
              <w:rPr>
                <w:rFonts w:hint="eastAsia"/>
                <w:color w:val="000000" w:themeColor="text1"/>
                <w:sz w:val="21"/>
                <w:szCs w:val="21"/>
                <w:highlight w:val="none"/>
                <w:lang w:val="en-US" w:bidi="ar-SA"/>
                <w14:textFill>
                  <w14:solidFill>
                    <w14:schemeClr w14:val="tx1"/>
                  </w14:solidFill>
                </w14:textFill>
              </w:rPr>
              <w:t xml:space="preserve">、宗超、史平华、呼禹</w:t>
            </w:r>
            <w:r/>
          </w:p>
          <w:p>
            <w:pPr>
              <w:pStyle w:val="103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778"/>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033"/>
              <w:jc w:val="left"/>
              <w:spacing w:line="360" w:lineRule="auto"/>
              <w:rPr>
                <w:rFonts w:hint="eastAsia" w:hAnsi="宋体" w:cs="宋体"/>
                <w:b/>
                <w:bCs w:val="0"/>
                <w:color w:val="000000" w:themeColor="text1"/>
                <w:sz w:val="21"/>
                <w:highlight w:val="none"/>
                <w14:textFill>
                  <w14:solidFill>
                    <w14:schemeClr w14:val="tx1"/>
                  </w14:solidFill>
                </w14:textFill>
              </w:rPr>
            </w:pPr>
            <w:r>
              <w:rPr>
                <w:rFonts w:hint="eastAsia" w:hAnsi="宋体" w:cs="宋体"/>
                <w:b/>
                <w:bCs w:val="0"/>
                <w:color w:val="000000" w:themeColor="text1"/>
                <w:highlight w:val="none"/>
                <w14:textFill>
                  <w14:solidFill>
                    <w14:schemeClr w14:val="tx1"/>
                  </w14:solidFill>
                </w14:textFill>
              </w:rPr>
              <w:t xml:space="preserve">★</w:t>
            </w:r>
            <w:r>
              <w:rPr>
                <w:rFonts w:hint="eastAsia" w:hAnsi="宋体" w:cs="宋体"/>
                <w:b/>
                <w:bCs w:val="0"/>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44"/>
              <w:contextualSpacing/>
              <w:ind w:firstLine="0"/>
              <w:jc w:val="left"/>
              <w:spacing w:line="360" w:lineRule="auto"/>
              <w:rPr>
                <w:rFonts w:hint="default" w:hAnsi="宋体" w:eastAsia="宋体" w:cs="宋体"/>
                <w:b/>
                <w:bCs w:val="0"/>
                <w:color w:val="000000" w:themeColor="text1"/>
                <w:highlight w:val="none"/>
                <w:lang w:val="en-US" w:eastAsia="zh-CN"/>
                <w14:textFill>
                  <w14:solidFill>
                    <w14:schemeClr w14:val="tx1"/>
                  </w14:solidFill>
                </w14:textFill>
              </w:rPr>
            </w:pPr>
            <w:r>
              <w:rPr>
                <w:rFonts w:hint="eastAsia" w:hAnsi="宋体" w:cs="宋体"/>
                <w:b/>
                <w:bCs w:val="0"/>
                <w:color w:val="000000" w:themeColor="text1"/>
                <w:sz w:val="21"/>
                <w:highlight w:val="none"/>
                <w14:textFill>
                  <w14:solidFill>
                    <w14:schemeClr w14:val="tx1"/>
                  </w14:solidFill>
                </w14:textFill>
              </w:rPr>
              <w:t xml:space="preserve">投标报价</w:t>
            </w:r>
            <w:r>
              <w:rPr>
                <w:rFonts w:hint="eastAsia"/>
                <w:b/>
                <w:bCs w:val="0"/>
                <w:color w:val="000000" w:themeColor="text1"/>
                <w:highlight w:val="none"/>
                <w:lang w:val="en-US" w:eastAsia="zh-CN"/>
                <w14:textFill>
                  <w14:solidFill>
                    <w14:schemeClr w14:val="tx1"/>
                  </w14:solidFill>
                </w14:textFill>
              </w:rPr>
              <w:t xml:space="preserve">要求：详见第四章采购需求“八、报价与结算要求”。</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1033"/>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5</w:t>
            </w:r>
            <w:r>
              <w:rPr>
                <w:rFonts w:hint="eastAsia" w:hAnsi="宋体" w:cs="宋体"/>
                <w:bCs/>
                <w:color w:val="000000" w:themeColor="text1"/>
                <w:sz w:val="21"/>
                <w:highlight w:val="none"/>
                <w14:textFill>
                  <w14:solidFill>
                    <w14:schemeClr w14:val="tx1"/>
                  </w14:solidFill>
                </w14:textFill>
              </w:rPr>
              <w:t xml:space="preserve">人及以上单数。</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default" w:hAnsi="宋体" w:cs="宋体"/>
                <w:bCs/>
                <w:color w:val="000000" w:themeColor="text1"/>
                <w:sz w:val="21"/>
                <w:highlight w:val="none"/>
                <w:lang w:val="en-US" w:eastAsia="zh-CN"/>
                <w14:textFill>
                  <w14:solidFill>
                    <w14:schemeClr w14:val="tx1"/>
                  </w14:solidFill>
                </w14:textFill>
              </w:rPr>
              <w:t xml:space="preserve">本项目不设置</w:t>
            </w:r>
            <w:r/>
          </w:p>
        </w:tc>
      </w:tr>
      <w:tr>
        <w:trPr>
          <w:jc w:val="center"/>
          <w:trHeight w:val="922"/>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1033"/>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1033"/>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1033"/>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387"/>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■本项目中标供应商须于合同签约前缴纳履约保证金人民币</w:t>
            </w:r>
            <w:r>
              <w:rPr>
                <w:rFonts w:hint="eastAsia" w:hAnsi="宋体" w:cs="宋体"/>
                <w:bCs/>
                <w:color w:val="000000" w:themeColor="text1"/>
                <w:sz w:val="21"/>
                <w:highlight w:val="none"/>
                <w:lang w:val="en-US" w:eastAsia="zh-CN"/>
                <w14:textFill>
                  <w14:solidFill>
                    <w14:schemeClr w14:val="tx1"/>
                  </w14:solidFill>
                </w14:textFill>
              </w:rPr>
              <w:t xml:space="preserve">15</w:t>
            </w:r>
            <w:r>
              <w:rPr>
                <w:rFonts w:hint="eastAsia" w:hAnsi="宋体" w:cs="宋体"/>
                <w:bCs/>
                <w:color w:val="000000" w:themeColor="text1"/>
                <w:sz w:val="21"/>
                <w:highlight w:val="none"/>
                <w14:textFill>
                  <w14:solidFill>
                    <w14:schemeClr w14:val="tx1"/>
                  </w14:solidFill>
                </w14:textFill>
              </w:rPr>
              <w:t xml:space="preserve">万元。</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784"/>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784"/>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877"/>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w:t>
            </w:r>
            <w:r>
              <w:rPr>
                <w:rFonts w:hint="eastAsia" w:ascii="Times New Roman" w:hAnsi="宋体" w:eastAsia="宋体" w:cs="宋体"/>
                <w:bCs/>
                <w:color w:val="000000" w:themeColor="text1"/>
                <w:highlight w:val="none"/>
                <w14:textFill>
                  <w14:solidFill>
                    <w14:schemeClr w14:val="tx1"/>
                  </w14:solidFill>
                </w14:textFill>
              </w:rPr>
              <w:t xml:space="preserve">按计价格[2002]1980号文件货物类40%一次性足额向采购代理机构缴纳采购代理服务费用。</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jc w:val="left"/>
              <w:spacing w:line="360" w:lineRule="auto"/>
              <w:rPr>
                <w:rFonts w:hint="default" w:eastAsia="宋体"/>
                <w:lang w:val="en-US" w:eastAsia="zh-CN"/>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25"/>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标的对应的中小企业划分标准所属行业：批发业</w:t>
            </w:r>
            <w:r/>
          </w:p>
        </w:tc>
      </w:tr>
      <w:tr>
        <w:trPr>
          <w:jc w:val="center"/>
          <w:trHeight w:val="656"/>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3"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
                <w:bCs w:val="0"/>
                <w:color w:val="000000" w:themeColor="text1"/>
                <w:sz w:val="21"/>
                <w:highlight w:val="none"/>
                <w:lang w:val="en-US" w:eastAsia="zh-CN"/>
                <w14:textFill>
                  <w14:solidFill>
                    <w14:schemeClr w14:val="tx1"/>
                  </w14:solidFill>
                </w14:textFill>
              </w:rPr>
            </w:pPr>
            <w:r>
              <w:rPr>
                <w:rFonts w:hint="eastAsia" w:hAnsi="宋体" w:cs="宋体"/>
                <w:b/>
                <w:bCs w:val="0"/>
                <w:color w:val="000000" w:themeColor="text1"/>
                <w:sz w:val="21"/>
                <w:highlight w:val="none"/>
                <w:lang w:val="en-US" w:eastAsia="zh-CN"/>
                <w14:textFill>
                  <w14:solidFill>
                    <w14:schemeClr w14:val="tx1"/>
                  </w14:solidFill>
                </w14:textFill>
              </w:rPr>
              <w:t xml:space="preserve">异常低价认定：</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3"/>
              <w:spacing w:line="360" w:lineRule="auto"/>
              <w:rPr>
                <w:rFonts w:hint="default" w:hAnsi="宋体" w:cs="宋体"/>
                <w:b/>
                <w:bCs w:val="0"/>
                <w:color w:val="000000" w:themeColor="text1"/>
                <w:sz w:val="21"/>
                <w:highlight w:val="none"/>
                <w:lang w:val="en-US" w:eastAsia="zh-CN"/>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4"/>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01"/>
        <w:ind w:firstLine="569"/>
        <w:rPr>
          <w:rFonts w:hint="eastAsia" w:ascii="宋体" w:hAnsi="宋体" w:cs="宋体"/>
          <w:color w:val="000000" w:themeColor="text1"/>
          <w:highlight w:val="none"/>
          <w14:textFill>
            <w14:solidFill>
              <w14:schemeClr w14:val="tx1"/>
            </w14:solidFill>
          </w14:textFill>
        </w:rPr>
      </w:pPr>
      <w:r/>
      <w:bookmarkStart w:id="34" w:name="_Toc107246213"/>
      <w:r/>
      <w:bookmarkStart w:id="35" w:name="_Toc103848526"/>
      <w:r/>
      <w:bookmarkStart w:id="36" w:name="_Toc104560837"/>
      <w:r/>
      <w:bookmarkStart w:id="37" w:name="_Toc100905199"/>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107246215"/>
      <w:r/>
      <w:bookmarkStart w:id="41" w:name="_Toc100905201"/>
      <w:r/>
      <w:bookmarkStart w:id="42" w:name="_Toc104560839"/>
      <w:r/>
      <w:bookmarkStart w:id="43" w:name="_Toc96347862"/>
      <w:r/>
      <w:bookmarkStart w:id="44" w:name="_Toc103848528"/>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103848529"/>
      <w:r/>
      <w:bookmarkStart w:id="46" w:name="_Toc107246216"/>
      <w:r/>
      <w:bookmarkStart w:id="47" w:name="_Toc100905202"/>
      <w:r/>
      <w:bookmarkStart w:id="48" w:name="_Toc96347863"/>
      <w:r/>
      <w:bookmarkStart w:id="49" w:name="_Toc104560840"/>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3848530"/>
      <w:r/>
      <w:bookmarkStart w:id="51" w:name="_Toc107246217"/>
      <w:r/>
      <w:bookmarkStart w:id="52" w:name="_Toc104560841"/>
      <w:r/>
      <w:bookmarkStart w:id="53" w:name="_Toc96347864"/>
      <w:r/>
      <w:bookmarkStart w:id="54" w:name="_Toc100905203"/>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4560842"/>
      <w:r/>
      <w:bookmarkStart w:id="58" w:name="_Toc107246218"/>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0905205"/>
      <w:r/>
      <w:bookmarkStart w:id="60" w:name="_Toc96347865"/>
      <w:r/>
      <w:bookmarkStart w:id="61" w:name="_Toc104560843"/>
      <w:r/>
      <w:bookmarkStart w:id="62" w:name="_Toc103848532"/>
      <w:r/>
      <w:bookmarkStart w:id="63" w:name="_Toc107246219"/>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7246220"/>
      <w:r/>
      <w:bookmarkStart w:id="66" w:name="_Toc104560844"/>
      <w:r/>
      <w:bookmarkStart w:id="67" w:name="_Toc103848533"/>
      <w:r/>
      <w:bookmarkStart w:id="68" w:name="_Toc96347866"/>
      <w:r/>
      <w:bookmarkStart w:id="69" w:name="_Toc100905206"/>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100905207"/>
      <w:r/>
      <w:bookmarkStart w:id="71"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4560845"/>
      <w:r/>
      <w:bookmarkStart w:id="73" w:name="_Toc103848534"/>
      <w:r/>
      <w:bookmarkStart w:id="74"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4560846"/>
      <w:r/>
      <w:bookmarkStart w:id="76" w:name="_Toc96347868"/>
      <w:r/>
      <w:bookmarkStart w:id="77" w:name="_Toc100905208"/>
      <w:r/>
      <w:bookmarkStart w:id="78" w:name="_Toc103848535"/>
      <w:r/>
      <w:bookmarkStart w:id="79" w:name="_Toc107246222"/>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2117275"/>
      <w:r/>
      <w:bookmarkStart w:id="81"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7246224"/>
      <w:r/>
      <w:bookmarkStart w:id="83" w:name="_Toc103848536"/>
      <w:r/>
      <w:bookmarkStart w:id="84" w:name="_Toc100905210"/>
      <w:r/>
      <w:bookmarkStart w:id="85" w:name="_Toc104560847"/>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7246225"/>
      <w:r/>
      <w:bookmarkStart w:id="88" w:name="_Toc104560848"/>
      <w:r/>
      <w:bookmarkStart w:id="89" w:name="_Toc100905213"/>
      <w:r/>
      <w:bookmarkStart w:id="90" w:name="_Toc103848537"/>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7246226"/>
      <w:r/>
      <w:bookmarkStart w:id="93" w:name="_Toc104560849"/>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3848538"/>
      <w:r/>
      <w:bookmarkStart w:id="95" w:name="_Toc104560850"/>
      <w:r/>
      <w:bookmarkStart w:id="96" w:name="_Toc100905214"/>
      <w:r/>
      <w:bookmarkStart w:id="97" w:name="_Toc107246227"/>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7246228"/>
      <w:r/>
      <w:bookmarkStart w:id="99"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4560852"/>
      <w:r/>
      <w:bookmarkStart w:id="101"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4560854"/>
      <w:r/>
      <w:bookmarkStart w:id="104" w:name="_Toc107246231"/>
      <w:r/>
      <w:bookmarkStart w:id="105" w:name="_Toc103848540"/>
      <w:r/>
      <w:bookmarkStart w:id="106" w:name="_Toc100905217"/>
      <w:r/>
      <w:bookmarkStart w:id="107" w:name="_Toc96347871"/>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pStyle w:val="1033"/>
        <w:ind w:firstLine="42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8"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8"/>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9" w:name="_Toc103848541"/>
      <w:r/>
      <w:bookmarkStart w:id="110" w:name="_Toc100905218"/>
      <w:r/>
      <w:bookmarkStart w:id="111" w:name="_Toc107246232"/>
      <w:r/>
      <w:bookmarkStart w:id="112" w:name="_Toc104560855"/>
      <w:r/>
      <w:bookmarkStart w:id="113" w:name="_Toc96347873"/>
      <w:r>
        <w:rPr>
          <w:rFonts w:hint="eastAsia" w:ascii="宋体" w:hAnsi="宋体" w:cs="宋体"/>
          <w:color w:val="000000" w:themeColor="text1"/>
          <w:highlight w:val="none"/>
          <w14:textFill>
            <w14:solidFill>
              <w14:schemeClr w14:val="tx1"/>
            </w14:solidFill>
          </w14:textFill>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104560856"/>
      <w:r/>
      <w:bookmarkStart w:id="116" w:name="_Toc91836558"/>
      <w:r/>
      <w:bookmarkStart w:id="117" w:name="_Toc107246233"/>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4560857"/>
      <w:r/>
      <w:bookmarkStart w:id="120" w:name="_Toc107246234"/>
      <w:r/>
      <w:bookmarkStart w:id="121" w:name="_Toc103848543"/>
      <w:r/>
      <w:bookmarkStart w:id="122" w:name="_Toc100905221"/>
      <w:r/>
      <w:bookmarkStart w:id="123"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4560858"/>
      <w:r/>
      <w:bookmarkStart w:id="125"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w:t>
      </w:r>
      <w:r>
        <w:rPr>
          <w:rFonts w:hint="eastAsia" w:ascii="宋体" w:hAnsi="宋体" w:cs="宋体"/>
          <w:color w:val="000000" w:themeColor="text1"/>
          <w:szCs w:val="21"/>
          <w:highlight w:val="none"/>
          <w:lang w:val="en-US" w:eastAsia="zh-CN"/>
          <w14:textFill>
            <w14:solidFill>
              <w14:schemeClr w14:val="tx1"/>
            </w14:solidFill>
          </w14:textFill>
        </w:rPr>
        <w:t xml:space="preserve">招标代理服务费、</w:t>
      </w:r>
      <w:r>
        <w:rPr>
          <w:rFonts w:hint="eastAsia" w:ascii="宋体" w:hAnsi="宋体" w:cs="宋体"/>
          <w:color w:val="000000" w:themeColor="text1"/>
          <w:szCs w:val="21"/>
          <w:highlight w:val="none"/>
          <w14:textFill>
            <w14:solidFill>
              <w14:schemeClr w14:val="tx1"/>
            </w14:solidFill>
          </w14:textFill>
        </w:rPr>
        <w:t xml:space="preserve">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7246237"/>
      <w:r/>
      <w:bookmarkStart w:id="128" w:name="_Toc103848545"/>
      <w:r/>
      <w:bookmarkStart w:id="129" w:name="_Toc100905224"/>
      <w:r/>
      <w:bookmarkStart w:id="130" w:name="_Toc104560859"/>
      <w:r/>
      <w:bookmarkStart w:id="131" w:name="_Toc103848544"/>
      <w:r/>
      <w:bookmarkStart w:id="132" w:name="_Toc100905223"/>
      <w:r/>
      <w:bookmarkStart w:id="133" w:name="_Toc96347878"/>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7246238"/>
      <w:r/>
      <w:bookmarkStart w:id="135" w:name="_Toc104560860"/>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420657357"/>
      <w:r/>
      <w:bookmarkStart w:id="137" w:name="_Toc68159552"/>
      <w:r/>
      <w:bookmarkStart w:id="138" w:name="_Toc420487862"/>
      <w:r/>
      <w:bookmarkStart w:id="139" w:name="_Toc519241651"/>
      <w:r/>
      <w:bookmarkStart w:id="140" w:name="_Toc96347879"/>
      <w:r/>
      <w:bookmarkStart w:id="141" w:name="_Toc466452044"/>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96347880"/>
      <w:r/>
      <w:bookmarkStart w:id="144" w:name="_Toc104560861"/>
      <w:r/>
      <w:bookmarkStart w:id="145" w:name="_Toc100905225"/>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761"/>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0905226"/>
      <w:r/>
      <w:bookmarkStart w:id="149" w:name="_Toc103848548"/>
      <w:r/>
      <w:bookmarkStart w:id="150" w:name="_Toc104560863"/>
      <w:r/>
      <w:bookmarkStart w:id="151" w:name="_Toc96347881"/>
      <w:r/>
      <w:bookmarkStart w:id="152" w:name="_Toc107246241"/>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89586904"/>
      <w:r/>
      <w:bookmarkStart w:id="154" w:name="_Toc103848549"/>
      <w:r/>
      <w:bookmarkStart w:id="155" w:name="_Toc11952"/>
      <w:r/>
      <w:bookmarkStart w:id="156" w:name="_Toc11464"/>
      <w:r/>
      <w:bookmarkStart w:id="157" w:name="_Toc40202948"/>
      <w:r/>
      <w:bookmarkStart w:id="158" w:name="_Toc51928343"/>
      <w:r/>
      <w:bookmarkStart w:id="159" w:name="_Toc91399404"/>
      <w:r/>
      <w:bookmarkStart w:id="160" w:name="_Toc48151397"/>
      <w:r/>
      <w:bookmarkStart w:id="161" w:name="_Toc38933357"/>
      <w:r/>
      <w:bookmarkStart w:id="162" w:name="_Toc38931800"/>
      <w:r/>
      <w:bookmarkStart w:id="163" w:name="_Toc97561941"/>
      <w:r/>
      <w:bookmarkStart w:id="164" w:name="_Toc4536"/>
      <w:r/>
      <w:bookmarkStart w:id="165" w:name="_Toc46939510"/>
      <w:r/>
      <w:bookmarkStart w:id="166" w:name="_Toc100905227"/>
      <w:r/>
      <w:bookmarkStart w:id="167" w:name="_Toc5042"/>
      <w:r/>
      <w:bookmarkStart w:id="168" w:name="_Toc469850063"/>
      <w:r/>
      <w:bookmarkStart w:id="169" w:name="_Toc50528805"/>
      <w:r/>
      <w:bookmarkStart w:id="170" w:name="_Toc46960670"/>
      <w:r/>
      <w:bookmarkStart w:id="171" w:name="_Toc38931614"/>
      <w:r/>
      <w:bookmarkStart w:id="172" w:name="_Toc19963"/>
      <w:r/>
      <w:bookmarkStart w:id="173" w:name="_Toc96347882"/>
      <w:r/>
      <w:bookmarkStart w:id="174" w:name="_Toc46219699"/>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4560864"/>
      <w:r/>
      <w:bookmarkStart w:id="176" w:name="_Toc107246242"/>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3848550"/>
      <w:r/>
      <w:bookmarkStart w:id="179" w:name="_Toc104560865"/>
      <w:r/>
      <w:bookmarkStart w:id="180" w:name="_Toc107246243"/>
      <w:r/>
      <w:bookmarkStart w:id="181"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3848551"/>
      <w:r/>
      <w:bookmarkStart w:id="184" w:name="_Toc104560866"/>
      <w:r/>
      <w:bookmarkStart w:id="185" w:name="_Toc107246244"/>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4560868"/>
      <w:r/>
      <w:bookmarkStart w:id="189" w:name="_Toc100905230"/>
      <w:r/>
      <w:bookmarkStart w:id="190" w:name="_Toc107246246"/>
      <w:r/>
      <w:bookmarkStart w:id="191" w:name="_Toc103848553"/>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9"/>
      <w:r/>
      <w:bookmarkStart w:id="198" w:name="_Toc104560870"/>
      <w:r/>
      <w:bookmarkStart w:id="199"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4560871"/>
      <w:r/>
      <w:bookmarkStart w:id="201" w:name="_Toc103848556"/>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4560872"/>
      <w:r/>
      <w:bookmarkStart w:id="204" w:name="_Toc103848557"/>
      <w:r/>
      <w:bookmarkStart w:id="205"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3"/>
      <w:r/>
      <w:bookmarkStart w:id="208" w:name="_Toc10456087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3848559"/>
      <w:r/>
      <w:bookmarkStart w:id="211" w:name="_Toc104560874"/>
      <w:r/>
      <w:bookmarkStart w:id="212" w:name="_Toc107246254"/>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61"/>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7246256"/>
      <w:r/>
      <w:bookmarkStart w:id="215" w:name="_Toc104560876"/>
      <w:r/>
      <w:bookmarkStart w:id="216"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1" w:name="_Toc104560879"/>
      <w:r/>
      <w:bookmarkStart w:id="222" w:name="_Toc107246259"/>
      <w:r/>
      <w:bookmarkStart w:id="223"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3848560"/>
      <w:r/>
      <w:bookmarkStart w:id="225"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3848565"/>
      <w:r/>
      <w:bookmarkStart w:id="228" w:name="_Toc107246261"/>
      <w:r/>
      <w:bookmarkStart w:id="229" w:name="_Toc104560880"/>
      <w:r/>
      <w:bookmarkStart w:id="230" w:name="_Toc20823309"/>
      <w:r/>
      <w:bookmarkStart w:id="231" w:name="_Toc513029237"/>
      <w:r/>
      <w:bookmarkStart w:id="232" w:name="_Toc16938553"/>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4560881"/>
      <w:r/>
      <w:bookmarkStart w:id="234" w:name="_Toc103848567"/>
      <w:r/>
      <w:bookmarkStart w:id="235" w:name="_Toc107246262"/>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4560883"/>
      <w:r/>
      <w:bookmarkStart w:id="239" w:name="_Toc102117305"/>
      <w:r/>
      <w:bookmarkStart w:id="240" w:name="_Toc107246264"/>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2117306"/>
      <w:r/>
      <w:bookmarkStart w:id="242" w:name="_Toc107246265"/>
      <w:r/>
      <w:bookmarkStart w:id="243" w:name="_Toc104560884"/>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4560886"/>
      <w:r/>
      <w:bookmarkStart w:id="246" w:name="_Toc107246267"/>
      <w:r/>
      <w:bookmarkStart w:id="247"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详</w:t>
      </w:r>
      <w:r>
        <w:rPr>
          <w:rFonts w:hint="eastAsia" w:ascii="宋体" w:hAnsi="宋体" w:cs="宋体"/>
          <w:color w:val="000000" w:themeColor="text1"/>
          <w:szCs w:val="21"/>
          <w:highlight w:val="none"/>
          <w14:textFill>
            <w14:solidFill>
              <w14:schemeClr w14:val="tx1"/>
            </w14:solidFill>
          </w14:textFill>
        </w:rPr>
        <w:t xml:space="preserve">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4560887"/>
      <w:r/>
      <w:bookmarkStart w:id="249" w:name="_Toc107246268"/>
      <w:r/>
      <w:bookmarkStart w:id="250"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7246269"/>
      <w:r/>
      <w:bookmarkStart w:id="252" w:name="_Toc103848574"/>
      <w:r/>
      <w:bookmarkStart w:id="253"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01"/>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4" w:name="_Toc91836563"/>
      <w:r/>
      <w:bookmarkStart w:id="255" w:name="_Toc107246271"/>
      <w:r/>
      <w:bookmarkStart w:id="256" w:name="_Toc91836564"/>
      <w:r/>
      <w:bookmarkStart w:id="257" w:name="_Toc107246272"/>
      <w:r>
        <w:rPr>
          <w:rFonts w:hint="eastAsia" w:ascii="宋体" w:hAnsi="宋体" w:cs="宋体"/>
          <w:color w:val="000000" w:themeColor="text1"/>
          <w:highlight w:val="none"/>
          <w14:textFill>
            <w14:solidFill>
              <w14:schemeClr w14:val="tx1"/>
            </w14:solidFill>
          </w14:textFill>
        </w:rPr>
        <w:br w:type="page" w:clear="all"/>
      </w:r>
      <w:bookmarkStart w:id="258"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8"/>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参考</w:t>
      </w:r>
      <w:r>
        <w:rPr>
          <w:rFonts w:hint="eastAsia"/>
          <w:color w:val="000000" w:themeColor="text1"/>
          <w:highlight w:val="none"/>
          <w:lang w:eastAsia="zh-CN"/>
          <w14:textFill>
            <w14:solidFill>
              <w14:schemeClr w14:val="tx1"/>
            </w14:solidFill>
          </w14:textFill>
        </w:rPr>
        <w:t xml:space="preserve">）</w:t>
      </w:r>
      <w:r/>
    </w:p>
    <w:p>
      <w:pPr>
        <w:jc w:val="left"/>
        <w:rPr>
          <w:rFonts w:hint="eastAsia" w:hAnsi="宋体" w:cs="宋体"/>
          <w:b w:val="0"/>
          <w:color w:val="000000" w:themeColor="text1"/>
          <w:position w:val="0"/>
          <w:szCs w:val="24"/>
          <w:highlight w:val="none"/>
          <w:lang w:val="zh-CN"/>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以下为</w:t>
      </w:r>
      <w:r>
        <w:rPr>
          <w:rFonts w:hint="eastAsia" w:hAnsi="宋体" w:cs="宋体"/>
          <w:b w:val="0"/>
          <w:color w:val="000000" w:themeColor="text1"/>
          <w:position w:val="0"/>
          <w:szCs w:val="24"/>
          <w:highlight w:val="none"/>
          <w:lang w:val="zh-CN"/>
          <w14:textFill>
            <w14:solidFill>
              <w14:schemeClr w14:val="tx1"/>
            </w14:solidFill>
          </w14:textFill>
        </w:rPr>
        <w:t xml:space="preserve">中标</w:t>
      </w:r>
      <w:r>
        <w:rPr>
          <w:rFonts w:hAnsi="宋体" w:cs="宋体"/>
          <w:b w:val="0"/>
          <w:color w:val="000000" w:themeColor="text1"/>
          <w:position w:val="0"/>
          <w:szCs w:val="24"/>
          <w:highlight w:val="none"/>
          <w:lang w:val="zh-CN"/>
          <w14:textFill>
            <w14:solidFill>
              <w14:schemeClr w14:val="tx1"/>
            </w14:solidFill>
          </w14:textFill>
        </w:rPr>
        <w:t xml:space="preserve">后签订本项目合同的通用条款</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不得提出实质性修改</w:t>
      </w: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关于专用条款将由采购人与</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结合本项目具体情况</w:t>
      </w:r>
      <w:r>
        <w:rPr>
          <w:rFonts w:hint="eastAsia" w:hAnsi="宋体" w:cs="宋体"/>
          <w:b w:val="0"/>
          <w:color w:val="000000" w:themeColor="text1"/>
          <w:position w:val="0"/>
          <w:szCs w:val="24"/>
          <w:highlight w:val="none"/>
          <w:lang w:val="zh-CN"/>
          <w14:textFill>
            <w14:solidFill>
              <w14:schemeClr w14:val="tx1"/>
            </w14:solidFill>
          </w14:textFill>
        </w:rPr>
        <w:t xml:space="preserve">协商后签订）</w:t>
      </w:r>
      <w:r/>
    </w:p>
    <w:p>
      <w:pPr>
        <w:jc w:val="center"/>
        <w:spacing w:before="156" w:after="156"/>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南京鼓楼医院</w:t>
      </w:r>
      <w:r>
        <w:rPr>
          <w:rFonts w:hint="eastAsia"/>
          <w:b/>
          <w:color w:val="000000" w:themeColor="text1"/>
          <w:sz w:val="28"/>
          <w:szCs w:val="28"/>
          <w:highlight w:val="none"/>
          <w:lang w:eastAsia="zh-CN"/>
          <w14:textFill>
            <w14:solidFill>
              <w14:schemeClr w14:val="tx1"/>
            </w14:solidFill>
          </w14:textFill>
        </w:rPr>
        <w:t xml:space="preserve">本部及江北调味品（干调）项目采购</w:t>
      </w:r>
      <w:r>
        <w:rPr>
          <w:rFonts w:hint="eastAsia"/>
          <w:b/>
          <w:color w:val="000000" w:themeColor="text1"/>
          <w:sz w:val="28"/>
          <w:szCs w:val="28"/>
          <w:highlight w:val="none"/>
          <w14:textFill>
            <w14:solidFill>
              <w14:schemeClr w14:val="tx1"/>
            </w14:solidFill>
          </w14:textFill>
        </w:rPr>
        <w:t xml:space="preserve">协议</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采购单位：</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（以下简称甲方）</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供货单位：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（以下简称乙方）</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南京鼓楼医院和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（经</w:t>
      </w:r>
      <w:r>
        <w:rPr>
          <w:rFonts w:hint="eastAsia" w:ascii="宋体" w:hAnsi="宋体" w:cs="宋体"/>
          <w:color w:val="000000" w:themeColor="text1"/>
          <w:szCs w:val="21"/>
          <w:highlight w:val="none"/>
          <w:lang w:val="en-US" w:eastAsia="zh-CN"/>
          <w14:textFill>
            <w14:solidFill>
              <w14:schemeClr w14:val="tx1"/>
            </w14:solidFill>
          </w14:textFill>
        </w:rPr>
        <w:t xml:space="preserve">江苏省招标中心有限公司</w:t>
      </w:r>
      <w:r>
        <w:rPr>
          <w:rFonts w:hint="eastAsia" w:ascii="宋体" w:hAnsi="宋体" w:cs="宋体"/>
          <w:color w:val="000000" w:themeColor="text1"/>
          <w:szCs w:val="21"/>
          <w:highlight w:val="none"/>
          <w:u w:val="single"/>
          <w14:textFill>
            <w14:solidFill>
              <w14:schemeClr w14:val="tx1"/>
            </w14:solidFill>
          </w14:textFill>
        </w:rPr>
        <w:t xml:space="preserve">XX年XX月XX日公开招标</w:t>
      </w:r>
      <w:r>
        <w:rPr>
          <w:rFonts w:hint="eastAsia" w:ascii="宋体" w:hAnsi="宋体" w:cs="宋体"/>
          <w:color w:val="000000" w:themeColor="text1"/>
          <w:szCs w:val="21"/>
          <w:highlight w:val="none"/>
          <w14:textFill>
            <w14:solidFill>
              <w14:schemeClr w14:val="tx1"/>
            </w14:solidFill>
          </w14:textFill>
        </w:rPr>
        <w:t xml:space="preserve">），签订协议（合同）条款如下：</w:t>
      </w:r>
      <w:r/>
    </w:p>
    <w:p>
      <w:pPr>
        <w:numPr>
          <w:ilvl w:val="0"/>
          <w:numId w:val="3"/>
        </w:numPr>
        <w:ind w:left="-60"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甲乙双方同意，甲方</w:t>
      </w:r>
      <w:r>
        <w:rPr>
          <w:rFonts w:hint="eastAsia" w:ascii="宋体" w:hAnsi="宋体" w:cs="宋体"/>
          <w:color w:val="000000" w:themeColor="text1"/>
          <w:szCs w:val="21"/>
          <w:highlight w:val="none"/>
          <w:u w:val="single"/>
          <w14:textFill>
            <w14:solidFill>
              <w14:schemeClr w14:val="tx1"/>
            </w14:solidFill>
          </w14:textFill>
        </w:rPr>
        <w:t xml:space="preserve">XXX</w:t>
      </w:r>
      <w:r>
        <w:rPr>
          <w:rFonts w:hint="eastAsia" w:ascii="宋体" w:hAnsi="宋体" w:cs="宋体"/>
          <w:color w:val="000000" w:themeColor="text1"/>
          <w:szCs w:val="21"/>
          <w:highlight w:val="none"/>
          <w14:textFill>
            <w14:solidFill>
              <w14:schemeClr w14:val="tx1"/>
            </w14:solidFill>
          </w14:textFill>
        </w:rPr>
        <w:t xml:space="preserve">按以下条款向乙方购置</w:t>
      </w:r>
      <w:r>
        <w:rPr>
          <w:rFonts w:hint="eastAsia" w:ascii="宋体" w:hAnsi="宋体" w:cs="宋体"/>
          <w:color w:val="000000" w:themeColor="text1"/>
          <w:szCs w:val="21"/>
          <w:highlight w:val="none"/>
          <w:u w:val="single"/>
          <w14:textFill>
            <w14:solidFill>
              <w14:schemeClr w14:val="tx1"/>
            </w14:solidFill>
          </w14:textFill>
        </w:rPr>
        <w:t xml:space="preserve">XXX,详见附件1《</w:t>
      </w:r>
      <w:r>
        <w:rPr>
          <w:rFonts w:hint="eastAsia" w:ascii="宋体" w:hAnsi="宋体" w:cs="宋体"/>
          <w:color w:val="000000" w:themeColor="text1"/>
          <w:szCs w:val="21"/>
          <w:highlight w:val="none"/>
          <w14:textFill>
            <w14:solidFill>
              <w14:schemeClr w14:val="tx1"/>
            </w14:solidFill>
          </w14:textFill>
        </w:rPr>
        <w:t xml:space="preserve">XXXXXX</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3"/>
        </w:numPr>
        <w:ind w:left="-60"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乙方保证所供产品、服务符合协议（合同）要求，不得弄虚作假、不得提供假冒伪劣产品、不合格服务或任意提供协议（合同）外产品、服务。</w:t>
      </w:r>
      <w:r/>
    </w:p>
    <w:p>
      <w:pPr>
        <w:numPr>
          <w:ilvl w:val="0"/>
          <w:numId w:val="3"/>
        </w:numPr>
        <w:ind w:left="-60" w:firstLine="480"/>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协议（合同）有效期</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自XX年XX月XX日起至XX年XX月XX日止</w:t>
      </w:r>
      <w:r>
        <w:rPr>
          <w:rFonts w:hint="eastAsia" w:ascii="宋体" w:hAnsi="宋体" w:cs="宋体"/>
          <w:color w:val="000000" w:themeColor="text1"/>
          <w:szCs w:val="21"/>
          <w:highlight w:val="none"/>
          <w14:textFill>
            <w14:solidFill>
              <w14:schemeClr w14:val="tx1"/>
            </w14:solidFill>
          </w14:textFill>
        </w:rPr>
        <w:t xml:space="preserve">。协议（合同）期内不得涨价。</w:t>
      </w:r>
      <w:r/>
    </w:p>
    <w:p>
      <w:pPr>
        <w:numPr>
          <w:ilvl w:val="0"/>
          <w:numId w:val="3"/>
        </w:numPr>
        <w:ind w:left="-60" w:firstLine="48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服务内容</w:t>
      </w:r>
      <w:r>
        <w:rPr>
          <w:rFonts w:hint="eastAsia" w:ascii="宋体" w:hAnsi="宋体" w:cs="宋体"/>
          <w:b/>
          <w:bCs/>
          <w:color w:val="000000" w:themeColor="text1"/>
          <w:szCs w:val="21"/>
          <w:highlight w:val="none"/>
          <w:lang w:val="en-US" w:eastAsia="zh-CN"/>
          <w14:textFill>
            <w14:solidFill>
              <w14:schemeClr w14:val="tx1"/>
            </w14:solidFill>
          </w14:textFill>
        </w:rPr>
        <w:t xml:space="preserve"> 详见第四章采购需求</w:t>
      </w:r>
      <w:r/>
    </w:p>
    <w:p>
      <w:pPr>
        <w:numPr>
          <w:ilvl w:val="0"/>
          <w:numId w:val="3"/>
        </w:numPr>
        <w:ind w:left="-60" w:firstLine="48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结算方式：</w:t>
      </w:r>
      <w:r>
        <w:rPr>
          <w:rFonts w:hint="eastAsia" w:ascii="宋体" w:hAnsi="宋体" w:cs="宋体"/>
          <w:b w:val="0"/>
          <w:bCs w:val="0"/>
          <w:color w:val="000000" w:themeColor="text1"/>
          <w:szCs w:val="21"/>
          <w:highlight w:val="none"/>
          <w14:textFill>
            <w14:solidFill>
              <w14:schemeClr w14:val="tx1"/>
            </w14:solidFill>
          </w14:textFill>
        </w:rPr>
        <w:t xml:space="preserve">按月结算，月供货金额(含税价)=月实际供货量*定价。结算时开具正式发票，发票不能由第三方代开。如</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Cs w:val="21"/>
          <w:highlight w:val="none"/>
          <w14:textFill>
            <w14:solidFill>
              <w14:schemeClr w14:val="tx1"/>
            </w14:solidFill>
          </w14:textFill>
        </w:rPr>
        <w:t xml:space="preserve">未提供发票的，</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Cs w:val="21"/>
          <w:highlight w:val="none"/>
          <w14:textFill>
            <w14:solidFill>
              <w14:schemeClr w14:val="tx1"/>
            </w14:solidFill>
          </w14:textFill>
        </w:rPr>
        <w:t xml:space="preserve">有权拒绝付款，产生损失的由</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Cs w:val="21"/>
          <w:highlight w:val="none"/>
          <w14:textFill>
            <w14:solidFill>
              <w14:schemeClr w14:val="tx1"/>
            </w14:solidFill>
          </w14:textFill>
        </w:rPr>
        <w:t xml:space="preserve">自行承担，与</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Cs w:val="21"/>
          <w:highlight w:val="none"/>
          <w14:textFill>
            <w14:solidFill>
              <w14:schemeClr w14:val="tx1"/>
            </w14:solidFill>
          </w14:textFill>
        </w:rPr>
        <w:t xml:space="preserve">无关。</w:t>
      </w:r>
      <w:r/>
    </w:p>
    <w:p>
      <w:pPr>
        <w:pStyle w:val="866"/>
        <w:ind w:firstLine="422"/>
        <w:spacing w:line="360" w:lineRule="auto"/>
        <w:shd w:val="clear" w:color="auto" w:fill="ffffff"/>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cs="宋体"/>
          <w:b/>
          <w:bCs/>
          <w:color w:val="000000" w:themeColor="text1"/>
          <w:szCs w:val="21"/>
          <w:highlight w:val="none"/>
          <w14:textFill>
            <w14:solidFill>
              <w14:schemeClr w14:val="tx1"/>
            </w14:solidFill>
          </w14:textFill>
        </w:rPr>
        <w:t xml:space="preserve">、履约保证金</w:t>
      </w:r>
      <w:r/>
    </w:p>
    <w:p>
      <w:pPr>
        <w:pStyle w:val="866"/>
        <w:ind w:left="0"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1.本协议签订后10个工作日内，乙方向甲方交纳履约保证金</w:t>
      </w:r>
      <w:r>
        <w:rPr>
          <w:rFonts w:hint="eastAsia" w:ascii="宋体" w:hAnsi="宋体" w:cs="宋体"/>
          <w:color w:val="000000" w:themeColor="text1"/>
          <w:szCs w:val="21"/>
          <w:highlight w:val="none"/>
          <w:u w:val="none"/>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150000</w:t>
      </w:r>
      <w:r>
        <w:rPr>
          <w:rFonts w:hint="eastAsia" w:ascii="宋体" w:hAnsi="宋体" w:cs="宋体"/>
          <w:color w:val="000000" w:themeColor="text1"/>
          <w:szCs w:val="21"/>
          <w:highlight w:val="none"/>
          <w14:textFill>
            <w14:solidFill>
              <w14:schemeClr w14:val="tx1"/>
            </w14:solidFill>
          </w14:textFill>
        </w:rPr>
        <w:t xml:space="preserve">，大写人民币</w:t>
      </w:r>
      <w:r>
        <w:rPr>
          <w:rFonts w:hint="eastAsia" w:ascii="宋体" w:hAnsi="宋体" w:cs="宋体"/>
          <w:color w:val="000000" w:themeColor="text1"/>
          <w:szCs w:val="21"/>
          <w:highlight w:val="none"/>
          <w:u w:val="none"/>
          <w:lang w:val="en-US" w:eastAsia="zh-CN"/>
          <w14:textFill>
            <w14:solidFill>
              <w14:schemeClr w14:val="tx1"/>
            </w14:solidFill>
          </w14:textFill>
        </w:rPr>
        <w:t xml:space="preserve">壹拾伍万</w:t>
      </w:r>
      <w:r>
        <w:rPr>
          <w:rFonts w:hint="eastAsia" w:ascii="宋体" w:hAnsi="宋体" w:cs="宋体"/>
          <w:color w:val="000000" w:themeColor="text1"/>
          <w:szCs w:val="21"/>
          <w:highlight w:val="none"/>
          <w:u w:val="none"/>
          <w14:textFill>
            <w14:solidFill>
              <w14:schemeClr w14:val="tx1"/>
            </w14:solidFill>
          </w14:textFill>
        </w:rPr>
        <w:t xml:space="preserve">元整</w:t>
      </w:r>
      <w:r>
        <w:rPr>
          <w:rFonts w:hint="eastAsia" w:ascii="宋体" w:hAnsi="宋体" w:cs="宋体"/>
          <w:color w:val="000000" w:themeColor="text1"/>
          <w:szCs w:val="21"/>
          <w:highlight w:val="none"/>
          <w14:textFill>
            <w14:solidFill>
              <w14:schemeClr w14:val="tx1"/>
            </w14:solidFill>
          </w14:textFill>
        </w:rPr>
        <w:t xml:space="preserve">。</w:t>
      </w:r>
      <w:r/>
    </w:p>
    <w:p>
      <w:pPr>
        <w:pStyle w:val="866"/>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2.本协议履行期间，因乙方违约致使甲方受损，甲方可直接从乙方交纳的履约保证金中扣除相应金额，无须乙方同意；如不足以弥补损失的，甲方仍可通过适当方式继续向乙方追讨。</w:t>
      </w:r>
      <w:r/>
    </w:p>
    <w:p>
      <w:pPr>
        <w:pStyle w:val="866"/>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3.乙方于本协议履行期间全面履行其义务，不存在违约行为的，甲方应于协议履行期限届满之次日起30日内，一次性无息退还履约保证金。</w:t>
      </w:r>
      <w:r/>
    </w:p>
    <w:p>
      <w:pPr>
        <w:pStyle w:val="866"/>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4.协议履行期间乙方因违约导致履约保证金被部分扣除的，乙方须在五个工作日内将扣除的履约保证金补齐。 </w:t>
      </w:r>
      <w:r/>
    </w:p>
    <w:p>
      <w:pPr>
        <w:ind w:left="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、保密条款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2、双方应确保己方人员遵守本条约定保密义务，否则由此产生的一切后果由违约方承担责任。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3、本条约定在本协议（合同）解除、终止或被认为无效后仍然有效。</w:t>
      </w:r>
      <w:r/>
    </w:p>
    <w:p>
      <w:pPr>
        <w:ind w:left="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八</w:t>
      </w:r>
      <w:r>
        <w:rPr>
          <w:rFonts w:hint="eastAsia" w:ascii="宋体" w:hAnsi="宋体" w:cs="宋体"/>
          <w:b/>
          <w:bCs/>
          <w:color w:val="000000" w:themeColor="text1"/>
          <w:szCs w:val="21"/>
          <w:highlight w:val="none"/>
          <w14:textFill>
            <w14:solidFill>
              <w14:schemeClr w14:val="tx1"/>
            </w14:solidFill>
          </w14:textFill>
        </w:rPr>
        <w:t xml:space="preserve">、违约责任</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1、自本协议（合同）生效之日起，各方应严格依约履行。若任何一方违反本协议（合同）规定的，应赔偿由此给其他方造成的损失。</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4、乙方提供假冒伪劣产品的，乙方按该批次所购商品或服务金额的10倍向甲方支付违约金。</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5、乙方发生下列违约行为，应按协议（合同）总额的30%计算向甲方支付违约金。</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（1）乙方未能对获得的甲方医疗信息和患者诊疗信息永久保密。</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（2）乙方未经甲方同意或未按甲方要求，擅自修改本协议（合同）涉及的信息系统的数据文件。</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（3）乙方违反《南京鼓楼医院物资购销廉洁条例》的规定。</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出现违约行为并承担违约责任时，甲方有权从应支付给乙方的协议（合同）款项中直接扣除违约金、赔偿金等所有违约责任费用；协议（合同）款项不足以扣除的，乙方应在收到甲方通知后的7日内予以补足。</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9、以上各项交付的违约金并不影响乙方继续履行本协议（合同）的其他各项义务。</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10、乙方若违反本协议（合同）第二条和第九条均视为对本协议（合同）的重大违约，甲方有权随时书面通知乙方立即终止本协议（合同）。</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九、甲乙双方须遵守《南京鼓楼医院物资购销廉洁条例》，条例内容如下：</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1.合同双方按照《中华人民共和国民法典》及购销廉洁条例约定购销药品、医用设备、医用耗材及行政办公物资等。</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2.采购方应当严格执行产品购销合同验收、入库制度，对采购产品及发票进行查验，不得违反有关规定合同外采购、违价采购或从非规定渠道采购。</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3.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4.采购方严禁利用任何途径和方式，为乙方统计医师个人及临床科室有关产品用量信息，或为乙方统计提供便利。</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5.销售方不得以回扣、宴请等方式影响甲方工作人员采购或使用产品的选择权，不得在学术活动中提供旅游、超标准支付食宿费用。</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6.销售方指定销售代表必须在工作时间到甲方指定地点联系商谈，不得到住院部、门诊部、医技科室等推销产品，不得借故到甲方相关领导、部门负责人及相关工作人员家中访谈并提供任何好处费等。</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9.本廉洁条例为甲方产品购销行为的廉洁准则，各方均需严格遵守。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10.本条例由甲方负责解释。</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11.本条例自即日起执行。</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十、安全责任条款</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十一、</w:t>
      </w:r>
      <w:r>
        <w:rPr>
          <w:rFonts w:hint="eastAsia" w:ascii="宋体" w:hAnsi="宋体" w:cs="宋体"/>
          <w:color w:val="000000" w:themeColor="text1"/>
          <w:szCs w:val="21"/>
          <w:highlight w:val="none"/>
          <w14:textFill>
            <w14:solidFill>
              <w14:schemeClr w14:val="tx1"/>
            </w14:solidFill>
          </w14:textFill>
        </w:rPr>
        <w:t xml:space="preserve">本项目遇技术问题由甲方XXXX负责协调解决。</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十二、</w:t>
      </w:r>
      <w:r>
        <w:rPr>
          <w:rFonts w:hint="eastAsia" w:ascii="宋体" w:hAnsi="宋体" w:cs="宋体"/>
          <w:color w:val="000000" w:themeColor="text1"/>
          <w:szCs w:val="21"/>
          <w:highlight w:val="none"/>
          <w14:textFill>
            <w14:solidFill>
              <w14:schemeClr w14:val="tx1"/>
            </w14:solidFill>
          </w14:textFill>
        </w:rPr>
        <w:t xml:space="preserve">争议的解决：双方对其它违约责任按《中华人民共和国民法典》的有关规定处理，解决与本协议（合同）有关的一切争议。如一方不愿意协商或协商30日后无法解决的，应提交甲方所在地人民法院。</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十三、其他条款</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1.本项目招标文件、投标文件、乙方其他承诺，均为本项目不可分割的重要组成部分，具有同等法律效力。</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2.本合同生效方式有两种，由甲方任一选择：</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（1）签署纸质合同：纸质合同一式肆份，甲方执叁份，乙方执壹份，经双方签字盖章并加盖骑缝章后生效；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（2）签</w:t>
      </w:r>
      <w:r>
        <w:rPr>
          <w:rFonts w:hint="eastAsia" w:ascii="宋体" w:hAnsi="宋体" w:eastAsia="宋体" w:cs="宋体"/>
          <w:color w:val="000000" w:themeColor="text1"/>
          <w:highlight w:val="none"/>
          <w:lang w:eastAsia="zh-CN"/>
          <w14:textFill>
            <w14:solidFill>
              <w14:schemeClr w14:val="tx1"/>
            </w14:solidFill>
          </w14:textFill>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3.本合同适用的语言文字为汉语文字，本合同适用法律法规为中华人民共和国及其区域内相关法律法规，本合同条款解释语言以中文为准。</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4.合同签署地点:南京。       </w:t>
      </w:r>
      <w:r/>
    </w:p>
    <w:p>
      <w:pPr>
        <w:rPr>
          <w:rFonts w:hint="eastAsia" w:hAnsi="宋体" w:cs="宋体"/>
          <w:b w:val="0"/>
          <w:color w:val="000000" w:themeColor="text1"/>
          <w:position w:val="0"/>
          <w:szCs w:val="24"/>
          <w:highlight w:val="none"/>
          <w:lang w:val="zh-CN"/>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r>
      <w:r/>
    </w:p>
    <w:tbl>
      <w:tblPr>
        <w:tblStyle w:val="804"/>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甲方： </w:t>
            </w:r>
            <w:r>
              <w:rPr>
                <w:rFonts w:hint="eastAsia"/>
                <w:color w:val="000000" w:themeColor="text1"/>
                <w:szCs w:val="21"/>
                <w:highlight w:val="none"/>
                <w:u w:val="single"/>
                <w:lang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乙方：</w:t>
            </w:r>
            <w:r>
              <w:rPr>
                <w:rFonts w:hint="eastAsia"/>
                <w:color w:val="000000" w:themeColor="text1"/>
                <w:szCs w:val="21"/>
                <w:highlight w:val="none"/>
                <w:u w:val="single"/>
                <w:lang w:eastAsia="zh-CN"/>
                <w14:textFill>
                  <w14:solidFill>
                    <w14:schemeClr w14:val="tx1"/>
                  </w14:solidFill>
                </w14:textFill>
              </w:rPr>
              <w:t xml:space="preserve">                               （盖章）</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 </w:t>
            </w:r>
            <w:r>
              <w:rPr>
                <w:rFonts w:hint="eastAsia"/>
                <w:color w:val="000000" w:themeColor="text1"/>
                <w:szCs w:val="21"/>
                <w:highlight w:val="none"/>
                <w:u w:val="single"/>
                <w:lang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 </w:t>
            </w:r>
            <w:r>
              <w:rPr>
                <w:rFonts w:hint="eastAsia"/>
                <w:color w:val="000000" w:themeColor="text1"/>
                <w:szCs w:val="21"/>
                <w:highlight w:val="none"/>
                <w:u w:val="single"/>
                <w:lang w:eastAsia="zh-CN"/>
                <w14:textFill>
                  <w14:solidFill>
                    <w14:schemeClr w14:val="tx1"/>
                  </w14:solidFill>
                </w14:textFill>
              </w:rPr>
              <w:t xml:space="preserve">210008</w:t>
            </w:r>
            <w:r>
              <w:rPr>
                <w:rFonts w:hint="eastAsia"/>
                <w:color w:val="000000" w:themeColor="text1"/>
                <w:szCs w:val="21"/>
                <w:highlight w:val="none"/>
                <w:lang w:eastAsia="zh-CN"/>
                <w14:textFill>
                  <w14:solidFill>
                    <w14:schemeClr w14:val="tx1"/>
                  </w14:solidFill>
                </w14:textFill>
              </w:rPr>
              <w:t xml:space="preserve">  电话： </w:t>
            </w:r>
            <w:r>
              <w:rPr>
                <w:rFonts w:hint="eastAsia"/>
                <w:color w:val="000000" w:themeColor="text1"/>
                <w:szCs w:val="21"/>
                <w:highlight w:val="none"/>
                <w:u w:val="single"/>
                <w:lang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u w:val="singl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法定代表人或授权代表：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传真：</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采购分管院领导：</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座机：</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项目主管部门分管院领导：</w:t>
            </w:r>
            <w:r>
              <w:rPr>
                <w:rFonts w:hint="eastAsia"/>
                <w:color w:val="000000" w:themeColor="text1"/>
                <w:szCs w:val="21"/>
                <w:highlight w:val="none"/>
                <w:u w:val="singl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授权代表电话：</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项目主管部门负责人：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医用物资采购中心负责人：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r>
    </w:tbl>
    <w:p>
      <w:pPr>
        <w:rPr>
          <w:rFonts w:hint="eastAsia" w:hAnsi="宋体" w:cs="宋体"/>
          <w:b w:val="0"/>
          <w:color w:val="000000" w:themeColor="text1"/>
          <w:position w:val="0"/>
          <w:szCs w:val="24"/>
          <w:highlight w:val="none"/>
          <w:lang w:val="zh-CN"/>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br w:type="page" w:clear="all"/>
      </w:r>
      <w:r/>
    </w:p>
    <w:p>
      <w:pPr>
        <w:pStyle w:val="801"/>
        <w:numPr>
          <w:ilvl w:val="0"/>
          <w:numId w:val="2"/>
        </w:numPr>
        <w:ind w:firstLine="567"/>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采购需求</w:t>
      </w:r>
      <w:bookmarkEnd w:id="255"/>
      <w:r/>
      <w:bookmarkEnd w:id="256"/>
      <w:r/>
      <w:r/>
    </w:p>
    <w:p>
      <w:pPr>
        <w:ind w:firstLine="422"/>
        <w:jc w:val="center"/>
        <w:keepLines w:val="0"/>
        <w:keepNext w:val="0"/>
        <w:pageBreakBefore w:val="0"/>
        <w:spacing w:beforeAutospacing="0"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u w:val="single"/>
          <w:lang w:val="zh-CN"/>
          <w14:textFill>
            <w14:solidFill>
              <w14:schemeClr w14:val="tx1"/>
            </w14:solidFill>
          </w14:textFill>
        </w:rPr>
        <w:t xml:space="preserve">（★号内容均为实质性要求，不可负偏离，否则作为无效投标。）</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一、项目名称：</w:t>
      </w:r>
      <w:r>
        <w:rPr>
          <w:rFonts w:hint="eastAsia" w:ascii="宋体" w:hAnsi="宋体" w:cs="宋体"/>
          <w:b/>
          <w:color w:val="000000" w:themeColor="text1"/>
          <w:sz w:val="21"/>
          <w:szCs w:val="21"/>
          <w:highlight w:val="none"/>
          <w:lang w:eastAsia="zh-CN"/>
          <w14:textFill>
            <w14:solidFill>
              <w14:schemeClr w14:val="tx1"/>
            </w14:solidFill>
          </w14:textFill>
        </w:rPr>
        <w:t xml:space="preserve">南京鼓楼医院(含江北院区)食堂干调采购项目</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二、项目概况</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为建立南京鼓楼医院食堂标准化、规范化的食材采购供应管理体系，加强成本核算，维护广大病员、职工的利益，根据《中华人民共和国食品安全法》、《食品安全法实施条例》等相关文件要求，现采购人拟通过公开招标的方式确定关于干调的供应商。</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Cs w:val="21"/>
          <w:highlight w:val="none"/>
          <w14:textFill>
            <w14:solidFill>
              <w14:schemeClr w14:val="tx1"/>
            </w14:solidFill>
          </w14:textFill>
        </w:rPr>
        <w:t xml:space="preserve">★4.干调采购清单</w:t>
      </w:r>
      <w:r/>
    </w:p>
    <w:tbl>
      <w:tblPr>
        <w:tblStyle w:val="771"/>
        <w:tblW w:w="13116"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16"/>
        <w:gridCol w:w="1056"/>
        <w:gridCol w:w="638"/>
        <w:gridCol w:w="1175"/>
        <w:gridCol w:w="7947"/>
      </w:tblGrid>
      <w:tr>
        <w:trPr>
          <w:trHeight w:val="872"/>
        </w:trPr>
        <w:tc>
          <w:tcPr>
            <w:shd w:val="clear" w:color="auto" w:fill="auto"/>
            <w:tcW w:w="684" w:type="dxa"/>
            <w:vAlign w:val="center"/>
            <w:textDirection w:val="lrTb"/>
            <w:noWrap w:val="false"/>
          </w:tcPr>
          <w:p>
            <w:pPr>
              <w:jc w:val="center"/>
              <w:widowControl/>
              <w:rPr>
                <w:rFonts w:ascii="宋体" w:hAnsi="宋体" w:cs="宋体"/>
                <w:b/>
                <w:bCs/>
                <w:i/>
                <w:iCs/>
                <w:color w:val="000000" w:themeColor="text1"/>
                <w:szCs w:val="21"/>
                <w:highlight w:val="none"/>
                <w14:textFill>
                  <w14:solidFill>
                    <w14:schemeClr w14:val="tx1"/>
                  </w14:solidFill>
                </w14:textFill>
              </w:rPr>
            </w:pPr>
            <w:r>
              <w:rPr>
                <w:rFonts w:hint="eastAsia" w:ascii="宋体" w:hAnsi="宋体" w:cs="宋体"/>
                <w:b/>
                <w:bCs/>
                <w:i/>
                <w:iCs/>
                <w:color w:val="000000" w:themeColor="text1"/>
                <w:szCs w:val="21"/>
                <w:highlight w:val="none"/>
                <w:lang w:bidi="ar"/>
                <w14:textFill>
                  <w14:solidFill>
                    <w14:schemeClr w14:val="tx1"/>
                  </w14:solidFill>
                </w14:textFill>
              </w:rPr>
              <w:t xml:space="preserve">序号</w:t>
            </w:r>
            <w:r/>
          </w:p>
        </w:tc>
        <w:tc>
          <w:tcPr>
            <w:shd w:val="clear" w:color="auto" w:fill="auto"/>
            <w:tcW w:w="1616"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物料名称</w:t>
            </w:r>
            <w:r/>
          </w:p>
        </w:tc>
        <w:tc>
          <w:tcPr>
            <w:shd w:val="clear" w:color="auto" w:fill="auto"/>
            <w:tcW w:w="1056" w:type="dxa"/>
            <w:vAlign w:val="center"/>
            <w:textDirection w:val="lrTb"/>
            <w:noWrap w:val="false"/>
          </w:tcPr>
          <w:p>
            <w:pPr>
              <w:jc w:val="center"/>
              <w:widowControl/>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规格</w:t>
            </w:r>
            <w:r>
              <w:rPr>
                <w:rFonts w:hint="eastAsia" w:ascii="宋体" w:hAnsi="宋体" w:cs="宋体"/>
                <w:b/>
                <w:bCs/>
                <w:color w:val="000000" w:themeColor="text1"/>
                <w:szCs w:val="21"/>
                <w:highlight w:val="none"/>
                <w:lang w:eastAsia="zh-CN" w:bidi="ar"/>
                <w14:textFill>
                  <w14:solidFill>
                    <w14:schemeClr w14:val="tx1"/>
                  </w14:solidFill>
                </w14:textFill>
              </w:rPr>
              <w:t xml:space="preserve">（</w:t>
            </w:r>
            <w:r>
              <w:rPr>
                <w:rFonts w:hint="eastAsia" w:ascii="宋体" w:hAnsi="宋体" w:cs="宋体"/>
                <w:b/>
                <w:bCs/>
                <w:color w:val="000000" w:themeColor="text1"/>
                <w:szCs w:val="21"/>
                <w:highlight w:val="none"/>
                <w:lang w:val="en-US" w:eastAsia="zh-CN" w:bidi="ar"/>
                <w14:textFill>
                  <w14:solidFill>
                    <w14:schemeClr w14:val="tx1"/>
                  </w14:solidFill>
                </w14:textFill>
              </w:rPr>
              <w:t xml:space="preserve">不低于以下要求</w:t>
            </w:r>
            <w:r>
              <w:rPr>
                <w:rFonts w:hint="eastAsia" w:ascii="宋体" w:hAnsi="宋体" w:cs="宋体"/>
                <w:b/>
                <w:bCs/>
                <w:color w:val="000000" w:themeColor="text1"/>
                <w:szCs w:val="21"/>
                <w:highlight w:val="none"/>
                <w:lang w:eastAsia="zh-CN" w:bidi="ar"/>
                <w14:textFill>
                  <w14:solidFill>
                    <w14:schemeClr w14:val="tx1"/>
                  </w14:solidFill>
                </w14:textFill>
              </w:rPr>
              <w:t xml:space="preserve">）</w:t>
            </w:r>
            <w:r/>
          </w:p>
        </w:tc>
        <w:tc>
          <w:tcPr>
            <w:shd w:val="clear" w:color="auto" w:fill="auto"/>
            <w:tcW w:w="638"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单位</w:t>
            </w:r>
            <w:r/>
          </w:p>
        </w:tc>
        <w:tc>
          <w:tcPr>
            <w:shd w:val="clear" w:color="auto" w:fill="auto"/>
            <w:tcW w:w="1175"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参考年用量</w:t>
            </w:r>
            <w:r/>
          </w:p>
        </w:tc>
        <w:tc>
          <w:tcPr>
            <w:shd w:val="clear" w:color="auto" w:fill="auto"/>
            <w:tcW w:w="7947"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要求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精制盐</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56207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白色，无异味，无杂质，氯化钠≥99.1g/100g，氯化钾18-33mg/kg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东北糯米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13243.8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19854.4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黄豆（小）</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16041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干燥、无虫蛀、无霉变，完整粒率≥90%，直径约5mm/粒</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燕麦片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9341.7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干燥、无虫蛀、无霉变，片厚0.8±0.2mm，杂质≤0.5%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7075.2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花生米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6543.8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干燥、无虫蛀、无霉变，完整仁率≥95%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4865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干燥、无霉变，颗粒直径2-3mm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荞麦粉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6583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干燥、无霉变，细度≥80目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山芋粉丝</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冰糖</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5263.9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单晶体颗粒均匀，杂质≤30mg/kg，晶粒尺寸5-10mm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味精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​白色结晶或粉末，鲜味纯正，谷氨酸钠≥99%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​黄绿色叶片完整，酸味纯正无腐烂，汤汁清亮无杂质，固形物含量≧75%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1055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酸味柔和，无沉淀，总酸≥4.5g/100mL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5621.4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无沙紫菜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干燥、无虫蛀、无霉变，泥沙含量≤0.1%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清水笋片</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​乳白色片状，厚度2-3mm，无杂质，固体物含量≥40%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黄豆（大）</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干燥、无虫蛀、无霉变，完整粒率≥90%，直径约10mm/粒</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321</w:t>
            </w:r>
            <w:r/>
          </w:p>
        </w:tc>
        <w:tc>
          <w:tcPr>
            <w:shd w:val="clear" w:color="auto" w:fill="auto"/>
            <w:tcW w:w="7947" w:type="dxa"/>
            <w:vAlign w:val="bottom"/>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​浅棕褐色澄清液体，酱香浓郁，无沉淀，鲜味突出无酸败味，氨基酸态氮含量≧0.5g/100ml，质量等级三级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酵母</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​西点用，发酵力≥650mL（CO₂释放量），活细胞率≥80% </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​淡黄色油体，芝麻香浓郁，味道纯正，质量等级：一级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火锅底料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2743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红褐色固体或半固体；麻辣鲜香无焦糊味，每百克能量≤28%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2408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鸡肉香味突出，无杂质，谷氨酸钠≥35%，呈味核苷酸二钠≥1.1%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淡奶油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1L/盒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1524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​乳白色液体，流动性适中，无脂肪分层，奶香纯正无异味，打发后体积膨胀≥3倍，脂肪≥30%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菠萝罐头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​淡黄色块状，糖水清亮，果肉脆嫩无纤维，酸甜适口，固形物≥55%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老抽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1506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​深棕褐色浓稠，酱香醇厚，氨基酸态氮含量≥0.7g/100ml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豆腐乳</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块形完整无杂质，色泽均匀，发酵香浓郁，无酸败霉味，口感软糯细腻，固形物不低于172g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粘稠适度、有豆豉颗粒，无霉斑，无杂质，蛋白质含量≥11.3g/100g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清水笋丝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​淡黄色丝状，长度5-8cm，脆嫩无纤维，固形物含量≥70%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木耳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1548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泡发率≥12倍，耳片厚度≥1mm，杂质≤0.3%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长糯米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梅干菜整</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2414.4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干燥、无霉变，叶片完整率≥80%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绿豆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1108.5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藕粉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1390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​浅粉色至灰白色粉末，冲调后呈半透明糊状，淀粉≥75%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35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899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液体均匀、不浑浊、无异味，总酸≥6.0g/100ml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蚝油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394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黏稠适中，鲜香浓郁无焦苦味，氨基酸态氮≥0.3g/100g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荞麦面</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6592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鱼酸菜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4851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​黄绿色叶片完整，酸味纯正，脆嫩无纤维，汤汁清亮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花雕酒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醇香浓郁无沉淀。酒精度≥15.0%vol，总糖量15.1-40.0/L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孝感佬米酒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bidi="ar"/>
                <w14:textFill>
                  <w14:solidFill>
                    <w14:schemeClr w14:val="tx1"/>
                  </w14:solidFill>
                </w14:textFill>
              </w:rPr>
              <w:t xml:space="preserve">400g/碗</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碗</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1746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米香浓郁，甜味适中，无酸败味，酒精度≥5%vol，孝感产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268g/瓶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606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可见辣椒碎粒，辣味突出，无油水分离，质地均匀无结块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湘西外婆菜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1835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​深褐色碎菜混合辣椒粒，咸辣适口，质地脆嫩无软烂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干香菇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1183.3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红糖</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甜味纯正无结块，蔗糖≥85g/100g，不溶于水杂质≤150mg/kg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蒜蓉辣酱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含蒜粒，蒜香辣味协调，无分层或油析</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料酒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​琥珀色澄清，醇香协调，酒精度≥10%vol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八宝粥料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至少八种谷物，如糯米、大米、红豆、绿豆、花生、薏米、红枣、桂圆、葡萄干等，干燥、无虫蛀、无霉变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红曲米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干燥、无虫蛀、无霉变，整米率≥85%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​深红色酱体均匀，无杂质，辣味纯正，能量≤860KJ/100g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去籽干辣椒段</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437.5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干燥、无虫蛀、无霉变，色泽红亮均匀，籽粒残留≤1%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榨菜丝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10800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​浅绿色丝状，脆度均匀，咸鲜微辣，无筋丝或软烂，无防腐剂 ，混合添加剂＜1%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蒸肉米粉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符合食品安全标准，菌落总数≤10⁴CFU/g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八角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干燥、无虫蛀、无霉变，完整果率≥95%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蒸鲜豉油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鲜味突出,无杂质，能量≤48KJ/20g，酿造酱油含量≥22%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蒸鱼豉油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1.75L/瓶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鲜味突出,无杂质，氨基酸态氮含量≧0.70g/100ml ；质量等级：二级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血糯米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糯米粉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379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无结块、异味及杂质，淀粉含量≥80%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三花淡奶</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410g/罐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液体均匀，奶香纯正无异味，无脂肪上浮或蛋白质沉淀，无杂质，脂肪≥7.8g/100g，蛋白质≥5.4g/100g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南乳汁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560g/瓶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酱体均匀，酱香浓郁无分层，脂肪≤2.6g/100g，蛋白质含量≥5.4g/100g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淡黄色油状液体，花椒香气浓郁，无沉淀，过氧化值≤0.25g/100g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藜麦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3016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辣鲜露</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448g/瓶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​棕红色液体，辣鲜味协调，钠含量≤20%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米醋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液体均匀、不浑浊、无异味，总酸≥3.5g/100ml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馒头改良剂</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​白色粉末，无异味，过氧化钙≤0.5%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辣椒段</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90"/>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​棕红色酱体含芝麻粒，香辣味协调，油层厚度≤2mm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67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小麦淀粉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1456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干燥、无霉变，白色或淡黄色，水分≤14%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68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桂皮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476.7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干燥、无虫蛀、无霉变，厚度≥3mm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有核红枣</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干燥、无虫蛀、无霉变，单果重≥8g，可食率≥90%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龙口粉丝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380g/袋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绵白糖</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​结晶颗粒，甜味纯正无杂质，蔗糖≥98%，不溶于水杂质≤150mg/kg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葛根粉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574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​粉末细腻呈白色或微黄色，无杂质及异味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73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甜面酱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酱香浓郁带甜味，无霉斑或结块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​白色细腻粉末，手捻无颗粒感，冷水溶解无杂质，淀粉≥85%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食用苏打</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​无结块，碳酸钠≥99%，pH值（1%溶液）≥8.5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去皮白芝麻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酵母（蓝）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​中点用，发酵力≥650mL（CO₂释放量），活细胞率≥80% </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老坛泡椒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​鲜红脆嫩，酸辣适口，沥干物不低于20%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沙拉酱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酸甜适口，乳化均匀，无油水分离，无可见杂质，能量≤2552KJ/100g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粘稠适度、有豆瓣颗粒，无霉斑，无杂质，氨基酸态氮≥0.3g/100ml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海鲜酱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棕红色酱体无分层，具海鲜特有鲜味，无异味，氨基酸态氮≥0.3g/100g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全麦粉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222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干燥、无霉变，每百克膳食纤维≥3g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老冰糖</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479.1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​淡黄色晶体，甜味纯正无杂质，蔗糖≥98%，不溶物≤100mg/kg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阳江豆豉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60g/盒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完整豆粒，豉香浓郁，无霉斑或结块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黑芝麻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113.2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番茄膏</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3kg/罐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呈深红色膏状，均匀一致，浓度高，可溶性固形物含量：22%-24%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二锅头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优级酒清香纯正、无色透明，酒清香较纯正，无悬浮，酒精度≥52%vol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番茄沙司</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颜色鲜红，质地更稀且有流动性，番茄固有香气</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土豆粉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干燥、无虫蛀、无霉变，淀粉含量≥80%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青花椒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188.1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​表皮青绿色，麻香浓郁无霉粒</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莲子</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香炸粉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红花椒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​干燥、表皮暗红色，麻香浓郁；无霉粒、虫蛀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泰国鸡酱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可见香茅碎粒，酸辣协调，有椰奶香气，无分层或沉淀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燕麦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麻辣鲜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46g/袋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​棕红色粉状，鲜香麻辣，多种香辛料组成</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叉烧酱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1265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无异味，无霉斑，均匀无杂质、异物</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枸杞</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干燥、无虫蛀、无霉变，含硫量≤10mg/kg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虾皮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351.5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干燥、无霉变、无杂质，完整率≥80%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味极鲜酱油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​鲜味突出无酸败，挂壁均匀呈琥珀色，氨基酸态氮≥1.2g/100ml；特级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干辣椒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403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红剁椒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辣椒碎片≤5%，酸辣适口，无腐烂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无核红枣片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干燥、无虫蛀、无霉变，片厚2±0.5mm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番茄酱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850g/听</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听</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深红色均匀一致，番茄固有香气，酱体细腻无分层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纯麻油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330ml/瓶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具有浓郁的芝麻固有的气味和滋味，橙黄色至棕红色，透明，无杂质，一级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银耳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干燥、无霉变、朵型完整、叶片浅黄色，耳片直径≥4cm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核桃仁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整仁率≥85%，无哈喇味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花生酱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​浅黄色至棕褐色，质地细腻，花生香味浓郁，无哈喇味，纯花生研磨，非转基因花生熬制</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​面条均匀无断条，熟后弹性好，烹调损失率≤10%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芝麻酱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​芝麻香浓郁，无结块或油析，涂抹顺滑，水分≤2%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椒汁王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​流动性适中，椒香浓郁无分层，选用鲜青二荆条制作，无防腐剂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白芷</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118.7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白胡椒粉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510g/瓶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无杂质、无异味，粗纤维≤6.5%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粗火腿肠</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65g*50根/箱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无杂质，无异味，蛋白质≥10%，淀粉≤10%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鸡饭老抽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640ml*12瓶/件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​深棕褐色澄清透明；酱香浓郁无沉淀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小半片木耳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干燥、无虫蛀、无霉变，碎片率≤15%%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打发淡奶油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1L/盒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打发后，乳白色膏状，奶香纯正，质地细腻无颗粒，脂肪≥35%，4℃放置2小时无析水</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红烧酱油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澄清透明，酱香浓郁无沉淀，氨基酸态氮≥0.4g/100mL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奥尔良腌料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无杂质、无异味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香糟卤</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酒糟香醇厚，无杂质或悬浮物，酒精度≥3%vol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海苔肉松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含海苔碎，酥松无结块，鲜香带海苔味，蛋白质≥28%，脂肪≤10%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藤椒油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​淡绿色油状液体，藤椒麻香浓郁，椒素≥0.5%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大红浙醋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660ml/瓶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液体均匀、不浑浊、无异味，总酸≥3.5g/100ml，浙江宁波产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青葡萄干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215.7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干燥、无虫蛀、无霉变，色泽均匀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​白色至淡黄色粉末，具有鸡肉特有香气，无异味，谷氨酸钠≥10g/100g </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干豇豆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949.1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酸萝卜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​脆嫩无软腐，酸味适口无刺鼻味，萝卜整型±2cm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黑椒汁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酱体流动性适中，黑椒香气突出无分层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雪菜榨菜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​翠绿色块状，脆度均匀，咸鲜微辣，无筋丝,水分≤80%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黄灯笼辣椒酱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辣味强烈，无霉变、分层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香酥花生（酒鬼花生）</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干燥、无虫蛀、无霉变，脱衣率≥98%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薏仁米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干燥、无虫蛀、无霉变，碎粒率≤5%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干燥、无虫蛀、无霉变，粒径2-3mm，均匀度≥90%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松子仁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132.2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干燥、无虫蛀、无霉变，完整仁率≥95%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火锅面</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面条均匀，无断条；熟后爽滑有弹性，泡开长度±10CM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蜂蜜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透明或半透明，无杂质，无异味，黏稠液体无结晶分层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小圆锅巴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色泽、气味正常，无霉变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过桥米线</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断条率≤5%，SC认证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干黄花菜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五香粉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​棕褐色混合粉末，八角、桂皮香气协调，手捻无颗粒感</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蔓越莓干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无霉变，无杂质异物</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香脆椒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308g/袋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苹果醋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淡黄色澄清液体，苹果酸香协调，液体均匀、不浑浊、无异味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梅干菜碎</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​深黄色至棕褐色液体，鸡肉香味浓郁，无杂质，总固形物≥15%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苏打粉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无杂质，溶解后溶液澄清，碳酸氢钠≥99%，pH值（1%溶液）8.0-8.6</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420g/听</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听</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干燥、无虫蛀、无霉变，完整粒率≥95%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红酸汤</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酸香浓郁，无悬浮杂质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麻辣鲜露</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468g/瓶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​棕红色液体，麻辣鲜香；无悬浮物酸价（以脂肪计）(KOH)/(mg/g)：≤3.5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液体均匀、无霉斑、无异味，固形物含量应不低于55%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蛋糕油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​乳白色膏状，无刺激性气味，乳化性能良好，打发后体积稳定</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干百合</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金标生抽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​酱香浓郁无沉淀，品质高；氨基酸态氮含量≧1g/100ml，质量等级一级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蜜枣</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无霉变，无杂质异物，可食用率≥90%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荞麦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3296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咖喱粉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辛香浓郁无结块，姜黄素≥0.3%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笋干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干燥、无虫蛀、无霉变，纤维含量≤3%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野山椒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1.2kg*6袋/箱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辣度≥50000SHU，霉变率≤0.1%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黄豆酱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棕红色黏稠酱体，酱香浓郁无霉味，氨基酸态氮≥0.6g/100g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鲜香协调，无杂质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小米辣</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红绿丝</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​红/绿色丝状糖渍果皮，色泽均匀，甜度适中，无粘连，总糖≥70g/100g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冷面</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芝士粉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粉质细腻，芝士香气浓郁，无结块，无杂质，脂肪≥25%，蛋白质≥30%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棕红色粉末，麻味纯正，无结块、杂质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黄桃罐头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​橙黄色块状，糖水清亮，果肉软硬适中，无纤维感，固形物≥55%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干燥、无霉变，细度≥100目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酒酿</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400g/盒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​米粒完整，酒香浓郁，无杂质，酒精度≥1%vol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黑胡椒碎</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颗粒状，辛辣味浓郁，无霉变、结块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烧汁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酱香醇厚，无分层或结晶，口感鲜甜微粘稠</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细辣椒粉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​鲜红色细腻粉末，辣味纯正无刺鼻焦糊味，手捻无颗粒感，辣椒素≥1.2%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口碱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无杂质，碳酸钠≥99%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玫瑰露酒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​玫瑰红色澄清，花香协调，酒精度≥20%vol，总糖≤30g/L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无铝双效泡打粉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197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​遇水立即反应产生气泡，无金属异味，总产气量≥35mL/g，铝残留≤25mg/kg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咖啡糖浆</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咖啡香浓郁，甜苦协调，无结晶或沉淀，总糖≥65g/100g，咖啡因≥0.1g/kg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无铝泡打粉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2.7kg/袋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二氧化碳释放量≥35ml/g，铝残留≤25mg/kg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橄榄油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750ml/瓶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​油体清亮呈淡黄至黄绿色，具橄榄果香味，无酸败味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椒盐</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660g/瓶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花椒香气突出，无结块，氯化钠≥95%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十三香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​棕褐色混合粉末，辛香协调无刺鼻味，无结块、虫蛀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泰式冬阴功酱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320g/瓶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含香茅、南姜碎粒；酸辣辛香浓郁；质地均匀无结块， 0添加动物成分，0添加防腐剂，0五辛，0香精</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糖桂花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​金黄色半透明糖渍花瓣，桂花香气浓郁，无硬块或结晶，总糖≥70g/100g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肉松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​金黄色絮状纤维，酥松无结块，肉香浓郁无哈喇味，蛋白质≥28%，脂肪≤12%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排骨酱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含有白糖、酱油、料酒、食盐及香料，棕褐色酱体，具有良好的流动性或半固态的粘稠度，无明显变色，褪色现象，排骨香气突出，无异味，无明显结块，沉淀现象</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郫县豆瓣酱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色泽正常，无异味，无异物，酱体呈暗淡的褐红色，油润且有光泽，粘稠微微发干，有豆瓣颗粒，无霉斑，无杂质，四川郫县产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一品鲜酱油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酱香醇厚，挂壁呈均匀液膜，无悬浮物，氨基酸态氮≥1.2g/100ml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麦仁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2392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麦芽糖</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粘稠液体，甜味纯正，麦芽糖≥70%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五仁酱丁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​色泽正常，无异味，无异物，含瓜子仁、芝麻、萝卜等，酱香浓郁，颗粒可见，亚硝酸盐含量不超过20mg/kg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110g/袋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甜辣味协调，无油水分离或结晶</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香水鱼调料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含花椒粒，麻香浓郁，无杂质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粽叶</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叶片长度≥35cm，宽度≥8cm，真空包装</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韩国辣椒粉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​红色粉末无结块，辣味纯正，无霉变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炼乳</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甜味纯正，流动性均匀，无结晶或结块，脂肪≥8%，总乳固体≥28%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黑胡椒粉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粉质细腻，辛辣味浓郁，无霉变、结块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顶级白莲蓉馅料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莲香浓郁，无颗粒感或糖结晶，总糖≥45g/100g，水分≤25%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血糯米粉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干燥、无霉变、细度≥100目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全脂调制奶粉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粉末均匀，奶香纯正，溶解后无结块或沉淀，脂肪≥26%，蛋白质≥24%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孜然粉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​孜然辛香浓郁，无结块或杂质，水溶后无沉淀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盐焗粉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30g*6袋/盒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​沙姜香气突出，0防腐剂，0着色剂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椰浆</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400ml/罐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​乳白色浓稠液体，椰香纯正，无脂肪分层或沉淀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豆腐王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白色结晶或粉末，无杂质无异味，纯度≥99%，铅≤1mg/kg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香辣雪菜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​黄绿色碎叶均匀，辣味明显，脆嫩无软烂，汤汁清亮无悬浮物，亚硝酸盐含量不超过20mg/kg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浓缩橙汁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840ml/瓶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橙香浓郁，无分层沉淀，可溶性固形物≥65%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5kg*4块/箱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固态油脂，奶香纯正，熔化后澄清透明无杂质，脂肪≥82%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无核红枣</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干燥、无虫蛀、无霉变，果肉饱满度≥90%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面包糠</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水分≤10%，粒度20-40目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茴香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干燥、无虫蛀、无霉变，籽粒完整率≥90%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红腰豆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桃胶</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干燥、无虫蛀、无霉变，泡发率≥15倍，杂质≤0.5%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腊八豆</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​颗粒完整呈褐黄色，发酵香浓郁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草果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香叶</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​叶片完整呈灰绿色，月桂香气浓郁，无虫蛀或霉斑</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手工酸辣粉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干燥、无霉变，断条率≤5%，SC认证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干奶酪片</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1.04kg/袋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片状，质地均匀，奶香浓郁，无霉斑或异味，脂肪≥25%，蛋白质≥20%，水分≤45%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可丝达（奶酪）</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奶香浓郁带微酸，涂抹顺滑无颗粒感，脂肪≥25%，水分≤55%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糖粉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​洁白细腻粉末，甜味纯正，无杂质，手捻无颗粒感，粒度（过120目筛）≥95%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地瓜粉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无异味，无杂质，无霉变，含砂量≤0.02%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220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牛肉酱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酱体均匀，牛肉颗粒可见，无焦糊味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黑芝麻粉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干燥、无霉变，细度≥80目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芒果果茸</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芒果香气浓郁，无纤维或果渣，流动性适中</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泡打粉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无刺激性气味，溶解后无沉淀，二氧化碳释放量≥20mL/g，铝残留≤25mg/kg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面筋包</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无霉变，保质期新鲜</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陈皮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姜黄粉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具姜黄特有香气；姜黄素含量≥90%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蒜头粉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​蒜香浓郁无霉味，大蒜素≥0.5%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红曲粉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225g/袋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干燥、无霉变、粉质细腻，总砷含量应≤2mg/kg，铅含量应≤5mg/kg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草莓果酱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无异味，酸甜适中，无杂质，无霉变，无分层和析水，果肉含量≥45%，可溶性固形物≥65%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麻虾酱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​深褐色酱体，虾香浓郁，沙门氏菌不得检出；固形物含量45%±5%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枧水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​无色透明液体，无刺激性气味，碳酸钾≥30%，pH值≥11.5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核桃碎</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碎粒粒径2-5mm，含壳率≤1%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美味沙拉酱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​乳白色膏体，酸甜适口，脂肪≥50%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直条形意大利面</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干燥、无虫蛀、无霉变，长度250±5mm，断条率≤2%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水酸菜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200g*50袋/箱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​黄绿色叶片完整，酸味纯正无腐烂，汤汁清亮无悬浮物，亚硝酸盐含量不超过20mg/kg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良姜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​棕红色片状，辛辣香气浓郁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马苏里拉芝士碎</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拉丝效果≥10cm，奶香浓郁，无酸败味，脂肪≥22%，水分≤52%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青芥辣</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43g/条</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条</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​鲜绿色膏体，辛辣刺激气味强烈</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干裙带菜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454g/盒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无杂质，碳酸氢钠≥99%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奶油奶酪</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膏体细腻，奶香浓郁带微酸，涂抹无颗粒感，熔化后顺滑，脂肪≥33%，水分≤55%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蛋黄酱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无哈味，呈粘稠、均匀的膏状，无明显油脂析出、分层现象</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瓜子仁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干燥、无虫蛀、无霉变，完整仁率≥95%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粘米粉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干燥、无霉变，淀粉含量≥88%，细度≥120目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保鲜花椒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麻度≥15mg/g，青花椒占比≥95%，真空包装</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培煎沙拉汁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​乳白色乳液状，芝麻焙煎香浓郁，脂肪≥40%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丁香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杏仁片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干燥、无虫蛀、无霉变，片厚1±0.2mm，完整率≥90%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咖喱膏</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外观光滑，无明显裂纹或破损，橙黄色膏体均匀，无分层，主要成分包括芫荽、辣椒、姜黄、葫芦巴、茴香粒、小茴香等，0有害添加剂‌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沙茶酱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可见花生碎粒，咸鲜微辣，无焦糊味，质地均匀无分层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猪油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​乳白色固态油脂，猪脂香气纯正</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韩式泡菜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1kg*10袋/件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​白菜呈黄绿色，酸辣适口，无腐烂变质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肉蔻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干燥、无虫蛀、无霉变，粒径≥25mm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砂仁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干燥、无虫蛀、无霉变，破壳率≤5%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​深红色酱体均匀，无杂质，辣味纯正</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高粱米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马蹄爆爆珠</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​透明珠体外层脆，内裹马蹄粒，咬破后汁液清甜，无破裂珠</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白巧克力</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块状，甜味纯正，口感细腻无砂粒感，可可脂≥20%，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杂果罐头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4种以上水果，糖水清亮；果肉软硬适中，无纤维感，固形物≥55%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深井岩盐（无碘盐）</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480g/袋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无可见杂质，咸味纯正无苦味，氯化钠≥99.1%，碘含量≤5mg/kg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竹荪</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干燥、无霉变，菌柄长度≥10cm，网眼完整率≥90%，杂质≤2.0%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黑巧克力</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块状，口感细腻，苦甜协调无砂粒感，可可脂≥18%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松肉粉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454g/瓶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无结块，溶解后无沉淀，木瓜蛋白酶活力≥50万U/g，淀粉含量≥80%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干茶树菇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二荆条</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厚椰乳</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1L/盒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椰香浓郁，无脂肪分层或沉淀，脂肪≥24%，蛋白质≥2.5g/100mL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通心粉小弯通型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干燥、无虫蛀、无霉变，弯曲角度90±5°，断条率≤3%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芒果夹心果馅</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含芒果粒，甜酸适口，无糖结晶</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紫薯馅</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5kg*4袋/件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​紫红色均匀膏体，甜度适中，无纤维感或颗粒感，质地细腻，总糖≥40g/100g，水分≤35%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胖大海</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干燥、无虫蛀、无霉变，碎仁率≤3%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酒糟</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​淡黄色块状，具发酵香味，水分≤65%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烘焙碱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无刺激性气味，碳酸钠≥99%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甘草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油豆皮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碱粉（老碱）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无杂质，碳酸钠含量≥99%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日式寿司醋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液体均匀、不浑浊、无异味，总酸≥2.5g/100ml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酥油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​乳黄色固体油脂，奶香浓郁无酸败味，室温下质地均匀，脂肪≥99%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蓝莓果茸</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紫色或深紫色，色泽均匀，蓝莓香气浓郁，无籽粒或纤维，流动性适中，无异味，可溶性固形物（以20℃折光计）　≥25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朱古力顶料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液态巧克力涂层，光泽均匀，凝固后脆裂无白霜，可可脂≥30%，总糖≤45g/100g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葡萄果酱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无异味，酸甜适中，无杂质，无霉变，无分层和析水，果肉含量≥45%，可溶性固形物≥65%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寿司大根条</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均匀条状，脆嫩无纤维，酸甜适口无杂质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草莓顶料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包装完整，鲜红色果酱状，有明显草莓香味，无异味，且没有明显的不均匀色素分布，酱体应流动性适中，无凝块、沉淀或分层现象</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冻榴莲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​果肉金黄色，质地绵软，榴莲香气浓郁，无肉眼可见的外来杂质，无过大冰结晶（直径不超过5mm）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藕粉（无糖）</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480G（袋）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浅粉色至灰白色粉末，冲调后呈半透明糊状，淀粉≥75%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辣椒面</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青剁椒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辣椒碎片≤5%，酸辣适口，无腐烂</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黄精</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党参</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薏苡</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炒酸枣仁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浮小麦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山楂片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姜黄</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党山黄瓜</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包装完整密封，无油渍，口味纯正无腐烂，无杂质，固形物含量</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党山什锦菜</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包装完整密封，无油渍，口味纯正无腐烂，无杂质，固形物含量</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党山莴笋</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包装完整密封，无油渍，口味纯正无腐烂，无杂质，固形物含量</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金酸汤酱</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包装完整密封，无油渍，酸味纯正无腐烂，汤汁清亮无杂质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干海带</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干燥、无霉变、无异味</w:t>
            </w:r>
            <w:r/>
          </w:p>
        </w:tc>
      </w:tr>
      <w:tr>
        <w:trPr>
          <w:trHeight w:val="458"/>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乌米</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椰子果肉</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无结块、异味及杂质，白色粉末</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酸梅膏</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黏稠适中，鲜香浓郁无焦苦味，无异味，无明显结块，沉淀现象</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乳酸菌</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符合食品安全标准，》60种进口菌株，无明胶、无防腐剂、无香精、无蔗糖</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炼乳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符合食品安全标准，</w:t>
            </w:r>
            <w:r>
              <w:rPr>
                <w:rFonts w:hint="eastAsia" w:ascii="宋体" w:hAnsi="宋体" w:cs="宋体"/>
                <w:color w:val="000000" w:themeColor="text1"/>
                <w:szCs w:val="21"/>
                <w:highlight w:val="none"/>
                <w14:textFill>
                  <w14:solidFill>
                    <w14:schemeClr w14:val="tx1"/>
                  </w14:solidFill>
                </w14:textFill>
              </w:rPr>
              <w:t xml:space="preserve">奶香浓郁、口感丝滑纯正、</w:t>
            </w:r>
            <w:r>
              <w:rPr>
                <w:rFonts w:hint="eastAsia" w:ascii="宋体" w:hAnsi="宋体" w:cs="宋体"/>
                <w:color w:val="000000" w:themeColor="text1"/>
                <w:szCs w:val="21"/>
                <w:highlight w:val="none"/>
                <w:lang w:bidi="ar"/>
                <w14:textFill>
                  <w14:solidFill>
                    <w14:schemeClr w14:val="tx1"/>
                  </w14:solidFill>
                </w14:textFill>
              </w:rPr>
              <w:t xml:space="preserve">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奶茶植脂末</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0反式脂肪酸，浓郁奶香纯正，不结块、不挂候、不甜腻</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陈醋包（食醋）</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27000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总酸（以乙酸计）≥3.50g/100ml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糙米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3040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黑米粉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散称</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1040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紫黑色粉末状，干燥、无霉变，细度80-150目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无糖肉酥</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选用鲜猪后腿肌肉，鸡脯肉，木糖醇为原料,蛋白质≥32g/100g,脂肪</w:t>
            </w:r>
            <w:r>
              <w:rPr>
                <w:rFonts w:ascii="Arial" w:hAnsi="Arial" w:cs="Arial"/>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bidi="ar"/>
                <w14:textFill>
                  <w14:solidFill>
                    <w14:schemeClr w14:val="tx1"/>
                  </w14:solidFill>
                </w14:textFill>
              </w:rPr>
              <w:t xml:space="preserve">20g/100g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黑芝麻糊</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黑色粉末状，黑芝麻含量&gt;18.5%，菌落总数</w:t>
            </w:r>
            <w:r>
              <w:rPr>
                <w:rFonts w:ascii="Arial" w:hAnsi="Arial" w:cs="Arial"/>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bidi="ar"/>
                <w14:textFill>
                  <w14:solidFill>
                    <w14:schemeClr w14:val="tx1"/>
                  </w14:solidFill>
                </w14:textFill>
              </w:rPr>
              <w:t xml:space="preserve">100CFU/ml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麦麸</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散称</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淡褐色至红褐色碎屑状，质地酥松，占小麦籽的10%-30%，膳食纤维含量约44.6%</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魔芋粉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纯魔芋粉，按NY/T 494-2010执行标准水产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开心果酱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果仁保留原香色泽翠绿，酱质地细腻，无明显颗粒感，开心果含量≥60%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黄奶油</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精炼植物油，精炼食用牛油，食品添加剂（单双甘油脂肪酸酯），大豆磷脂，特丁基对苯二酚（TBHQ）柠檬酸</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翠绿或深绿色纯正的葱香味干燥葱碎，水分</w:t>
            </w:r>
            <w:r>
              <w:rPr>
                <w:rFonts w:ascii="Arial" w:hAnsi="Arial" w:cs="Arial"/>
                <w:color w:val="000000" w:themeColor="text1"/>
                <w:szCs w:val="21"/>
                <w:highlight w:val="none"/>
                <w:lang w:bidi="ar"/>
                <w14:textFill>
                  <w14:solidFill>
                    <w14:schemeClr w14:val="tx1"/>
                  </w14:solidFill>
                </w14:textFill>
              </w:rPr>
              <w:t xml:space="preserve">≤</w:t>
            </w:r>
            <w:r>
              <w:rPr>
                <w:rFonts w:hint="eastAsia" w:ascii="Arial" w:hAnsi="Arial" w:cs="Arial"/>
                <w:color w:val="000000" w:themeColor="text1"/>
                <w:szCs w:val="21"/>
                <w:highlight w:val="none"/>
                <w:lang w:bidi="ar"/>
                <w14:textFill>
                  <w14:solidFill>
                    <w14:schemeClr w14:val="tx1"/>
                  </w14:solidFill>
                </w14:textFill>
              </w:rPr>
              <w:t xml:space="preserve">8.0g/100g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花生碎</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精选优质花生，颗粒大小均匀，蛋白质≥25g/100g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辣妹子辣酱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听</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以辣椒为原料，红色半固态无分层的调味料</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恒顺葱姜料酒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480ml</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符合国际酒精度≥10%添加葱姜汁的原酿产品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即食装装锅巴</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采用糯米为原料，含油量低</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蜂蜜芥末酱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用蜂蜜和蛋黄酱调制而成</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水煮鱼调料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120g*40</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花椒含量非常高，麻香浓郁，无杂质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即食小麻花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散称</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符合GB/T20977-2024,菌落总数和大肠菌群都符合国标的油炸类糕点</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椒麻酱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以藤椒为主料，辣椒和植物油等为辅料调制而成的固体酱料</w:t>
            </w:r>
            <w:r/>
          </w:p>
        </w:tc>
      </w:tr>
    </w:tbl>
    <w:p>
      <w:pPr>
        <w:rPr>
          <w:rFonts w:hint="eastAsia" w:ascii="宋体" w:hAnsi="宋体" w:eastAsia="宋体" w:cs="宋体"/>
          <w:color w:val="000000" w:themeColor="text1"/>
          <w:sz w:val="21"/>
          <w:szCs w:val="21"/>
          <w:highlight w:val="none"/>
          <w:lang w:eastAsia="zh-CN"/>
          <w14:textFill>
            <w14:solidFill>
              <w14:schemeClr w14:val="tx1"/>
            </w14:solidFill>
          </w14:textFill>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jc w:val="both"/>
        <w:spacing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ind w:firstLine="422"/>
        <w:spacing w:line="360" w:lineRule="auto"/>
        <w:rPr>
          <w:rFonts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注：1.规格要求中未说明的，为散装即可。公司所投规格可优于采购人要求，但不得低于采购人要求，否则视为无效投标。</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★供应商须根据第四章《采购需求》采购清单逐项进行填报投标单价，不得存在缺项漏项，否则视为无效投标。</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★本项采购预算为医院年度预估采购量，供供应商参考，实际医院用量不做保证，按实际用量结算。</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★投标人需按上述要求（投标产品的 商品名称、规格、单位）在投标文件 </w:t>
      </w:r>
      <w:r>
        <w:rPr>
          <w:rFonts w:hint="eastAsia" w:ascii="宋体" w:hAnsi="宋体" w:cs="宋体"/>
          <w:b/>
          <w:color w:val="000000" w:themeColor="text1"/>
          <w:szCs w:val="21"/>
          <w:highlight w:val="none"/>
          <w:lang w:val="en-US" w:eastAsia="zh-CN"/>
          <w14:textFill>
            <w14:solidFill>
              <w14:schemeClr w14:val="tx1"/>
            </w14:solidFill>
          </w14:textFill>
        </w:rPr>
        <w:t xml:space="preserve">分项报价表</w:t>
      </w:r>
      <w:r>
        <w:rPr>
          <w:rFonts w:hint="eastAsia" w:ascii="宋体" w:hAnsi="宋体" w:cs="宋体"/>
          <w:b/>
          <w:color w:val="000000" w:themeColor="text1"/>
          <w:szCs w:val="21"/>
          <w:highlight w:val="none"/>
          <w14:textFill>
            <w14:solidFill>
              <w14:schemeClr w14:val="tx1"/>
            </w14:solidFill>
          </w14:textFill>
        </w:rPr>
        <w:t xml:space="preserve">中逐一响应应答。</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★供应商需在</w:t>
      </w:r>
      <w:r>
        <w:rPr>
          <w:rFonts w:hint="eastAsia" w:ascii="宋体" w:hAnsi="宋体" w:cs="宋体"/>
          <w:b/>
          <w:color w:val="000000" w:themeColor="text1"/>
          <w:szCs w:val="21"/>
          <w:highlight w:val="none"/>
          <w:lang w:val="en-US" w:eastAsia="zh-CN"/>
          <w14:textFill>
            <w14:solidFill>
              <w14:schemeClr w14:val="tx1"/>
            </w14:solidFill>
          </w14:textFill>
        </w:rPr>
        <w:t xml:space="preserve">分项报价表</w:t>
      </w:r>
      <w:r>
        <w:rPr>
          <w:rFonts w:hint="eastAsia" w:ascii="宋体" w:hAnsi="宋体" w:cs="宋体"/>
          <w:b/>
          <w:color w:val="000000" w:themeColor="text1"/>
          <w:szCs w:val="21"/>
          <w:highlight w:val="none"/>
          <w14:textFill>
            <w14:solidFill>
              <w14:schemeClr w14:val="tx1"/>
            </w14:solidFill>
          </w14:textFill>
        </w:rPr>
        <w:t xml:space="preserve"> 中逐一注明能够提供的产品的品牌或制造商。</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★投标产品质量标准需符合采购清单质量参数要求中注明的各项国家标准（相关标准有最新版本的，按最新版本执行）。</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★投标人须对采购清单列明的所有产品进行投标，不接受仅对表格中部分产品进行投标。</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★三、食材质量要求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lang w:val="en-US" w:eastAsia="zh-CN"/>
          <w14:textFill>
            <w14:solidFill>
              <w14:schemeClr w14:val="tx1"/>
            </w14:solidFill>
          </w14:textFill>
        </w:rPr>
        <w:t xml:space="preserve">详</w:t>
      </w:r>
      <w:r>
        <w:rPr>
          <w:rFonts w:hint="eastAsia" w:ascii="宋体" w:hAnsi="宋体" w:cs="宋体"/>
          <w:color w:val="000000" w:themeColor="text1"/>
          <w:szCs w:val="21"/>
          <w:highlight w:val="none"/>
          <w14:textFill>
            <w14:solidFill>
              <w14:schemeClr w14:val="tx1"/>
            </w14:solidFill>
          </w14:textFill>
        </w:rPr>
        <w:t xml:space="preserve">见采购清单。</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所供的所有商品应具有质量合格证明等质量证明材料。</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2.供应商应</w:t>
      </w:r>
      <w:r>
        <w:rPr>
          <w:rFonts w:hint="eastAsia" w:ascii="宋体" w:hAnsi="宋体" w:cs="宋体"/>
          <w:b/>
          <w:bCs/>
          <w:color w:val="000000" w:themeColor="text1"/>
          <w:szCs w:val="21"/>
          <w:highlight w:val="none"/>
          <w14:textFill>
            <w14:solidFill>
              <w14:schemeClr w14:val="tx1"/>
            </w14:solidFill>
          </w14:textFill>
        </w:rPr>
        <w:t xml:space="preserve">承诺</w:t>
      </w:r>
      <w:r>
        <w:rPr>
          <w:rFonts w:hint="eastAsia" w:ascii="宋体" w:hAnsi="宋体" w:cs="宋体"/>
          <w:color w:val="000000" w:themeColor="text1"/>
          <w:szCs w:val="21"/>
          <w:highlight w:val="none"/>
          <w14:textFill>
            <w14:solidFill>
              <w14:schemeClr w14:val="tx1"/>
            </w14:solidFill>
          </w14:textFill>
        </w:rPr>
        <w:t xml:space="preserve">其所供的食材均符合《</w:t>
      </w:r>
      <w:r>
        <w:rPr>
          <w:rFonts w:hint="eastAsia" w:ascii="宋体" w:hAnsi="宋体" w:cs="宋体"/>
          <w:color w:val="000000" w:themeColor="text1"/>
          <w:szCs w:val="21"/>
          <w:highlight w:val="none"/>
          <w14:textFill>
            <w14:solidFill>
              <w14:schemeClr w14:val="tx1"/>
            </w14:solidFill>
          </w14:textFill>
        </w:rPr>
        <w:t xml:space="preserve">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供应商交付的商品必须质量优良、新鲜卫生、不过期、不变质、无异味、无杂质、无毒无害，随货须附出厂检验报告。商品需具有完整的追溯链，如需要供应商须随时提供追溯材料。</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3.主要产品质量要求如下：</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①红糖（序号44）：符合国家《GB/T 35885-2018》标准，要求色泽自然，呈金黄色或红褐色，无明显黑渣和杂质，具有红糖和焦糖的芳香味，无焦苦味。总糖分（蔗糖分+还原糖分）≥85g/100g，干燥失重≤4.5 g/100g，不溶于水杂质≤250mg/kg。</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②麻油（序号21）：符合国家《GB/T 8233-2018》标准，要求具有芝麻原固有的气味和滋味，无异味，色泽呈橙黄色至棕红色，水分及挥发物含量≤0.2%，不溶性杂质含量≤0.5%，酸价≤2.5mg/100g，过氧化值≤0.15g/100g。</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③虾皮（序号100）：符合国家《SC/T 3205-2016》标准，要求有光泽、半透明，呈肉白色或淡黄色等虾皮自然色泽，无色变及霉变现象。体型弯曲且基本完整、大小均匀、肉质厚实，有柔韧性，无氨臭等异味。水分在25-35g/100g之间，盐分≤5%，水产夹杂物为0。</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④生抽（序号19）：符合国家《GB 2717-2018》标准，要求具有产品应有的色泽、滋味和气味，无异味，不混浊，无正常视力可见外来异物，无霉花浮膜。氨基酸态氮≥0.4g/100mL。</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⑤味精（序号12）：符合国家《GB 2720-2015》标准，要求色泽呈无色至白色，具有特殊的鲜味，无异味，状态为结晶状颗粒或粉末，无正常视力可见外来异物。谷氨酸钠（以干基计）≥99.0%。</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⑥绵白糖（</w:t>
      </w:r>
      <w:r>
        <w:rPr>
          <w:rFonts w:hint="eastAsia" w:ascii="宋体" w:hAnsi="宋体" w:cs="宋体"/>
          <w:color w:val="000000" w:themeColor="text1"/>
          <w:szCs w:val="21"/>
          <w:highlight w:val="none"/>
          <w14:textFill>
            <w14:solidFill>
              <w14:schemeClr w14:val="tx1"/>
            </w14:solidFill>
          </w14:textFill>
        </w:rPr>
        <w:t xml:space="preserve">序号</w:t>
      </w:r>
      <w:r>
        <w:rPr>
          <w:rFonts w:ascii="宋体" w:hAnsi="宋体" w:cs="宋体"/>
          <w:color w:val="000000" w:themeColor="text1"/>
          <w:szCs w:val="21"/>
          <w:highlight w:val="none"/>
          <w14:textFill>
            <w14:solidFill>
              <w14:schemeClr w14:val="tx1"/>
            </w14:solidFill>
          </w14:textFill>
        </w:rPr>
        <w:t xml:space="preserve">71）：符合国家《GB/T 1445-2018》标准，要求晶粒细小、均匀，颜色洁白，质地绵软，无正常视力可见外来异物。总糖分≥97.9g/100g，还原糖在1.5-2.5g/100g之间，干燥失重在0.8-2.0g/100g之间，粒度≤0.4mm，不溶于水杂质≤40mg/kg。</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若在服务期间，国家相关部门出台最新的或更高的标准要求，则按最新的或更高的标准执行。</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4.包装与标志要求：包装要求清洁、干燥、牢固、无污染、无异味、无霉变现象；要求每件包装应标明产地、品种、净含量、生产单位及地址和生产日期和保质期等。</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运输要求：要求专人专车配送，必须采用符合卫生标准的外包装和运载工具，并且要保持清洁和定期消毒。运输车厢的内仓无不良气味、异味；运输途中严防日晒、雨淋；食品堆科学合理，避免造成食品的交叉污染。</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应商应对其商品质量负责，不得提供假冒伪劣商品或已临近保质期及超过保质期的商品给采购人（交付时剩余保质期不少于原保质期的三分之二）。因供应商所供商品发生质量问题，须承担给医院造成的一切损失。</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采购人有权要求供应商对配送的食材送权威部门检检（每季度一次，报告由采购人留存，费用由供应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应商承担。</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①变质、油脂酸败、霉变、生虫、污秽不洁、混有异物或者其他感官性状异常，可能对人体健康有害的；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②含有毒、有害物质或者被有毒、有害物质污染，可能对人体健康有害的；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③含有致病性寄生虫、微生物的，或者微生物含量超标的：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④含有昆虫或其他感官形状异常的其他异物；</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⑤容器包装污秽不洁， 严重破损或运输工具不洁造成污染的；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⑥掺假、掺杂、伪造，影响营养、卫生的；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⑦用非食品原料加工的，加入非食品用化学物质的或者将非食品当作食品的；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⑧超过保质期的；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⑨为防病等特殊需要，国务院卫生行政部门或省、自治区、直辖市人民政府专门规定禁止出售的；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⑩未经检验或检验不合格出厂的食品及食品辅料；</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⑪无卫生许可证生产的食品及食品原辅材料(初级农产品除外)；</w:t>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⑫其他不符合卫生标准和要求的食品及食品原辅材料。</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四、人员管理及仓储要求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1.供应商应具有一定食品安全法律知识及食品管理技能的专职或者兼职食品安全管理人。</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2.供应商须建立健全食品安全管理制度和从业人员健康管理制度。</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3.供应商应与所供应配送的食材品种、数量相适应的仓储设备及相关条件；保持仓库环境整洁，同时仓库内食材应排放有序，没有任何有毒、有害场所以及其他污染源。</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4.配送人员必须取得卫生部门出具的健康证，工作时做到个人仪表整洁。且送货时必须按采购人要求进行着装。</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5.配送车辆上必须粘贴配送标识，车辆要保持清洁，在食材配送过程中不得与其他产品混装。</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五、食材配送及交货要求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2.食材供货配送必须建立完善的质量承诺制度，并具有与该承诺相适应的财务保障。</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3.日常情况下，采购人提前1天以邮件或电话、微信等形式告知供应商供应的食材种类、数量及交货地点，供应商应对订单进行确认；供应商未于下单日当天明确表示不能配送的，则视为确认。</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4.供应商须于交货日按照采购人通知的时间、数量、品种、品质要求准时送货，经验收合格后签字确认并进行卸货，运费自理，不能以任何理由推托，一旦影响到食堂正常供应，供应商应承担相应的经济赔偿。</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5.当采购人临时有大批量食材采购或紧急采购任务时，供应商</w:t>
      </w:r>
      <w:r>
        <w:rPr>
          <w:rFonts w:hint="eastAsia" w:ascii="宋体" w:hAnsi="宋体" w:cs="宋体"/>
          <w:b/>
          <w:bCs/>
          <w:color w:val="000000" w:themeColor="text1"/>
          <w:szCs w:val="21"/>
          <w:highlight w:val="none"/>
          <w14:textFill>
            <w14:solidFill>
              <w14:schemeClr w14:val="tx1"/>
            </w14:solidFill>
          </w14:textFill>
        </w:rPr>
        <w:t xml:space="preserve">承诺</w:t>
      </w:r>
      <w:r>
        <w:rPr>
          <w:rFonts w:hint="eastAsia" w:ascii="宋体" w:hAnsi="宋体" w:cs="宋体"/>
          <w:color w:val="000000" w:themeColor="text1"/>
          <w:szCs w:val="21"/>
          <w:highlight w:val="none"/>
          <w14:textFill>
            <w14:solidFill>
              <w14:schemeClr w14:val="tx1"/>
            </w14:solidFill>
          </w14:textFill>
        </w:rPr>
        <w:t xml:space="preserve">在接到采购人通知后于指定的时间和地点进行送货并卸货，派专人负责跟踪服务，保证食材准时准点供应，如推迟送货的，采购人有权拒绝验收签单。</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6.交货地点：鼓楼区中山路321号、中山北路53号；江北新区浦珠中路359号。</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7.依据产品质量监督检验单位提供的质量标准，供应商提供的食材必须是经过质量监督管理部门检验并取得合格证明的产品。</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9.供应商须随时接受采购人或相关单位的随机抽样检查，检验费用由供应商支付。</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10.采购人对食材提出的质量异议时，保证在30分钟以内作出答复，并妥善商处。无法在30分钟内解决的，应在2个小时内提供备用产品，使采购人能够正常使用。</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11.规格包装的食材交付时，必须原包装完好无损，否则采购人有权拒收。</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六、履约及违约</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1.供应商应向采购人缴纳相应的履约保证金作为合同生效的前提，本项目供应商应缴纳履约保证金</w:t>
      </w:r>
      <w:r>
        <w:rPr>
          <w:rFonts w:hint="eastAsia" w:ascii="宋体" w:hAnsi="宋体" w:cs="宋体"/>
          <w:color w:val="000000" w:themeColor="text1"/>
          <w:szCs w:val="21"/>
          <w:highlight w:val="none"/>
          <w:u w:val="single"/>
          <w14:textFill>
            <w14:solidFill>
              <w14:schemeClr w14:val="tx1"/>
            </w14:solidFill>
          </w14:textFill>
        </w:rPr>
        <w:t xml:space="preserve">  15  </w:t>
      </w:r>
      <w:r>
        <w:rPr>
          <w:rFonts w:hint="eastAsia" w:ascii="宋体" w:hAnsi="宋体" w:cs="宋体"/>
          <w:color w:val="000000" w:themeColor="text1"/>
          <w:szCs w:val="21"/>
          <w:highlight w:val="none"/>
          <w14:textFill>
            <w14:solidFill>
              <w14:schemeClr w14:val="tx1"/>
            </w14:solidFill>
          </w14:textFill>
        </w:rPr>
        <w:t xml:space="preserve">万元，并在合同中予以明确。</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2.因供应商配送不及时导致食材供应延误的，由采购人根据本单位供应商管理处罚管理规定进行处理，按规定要求扣除相应的履约保证金。</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3.采购人如临时增加用餐人员，需临时补充食材的，供应商应在约定时间内无条件把指定的食材送至指定的地点，否则按第2条处理。</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5.凡供应商向采购人提供的食材发生质量问题，影响食用，经相关部门确认，由采购人进行处罚，三次及以上扣除全部履约保证金并解除合同。</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采购人将定期或不定期地组织专人对供应商所供食材的质量报送质检部门抽检，若发现食材质量检测结果与招标文件或投标文件或与国家规定的质量标准不符，采购人有权对其进行罚款、扣除履约保证金、解除合同等。</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7.凡供应商供应的食材故意串规、定量包装批量误差超过相关规定，一经查实，均按当月食材供应额的3倍值作为支付采购人的违约金。</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8.如供应商延迟交货或配送货物不符合订单要求，供应商须按采购人要求及时补货、换货或退货。对于上述情况的发生，前两次采购人将予以警告，第三次采购人有权直接解除合同并扣除其履约保证金。</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9.如供应商在项目实施期间出现违背投标时的承诺，或经营异常，或丧失商业信誉，或产品被曝光不合格或被政府部门取缔相关生产经营资格的情况，采购人有权直接解除合同并扣除其履约保证金。</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七、培训服务承诺及措施</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1.供应商做好食材供应服务，切实做到人员到位，服务到位，切实保障采购人合法权益。</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2.供应商保证产品在采购人规定时间内送达指定地点，由采购人指定专人进行验收，验收合格签字认可。</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3.供应商严格按照《产品质量法》等相关规定，严格保证食材质量符合国家相关产品质量标准，在供应过程中如出现因食用其提供食材导致食物中毒的事故发生，供应商对此承担一切法律责任。</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4.如采购人或相关部门对供应商产品质量有异议，有权提出改进意见。</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5.每年供应商应对相关人员进行一次培训。</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八、报价与结算要求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1.本项目采购食材清单由采购人根据每批次需要自主选定，本次报价包含：商品价、运输费（含装卸费）、人工费、保险费、税费、培训费、货物送到采购人指定地点等的所有费用。</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2.价格确定：供应商报价。 </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3.结算方式：</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①结算方式：按月结算，月供货金额(含税价)=月实际供货量*定价。结算时开具正式发票，发票不能由第三方代开。如供应商未提供发票的，医院有权拒绝付款，产生损失的由供应商自行承担，与医院无关。</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②供应商须严格按照投标报价供货，医院将不定期进行抽查，如发现供应商自行调价，报价超出投标价格，每次给予1000至10000元处罚，累计三次或情节恶劣，取消其供应商资格。</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采购人每月对供应商进行考核（本部（含北院）、江北分开考核），考核作为供应商合同期考核的重要依据，详见《考核表》。</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4.责任追究：</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供应商如常发生缺货问题，采购人将安排相关人员至众彩批发市场抽查。如发现两家店铺有货，而供应商无法供货的情况，则按缺货当次采购人订货金额的五倍进行罚款。如供应商自行更改已确认的商品品种、数量，按当次采购人订货金额的五倍进行罚款。</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九、其他要求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1.供应商应建立进货查验记录制度与食材安全追溯体系，建立票、据、证档案，采购人有权定期检查。</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2.供应商应指定专人负责处理本项目合同涉及的所有业务与事宜，并做好相关售后服务工作。</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3.供应商应</w:t>
      </w:r>
      <w:r>
        <w:rPr>
          <w:rFonts w:hint="eastAsia" w:ascii="宋体" w:hAnsi="宋体" w:cs="宋体"/>
          <w:b/>
          <w:bCs/>
          <w:color w:val="000000" w:themeColor="text1"/>
          <w:szCs w:val="21"/>
          <w:highlight w:val="none"/>
          <w14:textFill>
            <w14:solidFill>
              <w14:schemeClr w14:val="tx1"/>
            </w14:solidFill>
          </w14:textFill>
        </w:rPr>
        <w:t xml:space="preserve">承诺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后同意提供采购人要求的与其投标有关的一切数据和资料，并保证其所提供数据资料的真实性与准确性。</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十、特别说明</w:t>
      </w:r>
      <w:r/>
    </w:p>
    <w:p>
      <w:pPr>
        <w:ind w:firstLine="422"/>
        <w:spacing w:line="360" w:lineRule="auto"/>
        <w:rPr>
          <w:rFonts w:ascii="宋体" w:hAnsi="宋体" w:cs="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1.本章“采购需求”中所有要求均为实质性要求，不可负偏离，否则作为无效投标。</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2.供应商在项目实施过程中应严格按照采购需求中的各项要求、合同中的各项条款、采购人要求以及投标文件中确定的事项和承诺履行本项目。</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3.采购人将根据实际采购供应需求对供应商下单订单，同时采购人不保证年采购金额一定达到或超过项目预算。</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w:t>
      </w:r>
      <w:r>
        <w:rPr>
          <w:rFonts w:hint="eastAsia" w:hAnsi="宋体" w:cs="宋体"/>
          <w:bCs/>
          <w:color w:val="000000" w:themeColor="text1"/>
          <w:highlight w:val="none"/>
          <w14:textFill>
            <w14:solidFill>
              <w14:schemeClr w14:val="tx1"/>
            </w14:solidFill>
          </w14:textFill>
        </w:rPr>
        <w:t xml:space="preserve">服务期内因中标供应商原因放弃合同的，采购人将保留对其追责的权利，同时可以按照评审报告中推荐的供应商排序，确定下一候选人为中标供应商，也可以重新开展采购活动。</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十一、供应商日常考核标准（下附考核表）</w:t>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采购人每月对供应商进行考核，考核作为供应商合同期考核的重要依据，每月进行通报。</w:t>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r>
      <w:r/>
    </w:p>
    <w:p>
      <w:pPr>
        <w:jc w:val="both"/>
        <w:spacing w:after="0" w:line="71" w:lineRule="atLeas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r>
      <w:r/>
    </w:p>
    <w:p>
      <w:pPr>
        <w:ind w:firstLine="480"/>
        <w:jc w:val="both"/>
        <w:spacing w:after="0" w:line="71" w:lineRule="atLeas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24"/>
          <w:highlight w:val="none"/>
          <w:lang w:eastAsia="zh-CN"/>
          <w14:textFill>
            <w14:solidFill>
              <w14:schemeClr w14:val="tx1"/>
            </w14:solidFill>
          </w14:textFill>
        </w:rPr>
      </w:r>
      <w:r/>
    </w:p>
    <w:tbl>
      <w:tblPr>
        <w:tblStyle w:val="771"/>
        <w:tblW w:w="0" w:type="auto"/>
        <w:jc w:val="right"/>
        <w:tblLayout w:type="fixed"/>
        <w:tblCellMar>
          <w:left w:w="108" w:type="dxa"/>
          <w:top w:w="0" w:type="dxa"/>
          <w:right w:w="108" w:type="dxa"/>
          <w:bottom w:w="0" w:type="dxa"/>
        </w:tblCellMar>
        <w:tblLook w:val="04A0" w:firstRow="1" w:lastRow="0" w:firstColumn="1" w:lastColumn="0" w:noHBand="0" w:noVBand="1"/>
      </w:tblPr>
      <w:tblGrid>
        <w:gridCol w:w="1157"/>
        <w:gridCol w:w="2980"/>
        <w:gridCol w:w="6757"/>
        <w:gridCol w:w="763"/>
        <w:gridCol w:w="825"/>
        <w:gridCol w:w="1692"/>
      </w:tblGrid>
      <w:tr>
        <w:trPr>
          <w:jc w:val="right"/>
          <w:trHeight w:val="492"/>
        </w:trPr>
        <w:tc>
          <w:tcPr>
            <w:gridSpan w:val="6"/>
            <w:tcBorders>
              <w:top w:val="single" w:color="auto" w:sz="4" w:space="0"/>
              <w:left w:val="single" w:color="auto" w:sz="4" w:space="0"/>
              <w:bottom w:val="single" w:color="auto" w:sz="4" w:space="0"/>
              <w:right w:val="single" w:color="auto" w:sz="4" w:space="0"/>
            </w:tcBorders>
            <w:tcW w:w="14174"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 xml:space="preserve">         </w:t>
            </w:r>
            <w:bookmarkStart w:id="259" w:name="OLE_LINK3"/>
            <w:r>
              <w:rPr>
                <w:rFonts w:hint="eastAsia" w:ascii="宋体" w:hAnsi="宋体" w:cs="宋体"/>
                <w:b/>
                <w:bCs/>
                <w:color w:val="000000" w:themeColor="text1"/>
                <w:szCs w:val="21"/>
                <w:highlight w:val="none"/>
                <w14:textFill>
                  <w14:solidFill>
                    <w14:schemeClr w14:val="tx1"/>
                  </w14:solidFill>
                </w14:textFill>
              </w:rPr>
              <w:t xml:space="preserve">考核表</w:t>
            </w:r>
            <w:r/>
          </w:p>
        </w:tc>
      </w:tr>
      <w:tr>
        <w:trPr>
          <w:jc w:val="right"/>
          <w:trHeight w:val="270"/>
        </w:trPr>
        <w:tc>
          <w:tcPr>
            <w:gridSpan w:val="2"/>
            <w:tcBorders>
              <w:top w:val="single" w:color="auto" w:sz="4" w:space="0"/>
              <w:left w:val="single" w:color="auto" w:sz="4" w:space="0"/>
              <w:bottom w:val="single" w:color="auto" w:sz="4" w:space="0"/>
              <w:right w:val="single" w:color="000000" w:sz="4" w:space="0"/>
            </w:tcBorders>
            <w:tcW w:w="4137"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考评项目</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评分、罚款标准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总分</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扣分、罚款原因</w:t>
            </w:r>
            <w:r/>
          </w:p>
        </w:tc>
      </w:tr>
      <w:tr>
        <w:trPr>
          <w:jc w:val="right"/>
          <w:trHeight w:val="352"/>
        </w:trPr>
        <w:tc>
          <w:tcPr>
            <w:gridSpan w:val="2"/>
            <w:tcBorders>
              <w:top w:val="none" w:color="000000" w:sz="4" w:space="0"/>
              <w:left w:val="single" w:color="auto" w:sz="4" w:space="0"/>
              <w:bottom w:val="single" w:color="auto" w:sz="4" w:space="0"/>
              <w:right w:val="single" w:color="auto" w:sz="4" w:space="0"/>
            </w:tcBorders>
            <w:tcW w:w="413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服务态度</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态度不好、不服从采购人安排、与采购人发生争吵等，视情况扣分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388"/>
        </w:trPr>
        <w:tc>
          <w:tcPr>
            <w:gridSpan w:val="2"/>
            <w:tcBorders>
              <w:top w:val="none" w:color="000000" w:sz="4" w:space="0"/>
              <w:left w:val="single" w:color="auto" w:sz="4" w:space="0"/>
              <w:bottom w:val="single" w:color="auto" w:sz="4" w:space="0"/>
              <w:right w:val="single" w:color="auto" w:sz="4" w:space="0"/>
            </w:tcBorders>
            <w:tcW w:w="413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货品质量</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发现质量问题，每次扣2分。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62"/>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安全保障</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食品安全能否得到保障（提供食品安全相关证明）</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1.产品合格证未及时提供，扣2分；</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2.不能提供送货车辆清洗消毒记录，扣2分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06"/>
        </w:trPr>
        <w:tc>
          <w:tcPr>
            <w:tcBorders>
              <w:top w:val="none" w:color="000000" w:sz="4" w:space="0"/>
              <w:left w:val="single" w:color="auto" w:sz="4" w:space="0"/>
              <w:bottom w:val="single" w:color="auto" w:sz="4" w:space="0"/>
              <w:right w:val="single" w:color="auto" w:sz="4" w:space="0"/>
            </w:tcBorders>
            <w:tcW w:w="1157" w:type="dxa"/>
            <w:vAlign w:val="center"/>
            <w:vMerge w:val="restart"/>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准确性</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是否与订购数量一致</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发现少送量超过订货单的10%扣1分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97"/>
        </w:trPr>
        <w:tc>
          <w:tcPr>
            <w:tcBorders>
              <w:top w:val="none" w:color="000000" w:sz="4" w:space="0"/>
              <w:left w:val="single" w:color="auto" w:sz="4" w:space="0"/>
              <w:bottom w:val="single" w:color="auto" w:sz="4" w:space="0"/>
              <w:right w:val="single" w:color="auto" w:sz="4" w:space="0"/>
            </w:tcBorders>
            <w:tcW w:w="1157" w:type="dxa"/>
            <w:vAlign w:val="center"/>
            <w:vMerge w:val="continue"/>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是否与订购种类一致</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发现少送品种大于3种扣1分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及时性</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是否按规定时间送达</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发现一次迟到扣1分，因天气、堵车等不可控因素迟到除外</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物流配送</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是否有专门的运输工具</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使用不符合规定物流车或货拉拉，发现一次扣1分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15"/>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人员安排</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是否有专人为采购人提供服务</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发现换人频率大于每月一次扣1分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34"/>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价格水平</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是否有涨价现象</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特色服务</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能否零星供货或满足采购人的特殊要求</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不能满足零星送货或特殊需求，一次扣1分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89"/>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应急处理</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应急事件处理能力</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应急事件能否及时处理，视情况扣分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673"/>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90-100分：无奖惩； 80-89分：罚款4000元；70-79分：罚款10000元； 60-69分：罚款20000元；59分以下：终止合同</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1531"/>
        </w:trPr>
        <w:tc>
          <w:tcPr>
            <w:gridSpan w:val="2"/>
            <w:tcBorders>
              <w:top w:val="single" w:color="auto" w:sz="4" w:space="0"/>
              <w:left w:val="single" w:color="auto" w:sz="4" w:space="0"/>
              <w:bottom w:val="single" w:color="auto" w:sz="4" w:space="0"/>
              <w:right w:val="single" w:color="auto" w:sz="4" w:space="0"/>
            </w:tcBorders>
            <w:tcW w:w="413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w:t>
            </w:r>
            <w:r/>
          </w:p>
        </w:tc>
        <w:tc>
          <w:tcPr>
            <w:tcBorders>
              <w:top w:val="single" w:color="auto"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1.发现产品霉变、不洁，第一次约谈，第二次罚款1000元、第三次取消供货资格。</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2.每批次产品合格证未及时提供罚款1000元。</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3.在每季度送检的货品中，如发现未达到安全标准或微生物、重金属等超标，该批次货品全部退货并罚款5000元。 </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4.其他视严重程度罚款。</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bookmarkEnd w:id="259"/>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ectPr>
          <w:footerReference w:type="default" r:id="rId13"/>
          <w:footnotePr/>
          <w:endnotePr/>
          <w:type w:val="nextPage"/>
          <w:pgSz w:w="16838" w:h="11906" w:orient="landscape"/>
          <w:pgMar w:top="1588" w:right="1440" w:bottom="1698" w:left="1440" w:header="851" w:footer="992" w:gutter="0"/>
          <w:cols w:num="1" w:sep="0" w:space="720" w:equalWidth="1"/>
          <w:docGrid w:linePitch="360"/>
        </w:sectPr>
      </w:pPr>
      <w:r>
        <w:rPr>
          <w:rFonts w:hint="eastAsia" w:ascii="宋体" w:hAnsi="宋体" w:eastAsia="宋体" w:cs="宋体"/>
          <w:color w:val="000000" w:themeColor="text1"/>
          <w:sz w:val="21"/>
          <w:szCs w:val="21"/>
          <w:highlight w:val="none"/>
          <w14:textFill>
            <w14:solidFill>
              <w14:schemeClr w14:val="tx1"/>
            </w14:solidFill>
          </w14:textFill>
        </w:rPr>
      </w:r>
      <w:r/>
    </w:p>
    <w:p>
      <w:pPr>
        <w:pStyle w:val="801"/>
        <w:ind w:firstLine="569"/>
        <w:spacing w:line="480" w:lineRule="auto"/>
        <w:rPr>
          <w:rFonts w:hint="eastAsia" w:ascii="宋体" w:hAnsi="宋体" w:cs="宋体"/>
          <w:color w:val="000000" w:themeColor="text1"/>
          <w:highlight w:val="none"/>
          <w14:textFill>
            <w14:solidFill>
              <w14:schemeClr w14:val="tx1"/>
            </w14:solidFill>
          </w14:textFill>
        </w:rPr>
      </w:pPr>
      <w:r/>
      <w:bookmarkStart w:id="361" w:name="_GoBack"/>
      <w:r/>
      <w:bookmarkEnd w:id="361"/>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7"/>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本项目采用综合评估法确定中标候选人。评标委员会将按下列评分办法和标准进行评分，总分值为100分。</w:t>
      </w:r>
      <w:r/>
    </w:p>
    <w:tbl>
      <w:tblPr>
        <w:tblStyle w:val="77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004"/>
        <w:gridCol w:w="6207"/>
        <w:gridCol w:w="764"/>
      </w:tblGrid>
      <w:tr>
        <w:trPr>
          <w:trHeight w:val="59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bookmarkStart w:id="260" w:name="_Toc91836565"/>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评分因素</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评审标准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价格分</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contextualSpacing/>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采用低价优先法计算，即满足采购文件要求且投标报价最低的，作为评标基准价，其价格分为满分30分。</w:t>
            </w:r>
            <w:r/>
          </w:p>
          <w:p>
            <w:pP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其他投标人的价格分统一按照下列公式计算：投标报价得分=（评标基准价/投标报价）×30（保留二位小数）；</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业绩</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供应商提供近三年以来（自202</w:t>
            </w:r>
            <w:r>
              <w:rPr>
                <w:rFonts w:hint="eastAsia" w:ascii="宋体" w:hAnsi="宋体" w:cs="宋体"/>
                <w:bCs/>
                <w:color w:val="000000" w:themeColor="text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年1月1日以来）与本项目类似干调类产品的供货业绩，每提供一份得2分，满分6分。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注：本项需提供合同复印件，时间以合同签订时间为准，同一采购单位的多份合同业绩，不重复计分。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采购渠道</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投标人需提供食材采购渠道为正规途径采购的详细说明(如众彩、批发市场等)的，得4分；</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注：本项需提供投标人和其上游供应商的购销合同或代理销售合同等，合同的有效期须涵盖履约期限（如合同有效期涵盖开标当日但不涵盖履约期限的，须同时提供承诺书：承诺到期后，可与原销售渠道合作至与采购人合同履约结束,格式自拟），否则不予认可。</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运输车辆</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根据投标人拟投入本项目运输车辆进行打分，每投入一辆，得2分，最高得8分：</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（1）若为自有车辆，投标文件中必须提供车辆的行驶证；若为租赁车辆，投标文件中必须提供车辆的行驶证及租赁合同；</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2</w:t>
            </w:r>
            <w:r>
              <w:rPr>
                <w:rFonts w:hint="eastAsia" w:ascii="宋体" w:hAnsi="宋体" w:cs="宋体"/>
                <w:bCs/>
                <w:color w:val="000000" w:themeColor="text1"/>
                <w:szCs w:val="21"/>
                <w:highlight w:val="none"/>
                <w:lang w:bidi="ar"/>
                <w14:textFill>
                  <w14:solidFill>
                    <w14:schemeClr w14:val="tx1"/>
                  </w14:solidFill>
                </w14:textFill>
              </w:rPr>
              <w:t xml:space="preserve">）投标人同时需提供对应车辆车身正面、侧面、车尾照片，否则不予认可；</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）投标人须承诺上述车辆为本项目固定送货车辆，项目服务期内不得随意更换。</w:t>
            </w:r>
            <w:r/>
          </w:p>
          <w:p>
            <w:pPr>
              <w:spacing w:line="320" w:lineRule="exact"/>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4</w:t>
            </w:r>
            <w:r>
              <w:rPr>
                <w:rFonts w:hint="eastAsia" w:ascii="宋体" w:hAnsi="宋体" w:cs="宋体"/>
                <w:bCs/>
                <w:color w:val="000000" w:themeColor="text1"/>
                <w:szCs w:val="21"/>
                <w:highlight w:val="none"/>
                <w:lang w:bidi="ar"/>
                <w14:textFill>
                  <w14:solidFill>
                    <w14:schemeClr w14:val="tx1"/>
                  </w14:solidFill>
                </w14:textFill>
              </w:rPr>
              <w:t xml:space="preserve">）因地库限高2.2米，供应商车辆高度不要超过2.2米（提供车辆行驶证，具体尺寸以车辆行驶证的尺寸为准），否则投标人应提供合理替代方案，并承诺中标后，能够按时准确地将食材运送至医院指定地点；</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）上述证明材料有效期须涵盖履约期限（如有效期涵盖开标当日但不涵盖履约期限的，须同时提供承诺书：承诺到期后，原车辆使用至与采购人合同履约结束，格式自拟），未提供或有缺漏的，不得分。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8分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right w:val="single" w:color="auto" w:sz="4" w:space="0"/>
            </w:tcBorders>
            <w:tcW w:w="1004" w:type="dxa"/>
            <w:vAlign w:val="center"/>
            <w:vMerge w:val="restart"/>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项目团队人员</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项目负责人（2分）：</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项目负责人具有食材配送工作经验5年及以上得2分。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注：本项须提供加盖用户公章的工作经验证明及投标单位自202</w:t>
            </w:r>
            <w:r>
              <w:rPr>
                <w:rFonts w:hint="eastAsia" w:ascii="宋体" w:hAnsi="宋体" w:cs="宋体"/>
                <w:bCs/>
                <w:color w:val="000000" w:themeColor="text1"/>
                <w:szCs w:val="21"/>
                <w:highlight w:val="none"/>
                <w:lang w:val="en-US" w:eastAsia="zh-CN" w:bidi="ar"/>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年1</w:t>
            </w:r>
            <w:r>
              <w:rPr>
                <w:rFonts w:hint="eastAsia" w:ascii="宋体" w:hAnsi="宋体" w:cs="宋体"/>
                <w:bCs/>
                <w:color w:val="000000" w:themeColor="text1"/>
                <w:szCs w:val="21"/>
                <w:highlight w:val="none"/>
                <w:lang w:val="en-US" w:eastAsia="zh-CN" w:bidi="ar"/>
                <w14:textFill>
                  <w14:solidFill>
                    <w14:schemeClr w14:val="tx1"/>
                  </w14:solidFill>
                </w14:textFill>
              </w:rPr>
              <w:t xml:space="preserve">0</w:t>
            </w:r>
            <w:r>
              <w:rPr>
                <w:rFonts w:hint="eastAsia" w:ascii="宋体" w:hAnsi="宋体" w:cs="宋体"/>
                <w:bCs/>
                <w:color w:val="000000" w:themeColor="text1"/>
                <w:szCs w:val="21"/>
                <w:highlight w:val="none"/>
                <w:lang w:bidi="ar"/>
                <w14:textFill>
                  <w14:solidFill>
                    <w14:schemeClr w14:val="tx1"/>
                  </w14:solidFill>
                </w14:textFill>
              </w:rPr>
              <w:t xml:space="preserve">月（含）以来任意一个月为其缴纳的社保的证明复印件，否则不得分。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left w:val="none" w:color="000000" w:sz="4" w:space="0"/>
              <w:bottom w:val="single" w:color="auto" w:sz="4" w:space="0"/>
              <w:right w:val="single" w:color="auto" w:sz="4" w:space="0"/>
            </w:tcBorders>
            <w:tcW w:w="1004"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项目成员（5分）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拟投入本项目人员中，如采购、分拣、出入库、车辆配送等相关工作人员需具备健康证的，每提供1个人得1分，最高得5分。</w:t>
            </w:r>
            <w:r/>
          </w:p>
          <w:p>
            <w:pPr>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注：提供上述人员的健康证扫描件（证书须在有效期内）以及投标人自202</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年1</w:t>
            </w:r>
            <w:r>
              <w:rPr>
                <w:rFonts w:hint="eastAsia" w:ascii="宋体" w:hAnsi="宋体" w:cs="宋体"/>
                <w:color w:val="000000" w:themeColor="text1"/>
                <w:szCs w:val="21"/>
                <w:highlight w:val="none"/>
                <w:lang w:val="en-US" w:eastAsia="zh-CN"/>
                <w14:textFill>
                  <w14:solidFill>
                    <w14:schemeClr w14:val="tx1"/>
                  </w14:solidFill>
                </w14:textFill>
              </w:rPr>
              <w:t xml:space="preserve">0</w:t>
            </w:r>
            <w:r>
              <w:rPr>
                <w:rFonts w:hint="eastAsia" w:ascii="宋体" w:hAnsi="宋体" w:cs="宋体"/>
                <w:color w:val="000000" w:themeColor="text1"/>
                <w:szCs w:val="21"/>
                <w:highlight w:val="none"/>
                <w14:textFill>
                  <w14:solidFill>
                    <w14:schemeClr w14:val="tx1"/>
                  </w14:solidFill>
                </w14:textFill>
              </w:rPr>
              <w:t xml:space="preserve">月（含）以来任意一个月为其缴纳社保的证明材料，如果委托第三方公司代为缴纳社保，还需提供投标人和第三方公司委托缴纳社保的证明，否则不得分。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5分</w:t>
            </w:r>
            <w:r/>
          </w:p>
        </w:tc>
      </w:tr>
      <w:tr>
        <w:trPr>
          <w:trHeight w:val="89"/>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仓储情况</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仓库配备（</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spacing w:line="32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根据各供应商配备仓库情况进行打分，有1个得</w:t>
            </w:r>
            <w:r>
              <w:rPr>
                <w:rFonts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分，最多得</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spacing w:line="32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说明：须提供如下证明材料，否则不得分：</w:t>
            </w:r>
            <w:r/>
          </w:p>
          <w:p>
            <w:pPr>
              <w:spacing w:line="32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（1）自有场所的，须提供产权证明的复印件（须体现面积信息）、</w:t>
            </w:r>
            <w:bookmarkStart w:id="261" w:name="OLE_LINK16"/>
            <w:r/>
            <w:bookmarkStart w:id="262" w:name="OLE_LINK15"/>
            <w:r/>
            <w:bookmarkStart w:id="263" w:name="OLE_LINK17"/>
            <w:r>
              <w:rPr>
                <w:rFonts w:hint="eastAsia" w:ascii="宋体" w:hAnsi="宋体" w:cs="宋体"/>
                <w:bCs/>
                <w:color w:val="000000" w:themeColor="text1"/>
                <w:szCs w:val="21"/>
                <w:highlight w:val="none"/>
                <w14:textFill>
                  <w14:solidFill>
                    <w14:schemeClr w14:val="tx1"/>
                  </w14:solidFill>
                </w14:textFill>
              </w:rPr>
              <w:t xml:space="preserve">并附上符合干调加工、包装、贮存的设备设施，</w:t>
            </w:r>
            <w:bookmarkEnd w:id="261"/>
            <w:r/>
            <w:bookmarkEnd w:id="262"/>
            <w:r>
              <w:rPr>
                <w:rFonts w:hint="eastAsia" w:ascii="宋体" w:hAnsi="宋体" w:cs="宋体"/>
                <w:bCs/>
                <w:color w:val="000000" w:themeColor="text1"/>
                <w:szCs w:val="21"/>
                <w:highlight w:val="none"/>
                <w14:textFill>
                  <w14:solidFill>
                    <w14:schemeClr w14:val="tx1"/>
                  </w14:solidFill>
                </w14:textFill>
              </w:rPr>
              <w:t xml:space="preserve">现场照片等相关证明资料；</w:t>
            </w:r>
            <w:bookmarkEnd w:id="263"/>
            <w:r>
              <w:rPr>
                <w:rFonts w:hint="eastAsia" w:ascii="宋体" w:hAnsi="宋体" w:cs="宋体"/>
                <w:bCs/>
                <w:color w:val="000000" w:themeColor="text1"/>
                <w:szCs w:val="21"/>
                <w:highlight w:val="none"/>
                <w14:textFill>
                  <w14:solidFill>
                    <w14:schemeClr w14:val="tx1"/>
                  </w14:solidFill>
                </w14:textFill>
              </w:rPr>
              <w:t xml:space="preserve">相关证明资料加盖公章；未提供相关证明资料或资料不全或资料不满足招标文件要求的，不得分。</w:t>
            </w:r>
            <w:r/>
          </w:p>
          <w:p>
            <w:pP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租赁场所的，须提供由投标人或投标人法定代表人签订的在有效期内的场所租赁合同的复印件（须体现面积信息）、并附上加工、包装、贮存的设备设施，现场照片等相关证明资料；租赁合同剩余有效期须不少于一年（自开标日计算）；未提供相关证明资料或资料不全或资料不满足招标文件要求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产品质量</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提供主要产品第三方或厂家出具的质量检测合格报告复印件，每提供一份（</w:t>
            </w:r>
            <w:r>
              <w:rPr>
                <w:rFonts w:hint="eastAsia" w:ascii="宋体" w:hAnsi="宋体" w:cs="宋体"/>
                <w:bCs/>
                <w:color w:val="000000" w:themeColor="text1"/>
                <w:szCs w:val="21"/>
                <w:highlight w:val="none"/>
                <w:lang w:val="en-US" w:eastAsia="zh-CN" w:bidi="ar"/>
                <w14:textFill>
                  <w14:solidFill>
                    <w14:schemeClr w14:val="tx1"/>
                  </w14:solidFill>
                </w14:textFill>
              </w:rPr>
              <w:t xml:space="preserve">报告出具时间为</w:t>
            </w:r>
            <w:r>
              <w:rPr>
                <w:rFonts w:hint="eastAsia" w:ascii="宋体" w:hAnsi="宋体" w:cs="宋体"/>
                <w:bCs/>
                <w:color w:val="000000" w:themeColor="text1"/>
                <w:szCs w:val="21"/>
                <w:highlight w:val="none"/>
                <w14:textFill>
                  <w14:solidFill>
                    <w14:schemeClr w14:val="tx1"/>
                  </w14:solidFill>
                </w14:textFill>
              </w:rPr>
              <w:t xml:space="preserve">本次采购活动前</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个月内（</w:t>
            </w:r>
            <w:r>
              <w:rPr>
                <w:rFonts w:hint="eastAsia" w:ascii="宋体" w:hAnsi="宋体" w:cs="宋体"/>
                <w:bCs/>
                <w:color w:val="000000" w:themeColor="text1"/>
                <w:szCs w:val="21"/>
                <w:highlight w:val="none"/>
                <w:lang w:eastAsia="zh-CN"/>
                <w14:textFill>
                  <w14:solidFill>
                    <w14:schemeClr w14:val="tx1"/>
                  </w14:solidFill>
                </w14:textFill>
              </w:rPr>
              <w:t xml:space="preserve">即202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lang w:eastAsia="zh-CN"/>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月（含）以来</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bidi="ar"/>
                <w14:textFill>
                  <w14:solidFill>
                    <w14:schemeClr w14:val="tx1"/>
                  </w14:solidFill>
                </w14:textFill>
              </w:rPr>
              <w:t xml:space="preserve">）有效质量检测合格报告的得2分，最高12分（主要产品包括：①红糖（序号44）②麻油（序号21）③虾皮（序号10</w:t>
            </w:r>
            <w:r>
              <w:rPr>
                <w:rFonts w:ascii="宋体" w:hAnsi="宋体" w:cs="宋体"/>
                <w:bCs/>
                <w:color w:val="000000" w:themeColor="text1"/>
                <w:szCs w:val="21"/>
                <w:highlight w:val="none"/>
                <w:lang w:bidi="ar"/>
                <w14:textFill>
                  <w14:solidFill>
                    <w14:schemeClr w14:val="tx1"/>
                  </w14:solidFill>
                </w14:textFill>
              </w:rPr>
              <w:t xml:space="preserve">0</w:t>
            </w:r>
            <w:r>
              <w:rPr>
                <w:rFonts w:hint="eastAsia" w:ascii="宋体" w:hAnsi="宋体" w:cs="宋体"/>
                <w:bCs/>
                <w:color w:val="000000" w:themeColor="text1"/>
                <w:szCs w:val="21"/>
                <w:highlight w:val="none"/>
                <w:lang w:bidi="ar"/>
                <w14:textFill>
                  <w14:solidFill>
                    <w14:schemeClr w14:val="tx1"/>
                  </w14:solidFill>
                </w14:textFill>
              </w:rPr>
              <w:t xml:space="preserve">）④生抽（序号19）⑤味精（序号12）⑥绵白糖（序号7</w:t>
            </w:r>
            <w:r>
              <w:rPr>
                <w:rFonts w:ascii="宋体" w:hAnsi="宋体" w:cs="宋体"/>
                <w:bCs/>
                <w:color w:val="000000" w:themeColor="text1"/>
                <w:szCs w:val="21"/>
                <w:highlight w:val="none"/>
                <w:lang w:bidi="ar"/>
                <w14:textFill>
                  <w14:solidFill>
                    <w14:schemeClr w14:val="tx1"/>
                  </w14:solidFill>
                </w14:textFill>
              </w:rPr>
              <w:t xml:space="preserve">1</w:t>
            </w:r>
            <w:r>
              <w:rPr>
                <w:rFonts w:hint="eastAsia" w:ascii="宋体" w:hAnsi="宋体" w:cs="宋体"/>
                <w:bCs/>
                <w:color w:val="000000" w:themeColor="text1"/>
                <w:szCs w:val="21"/>
                <w:highlight w:val="none"/>
                <w:lang w:bidi="ar"/>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12分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检验检疫</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提供自有或租赁食材检验室、检验人员及检测设备证明材料：</w:t>
            </w:r>
            <w:r/>
          </w:p>
          <w:p>
            <w:pP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（1）提供检验人员信息得1</w:t>
            </w:r>
            <w:r>
              <w:rPr>
                <w:rFonts w:ascii="宋体" w:hAnsi="宋体" w:cs="宋体"/>
                <w:bCs/>
                <w:color w:val="000000" w:themeColor="text1"/>
                <w:szCs w:val="21"/>
                <w:highlight w:val="none"/>
                <w:lang w:bidi="ar"/>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分（提供上述人员的证书复印件以及供应商为其在近6个月内任意一个月缴纳社保的证明材料，未提供上述材料的不得分，如果委托第三方公司代为缴纳社保，需提供供应商和第三方公司委托缴纳社保的证明）；</w:t>
            </w:r>
            <w:r/>
          </w:p>
          <w:p>
            <w:pP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（2）同时提供以下两项证明材料，得</w:t>
            </w:r>
            <w:r>
              <w:rPr>
                <w:rFonts w:ascii="宋体" w:hAnsi="宋体" w:cs="宋体"/>
                <w:bCs/>
                <w:color w:val="000000" w:themeColor="text1"/>
                <w:szCs w:val="21"/>
                <w:highlight w:val="none"/>
                <w:lang w:bidi="ar"/>
                <w14:textFill>
                  <w14:solidFill>
                    <w14:schemeClr w14:val="tx1"/>
                  </w14:solidFill>
                </w14:textFill>
              </w:rPr>
              <w:t xml:space="preserve">1.5</w:t>
            </w:r>
            <w:r>
              <w:rPr>
                <w:rFonts w:hint="eastAsia" w:ascii="宋体" w:hAnsi="宋体" w:cs="宋体"/>
                <w:bCs/>
                <w:color w:val="000000" w:themeColor="text1"/>
                <w:szCs w:val="21"/>
                <w:highlight w:val="none"/>
                <w:lang w:bidi="ar"/>
                <w14:textFill>
                  <w14:solidFill>
                    <w14:schemeClr w14:val="tx1"/>
                  </w14:solidFill>
                </w14:textFill>
              </w:rPr>
              <w:t xml:space="preserve">分（缺一不得分）：①现场实验室照片；②检测设备清单及设备照片（检测设备中需包括但不限于可对重金属、微生物污染、化学残留物等进行检测的设备）。</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hint="eastAsia"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履约能力</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color w:val="000000" w:themeColor="text1"/>
                <w:szCs w:val="21"/>
                <w:highlight w:val="none"/>
                <w14:textFill>
                  <w14:solidFill>
                    <w14:schemeClr w14:val="tx1"/>
                  </w14:solidFill>
                </w14:textFill>
              </w:rPr>
            </w:pPr>
            <w:r/>
            <w:bookmarkStart w:id="264" w:name="OLE_LINK29"/>
            <w:r>
              <w:rPr>
                <w:rFonts w:hint="eastAsia" w:ascii="宋体" w:hAnsi="宋体" w:cs="宋体"/>
                <w:color w:val="000000" w:themeColor="text1"/>
                <w:szCs w:val="21"/>
                <w:highlight w:val="none"/>
                <w14:textFill>
                  <w14:solidFill>
                    <w14:schemeClr w14:val="tx1"/>
                  </w14:solidFill>
                </w14:textFill>
              </w:rPr>
              <w:t xml:space="preserve">（1）投标人拟为本项目配备相关工作岗位人员具有</w:t>
            </w:r>
            <w:r>
              <w:rPr>
                <w:rFonts w:hint="eastAsia" w:ascii="宋体" w:hAnsi="宋体" w:cs="宋体"/>
                <w:color w:val="000000" w:themeColor="text1"/>
                <w:szCs w:val="21"/>
                <w:highlight w:val="none"/>
                <w:lang w:val="en-US" w:eastAsia="zh-CN"/>
                <w14:textFill>
                  <w14:solidFill>
                    <w14:schemeClr w14:val="tx1"/>
                  </w14:solidFill>
                </w14:textFill>
              </w:rPr>
              <w:t xml:space="preserve">相关</w:t>
            </w:r>
            <w:r>
              <w:rPr>
                <w:rFonts w:hint="eastAsia" w:ascii="宋体" w:hAnsi="宋体" w:cs="宋体"/>
                <w:color w:val="000000" w:themeColor="text1"/>
                <w:szCs w:val="21"/>
                <w:highlight w:val="none"/>
                <w14:textFill>
                  <w14:solidFill>
                    <w14:schemeClr w14:val="tx1"/>
                  </w14:solidFill>
                </w14:textFill>
              </w:rPr>
              <w:t xml:space="preserve">的食品安全管理</w:t>
            </w:r>
            <w:r>
              <w:rPr>
                <w:rFonts w:hint="eastAsia" w:ascii="宋体" w:hAnsi="宋体" w:cs="宋体"/>
                <w:color w:val="000000" w:themeColor="text1"/>
                <w:szCs w:val="21"/>
                <w:highlight w:val="none"/>
                <w:lang w:val="en-US" w:eastAsia="zh-CN"/>
                <w14:textFill>
                  <w14:solidFill>
                    <w14:schemeClr w14:val="tx1"/>
                  </w14:solidFill>
                </w14:textFill>
              </w:rPr>
              <w:t xml:space="preserve">人员</w:t>
            </w:r>
            <w:r>
              <w:rPr>
                <w:rFonts w:hint="eastAsia" w:ascii="宋体" w:hAnsi="宋体" w:cs="宋体"/>
                <w:color w:val="000000" w:themeColor="text1"/>
                <w:szCs w:val="21"/>
                <w:highlight w:val="none"/>
                <w14:textFill>
                  <w14:solidFill>
                    <w14:schemeClr w14:val="tx1"/>
                  </w14:solidFill>
                </w14:textFill>
              </w:rPr>
              <w:t xml:space="preserve">证书的，每有一人得2分，最多得2分 。</w:t>
            </w:r>
            <w:bookmarkEnd w:id="264"/>
            <w:r/>
            <w:r/>
          </w:p>
          <w:p>
            <w:pPr>
              <w:spacing w:line="400" w:lineRule="exact"/>
              <w:widowControl/>
              <w:rPr>
                <w:rFonts w:ascii="宋体" w:hAnsi="宋体" w:cs="宋体"/>
                <w:color w:val="000000" w:themeColor="text1"/>
                <w:szCs w:val="21"/>
                <w:highlight w:val="none"/>
                <w14:textFill>
                  <w14:solidFill>
                    <w14:schemeClr w14:val="tx1"/>
                  </w14:solidFill>
                </w14:textFill>
              </w:rPr>
            </w:pPr>
            <w:r/>
            <w:bookmarkStart w:id="265" w:name="OLE_LINK30"/>
            <w:r>
              <w:rPr>
                <w:rFonts w:hint="eastAsia" w:ascii="宋体" w:hAnsi="宋体" w:cs="宋体"/>
                <w:color w:val="000000" w:themeColor="text1"/>
                <w:szCs w:val="21"/>
                <w:highlight w:val="none"/>
                <w14:textFill>
                  <w14:solidFill>
                    <w14:schemeClr w14:val="tx1"/>
                  </w14:solidFill>
                </w14:textFill>
              </w:rPr>
              <w:t xml:space="preserve">（2）投标人拟为本项目配备相关工作岗位人员具有</w:t>
            </w:r>
            <w:r>
              <w:rPr>
                <w:rFonts w:hint="eastAsia" w:ascii="宋体" w:hAnsi="宋体" w:cs="宋体"/>
                <w:color w:val="000000" w:themeColor="text1"/>
                <w:szCs w:val="21"/>
                <w:highlight w:val="none"/>
                <w:lang w:val="en-US" w:eastAsia="zh-CN"/>
                <w14:textFill>
                  <w14:solidFill>
                    <w14:schemeClr w14:val="tx1"/>
                  </w14:solidFill>
                </w14:textFill>
              </w:rPr>
              <w:t xml:space="preserve">相关</w:t>
            </w:r>
            <w:r>
              <w:rPr>
                <w:rFonts w:hint="eastAsia" w:ascii="宋体" w:hAnsi="宋体" w:cs="宋体"/>
                <w:color w:val="000000" w:themeColor="text1"/>
                <w:szCs w:val="21"/>
                <w:highlight w:val="none"/>
                <w14:textFill>
                  <w14:solidFill>
                    <w14:schemeClr w14:val="tx1"/>
                  </w14:solidFill>
                </w14:textFill>
              </w:rPr>
              <w:t xml:space="preserve">的食品检验</w:t>
            </w:r>
            <w:r>
              <w:rPr>
                <w:rFonts w:hint="eastAsia" w:ascii="宋体" w:hAnsi="宋体" w:cs="宋体"/>
                <w:color w:val="000000" w:themeColor="text1"/>
                <w:szCs w:val="21"/>
                <w:highlight w:val="none"/>
                <w:lang w:val="en-US" w:eastAsia="zh-CN"/>
                <w14:textFill>
                  <w14:solidFill>
                    <w14:schemeClr w14:val="tx1"/>
                  </w14:solidFill>
                </w14:textFill>
              </w:rPr>
              <w:t xml:space="preserve">人员</w:t>
            </w:r>
            <w:r>
              <w:rPr>
                <w:rFonts w:hint="eastAsia" w:ascii="宋体" w:hAnsi="宋体" w:cs="宋体"/>
                <w:color w:val="000000" w:themeColor="text1"/>
                <w:szCs w:val="21"/>
                <w:highlight w:val="none"/>
                <w14:textFill>
                  <w14:solidFill>
                    <w14:schemeClr w14:val="tx1"/>
                  </w14:solidFill>
                </w14:textFill>
              </w:rPr>
              <w:t xml:space="preserve">证书的，每有一人得1分，最多得1分。</w:t>
            </w:r>
            <w:bookmarkEnd w:id="265"/>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（提供上述人员的证书复印件以及投标人</w:t>
            </w:r>
            <w:r>
              <w:rPr>
                <w:rFonts w:hint="eastAsia" w:ascii="宋体" w:hAnsi="宋体" w:cs="宋体"/>
                <w:color w:val="000000" w:themeColor="text1"/>
                <w:szCs w:val="21"/>
                <w:highlight w:val="none"/>
                <w:lang w:val="en-US" w:eastAsia="zh-CN"/>
                <w14:textFill>
                  <w14:solidFill>
                    <w14:schemeClr w14:val="tx1"/>
                  </w14:solidFill>
                </w14:textFill>
              </w:rPr>
              <w:t xml:space="preserve">近半年</w:t>
            </w:r>
            <w:r>
              <w:rPr>
                <w:rFonts w:hint="eastAsia" w:ascii="宋体" w:hAnsi="宋体" w:cs="宋体"/>
                <w:color w:val="000000" w:themeColor="text1"/>
                <w:szCs w:val="21"/>
                <w:highlight w:val="none"/>
                <w14:textFill>
                  <w14:solidFill>
                    <w14:schemeClr w14:val="tx1"/>
                  </w14:solidFill>
                </w14:textFill>
              </w:rPr>
              <w:t xml:space="preserve">以来任意一个月为其缴纳社保的证明材料，未提供上述材料的不得分，如果委托第三方公司代为缴纳社保，需提供投标人和第三方公司委托缴纳社保的证明）。</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配送方案</w:t>
            </w:r>
            <w:r/>
          </w:p>
        </w:tc>
        <w:tc>
          <w:tcPr>
            <w:tcBorders>
              <w:top w:val="single" w:color="auto" w:sz="4" w:space="0"/>
              <w:left w:val="none" w:color="000000" w:sz="4" w:space="0"/>
              <w:bottom w:val="single" w:color="auto" w:sz="4" w:space="0"/>
              <w:right w:val="single" w:color="auto" w:sz="4" w:space="0"/>
            </w:tcBorders>
            <w:tcW w:w="6206" w:type="dxa"/>
            <w:textDirection w:val="lrTb"/>
            <w:noWrap w:val="false"/>
          </w:tcPr>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供应商须有配送服务方案，响应招标文件要求，有合理有效供货计划和保障措施，包括但不限于</w:t>
            </w:r>
            <w:r>
              <w:rPr>
                <w:rFonts w:hint="eastAsia" w:ascii="宋体" w:hAnsi="宋体" w:cs="宋体"/>
                <w:b/>
                <w:color w:val="000000" w:themeColor="text1"/>
                <w:szCs w:val="21"/>
                <w:highlight w:val="none"/>
                <w14:textFill>
                  <w14:solidFill>
                    <w14:schemeClr w14:val="tx1"/>
                  </w14:solidFill>
                </w14:textFill>
              </w:rPr>
              <w:t xml:space="preserve">供货时间、车辆配置、</w:t>
            </w:r>
            <w:r>
              <w:rPr>
                <w:rFonts w:hint="eastAsia" w:ascii="宋体" w:hAnsi="宋体" w:cs="宋体"/>
                <w:b/>
                <w:bCs/>
                <w:color w:val="000000" w:themeColor="text1"/>
                <w:szCs w:val="21"/>
                <w:highlight w:val="none"/>
                <w14:textFill>
                  <w14:solidFill>
                    <w14:schemeClr w14:val="tx1"/>
                  </w14:solidFill>
                </w14:textFill>
              </w:rPr>
              <w:t xml:space="preserve">进场送货、以及配送</w:t>
            </w:r>
            <w:r>
              <w:rPr>
                <w:rFonts w:hint="eastAsia" w:ascii="宋体" w:hAnsi="宋体" w:cs="宋体"/>
                <w:b/>
                <w:color w:val="000000" w:themeColor="text1"/>
                <w:szCs w:val="21"/>
                <w:highlight w:val="none"/>
                <w14:textFill>
                  <w14:solidFill>
                    <w14:schemeClr w14:val="tx1"/>
                  </w14:solidFill>
                </w14:textFill>
              </w:rPr>
              <w:t xml:space="preserve">物流交接各环节处置内容等</w:t>
            </w:r>
            <w:r>
              <w:rPr>
                <w:rFonts w:hint="eastAsia" w:ascii="宋体" w:hAnsi="宋体" w:cs="宋体"/>
                <w:bCs/>
                <w:color w:val="000000" w:themeColor="text1"/>
                <w:szCs w:val="21"/>
                <w:highlight w:val="none"/>
                <w14:textFill>
                  <w14:solidFill>
                    <w14:schemeClr w14:val="tx1"/>
                  </w14:solidFill>
                </w14:textFill>
              </w:rPr>
              <w:t xml:space="preserve">，根据应答情况评审打分。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（1）供货响应时效快，车辆配备齐全，进场送货、以及配送物流交接各环节处置内容等方案全面、合理，具有针对性，科学合理具备可执行性的得5分；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（2）供货响应时效一般，车辆配备齐全，进场送货、以及配送物流交接各环节处置内容等方案考虑的相对不够全面，但依旧具备可行性的得3分；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（3）供货响应时效慢，车辆配备齐全，进场送货、以及配送物流交接各环节处置内容等方案不全面，可执行性差的得1分；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（4）未提供方案的不得分。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售后服务</w:t>
            </w:r>
            <w:r/>
          </w:p>
        </w:tc>
        <w:tc>
          <w:tcPr>
            <w:tcBorders>
              <w:top w:val="single" w:color="auto" w:sz="4" w:space="0"/>
              <w:left w:val="none" w:color="000000" w:sz="4" w:space="0"/>
              <w:bottom w:val="single" w:color="auto" w:sz="4" w:space="0"/>
              <w:right w:val="single" w:color="auto" w:sz="4" w:space="0"/>
            </w:tcBorders>
            <w:tcW w:w="6206" w:type="dxa"/>
            <w:textDirection w:val="lrTb"/>
            <w:noWrap w:val="false"/>
          </w:tcPr>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供应商须有售后服务方案，</w:t>
            </w:r>
            <w:r>
              <w:rPr>
                <w:rFonts w:hint="eastAsia" w:ascii="宋体" w:hAnsi="宋体" w:cs="宋体"/>
                <w:b/>
                <w:color w:val="000000" w:themeColor="text1"/>
                <w:szCs w:val="21"/>
                <w:highlight w:val="none"/>
                <w14:textFill>
                  <w14:solidFill>
                    <w14:schemeClr w14:val="tx1"/>
                  </w14:solidFill>
                </w14:textFill>
              </w:rPr>
              <w:t xml:space="preserve">包括：供应商自行列举可能出现的质量相关问题，以及对应的解决方案与措施、针对食材售后回访方案等，</w:t>
            </w:r>
            <w:r>
              <w:rPr>
                <w:rFonts w:hint="eastAsia" w:ascii="宋体" w:hAnsi="宋体" w:cs="宋体"/>
                <w:bCs/>
                <w:color w:val="000000" w:themeColor="text1"/>
                <w:szCs w:val="21"/>
                <w:highlight w:val="none"/>
                <w14:textFill>
                  <w14:solidFill>
                    <w14:schemeClr w14:val="tx1"/>
                  </w14:solidFill>
                </w14:textFill>
              </w:rPr>
              <w:t xml:space="preserve">解决问题时间与措施根据供应商提供的售后服务方案进行评分。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（1）售后服务方案完整，服务承诺细致，售后服务响应速度快，解决问题时间快，能够及时与采购人综合协调的，得5分；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（2）售后服务方案较完整，服务承诺较细致，后服务响应较快，解决问题时间较快的，得3分；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（3）售后服务方案有效性不强，服务承诺内容粗略，后服务响应速度缓慢，解决问题时间缓慢的，得1分；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投标人须有能力应对突发事件，根据提供的突发事件应急预案进行比较，包括但不限于</w:t>
            </w:r>
            <w:r>
              <w:rPr>
                <w:rFonts w:hint="eastAsia" w:ascii="宋体" w:hAnsi="宋体" w:cs="宋体"/>
                <w:b/>
                <w:bCs/>
                <w:color w:val="000000" w:themeColor="text1"/>
                <w:szCs w:val="21"/>
                <w:highlight w:val="none"/>
                <w14:textFill>
                  <w14:solidFill>
                    <w14:schemeClr w14:val="tx1"/>
                  </w14:solidFill>
                </w14:textFill>
              </w:rPr>
              <w:t xml:space="preserve">类似市场断货供应保障措施、节假日或非工作时间配送的方案、采购人临时加货要求的配送方案、极端天气、疫情等情况下的配送方案等</w:t>
            </w:r>
            <w:r>
              <w:rPr>
                <w:rFonts w:hint="eastAsia" w:ascii="宋体" w:hAnsi="宋体" w:cs="宋体"/>
                <w:bCs/>
                <w:color w:val="000000" w:themeColor="text1"/>
                <w:szCs w:val="21"/>
                <w:highlight w:val="none"/>
                <w14:textFill>
                  <w14:solidFill>
                    <w14:schemeClr w14:val="tx1"/>
                  </w14:solidFill>
                </w14:textFill>
              </w:rPr>
              <w:t xml:space="preserve">突发事件应急预案</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应急预案方案内容详细全面、合理，具有针对性，科学合理具备可执行性的得5分；</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应急预案方案内容比较详细、考虑的相对全面，但依旧具备可行性的得3分；</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应急预案方案内容简单、不合理、无针对性，可执行性差的得1分；</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未提供方案的不得分。</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1309"/>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质量管控</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供应商须有一系列保证食品安全的制度、实施方案和考核办法，</w:t>
            </w:r>
            <w:r>
              <w:rPr>
                <w:rFonts w:hint="eastAsia" w:ascii="宋体" w:hAnsi="宋体" w:cs="宋体"/>
                <w:b/>
                <w:color w:val="000000" w:themeColor="text1"/>
                <w:szCs w:val="21"/>
                <w:highlight w:val="none"/>
                <w14:textFill>
                  <w14:solidFill>
                    <w14:schemeClr w14:val="tx1"/>
                  </w14:solidFill>
                </w14:textFill>
              </w:rPr>
              <w:t xml:space="preserve">如生产、仓储、物流各环节的管理规定、从业人员健康管理制度、以及为保证服务质量的内部考核办法等，</w:t>
            </w:r>
            <w:r>
              <w:rPr>
                <w:rFonts w:hint="eastAsia" w:ascii="宋体" w:hAnsi="宋体" w:cs="宋体"/>
                <w:bCs/>
                <w:color w:val="000000" w:themeColor="text1"/>
                <w:szCs w:val="21"/>
                <w:highlight w:val="none"/>
                <w14:textFill>
                  <w14:solidFill>
                    <w14:schemeClr w14:val="tx1"/>
                  </w14:solidFill>
                </w14:textFill>
              </w:rPr>
              <w:t xml:space="preserve">根据应答情况评审打分。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（1）生产、仓储、物流各环节的管理规定详细全面、从业人员健康管理制度合理，保证服务质量的内部考核办法具有针对性，科学合理具备可执行性的得5分；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（2）生产、仓储、物流各环节的管理规定比较详细，从业人员健康管理制度相对全面，保证服务质量的内部考核办法基本具有针对性、可行性的得3分；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（3）生产、仓储、物流各环节的管理规定简单，从业人员健康管理制度不够全面，保证服务质量的内部考核办法无针对性，可执行性差的得1分；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（4）未提供方案的不得分。</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1790"/>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增值服务</w:t>
            </w:r>
            <w:r/>
          </w:p>
        </w:tc>
        <w:tc>
          <w:tcPr>
            <w:shd w:val="clear" w:color="auto" w:fill="auto"/>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根据医院现状和本项目服务的特点，供应商提供有利于项目开展的增值服务，每提供一条切实可行的增值服务得</w:t>
            </w:r>
            <w:r>
              <w:rPr>
                <w:rFonts w:ascii="宋体" w:hAnsi="宋体" w:cs="宋体"/>
                <w:bCs/>
                <w:color w:val="000000" w:themeColor="text1"/>
                <w:szCs w:val="21"/>
                <w:highlight w:val="none"/>
                <w14:textFill>
                  <w14:solidFill>
                    <w14:schemeClr w14:val="tx1"/>
                  </w14:solidFill>
                </w14:textFill>
              </w:rPr>
              <w:t xml:space="preserve">0.5</w:t>
            </w:r>
            <w:r>
              <w:rPr>
                <w:rFonts w:hint="eastAsia" w:ascii="宋体" w:hAnsi="宋体" w:cs="宋体"/>
                <w:bCs/>
                <w:color w:val="000000" w:themeColor="text1"/>
                <w:szCs w:val="21"/>
                <w:highlight w:val="none"/>
                <w14:textFill>
                  <w14:solidFill>
                    <w14:schemeClr w14:val="tx1"/>
                  </w14:solidFill>
                </w14:textFill>
              </w:rPr>
              <w:t xml:space="preserve">分，最多得</w:t>
            </w:r>
            <w:r>
              <w:rPr>
                <w:rFonts w:hint="eastAsia" w:ascii="宋体" w:hAnsi="宋体" w:cs="宋体"/>
                <w:bCs/>
                <w:color w:val="000000" w:themeColor="text1"/>
                <w:szCs w:val="21"/>
                <w:highlight w:val="none"/>
                <w:lang w:val="en-US" w:eastAsia="zh-CN"/>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说明：提供工作培训、职工团购打折、职工生日礼、应急配送、优质项目管理、免费检测等不得分。</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食品安全责任险</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投标人承诺如中标，中标后购买保险保额如下食品安全责任险（被保人包含采购人）：</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1、保险保额小于</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00万得</w:t>
            </w:r>
            <w:r>
              <w:rPr>
                <w:rFonts w:ascii="宋体" w:hAnsi="宋体" w:cs="宋体"/>
                <w:bCs/>
                <w:color w:val="000000" w:themeColor="text1"/>
                <w:szCs w:val="21"/>
                <w:highlight w:val="none"/>
                <w14:textFill>
                  <w14:solidFill>
                    <w14:schemeClr w14:val="tx1"/>
                  </w14:solidFill>
                </w14:textFill>
              </w:rPr>
              <w:t xml:space="preserve">0.5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2、保险保额≥</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00万且＜</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00万得</w:t>
            </w:r>
            <w:r>
              <w:rPr>
                <w:rFonts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3、保险保额≥</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00万得</w:t>
            </w: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本项须提供承诺函，格式自拟，最多得</w:t>
            </w: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分，未提供不得分。</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412"/>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100分</w:t>
            </w:r>
            <w:r/>
          </w:p>
        </w:tc>
      </w:tr>
    </w:tbl>
    <w:p>
      <w:pPr>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6" w:name="_Toc107246273"/>
      <w:r>
        <w:rPr>
          <w:rFonts w:ascii="宋体" w:hAnsi="宋体" w:cs="宋体"/>
          <w:color w:val="000000" w:themeColor="text1"/>
          <w:highlight w:val="none"/>
          <w14:textFill>
            <w14:solidFill>
              <w14:schemeClr w14:val="tx1"/>
            </w14:solidFill>
          </w14:textFill>
        </w:rPr>
        <w:br w:type="page" w:clear="all"/>
      </w:r>
      <w:r/>
    </w:p>
    <w:p>
      <w:pPr>
        <w:pStyle w:val="801"/>
        <w:ind w:firstLine="569"/>
        <w:rPr>
          <w:rFonts w:hint="eastAsia" w:ascii="宋体" w:hAnsi="宋体" w:cs="宋体"/>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01"/>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0"/>
      <w:r>
        <w:rPr>
          <w:rFonts w:hint="eastAsia" w:ascii="宋体" w:hAnsi="宋体" w:cs="宋体"/>
          <w:color w:val="000000" w:themeColor="text1"/>
          <w:highlight w:val="none"/>
          <w14:textFill>
            <w14:solidFill>
              <w14:schemeClr w14:val="tx1"/>
            </w14:solidFill>
          </w14:textFill>
        </w:rPr>
        <w:t xml:space="preserve">投标文件格式</w:t>
      </w:r>
      <w:bookmarkEnd w:id="26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35"/>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cs="宋体"/>
          <w:color w:val="000000" w:themeColor="text1"/>
          <w:sz w:val="24"/>
          <w:highlight w:val="none"/>
          <w14:textFill>
            <w14:solidFill>
              <w14:schemeClr w14:val="tx1"/>
            </w14:solidFill>
          </w14:textFill>
        </w:rPr>
      </w:pPr>
      <w:r/>
      <w:bookmarkStart w:id="267"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84"/>
        <w:ind w:firstLine="995"/>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784"/>
        <w:jc w:val="center"/>
        <w:rPr>
          <w:rFonts w:hint="eastAsia" w:hAnsi="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南京鼓楼医院(含江北院区)食堂干调采购项目</w:t>
      </w:r>
      <w:r/>
    </w:p>
    <w:p>
      <w:pPr>
        <w:pStyle w:val="784"/>
        <w:jc w:val="center"/>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eastAsia="宋体" w:cs="宋体"/>
          <w:b/>
          <w:color w:val="000000" w:themeColor="text1"/>
          <w:sz w:val="56"/>
          <w:szCs w:val="56"/>
          <w:highlight w:val="none"/>
          <w:lang w:eastAsia="zh-CN"/>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4"/>
        <w:ind w:firstLine="420"/>
        <w:jc w:val="center"/>
        <w:rPr>
          <w:rFonts w:hint="eastAsia" w:hAnsi="宋体" w:cs="宋体"/>
          <w:b/>
          <w:color w:val="000000" w:themeColor="text1"/>
          <w:sz w:val="84"/>
          <w:szCs w:val="84"/>
          <w:highlight w:val="none"/>
          <w14:textFill>
            <w14:solidFill>
              <w14:schemeClr w14:val="tx1"/>
            </w14:solidFill>
          </w14:textFill>
        </w:rPr>
      </w:pPr>
      <w:r/>
      <w:bookmarkStart w:id="268" w:name="_Toc100905255"/>
      <w:r/>
      <w:r/>
    </w:p>
    <w:p>
      <w:pPr>
        <w:pStyle w:val="784"/>
        <w:ind w:firstLine="420"/>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8"/>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784"/>
        <w:ind w:firstLine="496"/>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JSZC-320100-JITC-G2026-0143</w:t>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84"/>
        <w:ind w:firstLine="569"/>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84"/>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）偏离表。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）投标人具备投标资格的证明文件（如为南京市政府采购项目，按照公告要求提供）：</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（2）投标人服务承诺</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（3）用于本项目人员简历表（如需）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）拟投入本项目人员情况表</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（1）要求投标人提交的其他文件材料或证明材料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（2）投标人认为需提供的其他文件或证明材料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7"/>
      <w:r/>
      <w:r/>
    </w:p>
    <w:p>
      <w:pPr>
        <w:pStyle w:val="801"/>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9" w:name="_Toc107246274"/>
      <w:r/>
      <w:bookmarkStart w:id="270" w:name="_Toc104560897"/>
      <w:r/>
      <w:bookmarkStart w:id="271" w:name="_Toc103848582"/>
      <w:r/>
      <w:bookmarkStart w:id="272"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9"/>
      <w:r/>
      <w:bookmarkEnd w:id="270"/>
      <w:r/>
      <w:bookmarkEnd w:id="27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01"/>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73"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2"/>
      <w:r/>
      <w:bookmarkEnd w:id="273"/>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4" w:name="_Toc103848580"/>
      <w:r/>
      <w:bookmarkStart w:id="275"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799"/>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799"/>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78"/>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6" w:name="_Toc103848583"/>
      <w:r/>
      <w:bookmarkStart w:id="277" w:name="_Toc104560898"/>
      <w:r/>
      <w:bookmarkStart w:id="278"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8"/>
      <w:r/>
      <w:r/>
    </w:p>
    <w:p>
      <w:pPr>
        <w:pStyle w:val="778"/>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78"/>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78"/>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78"/>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78"/>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78"/>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78"/>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78"/>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778"/>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99"/>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9" w:name="_Toc104560899"/>
      <w:r/>
      <w:bookmarkStart w:id="280" w:name="_Toc107246277"/>
      <w:r/>
      <w:bookmarkStart w:id="281"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9"/>
      <w:r/>
      <w:bookmarkEnd w:id="280"/>
      <w:r/>
      <w:bookmarkEnd w:id="281"/>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799"/>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99"/>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7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2" w:name="_Toc104560895"/>
      <w:r/>
      <w:bookmarkStart w:id="283"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4" w:name="_Toc107246278"/>
      <w:r/>
      <w:bookmarkStart w:id="285" w:name="_Toc103848585"/>
      <w:r/>
      <w:bookmarkStart w:id="286"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4"/>
      <w:r/>
      <w:bookmarkEnd w:id="285"/>
      <w:r/>
      <w:bookmarkEnd w:id="28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799"/>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99"/>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7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8"/>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1"/>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（4）开标一览表</w:t>
      </w:r>
      <w:bookmarkEnd w:id="274"/>
      <w:r/>
      <w:bookmarkEnd w:id="282"/>
      <w:r/>
      <w:bookmarkEnd w:id="28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7"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r>
      <w:r/>
    </w:p>
    <w:tbl>
      <w:tblPr>
        <w:tblStyle w:val="7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jc w:val="center"/>
          <w:trHeight w:val="1733"/>
        </w:trPr>
        <w:tc>
          <w:tcPr>
            <w:shd w:val="clear" w:color="auto" w:fill="auto"/>
            <w:tcW w:w="5000" w:type="pct"/>
            <w:vAlign w:val="center"/>
            <w:textDirection w:val="lrTb"/>
            <w:noWrap/>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sz w:val="24"/>
                <w:szCs w:val="24"/>
                <w:highlight w:val="none"/>
              </w:rPr>
              <w:t xml:space="preserve">投标</w:t>
            </w:r>
            <w:r>
              <w:rPr>
                <w:rFonts w:hint="eastAsia" w:ascii="宋体" w:hAnsi="宋体" w:eastAsia="宋体" w:cs="宋体"/>
                <w:bCs/>
                <w:sz w:val="24"/>
                <w:szCs w:val="24"/>
                <w:highlight w:val="none"/>
                <w:lang w:val="en-US" w:eastAsia="zh-CN"/>
              </w:rPr>
              <w:t xml:space="preserve">报价</w:t>
            </w:r>
            <w:r/>
          </w:p>
        </w:tc>
      </w:tr>
      <w:tr>
        <w:trPr>
          <w:jc w:val="center"/>
          <w:trHeight w:val="1765"/>
        </w:trPr>
        <w:tc>
          <w:tcPr>
            <w:shd w:val="clear" w:color="auto" w:fill="auto"/>
            <w:tcW w:w="5000" w:type="pct"/>
            <w:vAlign w:val="center"/>
            <w:textDirection w:val="lrTb"/>
            <w:noWrap/>
          </w:tcPr>
          <w:p>
            <w:pPr>
              <w:jc w:val="center"/>
              <w:spacing w:line="42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（人民币，小写）元</w:t>
            </w:r>
            <w:r/>
          </w:p>
          <w:p>
            <w:pPr>
              <w:jc w:val="center"/>
              <w:widowControl/>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eastAsia="宋体" w:cs="宋体"/>
                <w:b w:val="0"/>
                <w:bCs/>
                <w:position w:val="0"/>
                <w:sz w:val="24"/>
                <w:szCs w:val="24"/>
                <w:highlight w:val="none"/>
              </w:rPr>
              <w:t xml:space="preserve">（人民币，大写）元</w:t>
            </w:r>
            <w:r/>
          </w:p>
        </w:tc>
      </w:tr>
    </w:tbl>
    <w:p>
      <w:pPr>
        <w:pStyle w:val="834"/>
        <w:ind w:left="422"/>
        <w:rPr>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bookmarkStart w:id="288" w:name="_Toc104560896"/>
      <w:r/>
      <w:r/>
    </w:p>
    <w:p>
      <w:pPr>
        <w:pStyle w:val="801"/>
        <w:ind w:firstLine="426"/>
        <w:rPr>
          <w:rFonts w:hint="eastAsia" w:ascii="宋体" w:hAnsi="宋体" w:eastAsia="宋体" w:cs="宋体"/>
          <w:bCs w:val="0"/>
          <w:color w:val="000000" w:themeColor="text1"/>
          <w:sz w:val="24"/>
          <w:szCs w:val="24"/>
          <w:highlight w:val="none"/>
          <w:lang w:eastAsia="zh-CN"/>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4-1</w:t>
      </w:r>
      <w:r>
        <w:rPr>
          <w:rFonts w:hint="eastAsia" w:ascii="宋体" w:hAnsi="宋体" w:cs="宋体"/>
          <w:bCs w:val="0"/>
          <w:color w:val="000000" w:themeColor="text1"/>
          <w:sz w:val="24"/>
          <w:szCs w:val="24"/>
          <w:highlight w:val="none"/>
          <w14:textFill>
            <w14:solidFill>
              <w14:schemeClr w14:val="tx1"/>
            </w14:solidFill>
          </w14:textFill>
        </w:rPr>
        <w:t xml:space="preserve">）分项报价表</w:t>
      </w:r>
      <w:bookmarkEnd w:id="287"/>
      <w:r/>
      <w:bookmarkEnd w:id="288"/>
      <w:r>
        <w:rPr>
          <w:rFonts w:hint="eastAsia" w:ascii="宋体" w:hAnsi="宋体" w:cs="宋体"/>
          <w:bCs w:val="0"/>
          <w:color w:val="000000" w:themeColor="text1"/>
          <w:sz w:val="24"/>
          <w:szCs w:val="24"/>
          <w:highlight w:val="none"/>
          <w14:textFill>
            <w14:solidFill>
              <w14:schemeClr w14:val="tx1"/>
            </w14:solidFill>
          </w14:textFill>
        </w:rPr>
        <w:t xml:space="preserve">（以固化清单为准）</w:t>
      </w:r>
      <w:r/>
    </w:p>
    <w:p>
      <w:pPr>
        <w:ind w:firstLine="372"/>
        <w:jc w:val="both"/>
        <w:spacing w:line="360" w:lineRule="auto"/>
        <w:tabs>
          <w:tab w:val="left" w:pos="6045"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bookmarkStart w:id="289" w:name="_Toc107246281"/>
      <w:r/>
      <w:bookmarkStart w:id="290" w:name="_Toc103848586"/>
      <w:r/>
      <w:bookmarkStart w:id="291" w:name="_Toc104560901"/>
      <w:r/>
      <w:bookmarkStart w:id="292" w:name="_Toc102117319"/>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详见附件1：分项报价表（固化清单）-南京鼓楼医院(含江北院区)食堂干调采购项目</w:t>
      </w:r>
      <w:r/>
    </w:p>
    <w:p>
      <w:pPr>
        <w:ind w:firstLine="372"/>
        <w:jc w:val="both"/>
        <w:spacing w:line="360" w:lineRule="auto"/>
        <w:tabs>
          <w:tab w:val="left" w:pos="6045"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372"/>
        <w:jc w:val="both"/>
        <w:spacing w:line="360" w:lineRule="auto"/>
        <w:tabs>
          <w:tab w:val="left" w:pos="6045"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rPr>
          <w:rFonts w:hint="eastAsia" w:ascii="宋体" w:hAnsi="宋体" w:cs="宋体"/>
          <w:color w:val="000000" w:themeColor="text1"/>
          <w:highlight w:val="none"/>
          <w14:textFill>
            <w14:solidFill>
              <w14:schemeClr w14:val="tx1"/>
            </w14:solidFill>
          </w14:textFill>
        </w:rPr>
        <w:t xml:space="preserve">投标人需按上述要求（投标产品的 商品名称、规格、单位）逐一响应应答</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供应商需在</w:t>
      </w:r>
      <w:r>
        <w:rPr>
          <w:rFonts w:hint="eastAsia" w:ascii="宋体" w:hAnsi="宋体" w:cs="宋体"/>
          <w:color w:val="000000" w:themeColor="text1"/>
          <w:highlight w:val="none"/>
          <w:lang w:val="en-US" w:eastAsia="zh-CN"/>
          <w14:textFill>
            <w14:solidFill>
              <w14:schemeClr w14:val="tx1"/>
            </w14:solidFill>
          </w14:textFill>
        </w:rPr>
        <w:t xml:space="preserve">分项报价表</w:t>
      </w:r>
      <w:r>
        <w:rPr>
          <w:rFonts w:hint="eastAsia" w:ascii="宋体" w:hAnsi="宋体" w:cs="宋体"/>
          <w:color w:val="000000" w:themeColor="text1"/>
          <w:highlight w:val="none"/>
          <w14:textFill>
            <w14:solidFill>
              <w14:schemeClr w14:val="tx1"/>
            </w14:solidFill>
          </w14:textFill>
        </w:rPr>
        <w:t xml:space="preserve"> 中逐一注明能够提供的产品的品牌或制造商</w:t>
      </w:r>
      <w:r>
        <w:rPr>
          <w:rFonts w:hint="eastAsia" w:ascii="宋体" w:hAnsi="宋体" w:cs="宋体"/>
          <w:color w:val="000000" w:themeColor="text1"/>
          <w:highlight w:val="none"/>
          <w:lang w:eastAsia="zh-CN"/>
          <w14:textFill>
            <w14:solidFill>
              <w14:schemeClr w14:val="tx1"/>
            </w14:solidFill>
          </w14:textFill>
        </w:rPr>
        <w:t xml:space="preserve">。</w:t>
      </w:r>
      <w:r/>
    </w:p>
    <w:p>
      <w:pPr>
        <w:ind w:firstLine="372"/>
        <w:jc w:val="both"/>
        <w:spacing w:line="360" w:lineRule="auto"/>
        <w:tabs>
          <w:tab w:val="left" w:pos="6045" w:leader="none"/>
        </w:tabs>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2、“参考年用量” 为预估采购量，实际结算以采购人月度 / 季度实际订单数量为准，单价全程固定不变，不得以用量调整、原材料涨价、人工上涨等任何理由调价。</w:t>
      </w:r>
      <w:r/>
    </w:p>
    <w:p>
      <w:pPr>
        <w:ind w:firstLine="372"/>
        <w:jc w:val="both"/>
        <w:spacing w:line="360" w:lineRule="auto"/>
        <w:tabs>
          <w:tab w:val="left" w:pos="6045" w:leader="none"/>
        </w:tabs>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3、散装标注 “斤” 的物料，统一按市斤（500g / 斤）计量，不得以公斤、磅、市两换算；“散称” 按现场称重、去皮净重结算。</w:t>
      </w:r>
      <w:r/>
    </w:p>
    <w:p>
      <w:pPr>
        <w:ind w:firstLine="372"/>
        <w:jc w:val="both"/>
        <w:spacing w:line="360" w:lineRule="auto"/>
        <w:tabs>
          <w:tab w:val="left" w:pos="604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4、所有报价单价保留 2 位小数，合价自动计算；分项报价表中不得空白、不得漏项、不得合并项，缺项视为免费供应，中标后不得补报。</w:t>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sectPr>
          <w:footnotePr/>
          <w:endnotePr/>
          <w:type w:val="nextPage"/>
          <w:pgSz w:w="16838" w:h="11906" w:orient="landscape"/>
          <w:pgMar w:top="1588" w:right="1440" w:bottom="1698" w:left="1440"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）偏离表</w:t>
      </w:r>
      <w:r/>
    </w:p>
    <w:p>
      <w:pPr>
        <w:pStyle w:val="801"/>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-1）商务要求响应及偏离表</w:t>
      </w:r>
      <w:bookmarkEnd w:id="289"/>
      <w:r/>
      <w:bookmarkEnd w:id="290"/>
      <w:r/>
      <w:bookmarkEnd w:id="291"/>
      <w:r/>
      <w:r/>
    </w:p>
    <w:p>
      <w:pPr>
        <w:pStyle w:val="103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南京鼓楼医院(含江北院区)食堂干调采购项目</w:t>
      </w:r>
      <w:r/>
    </w:p>
    <w:p>
      <w:pPr>
        <w:pStyle w:val="103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JSZC-320100-JITC-G2026-0143</w:t>
      </w:r>
      <w:r/>
    </w:p>
    <w:tbl>
      <w:tblPr>
        <w:tblStyle w:val="77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1037"/>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3" w:name="_Toc104560902"/>
      <w:r/>
      <w:bookmarkStart w:id="294"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295" w:name="_Toc10724628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-2）技术要求响应及偏离表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南京鼓楼医院(含江北院区)食堂干调采购项目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JSZC-320100-JITC-G2026-0143</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7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w:t>
            </w:r>
            <w:r>
              <w:rPr>
                <w:rFonts w:hint="eastAsia" w:hAnsi="宋体" w:cs="宋体"/>
                <w:color w:val="000000" w:themeColor="text1"/>
                <w:sz w:val="21"/>
                <w:szCs w:val="21"/>
                <w:highlight w:val="none"/>
                <w:lang w:val="en-US" w:eastAsia="zh-CN"/>
                <w14:textFill>
                  <w14:solidFill>
                    <w14:schemeClr w14:val="tx1"/>
                  </w14:solidFill>
                </w14:textFill>
              </w:rPr>
              <w:t xml:space="preserve">技术</w:t>
            </w:r>
            <w:r>
              <w:rPr>
                <w:rFonts w:hint="eastAsia" w:hAnsi="宋体" w:cs="宋体"/>
                <w:color w:val="000000" w:themeColor="text1"/>
                <w:sz w:val="21"/>
                <w:szCs w:val="21"/>
                <w:highlight w:val="none"/>
                <w14:textFill>
                  <w14:solidFill>
                    <w14:schemeClr w14:val="tx1"/>
                  </w14:solidFill>
                </w14:textFill>
              </w:rPr>
              <w:t xml:space="preserve">条款</w:t>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w:t>
      </w:r>
      <w:r>
        <w:rPr>
          <w:rFonts w:hint="eastAsia" w:ascii="宋体" w:hAnsi="宋体" w:cs="宋体"/>
          <w:b/>
          <w:bCs/>
          <w:color w:val="000000" w:themeColor="text1"/>
          <w:highlight w:val="none"/>
          <w:lang w:val="en-US" w:eastAsia="zh-CN"/>
          <w14:textFill>
            <w14:solidFill>
              <w14:schemeClr w14:val="tx1"/>
            </w14:solidFill>
          </w14:textFill>
        </w:rPr>
        <w:t xml:space="preserve">技术</w:t>
      </w:r>
      <w:r>
        <w:rPr>
          <w:rFonts w:hint="eastAsia" w:ascii="宋体" w:hAnsi="宋体" w:cs="宋体"/>
          <w:b/>
          <w:bCs/>
          <w:color w:val="000000" w:themeColor="text1"/>
          <w:highlight w:val="none"/>
          <w14:textFill>
            <w14:solidFill>
              <w14:schemeClr w14:val="tx1"/>
            </w14:solidFill>
          </w14:textFill>
        </w:rPr>
        <w:t xml:space="preserve">条款要求填写此表，作为投标文件的组成部分。</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1"/>
        <w:numPr>
          <w:ilvl w:val="0"/>
          <w:numId w:val="0"/>
        </w:numPr>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val="0"/>
          <w:color w:val="000000" w:themeColor="text1"/>
          <w:sz w:val="24"/>
          <w:szCs w:val="24"/>
          <w:highlight w:val="none"/>
          <w14:textFill>
            <w14:solidFill>
              <w14:schemeClr w14:val="tx1"/>
            </w14:solidFill>
          </w14:textFill>
        </w:rPr>
        <w:t xml:space="preserve">投标人具备投标资格的证明文件</w:t>
      </w:r>
      <w:bookmarkEnd w:id="293"/>
      <w:r/>
      <w:bookmarkEnd w:id="294"/>
      <w:r/>
      <w:bookmarkEnd w:id="295"/>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6" w:name="_Toc107246283"/>
      <w:r/>
      <w:bookmarkStart w:id="297" w:name="_Toc104560903"/>
      <w:r/>
      <w:bookmarkStart w:id="298" w:name="_Toc103848588"/>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-1-1）营业执照复印件</w:t>
      </w:r>
      <w:bookmarkEnd w:id="292"/>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6"/>
      <w:r/>
      <w:bookmarkEnd w:id="297"/>
      <w:r/>
      <w:bookmarkEnd w:id="29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9" w:name="_Hlk33717720"/>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29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00" w:name="_Toc102117320"/>
      <w:r/>
      <w:bookmarkStart w:id="301" w:name="_Toc103848589"/>
      <w:r>
        <w:rPr>
          <w:rFonts w:hint="eastAsia" w:ascii="宋体" w:hAnsi="宋体" w:cs="宋体"/>
          <w:color w:val="000000" w:themeColor="text1"/>
          <w:highlight w:val="none"/>
          <w14:textFill>
            <w14:solidFill>
              <w14:schemeClr w14:val="tx1"/>
            </w14:solidFill>
          </w14:textFill>
        </w:rPr>
        <w:br w:type="page" w:clear="all"/>
      </w:r>
      <w:bookmarkStart w:id="302" w:name="_Toc104560904"/>
      <w:r/>
      <w:bookmarkStart w:id="303" w:name="_Toc107246284"/>
      <w:r/>
      <w:r/>
    </w:p>
    <w:p>
      <w:pPr>
        <w:pStyle w:val="801"/>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-1-2）工商变更登记文件（如需）</w:t>
      </w:r>
      <w:bookmarkEnd w:id="300"/>
      <w:r/>
      <w:bookmarkEnd w:id="301"/>
      <w:r/>
      <w:bookmarkEnd w:id="302"/>
      <w:r/>
      <w:bookmarkEnd w:id="30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4" w:name="_Toc107246285"/>
      <w:r/>
      <w:bookmarkStart w:id="305" w:name="_Toc102117321"/>
      <w:r/>
      <w:bookmarkStart w:id="306" w:name="_Toc104560905"/>
      <w:r/>
      <w:bookmarkStart w:id="307" w:name="_Toc103848590"/>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-6款证明材料可使用《南京市政府采购供应商信用记录表暨信用承诺书》替代。</w:t>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-2）财务报表</w:t>
      </w:r>
      <w:bookmarkEnd w:id="304"/>
      <w:r/>
      <w:bookmarkEnd w:id="305"/>
      <w:r/>
      <w:bookmarkEnd w:id="306"/>
      <w:r/>
      <w:bookmarkEnd w:id="307"/>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801"/>
        <w:ind w:firstLine="373"/>
        <w:jc w:val="left"/>
        <w:rPr>
          <w:rFonts w:hint="eastAsia" w:ascii="宋体" w:hAnsi="宋体" w:cs="宋体"/>
          <w:bCs w:val="0"/>
          <w:color w:val="000000" w:themeColor="text1"/>
          <w:sz w:val="24"/>
          <w:szCs w:val="24"/>
          <w:highlight w:val="none"/>
          <w14:textFill>
            <w14:solidFill>
              <w14:schemeClr w14:val="tx1"/>
            </w14:solidFill>
          </w14:textFill>
        </w:rPr>
      </w:pPr>
      <w:r/>
      <w:bookmarkStart w:id="308" w:name="_Toc104560908"/>
      <w:r/>
      <w:bookmarkStart w:id="309" w:name="_Toc102117322"/>
      <w:r/>
      <w:bookmarkStart w:id="310" w:name="_Toc103848593"/>
      <w:r>
        <w:rPr>
          <w:rFonts w:hint="eastAsia" w:ascii="宋体" w:hAnsi="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2024年度或2025年度</w:t>
      </w:r>
      <w:r>
        <w:rPr>
          <w:rFonts w:hint="eastAsia" w:ascii="宋体" w:hAnsi="宋体" w:cs="宋体"/>
          <w:bCs w:val="0"/>
          <w:color w:val="000000" w:themeColor="text1"/>
          <w:sz w:val="2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11" w:name="_Toc107246286"/>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-3）具有履行合同所必需的设备和专业技术能力的相关证明材料或承诺函（提供承诺函原件）</w:t>
      </w:r>
      <w:bookmarkEnd w:id="308"/>
      <w:r/>
      <w:bookmarkEnd w:id="309"/>
      <w:r/>
      <w:bookmarkEnd w:id="310"/>
      <w:r/>
      <w:bookmarkEnd w:id="31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1"/>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2" w:name="_Toc103848591"/>
      <w:r/>
      <w:bookmarkStart w:id="313"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4" w:name="_Toc104560906"/>
      <w:r/>
      <w:bookmarkStart w:id="315" w:name="_Toc107246287"/>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-4）依法缴纳税收的相关材料</w:t>
      </w:r>
      <w:bookmarkEnd w:id="312"/>
      <w:r/>
      <w:bookmarkEnd w:id="313"/>
      <w:r/>
      <w:bookmarkEnd w:id="314"/>
      <w:r/>
      <w:bookmarkEnd w:id="315"/>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注：根据招标公告的要求提供本次采购活动前6个月内（即</w:t>
      </w:r>
      <w:r>
        <w:rPr>
          <w:rFonts w:hint="eastAsia" w:ascii="宋体" w:hAnsi="宋体" w:cs="宋体"/>
          <w:b/>
          <w:bCs/>
          <w:color w:val="000000" w:themeColor="text1"/>
          <w:highlight w:val="none"/>
          <w:u w:val="single"/>
          <w14:textFill>
            <w14:solidFill>
              <w14:schemeClr w14:val="tx1"/>
            </w14:solidFill>
          </w14:textFill>
        </w:rPr>
        <w:t xml:space="preserve">202</w:t>
      </w:r>
      <w:r>
        <w:rPr>
          <w:rFonts w:hint="eastAsia" w:ascii="宋体" w:hAnsi="宋体" w:cs="宋体"/>
          <w:b/>
          <w:bCs/>
          <w:color w:val="000000" w:themeColor="text1"/>
          <w:highlight w:val="none"/>
          <w:u w:val="single"/>
          <w:lang w:val="en-US" w:eastAsia="zh-CN"/>
          <w14:textFill>
            <w14:solidFill>
              <w14:schemeClr w14:val="tx1"/>
            </w14:solidFill>
          </w14:textFill>
        </w:rPr>
        <w:t xml:space="preserve">5</w:t>
      </w:r>
      <w:r>
        <w:rPr>
          <w:rFonts w:hint="eastAsia" w:ascii="宋体" w:hAnsi="宋体" w:cs="宋体"/>
          <w:b/>
          <w:bCs/>
          <w:color w:val="000000" w:themeColor="text1"/>
          <w:highlight w:val="none"/>
          <w:u w:val="single"/>
          <w14:textFill>
            <w14:solidFill>
              <w14:schemeClr w14:val="tx1"/>
            </w14:solidFill>
          </w14:textFill>
        </w:rPr>
        <w:t xml:space="preserve">年</w:t>
      </w:r>
      <w:r>
        <w:rPr>
          <w:rFonts w:hint="eastAsia" w:ascii="宋体" w:hAnsi="宋体" w:cs="宋体"/>
          <w:b/>
          <w:bCs/>
          <w:color w:val="000000" w:themeColor="text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highlight w:val="none"/>
          <w:u w:val="single"/>
          <w14:textFill>
            <w14:solidFill>
              <w14:schemeClr w14:val="tx1"/>
            </w14:solidFill>
          </w14:textFill>
        </w:rPr>
        <w:t xml:space="preserve">月（含）以来</w:t>
      </w:r>
      <w:r>
        <w:rPr>
          <w:rFonts w:hint="eastAsia" w:ascii="宋体" w:hAnsi="宋体" w:cs="宋体"/>
          <w:b/>
          <w:bCs/>
          <w:color w:val="000000" w:themeColor="text1"/>
          <w:highlight w:val="none"/>
          <w14:textFill>
            <w14:solidFill>
              <w14:schemeClr w14:val="tx1"/>
            </w14:solidFill>
          </w14:textFill>
        </w:rPr>
        <w:t xml:space="preserve">），至少1个月缴纳税收的凭证复印件，依法享受免缴、缓缴的，提供证明材料复印件。</w:t>
      </w:r>
      <w:r/>
    </w:p>
    <w:p>
      <w:pPr>
        <w:pStyle w:val="801"/>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br w:type="page" w:clear="all"/>
      </w:r>
      <w:bookmarkStart w:id="316" w:name="_Toc107246288"/>
      <w:r/>
      <w:bookmarkStart w:id="317" w:name="_Toc103848592"/>
      <w:r/>
      <w:bookmarkStart w:id="318" w:name="_Toc104560907"/>
      <w:r/>
      <w:bookmarkStart w:id="319" w:name="_Toc10211732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-5）依法缴纳社会保障资金的相关材料</w:t>
      </w:r>
      <w:bookmarkEnd w:id="316"/>
      <w:r/>
      <w:bookmarkEnd w:id="317"/>
      <w:r/>
      <w:bookmarkEnd w:id="318"/>
      <w:r/>
      <w:bookmarkEnd w:id="319"/>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注：根据招标公告的要求提供本次采购活动前6个月内（</w:t>
      </w:r>
      <w:r>
        <w:rPr>
          <w:rFonts w:hint="eastAsia" w:ascii="宋体" w:hAnsi="宋体" w:cs="宋体"/>
          <w:b/>
          <w:bCs/>
          <w:color w:val="000000" w:themeColor="text1"/>
          <w:highlight w:val="none"/>
          <w:u w:val="single"/>
          <w14:textFill>
            <w14:solidFill>
              <w14:schemeClr w14:val="tx1"/>
            </w14:solidFill>
          </w14:textFill>
        </w:rPr>
        <w:t xml:space="preserve">202</w:t>
      </w:r>
      <w:r>
        <w:rPr>
          <w:rFonts w:hint="eastAsia" w:ascii="宋体" w:hAnsi="宋体" w:cs="宋体"/>
          <w:b/>
          <w:bCs/>
          <w:color w:val="000000" w:themeColor="text1"/>
          <w:highlight w:val="none"/>
          <w:u w:val="single"/>
          <w:lang w:val="en-US" w:eastAsia="zh-CN"/>
          <w14:textFill>
            <w14:solidFill>
              <w14:schemeClr w14:val="tx1"/>
            </w14:solidFill>
          </w14:textFill>
        </w:rPr>
        <w:t xml:space="preserve">5</w:t>
      </w:r>
      <w:r>
        <w:rPr>
          <w:rFonts w:hint="eastAsia" w:ascii="宋体" w:hAnsi="宋体" w:cs="宋体"/>
          <w:b/>
          <w:bCs/>
          <w:color w:val="000000" w:themeColor="text1"/>
          <w:highlight w:val="none"/>
          <w:u w:val="single"/>
          <w14:textFill>
            <w14:solidFill>
              <w14:schemeClr w14:val="tx1"/>
            </w14:solidFill>
          </w14:textFill>
        </w:rPr>
        <w:t xml:space="preserve">年</w:t>
      </w:r>
      <w:r>
        <w:rPr>
          <w:rFonts w:hint="eastAsia" w:ascii="宋体" w:hAnsi="宋体" w:cs="宋体"/>
          <w:b/>
          <w:bCs/>
          <w:color w:val="000000" w:themeColor="text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highlight w:val="none"/>
          <w:u w:val="single"/>
          <w14:textFill>
            <w14:solidFill>
              <w14:schemeClr w14:val="tx1"/>
            </w14:solidFill>
          </w14:textFill>
        </w:rPr>
        <w:t xml:space="preserve">月（含）以来</w:t>
      </w:r>
      <w:r>
        <w:rPr>
          <w:rFonts w:hint="eastAsia" w:ascii="宋体" w:hAnsi="宋体" w:cs="宋体"/>
          <w:b/>
          <w:bCs/>
          <w:color w:val="000000" w:themeColor="text1"/>
          <w:highlight w:val="none"/>
          <w14:textFill>
            <w14:solidFill>
              <w14:schemeClr w14:val="tx1"/>
            </w14:solidFill>
          </w14:textFill>
        </w:rPr>
        <w:t xml:space="preserve">），至少1个月缴纳社会保险的凭证复印件，依法享受免缴、缓缴的，提供证明材料复印件。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1"/>
        <w:ind w:firstLine="566"/>
        <w:spacing w:line="240" w:lineRule="atLeast"/>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br w:type="page" w:clear="all"/>
      </w:r>
      <w:bookmarkStart w:id="320" w:name="_Toc107246289"/>
      <w:r/>
      <w:bookmarkStart w:id="321" w:name="_Toc102117325"/>
      <w:r/>
      <w:bookmarkStart w:id="322" w:name="_Toc104560909"/>
      <w:r/>
      <w:bookmarkStart w:id="323" w:name="_Toc10384859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-6）没有重大违法记录的书面声明</w:t>
      </w:r>
      <w:bookmarkEnd w:id="320"/>
      <w:r/>
      <w:bookmarkEnd w:id="321"/>
      <w:r/>
      <w:bookmarkEnd w:id="322"/>
      <w:r/>
      <w:bookmarkEnd w:id="32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1"/>
        <w:ind w:firstLine="566"/>
        <w:spacing w:line="240" w:lineRule="atLeast"/>
        <w:rPr>
          <w:rFonts w:hint="eastAsia" w:ascii="宋体" w:hAnsi="宋体" w:cs="宋体"/>
          <w:b w:val="0"/>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24" w:name="_Toc104560910"/>
      <w:r/>
      <w:bookmarkStart w:id="325" w:name="_Toc107246290"/>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-7）法律、行政法规规定的其他条件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bookmarkEnd w:id="324"/>
      <w:r/>
      <w:bookmarkEnd w:id="325"/>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01"/>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bookmarkStart w:id="326" w:name="_Toc102117326"/>
      <w:r/>
      <w:bookmarkStart w:id="327" w:name="_Toc107246291"/>
      <w:r/>
      <w:bookmarkStart w:id="328" w:name="_Toc104560911"/>
      <w:r/>
      <w:bookmarkStart w:id="329" w:name="_Toc103848596"/>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）承诺函</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01"/>
        <w:ind w:firstLine="426"/>
        <w:jc w:val="left"/>
        <w:spacing w:before="0"/>
        <w:rPr>
          <w:rFonts w:hint="eastAsia" w:ascii="宋体" w:hAnsi="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6-9</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val="0"/>
          <w:color w:val="000000" w:themeColor="text1"/>
          <w:sz w:val="24"/>
          <w:szCs w:val="24"/>
          <w:highlight w:val="none"/>
          <w14:textFill>
            <w14:solidFill>
              <w14:schemeClr w14:val="tx1"/>
            </w14:solidFill>
          </w14:textFill>
        </w:rPr>
        <w:t xml:space="preserve">）</w:t>
      </w:r>
      <w:bookmarkEnd w:id="326"/>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7"/>
      <w:r/>
      <w:bookmarkEnd w:id="328"/>
      <w:r/>
      <w:r/>
    </w:p>
    <w:p>
      <w:pPr>
        <w:ind w:firstLine="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bookmarkStart w:id="330" w:name="_Toc107246292"/>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若投标人为</w:t>
      </w:r>
      <w:r>
        <w:rPr>
          <w:rFonts w:hint="eastAsia" w:ascii="宋体" w:hAnsi="宋体" w:cs="宋体"/>
          <w:color w:val="000000" w:themeColor="text1"/>
          <w:highlight w:val="none"/>
          <w:lang w:val="en-US" w:eastAsia="zh-CN"/>
          <w14:textFill>
            <w14:solidFill>
              <w14:schemeClr w14:val="tx1"/>
            </w14:solidFill>
          </w14:textFill>
        </w:rPr>
        <w:t xml:space="preserve">食品销售企业</w:t>
      </w:r>
      <w:r>
        <w:rPr>
          <w:rFonts w:hint="eastAsia" w:ascii="宋体" w:hAnsi="宋体" w:cs="宋体"/>
          <w:color w:val="000000" w:themeColor="text1"/>
          <w:highlight w:val="none"/>
          <w14:textFill>
            <w14:solidFill>
              <w14:schemeClr w14:val="tx1"/>
            </w14:solidFill>
          </w14:textFill>
        </w:rPr>
        <w:t xml:space="preserve">的须具有行业主管部门颁发的《食品经营许可证》</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提供证书复印件</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）若投标人为</w:t>
      </w:r>
      <w:r>
        <w:rPr>
          <w:rFonts w:hint="eastAsia" w:ascii="宋体" w:hAnsi="宋体" w:cs="宋体"/>
          <w:color w:val="000000" w:themeColor="text1"/>
          <w:highlight w:val="none"/>
          <w:lang w:val="en-US" w:eastAsia="zh-CN"/>
          <w14:textFill>
            <w14:solidFill>
              <w14:schemeClr w14:val="tx1"/>
            </w14:solidFill>
          </w14:textFill>
        </w:rPr>
        <w:t xml:space="preserve">食品生产企业</w:t>
      </w:r>
      <w:r>
        <w:rPr>
          <w:rFonts w:hint="eastAsia" w:ascii="宋体" w:hAnsi="宋体" w:cs="宋体"/>
          <w:color w:val="000000" w:themeColor="text1"/>
          <w:highlight w:val="none"/>
          <w:lang w:eastAsia="zh-CN"/>
          <w14:textFill>
            <w14:solidFill>
              <w14:schemeClr w14:val="tx1"/>
            </w14:solidFill>
          </w14:textFill>
        </w:rPr>
        <w:t xml:space="preserve">须提供《食品生产许可证》（</w:t>
      </w:r>
      <w:r>
        <w:rPr>
          <w:rFonts w:hint="eastAsia" w:ascii="宋体" w:hAnsi="宋体" w:cs="宋体"/>
          <w:color w:val="000000" w:themeColor="text1"/>
          <w:highlight w:val="none"/>
          <w:lang w:val="en-US" w:eastAsia="zh-CN"/>
          <w14:textFill>
            <w14:solidFill>
              <w14:schemeClr w14:val="tx1"/>
            </w14:solidFill>
          </w14:textFill>
        </w:rPr>
        <w:t xml:space="preserve">提供证书复印件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30"/>
      <w:r/>
      <w:bookmarkStart w:id="331" w:name="_Toc107246293"/>
      <w:r/>
      <w:bookmarkStart w:id="332" w:name="_Toc104560912"/>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74"/>
        <w:ind w:left="1240"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right"/>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bl>
      <w:tblPr>
        <w:tblStyle w:val="771"/>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1024"/>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323"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5318"/>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323" w:type="dxa"/>
            <w:textDirection w:val="lrTb"/>
            <w:noWrap/>
          </w:tcPr>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w:t>
            </w:r>
            <w:r>
              <w:rPr>
                <w:rFonts w:hint="eastAsia" w:ascii="宋体" w:hAnsi="宋体" w:cs="宋体"/>
                <w:bCs/>
                <w:color w:val="000000" w:themeColor="text1"/>
                <w:highlight w:val="none"/>
                <w:lang w:val="en-US" w:eastAsia="zh-CN"/>
                <w14:textFill>
                  <w14:solidFill>
                    <w14:schemeClr w14:val="tx1"/>
                  </w14:solidFill>
                </w14:textFill>
              </w:rPr>
              <w:t xml:space="preserve">正</w:t>
            </w:r>
            <w:r>
              <w:rPr>
                <w:rFonts w:hint="eastAsia" w:ascii="宋体" w:hAnsi="宋体" w:cs="宋体"/>
                <w:bCs/>
                <w:color w:val="000000" w:themeColor="text1"/>
                <w:highlight w:val="none"/>
                <w14:textFill>
                  <w14:solidFill>
                    <w14:schemeClr w14:val="tx1"/>
                  </w14:solidFill>
                </w14:textFill>
              </w:rPr>
              <w:t xml:space="preserve">、诚实信用的原则，</w:t>
            </w:r>
            <w:r>
              <w:rPr>
                <w:rFonts w:hint="eastAsia" w:ascii="宋体" w:hAnsi="宋体" w:cs="宋体"/>
                <w:bCs/>
                <w:color w:val="000000" w:themeColor="text1"/>
                <w:highlight w:val="none"/>
                <w:lang w:eastAsia="zh-CN"/>
                <w14:textFill>
                  <w14:solidFill>
                    <w14:schemeClr w14:val="tx1"/>
                  </w14:solidFill>
                </w14:textFill>
              </w:rPr>
              <w:t xml:space="preserve">依法</w:t>
            </w:r>
            <w:r>
              <w:rPr>
                <w:rFonts w:hint="eastAsia" w:ascii="宋体" w:hAnsi="宋体" w:cs="宋体"/>
                <w:bCs/>
                <w:color w:val="000000" w:themeColor="text1"/>
                <w:highlight w:val="none"/>
                <w14:textFill>
                  <w14:solidFill>
                    <w14:schemeClr w14:val="tx1"/>
                  </w14:solidFill>
                </w14:textFill>
              </w:rPr>
              <w:t xml:space="preserve">诚信经营，无条件遵守本次政府采购活动的各项规定。</w:t>
            </w:r>
            <w:r/>
          </w:p>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74"/>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9"/>
      <w:r/>
      <w:bookmarkEnd w:id="331"/>
      <w:r/>
      <w:bookmarkEnd w:id="332"/>
      <w:r/>
      <w:r/>
    </w:p>
    <w:p>
      <w:pPr>
        <w:pStyle w:val="801"/>
        <w:ind w:firstLine="426"/>
        <w:rPr>
          <w:rFonts w:hint="eastAsia" w:ascii="宋体" w:hAnsi="宋体" w:cs="宋体"/>
          <w:b w:val="0"/>
          <w:color w:val="000000" w:themeColor="text1"/>
          <w:sz w:val="24"/>
          <w:szCs w:val="24"/>
          <w:highlight w:val="none"/>
          <w14:textFill>
            <w14:solidFill>
              <w14:schemeClr w14:val="tx1"/>
            </w14:solidFill>
          </w14:textFill>
        </w:rPr>
      </w:pPr>
      <w:r/>
      <w:bookmarkStart w:id="333" w:name="_Toc103848598"/>
      <w:r/>
      <w:bookmarkStart w:id="334" w:name="_Toc107246296"/>
      <w:r/>
      <w:bookmarkStart w:id="335" w:name="_Toc104560915"/>
      <w:r/>
      <w:bookmarkStart w:id="336" w:name="_Toc102117330"/>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）公章授权书（如需）</w:t>
      </w:r>
      <w:bookmarkEnd w:id="333"/>
      <w:r/>
      <w:bookmarkEnd w:id="334"/>
      <w:r/>
      <w:bookmarkEnd w:id="335"/>
      <w:r/>
      <w:bookmarkEnd w:id="336"/>
      <w:r/>
      <w:r/>
    </w:p>
    <w:p>
      <w:pPr>
        <w:pStyle w:val="1037"/>
        <w:ind w:firstLine="0"/>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r>
      <w:r/>
    </w:p>
    <w:p>
      <w:pPr>
        <w:pStyle w:val="1037"/>
        <w:ind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(投标人名称)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南京鼓楼医院(含江北院区)食堂干调采购项目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JSZC-320100-JITC-G2026-0143</w:t>
      </w:r>
      <w:r>
        <w:rPr>
          <w:rFonts w:hint="eastAsia" w:hAnsi="宋体" w:cs="宋体"/>
          <w:color w:val="000000" w:themeColor="text1"/>
          <w:sz w:val="21"/>
          <w:szCs w:val="21"/>
          <w:highlight w:val="none"/>
          <w:u w:val="single"/>
          <w14:textFill>
            <w14:solidFill>
              <w14:schemeClr w14:val="tx1"/>
            </w14:solidFill>
          </w14:textFill>
        </w:rPr>
        <w:t xml:space="preserve">0295）</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37"/>
        <w:ind w:right="840"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840" w:firstLine="19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37"/>
        <w:ind w:right="420" w:firstLine="19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pPr>
                              <w:rPr>
                                <w14:textOutline w14:w="9525" w14:cap="flat" w14:cmpd="sng" w14:algn="ctr">
                                  <w14:solidFill>
                                    <w14:schemeClr w14:val="tx1"/>
                                  </w14:solidFill>
                                  <w14:prstDash w14:val="solid"/>
                                  <w14:round/>
                                </w14:textOutline>
                              </w:rPr>
                            </w:pPr>
                            <w:r>
                              <w:rPr>
                                <w14:textOutline w14:w="9525" w14:cap="flat" w14:cmpd="sng" w14:algn="ctr">
                                  <w14:solidFill>
                                    <w14:schemeClr w14:val="tx1"/>
                                  </w14:solidFill>
                                  <w14:prstDash w14:val="solid"/>
                                  <w14:round/>
                                </w14:textOutline>
                              </w:rPr>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rPr>
                          <w14:textOutline w14:w="9525" w14:cap="flat" w14:cmpd="sng" w14:algn="ctr">
                            <w14:solidFill>
                              <w14:schemeClr w14:val="tx1"/>
                            </w14:solidFill>
                            <w14:prstDash w14:val="solid"/>
                            <w14:round/>
                          </w14:textOutline>
                        </w:rPr>
                      </w:pPr>
                      <w:r>
                        <w:rPr>
                          <w14:textOutline w14:w="9525" w14:cap="flat" w14:cmpd="sng" w14:algn="ctr">
                            <w14:solidFill>
                              <w14:schemeClr w14:val="tx1"/>
                            </w14:solidFill>
                            <w14:prstDash w14:val="solid"/>
                            <w14:round/>
                          </w14:textOutline>
                        </w:rPr>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37"/>
        <w:ind w:right="420" w:firstLine="481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3150"/>
        <w:jc w:val="left"/>
        <w:spacing w:line="276"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投标人名称（公章）：</w:t>
      </w:r>
      <w:r/>
    </w:p>
    <w:p>
      <w:pPr>
        <w:pStyle w:val="103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ind w:firstLine="3158"/>
        <w:jc w:val="left"/>
        <w:spacing w:line="276" w:lineRule="auto"/>
        <w:rPr>
          <w:rFonts w:hint="eastAsia"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01"/>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37" w:name="_Toc107246299"/>
      <w:r/>
      <w:bookmarkStart w:id="338" w:name="_Toc104560916"/>
      <w:r/>
      <w:bookmarkStart w:id="339" w:name="_Toc1038485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7"/>
      <w:r/>
      <w:bookmarkEnd w:id="338"/>
      <w:r/>
      <w:bookmarkEnd w:id="339"/>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rFonts w:hint="eastAsia"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1"/>
        <w:ind w:firstLine="569"/>
        <w:spacing w:before="0" w:line="480" w:lineRule="auto"/>
        <w:rPr>
          <w:rFonts w:hint="eastAsia" w:ascii="宋体" w:hAnsi="宋体" w:cs="宋体"/>
          <w:color w:val="000000" w:themeColor="text1"/>
          <w:highlight w:val="none"/>
          <w14:textFill>
            <w14:solidFill>
              <w14:schemeClr w14:val="tx1"/>
            </w14:solidFill>
          </w14:textFill>
        </w:rPr>
      </w:pPr>
      <w:r/>
      <w:bookmarkStart w:id="340" w:name="_Toc104560919"/>
      <w:r/>
      <w:bookmarkStart w:id="341" w:name="_Toc107246302"/>
      <w:r/>
      <w:bookmarkStart w:id="342" w:name="_Toc10384860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val="0"/>
          <w:color w:val="000000" w:themeColor="text1"/>
          <w:sz w:val="24"/>
          <w:szCs w:val="24"/>
          <w:highlight w:val="none"/>
          <w14:textFill>
            <w14:solidFill>
              <w14:schemeClr w14:val="tx1"/>
            </w14:solidFill>
          </w14:textFill>
        </w:rPr>
        <w:t xml:space="preserve">）投标人服务承诺</w:t>
      </w:r>
      <w:bookmarkEnd w:id="340"/>
      <w:r/>
      <w:bookmarkEnd w:id="341"/>
      <w:r/>
      <w:bookmarkEnd w:id="342"/>
      <w:r/>
      <w:r/>
    </w:p>
    <w:p>
      <w:pPr>
        <w:pStyle w:val="778"/>
        <w:jc w:val="right"/>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43" w:name="_Toc107246303"/>
      <w:r/>
      <w:bookmarkStart w:id="344" w:name="_Toc104560920"/>
      <w:r/>
      <w:bookmarkStart w:id="345" w:name="_Toc103848603"/>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val="0"/>
          <w:color w:val="000000" w:themeColor="text1"/>
          <w:sz w:val="24"/>
          <w:szCs w:val="24"/>
          <w:highlight w:val="none"/>
          <w14:textFill>
            <w14:solidFill>
              <w14:schemeClr w14:val="tx1"/>
            </w14:solidFill>
          </w14:textFill>
        </w:rPr>
        <w:t xml:space="preserve">）用于本项目人员简历表</w:t>
      </w:r>
      <w:bookmarkEnd w:id="343"/>
      <w:r/>
      <w:bookmarkEnd w:id="344"/>
      <w:r/>
      <w:bookmarkEnd w:id="345"/>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771"/>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南京鼓楼医院(含江北院区)食堂干调采购项目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JSZC-320100-JITC-G2026-0143</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71"/>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5"/>
      <w:r/>
      <w:r/>
    </w:p>
    <w:p>
      <w:pPr>
        <w:rPr>
          <w:rFonts w:hint="eastAsia"/>
          <w:color w:val="000000" w:themeColor="text1"/>
          <w:highlight w:val="none"/>
          <w:lang w:val="en-US" w:eastAsia="zh-CN"/>
          <w14:textFill>
            <w14:solidFill>
              <w14:schemeClr w14:val="tx1"/>
            </w14:solidFill>
          </w14:textFill>
        </w:rPr>
      </w:pPr>
      <w:r/>
      <w:bookmarkStart w:id="346" w:name="_Toc103848605"/>
      <w:r/>
      <w:bookmarkStart w:id="347" w:name="_Toc107246305"/>
      <w:r/>
      <w:bookmarkStart w:id="348" w:name="_Toc104560922"/>
      <w:r/>
      <w:bookmarkStart w:id="349" w:name="_Toc100905289"/>
      <w:r/>
      <w:bookmarkStart w:id="350" w:name="_Toc96347904"/>
      <w:r/>
      <w:r/>
    </w:p>
    <w:p>
      <w:pPr>
        <w:pStyle w:val="801"/>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46"/>
      <w:r/>
      <w:bookmarkEnd w:id="347"/>
      <w:r/>
      <w:bookmarkEnd w:id="348"/>
      <w:r/>
      <w:r/>
    </w:p>
    <w:p>
      <w:pPr>
        <w:ind w:firstLine="372"/>
        <w:rPr>
          <w:rFonts w:hint="eastAsia" w:ascii="宋体" w:hAnsi="宋体" w:cs="宋体"/>
          <w:color w:val="000000" w:themeColor="text1"/>
          <w:highlight w:val="none"/>
          <w14:textFill>
            <w14:solidFill>
              <w14:schemeClr w14:val="tx1"/>
            </w14:solidFill>
          </w14:textFill>
        </w:rPr>
      </w:pPr>
      <w:r/>
      <w:bookmarkStart w:id="351" w:name="_Toc107246306"/>
      <w:r/>
      <w:bookmarkStart w:id="352" w:name="_Toc104560923"/>
      <w:r/>
      <w:bookmarkStart w:id="353" w:name="_Toc103848606"/>
      <w:r/>
      <w:r/>
    </w:p>
    <w:p>
      <w:pPr>
        <w:jc w:val="center"/>
        <w:rPr>
          <w:rFonts w:hint="eastAsia" w:ascii="宋体" w:hAnsi="宋体" w:cs="宋体"/>
          <w:b/>
          <w:bCs/>
          <w:color w:val="000000" w:themeColor="text1"/>
          <w:sz w:val="24"/>
          <w:highlight w:val="none"/>
          <w14:textFill>
            <w14:solidFill>
              <w14:schemeClr w14:val="tx1"/>
            </w14:solidFill>
          </w14:textFill>
        </w:rPr>
      </w:pPr>
      <w:r/>
      <w:bookmarkStart w:id="354" w:name="_Toc107246308"/>
      <w:r/>
      <w:bookmarkStart w:id="355" w:name="_Toc104560925"/>
      <w:r/>
      <w:bookmarkStart w:id="356" w:name="_Toc103848608"/>
      <w:r/>
      <w:bookmarkStart w:id="357" w:name="_Toc100905295"/>
      <w:r/>
      <w:bookmarkStart w:id="358" w:name="_Toc104560924"/>
      <w:r/>
      <w:bookmarkStart w:id="359" w:name="_Toc103848607"/>
      <w:r/>
      <w:bookmarkStart w:id="360" w:name="_Toc107246307"/>
      <w:r>
        <w:rPr>
          <w:rFonts w:hint="eastAsia" w:ascii="宋体" w:hAnsi="宋体" w:cs="宋体"/>
          <w:b/>
          <w:bCs/>
          <w:color w:val="000000" w:themeColor="text1"/>
          <w:sz w:val="24"/>
          <w:highlight w:val="none"/>
          <w14:textFill>
            <w14:solidFill>
              <w14:schemeClr w14:val="tx1"/>
            </w14:solidFill>
          </w14:textFill>
        </w:rPr>
        <w:t xml:space="preserve">（1）要求投标人提交的其他文件材料或证明材料</w:t>
      </w:r>
      <w:bookmarkEnd w:id="354"/>
      <w:r/>
      <w:bookmarkEnd w:id="355"/>
      <w:r/>
      <w:bookmarkEnd w:id="356"/>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57"/>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58"/>
      <w:r/>
      <w:bookmarkEnd w:id="359"/>
      <w:r/>
      <w:bookmarkEnd w:id="36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9"/>
      <w:r/>
      <w:bookmarkEnd w:id="351"/>
      <w:r/>
      <w:bookmarkEnd w:id="352"/>
      <w:r/>
      <w:bookmarkEnd w:id="35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3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w:t>
      </w:r>
      <w:r>
        <w:rPr>
          <w:rFonts w:hint="eastAsia" w:hAnsi="宋体" w:cs="宋体"/>
          <w:b/>
          <w:color w:val="000000" w:themeColor="text1"/>
          <w:sz w:val="24"/>
          <w:szCs w:val="24"/>
          <w:highlight w:val="none"/>
          <w:lang w:val="en-US" w:eastAsia="zh-CN"/>
          <w14:textFill>
            <w14:solidFill>
              <w14:schemeClr w14:val="tx1"/>
            </w14:solidFill>
          </w14:textFill>
        </w:rPr>
        <w:t xml:space="preserve">服务</w:t>
      </w:r>
      <w:r>
        <w:rPr>
          <w:rFonts w:hint="eastAsia" w:hAnsi="宋体" w:cs="宋体"/>
          <w:b/>
          <w:color w:val="000000" w:themeColor="text1"/>
          <w:sz w:val="24"/>
          <w:szCs w:val="24"/>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批发</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批发</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3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37"/>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3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50"/>
      <w:r/>
      <w:r/>
    </w:p>
    <w:p>
      <w:pPr>
        <w:pStyle w:val="1037"/>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helvetica">
    <w:panose1 w:val="020B0503020202020204"/>
  </w:font>
  <w:font w:name="Cambria">
    <w:panose1 w:val="02040503050406030204"/>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89"/>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0436"/>
      <w:rPr/>
    </w:sdtPr>
    <w:sdtContent>
      <w:p>
        <w:pPr>
          <w:pStyle w:val="789"/>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89"/>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90"/>
    </w:pPr>
    <w:r>
      <w:rPr>
        <w:rFonts w:hint="eastAsia" w:ascii="宋体" w:hAnsi="宋体" w:cs="宋体"/>
        <w:color w:val="000000"/>
        <w:sz w:val="22"/>
        <w:szCs w:val="22"/>
        <w:lang w:eastAsia="zh-CN"/>
      </w:rPr>
      <w:t xml:space="preserve">南京鼓楼医院(含江北院区)食堂干调采购项目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995"/>
    <w:uiPriority w:val="0"/>
    <w:qFormat/>
    <w:pPr>
      <w:ind w:left="100" w:right="100"/>
      <w:keepLines/>
      <w:keepNext/>
      <w:spacing w:before="120" w:after="120"/>
      <w:outlineLvl w:val="0"/>
    </w:pPr>
    <w:rPr>
      <w:b/>
      <w:bCs/>
      <w:szCs w:val="44"/>
    </w:rPr>
  </w:style>
  <w:style w:type="paragraph" w:styleId="762">
    <w:name w:val="Heading 2"/>
    <w:basedOn w:val="760"/>
    <w:next w:val="760"/>
    <w:link w:val="813"/>
    <w:uiPriority w:val="0"/>
    <w:qFormat/>
    <w:pPr>
      <w:keepLines/>
      <w:keepNext/>
      <w:spacing w:before="260" w:after="260" w:line="416" w:lineRule="auto"/>
      <w:outlineLvl w:val="1"/>
    </w:pPr>
    <w:rPr>
      <w:rFonts w:ascii="等线 Light" w:hAnsi="等线 Light" w:eastAsia="等线 Light"/>
      <w:b/>
      <w:bCs/>
      <w:sz w:val="32"/>
      <w:szCs w:val="32"/>
    </w:rPr>
  </w:style>
  <w:style w:type="paragraph" w:styleId="763">
    <w:name w:val="Heading 3"/>
    <w:basedOn w:val="760"/>
    <w:next w:val="760"/>
    <w:link w:val="812"/>
    <w:uiPriority w:val="9"/>
    <w:qFormat/>
    <w:pPr>
      <w:keepLines/>
      <w:keepNext/>
      <w:spacing w:before="260" w:after="260" w:line="416" w:lineRule="auto"/>
      <w:outlineLvl w:val="2"/>
    </w:pPr>
    <w:rPr>
      <w:b/>
      <w:bCs/>
      <w:sz w:val="32"/>
      <w:szCs w:val="32"/>
    </w:rPr>
  </w:style>
  <w:style w:type="paragraph" w:styleId="764">
    <w:name w:val="Heading 4"/>
    <w:basedOn w:val="760"/>
    <w:next w:val="760"/>
    <w:link w:val="863"/>
    <w:uiPriority w:val="0"/>
    <w:qFormat/>
    <w:pPr>
      <w:keepLines/>
      <w:keepNext/>
      <w:spacing w:before="280" w:after="290" w:line="376" w:lineRule="auto"/>
      <w:outlineLvl w:val="3"/>
    </w:pPr>
    <w:rPr>
      <w:rFonts w:ascii="等线 Light" w:hAnsi="等线 Light" w:eastAsia="等线 Light"/>
      <w:b/>
      <w:bCs/>
      <w:sz w:val="28"/>
      <w:szCs w:val="28"/>
    </w:rPr>
  </w:style>
  <w:style w:type="paragraph" w:styleId="765">
    <w:name w:val="Heading 5"/>
    <w:basedOn w:val="760"/>
    <w:next w:val="760"/>
    <w:link w:val="871"/>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996"/>
    <w:uiPriority w:val="0"/>
    <w:qFormat/>
    <w:pPr>
      <w:keepLines/>
      <w:keepNext/>
      <w:spacing w:before="240" w:after="64" w:line="320" w:lineRule="auto"/>
      <w:outlineLvl w:val="5"/>
    </w:pPr>
    <w:rPr>
      <w:rFonts w:ascii="等线 Light" w:hAnsi="等线 Light" w:eastAsia="等线 Light"/>
      <w:b/>
      <w:bCs/>
      <w:sz w:val="24"/>
    </w:rPr>
  </w:style>
  <w:style w:type="paragraph" w:styleId="767">
    <w:name w:val="Heading 7"/>
    <w:basedOn w:val="760"/>
    <w:next w:val="760"/>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997"/>
    <w:uiPriority w:val="0"/>
    <w:qFormat/>
    <w:pPr>
      <w:keepLines/>
      <w:keepNext/>
      <w:spacing w:before="240" w:after="64" w:line="320" w:lineRule="auto"/>
      <w:outlineLvl w:val="7"/>
    </w:pPr>
    <w:rPr>
      <w:rFonts w:ascii="等线 Light" w:hAnsi="等线 Light" w:eastAsia="等线 Light"/>
      <w:sz w:val="24"/>
    </w:rPr>
  </w:style>
  <w:style w:type="paragraph" w:styleId="769">
    <w:name w:val="Heading 9"/>
    <w:basedOn w:val="760"/>
    <w:next w:val="760"/>
    <w:link w:val="875"/>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List 3"/>
    <w:basedOn w:val="760"/>
    <w:uiPriority w:val="0"/>
    <w:qFormat/>
    <w:pPr>
      <w:contextualSpacing/>
      <w:ind w:left="100" w:hanging="200"/>
      <w:jc w:val="left"/>
      <w:widowControl/>
    </w:pPr>
    <w:rPr>
      <w:sz w:val="20"/>
      <w:szCs w:val="20"/>
    </w:rPr>
  </w:style>
  <w:style w:type="paragraph" w:styleId="773">
    <w:name w:val="toc 7"/>
    <w:basedOn w:val="760"/>
    <w:next w:val="760"/>
    <w:uiPriority w:val="39"/>
    <w:unhideWhenUsed/>
    <w:qFormat/>
    <w:pPr>
      <w:ind w:left="1701"/>
      <w:spacing w:after="57"/>
    </w:pPr>
  </w:style>
  <w:style w:type="paragraph" w:styleId="774">
    <w:name w:val="Normal Indent"/>
    <w:basedOn w:val="760"/>
    <w:next w:val="760"/>
    <w:link w:val="999"/>
    <w:uiPriority w:val="99"/>
    <w:qFormat/>
    <w:pPr>
      <w:ind w:firstLine="420"/>
    </w:pPr>
    <w:rPr>
      <w:szCs w:val="20"/>
    </w:rPr>
  </w:style>
  <w:style w:type="paragraph" w:styleId="775">
    <w:name w:val="Caption"/>
    <w:basedOn w:val="760"/>
    <w:next w:val="76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76">
    <w:name w:val="Document Map"/>
    <w:basedOn w:val="760"/>
    <w:link w:val="1000"/>
    <w:uiPriority w:val="0"/>
    <w:qFormat/>
    <w:pPr>
      <w:shd w:val="clear" w:color="auto" w:fill="000080"/>
    </w:pPr>
  </w:style>
  <w:style w:type="paragraph" w:styleId="777">
    <w:name w:val="annotation text"/>
    <w:basedOn w:val="760"/>
    <w:link w:val="1001"/>
    <w:uiPriority w:val="0"/>
    <w:qFormat/>
    <w:pPr>
      <w:jc w:val="left"/>
    </w:pPr>
  </w:style>
  <w:style w:type="paragraph" w:styleId="778">
    <w:name w:val="Body Text"/>
    <w:basedOn w:val="760"/>
    <w:link w:val="1002"/>
    <w:uiPriority w:val="1"/>
    <w:qFormat/>
    <w:pPr>
      <w:spacing w:after="120"/>
    </w:pPr>
  </w:style>
  <w:style w:type="paragraph" w:styleId="779">
    <w:name w:val="Body Text Indent"/>
    <w:basedOn w:val="760"/>
    <w:next w:val="780"/>
    <w:uiPriority w:val="0"/>
    <w:qFormat/>
    <w:pPr>
      <w:ind w:left="420"/>
      <w:spacing w:after="120"/>
    </w:pPr>
  </w:style>
  <w:style w:type="paragraph" w:styleId="780">
    <w:name w:val="envelope return"/>
    <w:basedOn w:val="760"/>
    <w:uiPriority w:val="0"/>
    <w:qFormat/>
    <w:rPr>
      <w:rFonts w:ascii="Arial" w:hAnsi="Arial"/>
    </w:rPr>
  </w:style>
  <w:style w:type="paragraph" w:styleId="781">
    <w:name w:val="index 4"/>
    <w:basedOn w:val="760"/>
    <w:next w:val="760"/>
    <w:uiPriority w:val="99"/>
    <w:unhideWhenUsed/>
    <w:qFormat/>
    <w:pPr>
      <w:ind w:left="600"/>
    </w:pPr>
    <w:rPr>
      <w:rFonts w:ascii="宋体"/>
      <w:b/>
      <w:position w:val="-10"/>
      <w:sz w:val="24"/>
      <w:szCs w:val="20"/>
    </w:rPr>
  </w:style>
  <w:style w:type="paragraph" w:styleId="782">
    <w:name w:val="toc 5"/>
    <w:basedOn w:val="760"/>
    <w:next w:val="760"/>
    <w:uiPriority w:val="39"/>
    <w:unhideWhenUsed/>
    <w:qFormat/>
    <w:pPr>
      <w:ind w:left="1134"/>
      <w:spacing w:after="57"/>
    </w:pPr>
  </w:style>
  <w:style w:type="paragraph" w:styleId="783">
    <w:name w:val="toc 3"/>
    <w:basedOn w:val="760"/>
    <w:next w:val="760"/>
    <w:uiPriority w:val="39"/>
    <w:unhideWhenUsed/>
    <w:qFormat/>
    <w:pPr>
      <w:ind w:left="567"/>
      <w:spacing w:after="57"/>
    </w:pPr>
  </w:style>
  <w:style w:type="paragraph" w:styleId="784">
    <w:name w:val="Plain Text"/>
    <w:basedOn w:val="760"/>
    <w:link w:val="1005"/>
    <w:uiPriority w:val="0"/>
    <w:qFormat/>
    <w:rPr>
      <w:rFonts w:ascii="宋体" w:hAnsi="Courier New" w:cs="Courier New"/>
      <w:szCs w:val="21"/>
    </w:rPr>
  </w:style>
  <w:style w:type="paragraph" w:styleId="785">
    <w:name w:val="toc 8"/>
    <w:basedOn w:val="760"/>
    <w:next w:val="760"/>
    <w:uiPriority w:val="39"/>
    <w:unhideWhenUsed/>
    <w:qFormat/>
    <w:pPr>
      <w:ind w:left="1984"/>
      <w:spacing w:after="57"/>
    </w:pPr>
  </w:style>
  <w:style w:type="paragraph" w:styleId="786">
    <w:name w:val="Date"/>
    <w:basedOn w:val="760"/>
    <w:next w:val="760"/>
    <w:link w:val="1007"/>
    <w:uiPriority w:val="0"/>
    <w:qFormat/>
    <w:rPr>
      <w:sz w:val="24"/>
      <w:szCs w:val="20"/>
    </w:rPr>
  </w:style>
  <w:style w:type="paragraph" w:styleId="787">
    <w:name w:val="endnote text"/>
    <w:basedOn w:val="760"/>
    <w:link w:val="992"/>
    <w:uiPriority w:val="99"/>
    <w:semiHidden/>
    <w:unhideWhenUsed/>
    <w:qFormat/>
    <w:rPr>
      <w:sz w:val="20"/>
    </w:rPr>
  </w:style>
  <w:style w:type="paragraph" w:styleId="788">
    <w:name w:val="Balloon Text"/>
    <w:basedOn w:val="760"/>
    <w:link w:val="1008"/>
    <w:uiPriority w:val="0"/>
    <w:qFormat/>
    <w:rPr>
      <w:sz w:val="18"/>
      <w:szCs w:val="18"/>
    </w:rPr>
  </w:style>
  <w:style w:type="paragraph" w:styleId="789">
    <w:name w:val="Footer"/>
    <w:basedOn w:val="760"/>
    <w:link w:val="1009"/>
    <w:uiPriority w:val="99"/>
    <w:qFormat/>
    <w:pPr>
      <w:jc w:val="left"/>
      <w:tabs>
        <w:tab w:val="center" w:pos="4153" w:leader="none"/>
        <w:tab w:val="right" w:pos="8306" w:leader="none"/>
      </w:tabs>
    </w:pPr>
    <w:rPr>
      <w:sz w:val="18"/>
      <w:szCs w:val="18"/>
    </w:rPr>
  </w:style>
  <w:style w:type="paragraph" w:styleId="790">
    <w:name w:val="Header"/>
    <w:basedOn w:val="760"/>
    <w:link w:val="1010"/>
    <w:uiPriority w:val="99"/>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60"/>
    <w:next w:val="760"/>
    <w:uiPriority w:val="39"/>
    <w:unhideWhenUsed/>
    <w:qFormat/>
    <w:pPr>
      <w:spacing w:after="57"/>
    </w:pPr>
  </w:style>
  <w:style w:type="paragraph" w:styleId="792">
    <w:name w:val="toc 4"/>
    <w:basedOn w:val="760"/>
    <w:next w:val="760"/>
    <w:uiPriority w:val="39"/>
    <w:unhideWhenUsed/>
    <w:qFormat/>
    <w:pPr>
      <w:ind w:left="850"/>
      <w:spacing w:after="57"/>
    </w:pPr>
  </w:style>
  <w:style w:type="paragraph" w:styleId="793">
    <w:name w:val="Subtitle"/>
    <w:basedOn w:val="760"/>
    <w:next w:val="760"/>
    <w:link w:val="877"/>
    <w:uiPriority w:val="11"/>
    <w:qFormat/>
    <w:pPr>
      <w:spacing w:before="200" w:after="200"/>
    </w:pPr>
    <w:rPr>
      <w:sz w:val="24"/>
    </w:rPr>
  </w:style>
  <w:style w:type="paragraph" w:styleId="794">
    <w:name w:val="footnote text"/>
    <w:basedOn w:val="760"/>
    <w:link w:val="991"/>
    <w:uiPriority w:val="99"/>
    <w:semiHidden/>
    <w:unhideWhenUsed/>
    <w:qFormat/>
    <w:pPr>
      <w:spacing w:after="40"/>
    </w:pPr>
    <w:rPr>
      <w:sz w:val="18"/>
    </w:rPr>
  </w:style>
  <w:style w:type="paragraph" w:styleId="795">
    <w:name w:val="toc 6"/>
    <w:basedOn w:val="760"/>
    <w:next w:val="760"/>
    <w:uiPriority w:val="39"/>
    <w:unhideWhenUsed/>
    <w:qFormat/>
    <w:pPr>
      <w:ind w:left="1417"/>
      <w:spacing w:after="57"/>
    </w:pPr>
  </w:style>
  <w:style w:type="paragraph" w:styleId="796">
    <w:name w:val="table of figures"/>
    <w:basedOn w:val="760"/>
    <w:next w:val="760"/>
    <w:uiPriority w:val="99"/>
    <w:unhideWhenUsed/>
    <w:qFormat/>
  </w:style>
  <w:style w:type="paragraph" w:styleId="797">
    <w:name w:val="toc 2"/>
    <w:basedOn w:val="760"/>
    <w:next w:val="760"/>
    <w:uiPriority w:val="99"/>
    <w:semiHidden/>
    <w:qFormat/>
    <w:pPr>
      <w:ind w:left="420"/>
    </w:pPr>
    <w:rPr>
      <w:rFonts w:eastAsia="楷体_GB2312"/>
      <w:sz w:val="26"/>
      <w:szCs w:val="26"/>
    </w:rPr>
  </w:style>
  <w:style w:type="paragraph" w:styleId="798">
    <w:name w:val="toc 9"/>
    <w:basedOn w:val="760"/>
    <w:next w:val="760"/>
    <w:uiPriority w:val="39"/>
    <w:unhideWhenUsed/>
    <w:qFormat/>
    <w:pPr>
      <w:ind w:left="2268"/>
      <w:spacing w:after="57"/>
    </w:pPr>
  </w:style>
  <w:style w:type="paragraph" w:styleId="799">
    <w:name w:val="Body Text 2"/>
    <w:basedOn w:val="760"/>
    <w:link w:val="1016"/>
    <w:uiPriority w:val="0"/>
    <w:qFormat/>
    <w:pPr>
      <w:spacing w:after="120" w:line="480" w:lineRule="auto"/>
    </w:pPr>
    <w:rPr>
      <w:rFonts w:ascii="Calibri" w:hAnsi="Calibri"/>
    </w:rPr>
  </w:style>
  <w:style w:type="paragraph" w:styleId="800">
    <w:name w:val="Normal (Web)"/>
    <w:basedOn w:val="760"/>
    <w:uiPriority w:val="99"/>
    <w:qFormat/>
    <w:pPr>
      <w:jc w:val="left"/>
      <w:spacing w:before="100" w:beforeAutospacing="1" w:after="100" w:afterAutospacing="1"/>
      <w:widowControl/>
    </w:pPr>
    <w:rPr>
      <w:sz w:val="24"/>
    </w:rPr>
  </w:style>
  <w:style w:type="paragraph" w:styleId="801">
    <w:name w:val="Title"/>
    <w:basedOn w:val="760"/>
    <w:next w:val="760"/>
    <w:link w:val="1017"/>
    <w:uiPriority w:val="0"/>
    <w:qFormat/>
    <w:pPr>
      <w:jc w:val="center"/>
      <w:spacing w:before="240" w:after="60" w:line="360" w:lineRule="auto"/>
      <w:outlineLvl w:val="0"/>
    </w:pPr>
    <w:rPr>
      <w:rFonts w:ascii="等线 Light" w:hAnsi="等线 Light"/>
      <w:b/>
      <w:bCs/>
      <w:sz w:val="32"/>
      <w:szCs w:val="32"/>
    </w:rPr>
  </w:style>
  <w:style w:type="paragraph" w:styleId="802">
    <w:name w:val="annotation subject"/>
    <w:basedOn w:val="777"/>
    <w:next w:val="777"/>
    <w:link w:val="1018"/>
    <w:uiPriority w:val="0"/>
    <w:qFormat/>
    <w:rPr>
      <w:b/>
      <w:bCs/>
    </w:rPr>
  </w:style>
  <w:style w:type="paragraph" w:styleId="803">
    <w:name w:val="Body Text First Indent"/>
    <w:basedOn w:val="778"/>
    <w:uiPriority w:val="0"/>
    <w:qFormat/>
    <w:pPr>
      <w:ind w:firstLine="420"/>
      <w:spacing w:line="360" w:lineRule="auto"/>
    </w:pPr>
    <w:rPr>
      <w:szCs w:val="21"/>
    </w:rPr>
  </w:style>
  <w:style w:type="table" w:styleId="804">
    <w:name w:val="Table Grid"/>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bCs/>
    </w:rPr>
  </w:style>
  <w:style w:type="character" w:styleId="806">
    <w:name w:val="endnote reference"/>
    <w:basedOn w:val="770"/>
    <w:uiPriority w:val="99"/>
    <w:semiHidden/>
    <w:unhideWhenUsed/>
    <w:qFormat/>
    <w:rPr>
      <w:vertAlign w:val="superscript"/>
    </w:rPr>
  </w:style>
  <w:style w:type="character" w:styleId="807">
    <w:name w:val="page number"/>
    <w:uiPriority w:val="0"/>
    <w:qFormat/>
  </w:style>
  <w:style w:type="character" w:styleId="808">
    <w:name w:val="Emphasis"/>
    <w:uiPriority w:val="0"/>
    <w:qFormat/>
    <w:rPr>
      <w:i/>
      <w:iCs/>
    </w:rPr>
  </w:style>
  <w:style w:type="character" w:styleId="809">
    <w:name w:val="Hyperlink"/>
    <w:uiPriority w:val="99"/>
    <w:qFormat/>
    <w:rPr>
      <w:color w:val="auto"/>
      <w:u w:val="none"/>
    </w:rPr>
  </w:style>
  <w:style w:type="character" w:styleId="810">
    <w:name w:val="annotation reference"/>
    <w:basedOn w:val="770"/>
    <w:uiPriority w:val="0"/>
    <w:qFormat/>
    <w:rPr>
      <w:sz w:val="21"/>
      <w:szCs w:val="21"/>
    </w:rPr>
  </w:style>
  <w:style w:type="character" w:styleId="811">
    <w:name w:val="footnote reference"/>
    <w:basedOn w:val="770"/>
    <w:uiPriority w:val="99"/>
    <w:unhideWhenUsed/>
    <w:qFormat/>
    <w:rPr>
      <w:vertAlign w:val="superscript"/>
    </w:rPr>
  </w:style>
  <w:style w:type="character" w:styleId="812" w:customStyle="1">
    <w:name w:val="标题 3 字符"/>
    <w:link w:val="763"/>
    <w:uiPriority w:val="9"/>
    <w:qFormat/>
    <w:rPr>
      <w:rFonts w:eastAsia="宋体"/>
      <w:b/>
      <w:bCs/>
      <w:sz w:val="32"/>
      <w:szCs w:val="32"/>
      <w:lang w:val="en-US" w:eastAsia="zh-CN" w:bidi="ar-SA"/>
    </w:rPr>
  </w:style>
  <w:style w:type="character" w:styleId="813" w:customStyle="1">
    <w:name w:val="标题 2 字符"/>
    <w:link w:val="762"/>
    <w:uiPriority w:val="0"/>
    <w:semiHidden/>
    <w:qFormat/>
    <w:rPr>
      <w:rFonts w:ascii="等线 Light" w:hAnsi="等线 Light" w:eastAsia="等线 Light" w:cs="Times New Roman"/>
      <w:b/>
      <w:bCs/>
      <w:sz w:val="32"/>
      <w:szCs w:val="32"/>
    </w:rPr>
  </w:style>
  <w:style w:type="table" w:styleId="814"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35" w:customStyle="1">
    <w:name w:val="Heading 5 Char"/>
    <w:basedOn w:val="770"/>
    <w:uiPriority w:val="9"/>
    <w:qFormat/>
    <w:rPr>
      <w:rFonts w:ascii="Arial" w:hAnsi="Arial" w:eastAsia="Arial" w:cs="Arial"/>
      <w:b/>
      <w:bCs/>
      <w:sz w:val="24"/>
      <w:szCs w:val="24"/>
    </w:rPr>
  </w:style>
  <w:style w:type="character" w:styleId="836" w:customStyle="1">
    <w:name w:val="Heading 7 Char"/>
    <w:basedOn w:val="770"/>
    <w:uiPriority w:val="9"/>
    <w:qFormat/>
    <w:rPr>
      <w:rFonts w:ascii="Arial" w:hAnsi="Arial" w:eastAsia="Arial" w:cs="Arial"/>
      <w:b/>
      <w:bCs/>
      <w:i/>
      <w:iCs/>
      <w:sz w:val="22"/>
      <w:szCs w:val="22"/>
    </w:rPr>
  </w:style>
  <w:style w:type="character" w:styleId="837" w:customStyle="1">
    <w:name w:val="Heading 9 Char"/>
    <w:basedOn w:val="770"/>
    <w:uiPriority w:val="9"/>
    <w:qFormat/>
    <w:rPr>
      <w:rFonts w:ascii="Arial" w:hAnsi="Arial" w:eastAsia="Arial" w:cs="Arial"/>
      <w:i/>
      <w:iCs/>
      <w:sz w:val="21"/>
      <w:szCs w:val="21"/>
    </w:rPr>
  </w:style>
  <w:style w:type="character" w:styleId="838" w:customStyle="1">
    <w:name w:val="Subtitle Char"/>
    <w:basedOn w:val="770"/>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table" w:styleId="841"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标题1"/>
    <w:uiPriority w:val="39"/>
    <w:unhideWhenUsed/>
    <w:qFormat/>
    <w:rPr>
      <w:rFonts w:hint="default" w:ascii="Times New Roman" w:hAnsi="Times New Roman" w:eastAsia="宋体" w:cs="Times New Roman"/>
      <w:lang w:val="en-US" w:eastAsia="zh-CN" w:bidi="ar-SA"/>
    </w:rPr>
  </w:style>
  <w:style w:type="character" w:styleId="863" w:customStyle="1">
    <w:name w:val="标题 4 字符"/>
    <w:link w:val="764"/>
    <w:uiPriority w:val="0"/>
    <w:semiHidden/>
    <w:qFormat/>
    <w:rPr>
      <w:rFonts w:ascii="等线 Light" w:hAnsi="等线 Light" w:eastAsia="等线 Light" w:cs="Times New Roman"/>
      <w:b/>
      <w:bCs/>
      <w:sz w:val="28"/>
      <w:szCs w:val="28"/>
    </w:rPr>
  </w:style>
  <w:style w:type="paragraph" w:styleId="864" w:customStyle="1">
    <w:name w:val="首行缩进"/>
    <w:basedOn w:val="760"/>
    <w:uiPriority w:val="0"/>
    <w:qFormat/>
    <w:pPr>
      <w:spacing w:line="360" w:lineRule="auto"/>
    </w:pPr>
  </w:style>
  <w:style w:type="paragraph" w:styleId="865" w:customStyle="1">
    <w:name w:val="正文文本1"/>
    <w:basedOn w:val="866"/>
    <w:uiPriority w:val="0"/>
    <w:qFormat/>
    <w:pPr>
      <w:spacing w:after="120"/>
    </w:pPr>
    <w:rPr>
      <w:sz w:val="28"/>
    </w:rPr>
  </w:style>
  <w:style w:type="paragraph" w:styleId="866" w:customStyle="1">
    <w:name w:val="正文1"/>
    <w:next w:val="865"/>
    <w:uiPriority w:val="0"/>
    <w:qFormat/>
    <w:pPr>
      <w:jc w:val="both"/>
      <w:widowControl w:val="off"/>
    </w:pPr>
    <w:rPr>
      <w:rFonts w:hint="default" w:ascii="Calibri" w:hAnsi="Calibri" w:eastAsia="宋体" w:cs="Times New Roman"/>
      <w:sz w:val="21"/>
      <w:szCs w:val="22"/>
      <w:lang w:val="en-US" w:eastAsia="zh-CN" w:bidi="ar-SA"/>
    </w:rPr>
  </w:style>
  <w:style w:type="character" w:styleId="867" w:customStyle="1">
    <w:name w:val="Heading 1 Char"/>
    <w:basedOn w:val="770"/>
    <w:uiPriority w:val="9"/>
    <w:qFormat/>
    <w:rPr>
      <w:rFonts w:ascii="Arial" w:hAnsi="Arial" w:eastAsia="Arial" w:cs="Arial"/>
      <w:sz w:val="40"/>
      <w:szCs w:val="40"/>
    </w:rPr>
  </w:style>
  <w:style w:type="character" w:styleId="868" w:customStyle="1">
    <w:name w:val="Heading 2 Char"/>
    <w:basedOn w:val="770"/>
    <w:uiPriority w:val="9"/>
    <w:qFormat/>
    <w:rPr>
      <w:rFonts w:ascii="Arial" w:hAnsi="Arial" w:eastAsia="Arial" w:cs="Arial"/>
      <w:sz w:val="34"/>
    </w:rPr>
  </w:style>
  <w:style w:type="character" w:styleId="869" w:customStyle="1">
    <w:name w:val="Heading 3 Char"/>
    <w:basedOn w:val="770"/>
    <w:uiPriority w:val="9"/>
    <w:qFormat/>
    <w:rPr>
      <w:rFonts w:ascii="Arial" w:hAnsi="Arial" w:eastAsia="Arial" w:cs="Arial"/>
      <w:sz w:val="30"/>
      <w:szCs w:val="30"/>
    </w:rPr>
  </w:style>
  <w:style w:type="character" w:styleId="870" w:customStyle="1">
    <w:name w:val="Heading 4 Char"/>
    <w:basedOn w:val="770"/>
    <w:uiPriority w:val="9"/>
    <w:qFormat/>
    <w:rPr>
      <w:rFonts w:ascii="Arial" w:hAnsi="Arial" w:eastAsia="Arial" w:cs="Arial"/>
      <w:b/>
      <w:bCs/>
      <w:sz w:val="26"/>
      <w:szCs w:val="26"/>
    </w:rPr>
  </w:style>
  <w:style w:type="character" w:styleId="871" w:customStyle="1">
    <w:name w:val="标题 5 字符"/>
    <w:basedOn w:val="770"/>
    <w:link w:val="765"/>
    <w:uiPriority w:val="9"/>
    <w:qFormat/>
    <w:rPr>
      <w:rFonts w:ascii="Arial" w:hAnsi="Arial" w:eastAsia="Arial" w:cs="Arial"/>
      <w:b/>
      <w:bCs/>
      <w:sz w:val="24"/>
      <w:szCs w:val="24"/>
    </w:rPr>
  </w:style>
  <w:style w:type="character" w:styleId="872" w:customStyle="1">
    <w:name w:val="Heading 6 Char"/>
    <w:basedOn w:val="770"/>
    <w:uiPriority w:val="9"/>
    <w:qFormat/>
    <w:rPr>
      <w:rFonts w:ascii="Arial" w:hAnsi="Arial" w:eastAsia="Arial" w:cs="Arial"/>
      <w:b/>
      <w:bCs/>
      <w:sz w:val="22"/>
      <w:szCs w:val="22"/>
    </w:rPr>
  </w:style>
  <w:style w:type="character" w:styleId="873" w:customStyle="1">
    <w:name w:val="标题 7 字符"/>
    <w:basedOn w:val="770"/>
    <w:link w:val="767"/>
    <w:uiPriority w:val="9"/>
    <w:qFormat/>
    <w:rPr>
      <w:rFonts w:ascii="Arial" w:hAnsi="Arial" w:eastAsia="Arial" w:cs="Arial"/>
      <w:b/>
      <w:bCs/>
      <w:i/>
      <w:iCs/>
      <w:sz w:val="22"/>
      <w:szCs w:val="22"/>
    </w:rPr>
  </w:style>
  <w:style w:type="character" w:styleId="874" w:customStyle="1">
    <w:name w:val="Heading 8 Char"/>
    <w:basedOn w:val="770"/>
    <w:uiPriority w:val="9"/>
    <w:qFormat/>
    <w:rPr>
      <w:rFonts w:ascii="Arial" w:hAnsi="Arial" w:eastAsia="Arial" w:cs="Arial"/>
      <w:i/>
      <w:iCs/>
      <w:sz w:val="22"/>
      <w:szCs w:val="22"/>
    </w:rPr>
  </w:style>
  <w:style w:type="character" w:styleId="875" w:customStyle="1">
    <w:name w:val="标题 9 字符"/>
    <w:basedOn w:val="770"/>
    <w:link w:val="769"/>
    <w:uiPriority w:val="9"/>
    <w:qFormat/>
    <w:rPr>
      <w:rFonts w:ascii="Arial" w:hAnsi="Arial" w:eastAsia="Arial" w:cs="Arial"/>
      <w:i/>
      <w:iCs/>
      <w:sz w:val="21"/>
      <w:szCs w:val="21"/>
    </w:rPr>
  </w:style>
  <w:style w:type="character" w:styleId="876" w:customStyle="1">
    <w:name w:val="Title Char"/>
    <w:basedOn w:val="770"/>
    <w:uiPriority w:val="10"/>
    <w:qFormat/>
    <w:rPr>
      <w:sz w:val="48"/>
      <w:szCs w:val="48"/>
    </w:rPr>
  </w:style>
  <w:style w:type="character" w:styleId="877" w:customStyle="1">
    <w:name w:val="副标题 字符"/>
    <w:basedOn w:val="770"/>
    <w:link w:val="793"/>
    <w:uiPriority w:val="11"/>
    <w:qFormat/>
    <w:rPr>
      <w:sz w:val="24"/>
      <w:szCs w:val="24"/>
    </w:rPr>
  </w:style>
  <w:style w:type="paragraph" w:styleId="878">
    <w:name w:val="Quote"/>
    <w:basedOn w:val="760"/>
    <w:next w:val="760"/>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60"/>
    <w:next w:val="760"/>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Header Char"/>
    <w:basedOn w:val="770"/>
    <w:uiPriority w:val="99"/>
    <w:qFormat/>
  </w:style>
  <w:style w:type="character" w:styleId="883" w:customStyle="1">
    <w:name w:val="Footer Char"/>
    <w:basedOn w:val="770"/>
    <w:uiPriority w:val="99"/>
    <w:qFormat/>
  </w:style>
  <w:style w:type="character" w:styleId="884" w:customStyle="1">
    <w:name w:val="Caption Char"/>
    <w:uiPriority w:val="99"/>
    <w:qFormat/>
  </w:style>
  <w:style w:type="table" w:styleId="885"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6" w:customStyle="1">
    <w:name w:val="Grid Table 1 Light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Grid Table 3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 Accent 1"/>
    <w:basedOn w:val="7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5"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6"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7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8" w:customStyle="1">
    <w:name w:val="Grid Table 4 - Accent 5"/>
    <w:basedOn w:val="7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9"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1"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5"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 Accent 1"/>
    <w:basedOn w:val="7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9" w:customStyle="1">
    <w:name w:val="Grid Table 6 Colorful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7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1"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2" w:customStyle="1">
    <w:name w:val="Grid Table 7 Colorful - Accent 1"/>
    <w:basedOn w:val="7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7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7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7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 Accent 1"/>
    <w:basedOn w:val="77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7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7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List Table 2 - Accent 1"/>
    <w:basedOn w:val="7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5"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7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9"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List Table 3 - Accent 1"/>
    <w:basedOn w:val="7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1" w:customStyle="1">
    <w:name w:val="List Table 3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6" w:customStyle="1">
    <w:name w:val="List Table 4 - Accent 1"/>
    <w:basedOn w:val="7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7"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8"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9" w:customStyle="1">
    <w:name w:val="List Table 4 - Accent 4"/>
    <w:basedOn w:val="7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0" w:customStyle="1">
    <w:name w:val="List Table 4 - Accent 5"/>
    <w:basedOn w:val="7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1"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2" w:customStyle="1">
    <w:name w:val="List Table 5 Dark - Accent 1"/>
    <w:basedOn w:val="7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 Accent 1"/>
    <w:basedOn w:val="77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7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 Accent 1"/>
    <w:basedOn w:val="77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7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7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7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7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7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2"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6"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9"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7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3" w:customStyle="1">
    <w:name w:val="Bordered &amp; Lined - Accent 6"/>
    <w:basedOn w:val="7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6"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0"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脚注文本 字符"/>
    <w:link w:val="794"/>
    <w:uiPriority w:val="99"/>
    <w:qFormat/>
    <w:rPr>
      <w:sz w:val="18"/>
    </w:rPr>
  </w:style>
  <w:style w:type="character" w:styleId="992" w:customStyle="1">
    <w:name w:val="尾注文本 字符"/>
    <w:link w:val="787"/>
    <w:uiPriority w:val="99"/>
    <w:qFormat/>
    <w:rPr>
      <w:sz w:val="20"/>
    </w:rPr>
  </w:style>
  <w:style w:type="paragraph" w:styleId="993" w:customStyle="1">
    <w:name w:val="TOC 标题111"/>
    <w:uiPriority w:val="39"/>
    <w:unhideWhenUsed/>
    <w:qFormat/>
    <w:rPr>
      <w:rFonts w:hint="default" w:ascii="Times New Roman" w:hAnsi="Times New Roman" w:eastAsia="宋体" w:cs="Times New Roman"/>
      <w:lang w:val="en-US" w:eastAsia="zh-CN" w:bidi="ar-SA"/>
    </w:rPr>
  </w:style>
  <w:style w:type="paragraph" w:styleId="994" w:customStyle="1">
    <w:name w:val="正文文本11"/>
    <w:basedOn w:val="760"/>
    <w:uiPriority w:val="99"/>
    <w:qFormat/>
    <w:rPr>
      <w:rFonts w:ascii="楷体_GB2312" w:hAnsi="宋体" w:eastAsia="楷体_GB2312"/>
      <w:sz w:val="28"/>
      <w:szCs w:val="28"/>
    </w:rPr>
  </w:style>
  <w:style w:type="character" w:styleId="995" w:customStyle="1">
    <w:name w:val="标题 1 字符"/>
    <w:link w:val="761"/>
    <w:uiPriority w:val="0"/>
    <w:qFormat/>
    <w:rPr>
      <w:b/>
      <w:bCs/>
      <w:sz w:val="21"/>
      <w:szCs w:val="44"/>
    </w:rPr>
  </w:style>
  <w:style w:type="character" w:styleId="996" w:customStyle="1">
    <w:name w:val="标题 6 字符"/>
    <w:link w:val="766"/>
    <w:uiPriority w:val="0"/>
    <w:qFormat/>
    <w:rPr>
      <w:rFonts w:ascii="等线 Light" w:hAnsi="等线 Light" w:eastAsia="等线 Light" w:cs="Times New Roman"/>
      <w:b/>
      <w:bCs/>
      <w:sz w:val="24"/>
      <w:szCs w:val="24"/>
    </w:rPr>
  </w:style>
  <w:style w:type="character" w:styleId="997" w:customStyle="1">
    <w:name w:val="标题 8 字符"/>
    <w:link w:val="768"/>
    <w:uiPriority w:val="0"/>
    <w:semiHidden/>
    <w:qFormat/>
    <w:rPr>
      <w:rFonts w:ascii="等线 Light" w:hAnsi="等线 Light" w:eastAsia="等线 Light" w:cs="Times New Roman"/>
      <w:sz w:val="24"/>
      <w:szCs w:val="24"/>
    </w:rPr>
  </w:style>
  <w:style w:type="paragraph" w:styleId="998" w:customStyle="1">
    <w:name w:val="目录 71"/>
    <w:basedOn w:val="760"/>
    <w:next w:val="760"/>
    <w:uiPriority w:val="39"/>
    <w:unhideWhenUsed/>
    <w:qFormat/>
    <w:pPr>
      <w:ind w:left="2520"/>
    </w:pPr>
    <w:rPr>
      <w:rFonts w:ascii="等线" w:hAnsi="等线" w:eastAsia="等线"/>
      <w:szCs w:val="22"/>
    </w:rPr>
  </w:style>
  <w:style w:type="character" w:styleId="999" w:customStyle="1">
    <w:name w:val="正文缩进 字符"/>
    <w:link w:val="774"/>
    <w:uiPriority w:val="0"/>
    <w:qFormat/>
    <w:rPr>
      <w:sz w:val="21"/>
    </w:rPr>
  </w:style>
  <w:style w:type="character" w:styleId="1000" w:customStyle="1">
    <w:name w:val="文档结构图 字符"/>
    <w:link w:val="776"/>
    <w:uiPriority w:val="0"/>
    <w:qFormat/>
    <w:rPr>
      <w:sz w:val="21"/>
      <w:szCs w:val="24"/>
      <w:shd w:val="clear" w:color="auto" w:fill="000080"/>
    </w:rPr>
  </w:style>
  <w:style w:type="character" w:styleId="1001" w:customStyle="1">
    <w:name w:val="批注文字 字符"/>
    <w:link w:val="777"/>
    <w:uiPriority w:val="0"/>
    <w:qFormat/>
    <w:rPr>
      <w:sz w:val="21"/>
      <w:szCs w:val="24"/>
    </w:rPr>
  </w:style>
  <w:style w:type="character" w:styleId="1002" w:customStyle="1">
    <w:name w:val="正文文本 字符"/>
    <w:link w:val="778"/>
    <w:uiPriority w:val="1"/>
    <w:qFormat/>
    <w:rPr>
      <w:sz w:val="21"/>
      <w:szCs w:val="24"/>
    </w:rPr>
  </w:style>
  <w:style w:type="paragraph" w:styleId="1003" w:customStyle="1">
    <w:name w:val="目录 51"/>
    <w:basedOn w:val="760"/>
    <w:next w:val="760"/>
    <w:uiPriority w:val="39"/>
    <w:unhideWhenUsed/>
    <w:qFormat/>
    <w:pPr>
      <w:ind w:left="1680"/>
    </w:pPr>
    <w:rPr>
      <w:rFonts w:ascii="等线" w:hAnsi="等线" w:eastAsia="等线"/>
      <w:szCs w:val="22"/>
    </w:rPr>
  </w:style>
  <w:style w:type="paragraph" w:styleId="1004" w:customStyle="1">
    <w:name w:val="目录 31"/>
    <w:basedOn w:val="760"/>
    <w:next w:val="760"/>
    <w:uiPriority w:val="39"/>
    <w:unhideWhenUsed/>
    <w:qFormat/>
    <w:pPr>
      <w:ind w:left="440"/>
      <w:jc w:val="left"/>
      <w:spacing w:after="100" w:line="259" w:lineRule="auto"/>
      <w:widowControl/>
    </w:pPr>
    <w:rPr>
      <w:rFonts w:ascii="等线" w:hAnsi="等线" w:eastAsia="等线"/>
      <w:sz w:val="22"/>
      <w:szCs w:val="22"/>
    </w:rPr>
  </w:style>
  <w:style w:type="character" w:styleId="1005" w:customStyle="1">
    <w:name w:val="纯文本 字符"/>
    <w:link w:val="784"/>
    <w:uiPriority w:val="0"/>
    <w:qFormat/>
    <w:rPr>
      <w:rFonts w:ascii="宋体" w:hAnsi="Courier New" w:cs="Courier New"/>
      <w:sz w:val="21"/>
      <w:szCs w:val="21"/>
    </w:rPr>
  </w:style>
  <w:style w:type="paragraph" w:styleId="1006" w:customStyle="1">
    <w:name w:val="目录 81"/>
    <w:basedOn w:val="760"/>
    <w:next w:val="760"/>
    <w:uiPriority w:val="39"/>
    <w:unhideWhenUsed/>
    <w:qFormat/>
    <w:pPr>
      <w:ind w:left="2940"/>
    </w:pPr>
    <w:rPr>
      <w:rFonts w:ascii="等线" w:hAnsi="等线" w:eastAsia="等线"/>
      <w:szCs w:val="22"/>
    </w:rPr>
  </w:style>
  <w:style w:type="character" w:styleId="1007" w:customStyle="1">
    <w:name w:val="日期 字符"/>
    <w:link w:val="786"/>
    <w:uiPriority w:val="0"/>
    <w:qFormat/>
    <w:rPr>
      <w:sz w:val="24"/>
    </w:rPr>
  </w:style>
  <w:style w:type="character" w:styleId="1008" w:customStyle="1">
    <w:name w:val="批注框文本 字符"/>
    <w:link w:val="788"/>
    <w:uiPriority w:val="0"/>
    <w:qFormat/>
    <w:rPr>
      <w:sz w:val="18"/>
      <w:szCs w:val="18"/>
    </w:rPr>
  </w:style>
  <w:style w:type="character" w:styleId="1009" w:customStyle="1">
    <w:name w:val="页脚 字符"/>
    <w:link w:val="789"/>
    <w:uiPriority w:val="99"/>
    <w:qFormat/>
    <w:rPr>
      <w:sz w:val="18"/>
      <w:szCs w:val="18"/>
    </w:rPr>
  </w:style>
  <w:style w:type="character" w:styleId="1010" w:customStyle="1">
    <w:name w:val="页眉 字符"/>
    <w:link w:val="790"/>
    <w:uiPriority w:val="99"/>
    <w:qFormat/>
    <w:rPr>
      <w:sz w:val="18"/>
      <w:szCs w:val="18"/>
    </w:rPr>
  </w:style>
  <w:style w:type="paragraph" w:styleId="1011" w:customStyle="1">
    <w:name w:val="目录 11"/>
    <w:basedOn w:val="760"/>
    <w:next w:val="760"/>
    <w:uiPriority w:val="39"/>
    <w:qFormat/>
    <w:rPr>
      <w:rFonts w:ascii="仿宋_GB2312" w:eastAsia="仿宋_GB2312"/>
      <w:sz w:val="24"/>
    </w:rPr>
  </w:style>
  <w:style w:type="paragraph" w:styleId="1012" w:customStyle="1">
    <w:name w:val="目录 41"/>
    <w:basedOn w:val="760"/>
    <w:next w:val="760"/>
    <w:uiPriority w:val="39"/>
    <w:unhideWhenUsed/>
    <w:qFormat/>
    <w:pPr>
      <w:ind w:left="1260"/>
    </w:pPr>
    <w:rPr>
      <w:rFonts w:ascii="等线" w:hAnsi="等线" w:eastAsia="等线"/>
      <w:szCs w:val="22"/>
    </w:rPr>
  </w:style>
  <w:style w:type="paragraph" w:styleId="1013" w:customStyle="1">
    <w:name w:val="目录 61"/>
    <w:basedOn w:val="760"/>
    <w:next w:val="760"/>
    <w:uiPriority w:val="39"/>
    <w:unhideWhenUsed/>
    <w:qFormat/>
    <w:pPr>
      <w:ind w:left="2100"/>
    </w:pPr>
    <w:rPr>
      <w:rFonts w:ascii="等线" w:hAnsi="等线" w:eastAsia="等线"/>
      <w:szCs w:val="22"/>
    </w:rPr>
  </w:style>
  <w:style w:type="paragraph" w:styleId="1014" w:customStyle="1">
    <w:name w:val="目录 21"/>
    <w:basedOn w:val="760"/>
    <w:next w:val="760"/>
    <w:uiPriority w:val="39"/>
    <w:unhideWhenUsed/>
    <w:qFormat/>
    <w:pPr>
      <w:ind w:left="220"/>
      <w:jc w:val="left"/>
      <w:spacing w:after="100" w:line="259" w:lineRule="auto"/>
      <w:widowControl/>
    </w:pPr>
    <w:rPr>
      <w:rFonts w:ascii="等线" w:hAnsi="等线" w:eastAsia="等线"/>
      <w:sz w:val="22"/>
      <w:szCs w:val="22"/>
    </w:rPr>
  </w:style>
  <w:style w:type="paragraph" w:styleId="1015" w:customStyle="1">
    <w:name w:val="目录 91"/>
    <w:basedOn w:val="760"/>
    <w:next w:val="760"/>
    <w:uiPriority w:val="39"/>
    <w:unhideWhenUsed/>
    <w:qFormat/>
    <w:pPr>
      <w:ind w:left="3360"/>
    </w:pPr>
    <w:rPr>
      <w:rFonts w:ascii="等线" w:hAnsi="等线" w:eastAsia="等线"/>
      <w:szCs w:val="22"/>
    </w:rPr>
  </w:style>
  <w:style w:type="character" w:styleId="1016" w:customStyle="1">
    <w:name w:val="正文文本 2 字符"/>
    <w:link w:val="799"/>
    <w:uiPriority w:val="0"/>
    <w:qFormat/>
    <w:rPr>
      <w:rFonts w:ascii="Calibri" w:hAnsi="Calibri"/>
      <w:sz w:val="21"/>
      <w:szCs w:val="24"/>
    </w:rPr>
  </w:style>
  <w:style w:type="character" w:styleId="1017" w:customStyle="1">
    <w:name w:val="标题 字符"/>
    <w:link w:val="801"/>
    <w:uiPriority w:val="0"/>
    <w:qFormat/>
    <w:rPr>
      <w:rFonts w:ascii="等线 Light" w:hAnsi="等线 Light" w:eastAsia="宋体" w:cs="Times New Roman"/>
      <w:b/>
      <w:bCs/>
      <w:sz w:val="32"/>
      <w:szCs w:val="32"/>
    </w:rPr>
  </w:style>
  <w:style w:type="character" w:styleId="1018" w:customStyle="1">
    <w:name w:val="批注主题 字符"/>
    <w:link w:val="802"/>
    <w:uiPriority w:val="0"/>
    <w:qFormat/>
    <w:rPr>
      <w:b/>
      <w:bCs/>
      <w:sz w:val="21"/>
      <w:szCs w:val="24"/>
    </w:rPr>
  </w:style>
  <w:style w:type="character" w:styleId="1019" w:customStyle="1">
    <w:name w:val="p0 Char"/>
    <w:link w:val="1020"/>
    <w:uiPriority w:val="0"/>
    <w:qFormat/>
    <w:rPr>
      <w:rFonts w:eastAsia="宋体"/>
      <w:sz w:val="21"/>
      <w:szCs w:val="21"/>
      <w:lang w:val="en-US" w:eastAsia="zh-CN" w:bidi="ar-SA"/>
    </w:rPr>
  </w:style>
  <w:style w:type="paragraph" w:styleId="1020" w:customStyle="1">
    <w:name w:val="p0"/>
    <w:basedOn w:val="760"/>
    <w:link w:val="1019"/>
    <w:uiPriority w:val="0"/>
    <w:qFormat/>
    <w:pPr>
      <w:widowControl/>
    </w:pPr>
    <w:rPr>
      <w:szCs w:val="21"/>
    </w:rPr>
  </w:style>
  <w:style w:type="character" w:styleId="1021" w:customStyle="1">
    <w:name w:val="标题 2 Char Char Char"/>
    <w:uiPriority w:val="0"/>
    <w:qFormat/>
    <w:rPr>
      <w:rFonts w:ascii="Arial" w:hAnsi="Arial" w:eastAsia="黑体"/>
      <w:b/>
      <w:bCs/>
      <w:sz w:val="32"/>
      <w:szCs w:val="32"/>
      <w:lang w:val="en-US" w:eastAsia="zh-CN" w:bidi="ar-SA"/>
    </w:rPr>
  </w:style>
  <w:style w:type="character" w:styleId="1022" w:customStyle="1">
    <w:name w:val="NormalCharacter"/>
    <w:uiPriority w:val="0"/>
    <w:semiHidden/>
    <w:qFormat/>
  </w:style>
  <w:style w:type="paragraph" w:styleId="1023" w:customStyle="1">
    <w:name w:val="标题 21"/>
    <w:basedOn w:val="760"/>
    <w:next w:val="760"/>
    <w:uiPriority w:val="0"/>
    <w:qFormat/>
    <w:pPr>
      <w:jc w:val="center"/>
      <w:keepNext/>
      <w:widowControl/>
    </w:pPr>
    <w:rPr>
      <w:rFonts w:ascii="楷体_GB2312" w:eastAsia="楷体_GB2312"/>
      <w:sz w:val="18"/>
      <w:szCs w:val="20"/>
    </w:rPr>
  </w:style>
  <w:style w:type="paragraph" w:styleId="1024" w:customStyle="1">
    <w:name w:val="TOC 标题11"/>
    <w:basedOn w:val="761"/>
    <w:next w:val="76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样式1"/>
    <w:basedOn w:val="761"/>
    <w:link w:val="1027"/>
    <w:uiPriority w:val="0"/>
    <w:qFormat/>
    <w:pPr>
      <w:ind w:left="210" w:right="210"/>
    </w:pPr>
  </w:style>
  <w:style w:type="character" w:styleId="1027" w:customStyle="1">
    <w:name w:val="样式1 字符"/>
    <w:link w:val="1026"/>
    <w:uiPriority w:val="0"/>
    <w:qFormat/>
  </w:style>
  <w:style w:type="paragraph" w:styleId="1028" w:customStyle="1">
    <w:name w:val="标题 211"/>
    <w:basedOn w:val="7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9" w:customStyle="1">
    <w:name w:val="列出段落1"/>
    <w:basedOn w:val="760"/>
    <w:uiPriority w:val="1"/>
    <w:qFormat/>
    <w:pPr>
      <w:ind w:left="400" w:firstLine="420"/>
      <w:jc w:val="left"/>
    </w:pPr>
    <w:rPr>
      <w:rFonts w:ascii="宋体" w:hAnsi="宋体" w:cs="宋体"/>
      <w:sz w:val="22"/>
      <w:szCs w:val="22"/>
      <w:lang w:val="zh-CN" w:bidi="zh-CN"/>
    </w:rPr>
  </w:style>
  <w:style w:type="paragraph" w:styleId="1030" w:customStyle="1">
    <w:name w:val="Table Paragraph"/>
    <w:basedOn w:val="760"/>
    <w:uiPriority w:val="1"/>
    <w:qFormat/>
    <w:pPr>
      <w:jc w:val="left"/>
    </w:pPr>
    <w:rPr>
      <w:rFonts w:ascii="宋体" w:hAnsi="宋体" w:cs="宋体"/>
      <w:sz w:val="22"/>
      <w:szCs w:val="22"/>
      <w:lang w:val="zh-CN" w:bidi="zh-CN"/>
    </w:rPr>
  </w:style>
  <w:style w:type="character" w:styleId="1031" w:customStyle="1">
    <w:name w:val="ask-title2"/>
    <w:uiPriority w:val="0"/>
    <w:qFormat/>
  </w:style>
  <w:style w:type="paragraph" w:styleId="1032" w:customStyle="1">
    <w:name w:val="列出段落2"/>
    <w:basedOn w:val="760"/>
    <w:uiPriority w:val="99"/>
    <w:unhideWhenUsed/>
    <w:qFormat/>
    <w:pPr>
      <w:ind w:firstLine="420"/>
      <w:jc w:val="left"/>
    </w:pPr>
    <w:rPr>
      <w:rFonts w:ascii="宋体"/>
      <w:sz w:val="20"/>
      <w:szCs w:val="20"/>
    </w:rPr>
  </w:style>
  <w:style w:type="paragraph" w:styleId="1033" w:customStyle="1">
    <w:name w:val="纯文本1"/>
    <w:basedOn w:val="760"/>
    <w:uiPriority w:val="0"/>
    <w:qFormat/>
    <w:rPr>
      <w:rFonts w:ascii="宋体" w:hAnsi="Courier New"/>
      <w:sz w:val="20"/>
      <w:szCs w:val="21"/>
    </w:rPr>
  </w:style>
  <w:style w:type="character" w:styleId="1034" w:customStyle="1">
    <w:name w:val="纯文本 Char2"/>
    <w:uiPriority w:val="0"/>
    <w:qFormat/>
    <w:rPr>
      <w:rFonts w:ascii="宋体" w:hAnsi="Courier New"/>
      <w:sz w:val="21"/>
    </w:rPr>
  </w:style>
  <w:style w:type="paragraph" w:styleId="1035" w:customStyle="1">
    <w:name w:val="列出段落11"/>
    <w:basedOn w:val="760"/>
    <w:uiPriority w:val="0"/>
    <w:qFormat/>
    <w:pPr>
      <w:ind w:firstLine="420"/>
      <w:spacing w:line="0" w:lineRule="atLeast"/>
    </w:pPr>
    <w:rPr>
      <w:rFonts w:eastAsia="微软雅黑"/>
      <w:sz w:val="20"/>
      <w:szCs w:val="20"/>
    </w:rPr>
  </w:style>
  <w:style w:type="character" w:styleId="1036" w:customStyle="1">
    <w:name w:val="纯文本 Char"/>
    <w:link w:val="1037"/>
    <w:uiPriority w:val="0"/>
    <w:qFormat/>
    <w:rPr>
      <w:rFonts w:ascii="宋体" w:hAnsi="Courier New"/>
    </w:rPr>
  </w:style>
  <w:style w:type="paragraph" w:styleId="1037" w:customStyle="1">
    <w:name w:val="纯文本2"/>
    <w:basedOn w:val="760"/>
    <w:link w:val="1036"/>
    <w:uiPriority w:val="0"/>
    <w:qFormat/>
    <w:pPr>
      <w:ind w:firstLine="200"/>
      <w:spacing w:line="360" w:lineRule="auto"/>
    </w:pPr>
    <w:rPr>
      <w:rFonts w:ascii="宋体" w:hAnsi="Courier New"/>
      <w:sz w:val="20"/>
      <w:szCs w:val="20"/>
    </w:rPr>
  </w:style>
  <w:style w:type="character" w:styleId="1038" w:customStyle="1">
    <w:name w:val="页脚 Char"/>
    <w:uiPriority w:val="0"/>
    <w:qFormat/>
    <w:rPr>
      <w:sz w:val="18"/>
      <w:szCs w:val="18"/>
    </w:rPr>
  </w:style>
  <w:style w:type="paragraph" w:styleId="1039" w:customStyle="1">
    <w:name w:val="_Style 83"/>
    <w:basedOn w:val="760"/>
    <w:next w:val="1029"/>
    <w:uiPriority w:val="99"/>
    <w:qFormat/>
    <w:pPr>
      <w:ind w:firstLine="420"/>
    </w:pPr>
  </w:style>
  <w:style w:type="character" w:styleId="1040">
    <w:name w:val="Placeholder Text"/>
    <w:basedOn w:val="770"/>
    <w:uiPriority w:val="99"/>
    <w:unhideWhenUsed/>
    <w:qFormat/>
    <w:rPr>
      <w:color w:val="808080"/>
    </w:rPr>
  </w:style>
  <w:style w:type="paragraph" w:styleId="1041" w:customStyle="1">
    <w:name w:val="pf0"/>
    <w:basedOn w:val="760"/>
    <w:uiPriority w:val="0"/>
    <w:qFormat/>
    <w:pPr>
      <w:jc w:val="left"/>
      <w:spacing w:before="100" w:beforeAutospacing="1" w:after="100" w:afterAutospacing="1"/>
      <w:widowControl/>
    </w:pPr>
    <w:rPr>
      <w:rFonts w:ascii="宋体" w:hAnsi="宋体" w:cs="宋体"/>
      <w:sz w:val="24"/>
    </w:rPr>
  </w:style>
  <w:style w:type="character" w:styleId="1042" w:customStyle="1">
    <w:name w:val="cf01"/>
    <w:basedOn w:val="770"/>
    <w:uiPriority w:val="0"/>
    <w:qFormat/>
    <w:rPr>
      <w:rFonts w:hint="eastAsia" w:ascii="Microsoft YaHei UI" w:hAnsi="Microsoft YaHei UI" w:eastAsia="Microsoft YaHei UI"/>
      <w:sz w:val="18"/>
      <w:szCs w:val="18"/>
    </w:rPr>
  </w:style>
  <w:style w:type="character" w:styleId="1043" w:customStyle="1">
    <w:name w:val="cf11"/>
    <w:basedOn w:val="770"/>
    <w:uiPriority w:val="0"/>
    <w:qFormat/>
    <w:rPr>
      <w:rFonts w:hint="eastAsia" w:ascii="Microsoft YaHei UI" w:hAnsi="Microsoft YaHei UI" w:eastAsia="Microsoft YaHei UI"/>
      <w:sz w:val="18"/>
      <w:szCs w:val="18"/>
    </w:rPr>
  </w:style>
  <w:style w:type="paragraph" w:styleId="1044">
    <w:name w:val="List Paragraph"/>
    <w:basedOn w:val="760"/>
    <w:uiPriority w:val="1"/>
    <w:qFormat/>
    <w:pPr>
      <w:ind w:firstLine="420"/>
    </w:pPr>
  </w:style>
  <w:style w:type="paragraph" w:styleId="1045" w:customStyle="1">
    <w:name w:val="标题1，章节第一层"/>
    <w:basedOn w:val="760"/>
    <w:next w:val="76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6" w:customStyle="1">
    <w:name w:val="标准文本"/>
    <w:basedOn w:val="760"/>
    <w:uiPriority w:val="0"/>
    <w:qFormat/>
    <w:pPr>
      <w:ind w:firstLine="480"/>
      <w:spacing w:line="360" w:lineRule="auto"/>
    </w:pPr>
    <w:rPr>
      <w:rFonts w:ascii="Calibri" w:hAnsi="Calibri" w:eastAsia="Calibri" w:cs="宋体"/>
      <w:sz w:val="24"/>
      <w:lang w:val="zh-CN"/>
    </w:rPr>
  </w:style>
  <w:style w:type="character" w:styleId="1047" w:customStyle="1">
    <w:name w:val="标准文本 Char Char"/>
    <w:uiPriority w:val="0"/>
    <w:qFormat/>
    <w:rPr>
      <w:rFonts w:eastAsia="宋体" w:cs="宋体"/>
      <w:sz w:val="24"/>
      <w:szCs w:val="24"/>
      <w:lang w:val="en-US" w:eastAsia="zh-CN" w:bidi="ar-SA"/>
    </w:rPr>
  </w:style>
  <w:style w:type="character" w:styleId="1048" w:customStyle="1">
    <w:name w:val="标准小四 Char Char"/>
    <w:uiPriority w:val="0"/>
    <w:qFormat/>
    <w:rPr>
      <w:rFonts w:ascii="Arial" w:hAnsi="Arial" w:eastAsia="宋体"/>
      <w:sz w:val="24"/>
      <w:szCs w:val="21"/>
      <w:lang w:val="en-US" w:eastAsia="zh-CN" w:bidi="ar-SA"/>
    </w:rPr>
  </w:style>
  <w:style w:type="character" w:styleId="1049" w:customStyle="1">
    <w:name w:val="标准文本 Char"/>
    <w:uiPriority w:val="0"/>
    <w:qFormat/>
    <w:rPr>
      <w:rFonts w:eastAsia="宋体" w:cs="宋体"/>
      <w:sz w:val="24"/>
      <w:szCs w:val="24"/>
      <w:lang w:val="en-US" w:eastAsia="zh-CN" w:bidi="ar-SA"/>
    </w:rPr>
  </w:style>
  <w:style w:type="character" w:styleId="1050" w:customStyle="1">
    <w:name w:val="未处理的提及1"/>
    <w:basedOn w:val="770"/>
    <w:uiPriority w:val="99"/>
    <w:semiHidden/>
    <w:unhideWhenUsed/>
    <w:qFormat/>
    <w:rPr>
      <w:color w:val="605e5c"/>
      <w:shd w:val="clear" w:color="auto" w:fill="e1dfdd"/>
    </w:rPr>
  </w:style>
  <w:style w:type="paragraph" w:styleId="1051" w:customStyle="1">
    <w:name w:val="列出段落3"/>
    <w:basedOn w:val="760"/>
    <w:uiPriority w:val="99"/>
    <w:qFormat/>
    <w:pPr>
      <w:ind w:firstLine="420"/>
    </w:pPr>
  </w:style>
  <w:style w:type="paragraph" w:styleId="105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5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54" w:customStyle="1">
    <w:name w:val="font41"/>
    <w:basedOn w:val="770"/>
    <w:uiPriority w:val="0"/>
    <w:qFormat/>
    <w:rPr>
      <w:rFonts w:hint="default" w:ascii="方正仿宋_GBK" w:hAnsi="方正仿宋_GBK" w:eastAsia="方正仿宋_GBK" w:cs="方正仿宋_GBK"/>
      <w:b/>
      <w:bCs/>
      <w:color w:val="000000"/>
      <w:sz w:val="22"/>
      <w:szCs w:val="22"/>
      <w:u w:val="none"/>
    </w:rPr>
  </w:style>
  <w:style w:type="character" w:styleId="1055" w:customStyle="1">
    <w:name w:val="font31"/>
    <w:basedOn w:val="770"/>
    <w:uiPriority w:val="0"/>
    <w:qFormat/>
    <w:rPr>
      <w:rFonts w:hint="default" w:ascii="方正仿宋_GBK" w:hAnsi="方正仿宋_GBK" w:eastAsia="方正仿宋_GBK" w:cs="方正仿宋_GBK"/>
      <w:color w:val="000000"/>
      <w:sz w:val="22"/>
      <w:szCs w:val="22"/>
      <w:u w:val="none"/>
    </w:rPr>
  </w:style>
  <w:style w:type="character" w:styleId="1056" w:customStyle="1">
    <w:name w:val="不明显参考1"/>
    <w:uiPriority w:val="31"/>
    <w:qFormat/>
    <w:rPr>
      <w:smallCaps/>
    </w:rPr>
  </w:style>
  <w:style w:type="paragraph" w:styleId="105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58" w:customStyle="1">
    <w:name w:val="默认段落字体11"/>
    <w:uiPriority w:val="1"/>
    <w:unhideWhenUsed/>
    <w:qFormat/>
  </w:style>
  <w:style w:type="paragraph" w:styleId="105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62"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63" w:customStyle="1">
    <w:name w:val="列表段落1"/>
    <w:basedOn w:val="760"/>
    <w:uiPriority w:val="99"/>
    <w:qFormat/>
    <w:pPr>
      <w:ind w:firstLine="420"/>
    </w:pPr>
  </w:style>
  <w:style w:type="character" w:styleId="1064" w:customStyle="1">
    <w:name w:val="font21"/>
    <w:basedOn w:val="770"/>
    <w:uiPriority w:val="0"/>
    <w:qFormat/>
    <w:rPr>
      <w:rFonts w:hint="eastAsia" w:ascii="等线" w:hAnsi="等线" w:eastAsia="等线" w:cs="等线"/>
      <w:color w:val="000000"/>
      <w:sz w:val="21"/>
      <w:szCs w:val="21"/>
      <w:u w:val="none"/>
    </w:rPr>
  </w:style>
  <w:style w:type="character" w:styleId="1065" w:customStyle="1">
    <w:name w:val="font11"/>
    <w:basedOn w:val="770"/>
    <w:uiPriority w:val="0"/>
    <w:qFormat/>
    <w:rPr>
      <w:rFonts w:hint="eastAsia" w:ascii="宋体" w:hAnsi="宋体" w:eastAsia="宋体" w:cs="宋体"/>
      <w:color w:val="000000"/>
      <w:sz w:val="21"/>
      <w:szCs w:val="21"/>
      <w:u w:val="none"/>
    </w:rPr>
  </w:style>
  <w:style w:type="paragraph" w:styleId="1066" w:customStyle="1">
    <w:name w:val="null3"/>
    <w:hidden/>
    <w:uiPriority w:val="0"/>
    <w:qFormat/>
    <w:rPr>
      <w:rFonts w:hint="eastAsia" w:asciiTheme="minorHAnsi" w:hAnsiTheme="minorHAnsi" w:eastAsiaTheme="minorEastAsia" w:cstheme="minorBidi"/>
      <w:lang w:val="en-US" w:eastAsia="zh-CN" w:bidi="ar-SA"/>
    </w:rPr>
  </w:style>
  <w:style w:type="character" w:styleId="1067" w:customStyle="1">
    <w:name w:val="font51"/>
    <w:basedOn w:val="770"/>
    <w:uiPriority w:val="0"/>
    <w:qFormat/>
    <w:rPr>
      <w:rFonts w:hint="eastAsia" w:ascii="宋体" w:hAnsi="宋体" w:eastAsia="宋体" w:cs="宋体"/>
      <w:color w:val="000000"/>
      <w:sz w:val="21"/>
      <w:szCs w:val="21"/>
      <w:u w:val="none"/>
    </w:rPr>
  </w:style>
  <w:style w:type="character" w:styleId="1068" w:customStyle="1">
    <w:name w:val="font61"/>
    <w:basedOn w:val="770"/>
    <w:uiPriority w:val="0"/>
    <w:qFormat/>
    <w:rPr>
      <w:rFonts w:hint="default" w:ascii="Times New Roman" w:hAnsi="Times New Roman" w:cs="Times New Roman"/>
      <w:color w:val="000000"/>
      <w:sz w:val="21"/>
      <w:szCs w:val="21"/>
      <w:u w:val="none"/>
    </w:rPr>
  </w:style>
  <w:style w:type="paragraph" w:styleId="1069" w:customStyle="1">
    <w:name w:val="Revision"/>
    <w:hidden/>
    <w:uiPriority w:val="99"/>
    <w:semiHidden/>
    <w:qFormat/>
    <w:rPr>
      <w:rFonts w:hint="default" w:ascii="Times New Roman" w:hAnsi="Times New Roman" w:eastAsia="宋体" w:cs="Times New Roman"/>
      <w:sz w:val="21"/>
      <w:szCs w:val="24"/>
      <w:lang w:val="en-US" w:eastAsia="zh-CN" w:bidi="ar-SA"/>
    </w:rPr>
  </w:style>
  <w:style w:type="paragraph" w:styleId="1070" w:customStyle="1">
    <w:name w:val="*正文"/>
    <w:basedOn w:val="760"/>
    <w:uiPriority w:val="0"/>
    <w:qFormat/>
    <w:pPr>
      <w:ind w:left="0" w:right="0" w:firstLine="200"/>
      <w:jc w:val="left"/>
      <w:keepLines w:val="0"/>
      <w:keepNext w:val="0"/>
      <w:spacing w:before="0" w:beforeAutospacing="0" w:after="0" w:afterAutospacing="0" w:line="360" w:lineRule="auto"/>
      <w:widowControl w:val="off"/>
      <w:suppressLineNumbers w:val="0"/>
    </w:pPr>
    <w:rPr>
      <w:rFonts w:hint="eastAsia" w:ascii="宋体" w:hAnsi="宋体" w:eastAsia="宋体" w:cs="Times New Roman"/>
      <w:b/>
      <w:position w:val="-10"/>
      <w:sz w:val="24"/>
      <w:szCs w:val="24"/>
      <w:lang w:val="en-US" w:eastAsia="zh-CN" w:bidi="ar"/>
    </w:rPr>
  </w:style>
  <w:style w:type="paragraph" w:styleId="1071" w:customStyle="1">
    <w:name w:val="标题 41"/>
    <w:basedOn w:val="760"/>
    <w:next w:val="760"/>
    <w:uiPriority w:val="99"/>
    <w:qFormat/>
    <w:pPr>
      <w:keepLines/>
      <w:keepNext/>
      <w:spacing w:before="280" w:after="290" w:line="376" w:lineRule="auto"/>
      <w:outlineLvl w:val="3"/>
    </w:pPr>
    <w:rPr>
      <w:rFonts w:ascii="Cambria" w:hAnsi="Cambria"/>
      <w:b/>
      <w:bCs/>
      <w:sz w:val="28"/>
      <w:szCs w:val="28"/>
    </w:rPr>
  </w:style>
  <w:style w:type="paragraph" w:styleId="1072" w:customStyle="1">
    <w:name w:val="p1"/>
    <w:basedOn w:val="760"/>
    <w:uiPriority w:val="0"/>
    <w:qFormat/>
    <w:pPr>
      <w:ind w:left="0" w:right="0"/>
      <w:jc w:val="center"/>
      <w:spacing w:before="0" w:beforeAutospacing="0" w:after="0" w:afterAutospacing="0"/>
    </w:pPr>
    <w:rPr>
      <w:rFonts w:ascii="helvetica" w:hAnsi="helvetica" w:eastAsia="helvetica" w:cs="helvetica"/>
      <w:sz w:val="26"/>
      <w:szCs w:val="26"/>
      <w:lang w:val="en-US" w:eastAsia="zh-CN" w:bidi="ar"/>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c167147-c3f6-44e3-a5c6-d04c04d28542}"/>
        <w:description w:val=""/>
        <w:category>
          <w:name w:val="常规"/>
          <w:gallery w:val="placeholder"/>
        </w:category>
        <w:types>
          <w:type w:val="bbPlcHdr"/>
        </w:types>
        <w:behaviors>
          <w:behavior w:val="content"/>
        </w:behaviors>
        <w:guid w:val="{3C167147-C3F6-44E3-A5C6-D04C04D28542}"/>
      </w:docPartPr>
      <w:docPartBody>
        <w:p>
          <w:pPr>
            <w:rPr>
              <w:rFonts w:hint="eastAsia"/>
            </w:rPr>
          </w:pPr>
          <w:r>
            <w:rPr>
              <w:rStyle w:val="174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2" w:default="1">
    <w:name w:val="Normal"/>
    <w:uiPriority w:val="0"/>
    <w:qFormat/>
    <w:rPr>
      <w:rFonts w:hint="default" w:asciiTheme="minorHAnsi" w:hAnsiTheme="minorHAnsi" w:eastAsiaTheme="minorEastAsia" w:cstheme="minorBidi"/>
      <w:lang w:val="en-US" w:eastAsia="zh-CN" w:bidi="ar-SA"/>
    </w:rPr>
  </w:style>
  <w:style w:type="paragraph" w:styleId="1523">
    <w:name w:val="Heading 1"/>
    <w:link w:val="159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24">
    <w:name w:val="Heading 2"/>
    <w:link w:val="1592"/>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25">
    <w:name w:val="Heading 3"/>
    <w:link w:val="1593"/>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26">
    <w:name w:val="Heading 4"/>
    <w:link w:val="159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27">
    <w:name w:val="Heading 5"/>
    <w:link w:val="159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528">
    <w:name w:val="Heading 6"/>
    <w:link w:val="159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529">
    <w:name w:val="Heading 7"/>
    <w:link w:val="159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530">
    <w:name w:val="Heading 8"/>
    <w:link w:val="159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531">
    <w:name w:val="Heading 9"/>
    <w:link w:val="159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532" w:default="1">
    <w:name w:val="Default Paragraph Font"/>
    <w:uiPriority w:val="1"/>
    <w:semiHidden/>
    <w:unhideWhenUsed/>
    <w:qFormat/>
  </w:style>
  <w:style w:type="table" w:styleId="1533" w:default="1">
    <w:name w:val="Normal Table"/>
    <w:uiPriority w:val="99"/>
    <w:semiHidden/>
    <w:unhideWhenUsed/>
    <w:qFormat/>
    <w:tblPr>
      <w:tblCellMar>
        <w:left w:w="108" w:type="dxa"/>
        <w:top w:w="0" w:type="dxa"/>
        <w:right w:w="108" w:type="dxa"/>
        <w:bottom w:w="0" w:type="dxa"/>
      </w:tblCellMar>
    </w:tblPr>
  </w:style>
  <w:style w:type="character" w:styleId="1534" w:customStyle="1">
    <w:name w:val="Heading 1 Char"/>
    <w:basedOn w:val="1532"/>
    <w:uiPriority w:val="9"/>
    <w:qFormat/>
    <w:rPr>
      <w:rFonts w:ascii="Arial" w:hAnsi="Arial" w:eastAsia="Arial" w:cs="Arial"/>
      <w:sz w:val="40"/>
      <w:szCs w:val="40"/>
    </w:rPr>
  </w:style>
  <w:style w:type="character" w:styleId="1535" w:customStyle="1">
    <w:name w:val="Heading 2 Char"/>
    <w:basedOn w:val="1532"/>
    <w:uiPriority w:val="9"/>
    <w:qFormat/>
    <w:rPr>
      <w:rFonts w:ascii="Arial" w:hAnsi="Arial" w:eastAsia="Arial" w:cs="Arial"/>
      <w:sz w:val="34"/>
    </w:rPr>
  </w:style>
  <w:style w:type="character" w:styleId="1536" w:customStyle="1">
    <w:name w:val="Heading 3 Char"/>
    <w:basedOn w:val="1532"/>
    <w:uiPriority w:val="9"/>
    <w:qFormat/>
    <w:rPr>
      <w:rFonts w:ascii="Arial" w:hAnsi="Arial" w:eastAsia="Arial" w:cs="Arial"/>
      <w:sz w:val="30"/>
      <w:szCs w:val="30"/>
    </w:rPr>
  </w:style>
  <w:style w:type="character" w:styleId="1537" w:customStyle="1">
    <w:name w:val="Heading 4 Char"/>
    <w:basedOn w:val="1532"/>
    <w:uiPriority w:val="9"/>
    <w:qFormat/>
    <w:rPr>
      <w:rFonts w:ascii="Arial" w:hAnsi="Arial" w:eastAsia="Arial" w:cs="Arial"/>
      <w:b/>
      <w:bCs/>
      <w:sz w:val="26"/>
      <w:szCs w:val="26"/>
    </w:rPr>
  </w:style>
  <w:style w:type="character" w:styleId="1538" w:customStyle="1">
    <w:name w:val="Heading 5 Char"/>
    <w:basedOn w:val="1532"/>
    <w:uiPriority w:val="9"/>
    <w:qFormat/>
    <w:rPr>
      <w:rFonts w:ascii="Arial" w:hAnsi="Arial" w:eastAsia="Arial" w:cs="Arial"/>
      <w:b/>
      <w:bCs/>
      <w:sz w:val="24"/>
      <w:szCs w:val="24"/>
    </w:rPr>
  </w:style>
  <w:style w:type="character" w:styleId="1539" w:customStyle="1">
    <w:name w:val="Heading 6 Char"/>
    <w:basedOn w:val="1532"/>
    <w:uiPriority w:val="9"/>
    <w:qFormat/>
    <w:rPr>
      <w:rFonts w:ascii="Arial" w:hAnsi="Arial" w:eastAsia="Arial" w:cs="Arial"/>
      <w:b/>
      <w:bCs/>
      <w:sz w:val="22"/>
      <w:szCs w:val="22"/>
    </w:rPr>
  </w:style>
  <w:style w:type="character" w:styleId="1540" w:customStyle="1">
    <w:name w:val="Heading 7 Char"/>
    <w:basedOn w:val="1532"/>
    <w:uiPriority w:val="9"/>
    <w:qFormat/>
    <w:rPr>
      <w:rFonts w:ascii="Arial" w:hAnsi="Arial" w:eastAsia="Arial" w:cs="Arial"/>
      <w:b/>
      <w:bCs/>
      <w:i/>
      <w:iCs/>
      <w:sz w:val="22"/>
      <w:szCs w:val="22"/>
    </w:rPr>
  </w:style>
  <w:style w:type="character" w:styleId="1541" w:customStyle="1">
    <w:name w:val="Heading 8 Char"/>
    <w:basedOn w:val="1532"/>
    <w:uiPriority w:val="9"/>
    <w:qFormat/>
    <w:rPr>
      <w:rFonts w:ascii="Arial" w:hAnsi="Arial" w:eastAsia="Arial" w:cs="Arial"/>
      <w:i/>
      <w:iCs/>
      <w:sz w:val="22"/>
      <w:szCs w:val="22"/>
    </w:rPr>
  </w:style>
  <w:style w:type="character" w:styleId="1542" w:customStyle="1">
    <w:name w:val="Heading 9 Char"/>
    <w:basedOn w:val="1532"/>
    <w:uiPriority w:val="9"/>
    <w:qFormat/>
    <w:rPr>
      <w:rFonts w:ascii="Arial" w:hAnsi="Arial" w:eastAsia="Arial" w:cs="Arial"/>
      <w:i/>
      <w:iCs/>
      <w:sz w:val="21"/>
      <w:szCs w:val="21"/>
    </w:rPr>
  </w:style>
  <w:style w:type="character" w:styleId="1543" w:customStyle="1">
    <w:name w:val="Title Char"/>
    <w:basedOn w:val="1532"/>
    <w:uiPriority w:val="10"/>
    <w:qFormat/>
    <w:rPr>
      <w:sz w:val="48"/>
      <w:szCs w:val="48"/>
    </w:rPr>
  </w:style>
  <w:style w:type="character" w:styleId="1544" w:customStyle="1">
    <w:name w:val="Subtitle Char"/>
    <w:basedOn w:val="1532"/>
    <w:uiPriority w:val="11"/>
    <w:qFormat/>
    <w:rPr>
      <w:sz w:val="24"/>
      <w:szCs w:val="24"/>
    </w:rPr>
  </w:style>
  <w:style w:type="character" w:styleId="1545" w:customStyle="1">
    <w:name w:val="Quote Char"/>
    <w:uiPriority w:val="29"/>
    <w:qFormat/>
    <w:rPr>
      <w:i/>
    </w:rPr>
  </w:style>
  <w:style w:type="character" w:styleId="1546" w:customStyle="1">
    <w:name w:val="Intense Quote Char"/>
    <w:uiPriority w:val="30"/>
    <w:qFormat/>
    <w:rPr>
      <w:i/>
    </w:rPr>
  </w:style>
  <w:style w:type="character" w:styleId="1547" w:customStyle="1">
    <w:name w:val="Header Char"/>
    <w:basedOn w:val="1532"/>
    <w:uiPriority w:val="99"/>
    <w:qFormat/>
  </w:style>
  <w:style w:type="character" w:styleId="1548" w:customStyle="1">
    <w:name w:val="Footer Char"/>
    <w:basedOn w:val="1532"/>
    <w:uiPriority w:val="99"/>
    <w:qFormat/>
  </w:style>
  <w:style w:type="character" w:styleId="1549" w:customStyle="1">
    <w:name w:val="Caption Char"/>
    <w:uiPriority w:val="99"/>
    <w:qFormat/>
  </w:style>
  <w:style w:type="table" w:styleId="1550" w:customStyle="1">
    <w:name w:val="Plain Table 1"/>
    <w:basedOn w:val="15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1" w:customStyle="1">
    <w:name w:val="Plain Table 2"/>
    <w:basedOn w:val="15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2" w:customStyle="1">
    <w:name w:val="Plain Table 3"/>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3" w:customStyle="1">
    <w:name w:val="Plain Table 4"/>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4" w:customStyle="1">
    <w:name w:val="Plain Table 5"/>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5" w:customStyle="1">
    <w:name w:val="Grid Table 1 Light"/>
    <w:basedOn w:val="15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56" w:customStyle="1">
    <w:name w:val="Grid Table 2"/>
    <w:basedOn w:val="15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7" w:customStyle="1">
    <w:name w:val="Grid Table 3"/>
    <w:basedOn w:val="15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4"/>
    <w:basedOn w:val="15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59" w:customStyle="1">
    <w:name w:val="Grid Table 5 Dark"/>
    <w:basedOn w:val="15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0" w:customStyle="1">
    <w:name w:val="Grid Table 6 Colorful"/>
    <w:basedOn w:val="15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1" w:customStyle="1">
    <w:name w:val="Grid Table 7 Colorful"/>
    <w:basedOn w:val="15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2" w:customStyle="1">
    <w:name w:val="List Table 1 Light"/>
    <w:basedOn w:val="15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3" w:customStyle="1">
    <w:name w:val="List Table 2"/>
    <w:basedOn w:val="15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64" w:customStyle="1">
    <w:name w:val="List Table 3"/>
    <w:basedOn w:val="15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5" w:customStyle="1">
    <w:name w:val="List Table 4"/>
    <w:basedOn w:val="15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6" w:customStyle="1">
    <w:name w:val="List Table 5 Dark"/>
    <w:basedOn w:val="15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7" w:customStyle="1">
    <w:name w:val="List Table 6 Colorful"/>
    <w:basedOn w:val="15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68" w:customStyle="1">
    <w:name w:val="List Table 7 Colorful"/>
    <w:basedOn w:val="15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69" w:customStyle="1">
    <w:name w:val="Footnote Text Char"/>
    <w:uiPriority w:val="99"/>
    <w:qFormat/>
    <w:rPr>
      <w:sz w:val="18"/>
    </w:rPr>
  </w:style>
  <w:style w:type="character" w:styleId="1570" w:customStyle="1">
    <w:name w:val="Endnote Text Char"/>
    <w:uiPriority w:val="99"/>
    <w:qFormat/>
    <w:rPr>
      <w:sz w:val="20"/>
    </w:rPr>
  </w:style>
  <w:style w:type="paragraph" w:styleId="1571" w:customStyle="1">
    <w:name w:val="TOC Heading"/>
    <w:uiPriority w:val="39"/>
    <w:unhideWhenUsed/>
    <w:qFormat/>
    <w:rPr>
      <w:rFonts w:hint="default" w:asciiTheme="minorHAnsi" w:hAnsiTheme="minorHAnsi" w:eastAsiaTheme="minorEastAsia" w:cstheme="minorBidi"/>
    </w:rPr>
  </w:style>
  <w:style w:type="table" w:styleId="1572" w:customStyle="1">
    <w:name w:val="无格式表格 11"/>
    <w:basedOn w:val="15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无格式表格 21"/>
    <w:basedOn w:val="15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4" w:customStyle="1">
    <w:name w:val="无格式表格 3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5" w:customStyle="1">
    <w:name w:val="无格式表格 4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6" w:customStyle="1">
    <w:name w:val="无格式表格 5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7" w:customStyle="1">
    <w:name w:val="网格表 1 浅色1"/>
    <w:basedOn w:val="15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8" w:customStyle="1">
    <w:name w:val="网格表 21"/>
    <w:basedOn w:val="15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9" w:customStyle="1">
    <w:name w:val="网格表 31"/>
    <w:basedOn w:val="15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0" w:customStyle="1">
    <w:name w:val="网格表 41"/>
    <w:basedOn w:val="15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1" w:customStyle="1">
    <w:name w:val="网格表 5 深色1"/>
    <w:basedOn w:val="15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2" w:customStyle="1">
    <w:name w:val="网格表 6 彩色1"/>
    <w:basedOn w:val="15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83" w:customStyle="1">
    <w:name w:val="网格表 7 彩色1"/>
    <w:basedOn w:val="15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4" w:customStyle="1">
    <w:name w:val="清单表 1 浅色1"/>
    <w:basedOn w:val="153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5" w:customStyle="1">
    <w:name w:val="清单表 21"/>
    <w:basedOn w:val="15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6" w:customStyle="1">
    <w:name w:val="清单表 31"/>
    <w:basedOn w:val="15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7" w:customStyle="1">
    <w:name w:val="清单表 41"/>
    <w:basedOn w:val="15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8" w:customStyle="1">
    <w:name w:val="清单表 5 深色1"/>
    <w:basedOn w:val="15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9" w:customStyle="1">
    <w:name w:val="清单表 6 彩色1"/>
    <w:basedOn w:val="153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0" w:customStyle="1">
    <w:name w:val="清单表 7 彩色1"/>
    <w:basedOn w:val="153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91" w:customStyle="1">
    <w:name w:val="标题 1 字符"/>
    <w:basedOn w:val="1532"/>
    <w:link w:val="1523"/>
    <w:uiPriority w:val="9"/>
    <w:qFormat/>
    <w:rPr>
      <w:rFonts w:ascii="Arial" w:hAnsi="Arial" w:eastAsia="Arial" w:cs="Arial"/>
      <w:sz w:val="40"/>
      <w:szCs w:val="40"/>
    </w:rPr>
  </w:style>
  <w:style w:type="character" w:styleId="1592" w:customStyle="1">
    <w:name w:val="标题 2 字符"/>
    <w:basedOn w:val="1532"/>
    <w:link w:val="1524"/>
    <w:uiPriority w:val="9"/>
    <w:qFormat/>
    <w:rPr>
      <w:rFonts w:ascii="Arial" w:hAnsi="Arial" w:eastAsia="Arial" w:cs="Arial"/>
      <w:sz w:val="34"/>
    </w:rPr>
  </w:style>
  <w:style w:type="character" w:styleId="1593" w:customStyle="1">
    <w:name w:val="标题 3 字符"/>
    <w:basedOn w:val="1532"/>
    <w:link w:val="1525"/>
    <w:uiPriority w:val="9"/>
    <w:qFormat/>
    <w:rPr>
      <w:rFonts w:ascii="Arial" w:hAnsi="Arial" w:eastAsia="Arial" w:cs="Arial"/>
      <w:sz w:val="30"/>
      <w:szCs w:val="30"/>
    </w:rPr>
  </w:style>
  <w:style w:type="character" w:styleId="1594" w:customStyle="1">
    <w:name w:val="标题 4 字符"/>
    <w:basedOn w:val="1532"/>
    <w:link w:val="1526"/>
    <w:uiPriority w:val="9"/>
    <w:qFormat/>
    <w:rPr>
      <w:rFonts w:ascii="Arial" w:hAnsi="Arial" w:eastAsia="Arial" w:cs="Arial"/>
      <w:b/>
      <w:bCs/>
      <w:sz w:val="26"/>
      <w:szCs w:val="26"/>
    </w:rPr>
  </w:style>
  <w:style w:type="character" w:styleId="1595" w:customStyle="1">
    <w:name w:val="标题 5 字符"/>
    <w:basedOn w:val="1532"/>
    <w:link w:val="1527"/>
    <w:uiPriority w:val="9"/>
    <w:qFormat/>
    <w:rPr>
      <w:rFonts w:ascii="Arial" w:hAnsi="Arial" w:eastAsia="Arial" w:cs="Arial"/>
      <w:b/>
      <w:bCs/>
      <w:sz w:val="24"/>
      <w:szCs w:val="24"/>
    </w:rPr>
  </w:style>
  <w:style w:type="character" w:styleId="1596" w:customStyle="1">
    <w:name w:val="标题 6 字符"/>
    <w:basedOn w:val="1532"/>
    <w:link w:val="1528"/>
    <w:uiPriority w:val="9"/>
    <w:qFormat/>
    <w:rPr>
      <w:rFonts w:ascii="Arial" w:hAnsi="Arial" w:eastAsia="Arial" w:cs="Arial"/>
      <w:b/>
      <w:bCs/>
      <w:sz w:val="22"/>
      <w:szCs w:val="22"/>
    </w:rPr>
  </w:style>
  <w:style w:type="character" w:styleId="1597" w:customStyle="1">
    <w:name w:val="标题 7 字符"/>
    <w:basedOn w:val="1532"/>
    <w:link w:val="1529"/>
    <w:uiPriority w:val="9"/>
    <w:qFormat/>
    <w:rPr>
      <w:rFonts w:ascii="Arial" w:hAnsi="Arial" w:eastAsia="Arial" w:cs="Arial"/>
      <w:b/>
      <w:bCs/>
      <w:i/>
      <w:iCs/>
      <w:sz w:val="22"/>
      <w:szCs w:val="22"/>
    </w:rPr>
  </w:style>
  <w:style w:type="character" w:styleId="1598" w:customStyle="1">
    <w:name w:val="标题 8 字符"/>
    <w:basedOn w:val="1532"/>
    <w:link w:val="1530"/>
    <w:uiPriority w:val="9"/>
    <w:qFormat/>
    <w:rPr>
      <w:rFonts w:ascii="Arial" w:hAnsi="Arial" w:eastAsia="Arial" w:cs="Arial"/>
      <w:i/>
      <w:iCs/>
      <w:sz w:val="22"/>
      <w:szCs w:val="22"/>
    </w:rPr>
  </w:style>
  <w:style w:type="character" w:styleId="1599" w:customStyle="1">
    <w:name w:val="标题 9 字符"/>
    <w:basedOn w:val="1532"/>
    <w:link w:val="1531"/>
    <w:uiPriority w:val="9"/>
    <w:qFormat/>
    <w:rPr>
      <w:rFonts w:ascii="Arial" w:hAnsi="Arial" w:eastAsia="Arial" w:cs="Arial"/>
      <w:i/>
      <w:iCs/>
      <w:sz w:val="21"/>
      <w:szCs w:val="21"/>
    </w:rPr>
  </w:style>
  <w:style w:type="paragraph" w:styleId="1600">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01">
    <w:name w:val="No Spacing"/>
    <w:uiPriority w:val="1"/>
    <w:qFormat/>
    <w:rPr>
      <w:rFonts w:hint="default" w:asciiTheme="minorHAnsi" w:hAnsiTheme="minorHAnsi" w:eastAsiaTheme="minorEastAsia" w:cstheme="minorBidi"/>
      <w:lang w:val="en-US" w:eastAsia="zh-CN" w:bidi="ar-SA"/>
    </w:rPr>
  </w:style>
  <w:style w:type="paragraph" w:styleId="1602">
    <w:name w:val="Title"/>
    <w:link w:val="1603"/>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03" w:customStyle="1">
    <w:name w:val="标题 字符"/>
    <w:basedOn w:val="1532"/>
    <w:link w:val="1602"/>
    <w:uiPriority w:val="10"/>
    <w:qFormat/>
    <w:rPr>
      <w:sz w:val="48"/>
      <w:szCs w:val="48"/>
    </w:rPr>
  </w:style>
  <w:style w:type="paragraph" w:styleId="1604">
    <w:name w:val="Subtitle"/>
    <w:link w:val="1605"/>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605" w:customStyle="1">
    <w:name w:val="副标题 字符"/>
    <w:basedOn w:val="1532"/>
    <w:link w:val="1604"/>
    <w:uiPriority w:val="11"/>
    <w:qFormat/>
    <w:rPr>
      <w:sz w:val="24"/>
      <w:szCs w:val="24"/>
    </w:rPr>
  </w:style>
  <w:style w:type="paragraph" w:styleId="1606">
    <w:name w:val="Quote"/>
    <w:link w:val="1607"/>
    <w:uiPriority w:val="29"/>
    <w:qFormat/>
    <w:pPr>
      <w:ind w:left="720" w:right="720"/>
    </w:pPr>
    <w:rPr>
      <w:rFonts w:hint="default" w:asciiTheme="minorHAnsi" w:hAnsiTheme="minorHAnsi" w:eastAsiaTheme="minorEastAsia" w:cstheme="minorBidi"/>
      <w:i/>
      <w:lang w:val="en-US" w:eastAsia="zh-CN" w:bidi="ar-SA"/>
    </w:rPr>
  </w:style>
  <w:style w:type="character" w:styleId="1607" w:customStyle="1">
    <w:name w:val="引用 字符"/>
    <w:link w:val="1606"/>
    <w:uiPriority w:val="29"/>
    <w:qFormat/>
    <w:rPr>
      <w:i/>
    </w:rPr>
  </w:style>
  <w:style w:type="paragraph" w:styleId="1608">
    <w:name w:val="Intense Quote"/>
    <w:link w:val="16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609" w:customStyle="1">
    <w:name w:val="明显引用 字符"/>
    <w:link w:val="1608"/>
    <w:uiPriority w:val="30"/>
    <w:qFormat/>
    <w:rPr>
      <w:i/>
    </w:rPr>
  </w:style>
  <w:style w:type="paragraph" w:styleId="1610">
    <w:name w:val="Header"/>
    <w:link w:val="1611"/>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611" w:customStyle="1">
    <w:name w:val="页眉 字符"/>
    <w:basedOn w:val="1532"/>
    <w:link w:val="1610"/>
    <w:uiPriority w:val="99"/>
    <w:qFormat/>
  </w:style>
  <w:style w:type="paragraph" w:styleId="1612">
    <w:name w:val="Footer"/>
    <w:link w:val="1614"/>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613">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14" w:customStyle="1">
    <w:name w:val="页脚 字符"/>
    <w:link w:val="1612"/>
    <w:uiPriority w:val="99"/>
    <w:qFormat/>
  </w:style>
  <w:style w:type="table" w:styleId="16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17"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18"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19"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20"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21"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22"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23"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24"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25"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26"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27"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28"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29"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0"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1"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2"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3"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4"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5"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36"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37"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38"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39"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40"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47"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48"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49"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50"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51"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52"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53"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54"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55"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56"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57"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58"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59"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60"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61"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62"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63"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64"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65"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66"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67"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68"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69"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70"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71"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2"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73"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74"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75"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76"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77"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8"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79"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80"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81"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82"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83"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4"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5"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6"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7"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8"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9"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90"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91"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92"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93"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94"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95"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96"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97"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98"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99"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00"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9"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0"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11"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12"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13"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4"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16"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17"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18"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19"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20"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21"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22">
    <w:name w:val="Hyperlink"/>
    <w:uiPriority w:val="99"/>
    <w:unhideWhenUsed/>
    <w:qFormat/>
    <w:rPr>
      <w:color w:val="0563c1" w:themeColor="hyperlink"/>
      <w:u w:val="single"/>
      <w14:textFill>
        <w14:solidFill>
          <w14:schemeClr w14:val="hlink"/>
        </w14:solidFill>
      </w14:textFill>
    </w:rPr>
  </w:style>
  <w:style w:type="paragraph" w:styleId="1723">
    <w:name w:val="footnote text"/>
    <w:link w:val="1724"/>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24" w:customStyle="1">
    <w:name w:val="脚注文本 字符"/>
    <w:link w:val="1723"/>
    <w:uiPriority w:val="99"/>
    <w:qFormat/>
    <w:rPr>
      <w:sz w:val="18"/>
    </w:rPr>
  </w:style>
  <w:style w:type="character" w:styleId="1725">
    <w:name w:val="footnote reference"/>
    <w:basedOn w:val="1532"/>
    <w:uiPriority w:val="99"/>
    <w:unhideWhenUsed/>
    <w:qFormat/>
    <w:rPr>
      <w:vertAlign w:val="superscript"/>
    </w:rPr>
  </w:style>
  <w:style w:type="paragraph" w:styleId="1726">
    <w:name w:val="endnote text"/>
    <w:link w:val="1727"/>
    <w:uiPriority w:val="99"/>
    <w:semiHidden/>
    <w:unhideWhenUsed/>
    <w:qFormat/>
    <w:rPr>
      <w:rFonts w:hint="default" w:asciiTheme="minorHAnsi" w:hAnsiTheme="minorHAnsi" w:eastAsiaTheme="minorEastAsia" w:cstheme="minorBidi"/>
      <w:lang w:val="en-US" w:eastAsia="zh-CN" w:bidi="ar-SA"/>
    </w:rPr>
  </w:style>
  <w:style w:type="character" w:styleId="1727" w:customStyle="1">
    <w:name w:val="尾注文本 字符"/>
    <w:link w:val="1726"/>
    <w:uiPriority w:val="99"/>
    <w:qFormat/>
    <w:rPr>
      <w:sz w:val="20"/>
    </w:rPr>
  </w:style>
  <w:style w:type="character" w:styleId="1728">
    <w:name w:val="endnote reference"/>
    <w:basedOn w:val="1532"/>
    <w:uiPriority w:val="99"/>
    <w:semiHidden/>
    <w:unhideWhenUsed/>
    <w:qFormat/>
    <w:rPr>
      <w:vertAlign w:val="superscript"/>
    </w:rPr>
  </w:style>
  <w:style w:type="paragraph" w:styleId="1729">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730">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731">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732">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33">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34">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35">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36">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37">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38">
    <w:name w:val="table of figures"/>
    <w:uiPriority w:val="99"/>
    <w:unhideWhenUsed/>
    <w:qFormat/>
    <w:rPr>
      <w:rFonts w:hint="default" w:asciiTheme="minorHAnsi" w:hAnsiTheme="minorHAnsi" w:eastAsiaTheme="minorEastAsia" w:cstheme="minorBidi"/>
      <w:lang w:val="en-US" w:eastAsia="zh-CN" w:bidi="ar-SA"/>
    </w:rPr>
  </w:style>
  <w:style w:type="paragraph" w:styleId="1739"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40">
    <w:name w:val="Placeholder Text"/>
    <w:basedOn w:val="1532"/>
    <w:uiPriority w:val="99"/>
    <w:unhideWhenUsed/>
    <w:qFormat/>
    <w:rPr>
      <w:color w:val="808080"/>
    </w:rPr>
  </w:style>
  <w:style w:type="numbering" w:styleId="174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17</cp:revision>
  <dcterms:created xsi:type="dcterms:W3CDTF">2024-10-23T22:28:00Z</dcterms:created>
  <dcterms:modified xsi:type="dcterms:W3CDTF">2026-06-16T02:23:59Z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C130BFF203FE8D678996BB69974293F0_43</vt:lpwstr>
  </property>
  <property fmtid="{D5CDD505-2E9C-101B-9397-08002B2CF9AE}" pid="4" name="KSOTemplateDocerSaveRecord">
    <vt:lpwstr>eyJoZGlkIjoiMWYxYmUwODIzYzk0M2QzOTM3M2I1MzA0NjYxZWNjMTciLCJ1c2VySWQiOiI3MDY5OTM5NjQifQ==</vt:lpwstr>
  </property>
</Properties>
</file>